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77E8" w14:textId="7C3B590C" w:rsidR="00897B5C" w:rsidRPr="004863F3" w:rsidRDefault="00897B5C" w:rsidP="00897B5C">
      <w:pPr>
        <w:pStyle w:val="Heading1"/>
      </w:pPr>
      <w:r w:rsidRPr="004863F3">
        <w:t>Part 1: Australian Government Budget Outcome 202</w:t>
      </w:r>
      <w:r w:rsidR="00775E22" w:rsidRPr="004863F3">
        <w:t>4</w:t>
      </w:r>
      <w:r w:rsidRPr="004863F3">
        <w:t>–2</w:t>
      </w:r>
      <w:r w:rsidR="00775E22" w:rsidRPr="004863F3">
        <w:t>5</w:t>
      </w:r>
    </w:p>
    <w:p w14:paraId="657CB5E7" w14:textId="77777777" w:rsidR="00897B5C" w:rsidRPr="004863F3" w:rsidRDefault="00897B5C" w:rsidP="00897B5C">
      <w:pPr>
        <w:pStyle w:val="Heading2"/>
      </w:pPr>
      <w:r w:rsidRPr="004863F3">
        <w:t>Overview</w:t>
      </w:r>
    </w:p>
    <w:p w14:paraId="7C5B48B7" w14:textId="4BA31CC3" w:rsidR="00897B5C" w:rsidRPr="004863F3" w:rsidRDefault="00897B5C" w:rsidP="004863F3">
      <w:r w:rsidRPr="004863F3">
        <w:t>In 202</w:t>
      </w:r>
      <w:r w:rsidR="00BD57A9" w:rsidRPr="004863F3">
        <w:t>4</w:t>
      </w:r>
      <w:r w:rsidRPr="004863F3">
        <w:t>–2</w:t>
      </w:r>
      <w:r w:rsidR="00BD57A9" w:rsidRPr="004863F3">
        <w:t>5</w:t>
      </w:r>
      <w:r w:rsidRPr="004863F3">
        <w:t xml:space="preserve">, the Australian Government general government sector recorded an underlying cash </w:t>
      </w:r>
      <w:r w:rsidR="00BD57A9" w:rsidRPr="004863F3">
        <w:t>deficit</w:t>
      </w:r>
      <w:r w:rsidRPr="004863F3">
        <w:t xml:space="preserve"> </w:t>
      </w:r>
      <w:r w:rsidR="00862FC0" w:rsidRPr="004863F3">
        <w:t xml:space="preserve">of just </w:t>
      </w:r>
      <w:r w:rsidR="00133454" w:rsidRPr="004863F3">
        <w:t>under $</w:t>
      </w:r>
      <w:r w:rsidR="00937770" w:rsidRPr="004863F3">
        <w:t>10.</w:t>
      </w:r>
      <w:r w:rsidR="00133454" w:rsidRPr="004863F3">
        <w:t>0</w:t>
      </w:r>
      <w:r w:rsidR="00167021" w:rsidRPr="004863F3">
        <w:t> </w:t>
      </w:r>
      <w:r w:rsidRPr="004863F3">
        <w:t>billion (0.</w:t>
      </w:r>
      <w:r w:rsidR="00F26F45" w:rsidRPr="004863F3">
        <w:t>4</w:t>
      </w:r>
      <w:r w:rsidRPr="004863F3">
        <w:t> per cent of GDP).</w:t>
      </w:r>
      <w:r w:rsidR="000209ED" w:rsidRPr="004863F3">
        <w:t xml:space="preserve"> </w:t>
      </w:r>
      <w:r w:rsidR="00385AC1" w:rsidRPr="004863F3">
        <w:t xml:space="preserve">The </w:t>
      </w:r>
      <w:r w:rsidR="00843852" w:rsidRPr="004863F3">
        <w:t xml:space="preserve">outcome is </w:t>
      </w:r>
      <w:r w:rsidR="003F1F93" w:rsidRPr="004863F3">
        <w:t xml:space="preserve">around </w:t>
      </w:r>
      <w:r w:rsidR="00A04781" w:rsidRPr="004863F3">
        <w:t>one</w:t>
      </w:r>
      <w:r w:rsidR="001E171F" w:rsidRPr="004863F3">
        <w:noBreakHyphen/>
      </w:r>
      <w:r w:rsidR="00F731B7" w:rsidRPr="004863F3">
        <w:t xml:space="preserve">third of </w:t>
      </w:r>
      <w:r w:rsidR="00A45D03" w:rsidRPr="004863F3">
        <w:t>the</w:t>
      </w:r>
      <w:r w:rsidR="00F731B7" w:rsidRPr="004863F3">
        <w:t xml:space="preserve"> estimated </w:t>
      </w:r>
      <w:r w:rsidR="0053290E" w:rsidRPr="004863F3">
        <w:t xml:space="preserve">deficit </w:t>
      </w:r>
      <w:r w:rsidR="00F731B7" w:rsidRPr="004863F3">
        <w:t>at the 2025 Pre</w:t>
      </w:r>
      <w:r w:rsidR="001E171F" w:rsidRPr="004863F3">
        <w:noBreakHyphen/>
      </w:r>
      <w:r w:rsidR="00F731B7" w:rsidRPr="004863F3">
        <w:t xml:space="preserve">election </w:t>
      </w:r>
      <w:r w:rsidR="007971A3" w:rsidRPr="004863F3">
        <w:t>Economic</w:t>
      </w:r>
      <w:r w:rsidR="00F731B7" w:rsidRPr="004863F3">
        <w:t xml:space="preserve"> and Fiscal Outlook (PEFO)</w:t>
      </w:r>
      <w:r w:rsidR="00843852" w:rsidRPr="004863F3">
        <w:t xml:space="preserve"> and</w:t>
      </w:r>
      <w:r w:rsidR="003F1F93" w:rsidRPr="004863F3">
        <w:t xml:space="preserve"> around </w:t>
      </w:r>
      <w:r w:rsidR="005A0510" w:rsidRPr="004863F3">
        <w:t>one</w:t>
      </w:r>
      <w:r w:rsidR="001E171F" w:rsidRPr="004863F3">
        <w:noBreakHyphen/>
      </w:r>
      <w:r w:rsidR="00F731B7" w:rsidRPr="004863F3">
        <w:t xml:space="preserve">fifth of the </w:t>
      </w:r>
      <w:r w:rsidR="007E1EE6" w:rsidRPr="004863F3">
        <w:t>estimated</w:t>
      </w:r>
      <w:r w:rsidR="00F731B7" w:rsidRPr="004863F3">
        <w:t xml:space="preserve"> </w:t>
      </w:r>
      <w:r w:rsidR="0073163F" w:rsidRPr="004863F3">
        <w:t>deficit</w:t>
      </w:r>
      <w:r w:rsidR="00F731B7" w:rsidRPr="004863F3">
        <w:t xml:space="preserve"> at the 2022 PEFO</w:t>
      </w:r>
      <w:r w:rsidR="00843852" w:rsidRPr="004863F3">
        <w:t>.</w:t>
      </w:r>
      <w:r w:rsidR="001C4899" w:rsidRPr="004863F3">
        <w:t xml:space="preserve"> As a share of the economy, it is </w:t>
      </w:r>
      <w:r w:rsidR="003F1F93" w:rsidRPr="004863F3">
        <w:t xml:space="preserve">around </w:t>
      </w:r>
      <w:r w:rsidR="00A04781" w:rsidRPr="004863F3">
        <w:t>one</w:t>
      </w:r>
      <w:r w:rsidR="001E171F" w:rsidRPr="004863F3">
        <w:noBreakHyphen/>
      </w:r>
      <w:r w:rsidR="000209ED" w:rsidRPr="004863F3">
        <w:t xml:space="preserve">fifth of the average </w:t>
      </w:r>
      <w:r w:rsidR="00A04781" w:rsidRPr="004863F3">
        <w:t xml:space="preserve">deficit </w:t>
      </w:r>
      <w:r w:rsidR="000209ED" w:rsidRPr="004863F3">
        <w:t xml:space="preserve">between the Global Financial Crisis and </w:t>
      </w:r>
      <w:r w:rsidR="00A04781" w:rsidRPr="004863F3">
        <w:t>the COVID</w:t>
      </w:r>
      <w:r w:rsidR="001E171F" w:rsidRPr="004863F3">
        <w:noBreakHyphen/>
      </w:r>
      <w:r w:rsidR="00A04781" w:rsidRPr="004863F3">
        <w:t>19</w:t>
      </w:r>
      <w:r w:rsidR="000209ED" w:rsidRPr="004863F3">
        <w:t xml:space="preserve"> pandemic.</w:t>
      </w:r>
    </w:p>
    <w:p w14:paraId="43A79861" w14:textId="0CE4D63E" w:rsidR="00CC01FD" w:rsidRPr="004863F3" w:rsidRDefault="00897B5C" w:rsidP="0061419D">
      <w:r w:rsidRPr="004863F3">
        <w:t>The 202</w:t>
      </w:r>
      <w:r w:rsidR="002113EC" w:rsidRPr="004863F3">
        <w:t>4</w:t>
      </w:r>
      <w:r w:rsidRPr="004863F3">
        <w:t>–2</w:t>
      </w:r>
      <w:r w:rsidR="002113EC" w:rsidRPr="004863F3">
        <w:t>5</w:t>
      </w:r>
      <w:r w:rsidRPr="004863F3">
        <w:t xml:space="preserve"> outcome was an improvement of</w:t>
      </w:r>
      <w:r w:rsidR="00545EB5" w:rsidRPr="004863F3">
        <w:t xml:space="preserve"> $17.</w:t>
      </w:r>
      <w:r w:rsidR="004C3C6F" w:rsidRPr="004863F3">
        <w:t>9</w:t>
      </w:r>
      <w:r w:rsidR="00027646" w:rsidRPr="004863F3">
        <w:t> billion (0.6 percent</w:t>
      </w:r>
      <w:r w:rsidR="0006587D" w:rsidRPr="004863F3">
        <w:t>age points</w:t>
      </w:r>
      <w:r w:rsidR="00027646" w:rsidRPr="004863F3">
        <w:t xml:space="preserve"> of GDP) against the 2025 PEFO</w:t>
      </w:r>
      <w:r w:rsidR="00437B60" w:rsidRPr="004863F3">
        <w:t>, $</w:t>
      </w:r>
      <w:r w:rsidR="00545EB5" w:rsidRPr="004863F3">
        <w:t>17.</w:t>
      </w:r>
      <w:r w:rsidR="00663F23" w:rsidRPr="004863F3">
        <w:t>6</w:t>
      </w:r>
      <w:r w:rsidR="00545EB5" w:rsidRPr="004863F3">
        <w:t> billion (0.6 percent</w:t>
      </w:r>
      <w:r w:rsidR="0006587D" w:rsidRPr="004863F3">
        <w:t>age points</w:t>
      </w:r>
      <w:r w:rsidR="00545EB5" w:rsidRPr="004863F3">
        <w:t xml:space="preserve"> of GDP) against the </w:t>
      </w:r>
      <w:r w:rsidR="002C20A7">
        <w:br/>
      </w:r>
      <w:r w:rsidR="00545EB5" w:rsidRPr="004863F3">
        <w:t>2025</w:t>
      </w:r>
      <w:r w:rsidR="008D2ED3" w:rsidRPr="004863F3">
        <w:t>–</w:t>
      </w:r>
      <w:r w:rsidR="00545EB5" w:rsidRPr="004863F3">
        <w:t>26</w:t>
      </w:r>
      <w:r w:rsidR="002C20A7">
        <w:t> </w:t>
      </w:r>
      <w:r w:rsidR="00545EB5" w:rsidRPr="004863F3">
        <w:t xml:space="preserve">Budget, </w:t>
      </w:r>
      <w:r w:rsidR="00545EB5" w:rsidRPr="004863F3" w:rsidDel="008E0E04">
        <w:t>and</w:t>
      </w:r>
      <w:r w:rsidRPr="004863F3" w:rsidDel="008E0E04">
        <w:t xml:space="preserve"> </w:t>
      </w:r>
      <w:r w:rsidR="00D12D6F" w:rsidRPr="004863F3">
        <w:t>$</w:t>
      </w:r>
      <w:r w:rsidR="00D10F78" w:rsidRPr="004863F3">
        <w:t>3</w:t>
      </w:r>
      <w:r w:rsidR="00663F23" w:rsidRPr="004863F3">
        <w:t>7.1</w:t>
      </w:r>
      <w:r w:rsidR="00D12D6F" w:rsidRPr="004863F3">
        <w:t xml:space="preserve"> </w:t>
      </w:r>
      <w:r w:rsidRPr="004863F3">
        <w:t xml:space="preserve">billion </w:t>
      </w:r>
      <w:r w:rsidR="00D12D6F" w:rsidRPr="004863F3">
        <w:t>(</w:t>
      </w:r>
      <w:r w:rsidR="00D10F78" w:rsidRPr="004863F3">
        <w:t>1.5</w:t>
      </w:r>
      <w:r w:rsidR="00D12D6F" w:rsidRPr="004863F3">
        <w:t> percent</w:t>
      </w:r>
      <w:r w:rsidR="00C15094" w:rsidRPr="004863F3">
        <w:t>age points</w:t>
      </w:r>
      <w:r w:rsidR="00D12D6F" w:rsidRPr="004863F3">
        <w:t xml:space="preserve"> of GDP) against the 2022 PEFO</w:t>
      </w:r>
      <w:r w:rsidR="00745F50" w:rsidRPr="004863F3">
        <w:t>.</w:t>
      </w:r>
      <w:r w:rsidRPr="004863F3">
        <w:t xml:space="preserve"> </w:t>
      </w:r>
      <w:r w:rsidR="00B174B8" w:rsidRPr="004863F3">
        <w:t xml:space="preserve">This </w:t>
      </w:r>
      <w:r w:rsidR="003739E2" w:rsidRPr="004863F3">
        <w:t xml:space="preserve">follows the </w:t>
      </w:r>
      <w:r w:rsidR="00013D1C" w:rsidRPr="004863F3">
        <w:t xml:space="preserve">first </w:t>
      </w:r>
      <w:r w:rsidR="00021456" w:rsidRPr="004863F3">
        <w:t>consecutive</w:t>
      </w:r>
      <w:r w:rsidR="00F310C1" w:rsidRPr="004863F3">
        <w:t xml:space="preserve"> budget surpluses in</w:t>
      </w:r>
      <w:r w:rsidR="006D1990" w:rsidRPr="004863F3">
        <w:t xml:space="preserve"> </w:t>
      </w:r>
      <w:r w:rsidR="00985C54" w:rsidRPr="004863F3">
        <w:t xml:space="preserve">nearly </w:t>
      </w:r>
      <w:r w:rsidR="00744DD9" w:rsidRPr="004863F3">
        <w:t xml:space="preserve">two </w:t>
      </w:r>
      <w:r w:rsidR="00985C54" w:rsidRPr="004863F3">
        <w:t>decades</w:t>
      </w:r>
      <w:r w:rsidR="003739E2" w:rsidRPr="004863F3">
        <w:t xml:space="preserve"> in 2022</w:t>
      </w:r>
      <w:r w:rsidR="009B11B5" w:rsidRPr="004863F3">
        <w:t>–</w:t>
      </w:r>
      <w:r w:rsidR="00B32831" w:rsidRPr="004863F3">
        <w:t>23</w:t>
      </w:r>
      <w:r w:rsidR="003739E2" w:rsidRPr="004863F3">
        <w:t xml:space="preserve"> and </w:t>
      </w:r>
      <w:r w:rsidR="00E9753A">
        <w:br/>
      </w:r>
      <w:r w:rsidR="003739E2" w:rsidRPr="004863F3">
        <w:t>2023</w:t>
      </w:r>
      <w:r w:rsidR="009E59B6" w:rsidRPr="004863F3">
        <w:t>–</w:t>
      </w:r>
      <w:r w:rsidR="003739E2" w:rsidRPr="004863F3">
        <w:t>24.</w:t>
      </w:r>
      <w:r w:rsidR="00F6117E" w:rsidRPr="004863F3">
        <w:t xml:space="preserve"> Cumulatively,</w:t>
      </w:r>
      <w:r w:rsidR="00CC01FD" w:rsidRPr="004863F3">
        <w:t xml:space="preserve"> the underlying cash balance improved by </w:t>
      </w:r>
      <w:r w:rsidR="00B32831" w:rsidRPr="004863F3">
        <w:t>$</w:t>
      </w:r>
      <w:r w:rsidR="009D7E06" w:rsidRPr="004863F3">
        <w:t>209</w:t>
      </w:r>
      <w:r w:rsidR="00B32831" w:rsidRPr="004863F3">
        <w:t>.</w:t>
      </w:r>
      <w:r w:rsidR="009D7E06" w:rsidRPr="004863F3">
        <w:t>4</w:t>
      </w:r>
      <w:r w:rsidR="00167021" w:rsidRPr="004863F3">
        <w:t> </w:t>
      </w:r>
      <w:r w:rsidR="00CC01FD" w:rsidRPr="004863F3">
        <w:t xml:space="preserve">billion over the </w:t>
      </w:r>
      <w:r w:rsidR="005B6443" w:rsidRPr="004863F3">
        <w:t xml:space="preserve">last </w:t>
      </w:r>
      <w:r w:rsidR="004851AB" w:rsidRPr="004863F3">
        <w:t>three</w:t>
      </w:r>
      <w:r w:rsidR="005B6443" w:rsidRPr="004863F3">
        <w:t xml:space="preserve"> years</w:t>
      </w:r>
      <w:r w:rsidR="00786BB6" w:rsidRPr="004863F3">
        <w:t xml:space="preserve">, compared to the estimates in the </w:t>
      </w:r>
      <w:r w:rsidR="005757B7" w:rsidRPr="004863F3">
        <w:t>2022 PEFO</w:t>
      </w:r>
      <w:r w:rsidR="00F310C1" w:rsidRPr="004863F3">
        <w:t>.</w:t>
      </w:r>
      <w:r w:rsidR="002320AD" w:rsidRPr="004863F3">
        <w:t xml:space="preserve"> This is the largest nominal budget improvement in a parliamentary term.</w:t>
      </w:r>
    </w:p>
    <w:p w14:paraId="35AF71FB" w14:textId="14552AB9" w:rsidR="00897B5C" w:rsidRPr="004863F3" w:rsidRDefault="00897B5C" w:rsidP="0061419D">
      <w:r w:rsidRPr="004863F3">
        <w:t>The Government</w:t>
      </w:r>
      <w:r w:rsidR="001E171F" w:rsidRPr="004863F3">
        <w:t>’</w:t>
      </w:r>
      <w:r w:rsidRPr="004863F3">
        <w:t>s</w:t>
      </w:r>
      <w:r w:rsidR="001401AD" w:rsidRPr="004863F3">
        <w:t xml:space="preserve"> responsible</w:t>
      </w:r>
      <w:r w:rsidRPr="004863F3">
        <w:t xml:space="preserve"> economic</w:t>
      </w:r>
      <w:r w:rsidR="00E76C80" w:rsidRPr="004863F3">
        <w:t xml:space="preserve"> and fiscal</w:t>
      </w:r>
      <w:r w:rsidR="00213302" w:rsidRPr="004863F3">
        <w:t xml:space="preserve"> </w:t>
      </w:r>
      <w:r w:rsidRPr="004863F3">
        <w:t xml:space="preserve">management </w:t>
      </w:r>
      <w:r w:rsidR="00D64A8E" w:rsidRPr="004863F3">
        <w:t xml:space="preserve">has seen fiscal policy </w:t>
      </w:r>
      <w:r w:rsidR="00B26ADC" w:rsidRPr="004863F3">
        <w:t>work alongside</w:t>
      </w:r>
      <w:r w:rsidR="00D64A8E" w:rsidRPr="004863F3">
        <w:t xml:space="preserve"> </w:t>
      </w:r>
      <w:r w:rsidRPr="004863F3">
        <w:t xml:space="preserve">monetary policy to </w:t>
      </w:r>
      <w:r w:rsidR="00FA0EE0" w:rsidRPr="004863F3">
        <w:t xml:space="preserve">return inflation </w:t>
      </w:r>
      <w:r w:rsidR="00C10F12" w:rsidRPr="004863F3">
        <w:t>to the target ba</w:t>
      </w:r>
      <w:r w:rsidR="001A07DC" w:rsidRPr="004863F3">
        <w:t xml:space="preserve">nd in </w:t>
      </w:r>
      <w:r w:rsidR="00C7498E" w:rsidRPr="004863F3">
        <w:t>2024</w:t>
      </w:r>
      <w:r w:rsidR="00314C5B" w:rsidRPr="004863F3">
        <w:t>–</w:t>
      </w:r>
      <w:r w:rsidR="00C7498E" w:rsidRPr="004863F3">
        <w:t>25</w:t>
      </w:r>
      <w:r w:rsidR="00801046" w:rsidRPr="004863F3">
        <w:t>,</w:t>
      </w:r>
      <w:r w:rsidR="00E76C80" w:rsidRPr="004863F3">
        <w:t xml:space="preserve"> while delivering improvements to the budget. This includes</w:t>
      </w:r>
      <w:r w:rsidR="00173ECA" w:rsidRPr="004863F3">
        <w:t xml:space="preserve"> </w:t>
      </w:r>
      <w:r w:rsidRPr="004863F3">
        <w:t xml:space="preserve">returning a total of </w:t>
      </w:r>
      <w:r w:rsidR="00E47279" w:rsidRPr="004863F3">
        <w:t xml:space="preserve">around </w:t>
      </w:r>
      <w:r w:rsidR="008D5BB6" w:rsidRPr="004863F3">
        <w:t>7</w:t>
      </w:r>
      <w:r w:rsidR="00E47279" w:rsidRPr="004863F3">
        <w:t>0</w:t>
      </w:r>
      <w:r w:rsidRPr="004863F3">
        <w:t> per cent of tax receipt upgrades to the budget</w:t>
      </w:r>
      <w:r w:rsidR="00FF3CDB" w:rsidRPr="004863F3">
        <w:t xml:space="preserve"> since the </w:t>
      </w:r>
      <w:r w:rsidR="00321794" w:rsidRPr="004863F3">
        <w:t>2022 PEF</w:t>
      </w:r>
      <w:r w:rsidR="00991839" w:rsidRPr="004863F3">
        <w:t>O</w:t>
      </w:r>
      <w:r w:rsidR="00321794" w:rsidRPr="004863F3">
        <w:t xml:space="preserve"> </w:t>
      </w:r>
      <w:r w:rsidR="00E76C80" w:rsidRPr="004863F3">
        <w:t xml:space="preserve">and limiting real growth in payments to </w:t>
      </w:r>
      <w:r w:rsidR="005434B8" w:rsidRPr="004863F3">
        <w:t>an average of 1.</w:t>
      </w:r>
      <w:r w:rsidR="00403DB1" w:rsidRPr="004863F3">
        <w:t>2</w:t>
      </w:r>
      <w:r w:rsidR="008301F3" w:rsidRPr="004863F3">
        <w:t> </w:t>
      </w:r>
      <w:r w:rsidR="005434B8" w:rsidRPr="004863F3">
        <w:t>per</w:t>
      </w:r>
      <w:r w:rsidR="008301F3" w:rsidRPr="004863F3">
        <w:t> </w:t>
      </w:r>
      <w:r w:rsidR="005434B8" w:rsidRPr="004863F3">
        <w:t xml:space="preserve">cent </w:t>
      </w:r>
      <w:r w:rsidR="00493A42" w:rsidRPr="004863F3">
        <w:t>per</w:t>
      </w:r>
      <w:r w:rsidR="000811E0" w:rsidRPr="004863F3">
        <w:t xml:space="preserve"> </w:t>
      </w:r>
      <w:r w:rsidR="00493A42" w:rsidRPr="004863F3">
        <w:t>year</w:t>
      </w:r>
      <w:r w:rsidR="005434B8" w:rsidRPr="004863F3">
        <w:t xml:space="preserve"> </w:t>
      </w:r>
      <w:r w:rsidR="006F5761" w:rsidRPr="004863F3">
        <w:t xml:space="preserve">over the last </w:t>
      </w:r>
      <w:r w:rsidR="00945991" w:rsidRPr="004863F3">
        <w:t>three</w:t>
      </w:r>
      <w:r w:rsidR="006F5761" w:rsidRPr="004863F3">
        <w:t xml:space="preserve"> years, </w:t>
      </w:r>
      <w:r w:rsidR="00403DB1" w:rsidRPr="004863F3">
        <w:t>around</w:t>
      </w:r>
      <w:r w:rsidR="006F5761" w:rsidRPr="004863F3">
        <w:t xml:space="preserve"> </w:t>
      </w:r>
      <w:r w:rsidR="00E14A36" w:rsidRPr="004863F3">
        <w:t>one</w:t>
      </w:r>
      <w:r w:rsidR="001E171F" w:rsidRPr="004863F3">
        <w:noBreakHyphen/>
      </w:r>
      <w:r w:rsidR="00E14A36" w:rsidRPr="004863F3">
        <w:t>third of</w:t>
      </w:r>
      <w:r w:rsidR="006F5761" w:rsidRPr="004863F3">
        <w:t xml:space="preserve"> the </w:t>
      </w:r>
      <w:r w:rsidR="00DC709A" w:rsidRPr="004863F3">
        <w:t>30</w:t>
      </w:r>
      <w:r w:rsidR="001E171F" w:rsidRPr="004863F3">
        <w:noBreakHyphen/>
      </w:r>
      <w:r w:rsidR="00DC709A" w:rsidRPr="004863F3">
        <w:t>year</w:t>
      </w:r>
      <w:r w:rsidR="006F5761" w:rsidRPr="004863F3">
        <w:t xml:space="preserve"> average</w:t>
      </w:r>
      <w:r w:rsidRPr="004863F3">
        <w:t>.</w:t>
      </w:r>
    </w:p>
    <w:p w14:paraId="26B48273" w14:textId="3742754D" w:rsidR="00897B5C" w:rsidRPr="004863F3" w:rsidRDefault="00897B5C" w:rsidP="00897B5C">
      <w:pPr>
        <w:rPr>
          <w:szCs w:val="19"/>
        </w:rPr>
      </w:pPr>
      <w:r w:rsidRPr="004863F3">
        <w:rPr>
          <w:szCs w:val="19"/>
        </w:rPr>
        <w:t>The improvement in the 202</w:t>
      </w:r>
      <w:r w:rsidR="008B497D" w:rsidRPr="004863F3">
        <w:rPr>
          <w:szCs w:val="19"/>
        </w:rPr>
        <w:t>4</w:t>
      </w:r>
      <w:r w:rsidRPr="004863F3">
        <w:rPr>
          <w:szCs w:val="19"/>
        </w:rPr>
        <w:t>–2</w:t>
      </w:r>
      <w:r w:rsidR="008B497D" w:rsidRPr="004863F3">
        <w:rPr>
          <w:szCs w:val="19"/>
        </w:rPr>
        <w:t>5</w:t>
      </w:r>
      <w:r w:rsidRPr="004863F3">
        <w:rPr>
          <w:szCs w:val="19"/>
        </w:rPr>
        <w:t xml:space="preserve"> </w:t>
      </w:r>
      <w:r w:rsidR="00B04C83" w:rsidRPr="004863F3">
        <w:rPr>
          <w:szCs w:val="19"/>
        </w:rPr>
        <w:t>outcome</w:t>
      </w:r>
      <w:r w:rsidRPr="004863F3">
        <w:rPr>
          <w:szCs w:val="19"/>
        </w:rPr>
        <w:t xml:space="preserve"> since the 2025 </w:t>
      </w:r>
      <w:r w:rsidR="008B497D" w:rsidRPr="004863F3">
        <w:rPr>
          <w:szCs w:val="19"/>
        </w:rPr>
        <w:t xml:space="preserve">PEFO </w:t>
      </w:r>
      <w:r w:rsidRPr="004863F3">
        <w:rPr>
          <w:szCs w:val="19"/>
        </w:rPr>
        <w:t xml:space="preserve">estimate was due to </w:t>
      </w:r>
      <w:r w:rsidR="008B497D" w:rsidRPr="004863F3">
        <w:rPr>
          <w:szCs w:val="19"/>
        </w:rPr>
        <w:t>a combination of</w:t>
      </w:r>
      <w:r w:rsidR="00B04C83" w:rsidRPr="004863F3">
        <w:rPr>
          <w:szCs w:val="19"/>
        </w:rPr>
        <w:t xml:space="preserve"> lower payments and higher receipts</w:t>
      </w:r>
      <w:r w:rsidRPr="004863F3">
        <w:rPr>
          <w:szCs w:val="19"/>
        </w:rPr>
        <w:t>.</w:t>
      </w:r>
    </w:p>
    <w:p w14:paraId="75FD4E90" w14:textId="7B2BD650" w:rsidR="00897B5C" w:rsidRPr="004863F3" w:rsidRDefault="00AE4D1E" w:rsidP="00897B5C">
      <w:pPr>
        <w:rPr>
          <w:szCs w:val="19"/>
        </w:rPr>
      </w:pPr>
      <w:r w:rsidRPr="004863F3">
        <w:t xml:space="preserve">Payments were </w:t>
      </w:r>
      <w:r w:rsidR="00DC7366" w:rsidRPr="004863F3">
        <w:t>$</w:t>
      </w:r>
      <w:r w:rsidR="000B23DB" w:rsidRPr="004863F3">
        <w:t>72</w:t>
      </w:r>
      <w:r w:rsidR="00767C37" w:rsidRPr="004863F3">
        <w:t>6.9</w:t>
      </w:r>
      <w:r w:rsidR="00167021" w:rsidRPr="004863F3">
        <w:t> </w:t>
      </w:r>
      <w:r w:rsidR="000B23DB" w:rsidRPr="004863F3">
        <w:t xml:space="preserve">billion, </w:t>
      </w:r>
      <w:r w:rsidR="00C945EF" w:rsidRPr="004863F3">
        <w:t>$</w:t>
      </w:r>
      <w:r w:rsidRPr="004863F3">
        <w:t>4.6</w:t>
      </w:r>
      <w:r w:rsidR="00C945EF" w:rsidRPr="004863F3">
        <w:rPr>
          <w:rFonts w:hint="eastAsia"/>
        </w:rPr>
        <w:t> </w:t>
      </w:r>
      <w:r w:rsidR="00C945EF" w:rsidRPr="004863F3">
        <w:t>billion lower</w:t>
      </w:r>
      <w:r w:rsidR="0062534D" w:rsidRPr="004863F3">
        <w:t xml:space="preserve"> </w:t>
      </w:r>
      <w:r w:rsidR="00C945EF" w:rsidRPr="004863F3">
        <w:t>than</w:t>
      </w:r>
      <w:r w:rsidR="0062534D" w:rsidRPr="004863F3">
        <w:t xml:space="preserve"> </w:t>
      </w:r>
      <w:r w:rsidR="00C945EF" w:rsidRPr="004863F3">
        <w:t>estimated in the 2025</w:t>
      </w:r>
      <w:r w:rsidR="00EC60ED" w:rsidRPr="004863F3">
        <w:t>–</w:t>
      </w:r>
      <w:r w:rsidR="00C945EF" w:rsidRPr="004863F3">
        <w:t xml:space="preserve">26 Budget and </w:t>
      </w:r>
      <w:r w:rsidRPr="004863F3">
        <w:t>$</w:t>
      </w:r>
      <w:r w:rsidR="00E57C06" w:rsidRPr="004863F3">
        <w:t>4.9</w:t>
      </w:r>
      <w:r w:rsidRPr="004863F3">
        <w:rPr>
          <w:rFonts w:hint="eastAsia"/>
        </w:rPr>
        <w:t> </w:t>
      </w:r>
      <w:r w:rsidRPr="004863F3">
        <w:t>billion lower than estimated in the 2025 PEFO. This outcome reflects lower</w:t>
      </w:r>
      <w:r w:rsidR="001E171F" w:rsidRPr="004863F3">
        <w:noBreakHyphen/>
      </w:r>
      <w:r w:rsidRPr="004863F3">
        <w:t>than</w:t>
      </w:r>
      <w:r w:rsidR="001E171F" w:rsidRPr="004863F3">
        <w:noBreakHyphen/>
      </w:r>
      <w:r w:rsidRPr="004863F3">
        <w:t>estimated payments across a range of programs, including around $3.</w:t>
      </w:r>
      <w:r w:rsidR="00EB608C" w:rsidRPr="004863F3">
        <w:t>1</w:t>
      </w:r>
      <w:r w:rsidRPr="004863F3">
        <w:t> billion in lower payments across several National Partnership agreements</w:t>
      </w:r>
      <w:r w:rsidR="00897B5C" w:rsidRPr="004863F3">
        <w:rPr>
          <w:szCs w:val="19"/>
        </w:rPr>
        <w:t xml:space="preserve">. Payments as a share of the economy were </w:t>
      </w:r>
      <w:r w:rsidR="00B91A37" w:rsidRPr="004863F3">
        <w:rPr>
          <w:szCs w:val="19"/>
        </w:rPr>
        <w:t>26.</w:t>
      </w:r>
      <w:r w:rsidR="006A74A8" w:rsidRPr="004863F3">
        <w:rPr>
          <w:szCs w:val="19"/>
        </w:rPr>
        <w:t>2</w:t>
      </w:r>
      <w:r w:rsidR="00897B5C" w:rsidRPr="004863F3">
        <w:rPr>
          <w:szCs w:val="19"/>
        </w:rPr>
        <w:t> per cent in 202</w:t>
      </w:r>
      <w:r w:rsidR="00DA7F99" w:rsidRPr="004863F3">
        <w:rPr>
          <w:szCs w:val="19"/>
        </w:rPr>
        <w:t>4</w:t>
      </w:r>
      <w:r w:rsidR="00897B5C" w:rsidRPr="004863F3">
        <w:rPr>
          <w:szCs w:val="19"/>
        </w:rPr>
        <w:t>–2</w:t>
      </w:r>
      <w:r w:rsidR="00DA7F99" w:rsidRPr="004863F3">
        <w:rPr>
          <w:szCs w:val="19"/>
        </w:rPr>
        <w:t>5</w:t>
      </w:r>
      <w:r w:rsidR="00897B5C" w:rsidRPr="004863F3">
        <w:rPr>
          <w:szCs w:val="19"/>
        </w:rPr>
        <w:t>,</w:t>
      </w:r>
      <w:r w:rsidR="008E2A90" w:rsidRPr="004863F3">
        <w:rPr>
          <w:szCs w:val="19"/>
        </w:rPr>
        <w:t xml:space="preserve"> 0.1 percentage points lower than </w:t>
      </w:r>
      <w:r w:rsidR="00EB5861" w:rsidRPr="004863F3">
        <w:rPr>
          <w:szCs w:val="19"/>
        </w:rPr>
        <w:t xml:space="preserve">estimated </w:t>
      </w:r>
      <w:r w:rsidR="00897B5C" w:rsidRPr="004863F3">
        <w:rPr>
          <w:szCs w:val="19"/>
        </w:rPr>
        <w:t>at the 2025</w:t>
      </w:r>
      <w:r w:rsidR="0076784D" w:rsidRPr="004863F3">
        <w:rPr>
          <w:szCs w:val="19"/>
        </w:rPr>
        <w:t> </w:t>
      </w:r>
      <w:r w:rsidR="00F86138" w:rsidRPr="004863F3">
        <w:rPr>
          <w:szCs w:val="19"/>
        </w:rPr>
        <w:t>PEFO</w:t>
      </w:r>
      <w:r w:rsidR="00A104AA" w:rsidRPr="004863F3">
        <w:rPr>
          <w:szCs w:val="19"/>
        </w:rPr>
        <w:t xml:space="preserve"> and 0.</w:t>
      </w:r>
      <w:r w:rsidR="00E8444F" w:rsidRPr="004863F3">
        <w:rPr>
          <w:szCs w:val="19"/>
        </w:rPr>
        <w:t>4</w:t>
      </w:r>
      <w:r w:rsidR="00A104AA" w:rsidRPr="004863F3">
        <w:rPr>
          <w:szCs w:val="19"/>
        </w:rPr>
        <w:t xml:space="preserve"> percentage points lower than estimated at the 2022 PEFO</w:t>
      </w:r>
      <w:r w:rsidR="00897B5C" w:rsidRPr="004863F3">
        <w:rPr>
          <w:szCs w:val="19"/>
        </w:rPr>
        <w:t>.</w:t>
      </w:r>
    </w:p>
    <w:p w14:paraId="1D0496CB" w14:textId="7FCF6555" w:rsidR="00AF6DF1" w:rsidRDefault="00897B5C" w:rsidP="0024781F">
      <w:r w:rsidRPr="004863F3">
        <w:t>Total receipts were $</w:t>
      </w:r>
      <w:r w:rsidR="000557BF" w:rsidRPr="004863F3">
        <w:t>71</w:t>
      </w:r>
      <w:r w:rsidR="00F534CE" w:rsidRPr="004863F3">
        <w:t>7</w:t>
      </w:r>
      <w:r w:rsidR="00993672" w:rsidRPr="004863F3">
        <w:t>.0</w:t>
      </w:r>
      <w:r w:rsidRPr="004863F3">
        <w:t> billion, $</w:t>
      </w:r>
      <w:r w:rsidR="000557BF" w:rsidRPr="004863F3">
        <w:t>1</w:t>
      </w:r>
      <w:r w:rsidR="00346077" w:rsidRPr="004863F3">
        <w:t>3</w:t>
      </w:r>
      <w:r w:rsidR="000557BF" w:rsidRPr="004863F3">
        <w:t>.</w:t>
      </w:r>
      <w:r w:rsidR="006857BB" w:rsidRPr="004863F3">
        <w:t>0</w:t>
      </w:r>
      <w:r w:rsidRPr="004863F3">
        <w:t xml:space="preserve"> billion </w:t>
      </w:r>
      <w:r w:rsidR="000557BF" w:rsidRPr="004863F3">
        <w:t xml:space="preserve">higher </w:t>
      </w:r>
      <w:r w:rsidRPr="004863F3">
        <w:t xml:space="preserve">than forecast in the </w:t>
      </w:r>
      <w:r w:rsidR="000C2E7A" w:rsidRPr="004863F3">
        <w:t>2025</w:t>
      </w:r>
      <w:r w:rsidR="005D0587" w:rsidRPr="004863F3">
        <w:t>–</w:t>
      </w:r>
      <w:r w:rsidR="000C2E7A" w:rsidRPr="004863F3">
        <w:t xml:space="preserve">26 Budget and the </w:t>
      </w:r>
      <w:r w:rsidRPr="004863F3">
        <w:t>2025</w:t>
      </w:r>
      <w:r w:rsidR="000557BF" w:rsidRPr="004863F3">
        <w:t xml:space="preserve"> PEFO</w:t>
      </w:r>
      <w:r w:rsidRPr="004863F3">
        <w:t>. Tax receipts for 202</w:t>
      </w:r>
      <w:r w:rsidR="00FD346F" w:rsidRPr="004863F3">
        <w:t>4</w:t>
      </w:r>
      <w:r w:rsidR="00870FD3" w:rsidRPr="004863F3">
        <w:t>–</w:t>
      </w:r>
      <w:r w:rsidR="00FD346F" w:rsidRPr="004863F3">
        <w:t>25</w:t>
      </w:r>
      <w:r w:rsidRPr="004863F3">
        <w:t xml:space="preserve"> </w:t>
      </w:r>
      <w:r w:rsidR="003C62C8" w:rsidRPr="004863F3">
        <w:t>was</w:t>
      </w:r>
      <w:r w:rsidRPr="004863F3">
        <w:t xml:space="preserve"> $</w:t>
      </w:r>
      <w:r w:rsidR="00D80A71" w:rsidRPr="004863F3">
        <w:t>657</w:t>
      </w:r>
      <w:r w:rsidR="00033E75" w:rsidRPr="004863F3">
        <w:t>.</w:t>
      </w:r>
      <w:r w:rsidR="00D80A71" w:rsidRPr="004863F3">
        <w:t>8</w:t>
      </w:r>
      <w:r w:rsidRPr="004863F3">
        <w:t> billion, $</w:t>
      </w:r>
      <w:r w:rsidR="00320442" w:rsidRPr="004863F3">
        <w:t>12</w:t>
      </w:r>
      <w:r w:rsidR="00033E75" w:rsidRPr="004863F3">
        <w:t>.</w:t>
      </w:r>
      <w:r w:rsidR="00320442" w:rsidRPr="004863F3">
        <w:t>6</w:t>
      </w:r>
      <w:r w:rsidRPr="004863F3">
        <w:t xml:space="preserve"> billion </w:t>
      </w:r>
      <w:r w:rsidR="009E1349" w:rsidRPr="004863F3">
        <w:t xml:space="preserve">higher </w:t>
      </w:r>
      <w:r w:rsidRPr="004863F3">
        <w:t xml:space="preserve">than estimated at the </w:t>
      </w:r>
      <w:r w:rsidR="000C2E7A" w:rsidRPr="004863F3">
        <w:t>2025</w:t>
      </w:r>
      <w:r w:rsidR="00EA1A54" w:rsidRPr="004863F3">
        <w:t>–</w:t>
      </w:r>
      <w:r w:rsidR="000C2E7A" w:rsidRPr="004863F3">
        <w:t xml:space="preserve">26 Budget and the </w:t>
      </w:r>
      <w:r w:rsidRPr="004863F3">
        <w:t>2025</w:t>
      </w:r>
      <w:r w:rsidR="00794EB2" w:rsidRPr="004863F3">
        <w:t xml:space="preserve"> </w:t>
      </w:r>
      <w:r w:rsidR="004A5393" w:rsidRPr="004863F3">
        <w:t>PEFO</w:t>
      </w:r>
      <w:r w:rsidRPr="004863F3">
        <w:t xml:space="preserve">, largely driven by </w:t>
      </w:r>
      <w:r w:rsidR="00BB6DB5" w:rsidRPr="004863F3">
        <w:t>higher</w:t>
      </w:r>
      <w:r w:rsidRPr="004863F3">
        <w:t xml:space="preserve"> </w:t>
      </w:r>
      <w:r w:rsidR="00246261" w:rsidRPr="004863F3">
        <w:t xml:space="preserve">company tax </w:t>
      </w:r>
      <w:r w:rsidRPr="004863F3" w:rsidDel="00246261">
        <w:t>receipts</w:t>
      </w:r>
      <w:r w:rsidR="00BB6DB5" w:rsidRPr="004863F3">
        <w:t xml:space="preserve">, </w:t>
      </w:r>
      <w:r w:rsidR="00246261" w:rsidRPr="004863F3">
        <w:t>personal income tax receipts</w:t>
      </w:r>
      <w:r w:rsidR="00246261" w:rsidRPr="004863F3" w:rsidDel="00246261">
        <w:t xml:space="preserve"> </w:t>
      </w:r>
      <w:r w:rsidRPr="004863F3">
        <w:t xml:space="preserve">and </w:t>
      </w:r>
      <w:r w:rsidR="00033E75" w:rsidRPr="004863F3">
        <w:t xml:space="preserve">superannuation fund tax </w:t>
      </w:r>
      <w:r w:rsidRPr="004863F3">
        <w:t xml:space="preserve">receipts. </w:t>
      </w:r>
      <w:r w:rsidR="003C735C" w:rsidRPr="004863F3">
        <w:t>Since the 2022</w:t>
      </w:r>
      <w:r w:rsidR="0029138A" w:rsidRPr="004863F3">
        <w:t> </w:t>
      </w:r>
      <w:r w:rsidR="003C735C" w:rsidRPr="004863F3">
        <w:t xml:space="preserve">PEFO, the resilient labour market has been among the biggest drivers </w:t>
      </w:r>
      <w:r w:rsidR="006C6937" w:rsidRPr="004863F3">
        <w:t>of</w:t>
      </w:r>
      <w:r w:rsidR="003C735C" w:rsidRPr="004863F3">
        <w:t xml:space="preserve"> the improved outlook for receipts in 2024</w:t>
      </w:r>
      <w:r w:rsidR="0029138A" w:rsidRPr="004863F3">
        <w:t>–</w:t>
      </w:r>
      <w:r w:rsidR="003C735C" w:rsidRPr="004863F3">
        <w:t>25.</w:t>
      </w:r>
      <w:r w:rsidR="00AF6DF1">
        <w:br w:type="page"/>
      </w:r>
    </w:p>
    <w:p w14:paraId="6241C825" w14:textId="0572B7DF" w:rsidR="00806728" w:rsidRPr="004863F3" w:rsidRDefault="00806728" w:rsidP="00C40C87">
      <w:r w:rsidRPr="004863F3">
        <w:lastRenderedPageBreak/>
        <w:t>The Government</w:t>
      </w:r>
      <w:r w:rsidR="001E171F" w:rsidRPr="004863F3">
        <w:t>’</w:t>
      </w:r>
      <w:r w:rsidRPr="004863F3">
        <w:t>s responsible fiscal management has significantly reduced the level of gross debt</w:t>
      </w:r>
      <w:r w:rsidR="00411B0D" w:rsidRPr="004863F3">
        <w:t>.</w:t>
      </w:r>
      <w:r w:rsidR="0090394F" w:rsidRPr="004863F3">
        <w:t xml:space="preserve"> </w:t>
      </w:r>
      <w:r w:rsidR="00411B0D" w:rsidRPr="004863F3">
        <w:t>Gross debt was</w:t>
      </w:r>
      <w:r w:rsidR="0090394F" w:rsidRPr="004863F3">
        <w:t xml:space="preserve"> </w:t>
      </w:r>
      <w:r w:rsidR="00F20771" w:rsidRPr="004863F3">
        <w:t>$928.6</w:t>
      </w:r>
      <w:r w:rsidR="00167021" w:rsidRPr="004863F3">
        <w:t> </w:t>
      </w:r>
      <w:r w:rsidR="00F20771" w:rsidRPr="004863F3">
        <w:t>billion (33.5</w:t>
      </w:r>
      <w:r w:rsidR="008301F3" w:rsidRPr="004863F3">
        <w:t> </w:t>
      </w:r>
      <w:r w:rsidR="00F20771" w:rsidRPr="004863F3">
        <w:t>per</w:t>
      </w:r>
      <w:r w:rsidR="008301F3" w:rsidRPr="004863F3">
        <w:t> </w:t>
      </w:r>
      <w:r w:rsidR="00F20771" w:rsidRPr="004863F3">
        <w:t>cent of GDP) at the end of 2024</w:t>
      </w:r>
      <w:r w:rsidR="00EC60ED" w:rsidRPr="004863F3">
        <w:t>–</w:t>
      </w:r>
      <w:r w:rsidR="00F20771" w:rsidRPr="004863F3">
        <w:t>25, $11.4</w:t>
      </w:r>
      <w:r w:rsidR="00BA24FB" w:rsidRPr="004863F3">
        <w:t> </w:t>
      </w:r>
      <w:r w:rsidR="00F20771" w:rsidRPr="004863F3">
        <w:t xml:space="preserve">billion </w:t>
      </w:r>
      <w:r w:rsidR="00627C5E" w:rsidRPr="004863F3">
        <w:t>(</w:t>
      </w:r>
      <w:r w:rsidR="00F20771" w:rsidRPr="004863F3">
        <w:t>0.2</w:t>
      </w:r>
      <w:r w:rsidR="004C5926" w:rsidRPr="004863F3">
        <w:t> </w:t>
      </w:r>
      <w:r w:rsidR="00F20771" w:rsidRPr="004863F3">
        <w:t>percentage points of GDP</w:t>
      </w:r>
      <w:r w:rsidR="00627C5E" w:rsidRPr="004863F3">
        <w:t>)</w:t>
      </w:r>
      <w:r w:rsidR="00F20771" w:rsidRPr="004863F3">
        <w:t xml:space="preserve"> lower than estimated at the 2025</w:t>
      </w:r>
      <w:r w:rsidR="00EC60ED" w:rsidRPr="004863F3">
        <w:t>–</w:t>
      </w:r>
      <w:r w:rsidR="00F20771" w:rsidRPr="004863F3">
        <w:t>26 Budget and the 2025</w:t>
      </w:r>
      <w:r w:rsidR="00565346" w:rsidRPr="004863F3">
        <w:t> </w:t>
      </w:r>
      <w:r w:rsidR="00F20771" w:rsidRPr="004863F3">
        <w:t>PEFO</w:t>
      </w:r>
      <w:r w:rsidR="009312F3" w:rsidRPr="004863F3">
        <w:t>, and $188.4</w:t>
      </w:r>
      <w:r w:rsidR="00167021" w:rsidRPr="004863F3">
        <w:t> </w:t>
      </w:r>
      <w:r w:rsidR="009312F3" w:rsidRPr="004863F3">
        <w:t>billion (11.4 percentage points of GDP) lower than estimated at the 2022 PEFO.</w:t>
      </w:r>
      <w:r w:rsidR="00746511" w:rsidRPr="004863F3">
        <w:t xml:space="preserve"> Lower debt means interest payments are at least $60</w:t>
      </w:r>
      <w:r w:rsidR="00167021" w:rsidRPr="004863F3">
        <w:t> </w:t>
      </w:r>
      <w:r w:rsidR="00746511" w:rsidRPr="004863F3">
        <w:t>billion lower over the 11</w:t>
      </w:r>
      <w:r w:rsidR="002C47B1" w:rsidRPr="004863F3">
        <w:t> </w:t>
      </w:r>
      <w:r w:rsidR="00746511" w:rsidRPr="004863F3">
        <w:t>years to 2032–33.</w:t>
      </w:r>
    </w:p>
    <w:p w14:paraId="73BC8B88" w14:textId="0F9132C5" w:rsidR="00E27699" w:rsidRPr="004863F3" w:rsidRDefault="00775E22" w:rsidP="00E27699">
      <w:pPr>
        <w:pStyle w:val="TableHeading"/>
        <w:rPr>
          <w:rFonts w:asciiTheme="minorHAnsi" w:eastAsiaTheme="minorHAnsi" w:hAnsiTheme="minorHAnsi" w:cstheme="minorBidi"/>
          <w:sz w:val="22"/>
          <w:szCs w:val="22"/>
          <w:lang w:eastAsia="en-US"/>
        </w:rPr>
      </w:pPr>
      <w:r w:rsidRPr="004863F3">
        <w:t xml:space="preserve">Table 1.1: Overview of key Australian Government general government sector budget aggregates </w:t>
      </w:r>
    </w:p>
    <w:tbl>
      <w:tblPr>
        <w:tblW w:w="5000" w:type="pct"/>
        <w:tblCellMar>
          <w:left w:w="0" w:type="dxa"/>
          <w:right w:w="28" w:type="dxa"/>
        </w:tblCellMar>
        <w:tblLook w:val="04A0" w:firstRow="1" w:lastRow="0" w:firstColumn="1" w:lastColumn="0" w:noHBand="0" w:noVBand="1"/>
      </w:tblPr>
      <w:tblGrid>
        <w:gridCol w:w="1914"/>
        <w:gridCol w:w="829"/>
        <w:gridCol w:w="829"/>
        <w:gridCol w:w="829"/>
        <w:gridCol w:w="825"/>
        <w:gridCol w:w="828"/>
        <w:gridCol w:w="828"/>
        <w:gridCol w:w="828"/>
      </w:tblGrid>
      <w:tr w:rsidR="00E27699" w:rsidRPr="004863F3" w14:paraId="4A696C5E" w14:textId="77777777" w:rsidTr="00E27699">
        <w:trPr>
          <w:trHeight w:hRule="exact" w:val="225"/>
        </w:trPr>
        <w:tc>
          <w:tcPr>
            <w:tcW w:w="1225" w:type="pct"/>
            <w:tcBorders>
              <w:top w:val="single" w:sz="4" w:space="0" w:color="293F5B"/>
              <w:left w:val="nil"/>
              <w:bottom w:val="nil"/>
              <w:right w:val="nil"/>
            </w:tcBorders>
            <w:shd w:val="clear" w:color="000000" w:fill="FFFFFF"/>
            <w:noWrap/>
            <w:vAlign w:val="center"/>
            <w:hideMark/>
          </w:tcPr>
          <w:p w14:paraId="337B82AB" w14:textId="15F5048E" w:rsidR="00E27699" w:rsidRPr="004863F3" w:rsidRDefault="00E27699" w:rsidP="00E27699">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39" w:type="pct"/>
            <w:tcBorders>
              <w:top w:val="single" w:sz="4" w:space="0" w:color="293F5B"/>
              <w:left w:val="nil"/>
              <w:bottom w:val="nil"/>
              <w:right w:val="nil"/>
            </w:tcBorders>
            <w:shd w:val="clear" w:color="000000" w:fill="FFFFFF"/>
            <w:noWrap/>
            <w:vAlign w:val="center"/>
            <w:hideMark/>
          </w:tcPr>
          <w:p w14:paraId="2450A19B" w14:textId="0BA30AC1"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539" w:type="pct"/>
            <w:tcBorders>
              <w:top w:val="single" w:sz="4" w:space="0" w:color="293F5B"/>
              <w:left w:val="nil"/>
              <w:bottom w:val="nil"/>
              <w:right w:val="nil"/>
            </w:tcBorders>
            <w:shd w:val="clear" w:color="000000" w:fill="FFFFFF"/>
            <w:noWrap/>
            <w:vAlign w:val="center"/>
            <w:hideMark/>
          </w:tcPr>
          <w:p w14:paraId="445475B9" w14:textId="2193E940"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539" w:type="pct"/>
            <w:tcBorders>
              <w:top w:val="single" w:sz="4" w:space="0" w:color="293F5B"/>
              <w:left w:val="nil"/>
              <w:bottom w:val="nil"/>
              <w:right w:val="nil"/>
            </w:tcBorders>
            <w:shd w:val="clear" w:color="000000" w:fill="FFFFFF"/>
            <w:noWrap/>
            <w:vAlign w:val="center"/>
            <w:hideMark/>
          </w:tcPr>
          <w:p w14:paraId="77351FCF" w14:textId="297E3792"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539" w:type="pct"/>
            <w:tcBorders>
              <w:top w:val="single" w:sz="4" w:space="0" w:color="293F5B"/>
              <w:left w:val="nil"/>
              <w:bottom w:val="nil"/>
              <w:right w:val="nil"/>
            </w:tcBorders>
            <w:shd w:val="clear" w:color="000000" w:fill="E6F2FF"/>
            <w:noWrap/>
            <w:vAlign w:val="center"/>
            <w:hideMark/>
          </w:tcPr>
          <w:p w14:paraId="4C122DBA" w14:textId="6702EE1A"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539" w:type="pct"/>
            <w:tcBorders>
              <w:top w:val="single" w:sz="4" w:space="0" w:color="293F5B"/>
              <w:left w:val="nil"/>
              <w:bottom w:val="nil"/>
              <w:right w:val="nil"/>
            </w:tcBorders>
            <w:shd w:val="clear" w:color="000000" w:fill="FFFFFF"/>
            <w:noWrap/>
            <w:vAlign w:val="center"/>
            <w:hideMark/>
          </w:tcPr>
          <w:p w14:paraId="70711734"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Change on</w:t>
            </w:r>
          </w:p>
        </w:tc>
        <w:tc>
          <w:tcPr>
            <w:tcW w:w="539" w:type="pct"/>
            <w:tcBorders>
              <w:top w:val="single" w:sz="4" w:space="0" w:color="293F5B"/>
              <w:left w:val="nil"/>
              <w:bottom w:val="nil"/>
              <w:right w:val="nil"/>
            </w:tcBorders>
            <w:shd w:val="clear" w:color="000000" w:fill="FFFFFF"/>
            <w:noWrap/>
            <w:vAlign w:val="center"/>
            <w:hideMark/>
          </w:tcPr>
          <w:p w14:paraId="3D940F8A"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Change on</w:t>
            </w:r>
          </w:p>
        </w:tc>
        <w:tc>
          <w:tcPr>
            <w:tcW w:w="539" w:type="pct"/>
            <w:tcBorders>
              <w:top w:val="single" w:sz="4" w:space="0" w:color="293F5B"/>
              <w:left w:val="nil"/>
              <w:bottom w:val="nil"/>
              <w:right w:val="nil"/>
            </w:tcBorders>
            <w:shd w:val="clear" w:color="000000" w:fill="FFFFFF"/>
            <w:noWrap/>
            <w:vAlign w:val="center"/>
            <w:hideMark/>
          </w:tcPr>
          <w:p w14:paraId="7424FF77"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Change on</w:t>
            </w:r>
          </w:p>
        </w:tc>
      </w:tr>
      <w:tr w:rsidR="00E27699" w:rsidRPr="004863F3" w14:paraId="7DA33DED" w14:textId="77777777" w:rsidTr="00E27699">
        <w:trPr>
          <w:trHeight w:hRule="exact" w:val="225"/>
        </w:trPr>
        <w:tc>
          <w:tcPr>
            <w:tcW w:w="1225" w:type="pct"/>
            <w:tcBorders>
              <w:top w:val="nil"/>
              <w:left w:val="nil"/>
              <w:bottom w:val="nil"/>
              <w:right w:val="nil"/>
            </w:tcBorders>
            <w:shd w:val="clear" w:color="000000" w:fill="FFFFFF"/>
            <w:noWrap/>
            <w:vAlign w:val="center"/>
            <w:hideMark/>
          </w:tcPr>
          <w:p w14:paraId="496F40F8" w14:textId="77777777" w:rsidR="00E27699" w:rsidRPr="004863F3" w:rsidRDefault="00E27699" w:rsidP="00E27699">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39" w:type="pct"/>
            <w:tcBorders>
              <w:top w:val="nil"/>
              <w:left w:val="nil"/>
              <w:bottom w:val="nil"/>
              <w:right w:val="nil"/>
            </w:tcBorders>
            <w:shd w:val="clear" w:color="000000" w:fill="FFFFFF"/>
            <w:noWrap/>
            <w:vAlign w:val="center"/>
            <w:hideMark/>
          </w:tcPr>
          <w:p w14:paraId="4C1C365F"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539" w:type="pct"/>
            <w:tcBorders>
              <w:top w:val="nil"/>
              <w:left w:val="nil"/>
              <w:bottom w:val="nil"/>
              <w:right w:val="nil"/>
            </w:tcBorders>
            <w:shd w:val="clear" w:color="000000" w:fill="FFFFFF"/>
            <w:noWrap/>
            <w:vAlign w:val="center"/>
            <w:hideMark/>
          </w:tcPr>
          <w:p w14:paraId="715EB0E7"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539" w:type="pct"/>
            <w:tcBorders>
              <w:top w:val="nil"/>
              <w:left w:val="nil"/>
              <w:bottom w:val="nil"/>
              <w:right w:val="nil"/>
            </w:tcBorders>
            <w:shd w:val="clear" w:color="000000" w:fill="FFFFFF"/>
            <w:noWrap/>
            <w:vAlign w:val="center"/>
            <w:hideMark/>
          </w:tcPr>
          <w:p w14:paraId="58B57851"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539" w:type="pct"/>
            <w:tcBorders>
              <w:top w:val="nil"/>
              <w:left w:val="nil"/>
              <w:bottom w:val="nil"/>
              <w:right w:val="nil"/>
            </w:tcBorders>
            <w:shd w:val="clear" w:color="000000" w:fill="E6F2FF"/>
            <w:noWrap/>
            <w:vAlign w:val="center"/>
            <w:hideMark/>
          </w:tcPr>
          <w:p w14:paraId="44D59291"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Outcome</w:t>
            </w:r>
          </w:p>
        </w:tc>
        <w:tc>
          <w:tcPr>
            <w:tcW w:w="539" w:type="pct"/>
            <w:tcBorders>
              <w:top w:val="nil"/>
              <w:left w:val="nil"/>
              <w:bottom w:val="nil"/>
              <w:right w:val="nil"/>
            </w:tcBorders>
            <w:shd w:val="clear" w:color="000000" w:fill="FFFFFF"/>
            <w:noWrap/>
            <w:vAlign w:val="center"/>
            <w:hideMark/>
          </w:tcPr>
          <w:p w14:paraId="5064A808"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2022</w:t>
            </w:r>
          </w:p>
        </w:tc>
        <w:tc>
          <w:tcPr>
            <w:tcW w:w="539" w:type="pct"/>
            <w:tcBorders>
              <w:top w:val="nil"/>
              <w:left w:val="nil"/>
              <w:bottom w:val="nil"/>
              <w:right w:val="nil"/>
            </w:tcBorders>
            <w:shd w:val="clear" w:color="000000" w:fill="FFFFFF"/>
            <w:noWrap/>
            <w:vAlign w:val="center"/>
            <w:hideMark/>
          </w:tcPr>
          <w:p w14:paraId="408F0F33" w14:textId="0D331909"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c>
          <w:tcPr>
            <w:tcW w:w="539" w:type="pct"/>
            <w:tcBorders>
              <w:top w:val="nil"/>
              <w:left w:val="nil"/>
              <w:bottom w:val="nil"/>
              <w:right w:val="nil"/>
            </w:tcBorders>
            <w:shd w:val="clear" w:color="000000" w:fill="FFFFFF"/>
            <w:noWrap/>
            <w:vAlign w:val="center"/>
            <w:hideMark/>
          </w:tcPr>
          <w:p w14:paraId="4B46FEA1"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2025</w:t>
            </w:r>
          </w:p>
        </w:tc>
      </w:tr>
      <w:tr w:rsidR="00E27699" w:rsidRPr="004863F3" w14:paraId="44A978AF" w14:textId="77777777" w:rsidTr="00E27699">
        <w:trPr>
          <w:trHeight w:hRule="exact" w:val="225"/>
        </w:trPr>
        <w:tc>
          <w:tcPr>
            <w:tcW w:w="1225" w:type="pct"/>
            <w:tcBorders>
              <w:top w:val="nil"/>
              <w:left w:val="nil"/>
              <w:bottom w:val="nil"/>
              <w:right w:val="nil"/>
            </w:tcBorders>
            <w:shd w:val="clear" w:color="000000" w:fill="FFFFFF"/>
            <w:noWrap/>
            <w:vAlign w:val="center"/>
            <w:hideMark/>
          </w:tcPr>
          <w:p w14:paraId="7A8BAC53" w14:textId="77777777" w:rsidR="00E27699" w:rsidRPr="004863F3" w:rsidRDefault="00E27699" w:rsidP="00E27699">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39" w:type="pct"/>
            <w:tcBorders>
              <w:top w:val="nil"/>
              <w:left w:val="nil"/>
              <w:bottom w:val="nil"/>
              <w:right w:val="nil"/>
            </w:tcBorders>
            <w:shd w:val="clear" w:color="000000" w:fill="FFFFFF"/>
            <w:noWrap/>
            <w:vAlign w:val="center"/>
            <w:hideMark/>
          </w:tcPr>
          <w:p w14:paraId="5B5ED679"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2022</w:t>
            </w:r>
          </w:p>
        </w:tc>
        <w:tc>
          <w:tcPr>
            <w:tcW w:w="539" w:type="pct"/>
            <w:tcBorders>
              <w:top w:val="nil"/>
              <w:left w:val="nil"/>
              <w:bottom w:val="nil"/>
              <w:right w:val="nil"/>
            </w:tcBorders>
            <w:shd w:val="clear" w:color="000000" w:fill="FFFFFF"/>
            <w:noWrap/>
            <w:vAlign w:val="center"/>
            <w:hideMark/>
          </w:tcPr>
          <w:p w14:paraId="6056D691" w14:textId="42717021"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c>
          <w:tcPr>
            <w:tcW w:w="539" w:type="pct"/>
            <w:tcBorders>
              <w:top w:val="nil"/>
              <w:left w:val="nil"/>
              <w:bottom w:val="nil"/>
              <w:right w:val="nil"/>
            </w:tcBorders>
            <w:shd w:val="clear" w:color="000000" w:fill="FFFFFF"/>
            <w:noWrap/>
            <w:vAlign w:val="center"/>
            <w:hideMark/>
          </w:tcPr>
          <w:p w14:paraId="7E72671E"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2025</w:t>
            </w:r>
          </w:p>
        </w:tc>
        <w:tc>
          <w:tcPr>
            <w:tcW w:w="539" w:type="pct"/>
            <w:tcBorders>
              <w:top w:val="nil"/>
              <w:left w:val="nil"/>
              <w:bottom w:val="nil"/>
              <w:right w:val="nil"/>
            </w:tcBorders>
            <w:shd w:val="clear" w:color="000000" w:fill="E6F2FF"/>
            <w:noWrap/>
            <w:vAlign w:val="center"/>
            <w:hideMark/>
          </w:tcPr>
          <w:p w14:paraId="05EAE010"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1EA28A86"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PEFO</w:t>
            </w:r>
          </w:p>
        </w:tc>
        <w:tc>
          <w:tcPr>
            <w:tcW w:w="539" w:type="pct"/>
            <w:tcBorders>
              <w:top w:val="nil"/>
              <w:left w:val="nil"/>
              <w:bottom w:val="nil"/>
              <w:right w:val="nil"/>
            </w:tcBorders>
            <w:shd w:val="clear" w:color="000000" w:fill="FFFFFF"/>
            <w:noWrap/>
            <w:vAlign w:val="center"/>
            <w:hideMark/>
          </w:tcPr>
          <w:p w14:paraId="5CA8FFCF"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539" w:type="pct"/>
            <w:tcBorders>
              <w:top w:val="nil"/>
              <w:left w:val="nil"/>
              <w:bottom w:val="nil"/>
              <w:right w:val="nil"/>
            </w:tcBorders>
            <w:shd w:val="clear" w:color="000000" w:fill="FFFFFF"/>
            <w:noWrap/>
            <w:vAlign w:val="center"/>
            <w:hideMark/>
          </w:tcPr>
          <w:p w14:paraId="5A6A8CD4"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PEFO</w:t>
            </w:r>
          </w:p>
        </w:tc>
      </w:tr>
      <w:tr w:rsidR="00E27699" w:rsidRPr="004863F3" w14:paraId="77E08006" w14:textId="77777777" w:rsidTr="00E27699">
        <w:trPr>
          <w:trHeight w:hRule="exact" w:val="225"/>
        </w:trPr>
        <w:tc>
          <w:tcPr>
            <w:tcW w:w="1225" w:type="pct"/>
            <w:tcBorders>
              <w:top w:val="nil"/>
              <w:left w:val="nil"/>
              <w:bottom w:val="nil"/>
              <w:right w:val="nil"/>
            </w:tcBorders>
            <w:shd w:val="clear" w:color="000000" w:fill="FFFFFF"/>
            <w:noWrap/>
            <w:vAlign w:val="center"/>
            <w:hideMark/>
          </w:tcPr>
          <w:p w14:paraId="348798FB" w14:textId="77777777" w:rsidR="00E27699" w:rsidRPr="004863F3" w:rsidRDefault="00E27699" w:rsidP="00E27699">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39" w:type="pct"/>
            <w:tcBorders>
              <w:top w:val="nil"/>
              <w:left w:val="nil"/>
              <w:bottom w:val="nil"/>
              <w:right w:val="nil"/>
            </w:tcBorders>
            <w:shd w:val="clear" w:color="000000" w:fill="FFFFFF"/>
            <w:noWrap/>
            <w:vAlign w:val="center"/>
            <w:hideMark/>
          </w:tcPr>
          <w:p w14:paraId="5104B2FE"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PEFO</w:t>
            </w:r>
          </w:p>
        </w:tc>
        <w:tc>
          <w:tcPr>
            <w:tcW w:w="539" w:type="pct"/>
            <w:tcBorders>
              <w:top w:val="nil"/>
              <w:left w:val="nil"/>
              <w:bottom w:val="nil"/>
              <w:right w:val="nil"/>
            </w:tcBorders>
            <w:shd w:val="clear" w:color="000000" w:fill="FFFFFF"/>
            <w:noWrap/>
            <w:vAlign w:val="center"/>
            <w:hideMark/>
          </w:tcPr>
          <w:p w14:paraId="3C53A3FF"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539" w:type="pct"/>
            <w:tcBorders>
              <w:top w:val="nil"/>
              <w:left w:val="nil"/>
              <w:bottom w:val="nil"/>
              <w:right w:val="nil"/>
            </w:tcBorders>
            <w:shd w:val="clear" w:color="000000" w:fill="FFFFFF"/>
            <w:noWrap/>
            <w:vAlign w:val="center"/>
            <w:hideMark/>
          </w:tcPr>
          <w:p w14:paraId="6FC752CA"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PEFO</w:t>
            </w:r>
          </w:p>
        </w:tc>
        <w:tc>
          <w:tcPr>
            <w:tcW w:w="539" w:type="pct"/>
            <w:tcBorders>
              <w:top w:val="nil"/>
              <w:left w:val="nil"/>
              <w:bottom w:val="nil"/>
              <w:right w:val="nil"/>
            </w:tcBorders>
            <w:shd w:val="clear" w:color="000000" w:fill="E6F2FF"/>
            <w:noWrap/>
            <w:vAlign w:val="center"/>
            <w:hideMark/>
          </w:tcPr>
          <w:p w14:paraId="4CBFF177"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7A9F333A"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487D1F79"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032D31EA"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r>
      <w:tr w:rsidR="00E27699" w:rsidRPr="004863F3" w14:paraId="624F02FF" w14:textId="77777777" w:rsidTr="00E27699">
        <w:trPr>
          <w:trHeight w:hRule="exact" w:val="225"/>
        </w:trPr>
        <w:tc>
          <w:tcPr>
            <w:tcW w:w="1225" w:type="pct"/>
            <w:tcBorders>
              <w:top w:val="nil"/>
              <w:left w:val="nil"/>
              <w:bottom w:val="nil"/>
              <w:right w:val="nil"/>
            </w:tcBorders>
            <w:shd w:val="clear" w:color="000000" w:fill="FFFFFF"/>
            <w:noWrap/>
            <w:vAlign w:val="center"/>
            <w:hideMark/>
          </w:tcPr>
          <w:p w14:paraId="7A9C51DA" w14:textId="77777777" w:rsidR="00E27699" w:rsidRPr="004863F3" w:rsidRDefault="00E27699" w:rsidP="00E27699">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39" w:type="pct"/>
            <w:tcBorders>
              <w:top w:val="nil"/>
              <w:left w:val="nil"/>
              <w:bottom w:val="single" w:sz="4" w:space="0" w:color="293F5B"/>
              <w:right w:val="nil"/>
            </w:tcBorders>
            <w:shd w:val="clear" w:color="000000" w:fill="FFFFFF"/>
            <w:noWrap/>
            <w:vAlign w:val="center"/>
            <w:hideMark/>
          </w:tcPr>
          <w:p w14:paraId="59FD09B6" w14:textId="77777777" w:rsidR="00E27699" w:rsidRPr="004863F3" w:rsidRDefault="00E27699" w:rsidP="00E27699">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539" w:type="pct"/>
            <w:tcBorders>
              <w:top w:val="nil"/>
              <w:left w:val="nil"/>
              <w:bottom w:val="single" w:sz="4" w:space="0" w:color="293F5B"/>
              <w:right w:val="nil"/>
            </w:tcBorders>
            <w:shd w:val="clear" w:color="000000" w:fill="FFFFFF"/>
            <w:noWrap/>
            <w:vAlign w:val="center"/>
            <w:hideMark/>
          </w:tcPr>
          <w:p w14:paraId="5B6A6C26" w14:textId="77777777" w:rsidR="00E27699" w:rsidRPr="004863F3" w:rsidRDefault="00E27699" w:rsidP="00E27699">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539" w:type="pct"/>
            <w:tcBorders>
              <w:top w:val="nil"/>
              <w:left w:val="nil"/>
              <w:bottom w:val="single" w:sz="4" w:space="0" w:color="293F5B"/>
              <w:right w:val="nil"/>
            </w:tcBorders>
            <w:shd w:val="clear" w:color="000000" w:fill="FFFFFF"/>
            <w:noWrap/>
            <w:vAlign w:val="center"/>
            <w:hideMark/>
          </w:tcPr>
          <w:p w14:paraId="1CC3D043" w14:textId="77777777" w:rsidR="00E27699" w:rsidRPr="004863F3" w:rsidRDefault="00E27699" w:rsidP="00E27699">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539" w:type="pct"/>
            <w:tcBorders>
              <w:top w:val="nil"/>
              <w:left w:val="nil"/>
              <w:bottom w:val="single" w:sz="4" w:space="0" w:color="293F5B"/>
              <w:right w:val="nil"/>
            </w:tcBorders>
            <w:shd w:val="clear" w:color="000000" w:fill="E6F2FF"/>
            <w:noWrap/>
            <w:vAlign w:val="center"/>
            <w:hideMark/>
          </w:tcPr>
          <w:p w14:paraId="1F1967BE" w14:textId="77777777" w:rsidR="00E27699" w:rsidRPr="004863F3" w:rsidRDefault="00E27699" w:rsidP="00E27699">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539" w:type="pct"/>
            <w:tcBorders>
              <w:top w:val="nil"/>
              <w:left w:val="nil"/>
              <w:bottom w:val="single" w:sz="4" w:space="0" w:color="293F5B"/>
              <w:right w:val="nil"/>
            </w:tcBorders>
            <w:shd w:val="clear" w:color="000000" w:fill="FFFFFF"/>
            <w:noWrap/>
            <w:vAlign w:val="center"/>
            <w:hideMark/>
          </w:tcPr>
          <w:p w14:paraId="2CADAFDA" w14:textId="77777777" w:rsidR="00E27699" w:rsidRPr="004863F3" w:rsidRDefault="00E27699" w:rsidP="00E27699">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539" w:type="pct"/>
            <w:tcBorders>
              <w:top w:val="nil"/>
              <w:left w:val="nil"/>
              <w:bottom w:val="single" w:sz="4" w:space="0" w:color="293F5B"/>
              <w:right w:val="nil"/>
            </w:tcBorders>
            <w:shd w:val="clear" w:color="000000" w:fill="FFFFFF"/>
            <w:noWrap/>
            <w:vAlign w:val="center"/>
            <w:hideMark/>
          </w:tcPr>
          <w:p w14:paraId="1E401125" w14:textId="77777777" w:rsidR="00E27699" w:rsidRPr="004863F3" w:rsidRDefault="00E27699" w:rsidP="00E27699">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539" w:type="pct"/>
            <w:tcBorders>
              <w:top w:val="nil"/>
              <w:left w:val="nil"/>
              <w:bottom w:val="single" w:sz="4" w:space="0" w:color="293F5B"/>
              <w:right w:val="nil"/>
            </w:tcBorders>
            <w:shd w:val="clear" w:color="000000" w:fill="FFFFFF"/>
            <w:noWrap/>
            <w:vAlign w:val="center"/>
            <w:hideMark/>
          </w:tcPr>
          <w:p w14:paraId="1ADE6ED8" w14:textId="77777777" w:rsidR="00E27699" w:rsidRPr="004863F3" w:rsidRDefault="00E27699" w:rsidP="00E27699">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r>
      <w:tr w:rsidR="00E27699" w:rsidRPr="004863F3" w14:paraId="0BA82E77" w14:textId="77777777" w:rsidTr="00E27699">
        <w:trPr>
          <w:trHeight w:hRule="exact" w:val="225"/>
        </w:trPr>
        <w:tc>
          <w:tcPr>
            <w:tcW w:w="1225" w:type="pct"/>
            <w:tcBorders>
              <w:top w:val="nil"/>
              <w:left w:val="nil"/>
              <w:bottom w:val="nil"/>
              <w:right w:val="nil"/>
            </w:tcBorders>
            <w:shd w:val="clear" w:color="000000" w:fill="FFFFFF"/>
            <w:noWrap/>
            <w:vAlign w:val="center"/>
            <w:hideMark/>
          </w:tcPr>
          <w:p w14:paraId="0C32E920" w14:textId="77777777" w:rsidR="00E27699" w:rsidRPr="004863F3" w:rsidRDefault="00E27699" w:rsidP="00E27699">
            <w:pPr>
              <w:spacing w:before="0" w:after="0" w:line="240" w:lineRule="auto"/>
              <w:rPr>
                <w:rFonts w:ascii="Arial" w:hAnsi="Arial" w:cs="Arial"/>
                <w:b/>
                <w:bCs/>
                <w:sz w:val="16"/>
                <w:szCs w:val="16"/>
              </w:rPr>
            </w:pPr>
            <w:r w:rsidRPr="004863F3">
              <w:rPr>
                <w:rFonts w:ascii="Arial" w:hAnsi="Arial" w:cs="Arial"/>
                <w:b/>
                <w:bCs/>
                <w:sz w:val="16"/>
                <w:szCs w:val="16"/>
              </w:rPr>
              <w:t>Underlying cash balance</w:t>
            </w:r>
          </w:p>
        </w:tc>
        <w:tc>
          <w:tcPr>
            <w:tcW w:w="539" w:type="pct"/>
            <w:tcBorders>
              <w:top w:val="nil"/>
              <w:left w:val="nil"/>
              <w:bottom w:val="nil"/>
              <w:right w:val="nil"/>
            </w:tcBorders>
            <w:shd w:val="clear" w:color="000000" w:fill="FFFFFF"/>
            <w:noWrap/>
            <w:vAlign w:val="center"/>
            <w:hideMark/>
          </w:tcPr>
          <w:p w14:paraId="1826271A" w14:textId="0DDCD8D5" w:rsidR="00E27699" w:rsidRPr="004863F3" w:rsidRDefault="001E171F" w:rsidP="00E27699">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E27699" w:rsidRPr="004863F3">
              <w:rPr>
                <w:rFonts w:ascii="Arial" w:hAnsi="Arial" w:cs="Arial"/>
                <w:b/>
                <w:bCs/>
                <w:sz w:val="16"/>
                <w:szCs w:val="16"/>
              </w:rPr>
              <w:t>47.1</w:t>
            </w:r>
          </w:p>
        </w:tc>
        <w:tc>
          <w:tcPr>
            <w:tcW w:w="539" w:type="pct"/>
            <w:tcBorders>
              <w:top w:val="nil"/>
              <w:left w:val="nil"/>
              <w:bottom w:val="nil"/>
              <w:right w:val="nil"/>
            </w:tcBorders>
            <w:shd w:val="clear" w:color="000000" w:fill="FFFFFF"/>
            <w:noWrap/>
            <w:vAlign w:val="center"/>
            <w:hideMark/>
          </w:tcPr>
          <w:p w14:paraId="0AB6C5F3" w14:textId="2F0DE8BC" w:rsidR="00E27699" w:rsidRPr="004863F3" w:rsidRDefault="001E171F" w:rsidP="00E27699">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E27699" w:rsidRPr="004863F3">
              <w:rPr>
                <w:rFonts w:ascii="Arial" w:hAnsi="Arial" w:cs="Arial"/>
                <w:b/>
                <w:bCs/>
                <w:sz w:val="16"/>
                <w:szCs w:val="16"/>
              </w:rPr>
              <w:t>27.6</w:t>
            </w:r>
          </w:p>
        </w:tc>
        <w:tc>
          <w:tcPr>
            <w:tcW w:w="539" w:type="pct"/>
            <w:tcBorders>
              <w:top w:val="nil"/>
              <w:left w:val="nil"/>
              <w:bottom w:val="nil"/>
              <w:right w:val="nil"/>
            </w:tcBorders>
            <w:shd w:val="clear" w:color="000000" w:fill="FFFFFF"/>
            <w:noWrap/>
            <w:vAlign w:val="center"/>
            <w:hideMark/>
          </w:tcPr>
          <w:p w14:paraId="20D4A2EB" w14:textId="59929A1E" w:rsidR="00E27699" w:rsidRPr="004863F3" w:rsidRDefault="001E171F" w:rsidP="00E27699">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E27699" w:rsidRPr="004863F3">
              <w:rPr>
                <w:rFonts w:ascii="Arial" w:hAnsi="Arial" w:cs="Arial"/>
                <w:b/>
                <w:bCs/>
                <w:sz w:val="16"/>
                <w:szCs w:val="16"/>
              </w:rPr>
              <w:t>27.9</w:t>
            </w:r>
          </w:p>
        </w:tc>
        <w:tc>
          <w:tcPr>
            <w:tcW w:w="539" w:type="pct"/>
            <w:tcBorders>
              <w:top w:val="nil"/>
              <w:left w:val="nil"/>
              <w:bottom w:val="nil"/>
              <w:right w:val="nil"/>
            </w:tcBorders>
            <w:shd w:val="clear" w:color="000000" w:fill="E6F2FF"/>
            <w:noWrap/>
            <w:vAlign w:val="center"/>
            <w:hideMark/>
          </w:tcPr>
          <w:p w14:paraId="187AC839" w14:textId="7913C92D" w:rsidR="00E27699" w:rsidRPr="004863F3" w:rsidRDefault="001E171F" w:rsidP="00E27699">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E27699" w:rsidRPr="004863F3">
              <w:rPr>
                <w:rFonts w:ascii="Arial" w:hAnsi="Arial" w:cs="Arial"/>
                <w:b/>
                <w:bCs/>
                <w:sz w:val="16"/>
                <w:szCs w:val="16"/>
              </w:rPr>
              <w:t>10.0</w:t>
            </w:r>
          </w:p>
        </w:tc>
        <w:tc>
          <w:tcPr>
            <w:tcW w:w="539" w:type="pct"/>
            <w:tcBorders>
              <w:top w:val="nil"/>
              <w:left w:val="nil"/>
              <w:bottom w:val="nil"/>
              <w:right w:val="nil"/>
            </w:tcBorders>
            <w:shd w:val="clear" w:color="000000" w:fill="FFFFFF"/>
            <w:noWrap/>
            <w:vAlign w:val="center"/>
            <w:hideMark/>
          </w:tcPr>
          <w:p w14:paraId="395FE4AF" w14:textId="77777777" w:rsidR="00E27699" w:rsidRPr="004863F3" w:rsidRDefault="00E27699" w:rsidP="00E27699">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37.1</w:t>
            </w:r>
          </w:p>
        </w:tc>
        <w:tc>
          <w:tcPr>
            <w:tcW w:w="539" w:type="pct"/>
            <w:tcBorders>
              <w:top w:val="nil"/>
              <w:left w:val="nil"/>
              <w:bottom w:val="nil"/>
              <w:right w:val="nil"/>
            </w:tcBorders>
            <w:shd w:val="clear" w:color="000000" w:fill="FFFFFF"/>
            <w:noWrap/>
            <w:vAlign w:val="center"/>
            <w:hideMark/>
          </w:tcPr>
          <w:p w14:paraId="2ED4ED55" w14:textId="77777777" w:rsidR="00E27699" w:rsidRPr="004863F3" w:rsidRDefault="00E27699" w:rsidP="00E27699">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17.6</w:t>
            </w:r>
          </w:p>
        </w:tc>
        <w:tc>
          <w:tcPr>
            <w:tcW w:w="539" w:type="pct"/>
            <w:tcBorders>
              <w:top w:val="nil"/>
              <w:left w:val="nil"/>
              <w:bottom w:val="nil"/>
              <w:right w:val="nil"/>
            </w:tcBorders>
            <w:shd w:val="clear" w:color="000000" w:fill="FFFFFF"/>
            <w:noWrap/>
            <w:vAlign w:val="center"/>
            <w:hideMark/>
          </w:tcPr>
          <w:p w14:paraId="39A1B4F7" w14:textId="77777777" w:rsidR="00E27699" w:rsidRPr="004863F3" w:rsidRDefault="00E27699" w:rsidP="00E27699">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17.9</w:t>
            </w:r>
          </w:p>
        </w:tc>
      </w:tr>
      <w:tr w:rsidR="00E27699" w:rsidRPr="004863F3" w14:paraId="0F0A5BBD" w14:textId="77777777" w:rsidTr="00E27699">
        <w:trPr>
          <w:trHeight w:hRule="exact" w:val="225"/>
        </w:trPr>
        <w:tc>
          <w:tcPr>
            <w:tcW w:w="1225" w:type="pct"/>
            <w:tcBorders>
              <w:top w:val="nil"/>
              <w:left w:val="nil"/>
              <w:bottom w:val="nil"/>
              <w:right w:val="nil"/>
            </w:tcBorders>
            <w:shd w:val="clear" w:color="000000" w:fill="FFFFFF"/>
            <w:noWrap/>
            <w:vAlign w:val="center"/>
            <w:hideMark/>
          </w:tcPr>
          <w:p w14:paraId="4E0B50B0" w14:textId="77777777" w:rsidR="00E27699" w:rsidRPr="004863F3" w:rsidRDefault="00E27699" w:rsidP="00E27699">
            <w:pPr>
              <w:spacing w:before="0" w:after="0" w:line="240" w:lineRule="auto"/>
              <w:rPr>
                <w:rFonts w:ascii="Arial" w:hAnsi="Arial" w:cs="Arial"/>
                <w:sz w:val="16"/>
                <w:szCs w:val="16"/>
              </w:rPr>
            </w:pPr>
            <w:r w:rsidRPr="004863F3">
              <w:rPr>
                <w:rFonts w:ascii="Arial" w:hAnsi="Arial" w:cs="Arial"/>
                <w:sz w:val="16"/>
                <w:szCs w:val="16"/>
              </w:rPr>
              <w:t>Per cent of GDP</w:t>
            </w:r>
          </w:p>
        </w:tc>
        <w:tc>
          <w:tcPr>
            <w:tcW w:w="539" w:type="pct"/>
            <w:tcBorders>
              <w:top w:val="nil"/>
              <w:left w:val="nil"/>
              <w:bottom w:val="nil"/>
              <w:right w:val="nil"/>
            </w:tcBorders>
            <w:shd w:val="clear" w:color="000000" w:fill="FFFFFF"/>
            <w:noWrap/>
            <w:vAlign w:val="center"/>
            <w:hideMark/>
          </w:tcPr>
          <w:p w14:paraId="23235864" w14:textId="7EB574E7" w:rsidR="00E27699" w:rsidRPr="004863F3" w:rsidRDefault="001E171F" w:rsidP="00E27699">
            <w:pPr>
              <w:spacing w:before="0" w:after="0" w:line="240" w:lineRule="auto"/>
              <w:jc w:val="right"/>
              <w:rPr>
                <w:rFonts w:ascii="Arial" w:hAnsi="Arial" w:cs="Arial"/>
                <w:sz w:val="16"/>
                <w:szCs w:val="16"/>
              </w:rPr>
            </w:pPr>
            <w:r w:rsidRPr="004863F3">
              <w:rPr>
                <w:rFonts w:ascii="Arial" w:hAnsi="Arial" w:cs="Arial"/>
                <w:sz w:val="16"/>
                <w:szCs w:val="16"/>
              </w:rPr>
              <w:noBreakHyphen/>
            </w:r>
            <w:r w:rsidR="00E27699" w:rsidRPr="004863F3">
              <w:rPr>
                <w:rFonts w:ascii="Arial" w:hAnsi="Arial" w:cs="Arial"/>
                <w:sz w:val="16"/>
                <w:szCs w:val="16"/>
              </w:rPr>
              <w:t>1.9</w:t>
            </w:r>
          </w:p>
        </w:tc>
        <w:tc>
          <w:tcPr>
            <w:tcW w:w="539" w:type="pct"/>
            <w:tcBorders>
              <w:top w:val="nil"/>
              <w:left w:val="nil"/>
              <w:bottom w:val="nil"/>
              <w:right w:val="nil"/>
            </w:tcBorders>
            <w:shd w:val="clear" w:color="000000" w:fill="FFFFFF"/>
            <w:noWrap/>
            <w:vAlign w:val="center"/>
            <w:hideMark/>
          </w:tcPr>
          <w:p w14:paraId="1E02AFC0" w14:textId="0AF99C14" w:rsidR="00E27699" w:rsidRPr="004863F3" w:rsidRDefault="001E171F" w:rsidP="00E27699">
            <w:pPr>
              <w:spacing w:before="0" w:after="0" w:line="240" w:lineRule="auto"/>
              <w:jc w:val="right"/>
              <w:rPr>
                <w:rFonts w:ascii="Arial" w:hAnsi="Arial" w:cs="Arial"/>
                <w:sz w:val="16"/>
                <w:szCs w:val="16"/>
              </w:rPr>
            </w:pPr>
            <w:r w:rsidRPr="004863F3">
              <w:rPr>
                <w:rFonts w:ascii="Arial" w:hAnsi="Arial" w:cs="Arial"/>
                <w:sz w:val="16"/>
                <w:szCs w:val="16"/>
              </w:rPr>
              <w:noBreakHyphen/>
            </w:r>
            <w:r w:rsidR="00E27699" w:rsidRPr="004863F3">
              <w:rPr>
                <w:rFonts w:ascii="Arial" w:hAnsi="Arial" w:cs="Arial"/>
                <w:sz w:val="16"/>
                <w:szCs w:val="16"/>
              </w:rPr>
              <w:t>1.0</w:t>
            </w:r>
          </w:p>
        </w:tc>
        <w:tc>
          <w:tcPr>
            <w:tcW w:w="539" w:type="pct"/>
            <w:tcBorders>
              <w:top w:val="nil"/>
              <w:left w:val="nil"/>
              <w:bottom w:val="nil"/>
              <w:right w:val="nil"/>
            </w:tcBorders>
            <w:shd w:val="clear" w:color="000000" w:fill="FFFFFF"/>
            <w:noWrap/>
            <w:vAlign w:val="center"/>
            <w:hideMark/>
          </w:tcPr>
          <w:p w14:paraId="681D0DCC" w14:textId="113670C1" w:rsidR="00E27699" w:rsidRPr="004863F3" w:rsidRDefault="001E171F" w:rsidP="00E27699">
            <w:pPr>
              <w:spacing w:before="0" w:after="0" w:line="240" w:lineRule="auto"/>
              <w:jc w:val="right"/>
              <w:rPr>
                <w:rFonts w:ascii="Arial" w:hAnsi="Arial" w:cs="Arial"/>
                <w:sz w:val="16"/>
                <w:szCs w:val="16"/>
              </w:rPr>
            </w:pPr>
            <w:r w:rsidRPr="004863F3">
              <w:rPr>
                <w:rFonts w:ascii="Arial" w:hAnsi="Arial" w:cs="Arial"/>
                <w:sz w:val="16"/>
                <w:szCs w:val="16"/>
              </w:rPr>
              <w:noBreakHyphen/>
            </w:r>
            <w:r w:rsidR="00E27699" w:rsidRPr="004863F3">
              <w:rPr>
                <w:rFonts w:ascii="Arial" w:hAnsi="Arial" w:cs="Arial"/>
                <w:sz w:val="16"/>
                <w:szCs w:val="16"/>
              </w:rPr>
              <w:t>1.0</w:t>
            </w:r>
          </w:p>
        </w:tc>
        <w:tc>
          <w:tcPr>
            <w:tcW w:w="539" w:type="pct"/>
            <w:tcBorders>
              <w:top w:val="nil"/>
              <w:left w:val="nil"/>
              <w:bottom w:val="nil"/>
              <w:right w:val="nil"/>
            </w:tcBorders>
            <w:shd w:val="clear" w:color="000000" w:fill="E6F2FF"/>
            <w:noWrap/>
            <w:vAlign w:val="center"/>
            <w:hideMark/>
          </w:tcPr>
          <w:p w14:paraId="3DA73C07" w14:textId="6DE7E764" w:rsidR="00E27699" w:rsidRPr="004863F3" w:rsidRDefault="001E171F" w:rsidP="00E27699">
            <w:pPr>
              <w:spacing w:before="0" w:after="0" w:line="240" w:lineRule="auto"/>
              <w:jc w:val="right"/>
              <w:rPr>
                <w:rFonts w:ascii="Arial" w:hAnsi="Arial" w:cs="Arial"/>
                <w:sz w:val="16"/>
                <w:szCs w:val="16"/>
              </w:rPr>
            </w:pPr>
            <w:r w:rsidRPr="004863F3">
              <w:rPr>
                <w:rFonts w:ascii="Arial" w:hAnsi="Arial" w:cs="Arial"/>
                <w:sz w:val="16"/>
                <w:szCs w:val="16"/>
              </w:rPr>
              <w:noBreakHyphen/>
            </w:r>
            <w:r w:rsidR="00E27699" w:rsidRPr="004863F3">
              <w:rPr>
                <w:rFonts w:ascii="Arial" w:hAnsi="Arial" w:cs="Arial"/>
                <w:sz w:val="16"/>
                <w:szCs w:val="16"/>
              </w:rPr>
              <w:t>0.4</w:t>
            </w:r>
          </w:p>
        </w:tc>
        <w:tc>
          <w:tcPr>
            <w:tcW w:w="539" w:type="pct"/>
            <w:tcBorders>
              <w:top w:val="nil"/>
              <w:left w:val="nil"/>
              <w:bottom w:val="nil"/>
              <w:right w:val="nil"/>
            </w:tcBorders>
            <w:shd w:val="clear" w:color="000000" w:fill="FFFFFF"/>
            <w:noWrap/>
            <w:vAlign w:val="center"/>
            <w:hideMark/>
          </w:tcPr>
          <w:p w14:paraId="53B6A81E"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215C5CFE"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6F684ACC"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r>
      <w:tr w:rsidR="00E27699" w:rsidRPr="004863F3" w14:paraId="6D778999" w14:textId="77777777" w:rsidTr="00E27699">
        <w:trPr>
          <w:trHeight w:hRule="exact" w:val="60"/>
        </w:trPr>
        <w:tc>
          <w:tcPr>
            <w:tcW w:w="1225" w:type="pct"/>
            <w:tcBorders>
              <w:top w:val="nil"/>
              <w:left w:val="nil"/>
              <w:bottom w:val="nil"/>
              <w:right w:val="nil"/>
            </w:tcBorders>
            <w:shd w:val="clear" w:color="000000" w:fill="FFFFFF"/>
            <w:noWrap/>
            <w:vAlign w:val="center"/>
            <w:hideMark/>
          </w:tcPr>
          <w:p w14:paraId="1B6E1D3B" w14:textId="77777777" w:rsidR="00E27699" w:rsidRPr="004863F3" w:rsidRDefault="00E27699" w:rsidP="00E27699">
            <w:pPr>
              <w:spacing w:before="0" w:after="0" w:line="240" w:lineRule="auto"/>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6A64236B"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1EAFA88C"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53E1D32E"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E6F2FF"/>
            <w:noWrap/>
            <w:vAlign w:val="center"/>
            <w:hideMark/>
          </w:tcPr>
          <w:p w14:paraId="196F8120"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65B9744D"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16AF9959"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699AA9F8"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r>
      <w:tr w:rsidR="00E27699" w:rsidRPr="004863F3" w14:paraId="1CB71281" w14:textId="77777777" w:rsidTr="00E27699">
        <w:trPr>
          <w:trHeight w:hRule="exact" w:val="205"/>
        </w:trPr>
        <w:tc>
          <w:tcPr>
            <w:tcW w:w="1225" w:type="pct"/>
            <w:tcBorders>
              <w:top w:val="nil"/>
              <w:left w:val="nil"/>
              <w:bottom w:val="nil"/>
              <w:right w:val="nil"/>
            </w:tcBorders>
            <w:shd w:val="clear" w:color="000000" w:fill="FFFFFF"/>
            <w:noWrap/>
            <w:vAlign w:val="center"/>
            <w:hideMark/>
          </w:tcPr>
          <w:p w14:paraId="1DE6B21D" w14:textId="77777777" w:rsidR="00E27699" w:rsidRPr="004863F3" w:rsidRDefault="00E27699" w:rsidP="00E27699">
            <w:pPr>
              <w:spacing w:before="0" w:after="0" w:line="240" w:lineRule="auto"/>
              <w:rPr>
                <w:rFonts w:ascii="Arial" w:hAnsi="Arial" w:cs="Arial"/>
                <w:b/>
                <w:bCs/>
                <w:sz w:val="16"/>
                <w:szCs w:val="16"/>
              </w:rPr>
            </w:pPr>
            <w:r w:rsidRPr="004863F3">
              <w:rPr>
                <w:rFonts w:ascii="Arial" w:hAnsi="Arial" w:cs="Arial"/>
                <w:b/>
                <w:bCs/>
                <w:sz w:val="16"/>
                <w:szCs w:val="16"/>
              </w:rPr>
              <w:t>Gross debt(a)</w:t>
            </w:r>
          </w:p>
        </w:tc>
        <w:tc>
          <w:tcPr>
            <w:tcW w:w="539" w:type="pct"/>
            <w:tcBorders>
              <w:top w:val="nil"/>
              <w:left w:val="nil"/>
              <w:bottom w:val="nil"/>
              <w:right w:val="nil"/>
            </w:tcBorders>
            <w:shd w:val="clear" w:color="000000" w:fill="FFFFFF"/>
            <w:noWrap/>
            <w:vAlign w:val="center"/>
            <w:hideMark/>
          </w:tcPr>
          <w:p w14:paraId="364BBC02" w14:textId="77777777" w:rsidR="00E27699" w:rsidRPr="004863F3" w:rsidRDefault="00E27699" w:rsidP="00E27699">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1,117.0</w:t>
            </w:r>
          </w:p>
        </w:tc>
        <w:tc>
          <w:tcPr>
            <w:tcW w:w="539" w:type="pct"/>
            <w:tcBorders>
              <w:top w:val="nil"/>
              <w:left w:val="nil"/>
              <w:bottom w:val="nil"/>
              <w:right w:val="nil"/>
            </w:tcBorders>
            <w:shd w:val="clear" w:color="000000" w:fill="FFFFFF"/>
            <w:noWrap/>
            <w:vAlign w:val="center"/>
            <w:hideMark/>
          </w:tcPr>
          <w:p w14:paraId="1278586B" w14:textId="77777777" w:rsidR="00E27699" w:rsidRPr="004863F3" w:rsidRDefault="00E27699" w:rsidP="00E27699">
            <w:pPr>
              <w:spacing w:before="0" w:after="0" w:line="240" w:lineRule="auto"/>
              <w:jc w:val="right"/>
              <w:rPr>
                <w:rFonts w:ascii="Arial" w:hAnsi="Arial" w:cs="Arial"/>
                <w:b/>
                <w:bCs/>
                <w:sz w:val="16"/>
                <w:szCs w:val="16"/>
              </w:rPr>
            </w:pPr>
            <w:r w:rsidRPr="004863F3">
              <w:rPr>
                <w:rFonts w:ascii="Arial" w:hAnsi="Arial" w:cs="Arial"/>
                <w:b/>
                <w:bCs/>
                <w:sz w:val="16"/>
                <w:szCs w:val="16"/>
              </w:rPr>
              <w:t>940.0</w:t>
            </w:r>
          </w:p>
        </w:tc>
        <w:tc>
          <w:tcPr>
            <w:tcW w:w="539" w:type="pct"/>
            <w:tcBorders>
              <w:top w:val="nil"/>
              <w:left w:val="nil"/>
              <w:bottom w:val="nil"/>
              <w:right w:val="nil"/>
            </w:tcBorders>
            <w:shd w:val="clear" w:color="000000" w:fill="FFFFFF"/>
            <w:noWrap/>
            <w:vAlign w:val="center"/>
            <w:hideMark/>
          </w:tcPr>
          <w:p w14:paraId="2DE4C37C" w14:textId="77777777" w:rsidR="00E27699" w:rsidRPr="004863F3" w:rsidRDefault="00E27699" w:rsidP="00E27699">
            <w:pPr>
              <w:spacing w:before="0" w:after="0" w:line="240" w:lineRule="auto"/>
              <w:jc w:val="right"/>
              <w:rPr>
                <w:rFonts w:ascii="Arial" w:hAnsi="Arial" w:cs="Arial"/>
                <w:b/>
                <w:bCs/>
                <w:sz w:val="16"/>
                <w:szCs w:val="16"/>
              </w:rPr>
            </w:pPr>
            <w:r w:rsidRPr="004863F3">
              <w:rPr>
                <w:rFonts w:ascii="Arial" w:hAnsi="Arial" w:cs="Arial"/>
                <w:b/>
                <w:bCs/>
                <w:sz w:val="16"/>
                <w:szCs w:val="16"/>
              </w:rPr>
              <w:t>940.0</w:t>
            </w:r>
          </w:p>
        </w:tc>
        <w:tc>
          <w:tcPr>
            <w:tcW w:w="539" w:type="pct"/>
            <w:tcBorders>
              <w:top w:val="nil"/>
              <w:left w:val="nil"/>
              <w:bottom w:val="nil"/>
              <w:right w:val="nil"/>
            </w:tcBorders>
            <w:shd w:val="clear" w:color="000000" w:fill="E6F2FF"/>
            <w:noWrap/>
            <w:vAlign w:val="center"/>
            <w:hideMark/>
          </w:tcPr>
          <w:p w14:paraId="3C2C31E1" w14:textId="77777777" w:rsidR="00E27699" w:rsidRPr="004863F3" w:rsidRDefault="00E27699" w:rsidP="00E27699">
            <w:pPr>
              <w:spacing w:before="0" w:after="0" w:line="240" w:lineRule="auto"/>
              <w:jc w:val="right"/>
              <w:rPr>
                <w:rFonts w:ascii="Arial" w:hAnsi="Arial" w:cs="Arial"/>
                <w:b/>
                <w:bCs/>
                <w:sz w:val="16"/>
                <w:szCs w:val="16"/>
              </w:rPr>
            </w:pPr>
            <w:r w:rsidRPr="004863F3">
              <w:rPr>
                <w:rFonts w:ascii="Arial" w:hAnsi="Arial" w:cs="Arial"/>
                <w:b/>
                <w:bCs/>
                <w:sz w:val="16"/>
                <w:szCs w:val="16"/>
              </w:rPr>
              <w:t>928.6</w:t>
            </w:r>
          </w:p>
        </w:tc>
        <w:tc>
          <w:tcPr>
            <w:tcW w:w="539" w:type="pct"/>
            <w:tcBorders>
              <w:top w:val="nil"/>
              <w:left w:val="nil"/>
              <w:bottom w:val="nil"/>
              <w:right w:val="nil"/>
            </w:tcBorders>
            <w:shd w:val="clear" w:color="000000" w:fill="FFFFFF"/>
            <w:noWrap/>
            <w:vAlign w:val="center"/>
            <w:hideMark/>
          </w:tcPr>
          <w:p w14:paraId="068269AC" w14:textId="7519A0BD" w:rsidR="00E27699" w:rsidRPr="004863F3" w:rsidRDefault="001E171F" w:rsidP="00E27699">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E27699" w:rsidRPr="004863F3">
              <w:rPr>
                <w:rFonts w:ascii="Arial" w:hAnsi="Arial" w:cs="Arial"/>
                <w:b/>
                <w:bCs/>
                <w:sz w:val="16"/>
                <w:szCs w:val="16"/>
              </w:rPr>
              <w:t>188.4</w:t>
            </w:r>
          </w:p>
        </w:tc>
        <w:tc>
          <w:tcPr>
            <w:tcW w:w="539" w:type="pct"/>
            <w:tcBorders>
              <w:top w:val="nil"/>
              <w:left w:val="nil"/>
              <w:bottom w:val="nil"/>
              <w:right w:val="nil"/>
            </w:tcBorders>
            <w:shd w:val="clear" w:color="000000" w:fill="FFFFFF"/>
            <w:noWrap/>
            <w:vAlign w:val="center"/>
            <w:hideMark/>
          </w:tcPr>
          <w:p w14:paraId="541C924C" w14:textId="53B30709" w:rsidR="00E27699" w:rsidRPr="004863F3" w:rsidRDefault="001E171F" w:rsidP="00E27699">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E27699" w:rsidRPr="004863F3">
              <w:rPr>
                <w:rFonts w:ascii="Arial" w:hAnsi="Arial" w:cs="Arial"/>
                <w:b/>
                <w:bCs/>
                <w:sz w:val="16"/>
                <w:szCs w:val="16"/>
              </w:rPr>
              <w:t>11.4</w:t>
            </w:r>
          </w:p>
        </w:tc>
        <w:tc>
          <w:tcPr>
            <w:tcW w:w="539" w:type="pct"/>
            <w:tcBorders>
              <w:top w:val="nil"/>
              <w:left w:val="nil"/>
              <w:bottom w:val="nil"/>
              <w:right w:val="nil"/>
            </w:tcBorders>
            <w:shd w:val="clear" w:color="000000" w:fill="FFFFFF"/>
            <w:noWrap/>
            <w:vAlign w:val="center"/>
            <w:hideMark/>
          </w:tcPr>
          <w:p w14:paraId="67254AE5" w14:textId="2AB7651E" w:rsidR="00E27699" w:rsidRPr="004863F3" w:rsidRDefault="001E171F" w:rsidP="00E27699">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E27699" w:rsidRPr="004863F3">
              <w:rPr>
                <w:rFonts w:ascii="Arial" w:hAnsi="Arial" w:cs="Arial"/>
                <w:b/>
                <w:bCs/>
                <w:sz w:val="16"/>
                <w:szCs w:val="16"/>
              </w:rPr>
              <w:t>11.4</w:t>
            </w:r>
          </w:p>
        </w:tc>
      </w:tr>
      <w:tr w:rsidR="00E27699" w:rsidRPr="004863F3" w14:paraId="225CC94D" w14:textId="77777777" w:rsidTr="00E27699">
        <w:trPr>
          <w:trHeight w:hRule="exact" w:val="205"/>
        </w:trPr>
        <w:tc>
          <w:tcPr>
            <w:tcW w:w="1225" w:type="pct"/>
            <w:tcBorders>
              <w:top w:val="nil"/>
              <w:left w:val="nil"/>
              <w:bottom w:val="nil"/>
              <w:right w:val="nil"/>
            </w:tcBorders>
            <w:shd w:val="clear" w:color="000000" w:fill="FFFFFF"/>
            <w:noWrap/>
            <w:vAlign w:val="center"/>
            <w:hideMark/>
          </w:tcPr>
          <w:p w14:paraId="364D9423" w14:textId="77777777" w:rsidR="00E27699" w:rsidRPr="004863F3" w:rsidRDefault="00E27699" w:rsidP="00E27699">
            <w:pPr>
              <w:spacing w:before="0" w:after="0" w:line="240" w:lineRule="auto"/>
              <w:rPr>
                <w:rFonts w:ascii="Arial" w:hAnsi="Arial" w:cs="Arial"/>
                <w:sz w:val="16"/>
                <w:szCs w:val="16"/>
              </w:rPr>
            </w:pPr>
            <w:r w:rsidRPr="004863F3">
              <w:rPr>
                <w:rFonts w:ascii="Arial" w:hAnsi="Arial" w:cs="Arial"/>
                <w:sz w:val="16"/>
                <w:szCs w:val="16"/>
              </w:rPr>
              <w:t>Per cent of GDP</w:t>
            </w:r>
          </w:p>
        </w:tc>
        <w:tc>
          <w:tcPr>
            <w:tcW w:w="539" w:type="pct"/>
            <w:tcBorders>
              <w:top w:val="nil"/>
              <w:left w:val="nil"/>
              <w:bottom w:val="nil"/>
              <w:right w:val="nil"/>
            </w:tcBorders>
            <w:shd w:val="clear" w:color="000000" w:fill="FFFFFF"/>
            <w:noWrap/>
            <w:vAlign w:val="center"/>
            <w:hideMark/>
          </w:tcPr>
          <w:p w14:paraId="5938E22C"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44.9</w:t>
            </w:r>
          </w:p>
        </w:tc>
        <w:tc>
          <w:tcPr>
            <w:tcW w:w="539" w:type="pct"/>
            <w:tcBorders>
              <w:top w:val="nil"/>
              <w:left w:val="nil"/>
              <w:bottom w:val="nil"/>
              <w:right w:val="nil"/>
            </w:tcBorders>
            <w:shd w:val="clear" w:color="000000" w:fill="FFFFFF"/>
            <w:noWrap/>
            <w:vAlign w:val="center"/>
            <w:hideMark/>
          </w:tcPr>
          <w:p w14:paraId="76499B8E"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33.7</w:t>
            </w:r>
          </w:p>
        </w:tc>
        <w:tc>
          <w:tcPr>
            <w:tcW w:w="539" w:type="pct"/>
            <w:tcBorders>
              <w:top w:val="nil"/>
              <w:left w:val="nil"/>
              <w:bottom w:val="nil"/>
              <w:right w:val="nil"/>
            </w:tcBorders>
            <w:shd w:val="clear" w:color="000000" w:fill="FFFFFF"/>
            <w:noWrap/>
            <w:vAlign w:val="center"/>
            <w:hideMark/>
          </w:tcPr>
          <w:p w14:paraId="00E1942C"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33.7</w:t>
            </w:r>
          </w:p>
        </w:tc>
        <w:tc>
          <w:tcPr>
            <w:tcW w:w="539" w:type="pct"/>
            <w:tcBorders>
              <w:top w:val="nil"/>
              <w:left w:val="nil"/>
              <w:bottom w:val="nil"/>
              <w:right w:val="nil"/>
            </w:tcBorders>
            <w:shd w:val="clear" w:color="000000" w:fill="E6F2FF"/>
            <w:noWrap/>
            <w:vAlign w:val="center"/>
            <w:hideMark/>
          </w:tcPr>
          <w:p w14:paraId="68FDF994"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33.5</w:t>
            </w:r>
          </w:p>
        </w:tc>
        <w:tc>
          <w:tcPr>
            <w:tcW w:w="539" w:type="pct"/>
            <w:tcBorders>
              <w:top w:val="nil"/>
              <w:left w:val="nil"/>
              <w:bottom w:val="nil"/>
              <w:right w:val="nil"/>
            </w:tcBorders>
            <w:shd w:val="clear" w:color="000000" w:fill="FFFFFF"/>
            <w:noWrap/>
            <w:vAlign w:val="center"/>
            <w:hideMark/>
          </w:tcPr>
          <w:p w14:paraId="725C994D"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657211E9"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64260A0F"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r>
      <w:tr w:rsidR="00E27699" w:rsidRPr="004863F3" w14:paraId="26B85AFE" w14:textId="77777777" w:rsidTr="00E27699">
        <w:trPr>
          <w:trHeight w:hRule="exact" w:val="60"/>
        </w:trPr>
        <w:tc>
          <w:tcPr>
            <w:tcW w:w="1225" w:type="pct"/>
            <w:tcBorders>
              <w:top w:val="nil"/>
              <w:left w:val="nil"/>
              <w:bottom w:val="nil"/>
              <w:right w:val="nil"/>
            </w:tcBorders>
            <w:shd w:val="clear" w:color="000000" w:fill="FFFFFF"/>
            <w:noWrap/>
            <w:vAlign w:val="center"/>
            <w:hideMark/>
          </w:tcPr>
          <w:p w14:paraId="5CA35F5F" w14:textId="77777777" w:rsidR="00E27699" w:rsidRPr="004863F3" w:rsidRDefault="00E27699" w:rsidP="00E27699">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39" w:type="pct"/>
            <w:tcBorders>
              <w:top w:val="nil"/>
              <w:left w:val="nil"/>
              <w:bottom w:val="nil"/>
              <w:right w:val="nil"/>
            </w:tcBorders>
            <w:shd w:val="clear" w:color="000000" w:fill="FFFFFF"/>
            <w:noWrap/>
            <w:vAlign w:val="center"/>
            <w:hideMark/>
          </w:tcPr>
          <w:p w14:paraId="028E9589"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330B49F7"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53214E1E"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E6F2FF"/>
            <w:noWrap/>
            <w:vAlign w:val="center"/>
            <w:hideMark/>
          </w:tcPr>
          <w:p w14:paraId="3FBEA705"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101A47A8"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5B3BAD87"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nil"/>
              <w:right w:val="nil"/>
            </w:tcBorders>
            <w:shd w:val="clear" w:color="000000" w:fill="FFFFFF"/>
            <w:noWrap/>
            <w:vAlign w:val="center"/>
            <w:hideMark/>
          </w:tcPr>
          <w:p w14:paraId="1B7D0869"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r>
      <w:tr w:rsidR="00E27699" w:rsidRPr="004863F3" w14:paraId="39DF76B5" w14:textId="77777777" w:rsidTr="00E27699">
        <w:trPr>
          <w:trHeight w:hRule="exact" w:val="205"/>
        </w:trPr>
        <w:tc>
          <w:tcPr>
            <w:tcW w:w="1225" w:type="pct"/>
            <w:tcBorders>
              <w:top w:val="nil"/>
              <w:left w:val="nil"/>
              <w:bottom w:val="nil"/>
              <w:right w:val="nil"/>
            </w:tcBorders>
            <w:shd w:val="clear" w:color="000000" w:fill="FFFFFF"/>
            <w:noWrap/>
            <w:vAlign w:val="center"/>
            <w:hideMark/>
          </w:tcPr>
          <w:p w14:paraId="09879A9E" w14:textId="77777777" w:rsidR="00E27699" w:rsidRPr="004863F3" w:rsidRDefault="00E27699" w:rsidP="00E27699">
            <w:pPr>
              <w:spacing w:before="0" w:after="0" w:line="240" w:lineRule="auto"/>
              <w:rPr>
                <w:rFonts w:ascii="Arial" w:hAnsi="Arial" w:cs="Arial"/>
                <w:b/>
                <w:bCs/>
                <w:sz w:val="16"/>
                <w:szCs w:val="16"/>
              </w:rPr>
            </w:pPr>
            <w:r w:rsidRPr="004863F3">
              <w:rPr>
                <w:rFonts w:ascii="Arial" w:hAnsi="Arial" w:cs="Arial"/>
                <w:b/>
                <w:bCs/>
                <w:sz w:val="16"/>
                <w:szCs w:val="16"/>
              </w:rPr>
              <w:t>Net debt(b)</w:t>
            </w:r>
          </w:p>
        </w:tc>
        <w:tc>
          <w:tcPr>
            <w:tcW w:w="539" w:type="pct"/>
            <w:tcBorders>
              <w:top w:val="nil"/>
              <w:left w:val="nil"/>
              <w:bottom w:val="nil"/>
              <w:right w:val="nil"/>
            </w:tcBorders>
            <w:shd w:val="clear" w:color="000000" w:fill="FFFFFF"/>
            <w:noWrap/>
            <w:vAlign w:val="center"/>
            <w:hideMark/>
          </w:tcPr>
          <w:p w14:paraId="324358CB" w14:textId="77777777" w:rsidR="00E27699" w:rsidRPr="004863F3" w:rsidRDefault="00E27699" w:rsidP="00E27699">
            <w:pPr>
              <w:spacing w:before="0" w:after="0" w:line="240" w:lineRule="auto"/>
              <w:jc w:val="right"/>
              <w:rPr>
                <w:rFonts w:ascii="Arial" w:hAnsi="Arial" w:cs="Arial"/>
                <w:b/>
                <w:bCs/>
                <w:sz w:val="16"/>
                <w:szCs w:val="16"/>
              </w:rPr>
            </w:pPr>
            <w:r w:rsidRPr="004863F3">
              <w:rPr>
                <w:rFonts w:ascii="Arial" w:hAnsi="Arial" w:cs="Arial"/>
                <w:b/>
                <w:bCs/>
                <w:sz w:val="16"/>
                <w:szCs w:val="16"/>
              </w:rPr>
              <w:t>823.2</w:t>
            </w:r>
          </w:p>
        </w:tc>
        <w:tc>
          <w:tcPr>
            <w:tcW w:w="539" w:type="pct"/>
            <w:tcBorders>
              <w:top w:val="nil"/>
              <w:left w:val="nil"/>
              <w:bottom w:val="nil"/>
              <w:right w:val="nil"/>
            </w:tcBorders>
            <w:shd w:val="clear" w:color="000000" w:fill="FFFFFF"/>
            <w:noWrap/>
            <w:vAlign w:val="center"/>
            <w:hideMark/>
          </w:tcPr>
          <w:p w14:paraId="5CB242D4" w14:textId="77777777" w:rsidR="00E27699" w:rsidRPr="004863F3" w:rsidRDefault="00E27699" w:rsidP="00E27699">
            <w:pPr>
              <w:spacing w:before="0" w:after="0" w:line="240" w:lineRule="auto"/>
              <w:jc w:val="right"/>
              <w:rPr>
                <w:rFonts w:ascii="Arial" w:hAnsi="Arial" w:cs="Arial"/>
                <w:b/>
                <w:bCs/>
                <w:sz w:val="16"/>
                <w:szCs w:val="16"/>
              </w:rPr>
            </w:pPr>
            <w:r w:rsidRPr="004863F3">
              <w:rPr>
                <w:rFonts w:ascii="Arial" w:hAnsi="Arial" w:cs="Arial"/>
                <w:b/>
                <w:bCs/>
                <w:sz w:val="16"/>
                <w:szCs w:val="16"/>
              </w:rPr>
              <w:t>556.0</w:t>
            </w:r>
          </w:p>
        </w:tc>
        <w:tc>
          <w:tcPr>
            <w:tcW w:w="539" w:type="pct"/>
            <w:tcBorders>
              <w:top w:val="nil"/>
              <w:left w:val="nil"/>
              <w:bottom w:val="nil"/>
              <w:right w:val="nil"/>
            </w:tcBorders>
            <w:shd w:val="clear" w:color="000000" w:fill="FFFFFF"/>
            <w:noWrap/>
            <w:vAlign w:val="center"/>
            <w:hideMark/>
          </w:tcPr>
          <w:p w14:paraId="3DBAAC1D" w14:textId="77777777" w:rsidR="00E27699" w:rsidRPr="004863F3" w:rsidRDefault="00E27699" w:rsidP="00E27699">
            <w:pPr>
              <w:spacing w:before="0" w:after="0" w:line="240" w:lineRule="auto"/>
              <w:jc w:val="right"/>
              <w:rPr>
                <w:rFonts w:ascii="Arial" w:hAnsi="Arial" w:cs="Arial"/>
                <w:b/>
                <w:bCs/>
                <w:sz w:val="16"/>
                <w:szCs w:val="16"/>
              </w:rPr>
            </w:pPr>
            <w:r w:rsidRPr="004863F3">
              <w:rPr>
                <w:rFonts w:ascii="Arial" w:hAnsi="Arial" w:cs="Arial"/>
                <w:b/>
                <w:bCs/>
                <w:sz w:val="16"/>
                <w:szCs w:val="16"/>
              </w:rPr>
              <w:t>556.3</w:t>
            </w:r>
          </w:p>
        </w:tc>
        <w:tc>
          <w:tcPr>
            <w:tcW w:w="539" w:type="pct"/>
            <w:tcBorders>
              <w:top w:val="nil"/>
              <w:left w:val="nil"/>
              <w:bottom w:val="nil"/>
              <w:right w:val="nil"/>
            </w:tcBorders>
            <w:shd w:val="clear" w:color="000000" w:fill="E6F2FF"/>
            <w:noWrap/>
            <w:vAlign w:val="center"/>
            <w:hideMark/>
          </w:tcPr>
          <w:p w14:paraId="3D6999FF" w14:textId="77777777" w:rsidR="00E27699" w:rsidRPr="004863F3" w:rsidRDefault="00E27699" w:rsidP="00E27699">
            <w:pPr>
              <w:spacing w:before="0" w:after="0" w:line="240" w:lineRule="auto"/>
              <w:jc w:val="right"/>
              <w:rPr>
                <w:rFonts w:ascii="Arial" w:hAnsi="Arial" w:cs="Arial"/>
                <w:b/>
                <w:bCs/>
                <w:sz w:val="16"/>
                <w:szCs w:val="16"/>
              </w:rPr>
            </w:pPr>
            <w:r w:rsidRPr="004863F3">
              <w:rPr>
                <w:rFonts w:ascii="Arial" w:hAnsi="Arial" w:cs="Arial"/>
                <w:b/>
                <w:bCs/>
                <w:sz w:val="16"/>
                <w:szCs w:val="16"/>
              </w:rPr>
              <w:t>532.3</w:t>
            </w:r>
          </w:p>
        </w:tc>
        <w:tc>
          <w:tcPr>
            <w:tcW w:w="539" w:type="pct"/>
            <w:tcBorders>
              <w:top w:val="nil"/>
              <w:left w:val="nil"/>
              <w:bottom w:val="nil"/>
              <w:right w:val="nil"/>
            </w:tcBorders>
            <w:shd w:val="clear" w:color="000000" w:fill="FFFFFF"/>
            <w:noWrap/>
            <w:vAlign w:val="center"/>
            <w:hideMark/>
          </w:tcPr>
          <w:p w14:paraId="17458DBA" w14:textId="4B18CBBB" w:rsidR="00E27699" w:rsidRPr="004863F3" w:rsidRDefault="001E171F" w:rsidP="00E27699">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E27699" w:rsidRPr="004863F3">
              <w:rPr>
                <w:rFonts w:ascii="Arial" w:hAnsi="Arial" w:cs="Arial"/>
                <w:b/>
                <w:bCs/>
                <w:color w:val="000000"/>
                <w:sz w:val="16"/>
                <w:szCs w:val="16"/>
              </w:rPr>
              <w:t>290.9</w:t>
            </w:r>
          </w:p>
        </w:tc>
        <w:tc>
          <w:tcPr>
            <w:tcW w:w="539" w:type="pct"/>
            <w:tcBorders>
              <w:top w:val="nil"/>
              <w:left w:val="nil"/>
              <w:bottom w:val="nil"/>
              <w:right w:val="nil"/>
            </w:tcBorders>
            <w:shd w:val="clear" w:color="000000" w:fill="FFFFFF"/>
            <w:noWrap/>
            <w:vAlign w:val="center"/>
            <w:hideMark/>
          </w:tcPr>
          <w:p w14:paraId="625AD3FD" w14:textId="46AFBE5B" w:rsidR="00E27699" w:rsidRPr="004863F3" w:rsidRDefault="001E171F" w:rsidP="00E27699">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E27699" w:rsidRPr="004863F3">
              <w:rPr>
                <w:rFonts w:ascii="Arial" w:hAnsi="Arial" w:cs="Arial"/>
                <w:b/>
                <w:bCs/>
                <w:color w:val="000000"/>
                <w:sz w:val="16"/>
                <w:szCs w:val="16"/>
              </w:rPr>
              <w:t>23.6</w:t>
            </w:r>
          </w:p>
        </w:tc>
        <w:tc>
          <w:tcPr>
            <w:tcW w:w="539" w:type="pct"/>
            <w:tcBorders>
              <w:top w:val="nil"/>
              <w:left w:val="nil"/>
              <w:bottom w:val="nil"/>
              <w:right w:val="nil"/>
            </w:tcBorders>
            <w:shd w:val="clear" w:color="000000" w:fill="FFFFFF"/>
            <w:noWrap/>
            <w:vAlign w:val="center"/>
            <w:hideMark/>
          </w:tcPr>
          <w:p w14:paraId="51836C52" w14:textId="63C33FDD" w:rsidR="00E27699" w:rsidRPr="004863F3" w:rsidRDefault="001E171F" w:rsidP="00E27699">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E27699" w:rsidRPr="004863F3">
              <w:rPr>
                <w:rFonts w:ascii="Arial" w:hAnsi="Arial" w:cs="Arial"/>
                <w:b/>
                <w:bCs/>
                <w:color w:val="000000"/>
                <w:sz w:val="16"/>
                <w:szCs w:val="16"/>
              </w:rPr>
              <w:t>23.9</w:t>
            </w:r>
          </w:p>
        </w:tc>
      </w:tr>
      <w:tr w:rsidR="00E27699" w:rsidRPr="004863F3" w14:paraId="515B0A9B" w14:textId="77777777" w:rsidTr="00E27699">
        <w:trPr>
          <w:trHeight w:hRule="exact" w:val="205"/>
        </w:trPr>
        <w:tc>
          <w:tcPr>
            <w:tcW w:w="1225" w:type="pct"/>
            <w:tcBorders>
              <w:top w:val="nil"/>
              <w:left w:val="nil"/>
              <w:bottom w:val="single" w:sz="4" w:space="0" w:color="293F5B"/>
              <w:right w:val="nil"/>
            </w:tcBorders>
            <w:shd w:val="clear" w:color="000000" w:fill="FFFFFF"/>
            <w:noWrap/>
            <w:vAlign w:val="center"/>
            <w:hideMark/>
          </w:tcPr>
          <w:p w14:paraId="4CD9CD54" w14:textId="77777777" w:rsidR="00E27699" w:rsidRPr="004863F3" w:rsidRDefault="00E27699" w:rsidP="00E27699">
            <w:pPr>
              <w:spacing w:before="0" w:after="0" w:line="240" w:lineRule="auto"/>
              <w:rPr>
                <w:rFonts w:ascii="Arial" w:hAnsi="Arial" w:cs="Arial"/>
                <w:sz w:val="16"/>
                <w:szCs w:val="16"/>
              </w:rPr>
            </w:pPr>
            <w:r w:rsidRPr="004863F3">
              <w:rPr>
                <w:rFonts w:ascii="Arial" w:hAnsi="Arial" w:cs="Arial"/>
                <w:sz w:val="16"/>
                <w:szCs w:val="16"/>
              </w:rPr>
              <w:t>Per cent of GDP</w:t>
            </w:r>
          </w:p>
        </w:tc>
        <w:tc>
          <w:tcPr>
            <w:tcW w:w="539" w:type="pct"/>
            <w:tcBorders>
              <w:top w:val="nil"/>
              <w:left w:val="nil"/>
              <w:bottom w:val="single" w:sz="4" w:space="0" w:color="293F5B"/>
              <w:right w:val="nil"/>
            </w:tcBorders>
            <w:shd w:val="clear" w:color="000000" w:fill="FFFFFF"/>
            <w:noWrap/>
            <w:vAlign w:val="center"/>
            <w:hideMark/>
          </w:tcPr>
          <w:p w14:paraId="5AA6E59B"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33.1</w:t>
            </w:r>
          </w:p>
        </w:tc>
        <w:tc>
          <w:tcPr>
            <w:tcW w:w="539" w:type="pct"/>
            <w:tcBorders>
              <w:top w:val="nil"/>
              <w:left w:val="nil"/>
              <w:bottom w:val="single" w:sz="4" w:space="0" w:color="293F5B"/>
              <w:right w:val="nil"/>
            </w:tcBorders>
            <w:shd w:val="clear" w:color="000000" w:fill="FFFFFF"/>
            <w:noWrap/>
            <w:vAlign w:val="center"/>
            <w:hideMark/>
          </w:tcPr>
          <w:p w14:paraId="4FC36032"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19.9</w:t>
            </w:r>
          </w:p>
        </w:tc>
        <w:tc>
          <w:tcPr>
            <w:tcW w:w="539" w:type="pct"/>
            <w:tcBorders>
              <w:top w:val="nil"/>
              <w:left w:val="nil"/>
              <w:bottom w:val="single" w:sz="4" w:space="0" w:color="293F5B"/>
              <w:right w:val="nil"/>
            </w:tcBorders>
            <w:shd w:val="clear" w:color="000000" w:fill="FFFFFF"/>
            <w:noWrap/>
            <w:vAlign w:val="center"/>
            <w:hideMark/>
          </w:tcPr>
          <w:p w14:paraId="154E45CB"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20.0</w:t>
            </w:r>
          </w:p>
        </w:tc>
        <w:tc>
          <w:tcPr>
            <w:tcW w:w="539" w:type="pct"/>
            <w:tcBorders>
              <w:top w:val="nil"/>
              <w:left w:val="nil"/>
              <w:bottom w:val="single" w:sz="4" w:space="0" w:color="293F5B"/>
              <w:right w:val="nil"/>
            </w:tcBorders>
            <w:shd w:val="clear" w:color="000000" w:fill="E6F2FF"/>
            <w:noWrap/>
            <w:vAlign w:val="center"/>
            <w:hideMark/>
          </w:tcPr>
          <w:p w14:paraId="76D8383C"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19.2</w:t>
            </w:r>
          </w:p>
        </w:tc>
        <w:tc>
          <w:tcPr>
            <w:tcW w:w="539" w:type="pct"/>
            <w:tcBorders>
              <w:top w:val="nil"/>
              <w:left w:val="nil"/>
              <w:bottom w:val="single" w:sz="4" w:space="0" w:color="293F5B"/>
              <w:right w:val="nil"/>
            </w:tcBorders>
            <w:shd w:val="clear" w:color="000000" w:fill="FFFFFF"/>
            <w:noWrap/>
            <w:vAlign w:val="center"/>
            <w:hideMark/>
          </w:tcPr>
          <w:p w14:paraId="5FF25E8A"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single" w:sz="4" w:space="0" w:color="293F5B"/>
              <w:right w:val="nil"/>
            </w:tcBorders>
            <w:shd w:val="clear" w:color="000000" w:fill="FFFFFF"/>
            <w:noWrap/>
            <w:vAlign w:val="center"/>
            <w:hideMark/>
          </w:tcPr>
          <w:p w14:paraId="7021C100"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c>
          <w:tcPr>
            <w:tcW w:w="539" w:type="pct"/>
            <w:tcBorders>
              <w:top w:val="nil"/>
              <w:left w:val="nil"/>
              <w:bottom w:val="single" w:sz="4" w:space="0" w:color="293F5B"/>
              <w:right w:val="nil"/>
            </w:tcBorders>
            <w:shd w:val="clear" w:color="000000" w:fill="FFFFFF"/>
            <w:noWrap/>
            <w:vAlign w:val="center"/>
            <w:hideMark/>
          </w:tcPr>
          <w:p w14:paraId="59F61A47" w14:textId="77777777" w:rsidR="00E27699" w:rsidRPr="004863F3" w:rsidRDefault="00E27699" w:rsidP="00E27699">
            <w:pPr>
              <w:spacing w:before="0" w:after="0" w:line="240" w:lineRule="auto"/>
              <w:jc w:val="right"/>
              <w:rPr>
                <w:rFonts w:ascii="Arial" w:hAnsi="Arial" w:cs="Arial"/>
                <w:sz w:val="16"/>
                <w:szCs w:val="16"/>
              </w:rPr>
            </w:pPr>
            <w:r w:rsidRPr="004863F3">
              <w:rPr>
                <w:rFonts w:ascii="Arial" w:hAnsi="Arial" w:cs="Arial"/>
                <w:sz w:val="16"/>
                <w:szCs w:val="16"/>
              </w:rPr>
              <w:t> </w:t>
            </w:r>
          </w:p>
        </w:tc>
      </w:tr>
    </w:tbl>
    <w:p w14:paraId="4DF0E47B" w14:textId="7F1CD12A" w:rsidR="00775E22" w:rsidRPr="004863F3" w:rsidRDefault="00775E22" w:rsidP="00775E22">
      <w:pPr>
        <w:pStyle w:val="ChartandTableFootnoteAlpha"/>
      </w:pPr>
      <w:r w:rsidRPr="004863F3">
        <w:t>Gross debt measures the face value of Australian Government Securities (AGS) on issue</w:t>
      </w:r>
      <w:r w:rsidR="00D56669" w:rsidRPr="004863F3">
        <w:t xml:space="preserve"> and is presented as at the end of the financial year</w:t>
      </w:r>
      <w:r w:rsidRPr="004863F3">
        <w:t xml:space="preserve">. </w:t>
      </w:r>
    </w:p>
    <w:p w14:paraId="2D7A2D4F" w14:textId="5C983FE1" w:rsidR="00775E22" w:rsidRPr="004863F3" w:rsidRDefault="00775E22" w:rsidP="00775E22">
      <w:pPr>
        <w:pStyle w:val="ChartandTableFootnoteAlpha"/>
      </w:pPr>
      <w:r w:rsidRPr="004863F3">
        <w:t xml:space="preserve">Net debt is the sum of </w:t>
      </w:r>
      <w:proofErr w:type="gramStart"/>
      <w:r w:rsidRPr="004863F3">
        <w:t>interest bearing</w:t>
      </w:r>
      <w:proofErr w:type="gramEnd"/>
      <w:r w:rsidRPr="004863F3">
        <w:t xml:space="preserve"> liabilities (which includes AGS on issue measured at market value) less the sum of selected financial assets (cash and deposits, advances paid and investments, loans and placements)</w:t>
      </w:r>
      <w:r w:rsidR="00E66B53" w:rsidRPr="004863F3">
        <w:t xml:space="preserve"> and is presented as at the end of the financial year.</w:t>
      </w:r>
    </w:p>
    <w:p w14:paraId="4328F562" w14:textId="77777777" w:rsidR="00775E22" w:rsidRPr="004863F3" w:rsidRDefault="00775E22" w:rsidP="00A86602">
      <w:pPr>
        <w:pStyle w:val="TableLine"/>
      </w:pPr>
    </w:p>
    <w:p w14:paraId="29259C3C" w14:textId="18845ECC" w:rsidR="00B4431F" w:rsidRPr="004863F3" w:rsidRDefault="00C80689" w:rsidP="00A86602">
      <w:r w:rsidRPr="004863F3">
        <w:t>Real GDP grew by 1.3</w:t>
      </w:r>
      <w:r w:rsidR="008301F3" w:rsidRPr="004863F3">
        <w:t> </w:t>
      </w:r>
      <w:r w:rsidRPr="004863F3">
        <w:t>per</w:t>
      </w:r>
      <w:r w:rsidR="008301F3" w:rsidRPr="004863F3">
        <w:t> </w:t>
      </w:r>
      <w:r w:rsidRPr="004863F3">
        <w:t>cent in 2024–25, slightly below the 1½</w:t>
      </w:r>
      <w:r w:rsidR="008301F3" w:rsidRPr="004863F3">
        <w:t> </w:t>
      </w:r>
      <w:r w:rsidRPr="004863F3">
        <w:t>per</w:t>
      </w:r>
      <w:r w:rsidR="008301F3" w:rsidRPr="004863F3">
        <w:t> </w:t>
      </w:r>
      <w:r w:rsidRPr="004863F3">
        <w:t xml:space="preserve">cent forecast in the </w:t>
      </w:r>
      <w:r w:rsidR="004E1346" w:rsidRPr="004863F3">
        <w:t>2025</w:t>
      </w:r>
      <w:r w:rsidR="003D474B" w:rsidRPr="004863F3">
        <w:t>–</w:t>
      </w:r>
      <w:r w:rsidR="004E1346" w:rsidRPr="004863F3">
        <w:t xml:space="preserve">26 Budget and the 2025 </w:t>
      </w:r>
      <w:r w:rsidRPr="004863F3">
        <w:t xml:space="preserve">PEFO. </w:t>
      </w:r>
      <w:r w:rsidR="00A5214A" w:rsidRPr="004863F3">
        <w:t>The lower</w:t>
      </w:r>
      <w:r w:rsidR="001E171F" w:rsidRPr="004863F3">
        <w:noBreakHyphen/>
      </w:r>
      <w:r w:rsidR="00A5214A" w:rsidRPr="004863F3">
        <w:t>than</w:t>
      </w:r>
      <w:r w:rsidR="001E171F" w:rsidRPr="004863F3">
        <w:noBreakHyphen/>
      </w:r>
      <w:r w:rsidR="00A5214A" w:rsidRPr="004863F3">
        <w:t>expected growth reflect</w:t>
      </w:r>
      <w:r w:rsidR="00B161B3" w:rsidRPr="004863F3">
        <w:t>ed</w:t>
      </w:r>
      <w:r w:rsidR="00A5214A" w:rsidRPr="004863F3">
        <w:t xml:space="preserve"> weaker public final demand</w:t>
      </w:r>
      <w:r w:rsidRPr="004863F3" w:rsidDel="00A5214A">
        <w:t xml:space="preserve"> and </w:t>
      </w:r>
      <w:r w:rsidRPr="004863F3">
        <w:t>non</w:t>
      </w:r>
      <w:r w:rsidR="001E171F" w:rsidRPr="004863F3">
        <w:noBreakHyphen/>
      </w:r>
      <w:r w:rsidRPr="004863F3">
        <w:t>rural commodity exports</w:t>
      </w:r>
      <w:r w:rsidR="009F7E0A" w:rsidRPr="004863F3">
        <w:t xml:space="preserve">. </w:t>
      </w:r>
      <w:r w:rsidR="0030066D" w:rsidRPr="004863F3">
        <w:t xml:space="preserve">However, </w:t>
      </w:r>
      <w:r w:rsidR="00AF2A58" w:rsidRPr="004863F3">
        <w:t xml:space="preserve">the economy </w:t>
      </w:r>
      <w:r w:rsidR="000003BE" w:rsidRPr="004863F3">
        <w:t>grew</w:t>
      </w:r>
      <w:r w:rsidR="00EB3FA1" w:rsidRPr="004863F3">
        <w:t xml:space="preserve"> by</w:t>
      </w:r>
      <w:r w:rsidR="006A1FB8" w:rsidRPr="004863F3">
        <w:t xml:space="preserve"> 1.8 per cent </w:t>
      </w:r>
      <w:r w:rsidR="00466CFE" w:rsidRPr="004863F3">
        <w:t>through</w:t>
      </w:r>
      <w:r w:rsidR="000F1625" w:rsidRPr="004863F3">
        <w:t xml:space="preserve"> </w:t>
      </w:r>
      <w:r w:rsidR="00466CFE" w:rsidRPr="004863F3">
        <w:t>the</w:t>
      </w:r>
      <w:r w:rsidR="000F1625" w:rsidRPr="004863F3">
        <w:t xml:space="preserve"> </w:t>
      </w:r>
      <w:r w:rsidR="00466CFE" w:rsidRPr="004863F3">
        <w:t>year</w:t>
      </w:r>
      <w:r w:rsidR="000F1625" w:rsidRPr="004863F3">
        <w:t xml:space="preserve"> to the June quarter </w:t>
      </w:r>
      <w:r w:rsidR="001E171F" w:rsidRPr="004863F3">
        <w:t xml:space="preserve">– </w:t>
      </w:r>
      <w:r w:rsidR="006A1FB8" w:rsidRPr="004863F3">
        <w:t xml:space="preserve">the </w:t>
      </w:r>
      <w:r w:rsidR="0094169B" w:rsidRPr="004863F3">
        <w:t>strongest growth</w:t>
      </w:r>
      <w:r w:rsidR="006A1FB8" w:rsidRPr="004863F3">
        <w:t xml:space="preserve"> in almost two years.</w:t>
      </w:r>
    </w:p>
    <w:p w14:paraId="64D5FB00" w14:textId="01381199" w:rsidR="006456FE" w:rsidRPr="004863F3" w:rsidRDefault="001737EF" w:rsidP="00A86602">
      <w:r w:rsidRPr="004863F3">
        <w:t>While</w:t>
      </w:r>
      <w:r w:rsidR="0020318C" w:rsidRPr="004863F3">
        <w:t xml:space="preserve"> weaker than expec</w:t>
      </w:r>
      <w:r w:rsidR="003D5496" w:rsidRPr="004863F3">
        <w:t>ted</w:t>
      </w:r>
      <w:r w:rsidR="00517BCE" w:rsidRPr="004863F3">
        <w:t>, r</w:t>
      </w:r>
      <w:r w:rsidR="006159F7" w:rsidRPr="004863F3">
        <w:t>eal GDP growth over 2024</w:t>
      </w:r>
      <w:r w:rsidR="001E4CC5" w:rsidRPr="004863F3">
        <w:t>–</w:t>
      </w:r>
      <w:r w:rsidR="006159F7" w:rsidRPr="004863F3">
        <w:t>25 was</w:t>
      </w:r>
      <w:r w:rsidR="00DB7FAE" w:rsidRPr="004863F3">
        <w:t xml:space="preserve"> </w:t>
      </w:r>
      <w:r w:rsidR="23EDF6E0" w:rsidRPr="004863F3">
        <w:t xml:space="preserve">supported </w:t>
      </w:r>
      <w:r w:rsidR="00DB7FAE" w:rsidRPr="004863F3">
        <w:t>by a recovery in private sector</w:t>
      </w:r>
      <w:r w:rsidR="00C67A17" w:rsidRPr="004863F3">
        <w:t xml:space="preserve"> activity</w:t>
      </w:r>
      <w:r w:rsidR="00DB7FAE" w:rsidRPr="004863F3">
        <w:t xml:space="preserve">. </w:t>
      </w:r>
      <w:r w:rsidR="00C80689" w:rsidRPr="004863F3">
        <w:t>Th</w:t>
      </w:r>
      <w:r w:rsidR="00EF5A81" w:rsidRPr="004863F3">
        <w:t>is</w:t>
      </w:r>
      <w:r w:rsidR="00C80689" w:rsidRPr="004863F3">
        <w:t xml:space="preserve"> </w:t>
      </w:r>
      <w:r w:rsidR="003C1C5E" w:rsidRPr="004863F3">
        <w:t>pick</w:t>
      </w:r>
      <w:r w:rsidR="001E171F" w:rsidRPr="004863F3">
        <w:noBreakHyphen/>
      </w:r>
      <w:r w:rsidR="003C1C5E" w:rsidRPr="004863F3">
        <w:t>up</w:t>
      </w:r>
      <w:r w:rsidR="00362DFE" w:rsidRPr="004863F3">
        <w:t xml:space="preserve"> was driven by an improvement in consumption and dwelling investment. </w:t>
      </w:r>
      <w:r w:rsidR="004C5BE1" w:rsidRPr="004863F3">
        <w:t>Households</w:t>
      </w:r>
      <w:r w:rsidR="00C80689" w:rsidRPr="004863F3">
        <w:t xml:space="preserve"> </w:t>
      </w:r>
      <w:r w:rsidR="004C5BE1" w:rsidRPr="004863F3">
        <w:t>were</w:t>
      </w:r>
      <w:r w:rsidR="00C80689" w:rsidRPr="004863F3">
        <w:t xml:space="preserve"> supported by </w:t>
      </w:r>
      <w:r w:rsidR="003746FD" w:rsidRPr="004863F3">
        <w:t xml:space="preserve">rising </w:t>
      </w:r>
      <w:r w:rsidR="00362DFE" w:rsidRPr="004863F3">
        <w:t>real</w:t>
      </w:r>
      <w:r w:rsidR="002958CB" w:rsidRPr="004863F3">
        <w:t xml:space="preserve"> disposable</w:t>
      </w:r>
      <w:r w:rsidR="00362DFE" w:rsidRPr="004863F3">
        <w:t xml:space="preserve"> income</w:t>
      </w:r>
      <w:r w:rsidR="003746FD" w:rsidRPr="004863F3">
        <w:t>s</w:t>
      </w:r>
      <w:r w:rsidR="00362DFE" w:rsidRPr="004863F3">
        <w:t xml:space="preserve">, which </w:t>
      </w:r>
      <w:r w:rsidR="003746FD" w:rsidRPr="004863F3">
        <w:t>began to grow</w:t>
      </w:r>
      <w:r w:rsidR="00362DFE" w:rsidRPr="004863F3">
        <w:t xml:space="preserve"> again in 2024</w:t>
      </w:r>
      <w:r w:rsidR="001E4CC5" w:rsidRPr="004863F3">
        <w:t>–</w:t>
      </w:r>
      <w:r w:rsidR="00362DFE" w:rsidRPr="004863F3">
        <w:t>25</w:t>
      </w:r>
      <w:r w:rsidR="006C0813" w:rsidRPr="004863F3">
        <w:t xml:space="preserve"> due to a combination </w:t>
      </w:r>
      <w:r w:rsidR="00741C1A" w:rsidRPr="004863F3">
        <w:t>of moderating</w:t>
      </w:r>
      <w:r w:rsidR="00C80689" w:rsidRPr="004863F3">
        <w:t xml:space="preserve"> inflation, continued </w:t>
      </w:r>
      <w:r w:rsidR="006C0813" w:rsidRPr="004863F3">
        <w:t xml:space="preserve">wage and </w:t>
      </w:r>
      <w:r w:rsidR="00C80689" w:rsidRPr="004863F3">
        <w:t>employment growth</w:t>
      </w:r>
      <w:r w:rsidR="006C0813" w:rsidRPr="004863F3">
        <w:t>, tax cuts</w:t>
      </w:r>
      <w:r w:rsidR="00C80689" w:rsidRPr="004863F3">
        <w:t xml:space="preserve"> and </w:t>
      </w:r>
      <w:r w:rsidR="0029602F" w:rsidRPr="004863F3">
        <w:t xml:space="preserve">the </w:t>
      </w:r>
      <w:r w:rsidR="00C80689" w:rsidRPr="004863F3">
        <w:t xml:space="preserve">easing </w:t>
      </w:r>
      <w:r w:rsidR="0029602F" w:rsidRPr="004863F3">
        <w:t xml:space="preserve">in </w:t>
      </w:r>
      <w:r w:rsidR="00C80689" w:rsidRPr="004863F3">
        <w:t>interest rates.</w:t>
      </w:r>
    </w:p>
    <w:p w14:paraId="0B1580AD" w14:textId="1D07780A" w:rsidR="000A74A6" w:rsidRPr="004863F3" w:rsidRDefault="00557BDB" w:rsidP="00557BDB">
      <w:r w:rsidRPr="004863F3">
        <w:t>The labour market has remained resilient. The unemployment rate was 4.2</w:t>
      </w:r>
      <w:r w:rsidR="008301F3" w:rsidRPr="004863F3">
        <w:t> </w:t>
      </w:r>
      <w:r w:rsidRPr="004863F3">
        <w:t>per</w:t>
      </w:r>
      <w:r w:rsidR="008301F3" w:rsidRPr="004863F3">
        <w:t> </w:t>
      </w:r>
      <w:r w:rsidRPr="004863F3">
        <w:t xml:space="preserve">cent in the June quarter, </w:t>
      </w:r>
      <w:r w:rsidR="0029602F" w:rsidRPr="004863F3">
        <w:t>which was consistent</w:t>
      </w:r>
      <w:r w:rsidRPr="004863F3">
        <w:t xml:space="preserve"> with the forecast in the </w:t>
      </w:r>
      <w:r w:rsidR="004E1346" w:rsidRPr="004863F3">
        <w:t>2025</w:t>
      </w:r>
      <w:r w:rsidR="003D474B" w:rsidRPr="004863F3">
        <w:t>–</w:t>
      </w:r>
      <w:r w:rsidR="004E1346" w:rsidRPr="004863F3">
        <w:t>26 Budget and the</w:t>
      </w:r>
      <w:r w:rsidRPr="004863F3">
        <w:t xml:space="preserve"> </w:t>
      </w:r>
      <w:r w:rsidR="005A2B30" w:rsidRPr="004863F3">
        <w:t>2025</w:t>
      </w:r>
      <w:r w:rsidR="000706BC">
        <w:t> </w:t>
      </w:r>
      <w:r w:rsidRPr="004863F3">
        <w:t xml:space="preserve">PEFO and </w:t>
      </w:r>
      <w:r w:rsidR="00E61D27" w:rsidRPr="004863F3">
        <w:t>remains historically</w:t>
      </w:r>
      <w:r w:rsidRPr="004863F3">
        <w:t xml:space="preserve"> low. Employment grew by 2.</w:t>
      </w:r>
      <w:r w:rsidR="00F34A89" w:rsidRPr="004863F3">
        <w:t>2</w:t>
      </w:r>
      <w:r w:rsidR="008301F3" w:rsidRPr="004863F3">
        <w:t> </w:t>
      </w:r>
      <w:r w:rsidRPr="004863F3">
        <w:t>per</w:t>
      </w:r>
      <w:r w:rsidR="008301F3" w:rsidRPr="004863F3">
        <w:t> </w:t>
      </w:r>
      <w:r w:rsidRPr="004863F3">
        <w:t xml:space="preserve">cent through the year to the June quarter, </w:t>
      </w:r>
      <w:r w:rsidR="00055243" w:rsidRPr="004863F3">
        <w:t xml:space="preserve">which was </w:t>
      </w:r>
      <w:r w:rsidR="00656D7A" w:rsidRPr="004863F3">
        <w:t xml:space="preserve">slightly </w:t>
      </w:r>
      <w:r w:rsidRPr="004863F3">
        <w:t xml:space="preserve">lower than the </w:t>
      </w:r>
      <w:r w:rsidR="00656D7A" w:rsidRPr="004863F3">
        <w:t xml:space="preserve">2025-26 </w:t>
      </w:r>
      <w:r w:rsidR="004E1346" w:rsidRPr="004863F3">
        <w:t xml:space="preserve">Budget and </w:t>
      </w:r>
      <w:r w:rsidR="00656D7A" w:rsidRPr="004863F3">
        <w:t xml:space="preserve">2025 </w:t>
      </w:r>
      <w:r w:rsidRPr="004863F3">
        <w:t>PEFO forecast of 2¾</w:t>
      </w:r>
      <w:r w:rsidR="008301F3" w:rsidRPr="004863F3">
        <w:t> </w:t>
      </w:r>
      <w:r w:rsidRPr="004863F3">
        <w:t>per</w:t>
      </w:r>
      <w:r w:rsidR="008301F3" w:rsidRPr="004863F3">
        <w:t> </w:t>
      </w:r>
      <w:r w:rsidRPr="004863F3">
        <w:t>cent.</w:t>
      </w:r>
    </w:p>
    <w:p w14:paraId="6CF0A94F" w14:textId="3F9619E2" w:rsidR="00557BDB" w:rsidRPr="004863F3" w:rsidRDefault="00557BDB" w:rsidP="00557BDB">
      <w:r w:rsidRPr="004863F3">
        <w:t xml:space="preserve">The Wage Price Index </w:t>
      </w:r>
      <w:r w:rsidR="01BFD56E" w:rsidRPr="004863F3">
        <w:t xml:space="preserve">(WPI) </w:t>
      </w:r>
      <w:r w:rsidRPr="004863F3">
        <w:t>rose by 3.4</w:t>
      </w:r>
      <w:r w:rsidR="002D1A1A" w:rsidRPr="004863F3">
        <w:t> </w:t>
      </w:r>
      <w:r w:rsidRPr="004863F3">
        <w:t>per</w:t>
      </w:r>
      <w:r w:rsidR="008301F3" w:rsidRPr="004863F3">
        <w:t> </w:t>
      </w:r>
      <w:r w:rsidRPr="004863F3">
        <w:t xml:space="preserve">cent through the year to the June quarter, which was </w:t>
      </w:r>
      <w:r w:rsidR="00656D7A" w:rsidRPr="004863F3">
        <w:t xml:space="preserve">stronger </w:t>
      </w:r>
      <w:r w:rsidRPr="004863F3">
        <w:t xml:space="preserve">than </w:t>
      </w:r>
      <w:r w:rsidR="006F4DE5" w:rsidRPr="004863F3">
        <w:t xml:space="preserve">the 3 per cent </w:t>
      </w:r>
      <w:r w:rsidRPr="004863F3">
        <w:t xml:space="preserve">forecast in the </w:t>
      </w:r>
      <w:r w:rsidR="00B568BE" w:rsidRPr="004863F3">
        <w:t>2025</w:t>
      </w:r>
      <w:r w:rsidR="001E4CC5" w:rsidRPr="004863F3">
        <w:t>–</w:t>
      </w:r>
      <w:r w:rsidR="00B568BE" w:rsidRPr="004863F3">
        <w:t>26</w:t>
      </w:r>
      <w:r w:rsidRPr="004863F3">
        <w:t xml:space="preserve"> </w:t>
      </w:r>
      <w:r w:rsidR="007C4836" w:rsidRPr="004863F3">
        <w:t xml:space="preserve">Budget and </w:t>
      </w:r>
      <w:r w:rsidR="00416103" w:rsidRPr="004863F3">
        <w:t xml:space="preserve">the </w:t>
      </w:r>
      <w:r w:rsidR="00B568BE" w:rsidRPr="004863F3">
        <w:t>2025</w:t>
      </w:r>
      <w:r w:rsidR="00416103" w:rsidRPr="004863F3">
        <w:t xml:space="preserve"> </w:t>
      </w:r>
      <w:r w:rsidRPr="004863F3">
        <w:t>PEFO.</w:t>
      </w:r>
      <w:r w:rsidR="00FA129E" w:rsidRPr="004863F3">
        <w:t xml:space="preserve"> </w:t>
      </w:r>
      <w:r w:rsidR="4645386C" w:rsidRPr="004863F3">
        <w:t>Real wages</w:t>
      </w:r>
      <w:r w:rsidR="750F51C7" w:rsidRPr="004863F3">
        <w:t>, as measured by gro</w:t>
      </w:r>
      <w:r w:rsidR="41FA1B92" w:rsidRPr="004863F3">
        <w:t xml:space="preserve">wth in </w:t>
      </w:r>
      <w:r w:rsidR="004B5081" w:rsidRPr="004863F3">
        <w:t>the</w:t>
      </w:r>
      <w:r w:rsidR="41FA1B92" w:rsidRPr="004863F3">
        <w:t xml:space="preserve"> </w:t>
      </w:r>
      <w:r w:rsidR="750F51C7" w:rsidRPr="004863F3">
        <w:t xml:space="preserve">WPI </w:t>
      </w:r>
      <w:r w:rsidR="18CBCEAC" w:rsidRPr="004863F3">
        <w:t>relative to</w:t>
      </w:r>
      <w:r w:rsidR="750F51C7" w:rsidRPr="004863F3">
        <w:t xml:space="preserve"> </w:t>
      </w:r>
      <w:r w:rsidR="008F40E2" w:rsidRPr="004863F3">
        <w:t>growth in the</w:t>
      </w:r>
      <w:r w:rsidR="750F51C7" w:rsidRPr="004863F3">
        <w:t xml:space="preserve"> headline</w:t>
      </w:r>
      <w:r w:rsidR="003A1BE6" w:rsidRPr="004863F3">
        <w:t xml:space="preserve"> CPI</w:t>
      </w:r>
      <w:r w:rsidR="750F51C7" w:rsidRPr="004863F3">
        <w:t>,</w:t>
      </w:r>
      <w:r w:rsidR="4645386C" w:rsidRPr="004863F3">
        <w:t xml:space="preserve"> </w:t>
      </w:r>
      <w:r w:rsidR="00FA129E" w:rsidRPr="004863F3">
        <w:t>grew 1.3</w:t>
      </w:r>
      <w:r w:rsidR="008301F3" w:rsidRPr="004863F3">
        <w:t> </w:t>
      </w:r>
      <w:r w:rsidR="00FA129E" w:rsidRPr="004863F3">
        <w:t>per</w:t>
      </w:r>
      <w:r w:rsidR="008301F3" w:rsidRPr="004863F3">
        <w:t> </w:t>
      </w:r>
      <w:r w:rsidR="00FA129E" w:rsidRPr="004863F3">
        <w:t>cent through the year to the June quarter</w:t>
      </w:r>
      <w:r w:rsidR="00F31ECB" w:rsidRPr="004863F3">
        <w:t>. This is</w:t>
      </w:r>
      <w:r w:rsidR="00FA129E" w:rsidRPr="004863F3">
        <w:t xml:space="preserve"> the strongest rate </w:t>
      </w:r>
      <w:r w:rsidR="00F31ECB" w:rsidRPr="004863F3">
        <w:t xml:space="preserve">of real wage growth </w:t>
      </w:r>
      <w:r w:rsidR="00FA129E" w:rsidRPr="004863F3">
        <w:t xml:space="preserve">in five years and </w:t>
      </w:r>
      <w:r w:rsidR="00AE1E57" w:rsidRPr="004863F3">
        <w:t xml:space="preserve">more than </w:t>
      </w:r>
      <w:r w:rsidR="5D3E7FB0" w:rsidRPr="004863F3">
        <w:t>double</w:t>
      </w:r>
      <w:r w:rsidR="00FA129E" w:rsidRPr="004863F3">
        <w:t xml:space="preserve"> the ½</w:t>
      </w:r>
      <w:r w:rsidR="008301F3" w:rsidRPr="004863F3">
        <w:t> </w:t>
      </w:r>
      <w:r w:rsidR="00FA129E" w:rsidRPr="004863F3">
        <w:t>per</w:t>
      </w:r>
      <w:r w:rsidR="008301F3" w:rsidRPr="004863F3">
        <w:t> </w:t>
      </w:r>
      <w:r w:rsidR="00FA129E" w:rsidRPr="004863F3">
        <w:t xml:space="preserve">cent forecast at the </w:t>
      </w:r>
      <w:r w:rsidR="00B779C6" w:rsidRPr="004863F3">
        <w:t>2025</w:t>
      </w:r>
      <w:r w:rsidR="00C0222E" w:rsidRPr="004863F3">
        <w:t>–</w:t>
      </w:r>
      <w:r w:rsidR="00B779C6" w:rsidRPr="004863F3">
        <w:t xml:space="preserve">26 </w:t>
      </w:r>
      <w:r w:rsidR="000D3361" w:rsidRPr="004863F3">
        <w:t>Budget and</w:t>
      </w:r>
      <w:r w:rsidR="00FA129E" w:rsidRPr="004863F3">
        <w:t xml:space="preserve"> </w:t>
      </w:r>
      <w:r w:rsidR="00B779C6" w:rsidRPr="004863F3">
        <w:t xml:space="preserve">2025 </w:t>
      </w:r>
      <w:r w:rsidR="00FA129E" w:rsidRPr="004863F3">
        <w:t>PEFO.</w:t>
      </w:r>
    </w:p>
    <w:p w14:paraId="29E2E656" w14:textId="230FED0C" w:rsidR="001772AE" w:rsidRPr="004863F3" w:rsidRDefault="00413FB4" w:rsidP="001772AE">
      <w:r w:rsidRPr="004863F3">
        <w:lastRenderedPageBreak/>
        <w:t>During 2024</w:t>
      </w:r>
      <w:r w:rsidR="001E4CC5" w:rsidRPr="004863F3">
        <w:t>–</w:t>
      </w:r>
      <w:r w:rsidRPr="004863F3">
        <w:t>25, i</w:t>
      </w:r>
      <w:r w:rsidR="001772AE" w:rsidRPr="004863F3">
        <w:t>nflation returned to the Reserve Bank of Australia</w:t>
      </w:r>
      <w:r w:rsidR="001E171F" w:rsidRPr="004863F3">
        <w:rPr>
          <w:szCs w:val="19"/>
        </w:rPr>
        <w:t>’</w:t>
      </w:r>
      <w:r w:rsidR="001772AE" w:rsidRPr="004863F3">
        <w:t>s target band</w:t>
      </w:r>
      <w:r w:rsidR="001F4A02" w:rsidRPr="004863F3">
        <w:t xml:space="preserve"> in both headline and underlying terms</w:t>
      </w:r>
      <w:r w:rsidR="001772AE" w:rsidRPr="004863F3">
        <w:t>. Headline inflation was 2.1</w:t>
      </w:r>
      <w:r w:rsidR="008301F3" w:rsidRPr="004863F3">
        <w:t> </w:t>
      </w:r>
      <w:r w:rsidR="001772AE" w:rsidRPr="004863F3">
        <w:t>per</w:t>
      </w:r>
      <w:r w:rsidR="008301F3" w:rsidRPr="004863F3">
        <w:t> </w:t>
      </w:r>
      <w:r w:rsidR="001772AE" w:rsidRPr="004863F3">
        <w:t>cent through the year to the June quarter,</w:t>
      </w:r>
      <w:r w:rsidR="00B27250" w:rsidRPr="004863F3">
        <w:rPr>
          <w:szCs w:val="19"/>
        </w:rPr>
        <w:t xml:space="preserve"> </w:t>
      </w:r>
      <w:r w:rsidR="000A0256" w:rsidRPr="004863F3">
        <w:t xml:space="preserve">which was </w:t>
      </w:r>
      <w:r w:rsidR="00B27250" w:rsidRPr="004863F3">
        <w:t>lower than</w:t>
      </w:r>
      <w:r w:rsidR="337D656F" w:rsidRPr="004863F3">
        <w:t xml:space="preserve"> the</w:t>
      </w:r>
      <w:r w:rsidR="00B27250" w:rsidRPr="004863F3">
        <w:t xml:space="preserve"> forecast </w:t>
      </w:r>
      <w:r w:rsidR="000A0256" w:rsidRPr="004863F3">
        <w:t xml:space="preserve">of </w:t>
      </w:r>
      <w:r w:rsidR="31570283" w:rsidRPr="004863F3">
        <w:t>2½</w:t>
      </w:r>
      <w:r w:rsidR="008301F3" w:rsidRPr="004863F3">
        <w:t> </w:t>
      </w:r>
      <w:r w:rsidR="00A232F2" w:rsidRPr="004863F3">
        <w:t>per</w:t>
      </w:r>
      <w:r w:rsidR="008301F3" w:rsidRPr="004863F3">
        <w:t> </w:t>
      </w:r>
      <w:r w:rsidR="00A232F2" w:rsidRPr="004863F3">
        <w:t>cent</w:t>
      </w:r>
      <w:r w:rsidR="31570283" w:rsidRPr="004863F3">
        <w:t xml:space="preserve"> </w:t>
      </w:r>
      <w:r w:rsidR="00B27250" w:rsidRPr="004863F3">
        <w:t>in the 2025–26 Budget and the 2025 PEFO</w:t>
      </w:r>
      <w:r w:rsidR="00B27250" w:rsidRPr="004863F3">
        <w:rPr>
          <w:szCs w:val="19"/>
        </w:rPr>
        <w:t xml:space="preserve">. </w:t>
      </w:r>
      <w:r w:rsidR="001772AE" w:rsidRPr="004863F3">
        <w:t>This outcome reflects weaker</w:t>
      </w:r>
      <w:r w:rsidR="001E171F" w:rsidRPr="004863F3">
        <w:rPr>
          <w:szCs w:val="19"/>
        </w:rPr>
        <w:noBreakHyphen/>
      </w:r>
      <w:r w:rsidR="001772AE" w:rsidRPr="004863F3">
        <w:t>than</w:t>
      </w:r>
      <w:r w:rsidR="001E171F" w:rsidRPr="004863F3">
        <w:rPr>
          <w:szCs w:val="19"/>
        </w:rPr>
        <w:noBreakHyphen/>
      </w:r>
      <w:r w:rsidR="001772AE" w:rsidRPr="004863F3">
        <w:t xml:space="preserve">expected price increases for </w:t>
      </w:r>
      <w:r w:rsidR="00A87772" w:rsidRPr="004863F3">
        <w:t>energy</w:t>
      </w:r>
      <w:r w:rsidR="001772AE" w:rsidRPr="004863F3">
        <w:t>, automotive fuel, housing and insurance.</w:t>
      </w:r>
    </w:p>
    <w:p w14:paraId="55697CC7" w14:textId="10A6B2A2" w:rsidR="00FA355D" w:rsidRPr="004863F3" w:rsidRDefault="001A1643">
      <w:pPr>
        <w:rPr>
          <w:rFonts w:ascii="Arial Bold" w:hAnsi="Arial Bold"/>
          <w:b/>
          <w:sz w:val="26"/>
        </w:rPr>
      </w:pPr>
      <w:r w:rsidRPr="004863F3">
        <w:rPr>
          <w:szCs w:val="19"/>
        </w:rPr>
        <w:t>Nominal GDP grew by 3.7</w:t>
      </w:r>
      <w:r w:rsidR="008301F3" w:rsidRPr="004863F3">
        <w:rPr>
          <w:szCs w:val="19"/>
        </w:rPr>
        <w:t> </w:t>
      </w:r>
      <w:r w:rsidRPr="004863F3">
        <w:rPr>
          <w:szCs w:val="19"/>
        </w:rPr>
        <w:t>per</w:t>
      </w:r>
      <w:r w:rsidR="008301F3" w:rsidRPr="004863F3">
        <w:rPr>
          <w:szCs w:val="19"/>
        </w:rPr>
        <w:t> </w:t>
      </w:r>
      <w:r w:rsidRPr="004863F3">
        <w:rPr>
          <w:szCs w:val="19"/>
        </w:rPr>
        <w:t>cent in 2024–25</w:t>
      </w:r>
      <w:r w:rsidR="00F31ECB" w:rsidRPr="004863F3">
        <w:rPr>
          <w:szCs w:val="19"/>
        </w:rPr>
        <w:t xml:space="preserve"> and was </w:t>
      </w:r>
      <w:r w:rsidRPr="004863F3">
        <w:rPr>
          <w:szCs w:val="19"/>
        </w:rPr>
        <w:t>lower than the 4¼</w:t>
      </w:r>
      <w:r w:rsidR="008301F3" w:rsidRPr="004863F3">
        <w:rPr>
          <w:szCs w:val="19"/>
        </w:rPr>
        <w:t> </w:t>
      </w:r>
      <w:r w:rsidRPr="004863F3">
        <w:rPr>
          <w:szCs w:val="19"/>
        </w:rPr>
        <w:t>per</w:t>
      </w:r>
      <w:r w:rsidR="008301F3" w:rsidRPr="004863F3">
        <w:rPr>
          <w:szCs w:val="19"/>
        </w:rPr>
        <w:t> </w:t>
      </w:r>
      <w:r w:rsidRPr="004863F3">
        <w:rPr>
          <w:szCs w:val="19"/>
        </w:rPr>
        <w:t xml:space="preserve">cent forecast in the </w:t>
      </w:r>
      <w:r w:rsidR="00F4099C" w:rsidRPr="004863F3">
        <w:rPr>
          <w:szCs w:val="19"/>
        </w:rPr>
        <w:t xml:space="preserve">2025–26 </w:t>
      </w:r>
      <w:r w:rsidR="00D9740D" w:rsidRPr="004863F3">
        <w:rPr>
          <w:szCs w:val="19"/>
        </w:rPr>
        <w:t xml:space="preserve">Budget and the 2025 </w:t>
      </w:r>
      <w:r w:rsidRPr="004863F3">
        <w:rPr>
          <w:szCs w:val="19"/>
        </w:rPr>
        <w:t xml:space="preserve">PEFO. This </w:t>
      </w:r>
      <w:r w:rsidR="000A685B" w:rsidRPr="004863F3">
        <w:rPr>
          <w:szCs w:val="19"/>
        </w:rPr>
        <w:t>was the result of</w:t>
      </w:r>
      <w:r w:rsidRPr="004863F3">
        <w:rPr>
          <w:szCs w:val="19"/>
        </w:rPr>
        <w:t xml:space="preserve"> lower</w:t>
      </w:r>
      <w:r w:rsidR="001E171F" w:rsidRPr="004863F3">
        <w:rPr>
          <w:szCs w:val="19"/>
        </w:rPr>
        <w:noBreakHyphen/>
      </w:r>
      <w:r w:rsidRPr="004863F3">
        <w:rPr>
          <w:szCs w:val="19"/>
        </w:rPr>
        <w:t>than</w:t>
      </w:r>
      <w:r w:rsidR="001E171F" w:rsidRPr="004863F3">
        <w:rPr>
          <w:szCs w:val="19"/>
        </w:rPr>
        <w:noBreakHyphen/>
      </w:r>
      <w:r w:rsidRPr="004863F3">
        <w:rPr>
          <w:szCs w:val="19"/>
        </w:rPr>
        <w:t>expected real GDP growth and lower</w:t>
      </w:r>
      <w:r w:rsidR="001E171F" w:rsidRPr="004863F3">
        <w:rPr>
          <w:szCs w:val="19"/>
        </w:rPr>
        <w:noBreakHyphen/>
      </w:r>
      <w:r w:rsidRPr="004863F3">
        <w:rPr>
          <w:szCs w:val="19"/>
        </w:rPr>
        <w:t>than</w:t>
      </w:r>
      <w:r w:rsidR="001E171F" w:rsidRPr="004863F3">
        <w:rPr>
          <w:szCs w:val="19"/>
        </w:rPr>
        <w:noBreakHyphen/>
      </w:r>
      <w:r w:rsidRPr="004863F3">
        <w:rPr>
          <w:szCs w:val="19"/>
        </w:rPr>
        <w:t>expected growth in prices across the economy.</w:t>
      </w:r>
      <w:r w:rsidR="00FA355D" w:rsidRPr="004863F3">
        <w:br w:type="page"/>
      </w:r>
    </w:p>
    <w:p w14:paraId="2AC41F36" w14:textId="53D2B4A8" w:rsidR="00340FCB" w:rsidRPr="004863F3" w:rsidRDefault="00340FCB" w:rsidP="00340FCB">
      <w:pPr>
        <w:pStyle w:val="Heading2"/>
      </w:pPr>
      <w:r w:rsidRPr="004863F3">
        <w:lastRenderedPageBreak/>
        <w:t>Budget aggregates</w:t>
      </w:r>
    </w:p>
    <w:p w14:paraId="1A219F8F" w14:textId="31074633" w:rsidR="0030573D" w:rsidRPr="004863F3" w:rsidRDefault="00340FCB" w:rsidP="0030573D">
      <w:pPr>
        <w:pStyle w:val="TableHeading"/>
        <w:rPr>
          <w:rFonts w:eastAsiaTheme="minorHAnsi"/>
          <w:color w:val="000000"/>
          <w:sz w:val="16"/>
        </w:rPr>
      </w:pPr>
      <w:r w:rsidRPr="004863F3">
        <w:t>Table 1.2: Australian Government general government sector budget aggregates</w:t>
      </w:r>
      <w:bookmarkStart w:id="0" w:name="_1820055025"/>
      <w:bookmarkEnd w:id="0"/>
    </w:p>
    <w:tbl>
      <w:tblPr>
        <w:tblW w:w="5000" w:type="pct"/>
        <w:tblCellMar>
          <w:left w:w="0" w:type="dxa"/>
          <w:right w:w="28" w:type="dxa"/>
        </w:tblCellMar>
        <w:tblLook w:val="04A0" w:firstRow="1" w:lastRow="0" w:firstColumn="1" w:lastColumn="0" w:noHBand="0" w:noVBand="1"/>
      </w:tblPr>
      <w:tblGrid>
        <w:gridCol w:w="3105"/>
        <w:gridCol w:w="911"/>
        <w:gridCol w:w="928"/>
        <w:gridCol w:w="928"/>
        <w:gridCol w:w="910"/>
        <w:gridCol w:w="928"/>
      </w:tblGrid>
      <w:tr w:rsidR="0030573D" w:rsidRPr="004863F3" w14:paraId="2D1F2126" w14:textId="77777777" w:rsidTr="00401EE4">
        <w:trPr>
          <w:trHeight w:hRule="exact" w:val="225"/>
        </w:trPr>
        <w:tc>
          <w:tcPr>
            <w:tcW w:w="2013" w:type="pct"/>
            <w:tcBorders>
              <w:top w:val="single" w:sz="4" w:space="0" w:color="293F5B"/>
              <w:left w:val="nil"/>
              <w:bottom w:val="nil"/>
              <w:right w:val="nil"/>
            </w:tcBorders>
            <w:shd w:val="clear" w:color="000000" w:fill="FFFFFF"/>
            <w:noWrap/>
            <w:vAlign w:val="center"/>
            <w:hideMark/>
          </w:tcPr>
          <w:p w14:paraId="4AEE3C2F" w14:textId="349A2F9E"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90" w:type="pct"/>
            <w:tcBorders>
              <w:top w:val="single" w:sz="4" w:space="0" w:color="293F5B"/>
              <w:left w:val="nil"/>
              <w:bottom w:val="nil"/>
              <w:right w:val="nil"/>
            </w:tcBorders>
            <w:shd w:val="clear" w:color="000000" w:fill="FFFFFF"/>
            <w:noWrap/>
            <w:vAlign w:val="center"/>
            <w:hideMark/>
          </w:tcPr>
          <w:p w14:paraId="3087B483" w14:textId="4EDF580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602" w:type="pct"/>
            <w:tcBorders>
              <w:top w:val="single" w:sz="4" w:space="0" w:color="293F5B"/>
              <w:left w:val="nil"/>
              <w:bottom w:val="nil"/>
              <w:right w:val="nil"/>
            </w:tcBorders>
            <w:shd w:val="clear" w:color="000000" w:fill="FFFFFF"/>
            <w:noWrap/>
            <w:vAlign w:val="center"/>
            <w:hideMark/>
          </w:tcPr>
          <w:p w14:paraId="6124CC78" w14:textId="7ACAEE4F"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602" w:type="pct"/>
            <w:tcBorders>
              <w:top w:val="single" w:sz="4" w:space="0" w:color="293F5B"/>
              <w:left w:val="nil"/>
              <w:bottom w:val="nil"/>
              <w:right w:val="nil"/>
            </w:tcBorders>
            <w:shd w:val="clear" w:color="000000" w:fill="E6F2FF"/>
            <w:noWrap/>
            <w:vAlign w:val="center"/>
            <w:hideMark/>
          </w:tcPr>
          <w:p w14:paraId="5BC5115A" w14:textId="717C9ACC"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590" w:type="pct"/>
            <w:tcBorders>
              <w:top w:val="single" w:sz="4" w:space="0" w:color="293F5B"/>
              <w:left w:val="nil"/>
              <w:bottom w:val="nil"/>
              <w:right w:val="nil"/>
            </w:tcBorders>
            <w:shd w:val="clear" w:color="000000" w:fill="FFFFFF"/>
            <w:noWrap/>
            <w:vAlign w:val="center"/>
            <w:hideMark/>
          </w:tcPr>
          <w:p w14:paraId="323789E8"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Change on</w:t>
            </w:r>
          </w:p>
        </w:tc>
        <w:tc>
          <w:tcPr>
            <w:tcW w:w="602" w:type="pct"/>
            <w:tcBorders>
              <w:top w:val="single" w:sz="4" w:space="0" w:color="293F5B"/>
              <w:left w:val="nil"/>
              <w:bottom w:val="nil"/>
              <w:right w:val="nil"/>
            </w:tcBorders>
            <w:shd w:val="clear" w:color="000000" w:fill="FFFFFF"/>
            <w:noWrap/>
            <w:vAlign w:val="center"/>
            <w:hideMark/>
          </w:tcPr>
          <w:p w14:paraId="17B24574"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Change on</w:t>
            </w:r>
          </w:p>
        </w:tc>
      </w:tr>
      <w:tr w:rsidR="0030573D" w:rsidRPr="004863F3" w14:paraId="5FF0CAFB"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1E477683"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369A52E9"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602" w:type="pct"/>
            <w:tcBorders>
              <w:top w:val="nil"/>
              <w:left w:val="nil"/>
              <w:bottom w:val="nil"/>
              <w:right w:val="nil"/>
            </w:tcBorders>
            <w:shd w:val="clear" w:color="000000" w:fill="FFFFFF"/>
            <w:noWrap/>
            <w:vAlign w:val="center"/>
            <w:hideMark/>
          </w:tcPr>
          <w:p w14:paraId="596B8DE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602" w:type="pct"/>
            <w:tcBorders>
              <w:top w:val="nil"/>
              <w:left w:val="nil"/>
              <w:bottom w:val="nil"/>
              <w:right w:val="nil"/>
            </w:tcBorders>
            <w:shd w:val="clear" w:color="000000" w:fill="E6F2FF"/>
            <w:noWrap/>
            <w:vAlign w:val="center"/>
            <w:hideMark/>
          </w:tcPr>
          <w:p w14:paraId="0E2EFDC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Outcome</w:t>
            </w:r>
          </w:p>
        </w:tc>
        <w:tc>
          <w:tcPr>
            <w:tcW w:w="590" w:type="pct"/>
            <w:tcBorders>
              <w:top w:val="nil"/>
              <w:left w:val="nil"/>
              <w:bottom w:val="nil"/>
              <w:right w:val="nil"/>
            </w:tcBorders>
            <w:shd w:val="clear" w:color="000000" w:fill="FFFFFF"/>
            <w:noWrap/>
            <w:vAlign w:val="center"/>
            <w:hideMark/>
          </w:tcPr>
          <w:p w14:paraId="3BC9A91C" w14:textId="6BFB129A"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c>
          <w:tcPr>
            <w:tcW w:w="602" w:type="pct"/>
            <w:tcBorders>
              <w:top w:val="nil"/>
              <w:left w:val="nil"/>
              <w:bottom w:val="nil"/>
              <w:right w:val="nil"/>
            </w:tcBorders>
            <w:shd w:val="clear" w:color="000000" w:fill="FFFFFF"/>
            <w:noWrap/>
            <w:vAlign w:val="center"/>
            <w:hideMark/>
          </w:tcPr>
          <w:p w14:paraId="42696266"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2025</w:t>
            </w:r>
          </w:p>
        </w:tc>
      </w:tr>
      <w:tr w:rsidR="0030573D" w:rsidRPr="004863F3" w14:paraId="41FD54BC"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33A7D68D"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48DEB11E" w14:textId="64828A45"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c>
          <w:tcPr>
            <w:tcW w:w="602" w:type="pct"/>
            <w:tcBorders>
              <w:top w:val="nil"/>
              <w:left w:val="nil"/>
              <w:bottom w:val="nil"/>
              <w:right w:val="nil"/>
            </w:tcBorders>
            <w:shd w:val="clear" w:color="000000" w:fill="FFFFFF"/>
            <w:noWrap/>
            <w:vAlign w:val="center"/>
            <w:hideMark/>
          </w:tcPr>
          <w:p w14:paraId="223DBA3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2025</w:t>
            </w:r>
          </w:p>
        </w:tc>
        <w:tc>
          <w:tcPr>
            <w:tcW w:w="602" w:type="pct"/>
            <w:tcBorders>
              <w:top w:val="nil"/>
              <w:left w:val="nil"/>
              <w:bottom w:val="nil"/>
              <w:right w:val="nil"/>
            </w:tcBorders>
            <w:shd w:val="clear" w:color="000000" w:fill="E6F2FF"/>
            <w:noWrap/>
            <w:vAlign w:val="center"/>
            <w:hideMark/>
          </w:tcPr>
          <w:p w14:paraId="351CD207"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2DB2236C"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602" w:type="pct"/>
            <w:tcBorders>
              <w:top w:val="nil"/>
              <w:left w:val="nil"/>
              <w:bottom w:val="nil"/>
              <w:right w:val="nil"/>
            </w:tcBorders>
            <w:shd w:val="clear" w:color="000000" w:fill="FFFFFF"/>
            <w:noWrap/>
            <w:vAlign w:val="center"/>
            <w:hideMark/>
          </w:tcPr>
          <w:p w14:paraId="2605A7A6"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PEFO</w:t>
            </w:r>
          </w:p>
        </w:tc>
      </w:tr>
      <w:tr w:rsidR="0030573D" w:rsidRPr="004863F3" w14:paraId="3F09D627"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2EA88A70"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12D3B1DF"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602" w:type="pct"/>
            <w:tcBorders>
              <w:top w:val="nil"/>
              <w:left w:val="nil"/>
              <w:bottom w:val="nil"/>
              <w:right w:val="nil"/>
            </w:tcBorders>
            <w:shd w:val="clear" w:color="000000" w:fill="FFFFFF"/>
            <w:noWrap/>
            <w:vAlign w:val="center"/>
            <w:hideMark/>
          </w:tcPr>
          <w:p w14:paraId="5E5B80EA"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PEFO</w:t>
            </w:r>
          </w:p>
        </w:tc>
        <w:tc>
          <w:tcPr>
            <w:tcW w:w="602" w:type="pct"/>
            <w:tcBorders>
              <w:top w:val="nil"/>
              <w:left w:val="nil"/>
              <w:bottom w:val="nil"/>
              <w:right w:val="nil"/>
            </w:tcBorders>
            <w:shd w:val="clear" w:color="000000" w:fill="E6F2FF"/>
            <w:noWrap/>
            <w:vAlign w:val="center"/>
            <w:hideMark/>
          </w:tcPr>
          <w:p w14:paraId="776D8717"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3FE487C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3D38971C"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744FE5BB"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77696CDB"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single" w:sz="4" w:space="0" w:color="293F5B"/>
              <w:right w:val="nil"/>
            </w:tcBorders>
            <w:shd w:val="clear" w:color="000000" w:fill="FFFFFF"/>
            <w:noWrap/>
            <w:vAlign w:val="center"/>
            <w:hideMark/>
          </w:tcPr>
          <w:p w14:paraId="228213D5"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602" w:type="pct"/>
            <w:tcBorders>
              <w:top w:val="nil"/>
              <w:left w:val="nil"/>
              <w:bottom w:val="single" w:sz="4" w:space="0" w:color="293F5B"/>
              <w:right w:val="nil"/>
            </w:tcBorders>
            <w:shd w:val="clear" w:color="000000" w:fill="FFFFFF"/>
            <w:noWrap/>
            <w:vAlign w:val="center"/>
            <w:hideMark/>
          </w:tcPr>
          <w:p w14:paraId="733F9909"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602" w:type="pct"/>
            <w:tcBorders>
              <w:top w:val="nil"/>
              <w:left w:val="nil"/>
              <w:bottom w:val="single" w:sz="4" w:space="0" w:color="293F5B"/>
              <w:right w:val="nil"/>
            </w:tcBorders>
            <w:shd w:val="clear" w:color="000000" w:fill="E6F2FF"/>
            <w:noWrap/>
            <w:vAlign w:val="center"/>
            <w:hideMark/>
          </w:tcPr>
          <w:p w14:paraId="69DED31F"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590" w:type="pct"/>
            <w:tcBorders>
              <w:top w:val="nil"/>
              <w:left w:val="nil"/>
              <w:bottom w:val="single" w:sz="4" w:space="0" w:color="293F5B"/>
              <w:right w:val="nil"/>
            </w:tcBorders>
            <w:shd w:val="clear" w:color="000000" w:fill="FFFFFF"/>
            <w:noWrap/>
            <w:vAlign w:val="center"/>
            <w:hideMark/>
          </w:tcPr>
          <w:p w14:paraId="245638FC"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c>
          <w:tcPr>
            <w:tcW w:w="602" w:type="pct"/>
            <w:tcBorders>
              <w:top w:val="nil"/>
              <w:left w:val="nil"/>
              <w:bottom w:val="single" w:sz="4" w:space="0" w:color="293F5B"/>
              <w:right w:val="nil"/>
            </w:tcBorders>
            <w:shd w:val="clear" w:color="000000" w:fill="FFFFFF"/>
            <w:noWrap/>
            <w:vAlign w:val="center"/>
            <w:hideMark/>
          </w:tcPr>
          <w:p w14:paraId="1AD4E488"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w:t>
            </w:r>
          </w:p>
        </w:tc>
      </w:tr>
      <w:tr w:rsidR="0030573D" w:rsidRPr="004863F3" w14:paraId="5FC9A72C"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382D3D35" w14:textId="77777777" w:rsidR="0030573D" w:rsidRPr="004863F3" w:rsidRDefault="0030573D" w:rsidP="0030573D">
            <w:pPr>
              <w:spacing w:before="0" w:after="0" w:line="240" w:lineRule="auto"/>
              <w:rPr>
                <w:rFonts w:ascii="Arial" w:hAnsi="Arial" w:cs="Arial"/>
                <w:b/>
                <w:bCs/>
                <w:sz w:val="16"/>
                <w:szCs w:val="16"/>
              </w:rPr>
            </w:pPr>
            <w:r w:rsidRPr="004863F3">
              <w:rPr>
                <w:rFonts w:ascii="Arial" w:hAnsi="Arial" w:cs="Arial"/>
                <w:b/>
                <w:bCs/>
                <w:sz w:val="16"/>
                <w:szCs w:val="16"/>
              </w:rPr>
              <w:t>Underlying cash balance</w:t>
            </w:r>
          </w:p>
        </w:tc>
        <w:tc>
          <w:tcPr>
            <w:tcW w:w="590" w:type="pct"/>
            <w:tcBorders>
              <w:top w:val="nil"/>
              <w:left w:val="nil"/>
              <w:bottom w:val="nil"/>
              <w:right w:val="nil"/>
            </w:tcBorders>
            <w:shd w:val="clear" w:color="000000" w:fill="FFFFFF"/>
            <w:noWrap/>
            <w:vAlign w:val="center"/>
            <w:hideMark/>
          </w:tcPr>
          <w:p w14:paraId="3A91E0E9" w14:textId="2938451D" w:rsidR="0030573D" w:rsidRPr="004863F3" w:rsidRDefault="001E171F" w:rsidP="0030573D">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30573D" w:rsidRPr="004863F3">
              <w:rPr>
                <w:rFonts w:ascii="Arial" w:hAnsi="Arial" w:cs="Arial"/>
                <w:b/>
                <w:bCs/>
                <w:sz w:val="16"/>
                <w:szCs w:val="16"/>
              </w:rPr>
              <w:t>27.6</w:t>
            </w:r>
          </w:p>
        </w:tc>
        <w:tc>
          <w:tcPr>
            <w:tcW w:w="602" w:type="pct"/>
            <w:tcBorders>
              <w:top w:val="nil"/>
              <w:left w:val="nil"/>
              <w:bottom w:val="nil"/>
              <w:right w:val="nil"/>
            </w:tcBorders>
            <w:shd w:val="clear" w:color="000000" w:fill="FFFFFF"/>
            <w:noWrap/>
            <w:vAlign w:val="center"/>
            <w:hideMark/>
          </w:tcPr>
          <w:p w14:paraId="096E2F80" w14:textId="5BCC8642" w:rsidR="0030573D" w:rsidRPr="004863F3" w:rsidRDefault="001E171F" w:rsidP="0030573D">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30573D" w:rsidRPr="004863F3">
              <w:rPr>
                <w:rFonts w:ascii="Arial" w:hAnsi="Arial" w:cs="Arial"/>
                <w:b/>
                <w:bCs/>
                <w:sz w:val="16"/>
                <w:szCs w:val="16"/>
              </w:rPr>
              <w:t>27.9</w:t>
            </w:r>
          </w:p>
        </w:tc>
        <w:tc>
          <w:tcPr>
            <w:tcW w:w="602" w:type="pct"/>
            <w:tcBorders>
              <w:top w:val="nil"/>
              <w:left w:val="nil"/>
              <w:bottom w:val="nil"/>
              <w:right w:val="nil"/>
            </w:tcBorders>
            <w:shd w:val="clear" w:color="000000" w:fill="E6F2FF"/>
            <w:noWrap/>
            <w:vAlign w:val="center"/>
            <w:hideMark/>
          </w:tcPr>
          <w:p w14:paraId="632107B5" w14:textId="635B506B" w:rsidR="0030573D" w:rsidRPr="004863F3" w:rsidRDefault="001E171F" w:rsidP="0030573D">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30573D" w:rsidRPr="004863F3">
              <w:rPr>
                <w:rFonts w:ascii="Arial" w:hAnsi="Arial" w:cs="Arial"/>
                <w:b/>
                <w:bCs/>
                <w:sz w:val="16"/>
                <w:szCs w:val="16"/>
              </w:rPr>
              <w:t>10.0</w:t>
            </w:r>
          </w:p>
        </w:tc>
        <w:tc>
          <w:tcPr>
            <w:tcW w:w="590" w:type="pct"/>
            <w:tcBorders>
              <w:top w:val="nil"/>
              <w:left w:val="nil"/>
              <w:bottom w:val="nil"/>
              <w:right w:val="nil"/>
            </w:tcBorders>
            <w:shd w:val="clear" w:color="000000" w:fill="FFFFFF"/>
            <w:noWrap/>
            <w:vAlign w:val="center"/>
            <w:hideMark/>
          </w:tcPr>
          <w:p w14:paraId="05318C2A"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17.6</w:t>
            </w:r>
          </w:p>
        </w:tc>
        <w:tc>
          <w:tcPr>
            <w:tcW w:w="602" w:type="pct"/>
            <w:tcBorders>
              <w:top w:val="nil"/>
              <w:left w:val="nil"/>
              <w:bottom w:val="nil"/>
              <w:right w:val="nil"/>
            </w:tcBorders>
            <w:shd w:val="clear" w:color="000000" w:fill="FFFFFF"/>
            <w:noWrap/>
            <w:vAlign w:val="center"/>
            <w:hideMark/>
          </w:tcPr>
          <w:p w14:paraId="58DADFD4"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17.9</w:t>
            </w:r>
          </w:p>
        </w:tc>
      </w:tr>
      <w:tr w:rsidR="0030573D" w:rsidRPr="004863F3" w14:paraId="4048DEC8"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561F370C"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Per cent of GDP</w:t>
            </w:r>
          </w:p>
        </w:tc>
        <w:tc>
          <w:tcPr>
            <w:tcW w:w="590" w:type="pct"/>
            <w:tcBorders>
              <w:top w:val="nil"/>
              <w:left w:val="nil"/>
              <w:bottom w:val="nil"/>
              <w:right w:val="nil"/>
            </w:tcBorders>
            <w:shd w:val="clear" w:color="000000" w:fill="FFFFFF"/>
            <w:noWrap/>
            <w:vAlign w:val="center"/>
            <w:hideMark/>
          </w:tcPr>
          <w:p w14:paraId="068FAF10" w14:textId="5CBA2D5B" w:rsidR="0030573D" w:rsidRPr="004863F3" w:rsidRDefault="001E171F" w:rsidP="0030573D">
            <w:pPr>
              <w:spacing w:before="0" w:after="0" w:line="240" w:lineRule="auto"/>
              <w:jc w:val="right"/>
              <w:rPr>
                <w:rFonts w:ascii="Arial" w:hAnsi="Arial" w:cs="Arial"/>
                <w:sz w:val="16"/>
                <w:szCs w:val="16"/>
              </w:rPr>
            </w:pPr>
            <w:r w:rsidRPr="004863F3">
              <w:rPr>
                <w:rFonts w:ascii="Arial" w:hAnsi="Arial" w:cs="Arial"/>
                <w:sz w:val="16"/>
                <w:szCs w:val="16"/>
              </w:rPr>
              <w:noBreakHyphen/>
            </w:r>
            <w:r w:rsidR="0030573D" w:rsidRPr="004863F3">
              <w:rPr>
                <w:rFonts w:ascii="Arial" w:hAnsi="Arial" w:cs="Arial"/>
                <w:sz w:val="16"/>
                <w:szCs w:val="16"/>
              </w:rPr>
              <w:t>1.0</w:t>
            </w:r>
          </w:p>
        </w:tc>
        <w:tc>
          <w:tcPr>
            <w:tcW w:w="602" w:type="pct"/>
            <w:tcBorders>
              <w:top w:val="nil"/>
              <w:left w:val="nil"/>
              <w:bottom w:val="nil"/>
              <w:right w:val="nil"/>
            </w:tcBorders>
            <w:shd w:val="clear" w:color="000000" w:fill="FFFFFF"/>
            <w:noWrap/>
            <w:vAlign w:val="center"/>
            <w:hideMark/>
          </w:tcPr>
          <w:p w14:paraId="513BBB46" w14:textId="36B3A931" w:rsidR="0030573D" w:rsidRPr="004863F3" w:rsidRDefault="001E171F" w:rsidP="0030573D">
            <w:pPr>
              <w:spacing w:before="0" w:after="0" w:line="240" w:lineRule="auto"/>
              <w:jc w:val="right"/>
              <w:rPr>
                <w:rFonts w:ascii="Arial" w:hAnsi="Arial" w:cs="Arial"/>
                <w:sz w:val="16"/>
                <w:szCs w:val="16"/>
              </w:rPr>
            </w:pPr>
            <w:r w:rsidRPr="004863F3">
              <w:rPr>
                <w:rFonts w:ascii="Arial" w:hAnsi="Arial" w:cs="Arial"/>
                <w:sz w:val="16"/>
                <w:szCs w:val="16"/>
              </w:rPr>
              <w:noBreakHyphen/>
            </w:r>
            <w:r w:rsidR="0030573D" w:rsidRPr="004863F3">
              <w:rPr>
                <w:rFonts w:ascii="Arial" w:hAnsi="Arial" w:cs="Arial"/>
                <w:sz w:val="16"/>
                <w:szCs w:val="16"/>
              </w:rPr>
              <w:t>1.0</w:t>
            </w:r>
          </w:p>
        </w:tc>
        <w:tc>
          <w:tcPr>
            <w:tcW w:w="602" w:type="pct"/>
            <w:tcBorders>
              <w:top w:val="nil"/>
              <w:left w:val="nil"/>
              <w:bottom w:val="nil"/>
              <w:right w:val="nil"/>
            </w:tcBorders>
            <w:shd w:val="clear" w:color="000000" w:fill="E6F2FF"/>
            <w:noWrap/>
            <w:vAlign w:val="center"/>
            <w:hideMark/>
          </w:tcPr>
          <w:p w14:paraId="7B8C4AB0" w14:textId="1F595A75" w:rsidR="0030573D" w:rsidRPr="004863F3" w:rsidRDefault="001E171F" w:rsidP="0030573D">
            <w:pPr>
              <w:spacing w:before="0" w:after="0" w:line="240" w:lineRule="auto"/>
              <w:jc w:val="right"/>
              <w:rPr>
                <w:rFonts w:ascii="Arial" w:hAnsi="Arial" w:cs="Arial"/>
                <w:sz w:val="16"/>
                <w:szCs w:val="16"/>
              </w:rPr>
            </w:pPr>
            <w:r w:rsidRPr="004863F3">
              <w:rPr>
                <w:rFonts w:ascii="Arial" w:hAnsi="Arial" w:cs="Arial"/>
                <w:sz w:val="16"/>
                <w:szCs w:val="16"/>
              </w:rPr>
              <w:noBreakHyphen/>
            </w:r>
            <w:r w:rsidR="0030573D" w:rsidRPr="004863F3">
              <w:rPr>
                <w:rFonts w:ascii="Arial" w:hAnsi="Arial" w:cs="Arial"/>
                <w:sz w:val="16"/>
                <w:szCs w:val="16"/>
              </w:rPr>
              <w:t>0.4</w:t>
            </w:r>
          </w:p>
        </w:tc>
        <w:tc>
          <w:tcPr>
            <w:tcW w:w="590" w:type="pct"/>
            <w:tcBorders>
              <w:top w:val="nil"/>
              <w:left w:val="nil"/>
              <w:bottom w:val="nil"/>
              <w:right w:val="nil"/>
            </w:tcBorders>
            <w:shd w:val="clear" w:color="000000" w:fill="FFFFFF"/>
            <w:noWrap/>
            <w:vAlign w:val="center"/>
            <w:hideMark/>
          </w:tcPr>
          <w:p w14:paraId="501A2F1B"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178E11AD"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5D0A054C"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46977CB1" w14:textId="77777777" w:rsidR="0030573D" w:rsidRPr="004863F3" w:rsidRDefault="0030573D" w:rsidP="0030573D">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Receipts</w:t>
            </w:r>
          </w:p>
        </w:tc>
        <w:tc>
          <w:tcPr>
            <w:tcW w:w="590" w:type="pct"/>
            <w:tcBorders>
              <w:top w:val="nil"/>
              <w:left w:val="nil"/>
              <w:bottom w:val="nil"/>
              <w:right w:val="nil"/>
            </w:tcBorders>
            <w:shd w:val="clear" w:color="000000" w:fill="FFFFFF"/>
            <w:noWrap/>
            <w:vAlign w:val="center"/>
            <w:hideMark/>
          </w:tcPr>
          <w:p w14:paraId="3C976A91"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703.9</w:t>
            </w:r>
          </w:p>
        </w:tc>
        <w:tc>
          <w:tcPr>
            <w:tcW w:w="602" w:type="pct"/>
            <w:tcBorders>
              <w:top w:val="nil"/>
              <w:left w:val="nil"/>
              <w:bottom w:val="nil"/>
              <w:right w:val="nil"/>
            </w:tcBorders>
            <w:shd w:val="clear" w:color="000000" w:fill="FFFFFF"/>
            <w:noWrap/>
            <w:vAlign w:val="center"/>
            <w:hideMark/>
          </w:tcPr>
          <w:p w14:paraId="17E01578"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703.9</w:t>
            </w:r>
          </w:p>
        </w:tc>
        <w:tc>
          <w:tcPr>
            <w:tcW w:w="602" w:type="pct"/>
            <w:tcBorders>
              <w:top w:val="nil"/>
              <w:left w:val="nil"/>
              <w:bottom w:val="nil"/>
              <w:right w:val="nil"/>
            </w:tcBorders>
            <w:shd w:val="clear" w:color="000000" w:fill="E6F2FF"/>
            <w:noWrap/>
            <w:vAlign w:val="center"/>
            <w:hideMark/>
          </w:tcPr>
          <w:p w14:paraId="0AA45970"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717.0</w:t>
            </w:r>
          </w:p>
        </w:tc>
        <w:tc>
          <w:tcPr>
            <w:tcW w:w="590" w:type="pct"/>
            <w:tcBorders>
              <w:top w:val="nil"/>
              <w:left w:val="nil"/>
              <w:bottom w:val="nil"/>
              <w:right w:val="nil"/>
            </w:tcBorders>
            <w:shd w:val="clear" w:color="000000" w:fill="FFFFFF"/>
            <w:noWrap/>
            <w:vAlign w:val="center"/>
            <w:hideMark/>
          </w:tcPr>
          <w:p w14:paraId="5E07E40B"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13.0</w:t>
            </w:r>
          </w:p>
        </w:tc>
        <w:tc>
          <w:tcPr>
            <w:tcW w:w="602" w:type="pct"/>
            <w:tcBorders>
              <w:top w:val="nil"/>
              <w:left w:val="nil"/>
              <w:bottom w:val="nil"/>
              <w:right w:val="nil"/>
            </w:tcBorders>
            <w:shd w:val="clear" w:color="000000" w:fill="FFFFFF"/>
            <w:noWrap/>
            <w:vAlign w:val="center"/>
            <w:hideMark/>
          </w:tcPr>
          <w:p w14:paraId="6FC46956"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13.0</w:t>
            </w:r>
          </w:p>
        </w:tc>
      </w:tr>
      <w:tr w:rsidR="0030573D" w:rsidRPr="004863F3" w14:paraId="39E08525"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647A1497"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Per cent of GDP</w:t>
            </w:r>
          </w:p>
        </w:tc>
        <w:tc>
          <w:tcPr>
            <w:tcW w:w="590" w:type="pct"/>
            <w:tcBorders>
              <w:top w:val="nil"/>
              <w:left w:val="nil"/>
              <w:bottom w:val="nil"/>
              <w:right w:val="nil"/>
            </w:tcBorders>
            <w:shd w:val="clear" w:color="000000" w:fill="FFFFFF"/>
            <w:noWrap/>
            <w:vAlign w:val="center"/>
            <w:hideMark/>
          </w:tcPr>
          <w:p w14:paraId="3A74D8D8"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25.3</w:t>
            </w:r>
          </w:p>
        </w:tc>
        <w:tc>
          <w:tcPr>
            <w:tcW w:w="602" w:type="pct"/>
            <w:tcBorders>
              <w:top w:val="nil"/>
              <w:left w:val="nil"/>
              <w:bottom w:val="nil"/>
              <w:right w:val="nil"/>
            </w:tcBorders>
            <w:shd w:val="clear" w:color="000000" w:fill="FFFFFF"/>
            <w:noWrap/>
            <w:vAlign w:val="center"/>
            <w:hideMark/>
          </w:tcPr>
          <w:p w14:paraId="2FAFB734"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25.3</w:t>
            </w:r>
          </w:p>
        </w:tc>
        <w:tc>
          <w:tcPr>
            <w:tcW w:w="602" w:type="pct"/>
            <w:tcBorders>
              <w:top w:val="nil"/>
              <w:left w:val="nil"/>
              <w:bottom w:val="nil"/>
              <w:right w:val="nil"/>
            </w:tcBorders>
            <w:shd w:val="clear" w:color="000000" w:fill="E6F2FF"/>
            <w:noWrap/>
            <w:vAlign w:val="center"/>
            <w:hideMark/>
          </w:tcPr>
          <w:p w14:paraId="03140C7A"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25.9</w:t>
            </w:r>
          </w:p>
        </w:tc>
        <w:tc>
          <w:tcPr>
            <w:tcW w:w="590" w:type="pct"/>
            <w:tcBorders>
              <w:top w:val="nil"/>
              <w:left w:val="nil"/>
              <w:bottom w:val="nil"/>
              <w:right w:val="nil"/>
            </w:tcBorders>
            <w:shd w:val="clear" w:color="000000" w:fill="FFFFFF"/>
            <w:noWrap/>
            <w:vAlign w:val="center"/>
            <w:hideMark/>
          </w:tcPr>
          <w:p w14:paraId="332F5BD8"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3AE337CD"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674AD459" w14:textId="77777777" w:rsidTr="00401EE4">
        <w:trPr>
          <w:trHeight w:hRule="exact" w:val="60"/>
        </w:trPr>
        <w:tc>
          <w:tcPr>
            <w:tcW w:w="2013" w:type="pct"/>
            <w:tcBorders>
              <w:top w:val="nil"/>
              <w:left w:val="nil"/>
              <w:bottom w:val="nil"/>
              <w:right w:val="nil"/>
            </w:tcBorders>
            <w:shd w:val="clear" w:color="000000" w:fill="FFFFFF"/>
            <w:noWrap/>
            <w:vAlign w:val="center"/>
            <w:hideMark/>
          </w:tcPr>
          <w:p w14:paraId="7560B5D4"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1A2C7A9B"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37685810"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E6F2FF"/>
            <w:noWrap/>
            <w:vAlign w:val="center"/>
            <w:hideMark/>
          </w:tcPr>
          <w:p w14:paraId="390729CA"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62DB0B43"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084C043A"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573D" w:rsidRPr="004863F3" w14:paraId="32795133"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3CC14BC6" w14:textId="77777777" w:rsidR="0030573D" w:rsidRPr="004863F3" w:rsidRDefault="0030573D" w:rsidP="0030573D">
            <w:pPr>
              <w:spacing w:before="0" w:after="0" w:line="240" w:lineRule="auto"/>
              <w:ind w:left="170"/>
              <w:rPr>
                <w:rFonts w:ascii="Arial" w:hAnsi="Arial" w:cs="Arial"/>
                <w:b/>
                <w:bCs/>
                <w:color w:val="000000"/>
                <w:sz w:val="16"/>
                <w:szCs w:val="16"/>
              </w:rPr>
            </w:pPr>
            <w:r w:rsidRPr="004863F3">
              <w:rPr>
                <w:rFonts w:ascii="Arial" w:hAnsi="Arial" w:cs="Arial"/>
                <w:b/>
                <w:bCs/>
                <w:color w:val="000000"/>
                <w:sz w:val="16"/>
                <w:szCs w:val="16"/>
              </w:rPr>
              <w:t>Tax receipts</w:t>
            </w:r>
          </w:p>
        </w:tc>
        <w:tc>
          <w:tcPr>
            <w:tcW w:w="590" w:type="pct"/>
            <w:tcBorders>
              <w:top w:val="nil"/>
              <w:left w:val="nil"/>
              <w:bottom w:val="nil"/>
              <w:right w:val="nil"/>
            </w:tcBorders>
            <w:shd w:val="clear" w:color="000000" w:fill="FFFFFF"/>
            <w:noWrap/>
            <w:vAlign w:val="center"/>
            <w:hideMark/>
          </w:tcPr>
          <w:p w14:paraId="5E84C4EB"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645.2</w:t>
            </w:r>
          </w:p>
        </w:tc>
        <w:tc>
          <w:tcPr>
            <w:tcW w:w="602" w:type="pct"/>
            <w:tcBorders>
              <w:top w:val="nil"/>
              <w:left w:val="nil"/>
              <w:bottom w:val="nil"/>
              <w:right w:val="nil"/>
            </w:tcBorders>
            <w:shd w:val="clear" w:color="000000" w:fill="FFFFFF"/>
            <w:noWrap/>
            <w:vAlign w:val="center"/>
            <w:hideMark/>
          </w:tcPr>
          <w:p w14:paraId="26834AFB"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645.2</w:t>
            </w:r>
          </w:p>
        </w:tc>
        <w:tc>
          <w:tcPr>
            <w:tcW w:w="602" w:type="pct"/>
            <w:tcBorders>
              <w:top w:val="nil"/>
              <w:left w:val="nil"/>
              <w:bottom w:val="nil"/>
              <w:right w:val="nil"/>
            </w:tcBorders>
            <w:shd w:val="clear" w:color="000000" w:fill="E6F2FF"/>
            <w:noWrap/>
            <w:vAlign w:val="center"/>
            <w:hideMark/>
          </w:tcPr>
          <w:p w14:paraId="15E05055"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657.8</w:t>
            </w:r>
          </w:p>
        </w:tc>
        <w:tc>
          <w:tcPr>
            <w:tcW w:w="590" w:type="pct"/>
            <w:tcBorders>
              <w:top w:val="nil"/>
              <w:left w:val="nil"/>
              <w:bottom w:val="nil"/>
              <w:right w:val="nil"/>
            </w:tcBorders>
            <w:shd w:val="clear" w:color="000000" w:fill="FFFFFF"/>
            <w:noWrap/>
            <w:vAlign w:val="center"/>
            <w:hideMark/>
          </w:tcPr>
          <w:p w14:paraId="59769BDA"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12.6</w:t>
            </w:r>
          </w:p>
        </w:tc>
        <w:tc>
          <w:tcPr>
            <w:tcW w:w="602" w:type="pct"/>
            <w:tcBorders>
              <w:top w:val="nil"/>
              <w:left w:val="nil"/>
              <w:bottom w:val="nil"/>
              <w:right w:val="nil"/>
            </w:tcBorders>
            <w:shd w:val="clear" w:color="000000" w:fill="FFFFFF"/>
            <w:noWrap/>
            <w:vAlign w:val="center"/>
            <w:hideMark/>
          </w:tcPr>
          <w:p w14:paraId="3645E545"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12.6</w:t>
            </w:r>
          </w:p>
        </w:tc>
      </w:tr>
      <w:tr w:rsidR="0030573D" w:rsidRPr="004863F3" w14:paraId="39B5DA53"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732CCFCA" w14:textId="77777777" w:rsidR="0030573D" w:rsidRPr="004863F3" w:rsidRDefault="0030573D" w:rsidP="0030573D">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Per cent of GDP</w:t>
            </w:r>
          </w:p>
        </w:tc>
        <w:tc>
          <w:tcPr>
            <w:tcW w:w="590" w:type="pct"/>
            <w:tcBorders>
              <w:top w:val="nil"/>
              <w:left w:val="nil"/>
              <w:bottom w:val="nil"/>
              <w:right w:val="nil"/>
            </w:tcBorders>
            <w:shd w:val="clear" w:color="000000" w:fill="FFFFFF"/>
            <w:noWrap/>
            <w:vAlign w:val="center"/>
            <w:hideMark/>
          </w:tcPr>
          <w:p w14:paraId="192C766A"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23.1</w:t>
            </w:r>
          </w:p>
        </w:tc>
        <w:tc>
          <w:tcPr>
            <w:tcW w:w="602" w:type="pct"/>
            <w:tcBorders>
              <w:top w:val="nil"/>
              <w:left w:val="nil"/>
              <w:bottom w:val="nil"/>
              <w:right w:val="nil"/>
            </w:tcBorders>
            <w:shd w:val="clear" w:color="000000" w:fill="FFFFFF"/>
            <w:noWrap/>
            <w:vAlign w:val="center"/>
            <w:hideMark/>
          </w:tcPr>
          <w:p w14:paraId="59C7881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23.1</w:t>
            </w:r>
          </w:p>
        </w:tc>
        <w:tc>
          <w:tcPr>
            <w:tcW w:w="602" w:type="pct"/>
            <w:tcBorders>
              <w:top w:val="nil"/>
              <w:left w:val="nil"/>
              <w:bottom w:val="nil"/>
              <w:right w:val="nil"/>
            </w:tcBorders>
            <w:shd w:val="clear" w:color="000000" w:fill="E6F2FF"/>
            <w:noWrap/>
            <w:vAlign w:val="center"/>
            <w:hideMark/>
          </w:tcPr>
          <w:p w14:paraId="56BBB98F"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23.7</w:t>
            </w:r>
          </w:p>
        </w:tc>
        <w:tc>
          <w:tcPr>
            <w:tcW w:w="590" w:type="pct"/>
            <w:tcBorders>
              <w:top w:val="nil"/>
              <w:left w:val="nil"/>
              <w:bottom w:val="nil"/>
              <w:right w:val="nil"/>
            </w:tcBorders>
            <w:shd w:val="clear" w:color="000000" w:fill="FFFFFF"/>
            <w:noWrap/>
            <w:vAlign w:val="center"/>
            <w:hideMark/>
          </w:tcPr>
          <w:p w14:paraId="7ACA846D"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464755DD"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573D" w:rsidRPr="004863F3" w14:paraId="14D6ABCE" w14:textId="77777777" w:rsidTr="00401EE4">
        <w:trPr>
          <w:trHeight w:hRule="exact" w:val="60"/>
        </w:trPr>
        <w:tc>
          <w:tcPr>
            <w:tcW w:w="2013" w:type="pct"/>
            <w:tcBorders>
              <w:top w:val="nil"/>
              <w:left w:val="nil"/>
              <w:bottom w:val="nil"/>
              <w:right w:val="nil"/>
            </w:tcBorders>
            <w:shd w:val="clear" w:color="000000" w:fill="FFFFFF"/>
            <w:noWrap/>
            <w:vAlign w:val="center"/>
            <w:hideMark/>
          </w:tcPr>
          <w:p w14:paraId="1085703B"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6A2F453F"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32807C78"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E6F2FF"/>
            <w:noWrap/>
            <w:vAlign w:val="center"/>
            <w:hideMark/>
          </w:tcPr>
          <w:p w14:paraId="0633E7BB"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104DA623"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0DEB3ED8"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573D" w:rsidRPr="004863F3" w14:paraId="36AB32C0"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0A89AE51" w14:textId="30779A98" w:rsidR="0030573D" w:rsidRPr="004863F3" w:rsidRDefault="0030573D" w:rsidP="0030573D">
            <w:pPr>
              <w:spacing w:before="0" w:after="0" w:line="240" w:lineRule="auto"/>
              <w:ind w:left="170"/>
              <w:rPr>
                <w:rFonts w:ascii="Arial" w:hAnsi="Arial" w:cs="Arial"/>
                <w:b/>
                <w:bCs/>
                <w:color w:val="000000"/>
                <w:sz w:val="16"/>
                <w:szCs w:val="16"/>
              </w:rPr>
            </w:pPr>
            <w:r w:rsidRPr="004863F3">
              <w:rPr>
                <w:rFonts w:ascii="Arial" w:hAnsi="Arial" w:cs="Arial"/>
                <w:b/>
                <w:bCs/>
                <w:color w:val="000000"/>
                <w:sz w:val="16"/>
                <w:szCs w:val="16"/>
              </w:rPr>
              <w:t>Non</w:t>
            </w:r>
            <w:r w:rsidR="001E171F" w:rsidRPr="004863F3">
              <w:rPr>
                <w:rFonts w:ascii="Arial" w:hAnsi="Arial" w:cs="Arial"/>
                <w:b/>
                <w:bCs/>
                <w:color w:val="000000"/>
                <w:sz w:val="16"/>
                <w:szCs w:val="16"/>
              </w:rPr>
              <w:noBreakHyphen/>
            </w:r>
            <w:r w:rsidRPr="004863F3">
              <w:rPr>
                <w:rFonts w:ascii="Arial" w:hAnsi="Arial" w:cs="Arial"/>
                <w:b/>
                <w:bCs/>
                <w:color w:val="000000"/>
                <w:sz w:val="16"/>
                <w:szCs w:val="16"/>
              </w:rPr>
              <w:t>tax receipts</w:t>
            </w:r>
          </w:p>
        </w:tc>
        <w:tc>
          <w:tcPr>
            <w:tcW w:w="590" w:type="pct"/>
            <w:tcBorders>
              <w:top w:val="nil"/>
              <w:left w:val="nil"/>
              <w:bottom w:val="nil"/>
              <w:right w:val="nil"/>
            </w:tcBorders>
            <w:shd w:val="clear" w:color="000000" w:fill="FFFFFF"/>
            <w:noWrap/>
            <w:vAlign w:val="center"/>
            <w:hideMark/>
          </w:tcPr>
          <w:p w14:paraId="5EF120E8"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58.7</w:t>
            </w:r>
          </w:p>
        </w:tc>
        <w:tc>
          <w:tcPr>
            <w:tcW w:w="602" w:type="pct"/>
            <w:tcBorders>
              <w:top w:val="nil"/>
              <w:left w:val="nil"/>
              <w:bottom w:val="nil"/>
              <w:right w:val="nil"/>
            </w:tcBorders>
            <w:shd w:val="clear" w:color="000000" w:fill="FFFFFF"/>
            <w:noWrap/>
            <w:vAlign w:val="center"/>
            <w:hideMark/>
          </w:tcPr>
          <w:p w14:paraId="6388490F"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58.7</w:t>
            </w:r>
          </w:p>
        </w:tc>
        <w:tc>
          <w:tcPr>
            <w:tcW w:w="602" w:type="pct"/>
            <w:tcBorders>
              <w:top w:val="nil"/>
              <w:left w:val="nil"/>
              <w:bottom w:val="nil"/>
              <w:right w:val="nil"/>
            </w:tcBorders>
            <w:shd w:val="clear" w:color="000000" w:fill="E6F2FF"/>
            <w:noWrap/>
            <w:vAlign w:val="center"/>
            <w:hideMark/>
          </w:tcPr>
          <w:p w14:paraId="7E67AA0C"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59.1</w:t>
            </w:r>
          </w:p>
        </w:tc>
        <w:tc>
          <w:tcPr>
            <w:tcW w:w="590" w:type="pct"/>
            <w:tcBorders>
              <w:top w:val="nil"/>
              <w:left w:val="nil"/>
              <w:bottom w:val="nil"/>
              <w:right w:val="nil"/>
            </w:tcBorders>
            <w:shd w:val="clear" w:color="000000" w:fill="FFFFFF"/>
            <w:noWrap/>
            <w:vAlign w:val="center"/>
            <w:hideMark/>
          </w:tcPr>
          <w:p w14:paraId="69F39A40"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0.4</w:t>
            </w:r>
          </w:p>
        </w:tc>
        <w:tc>
          <w:tcPr>
            <w:tcW w:w="602" w:type="pct"/>
            <w:tcBorders>
              <w:top w:val="nil"/>
              <w:left w:val="nil"/>
              <w:bottom w:val="nil"/>
              <w:right w:val="nil"/>
            </w:tcBorders>
            <w:shd w:val="clear" w:color="000000" w:fill="FFFFFF"/>
            <w:noWrap/>
            <w:vAlign w:val="center"/>
            <w:hideMark/>
          </w:tcPr>
          <w:p w14:paraId="417167E2"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0.4</w:t>
            </w:r>
          </w:p>
        </w:tc>
      </w:tr>
      <w:tr w:rsidR="0030573D" w:rsidRPr="004863F3" w14:paraId="71BADBBB"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60C6CDEF" w14:textId="77777777" w:rsidR="0030573D" w:rsidRPr="004863F3" w:rsidRDefault="0030573D" w:rsidP="0030573D">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Per cent of GDP</w:t>
            </w:r>
          </w:p>
        </w:tc>
        <w:tc>
          <w:tcPr>
            <w:tcW w:w="590" w:type="pct"/>
            <w:tcBorders>
              <w:top w:val="nil"/>
              <w:left w:val="nil"/>
              <w:bottom w:val="nil"/>
              <w:right w:val="nil"/>
            </w:tcBorders>
            <w:shd w:val="clear" w:color="000000" w:fill="FFFFFF"/>
            <w:noWrap/>
            <w:vAlign w:val="center"/>
            <w:hideMark/>
          </w:tcPr>
          <w:p w14:paraId="45D73007"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2.1</w:t>
            </w:r>
          </w:p>
        </w:tc>
        <w:tc>
          <w:tcPr>
            <w:tcW w:w="602" w:type="pct"/>
            <w:tcBorders>
              <w:top w:val="nil"/>
              <w:left w:val="nil"/>
              <w:bottom w:val="nil"/>
              <w:right w:val="nil"/>
            </w:tcBorders>
            <w:shd w:val="clear" w:color="000000" w:fill="FFFFFF"/>
            <w:noWrap/>
            <w:vAlign w:val="center"/>
            <w:hideMark/>
          </w:tcPr>
          <w:p w14:paraId="6B5A4D17"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2.1</w:t>
            </w:r>
          </w:p>
        </w:tc>
        <w:tc>
          <w:tcPr>
            <w:tcW w:w="602" w:type="pct"/>
            <w:tcBorders>
              <w:top w:val="nil"/>
              <w:left w:val="nil"/>
              <w:bottom w:val="nil"/>
              <w:right w:val="nil"/>
            </w:tcBorders>
            <w:shd w:val="clear" w:color="000000" w:fill="E6F2FF"/>
            <w:noWrap/>
            <w:vAlign w:val="center"/>
            <w:hideMark/>
          </w:tcPr>
          <w:p w14:paraId="024C4F5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2.1</w:t>
            </w:r>
          </w:p>
        </w:tc>
        <w:tc>
          <w:tcPr>
            <w:tcW w:w="590" w:type="pct"/>
            <w:tcBorders>
              <w:top w:val="nil"/>
              <w:left w:val="nil"/>
              <w:bottom w:val="nil"/>
              <w:right w:val="nil"/>
            </w:tcBorders>
            <w:shd w:val="clear" w:color="000000" w:fill="FFFFFF"/>
            <w:noWrap/>
            <w:vAlign w:val="center"/>
            <w:hideMark/>
          </w:tcPr>
          <w:p w14:paraId="448B6F87"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3442621E"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573D" w:rsidRPr="004863F3" w14:paraId="47484D6C" w14:textId="77777777" w:rsidTr="00401EE4">
        <w:trPr>
          <w:trHeight w:hRule="exact" w:val="60"/>
        </w:trPr>
        <w:tc>
          <w:tcPr>
            <w:tcW w:w="2013" w:type="pct"/>
            <w:tcBorders>
              <w:top w:val="nil"/>
              <w:left w:val="nil"/>
              <w:bottom w:val="nil"/>
              <w:right w:val="nil"/>
            </w:tcBorders>
            <w:shd w:val="clear" w:color="000000" w:fill="FFFFFF"/>
            <w:noWrap/>
            <w:vAlign w:val="center"/>
            <w:hideMark/>
          </w:tcPr>
          <w:p w14:paraId="288C9609"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3464AFE9"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15BD52EA"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E6F2FF"/>
            <w:noWrap/>
            <w:vAlign w:val="center"/>
            <w:hideMark/>
          </w:tcPr>
          <w:p w14:paraId="1B22A99C"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1BD18DE8"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513DB4A7"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573D" w:rsidRPr="004863F3" w14:paraId="774E2BC9"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3BCF1182" w14:textId="77777777" w:rsidR="0030573D" w:rsidRPr="004863F3" w:rsidRDefault="0030573D" w:rsidP="0030573D">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Payments(a)</w:t>
            </w:r>
          </w:p>
        </w:tc>
        <w:tc>
          <w:tcPr>
            <w:tcW w:w="590" w:type="pct"/>
            <w:tcBorders>
              <w:top w:val="nil"/>
              <w:left w:val="nil"/>
              <w:bottom w:val="nil"/>
              <w:right w:val="nil"/>
            </w:tcBorders>
            <w:shd w:val="clear" w:color="000000" w:fill="FFFFFF"/>
            <w:noWrap/>
            <w:vAlign w:val="center"/>
            <w:hideMark/>
          </w:tcPr>
          <w:p w14:paraId="11DF89F0"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731.5</w:t>
            </w:r>
          </w:p>
        </w:tc>
        <w:tc>
          <w:tcPr>
            <w:tcW w:w="602" w:type="pct"/>
            <w:tcBorders>
              <w:top w:val="nil"/>
              <w:left w:val="nil"/>
              <w:bottom w:val="nil"/>
              <w:right w:val="nil"/>
            </w:tcBorders>
            <w:shd w:val="clear" w:color="000000" w:fill="FFFFFF"/>
            <w:noWrap/>
            <w:vAlign w:val="center"/>
            <w:hideMark/>
          </w:tcPr>
          <w:p w14:paraId="47BB6A45"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731.8</w:t>
            </w:r>
          </w:p>
        </w:tc>
        <w:tc>
          <w:tcPr>
            <w:tcW w:w="602" w:type="pct"/>
            <w:tcBorders>
              <w:top w:val="nil"/>
              <w:left w:val="nil"/>
              <w:bottom w:val="nil"/>
              <w:right w:val="nil"/>
            </w:tcBorders>
            <w:shd w:val="clear" w:color="000000" w:fill="E6F2FF"/>
            <w:noWrap/>
            <w:vAlign w:val="center"/>
            <w:hideMark/>
          </w:tcPr>
          <w:p w14:paraId="7BE8A7BD"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726.9</w:t>
            </w:r>
          </w:p>
        </w:tc>
        <w:tc>
          <w:tcPr>
            <w:tcW w:w="590" w:type="pct"/>
            <w:tcBorders>
              <w:top w:val="nil"/>
              <w:left w:val="nil"/>
              <w:bottom w:val="nil"/>
              <w:right w:val="nil"/>
            </w:tcBorders>
            <w:shd w:val="clear" w:color="000000" w:fill="FFFFFF"/>
            <w:noWrap/>
            <w:vAlign w:val="center"/>
            <w:hideMark/>
          </w:tcPr>
          <w:p w14:paraId="2777F339" w14:textId="7DFFA078" w:rsidR="0030573D" w:rsidRPr="004863F3" w:rsidRDefault="001E171F"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30573D" w:rsidRPr="004863F3">
              <w:rPr>
                <w:rFonts w:ascii="Arial" w:hAnsi="Arial" w:cs="Arial"/>
                <w:b/>
                <w:bCs/>
                <w:color w:val="000000"/>
                <w:sz w:val="16"/>
                <w:szCs w:val="16"/>
              </w:rPr>
              <w:t>4.6</w:t>
            </w:r>
          </w:p>
        </w:tc>
        <w:tc>
          <w:tcPr>
            <w:tcW w:w="602" w:type="pct"/>
            <w:tcBorders>
              <w:top w:val="nil"/>
              <w:left w:val="nil"/>
              <w:bottom w:val="nil"/>
              <w:right w:val="nil"/>
            </w:tcBorders>
            <w:shd w:val="clear" w:color="000000" w:fill="FFFFFF"/>
            <w:noWrap/>
            <w:vAlign w:val="center"/>
            <w:hideMark/>
          </w:tcPr>
          <w:p w14:paraId="3FBAAB66" w14:textId="12AED373" w:rsidR="0030573D" w:rsidRPr="004863F3" w:rsidRDefault="001E171F"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30573D" w:rsidRPr="004863F3">
              <w:rPr>
                <w:rFonts w:ascii="Arial" w:hAnsi="Arial" w:cs="Arial"/>
                <w:b/>
                <w:bCs/>
                <w:color w:val="000000"/>
                <w:sz w:val="16"/>
                <w:szCs w:val="16"/>
              </w:rPr>
              <w:t>4.9</w:t>
            </w:r>
          </w:p>
        </w:tc>
      </w:tr>
      <w:tr w:rsidR="0030573D" w:rsidRPr="004863F3" w14:paraId="32873EC8"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0CF2C605"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Per cent of GDP</w:t>
            </w:r>
          </w:p>
        </w:tc>
        <w:tc>
          <w:tcPr>
            <w:tcW w:w="590" w:type="pct"/>
            <w:tcBorders>
              <w:top w:val="nil"/>
              <w:left w:val="nil"/>
              <w:bottom w:val="nil"/>
              <w:right w:val="nil"/>
            </w:tcBorders>
            <w:shd w:val="clear" w:color="000000" w:fill="FFFFFF"/>
            <w:noWrap/>
            <w:vAlign w:val="center"/>
            <w:hideMark/>
          </w:tcPr>
          <w:p w14:paraId="58A35501"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26.2</w:t>
            </w:r>
          </w:p>
        </w:tc>
        <w:tc>
          <w:tcPr>
            <w:tcW w:w="602" w:type="pct"/>
            <w:tcBorders>
              <w:top w:val="nil"/>
              <w:left w:val="nil"/>
              <w:bottom w:val="nil"/>
              <w:right w:val="nil"/>
            </w:tcBorders>
            <w:shd w:val="clear" w:color="000000" w:fill="FFFFFF"/>
            <w:noWrap/>
            <w:vAlign w:val="center"/>
            <w:hideMark/>
          </w:tcPr>
          <w:p w14:paraId="0D00E121"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26.3</w:t>
            </w:r>
          </w:p>
        </w:tc>
        <w:tc>
          <w:tcPr>
            <w:tcW w:w="602" w:type="pct"/>
            <w:tcBorders>
              <w:top w:val="nil"/>
              <w:left w:val="nil"/>
              <w:bottom w:val="nil"/>
              <w:right w:val="nil"/>
            </w:tcBorders>
            <w:shd w:val="clear" w:color="000000" w:fill="E6F2FF"/>
            <w:noWrap/>
            <w:vAlign w:val="center"/>
            <w:hideMark/>
          </w:tcPr>
          <w:p w14:paraId="75C979B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26.2</w:t>
            </w:r>
          </w:p>
        </w:tc>
        <w:tc>
          <w:tcPr>
            <w:tcW w:w="590" w:type="pct"/>
            <w:tcBorders>
              <w:top w:val="nil"/>
              <w:left w:val="nil"/>
              <w:bottom w:val="nil"/>
              <w:right w:val="nil"/>
            </w:tcBorders>
            <w:shd w:val="clear" w:color="000000" w:fill="FFFFFF"/>
            <w:noWrap/>
            <w:vAlign w:val="center"/>
            <w:hideMark/>
          </w:tcPr>
          <w:p w14:paraId="4D4E58D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51B1F16A"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54896A8C" w14:textId="77777777" w:rsidTr="00401EE4">
        <w:trPr>
          <w:trHeight w:hRule="exact" w:val="60"/>
        </w:trPr>
        <w:tc>
          <w:tcPr>
            <w:tcW w:w="2013" w:type="pct"/>
            <w:tcBorders>
              <w:top w:val="nil"/>
              <w:left w:val="nil"/>
              <w:bottom w:val="nil"/>
              <w:right w:val="nil"/>
            </w:tcBorders>
            <w:shd w:val="clear" w:color="000000" w:fill="FFFFFF"/>
            <w:noWrap/>
            <w:vAlign w:val="center"/>
            <w:hideMark/>
          </w:tcPr>
          <w:p w14:paraId="09805F3E" w14:textId="77777777" w:rsidR="0030573D" w:rsidRPr="004863F3" w:rsidRDefault="0030573D" w:rsidP="0030573D">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1CD2862C"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537205BF"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E6F2FF"/>
            <w:noWrap/>
            <w:vAlign w:val="center"/>
            <w:hideMark/>
          </w:tcPr>
          <w:p w14:paraId="58536054"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590" w:type="pct"/>
            <w:tcBorders>
              <w:top w:val="nil"/>
              <w:left w:val="nil"/>
              <w:bottom w:val="nil"/>
              <w:right w:val="nil"/>
            </w:tcBorders>
            <w:shd w:val="clear" w:color="000000" w:fill="FFFFFF"/>
            <w:noWrap/>
            <w:vAlign w:val="center"/>
            <w:hideMark/>
          </w:tcPr>
          <w:p w14:paraId="11A35E98"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4370AC29"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573D" w:rsidRPr="004863F3" w14:paraId="5ADD5B70"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36C96BE7" w14:textId="77777777" w:rsidR="0030573D" w:rsidRPr="004863F3" w:rsidRDefault="0030573D" w:rsidP="0030573D">
            <w:pPr>
              <w:spacing w:before="0" w:after="0" w:line="240" w:lineRule="auto"/>
              <w:rPr>
                <w:rFonts w:ascii="Arial" w:hAnsi="Arial" w:cs="Arial"/>
                <w:b/>
                <w:bCs/>
                <w:sz w:val="16"/>
                <w:szCs w:val="16"/>
              </w:rPr>
            </w:pPr>
            <w:r w:rsidRPr="004863F3">
              <w:rPr>
                <w:rFonts w:ascii="Arial" w:hAnsi="Arial" w:cs="Arial"/>
                <w:b/>
                <w:bCs/>
                <w:sz w:val="16"/>
                <w:szCs w:val="16"/>
              </w:rPr>
              <w:t>Net interest payments(b)</w:t>
            </w:r>
          </w:p>
        </w:tc>
        <w:tc>
          <w:tcPr>
            <w:tcW w:w="590" w:type="pct"/>
            <w:tcBorders>
              <w:top w:val="nil"/>
              <w:left w:val="nil"/>
              <w:bottom w:val="nil"/>
              <w:right w:val="nil"/>
            </w:tcBorders>
            <w:shd w:val="clear" w:color="000000" w:fill="FFFFFF"/>
            <w:noWrap/>
            <w:vAlign w:val="center"/>
            <w:hideMark/>
          </w:tcPr>
          <w:p w14:paraId="683D5E19" w14:textId="77777777" w:rsidR="0030573D" w:rsidRPr="004863F3" w:rsidRDefault="0030573D" w:rsidP="0030573D">
            <w:pPr>
              <w:spacing w:before="0" w:after="0" w:line="240" w:lineRule="auto"/>
              <w:jc w:val="right"/>
              <w:rPr>
                <w:rFonts w:ascii="Arial" w:hAnsi="Arial" w:cs="Arial"/>
                <w:b/>
                <w:bCs/>
                <w:sz w:val="16"/>
                <w:szCs w:val="16"/>
              </w:rPr>
            </w:pPr>
            <w:r w:rsidRPr="004863F3">
              <w:rPr>
                <w:rFonts w:ascii="Arial" w:hAnsi="Arial" w:cs="Arial"/>
                <w:b/>
                <w:bCs/>
                <w:sz w:val="16"/>
                <w:szCs w:val="16"/>
              </w:rPr>
              <w:t>14.9</w:t>
            </w:r>
          </w:p>
        </w:tc>
        <w:tc>
          <w:tcPr>
            <w:tcW w:w="602" w:type="pct"/>
            <w:tcBorders>
              <w:top w:val="nil"/>
              <w:left w:val="nil"/>
              <w:bottom w:val="nil"/>
              <w:right w:val="nil"/>
            </w:tcBorders>
            <w:shd w:val="clear" w:color="000000" w:fill="FFFFFF"/>
            <w:noWrap/>
            <w:vAlign w:val="center"/>
            <w:hideMark/>
          </w:tcPr>
          <w:p w14:paraId="154FD57A" w14:textId="77777777" w:rsidR="0030573D" w:rsidRPr="004863F3" w:rsidRDefault="0030573D" w:rsidP="0030573D">
            <w:pPr>
              <w:spacing w:before="0" w:after="0" w:line="240" w:lineRule="auto"/>
              <w:jc w:val="right"/>
              <w:rPr>
                <w:rFonts w:ascii="Arial" w:hAnsi="Arial" w:cs="Arial"/>
                <w:b/>
                <w:bCs/>
                <w:sz w:val="16"/>
                <w:szCs w:val="16"/>
              </w:rPr>
            </w:pPr>
            <w:r w:rsidRPr="004863F3">
              <w:rPr>
                <w:rFonts w:ascii="Arial" w:hAnsi="Arial" w:cs="Arial"/>
                <w:b/>
                <w:bCs/>
                <w:sz w:val="16"/>
                <w:szCs w:val="16"/>
              </w:rPr>
              <w:t>14.9</w:t>
            </w:r>
          </w:p>
        </w:tc>
        <w:tc>
          <w:tcPr>
            <w:tcW w:w="602" w:type="pct"/>
            <w:tcBorders>
              <w:top w:val="nil"/>
              <w:left w:val="nil"/>
              <w:bottom w:val="nil"/>
              <w:right w:val="nil"/>
            </w:tcBorders>
            <w:shd w:val="clear" w:color="000000" w:fill="E6F2FF"/>
            <w:noWrap/>
            <w:vAlign w:val="center"/>
            <w:hideMark/>
          </w:tcPr>
          <w:p w14:paraId="32BD6E7B" w14:textId="77777777" w:rsidR="0030573D" w:rsidRPr="004863F3" w:rsidRDefault="0030573D" w:rsidP="0030573D">
            <w:pPr>
              <w:spacing w:before="0" w:after="0" w:line="240" w:lineRule="auto"/>
              <w:jc w:val="right"/>
              <w:rPr>
                <w:rFonts w:ascii="Arial" w:hAnsi="Arial" w:cs="Arial"/>
                <w:b/>
                <w:bCs/>
                <w:sz w:val="16"/>
                <w:szCs w:val="16"/>
              </w:rPr>
            </w:pPr>
            <w:r w:rsidRPr="004863F3">
              <w:rPr>
                <w:rFonts w:ascii="Arial" w:hAnsi="Arial" w:cs="Arial"/>
                <w:b/>
                <w:bCs/>
                <w:sz w:val="16"/>
                <w:szCs w:val="16"/>
              </w:rPr>
              <w:t>13.7</w:t>
            </w:r>
          </w:p>
        </w:tc>
        <w:tc>
          <w:tcPr>
            <w:tcW w:w="590" w:type="pct"/>
            <w:tcBorders>
              <w:top w:val="nil"/>
              <w:left w:val="nil"/>
              <w:bottom w:val="nil"/>
              <w:right w:val="nil"/>
            </w:tcBorders>
            <w:shd w:val="clear" w:color="000000" w:fill="FFFFFF"/>
            <w:noWrap/>
            <w:vAlign w:val="center"/>
            <w:hideMark/>
          </w:tcPr>
          <w:p w14:paraId="28443143" w14:textId="11DC9D62" w:rsidR="0030573D" w:rsidRPr="004863F3" w:rsidRDefault="001E171F"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30573D" w:rsidRPr="004863F3">
              <w:rPr>
                <w:rFonts w:ascii="Arial" w:hAnsi="Arial" w:cs="Arial"/>
                <w:b/>
                <w:bCs/>
                <w:color w:val="000000"/>
                <w:sz w:val="16"/>
                <w:szCs w:val="16"/>
              </w:rPr>
              <w:t>1.2</w:t>
            </w:r>
          </w:p>
        </w:tc>
        <w:tc>
          <w:tcPr>
            <w:tcW w:w="602" w:type="pct"/>
            <w:tcBorders>
              <w:top w:val="nil"/>
              <w:left w:val="nil"/>
              <w:bottom w:val="nil"/>
              <w:right w:val="nil"/>
            </w:tcBorders>
            <w:shd w:val="clear" w:color="000000" w:fill="FFFFFF"/>
            <w:noWrap/>
            <w:vAlign w:val="center"/>
            <w:hideMark/>
          </w:tcPr>
          <w:p w14:paraId="5B22A33E" w14:textId="0C8A7BD0" w:rsidR="0030573D" w:rsidRPr="004863F3" w:rsidRDefault="001E171F"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30573D" w:rsidRPr="004863F3">
              <w:rPr>
                <w:rFonts w:ascii="Arial" w:hAnsi="Arial" w:cs="Arial"/>
                <w:b/>
                <w:bCs/>
                <w:color w:val="000000"/>
                <w:sz w:val="16"/>
                <w:szCs w:val="16"/>
              </w:rPr>
              <w:t>1.2</w:t>
            </w:r>
          </w:p>
        </w:tc>
      </w:tr>
      <w:tr w:rsidR="0030573D" w:rsidRPr="004863F3" w14:paraId="091BBAB3" w14:textId="77777777" w:rsidTr="00401EE4">
        <w:trPr>
          <w:trHeight w:hRule="exact" w:val="225"/>
        </w:trPr>
        <w:tc>
          <w:tcPr>
            <w:tcW w:w="2013" w:type="pct"/>
            <w:tcBorders>
              <w:top w:val="nil"/>
              <w:left w:val="nil"/>
              <w:bottom w:val="single" w:sz="4" w:space="0" w:color="000000"/>
              <w:right w:val="nil"/>
            </w:tcBorders>
            <w:shd w:val="clear" w:color="000000" w:fill="FFFFFF"/>
            <w:noWrap/>
            <w:vAlign w:val="center"/>
            <w:hideMark/>
          </w:tcPr>
          <w:p w14:paraId="7909B053"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Per cent of GDP</w:t>
            </w:r>
          </w:p>
        </w:tc>
        <w:tc>
          <w:tcPr>
            <w:tcW w:w="590" w:type="pct"/>
            <w:tcBorders>
              <w:top w:val="nil"/>
              <w:left w:val="nil"/>
              <w:bottom w:val="single" w:sz="4" w:space="0" w:color="auto"/>
              <w:right w:val="nil"/>
            </w:tcBorders>
            <w:shd w:val="clear" w:color="000000" w:fill="FFFFFF"/>
            <w:noWrap/>
            <w:vAlign w:val="center"/>
            <w:hideMark/>
          </w:tcPr>
          <w:p w14:paraId="03BE5BCA"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0.5</w:t>
            </w:r>
          </w:p>
        </w:tc>
        <w:tc>
          <w:tcPr>
            <w:tcW w:w="602" w:type="pct"/>
            <w:tcBorders>
              <w:top w:val="nil"/>
              <w:left w:val="nil"/>
              <w:bottom w:val="single" w:sz="4" w:space="0" w:color="auto"/>
              <w:right w:val="nil"/>
            </w:tcBorders>
            <w:shd w:val="clear" w:color="000000" w:fill="FFFFFF"/>
            <w:noWrap/>
            <w:vAlign w:val="center"/>
            <w:hideMark/>
          </w:tcPr>
          <w:p w14:paraId="38D3FCC5"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0.5</w:t>
            </w:r>
          </w:p>
        </w:tc>
        <w:tc>
          <w:tcPr>
            <w:tcW w:w="602" w:type="pct"/>
            <w:tcBorders>
              <w:top w:val="nil"/>
              <w:left w:val="nil"/>
              <w:bottom w:val="single" w:sz="4" w:space="0" w:color="auto"/>
              <w:right w:val="nil"/>
            </w:tcBorders>
            <w:shd w:val="clear" w:color="000000" w:fill="E6F2FF"/>
            <w:noWrap/>
            <w:vAlign w:val="center"/>
            <w:hideMark/>
          </w:tcPr>
          <w:p w14:paraId="3794E7BC"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0.5</w:t>
            </w:r>
          </w:p>
        </w:tc>
        <w:tc>
          <w:tcPr>
            <w:tcW w:w="590" w:type="pct"/>
            <w:tcBorders>
              <w:top w:val="nil"/>
              <w:left w:val="nil"/>
              <w:bottom w:val="single" w:sz="4" w:space="0" w:color="000000"/>
              <w:right w:val="nil"/>
            </w:tcBorders>
            <w:shd w:val="clear" w:color="000000" w:fill="FFFFFF"/>
            <w:noWrap/>
            <w:vAlign w:val="center"/>
            <w:hideMark/>
          </w:tcPr>
          <w:p w14:paraId="668AECCA"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single" w:sz="4" w:space="0" w:color="000000"/>
              <w:right w:val="nil"/>
            </w:tcBorders>
            <w:shd w:val="clear" w:color="000000" w:fill="FFFFFF"/>
            <w:noWrap/>
            <w:vAlign w:val="center"/>
            <w:hideMark/>
          </w:tcPr>
          <w:p w14:paraId="7AAAE4E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1C2C4759"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07D61D9A" w14:textId="77777777" w:rsidR="0030573D" w:rsidRPr="004863F3" w:rsidRDefault="0030573D" w:rsidP="0030573D">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Revenue</w:t>
            </w:r>
          </w:p>
        </w:tc>
        <w:tc>
          <w:tcPr>
            <w:tcW w:w="590" w:type="pct"/>
            <w:tcBorders>
              <w:top w:val="nil"/>
              <w:left w:val="nil"/>
              <w:bottom w:val="nil"/>
              <w:right w:val="nil"/>
            </w:tcBorders>
            <w:shd w:val="clear" w:color="000000" w:fill="FFFFFF"/>
            <w:noWrap/>
            <w:vAlign w:val="center"/>
            <w:hideMark/>
          </w:tcPr>
          <w:p w14:paraId="3C3A55BE"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717.6</w:t>
            </w:r>
          </w:p>
        </w:tc>
        <w:tc>
          <w:tcPr>
            <w:tcW w:w="602" w:type="pct"/>
            <w:tcBorders>
              <w:top w:val="nil"/>
              <w:left w:val="nil"/>
              <w:bottom w:val="nil"/>
              <w:right w:val="nil"/>
            </w:tcBorders>
            <w:shd w:val="clear" w:color="000000" w:fill="FFFFFF"/>
            <w:noWrap/>
            <w:vAlign w:val="center"/>
            <w:hideMark/>
          </w:tcPr>
          <w:p w14:paraId="24F827BA"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717.6</w:t>
            </w:r>
          </w:p>
        </w:tc>
        <w:tc>
          <w:tcPr>
            <w:tcW w:w="602" w:type="pct"/>
            <w:tcBorders>
              <w:top w:val="nil"/>
              <w:left w:val="nil"/>
              <w:bottom w:val="nil"/>
              <w:right w:val="nil"/>
            </w:tcBorders>
            <w:shd w:val="clear" w:color="000000" w:fill="E6F2FF"/>
            <w:noWrap/>
            <w:vAlign w:val="center"/>
            <w:hideMark/>
          </w:tcPr>
          <w:p w14:paraId="5F18CBE8"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733.0</w:t>
            </w:r>
          </w:p>
        </w:tc>
        <w:tc>
          <w:tcPr>
            <w:tcW w:w="590" w:type="pct"/>
            <w:tcBorders>
              <w:top w:val="nil"/>
              <w:left w:val="nil"/>
              <w:bottom w:val="nil"/>
              <w:right w:val="nil"/>
            </w:tcBorders>
            <w:shd w:val="clear" w:color="000000" w:fill="FFFFFF"/>
            <w:noWrap/>
            <w:vAlign w:val="center"/>
            <w:hideMark/>
          </w:tcPr>
          <w:p w14:paraId="55536C1B"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15.4</w:t>
            </w:r>
          </w:p>
        </w:tc>
        <w:tc>
          <w:tcPr>
            <w:tcW w:w="602" w:type="pct"/>
            <w:tcBorders>
              <w:top w:val="nil"/>
              <w:left w:val="nil"/>
              <w:bottom w:val="nil"/>
              <w:right w:val="nil"/>
            </w:tcBorders>
            <w:shd w:val="clear" w:color="000000" w:fill="FFFFFF"/>
            <w:noWrap/>
            <w:vAlign w:val="center"/>
            <w:hideMark/>
          </w:tcPr>
          <w:p w14:paraId="7C672611"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15.4</w:t>
            </w:r>
          </w:p>
        </w:tc>
      </w:tr>
      <w:tr w:rsidR="0030573D" w:rsidRPr="004863F3" w14:paraId="148193EC"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69B9EDD5"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Per cent of GDP</w:t>
            </w:r>
          </w:p>
        </w:tc>
        <w:tc>
          <w:tcPr>
            <w:tcW w:w="590" w:type="pct"/>
            <w:tcBorders>
              <w:top w:val="nil"/>
              <w:left w:val="nil"/>
              <w:bottom w:val="nil"/>
              <w:right w:val="nil"/>
            </w:tcBorders>
            <w:shd w:val="clear" w:color="000000" w:fill="FFFFFF"/>
            <w:noWrap/>
            <w:vAlign w:val="center"/>
            <w:hideMark/>
          </w:tcPr>
          <w:p w14:paraId="1CE5EFAE"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25.7</w:t>
            </w:r>
          </w:p>
        </w:tc>
        <w:tc>
          <w:tcPr>
            <w:tcW w:w="602" w:type="pct"/>
            <w:tcBorders>
              <w:top w:val="nil"/>
              <w:left w:val="nil"/>
              <w:bottom w:val="nil"/>
              <w:right w:val="nil"/>
            </w:tcBorders>
            <w:shd w:val="clear" w:color="000000" w:fill="FFFFFF"/>
            <w:noWrap/>
            <w:vAlign w:val="center"/>
            <w:hideMark/>
          </w:tcPr>
          <w:p w14:paraId="3C289DE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25.7</w:t>
            </w:r>
          </w:p>
        </w:tc>
        <w:tc>
          <w:tcPr>
            <w:tcW w:w="602" w:type="pct"/>
            <w:tcBorders>
              <w:top w:val="nil"/>
              <w:left w:val="nil"/>
              <w:bottom w:val="nil"/>
              <w:right w:val="nil"/>
            </w:tcBorders>
            <w:shd w:val="clear" w:color="000000" w:fill="E6F2FF"/>
            <w:noWrap/>
            <w:vAlign w:val="center"/>
            <w:hideMark/>
          </w:tcPr>
          <w:p w14:paraId="7D3DBF5D"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26.4</w:t>
            </w:r>
          </w:p>
        </w:tc>
        <w:tc>
          <w:tcPr>
            <w:tcW w:w="590" w:type="pct"/>
            <w:tcBorders>
              <w:top w:val="nil"/>
              <w:left w:val="nil"/>
              <w:bottom w:val="nil"/>
              <w:right w:val="nil"/>
            </w:tcBorders>
            <w:shd w:val="clear" w:color="000000" w:fill="FFFFFF"/>
            <w:noWrap/>
            <w:vAlign w:val="center"/>
            <w:hideMark/>
          </w:tcPr>
          <w:p w14:paraId="44E351F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5FCB4777"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105AC95B" w14:textId="77777777" w:rsidTr="00401EE4">
        <w:trPr>
          <w:trHeight w:hRule="exact" w:val="60"/>
        </w:trPr>
        <w:tc>
          <w:tcPr>
            <w:tcW w:w="2013" w:type="pct"/>
            <w:tcBorders>
              <w:top w:val="nil"/>
              <w:left w:val="nil"/>
              <w:bottom w:val="nil"/>
              <w:right w:val="nil"/>
            </w:tcBorders>
            <w:shd w:val="clear" w:color="000000" w:fill="FFFFFF"/>
            <w:noWrap/>
            <w:vAlign w:val="center"/>
            <w:hideMark/>
          </w:tcPr>
          <w:p w14:paraId="4A148998"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10EF634A"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4AC0C3E8"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E6F2FF"/>
            <w:noWrap/>
            <w:vAlign w:val="center"/>
            <w:hideMark/>
          </w:tcPr>
          <w:p w14:paraId="602873B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0AEB5A65"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01F7894C"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51A54295"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05EB6A00" w14:textId="77777777" w:rsidR="0030573D" w:rsidRPr="004863F3" w:rsidRDefault="0030573D" w:rsidP="0030573D">
            <w:pPr>
              <w:spacing w:before="0" w:after="0" w:line="240" w:lineRule="auto"/>
              <w:rPr>
                <w:rFonts w:ascii="Arial" w:hAnsi="Arial" w:cs="Arial"/>
                <w:b/>
                <w:bCs/>
                <w:sz w:val="16"/>
                <w:szCs w:val="16"/>
              </w:rPr>
            </w:pPr>
            <w:r w:rsidRPr="004863F3">
              <w:rPr>
                <w:rFonts w:ascii="Arial" w:hAnsi="Arial" w:cs="Arial"/>
                <w:b/>
                <w:bCs/>
                <w:sz w:val="16"/>
                <w:szCs w:val="16"/>
              </w:rPr>
              <w:t>Expenses</w:t>
            </w:r>
          </w:p>
        </w:tc>
        <w:tc>
          <w:tcPr>
            <w:tcW w:w="590" w:type="pct"/>
            <w:tcBorders>
              <w:top w:val="nil"/>
              <w:left w:val="nil"/>
              <w:bottom w:val="nil"/>
              <w:right w:val="nil"/>
            </w:tcBorders>
            <w:shd w:val="clear" w:color="000000" w:fill="FFFFFF"/>
            <w:noWrap/>
            <w:vAlign w:val="center"/>
            <w:hideMark/>
          </w:tcPr>
          <w:p w14:paraId="334E467C" w14:textId="77777777" w:rsidR="0030573D" w:rsidRPr="004863F3" w:rsidRDefault="0030573D" w:rsidP="0030573D">
            <w:pPr>
              <w:spacing w:before="0" w:after="0" w:line="240" w:lineRule="auto"/>
              <w:jc w:val="right"/>
              <w:rPr>
                <w:rFonts w:ascii="Arial" w:hAnsi="Arial" w:cs="Arial"/>
                <w:b/>
                <w:bCs/>
                <w:sz w:val="16"/>
                <w:szCs w:val="16"/>
              </w:rPr>
            </w:pPr>
            <w:r w:rsidRPr="004863F3">
              <w:rPr>
                <w:rFonts w:ascii="Arial" w:hAnsi="Arial" w:cs="Arial"/>
                <w:b/>
                <w:bCs/>
                <w:sz w:val="16"/>
                <w:szCs w:val="16"/>
              </w:rPr>
              <w:t>762.8</w:t>
            </w:r>
          </w:p>
        </w:tc>
        <w:tc>
          <w:tcPr>
            <w:tcW w:w="602" w:type="pct"/>
            <w:tcBorders>
              <w:top w:val="nil"/>
              <w:left w:val="nil"/>
              <w:bottom w:val="nil"/>
              <w:right w:val="nil"/>
            </w:tcBorders>
            <w:shd w:val="clear" w:color="000000" w:fill="FFFFFF"/>
            <w:noWrap/>
            <w:vAlign w:val="center"/>
            <w:hideMark/>
          </w:tcPr>
          <w:p w14:paraId="5CF2DDA2" w14:textId="77777777" w:rsidR="0030573D" w:rsidRPr="004863F3" w:rsidRDefault="0030573D" w:rsidP="0030573D">
            <w:pPr>
              <w:spacing w:before="0" w:after="0" w:line="240" w:lineRule="auto"/>
              <w:jc w:val="right"/>
              <w:rPr>
                <w:rFonts w:ascii="Arial" w:hAnsi="Arial" w:cs="Arial"/>
                <w:b/>
                <w:bCs/>
                <w:sz w:val="16"/>
                <w:szCs w:val="16"/>
              </w:rPr>
            </w:pPr>
            <w:r w:rsidRPr="004863F3">
              <w:rPr>
                <w:rFonts w:ascii="Arial" w:hAnsi="Arial" w:cs="Arial"/>
                <w:b/>
                <w:bCs/>
                <w:sz w:val="16"/>
                <w:szCs w:val="16"/>
              </w:rPr>
              <w:t>762.8</w:t>
            </w:r>
          </w:p>
        </w:tc>
        <w:tc>
          <w:tcPr>
            <w:tcW w:w="602" w:type="pct"/>
            <w:tcBorders>
              <w:top w:val="nil"/>
              <w:left w:val="nil"/>
              <w:bottom w:val="nil"/>
              <w:right w:val="nil"/>
            </w:tcBorders>
            <w:shd w:val="clear" w:color="000000" w:fill="E6F2FF"/>
            <w:noWrap/>
            <w:vAlign w:val="center"/>
            <w:hideMark/>
          </w:tcPr>
          <w:p w14:paraId="6C2D80D7" w14:textId="77777777" w:rsidR="0030573D" w:rsidRPr="004863F3" w:rsidRDefault="0030573D" w:rsidP="0030573D">
            <w:pPr>
              <w:spacing w:before="0" w:after="0" w:line="240" w:lineRule="auto"/>
              <w:jc w:val="right"/>
              <w:rPr>
                <w:rFonts w:ascii="Arial" w:hAnsi="Arial" w:cs="Arial"/>
                <w:b/>
                <w:bCs/>
                <w:sz w:val="16"/>
                <w:szCs w:val="16"/>
              </w:rPr>
            </w:pPr>
            <w:r w:rsidRPr="004863F3">
              <w:rPr>
                <w:rFonts w:ascii="Arial" w:hAnsi="Arial" w:cs="Arial"/>
                <w:b/>
                <w:bCs/>
                <w:sz w:val="16"/>
                <w:szCs w:val="16"/>
              </w:rPr>
              <w:t>770.1</w:t>
            </w:r>
          </w:p>
        </w:tc>
        <w:tc>
          <w:tcPr>
            <w:tcW w:w="590" w:type="pct"/>
            <w:tcBorders>
              <w:top w:val="nil"/>
              <w:left w:val="nil"/>
              <w:bottom w:val="nil"/>
              <w:right w:val="nil"/>
            </w:tcBorders>
            <w:shd w:val="clear" w:color="000000" w:fill="FFFFFF"/>
            <w:noWrap/>
            <w:vAlign w:val="center"/>
            <w:hideMark/>
          </w:tcPr>
          <w:p w14:paraId="28B4B503"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7.3</w:t>
            </w:r>
          </w:p>
        </w:tc>
        <w:tc>
          <w:tcPr>
            <w:tcW w:w="602" w:type="pct"/>
            <w:tcBorders>
              <w:top w:val="nil"/>
              <w:left w:val="nil"/>
              <w:bottom w:val="nil"/>
              <w:right w:val="nil"/>
            </w:tcBorders>
            <w:shd w:val="clear" w:color="000000" w:fill="FFFFFF"/>
            <w:noWrap/>
            <w:vAlign w:val="center"/>
            <w:hideMark/>
          </w:tcPr>
          <w:p w14:paraId="37910623"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7.3</w:t>
            </w:r>
          </w:p>
        </w:tc>
      </w:tr>
      <w:tr w:rsidR="0030573D" w:rsidRPr="004863F3" w14:paraId="0805FC22"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4BF82E1D"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Per cent of GDP</w:t>
            </w:r>
          </w:p>
        </w:tc>
        <w:tc>
          <w:tcPr>
            <w:tcW w:w="590" w:type="pct"/>
            <w:tcBorders>
              <w:top w:val="nil"/>
              <w:left w:val="nil"/>
              <w:bottom w:val="nil"/>
              <w:right w:val="nil"/>
            </w:tcBorders>
            <w:shd w:val="clear" w:color="000000" w:fill="FFFFFF"/>
            <w:noWrap/>
            <w:vAlign w:val="center"/>
            <w:hideMark/>
          </w:tcPr>
          <w:p w14:paraId="0B0DDC2A"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27.4</w:t>
            </w:r>
          </w:p>
        </w:tc>
        <w:tc>
          <w:tcPr>
            <w:tcW w:w="602" w:type="pct"/>
            <w:tcBorders>
              <w:top w:val="nil"/>
              <w:left w:val="nil"/>
              <w:bottom w:val="nil"/>
              <w:right w:val="nil"/>
            </w:tcBorders>
            <w:shd w:val="clear" w:color="000000" w:fill="FFFFFF"/>
            <w:noWrap/>
            <w:vAlign w:val="center"/>
            <w:hideMark/>
          </w:tcPr>
          <w:p w14:paraId="2DC3F1A1"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27.4</w:t>
            </w:r>
          </w:p>
        </w:tc>
        <w:tc>
          <w:tcPr>
            <w:tcW w:w="602" w:type="pct"/>
            <w:tcBorders>
              <w:top w:val="nil"/>
              <w:left w:val="nil"/>
              <w:bottom w:val="nil"/>
              <w:right w:val="nil"/>
            </w:tcBorders>
            <w:shd w:val="clear" w:color="000000" w:fill="E6F2FF"/>
            <w:noWrap/>
            <w:vAlign w:val="center"/>
            <w:hideMark/>
          </w:tcPr>
          <w:p w14:paraId="5119741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27.8</w:t>
            </w:r>
          </w:p>
        </w:tc>
        <w:tc>
          <w:tcPr>
            <w:tcW w:w="590" w:type="pct"/>
            <w:tcBorders>
              <w:top w:val="nil"/>
              <w:left w:val="nil"/>
              <w:bottom w:val="nil"/>
              <w:right w:val="nil"/>
            </w:tcBorders>
            <w:shd w:val="clear" w:color="000000" w:fill="FFFFFF"/>
            <w:noWrap/>
            <w:vAlign w:val="center"/>
            <w:hideMark/>
          </w:tcPr>
          <w:p w14:paraId="5886B46C"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42C483ED"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66E42DB6" w14:textId="77777777" w:rsidTr="00401EE4">
        <w:trPr>
          <w:trHeight w:hRule="exact" w:val="60"/>
        </w:trPr>
        <w:tc>
          <w:tcPr>
            <w:tcW w:w="2013" w:type="pct"/>
            <w:tcBorders>
              <w:top w:val="nil"/>
              <w:left w:val="nil"/>
              <w:bottom w:val="nil"/>
              <w:right w:val="nil"/>
            </w:tcBorders>
            <w:shd w:val="clear" w:color="000000" w:fill="FFFFFF"/>
            <w:noWrap/>
            <w:vAlign w:val="center"/>
            <w:hideMark/>
          </w:tcPr>
          <w:p w14:paraId="68A66071"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51CEC2D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041497C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E6F2FF"/>
            <w:noWrap/>
            <w:vAlign w:val="center"/>
            <w:hideMark/>
          </w:tcPr>
          <w:p w14:paraId="250E9A1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3C390E36"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73E3028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5B01B563"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5ABA7BF4" w14:textId="77777777" w:rsidR="0030573D" w:rsidRPr="004863F3" w:rsidRDefault="0030573D" w:rsidP="0030573D">
            <w:pPr>
              <w:spacing w:before="0" w:after="0" w:line="240" w:lineRule="auto"/>
              <w:rPr>
                <w:rFonts w:ascii="Arial" w:hAnsi="Arial" w:cs="Arial"/>
                <w:b/>
                <w:bCs/>
                <w:sz w:val="16"/>
                <w:szCs w:val="16"/>
              </w:rPr>
            </w:pPr>
            <w:r w:rsidRPr="004863F3">
              <w:rPr>
                <w:rFonts w:ascii="Arial" w:hAnsi="Arial" w:cs="Arial"/>
                <w:b/>
                <w:bCs/>
                <w:sz w:val="16"/>
                <w:szCs w:val="16"/>
              </w:rPr>
              <w:t>Net operating balance</w:t>
            </w:r>
          </w:p>
        </w:tc>
        <w:tc>
          <w:tcPr>
            <w:tcW w:w="590" w:type="pct"/>
            <w:tcBorders>
              <w:top w:val="nil"/>
              <w:left w:val="nil"/>
              <w:bottom w:val="nil"/>
              <w:right w:val="nil"/>
            </w:tcBorders>
            <w:shd w:val="clear" w:color="000000" w:fill="FFFFFF"/>
            <w:noWrap/>
            <w:vAlign w:val="center"/>
            <w:hideMark/>
          </w:tcPr>
          <w:p w14:paraId="3F321B81" w14:textId="5998F0AC" w:rsidR="0030573D" w:rsidRPr="004863F3" w:rsidRDefault="001E171F" w:rsidP="0030573D">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30573D" w:rsidRPr="004863F3">
              <w:rPr>
                <w:rFonts w:ascii="Arial" w:hAnsi="Arial" w:cs="Arial"/>
                <w:b/>
                <w:bCs/>
                <w:sz w:val="16"/>
                <w:szCs w:val="16"/>
              </w:rPr>
              <w:t>45.2</w:t>
            </w:r>
          </w:p>
        </w:tc>
        <w:tc>
          <w:tcPr>
            <w:tcW w:w="602" w:type="pct"/>
            <w:tcBorders>
              <w:top w:val="nil"/>
              <w:left w:val="nil"/>
              <w:bottom w:val="nil"/>
              <w:right w:val="nil"/>
            </w:tcBorders>
            <w:shd w:val="clear" w:color="000000" w:fill="FFFFFF"/>
            <w:noWrap/>
            <w:vAlign w:val="center"/>
            <w:hideMark/>
          </w:tcPr>
          <w:p w14:paraId="0055F1DE" w14:textId="073CA549" w:rsidR="0030573D" w:rsidRPr="004863F3" w:rsidRDefault="001E171F" w:rsidP="0030573D">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30573D" w:rsidRPr="004863F3">
              <w:rPr>
                <w:rFonts w:ascii="Arial" w:hAnsi="Arial" w:cs="Arial"/>
                <w:b/>
                <w:bCs/>
                <w:sz w:val="16"/>
                <w:szCs w:val="16"/>
              </w:rPr>
              <w:t>45.2</w:t>
            </w:r>
          </w:p>
        </w:tc>
        <w:tc>
          <w:tcPr>
            <w:tcW w:w="602" w:type="pct"/>
            <w:tcBorders>
              <w:top w:val="nil"/>
              <w:left w:val="nil"/>
              <w:bottom w:val="nil"/>
              <w:right w:val="nil"/>
            </w:tcBorders>
            <w:shd w:val="clear" w:color="000000" w:fill="E6F2FF"/>
            <w:noWrap/>
            <w:vAlign w:val="center"/>
            <w:hideMark/>
          </w:tcPr>
          <w:p w14:paraId="7C2C887E" w14:textId="01EE88E5" w:rsidR="0030573D" w:rsidRPr="004863F3" w:rsidRDefault="001E171F" w:rsidP="0030573D">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30573D" w:rsidRPr="004863F3">
              <w:rPr>
                <w:rFonts w:ascii="Arial" w:hAnsi="Arial" w:cs="Arial"/>
                <w:b/>
                <w:bCs/>
                <w:sz w:val="16"/>
                <w:szCs w:val="16"/>
              </w:rPr>
              <w:t>37.1</w:t>
            </w:r>
          </w:p>
        </w:tc>
        <w:tc>
          <w:tcPr>
            <w:tcW w:w="590" w:type="pct"/>
            <w:tcBorders>
              <w:top w:val="nil"/>
              <w:left w:val="nil"/>
              <w:bottom w:val="nil"/>
              <w:right w:val="nil"/>
            </w:tcBorders>
            <w:shd w:val="clear" w:color="000000" w:fill="FFFFFF"/>
            <w:noWrap/>
            <w:vAlign w:val="center"/>
            <w:hideMark/>
          </w:tcPr>
          <w:p w14:paraId="537D487A"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8.1</w:t>
            </w:r>
          </w:p>
        </w:tc>
        <w:tc>
          <w:tcPr>
            <w:tcW w:w="602" w:type="pct"/>
            <w:tcBorders>
              <w:top w:val="nil"/>
              <w:left w:val="nil"/>
              <w:bottom w:val="nil"/>
              <w:right w:val="nil"/>
            </w:tcBorders>
            <w:shd w:val="clear" w:color="000000" w:fill="FFFFFF"/>
            <w:noWrap/>
            <w:vAlign w:val="center"/>
            <w:hideMark/>
          </w:tcPr>
          <w:p w14:paraId="08525E8B"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8.1</w:t>
            </w:r>
          </w:p>
        </w:tc>
      </w:tr>
      <w:tr w:rsidR="0030573D" w:rsidRPr="004863F3" w14:paraId="3A532938"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6B988E53"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Per cent of GDP</w:t>
            </w:r>
          </w:p>
        </w:tc>
        <w:tc>
          <w:tcPr>
            <w:tcW w:w="590" w:type="pct"/>
            <w:tcBorders>
              <w:top w:val="nil"/>
              <w:left w:val="nil"/>
              <w:bottom w:val="nil"/>
              <w:right w:val="nil"/>
            </w:tcBorders>
            <w:shd w:val="clear" w:color="000000" w:fill="FFFFFF"/>
            <w:noWrap/>
            <w:vAlign w:val="center"/>
            <w:hideMark/>
          </w:tcPr>
          <w:p w14:paraId="5698ED8D" w14:textId="0AF41FC6" w:rsidR="0030573D" w:rsidRPr="004863F3" w:rsidRDefault="001E171F" w:rsidP="0030573D">
            <w:pPr>
              <w:spacing w:before="0" w:after="0" w:line="240" w:lineRule="auto"/>
              <w:jc w:val="right"/>
              <w:rPr>
                <w:rFonts w:ascii="Arial" w:hAnsi="Arial" w:cs="Arial"/>
                <w:sz w:val="16"/>
                <w:szCs w:val="16"/>
              </w:rPr>
            </w:pPr>
            <w:r w:rsidRPr="004863F3">
              <w:rPr>
                <w:rFonts w:ascii="Arial" w:hAnsi="Arial" w:cs="Arial"/>
                <w:sz w:val="16"/>
                <w:szCs w:val="16"/>
              </w:rPr>
              <w:noBreakHyphen/>
            </w:r>
            <w:r w:rsidR="0030573D" w:rsidRPr="004863F3">
              <w:rPr>
                <w:rFonts w:ascii="Arial" w:hAnsi="Arial" w:cs="Arial"/>
                <w:sz w:val="16"/>
                <w:szCs w:val="16"/>
              </w:rPr>
              <w:t>1.6</w:t>
            </w:r>
          </w:p>
        </w:tc>
        <w:tc>
          <w:tcPr>
            <w:tcW w:w="602" w:type="pct"/>
            <w:tcBorders>
              <w:top w:val="nil"/>
              <w:left w:val="nil"/>
              <w:bottom w:val="nil"/>
              <w:right w:val="nil"/>
            </w:tcBorders>
            <w:shd w:val="clear" w:color="000000" w:fill="FFFFFF"/>
            <w:noWrap/>
            <w:vAlign w:val="center"/>
            <w:hideMark/>
          </w:tcPr>
          <w:p w14:paraId="43DE2D8A" w14:textId="3C26DF0E" w:rsidR="0030573D" w:rsidRPr="004863F3" w:rsidRDefault="001E171F" w:rsidP="0030573D">
            <w:pPr>
              <w:spacing w:before="0" w:after="0" w:line="240" w:lineRule="auto"/>
              <w:jc w:val="right"/>
              <w:rPr>
                <w:rFonts w:ascii="Arial" w:hAnsi="Arial" w:cs="Arial"/>
                <w:sz w:val="16"/>
                <w:szCs w:val="16"/>
              </w:rPr>
            </w:pPr>
            <w:r w:rsidRPr="004863F3">
              <w:rPr>
                <w:rFonts w:ascii="Arial" w:hAnsi="Arial" w:cs="Arial"/>
                <w:sz w:val="16"/>
                <w:szCs w:val="16"/>
              </w:rPr>
              <w:noBreakHyphen/>
            </w:r>
            <w:r w:rsidR="0030573D" w:rsidRPr="004863F3">
              <w:rPr>
                <w:rFonts w:ascii="Arial" w:hAnsi="Arial" w:cs="Arial"/>
                <w:sz w:val="16"/>
                <w:szCs w:val="16"/>
              </w:rPr>
              <w:t>1.6</w:t>
            </w:r>
          </w:p>
        </w:tc>
        <w:tc>
          <w:tcPr>
            <w:tcW w:w="602" w:type="pct"/>
            <w:tcBorders>
              <w:top w:val="nil"/>
              <w:left w:val="nil"/>
              <w:bottom w:val="nil"/>
              <w:right w:val="nil"/>
            </w:tcBorders>
            <w:shd w:val="clear" w:color="000000" w:fill="E6F2FF"/>
            <w:noWrap/>
            <w:vAlign w:val="center"/>
            <w:hideMark/>
          </w:tcPr>
          <w:p w14:paraId="3D85CF84" w14:textId="7253FD91" w:rsidR="0030573D" w:rsidRPr="004863F3" w:rsidRDefault="001E171F" w:rsidP="0030573D">
            <w:pPr>
              <w:spacing w:before="0" w:after="0" w:line="240" w:lineRule="auto"/>
              <w:jc w:val="right"/>
              <w:rPr>
                <w:rFonts w:ascii="Arial" w:hAnsi="Arial" w:cs="Arial"/>
                <w:sz w:val="16"/>
                <w:szCs w:val="16"/>
              </w:rPr>
            </w:pPr>
            <w:r w:rsidRPr="004863F3">
              <w:rPr>
                <w:rFonts w:ascii="Arial" w:hAnsi="Arial" w:cs="Arial"/>
                <w:sz w:val="16"/>
                <w:szCs w:val="16"/>
              </w:rPr>
              <w:noBreakHyphen/>
            </w:r>
            <w:r w:rsidR="0030573D" w:rsidRPr="004863F3">
              <w:rPr>
                <w:rFonts w:ascii="Arial" w:hAnsi="Arial" w:cs="Arial"/>
                <w:sz w:val="16"/>
                <w:szCs w:val="16"/>
              </w:rPr>
              <w:t>1.3</w:t>
            </w:r>
          </w:p>
        </w:tc>
        <w:tc>
          <w:tcPr>
            <w:tcW w:w="590" w:type="pct"/>
            <w:tcBorders>
              <w:top w:val="nil"/>
              <w:left w:val="nil"/>
              <w:bottom w:val="nil"/>
              <w:right w:val="nil"/>
            </w:tcBorders>
            <w:shd w:val="clear" w:color="000000" w:fill="FFFFFF"/>
            <w:noWrap/>
            <w:vAlign w:val="center"/>
            <w:hideMark/>
          </w:tcPr>
          <w:p w14:paraId="5176C043"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53BAA4DA"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573D" w:rsidRPr="004863F3" w14:paraId="1234E98A" w14:textId="77777777" w:rsidTr="00401EE4">
        <w:trPr>
          <w:trHeight w:hRule="exact" w:val="60"/>
        </w:trPr>
        <w:tc>
          <w:tcPr>
            <w:tcW w:w="2013" w:type="pct"/>
            <w:tcBorders>
              <w:top w:val="nil"/>
              <w:left w:val="nil"/>
              <w:bottom w:val="nil"/>
              <w:right w:val="nil"/>
            </w:tcBorders>
            <w:shd w:val="clear" w:color="000000" w:fill="FFFFFF"/>
            <w:noWrap/>
            <w:vAlign w:val="center"/>
            <w:hideMark/>
          </w:tcPr>
          <w:p w14:paraId="23612402"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60AF3252"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3C2A6C93"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E6F2FF"/>
            <w:noWrap/>
            <w:vAlign w:val="center"/>
            <w:hideMark/>
          </w:tcPr>
          <w:p w14:paraId="429415C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46133221"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6976EB7C"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573D" w:rsidRPr="004863F3" w14:paraId="21E65ECE"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12EFFF6B" w14:textId="77777777" w:rsidR="0030573D" w:rsidRPr="004863F3" w:rsidRDefault="0030573D" w:rsidP="0030573D">
            <w:pPr>
              <w:spacing w:before="0" w:after="0" w:line="240" w:lineRule="auto"/>
              <w:rPr>
                <w:rFonts w:ascii="Arial" w:hAnsi="Arial" w:cs="Arial"/>
                <w:b/>
                <w:bCs/>
                <w:sz w:val="16"/>
                <w:szCs w:val="16"/>
              </w:rPr>
            </w:pPr>
            <w:r w:rsidRPr="004863F3">
              <w:rPr>
                <w:rFonts w:ascii="Arial" w:hAnsi="Arial" w:cs="Arial"/>
                <w:b/>
                <w:bCs/>
                <w:sz w:val="16"/>
                <w:szCs w:val="16"/>
              </w:rPr>
              <w:t>Net capital investment</w:t>
            </w:r>
          </w:p>
        </w:tc>
        <w:tc>
          <w:tcPr>
            <w:tcW w:w="590" w:type="pct"/>
            <w:tcBorders>
              <w:top w:val="nil"/>
              <w:left w:val="nil"/>
              <w:bottom w:val="nil"/>
              <w:right w:val="nil"/>
            </w:tcBorders>
            <w:shd w:val="clear" w:color="000000" w:fill="FFFFFF"/>
            <w:noWrap/>
            <w:vAlign w:val="center"/>
            <w:hideMark/>
          </w:tcPr>
          <w:p w14:paraId="1C266CC3" w14:textId="77777777" w:rsidR="0030573D" w:rsidRPr="004863F3" w:rsidRDefault="0030573D" w:rsidP="0030573D">
            <w:pPr>
              <w:spacing w:before="0" w:after="0" w:line="240" w:lineRule="auto"/>
              <w:jc w:val="right"/>
              <w:rPr>
                <w:rFonts w:ascii="Arial" w:hAnsi="Arial" w:cs="Arial"/>
                <w:b/>
                <w:bCs/>
                <w:sz w:val="16"/>
                <w:szCs w:val="16"/>
              </w:rPr>
            </w:pPr>
            <w:r w:rsidRPr="004863F3">
              <w:rPr>
                <w:rFonts w:ascii="Arial" w:hAnsi="Arial" w:cs="Arial"/>
                <w:b/>
                <w:bCs/>
                <w:sz w:val="16"/>
                <w:szCs w:val="16"/>
              </w:rPr>
              <w:t>5.5</w:t>
            </w:r>
          </w:p>
        </w:tc>
        <w:tc>
          <w:tcPr>
            <w:tcW w:w="602" w:type="pct"/>
            <w:tcBorders>
              <w:top w:val="nil"/>
              <w:left w:val="nil"/>
              <w:bottom w:val="nil"/>
              <w:right w:val="nil"/>
            </w:tcBorders>
            <w:shd w:val="clear" w:color="000000" w:fill="FFFFFF"/>
            <w:noWrap/>
            <w:vAlign w:val="center"/>
            <w:hideMark/>
          </w:tcPr>
          <w:p w14:paraId="092733DC" w14:textId="77777777" w:rsidR="0030573D" w:rsidRPr="004863F3" w:rsidRDefault="0030573D" w:rsidP="0030573D">
            <w:pPr>
              <w:spacing w:before="0" w:after="0" w:line="240" w:lineRule="auto"/>
              <w:jc w:val="right"/>
              <w:rPr>
                <w:rFonts w:ascii="Arial" w:hAnsi="Arial" w:cs="Arial"/>
                <w:b/>
                <w:bCs/>
                <w:sz w:val="16"/>
                <w:szCs w:val="16"/>
              </w:rPr>
            </w:pPr>
            <w:r w:rsidRPr="004863F3">
              <w:rPr>
                <w:rFonts w:ascii="Arial" w:hAnsi="Arial" w:cs="Arial"/>
                <w:b/>
                <w:bCs/>
                <w:sz w:val="16"/>
                <w:szCs w:val="16"/>
              </w:rPr>
              <w:t>5.5</w:t>
            </w:r>
          </w:p>
        </w:tc>
        <w:tc>
          <w:tcPr>
            <w:tcW w:w="602" w:type="pct"/>
            <w:tcBorders>
              <w:top w:val="nil"/>
              <w:left w:val="nil"/>
              <w:bottom w:val="nil"/>
              <w:right w:val="nil"/>
            </w:tcBorders>
            <w:shd w:val="clear" w:color="000000" w:fill="E6F2FF"/>
            <w:noWrap/>
            <w:vAlign w:val="center"/>
            <w:hideMark/>
          </w:tcPr>
          <w:p w14:paraId="3FFD292F" w14:textId="77777777" w:rsidR="0030573D" w:rsidRPr="004863F3" w:rsidRDefault="0030573D" w:rsidP="0030573D">
            <w:pPr>
              <w:spacing w:before="0" w:after="0" w:line="240" w:lineRule="auto"/>
              <w:jc w:val="right"/>
              <w:rPr>
                <w:rFonts w:ascii="Arial" w:hAnsi="Arial" w:cs="Arial"/>
                <w:b/>
                <w:bCs/>
                <w:sz w:val="16"/>
                <w:szCs w:val="16"/>
              </w:rPr>
            </w:pPr>
            <w:r w:rsidRPr="004863F3">
              <w:rPr>
                <w:rFonts w:ascii="Arial" w:hAnsi="Arial" w:cs="Arial"/>
                <w:b/>
                <w:bCs/>
                <w:sz w:val="16"/>
                <w:szCs w:val="16"/>
              </w:rPr>
              <w:t>7.7</w:t>
            </w:r>
          </w:p>
        </w:tc>
        <w:tc>
          <w:tcPr>
            <w:tcW w:w="590" w:type="pct"/>
            <w:tcBorders>
              <w:top w:val="nil"/>
              <w:left w:val="nil"/>
              <w:bottom w:val="nil"/>
              <w:right w:val="nil"/>
            </w:tcBorders>
            <w:shd w:val="clear" w:color="000000" w:fill="FFFFFF"/>
            <w:noWrap/>
            <w:vAlign w:val="center"/>
            <w:hideMark/>
          </w:tcPr>
          <w:p w14:paraId="6E21B4A2"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2.3</w:t>
            </w:r>
          </w:p>
        </w:tc>
        <w:tc>
          <w:tcPr>
            <w:tcW w:w="602" w:type="pct"/>
            <w:tcBorders>
              <w:top w:val="nil"/>
              <w:left w:val="nil"/>
              <w:bottom w:val="nil"/>
              <w:right w:val="nil"/>
            </w:tcBorders>
            <w:shd w:val="clear" w:color="000000" w:fill="FFFFFF"/>
            <w:noWrap/>
            <w:vAlign w:val="center"/>
            <w:hideMark/>
          </w:tcPr>
          <w:p w14:paraId="1E1B8C69"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2.3</w:t>
            </w:r>
          </w:p>
        </w:tc>
      </w:tr>
      <w:tr w:rsidR="0030573D" w:rsidRPr="004863F3" w14:paraId="779DC8A7"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1DCFC354"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Per cent of GDP</w:t>
            </w:r>
          </w:p>
        </w:tc>
        <w:tc>
          <w:tcPr>
            <w:tcW w:w="590" w:type="pct"/>
            <w:tcBorders>
              <w:top w:val="nil"/>
              <w:left w:val="nil"/>
              <w:bottom w:val="nil"/>
              <w:right w:val="nil"/>
            </w:tcBorders>
            <w:shd w:val="clear" w:color="000000" w:fill="FFFFFF"/>
            <w:noWrap/>
            <w:vAlign w:val="center"/>
            <w:hideMark/>
          </w:tcPr>
          <w:p w14:paraId="468533B9"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0.2</w:t>
            </w:r>
          </w:p>
        </w:tc>
        <w:tc>
          <w:tcPr>
            <w:tcW w:w="602" w:type="pct"/>
            <w:tcBorders>
              <w:top w:val="nil"/>
              <w:left w:val="nil"/>
              <w:bottom w:val="nil"/>
              <w:right w:val="nil"/>
            </w:tcBorders>
            <w:shd w:val="clear" w:color="000000" w:fill="FFFFFF"/>
            <w:noWrap/>
            <w:vAlign w:val="center"/>
            <w:hideMark/>
          </w:tcPr>
          <w:p w14:paraId="7F1E219C"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0.2</w:t>
            </w:r>
          </w:p>
        </w:tc>
        <w:tc>
          <w:tcPr>
            <w:tcW w:w="602" w:type="pct"/>
            <w:tcBorders>
              <w:top w:val="nil"/>
              <w:left w:val="nil"/>
              <w:bottom w:val="nil"/>
              <w:right w:val="nil"/>
            </w:tcBorders>
            <w:shd w:val="clear" w:color="000000" w:fill="E6F2FF"/>
            <w:noWrap/>
            <w:vAlign w:val="center"/>
            <w:hideMark/>
          </w:tcPr>
          <w:p w14:paraId="41FC62F8"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0.3</w:t>
            </w:r>
          </w:p>
        </w:tc>
        <w:tc>
          <w:tcPr>
            <w:tcW w:w="590" w:type="pct"/>
            <w:tcBorders>
              <w:top w:val="nil"/>
              <w:left w:val="nil"/>
              <w:bottom w:val="nil"/>
              <w:right w:val="nil"/>
            </w:tcBorders>
            <w:shd w:val="clear" w:color="000000" w:fill="FFFFFF"/>
            <w:noWrap/>
            <w:vAlign w:val="center"/>
            <w:hideMark/>
          </w:tcPr>
          <w:p w14:paraId="0A6DA355"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602" w:type="pct"/>
            <w:tcBorders>
              <w:top w:val="nil"/>
              <w:left w:val="nil"/>
              <w:bottom w:val="nil"/>
              <w:right w:val="nil"/>
            </w:tcBorders>
            <w:shd w:val="clear" w:color="000000" w:fill="FFFFFF"/>
            <w:noWrap/>
            <w:vAlign w:val="center"/>
            <w:hideMark/>
          </w:tcPr>
          <w:p w14:paraId="2B1FA230" w14:textId="77777777" w:rsidR="0030573D" w:rsidRPr="004863F3" w:rsidRDefault="0030573D" w:rsidP="0030573D">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573D" w:rsidRPr="004863F3" w14:paraId="6B61B3F9" w14:textId="77777777" w:rsidTr="00401EE4">
        <w:trPr>
          <w:trHeight w:hRule="exact" w:val="60"/>
        </w:trPr>
        <w:tc>
          <w:tcPr>
            <w:tcW w:w="2013" w:type="pct"/>
            <w:tcBorders>
              <w:top w:val="nil"/>
              <w:left w:val="nil"/>
              <w:bottom w:val="nil"/>
              <w:right w:val="nil"/>
            </w:tcBorders>
            <w:shd w:val="clear" w:color="000000" w:fill="FFFFFF"/>
            <w:noWrap/>
            <w:vAlign w:val="center"/>
            <w:hideMark/>
          </w:tcPr>
          <w:p w14:paraId="7B2797DD"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38F9FA63"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6907809A"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E6F2FF"/>
            <w:noWrap/>
            <w:vAlign w:val="center"/>
            <w:hideMark/>
          </w:tcPr>
          <w:p w14:paraId="5FDD8F93"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590" w:type="pct"/>
            <w:tcBorders>
              <w:top w:val="nil"/>
              <w:left w:val="nil"/>
              <w:bottom w:val="nil"/>
              <w:right w:val="nil"/>
            </w:tcBorders>
            <w:shd w:val="clear" w:color="000000" w:fill="FFFFFF"/>
            <w:noWrap/>
            <w:vAlign w:val="center"/>
            <w:hideMark/>
          </w:tcPr>
          <w:p w14:paraId="51D9EF5D"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nil"/>
              <w:right w:val="nil"/>
            </w:tcBorders>
            <w:shd w:val="clear" w:color="000000" w:fill="FFFFFF"/>
            <w:noWrap/>
            <w:vAlign w:val="center"/>
            <w:hideMark/>
          </w:tcPr>
          <w:p w14:paraId="30C0B161"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r w:rsidR="0030573D" w:rsidRPr="004863F3" w14:paraId="51247B28" w14:textId="77777777" w:rsidTr="00401EE4">
        <w:trPr>
          <w:trHeight w:hRule="exact" w:val="225"/>
        </w:trPr>
        <w:tc>
          <w:tcPr>
            <w:tcW w:w="2013" w:type="pct"/>
            <w:tcBorders>
              <w:top w:val="nil"/>
              <w:left w:val="nil"/>
              <w:bottom w:val="nil"/>
              <w:right w:val="nil"/>
            </w:tcBorders>
            <w:shd w:val="clear" w:color="000000" w:fill="FFFFFF"/>
            <w:noWrap/>
            <w:vAlign w:val="center"/>
            <w:hideMark/>
          </w:tcPr>
          <w:p w14:paraId="1E423A37" w14:textId="77777777" w:rsidR="0030573D" w:rsidRPr="004863F3" w:rsidRDefault="0030573D" w:rsidP="0030573D">
            <w:pPr>
              <w:spacing w:before="0" w:after="0" w:line="240" w:lineRule="auto"/>
              <w:rPr>
                <w:rFonts w:ascii="Arial" w:hAnsi="Arial" w:cs="Arial"/>
                <w:b/>
                <w:bCs/>
                <w:sz w:val="16"/>
                <w:szCs w:val="16"/>
              </w:rPr>
            </w:pPr>
            <w:r w:rsidRPr="004863F3">
              <w:rPr>
                <w:rFonts w:ascii="Arial" w:hAnsi="Arial" w:cs="Arial"/>
                <w:b/>
                <w:bCs/>
                <w:sz w:val="16"/>
                <w:szCs w:val="16"/>
              </w:rPr>
              <w:t>Fiscal balance</w:t>
            </w:r>
          </w:p>
        </w:tc>
        <w:tc>
          <w:tcPr>
            <w:tcW w:w="590" w:type="pct"/>
            <w:tcBorders>
              <w:top w:val="nil"/>
              <w:left w:val="nil"/>
              <w:bottom w:val="nil"/>
              <w:right w:val="nil"/>
            </w:tcBorders>
            <w:shd w:val="clear" w:color="000000" w:fill="FFFFFF"/>
            <w:noWrap/>
            <w:vAlign w:val="center"/>
            <w:hideMark/>
          </w:tcPr>
          <w:p w14:paraId="6DC0130A" w14:textId="229F347A" w:rsidR="0030573D" w:rsidRPr="004863F3" w:rsidRDefault="001E171F" w:rsidP="0030573D">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30573D" w:rsidRPr="004863F3">
              <w:rPr>
                <w:rFonts w:ascii="Arial" w:hAnsi="Arial" w:cs="Arial"/>
                <w:b/>
                <w:bCs/>
                <w:sz w:val="16"/>
                <w:szCs w:val="16"/>
              </w:rPr>
              <w:t>50.6</w:t>
            </w:r>
          </w:p>
        </w:tc>
        <w:tc>
          <w:tcPr>
            <w:tcW w:w="602" w:type="pct"/>
            <w:tcBorders>
              <w:top w:val="nil"/>
              <w:left w:val="nil"/>
              <w:bottom w:val="nil"/>
              <w:right w:val="nil"/>
            </w:tcBorders>
            <w:shd w:val="clear" w:color="000000" w:fill="FFFFFF"/>
            <w:noWrap/>
            <w:vAlign w:val="center"/>
            <w:hideMark/>
          </w:tcPr>
          <w:p w14:paraId="7CA75646" w14:textId="151AAF60" w:rsidR="0030573D" w:rsidRPr="004863F3" w:rsidRDefault="001E171F" w:rsidP="0030573D">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30573D" w:rsidRPr="004863F3">
              <w:rPr>
                <w:rFonts w:ascii="Arial" w:hAnsi="Arial" w:cs="Arial"/>
                <w:b/>
                <w:bCs/>
                <w:sz w:val="16"/>
                <w:szCs w:val="16"/>
              </w:rPr>
              <w:t>50.7</w:t>
            </w:r>
          </w:p>
        </w:tc>
        <w:tc>
          <w:tcPr>
            <w:tcW w:w="602" w:type="pct"/>
            <w:tcBorders>
              <w:top w:val="nil"/>
              <w:left w:val="nil"/>
              <w:bottom w:val="nil"/>
              <w:right w:val="nil"/>
            </w:tcBorders>
            <w:shd w:val="clear" w:color="000000" w:fill="E6F2FF"/>
            <w:noWrap/>
            <w:vAlign w:val="center"/>
            <w:hideMark/>
          </w:tcPr>
          <w:p w14:paraId="3AA5AE25" w14:textId="527DAF49" w:rsidR="0030573D" w:rsidRPr="004863F3" w:rsidRDefault="001E171F" w:rsidP="0030573D">
            <w:pPr>
              <w:spacing w:before="0" w:after="0" w:line="240" w:lineRule="auto"/>
              <w:jc w:val="right"/>
              <w:rPr>
                <w:rFonts w:ascii="Arial" w:hAnsi="Arial" w:cs="Arial"/>
                <w:b/>
                <w:bCs/>
                <w:sz w:val="16"/>
                <w:szCs w:val="16"/>
              </w:rPr>
            </w:pPr>
            <w:r w:rsidRPr="004863F3">
              <w:rPr>
                <w:rFonts w:ascii="Arial" w:hAnsi="Arial" w:cs="Arial"/>
                <w:b/>
                <w:bCs/>
                <w:sz w:val="16"/>
                <w:szCs w:val="16"/>
              </w:rPr>
              <w:noBreakHyphen/>
            </w:r>
            <w:r w:rsidR="0030573D" w:rsidRPr="004863F3">
              <w:rPr>
                <w:rFonts w:ascii="Arial" w:hAnsi="Arial" w:cs="Arial"/>
                <w:b/>
                <w:bCs/>
                <w:sz w:val="16"/>
                <w:szCs w:val="16"/>
              </w:rPr>
              <w:t>44.8</w:t>
            </w:r>
          </w:p>
        </w:tc>
        <w:tc>
          <w:tcPr>
            <w:tcW w:w="590" w:type="pct"/>
            <w:tcBorders>
              <w:top w:val="nil"/>
              <w:left w:val="nil"/>
              <w:bottom w:val="nil"/>
              <w:right w:val="nil"/>
            </w:tcBorders>
            <w:shd w:val="clear" w:color="000000" w:fill="FFFFFF"/>
            <w:noWrap/>
            <w:vAlign w:val="center"/>
            <w:hideMark/>
          </w:tcPr>
          <w:p w14:paraId="01169EE2"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5.8</w:t>
            </w:r>
          </w:p>
        </w:tc>
        <w:tc>
          <w:tcPr>
            <w:tcW w:w="602" w:type="pct"/>
            <w:tcBorders>
              <w:top w:val="nil"/>
              <w:left w:val="nil"/>
              <w:bottom w:val="nil"/>
              <w:right w:val="nil"/>
            </w:tcBorders>
            <w:shd w:val="clear" w:color="000000" w:fill="FFFFFF"/>
            <w:noWrap/>
            <w:vAlign w:val="center"/>
            <w:hideMark/>
          </w:tcPr>
          <w:p w14:paraId="5BD9E49E" w14:textId="77777777" w:rsidR="0030573D" w:rsidRPr="004863F3" w:rsidRDefault="0030573D" w:rsidP="0030573D">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5.8</w:t>
            </w:r>
          </w:p>
        </w:tc>
      </w:tr>
      <w:tr w:rsidR="0030573D" w:rsidRPr="004863F3" w14:paraId="15101549" w14:textId="77777777" w:rsidTr="00401EE4">
        <w:trPr>
          <w:trHeight w:hRule="exact" w:val="225"/>
        </w:trPr>
        <w:tc>
          <w:tcPr>
            <w:tcW w:w="2013" w:type="pct"/>
            <w:tcBorders>
              <w:top w:val="nil"/>
              <w:left w:val="nil"/>
              <w:bottom w:val="single" w:sz="4" w:space="0" w:color="293F5B"/>
              <w:right w:val="nil"/>
            </w:tcBorders>
            <w:shd w:val="clear" w:color="000000" w:fill="FFFFFF"/>
            <w:noWrap/>
            <w:vAlign w:val="center"/>
            <w:hideMark/>
          </w:tcPr>
          <w:p w14:paraId="7F959933" w14:textId="77777777" w:rsidR="0030573D" w:rsidRPr="004863F3" w:rsidRDefault="0030573D" w:rsidP="0030573D">
            <w:pPr>
              <w:spacing w:before="0" w:after="0" w:line="240" w:lineRule="auto"/>
              <w:rPr>
                <w:rFonts w:ascii="Arial" w:hAnsi="Arial" w:cs="Arial"/>
                <w:sz w:val="16"/>
                <w:szCs w:val="16"/>
              </w:rPr>
            </w:pPr>
            <w:r w:rsidRPr="004863F3">
              <w:rPr>
                <w:rFonts w:ascii="Arial" w:hAnsi="Arial" w:cs="Arial"/>
                <w:sz w:val="16"/>
                <w:szCs w:val="16"/>
              </w:rPr>
              <w:t>Per cent of GDP</w:t>
            </w:r>
          </w:p>
        </w:tc>
        <w:tc>
          <w:tcPr>
            <w:tcW w:w="590" w:type="pct"/>
            <w:tcBorders>
              <w:top w:val="nil"/>
              <w:left w:val="nil"/>
              <w:bottom w:val="single" w:sz="4" w:space="0" w:color="293F5B"/>
              <w:right w:val="nil"/>
            </w:tcBorders>
            <w:shd w:val="clear" w:color="000000" w:fill="FFFFFF"/>
            <w:noWrap/>
            <w:vAlign w:val="center"/>
            <w:hideMark/>
          </w:tcPr>
          <w:p w14:paraId="29233A68" w14:textId="1AB642EF" w:rsidR="0030573D" w:rsidRPr="004863F3" w:rsidRDefault="001E171F" w:rsidP="0030573D">
            <w:pPr>
              <w:spacing w:before="0" w:after="0" w:line="240" w:lineRule="auto"/>
              <w:jc w:val="right"/>
              <w:rPr>
                <w:rFonts w:ascii="Arial" w:hAnsi="Arial" w:cs="Arial"/>
                <w:sz w:val="16"/>
                <w:szCs w:val="16"/>
              </w:rPr>
            </w:pPr>
            <w:r w:rsidRPr="004863F3">
              <w:rPr>
                <w:rFonts w:ascii="Arial" w:hAnsi="Arial" w:cs="Arial"/>
                <w:sz w:val="16"/>
                <w:szCs w:val="16"/>
              </w:rPr>
              <w:noBreakHyphen/>
            </w:r>
            <w:r w:rsidR="0030573D" w:rsidRPr="004863F3">
              <w:rPr>
                <w:rFonts w:ascii="Arial" w:hAnsi="Arial" w:cs="Arial"/>
                <w:sz w:val="16"/>
                <w:szCs w:val="16"/>
              </w:rPr>
              <w:t>1.8</w:t>
            </w:r>
          </w:p>
        </w:tc>
        <w:tc>
          <w:tcPr>
            <w:tcW w:w="602" w:type="pct"/>
            <w:tcBorders>
              <w:top w:val="nil"/>
              <w:left w:val="nil"/>
              <w:bottom w:val="single" w:sz="4" w:space="0" w:color="293F5B"/>
              <w:right w:val="nil"/>
            </w:tcBorders>
            <w:shd w:val="clear" w:color="000000" w:fill="FFFFFF"/>
            <w:noWrap/>
            <w:vAlign w:val="center"/>
            <w:hideMark/>
          </w:tcPr>
          <w:p w14:paraId="47846B71" w14:textId="7543C038" w:rsidR="0030573D" w:rsidRPr="004863F3" w:rsidRDefault="001E171F" w:rsidP="0030573D">
            <w:pPr>
              <w:spacing w:before="0" w:after="0" w:line="240" w:lineRule="auto"/>
              <w:jc w:val="right"/>
              <w:rPr>
                <w:rFonts w:ascii="Arial" w:hAnsi="Arial" w:cs="Arial"/>
                <w:sz w:val="16"/>
                <w:szCs w:val="16"/>
              </w:rPr>
            </w:pPr>
            <w:r w:rsidRPr="004863F3">
              <w:rPr>
                <w:rFonts w:ascii="Arial" w:hAnsi="Arial" w:cs="Arial"/>
                <w:sz w:val="16"/>
                <w:szCs w:val="16"/>
              </w:rPr>
              <w:noBreakHyphen/>
            </w:r>
            <w:r w:rsidR="0030573D" w:rsidRPr="004863F3">
              <w:rPr>
                <w:rFonts w:ascii="Arial" w:hAnsi="Arial" w:cs="Arial"/>
                <w:sz w:val="16"/>
                <w:szCs w:val="16"/>
              </w:rPr>
              <w:t>1.8</w:t>
            </w:r>
          </w:p>
        </w:tc>
        <w:tc>
          <w:tcPr>
            <w:tcW w:w="602" w:type="pct"/>
            <w:tcBorders>
              <w:top w:val="nil"/>
              <w:left w:val="nil"/>
              <w:bottom w:val="single" w:sz="4" w:space="0" w:color="293F5B"/>
              <w:right w:val="nil"/>
            </w:tcBorders>
            <w:shd w:val="clear" w:color="000000" w:fill="E6F2FF"/>
            <w:noWrap/>
            <w:vAlign w:val="center"/>
            <w:hideMark/>
          </w:tcPr>
          <w:p w14:paraId="3E1AA8B7" w14:textId="74944D55" w:rsidR="0030573D" w:rsidRPr="004863F3" w:rsidRDefault="001E171F" w:rsidP="0030573D">
            <w:pPr>
              <w:spacing w:before="0" w:after="0" w:line="240" w:lineRule="auto"/>
              <w:jc w:val="right"/>
              <w:rPr>
                <w:rFonts w:ascii="Arial" w:hAnsi="Arial" w:cs="Arial"/>
                <w:sz w:val="16"/>
                <w:szCs w:val="16"/>
              </w:rPr>
            </w:pPr>
            <w:r w:rsidRPr="004863F3">
              <w:rPr>
                <w:rFonts w:ascii="Arial" w:hAnsi="Arial" w:cs="Arial"/>
                <w:sz w:val="16"/>
                <w:szCs w:val="16"/>
              </w:rPr>
              <w:noBreakHyphen/>
            </w:r>
            <w:r w:rsidR="0030573D" w:rsidRPr="004863F3">
              <w:rPr>
                <w:rFonts w:ascii="Arial" w:hAnsi="Arial" w:cs="Arial"/>
                <w:sz w:val="16"/>
                <w:szCs w:val="16"/>
              </w:rPr>
              <w:t>1.6</w:t>
            </w:r>
          </w:p>
        </w:tc>
        <w:tc>
          <w:tcPr>
            <w:tcW w:w="590" w:type="pct"/>
            <w:tcBorders>
              <w:top w:val="nil"/>
              <w:left w:val="nil"/>
              <w:bottom w:val="single" w:sz="4" w:space="0" w:color="293F5B"/>
              <w:right w:val="nil"/>
            </w:tcBorders>
            <w:shd w:val="clear" w:color="000000" w:fill="FFFFFF"/>
            <w:noWrap/>
            <w:vAlign w:val="center"/>
            <w:hideMark/>
          </w:tcPr>
          <w:p w14:paraId="1FC74614"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c>
          <w:tcPr>
            <w:tcW w:w="602" w:type="pct"/>
            <w:tcBorders>
              <w:top w:val="nil"/>
              <w:left w:val="nil"/>
              <w:bottom w:val="single" w:sz="4" w:space="0" w:color="293F5B"/>
              <w:right w:val="nil"/>
            </w:tcBorders>
            <w:shd w:val="clear" w:color="000000" w:fill="FFFFFF"/>
            <w:noWrap/>
            <w:vAlign w:val="center"/>
            <w:hideMark/>
          </w:tcPr>
          <w:p w14:paraId="3AD83FB0" w14:textId="77777777" w:rsidR="0030573D" w:rsidRPr="004863F3" w:rsidRDefault="0030573D" w:rsidP="0030573D">
            <w:pPr>
              <w:spacing w:before="0" w:after="0" w:line="240" w:lineRule="auto"/>
              <w:jc w:val="right"/>
              <w:rPr>
                <w:rFonts w:ascii="Arial" w:hAnsi="Arial" w:cs="Arial"/>
                <w:sz w:val="16"/>
                <w:szCs w:val="16"/>
              </w:rPr>
            </w:pPr>
            <w:r w:rsidRPr="004863F3">
              <w:rPr>
                <w:rFonts w:ascii="Arial" w:hAnsi="Arial" w:cs="Arial"/>
                <w:sz w:val="16"/>
                <w:szCs w:val="16"/>
              </w:rPr>
              <w:t> </w:t>
            </w:r>
          </w:p>
        </w:tc>
      </w:tr>
    </w:tbl>
    <w:p w14:paraId="7D958F0F" w14:textId="657412EF" w:rsidR="00340FCB" w:rsidRPr="004863F3" w:rsidRDefault="00340FCB" w:rsidP="00340FCB">
      <w:pPr>
        <w:pStyle w:val="ChartandTableFootnoteAlpha"/>
        <w:numPr>
          <w:ilvl w:val="0"/>
          <w:numId w:val="21"/>
        </w:numPr>
      </w:pPr>
      <w:r w:rsidRPr="004863F3">
        <w:t>Equivalent to cash payments for operating activities, purchases of non–financial assets and principal payments of lease liabilities.</w:t>
      </w:r>
    </w:p>
    <w:p w14:paraId="6D9E3665" w14:textId="0201A1B9" w:rsidR="00340FCB" w:rsidRPr="004863F3" w:rsidRDefault="00340FCB" w:rsidP="00340FCB">
      <w:pPr>
        <w:pStyle w:val="ChartandTableFootnoteAlpha"/>
      </w:pPr>
      <w:r w:rsidRPr="004863F3">
        <w:t xml:space="preserve">Net interest payments are equal to the difference between interest payments and interest receipts. </w:t>
      </w:r>
    </w:p>
    <w:p w14:paraId="6999BBF2" w14:textId="77777777" w:rsidR="00340FCB" w:rsidRPr="004863F3" w:rsidRDefault="00340FCB" w:rsidP="00A86602">
      <w:pPr>
        <w:pStyle w:val="TableLine"/>
      </w:pPr>
    </w:p>
    <w:p w14:paraId="4121B7D5" w14:textId="5CD81381" w:rsidR="00866CF5" w:rsidRPr="004863F3" w:rsidRDefault="002E6068" w:rsidP="00A86602">
      <w:r w:rsidRPr="004863F3">
        <w:t>The 2024</w:t>
      </w:r>
      <w:r w:rsidR="006D7B97" w:rsidRPr="004863F3">
        <w:t>–</w:t>
      </w:r>
      <w:r w:rsidRPr="004863F3">
        <w:t>25 estimate</w:t>
      </w:r>
      <w:r w:rsidR="003D1195" w:rsidRPr="004863F3">
        <w:t>s</w:t>
      </w:r>
      <w:r w:rsidRPr="004863F3">
        <w:t xml:space="preserve"> at the 2025</w:t>
      </w:r>
      <w:r w:rsidR="006D7B97" w:rsidRPr="004863F3">
        <w:t>–</w:t>
      </w:r>
      <w:r w:rsidRPr="004863F3">
        <w:t xml:space="preserve">26 Budget </w:t>
      </w:r>
      <w:r w:rsidR="00C55D7F" w:rsidRPr="004863F3">
        <w:t xml:space="preserve">differ slightly from </w:t>
      </w:r>
      <w:r w:rsidRPr="004863F3">
        <w:t>the estimates at the 2025</w:t>
      </w:r>
      <w:r w:rsidR="009201D1" w:rsidRPr="004863F3">
        <w:t> </w:t>
      </w:r>
      <w:r w:rsidRPr="004863F3">
        <w:t>PEFO. The difference in the estimated 2024</w:t>
      </w:r>
      <w:r w:rsidR="006D7B97" w:rsidRPr="004863F3">
        <w:t>–</w:t>
      </w:r>
      <w:r w:rsidRPr="004863F3">
        <w:t>25 underlying cash balance between the 2025</w:t>
      </w:r>
      <w:r w:rsidR="00C0222E" w:rsidRPr="004863F3">
        <w:t>–</w:t>
      </w:r>
      <w:r w:rsidRPr="004863F3">
        <w:t>26 Budget and the 2025 PEFO largely reflects a $281.1</w:t>
      </w:r>
      <w:r w:rsidR="00167021" w:rsidRPr="004863F3">
        <w:t> </w:t>
      </w:r>
      <w:r w:rsidRPr="004863F3">
        <w:t>million increase in payments for the Australian Government Disaster Recovery Payment and Disaster Recovery Allowance due to major disaster determinations, including in relation to ex</w:t>
      </w:r>
      <w:r w:rsidR="005775CC" w:rsidRPr="004863F3">
        <w:noBreakHyphen/>
      </w:r>
      <w:r w:rsidRPr="004863F3">
        <w:t>Tropical Cyclone Alfred in March 2025.</w:t>
      </w:r>
    </w:p>
    <w:p w14:paraId="3432912F" w14:textId="77777777" w:rsidR="00775E22" w:rsidRPr="004863F3" w:rsidRDefault="00775E22" w:rsidP="00775E22">
      <w:pPr>
        <w:pStyle w:val="Heading2"/>
        <w:keepLines/>
      </w:pPr>
      <w:r w:rsidRPr="004863F3">
        <w:t>Underlying cash balance</w:t>
      </w:r>
    </w:p>
    <w:p w14:paraId="12F87DC3" w14:textId="77777777" w:rsidR="00775E22" w:rsidRPr="004863F3" w:rsidRDefault="00775E22" w:rsidP="00775E22">
      <w:pPr>
        <w:pStyle w:val="Heading3"/>
        <w:keepLines/>
      </w:pPr>
      <w:r w:rsidRPr="004863F3">
        <w:t>Receipts</w:t>
      </w:r>
    </w:p>
    <w:p w14:paraId="61FD5277" w14:textId="2DAA39D2" w:rsidR="00775E22" w:rsidRPr="004863F3" w:rsidRDefault="00775E22" w:rsidP="00775E22">
      <w:pPr>
        <w:keepNext/>
        <w:keepLines/>
        <w:rPr>
          <w:szCs w:val="19"/>
        </w:rPr>
      </w:pPr>
      <w:r w:rsidRPr="004863F3">
        <w:rPr>
          <w:szCs w:val="19"/>
        </w:rPr>
        <w:t>Total receipts for 202</w:t>
      </w:r>
      <w:r w:rsidR="00F81A47" w:rsidRPr="004863F3">
        <w:rPr>
          <w:szCs w:val="19"/>
        </w:rPr>
        <w:t>4</w:t>
      </w:r>
      <w:r w:rsidR="00790DA5" w:rsidRPr="004863F3">
        <w:rPr>
          <w:szCs w:val="19"/>
        </w:rPr>
        <w:t>–</w:t>
      </w:r>
      <w:r w:rsidR="00374F28" w:rsidRPr="004863F3">
        <w:rPr>
          <w:szCs w:val="19"/>
        </w:rPr>
        <w:t>2</w:t>
      </w:r>
      <w:r w:rsidR="00F81A47" w:rsidRPr="004863F3">
        <w:rPr>
          <w:szCs w:val="19"/>
        </w:rPr>
        <w:t>5</w:t>
      </w:r>
      <w:r w:rsidRPr="004863F3">
        <w:rPr>
          <w:szCs w:val="19"/>
        </w:rPr>
        <w:t xml:space="preserve"> </w:t>
      </w:r>
      <w:proofErr w:type="gramStart"/>
      <w:r w:rsidRPr="004863F3">
        <w:rPr>
          <w:szCs w:val="19"/>
        </w:rPr>
        <w:t>were</w:t>
      </w:r>
      <w:proofErr w:type="gramEnd"/>
      <w:r w:rsidRPr="004863F3">
        <w:rPr>
          <w:szCs w:val="19"/>
        </w:rPr>
        <w:t xml:space="preserve"> $</w:t>
      </w:r>
      <w:r w:rsidR="00115D9B" w:rsidRPr="004863F3">
        <w:rPr>
          <w:szCs w:val="19"/>
        </w:rPr>
        <w:t>717</w:t>
      </w:r>
      <w:r w:rsidR="00F81A47" w:rsidRPr="004863F3">
        <w:rPr>
          <w:szCs w:val="19"/>
        </w:rPr>
        <w:t>.</w:t>
      </w:r>
      <w:r w:rsidR="00C16AD5" w:rsidRPr="004863F3">
        <w:rPr>
          <w:szCs w:val="19"/>
        </w:rPr>
        <w:t>0</w:t>
      </w:r>
      <w:r w:rsidR="00167021" w:rsidRPr="004863F3">
        <w:rPr>
          <w:szCs w:val="19"/>
        </w:rPr>
        <w:t> </w:t>
      </w:r>
      <w:r w:rsidRPr="004863F3">
        <w:rPr>
          <w:szCs w:val="19"/>
        </w:rPr>
        <w:t>billion, $</w:t>
      </w:r>
      <w:r w:rsidR="001D7812" w:rsidRPr="004863F3">
        <w:rPr>
          <w:szCs w:val="19"/>
        </w:rPr>
        <w:t>1</w:t>
      </w:r>
      <w:r w:rsidR="00115D9B" w:rsidRPr="004863F3">
        <w:rPr>
          <w:szCs w:val="19"/>
        </w:rPr>
        <w:t>3</w:t>
      </w:r>
      <w:r w:rsidR="00F81A47" w:rsidRPr="004863F3">
        <w:rPr>
          <w:szCs w:val="19"/>
        </w:rPr>
        <w:t>.</w:t>
      </w:r>
      <w:r w:rsidR="00F05B87" w:rsidRPr="004863F3">
        <w:rPr>
          <w:szCs w:val="19"/>
        </w:rPr>
        <w:t>0</w:t>
      </w:r>
      <w:r w:rsidRPr="004863F3">
        <w:rPr>
          <w:szCs w:val="19"/>
        </w:rPr>
        <w:t xml:space="preserve"> billion </w:t>
      </w:r>
      <w:r w:rsidR="002555C0" w:rsidRPr="004863F3">
        <w:rPr>
          <w:szCs w:val="19"/>
        </w:rPr>
        <w:t xml:space="preserve">higher </w:t>
      </w:r>
      <w:r w:rsidRPr="004863F3">
        <w:rPr>
          <w:szCs w:val="19"/>
        </w:rPr>
        <w:t xml:space="preserve">than forecast in the </w:t>
      </w:r>
      <w:r w:rsidR="00811F0C" w:rsidRPr="004863F3">
        <w:rPr>
          <w:szCs w:val="19"/>
        </w:rPr>
        <w:br/>
      </w:r>
      <w:r w:rsidR="009813D3" w:rsidRPr="004863F3">
        <w:rPr>
          <w:szCs w:val="19"/>
        </w:rPr>
        <w:t>2025</w:t>
      </w:r>
      <w:r w:rsidR="008F79BB" w:rsidRPr="004863F3">
        <w:rPr>
          <w:szCs w:val="19"/>
        </w:rPr>
        <w:t>–</w:t>
      </w:r>
      <w:r w:rsidR="009813D3" w:rsidRPr="004863F3">
        <w:rPr>
          <w:szCs w:val="19"/>
        </w:rPr>
        <w:t xml:space="preserve">26 Budget and the </w:t>
      </w:r>
      <w:r w:rsidRPr="004863F3">
        <w:rPr>
          <w:szCs w:val="19"/>
        </w:rPr>
        <w:t>202</w:t>
      </w:r>
      <w:r w:rsidR="00CF2D87" w:rsidRPr="004863F3">
        <w:rPr>
          <w:szCs w:val="19"/>
        </w:rPr>
        <w:t>5 PEFO</w:t>
      </w:r>
      <w:r w:rsidRPr="004863F3">
        <w:rPr>
          <w:szCs w:val="19"/>
        </w:rPr>
        <w:t xml:space="preserve">. </w:t>
      </w:r>
    </w:p>
    <w:p w14:paraId="4E519B03" w14:textId="5D011528" w:rsidR="00775E22" w:rsidRPr="004863F3" w:rsidRDefault="00775E22" w:rsidP="00775E22">
      <w:pPr>
        <w:keepNext/>
        <w:keepLines/>
      </w:pPr>
      <w:r w:rsidRPr="004863F3">
        <w:t>Tax receipts were $</w:t>
      </w:r>
      <w:r w:rsidR="00342321" w:rsidRPr="004863F3">
        <w:t>12</w:t>
      </w:r>
      <w:r w:rsidR="00425FB1" w:rsidRPr="004863F3">
        <w:rPr>
          <w:szCs w:val="19"/>
        </w:rPr>
        <w:t>.</w:t>
      </w:r>
      <w:r w:rsidR="00342321" w:rsidRPr="004863F3">
        <w:t>6</w:t>
      </w:r>
      <w:r w:rsidRPr="004863F3">
        <w:t xml:space="preserve"> billion </w:t>
      </w:r>
      <w:r w:rsidR="00250501" w:rsidRPr="004863F3">
        <w:t>higher</w:t>
      </w:r>
      <w:r w:rsidR="00A64DD5" w:rsidRPr="004863F3">
        <w:rPr>
          <w:szCs w:val="19"/>
        </w:rPr>
        <w:t xml:space="preserve"> </w:t>
      </w:r>
      <w:r w:rsidRPr="004863F3">
        <w:t>than estimated in the</w:t>
      </w:r>
      <w:r w:rsidR="00C0363D" w:rsidRPr="004863F3">
        <w:t xml:space="preserve"> 2025</w:t>
      </w:r>
      <w:r w:rsidR="00B8459E" w:rsidRPr="004863F3">
        <w:rPr>
          <w:szCs w:val="19"/>
        </w:rPr>
        <w:t>–</w:t>
      </w:r>
      <w:r w:rsidR="00C0363D" w:rsidRPr="004863F3">
        <w:t>26 Budget and the</w:t>
      </w:r>
      <w:r w:rsidRPr="004863F3">
        <w:rPr>
          <w:szCs w:val="19"/>
        </w:rPr>
        <w:t xml:space="preserve"> </w:t>
      </w:r>
      <w:r w:rsidR="00F22F3C" w:rsidRPr="004863F3">
        <w:t>2025</w:t>
      </w:r>
      <w:r w:rsidR="00B8459E" w:rsidRPr="004863F3">
        <w:rPr>
          <w:szCs w:val="19"/>
        </w:rPr>
        <w:t> </w:t>
      </w:r>
      <w:r w:rsidR="007B636F" w:rsidRPr="004863F3">
        <w:t>PEFO</w:t>
      </w:r>
      <w:r w:rsidRPr="004863F3">
        <w:t xml:space="preserve">. This was mostly due to </w:t>
      </w:r>
      <w:r w:rsidR="00A64DD5" w:rsidRPr="004863F3">
        <w:t>higher</w:t>
      </w:r>
      <w:r w:rsidR="005775CC" w:rsidRPr="004863F3">
        <w:rPr>
          <w:szCs w:val="19"/>
        </w:rPr>
        <w:noBreakHyphen/>
      </w:r>
      <w:r w:rsidRPr="004863F3">
        <w:t>than</w:t>
      </w:r>
      <w:r w:rsidR="005775CC" w:rsidRPr="004863F3">
        <w:rPr>
          <w:szCs w:val="19"/>
        </w:rPr>
        <w:noBreakHyphen/>
      </w:r>
      <w:r w:rsidRPr="004863F3">
        <w:t>expected</w:t>
      </w:r>
      <w:r w:rsidRPr="004863F3" w:rsidDel="00011C04">
        <w:rPr>
          <w:szCs w:val="19"/>
        </w:rPr>
        <w:t xml:space="preserve"> </w:t>
      </w:r>
      <w:r w:rsidR="00A64DD5" w:rsidRPr="004863F3">
        <w:t>company tax</w:t>
      </w:r>
      <w:r w:rsidR="00011C04" w:rsidRPr="004863F3">
        <w:rPr>
          <w:szCs w:val="19"/>
        </w:rPr>
        <w:t>,</w:t>
      </w:r>
      <w:r w:rsidR="00A64DD5" w:rsidRPr="004863F3">
        <w:rPr>
          <w:szCs w:val="19"/>
        </w:rPr>
        <w:t xml:space="preserve"> </w:t>
      </w:r>
      <w:r w:rsidR="00011C04" w:rsidRPr="004863F3">
        <w:t xml:space="preserve">personal income tax </w:t>
      </w:r>
      <w:r w:rsidRPr="004863F3">
        <w:t xml:space="preserve">and </w:t>
      </w:r>
      <w:r w:rsidR="00A64DD5" w:rsidRPr="004863F3">
        <w:t xml:space="preserve">superannuation tax </w:t>
      </w:r>
      <w:r w:rsidRPr="004863F3">
        <w:t>receipts.</w:t>
      </w:r>
    </w:p>
    <w:p w14:paraId="2AA63CA3" w14:textId="71D67B02" w:rsidR="00011C04" w:rsidRPr="004863F3" w:rsidRDefault="00011C04" w:rsidP="00A86602">
      <w:pPr>
        <w:pStyle w:val="Bullet"/>
      </w:pPr>
      <w:r w:rsidRPr="004863F3">
        <w:t>Company tax receipts were $</w:t>
      </w:r>
      <w:r w:rsidR="00E95905" w:rsidRPr="004863F3">
        <w:t>5.3</w:t>
      </w:r>
      <w:r w:rsidRPr="004863F3">
        <w:t xml:space="preserve"> billion above the </w:t>
      </w:r>
      <w:r w:rsidR="00AF4C70" w:rsidRPr="004863F3">
        <w:t>2025</w:t>
      </w:r>
      <w:r w:rsidR="00831184" w:rsidRPr="004863F3">
        <w:t xml:space="preserve">–26 </w:t>
      </w:r>
      <w:r w:rsidRPr="004863F3">
        <w:t>Budget estimate, primarily due to higher</w:t>
      </w:r>
      <w:r w:rsidR="005775CC" w:rsidRPr="004863F3">
        <w:noBreakHyphen/>
      </w:r>
      <w:r w:rsidRPr="004863F3">
        <w:t>than</w:t>
      </w:r>
      <w:r w:rsidR="005775CC" w:rsidRPr="004863F3">
        <w:noBreakHyphen/>
      </w:r>
      <w:r w:rsidRPr="004863F3">
        <w:t>expected</w:t>
      </w:r>
      <w:r w:rsidR="0099174B" w:rsidRPr="004863F3">
        <w:t xml:space="preserve"> collecti</w:t>
      </w:r>
      <w:r w:rsidR="00296C41" w:rsidRPr="004863F3">
        <w:t xml:space="preserve">ons </w:t>
      </w:r>
      <w:r w:rsidR="00A715A5" w:rsidRPr="004863F3">
        <w:t>relating to 2023–24</w:t>
      </w:r>
      <w:r w:rsidR="00D26F21" w:rsidRPr="004863F3">
        <w:t xml:space="preserve"> </w:t>
      </w:r>
      <w:r w:rsidR="00A715A5" w:rsidRPr="004863F3">
        <w:t>tax returns</w:t>
      </w:r>
      <w:r w:rsidRPr="004863F3">
        <w:t>.</w:t>
      </w:r>
    </w:p>
    <w:p w14:paraId="2BB49EA1" w14:textId="63555B51" w:rsidR="00775E22" w:rsidRPr="004863F3" w:rsidRDefault="00FE1FAE" w:rsidP="00A86602">
      <w:pPr>
        <w:pStyle w:val="Bullet"/>
      </w:pPr>
      <w:r w:rsidRPr="004863F3">
        <w:t>Receipts from total</w:t>
      </w:r>
      <w:r w:rsidR="00E04B6E" w:rsidRPr="004863F3">
        <w:t xml:space="preserve"> individuals and other withholding taxes</w:t>
      </w:r>
      <w:r w:rsidR="00DB12F1" w:rsidRPr="004863F3" w:rsidDel="00D247C5">
        <w:t xml:space="preserve"> </w:t>
      </w:r>
      <w:r w:rsidR="00775E22" w:rsidRPr="004863F3">
        <w:t>were $</w:t>
      </w:r>
      <w:r w:rsidR="004759B3" w:rsidRPr="004863F3">
        <w:t>3.4</w:t>
      </w:r>
      <w:r w:rsidR="00775E22" w:rsidRPr="004863F3">
        <w:t xml:space="preserve"> billion </w:t>
      </w:r>
      <w:r w:rsidR="00BF042F" w:rsidRPr="004863F3">
        <w:t xml:space="preserve">above </w:t>
      </w:r>
      <w:r w:rsidR="00775E22" w:rsidRPr="004863F3">
        <w:t xml:space="preserve">the </w:t>
      </w:r>
      <w:r w:rsidR="00831184" w:rsidRPr="004863F3">
        <w:t xml:space="preserve">2025–26 </w:t>
      </w:r>
      <w:r w:rsidR="00570C5E" w:rsidRPr="004863F3">
        <w:t>Budget</w:t>
      </w:r>
      <w:r w:rsidR="00775E22" w:rsidRPr="004863F3">
        <w:t xml:space="preserve"> estimate. This </w:t>
      </w:r>
      <w:r w:rsidR="00D247C5" w:rsidRPr="004863F3">
        <w:t xml:space="preserve">was </w:t>
      </w:r>
      <w:r w:rsidR="00BD5BB9" w:rsidRPr="004863F3">
        <w:t xml:space="preserve">primarily </w:t>
      </w:r>
      <w:r w:rsidR="00D247C5" w:rsidRPr="004863F3">
        <w:t>d</w:t>
      </w:r>
      <w:r w:rsidR="00EE036A" w:rsidRPr="004863F3">
        <w:t>ue to</w:t>
      </w:r>
      <w:r w:rsidR="00775E22" w:rsidRPr="004863F3" w:rsidDel="00D247C5">
        <w:t xml:space="preserve"> </w:t>
      </w:r>
      <w:r w:rsidR="007C4E9F" w:rsidRPr="004863F3">
        <w:t>higher</w:t>
      </w:r>
      <w:r w:rsidR="005775CC" w:rsidRPr="004863F3">
        <w:noBreakHyphen/>
      </w:r>
      <w:r w:rsidR="007C4E9F" w:rsidRPr="004863F3">
        <w:t>than</w:t>
      </w:r>
      <w:r w:rsidR="001E171F" w:rsidRPr="004863F3">
        <w:noBreakHyphen/>
      </w:r>
      <w:r w:rsidR="007C4E9F" w:rsidRPr="004863F3">
        <w:t xml:space="preserve">expected income tax </w:t>
      </w:r>
      <w:r w:rsidR="007C4E9F" w:rsidRPr="004863F3" w:rsidDel="00704427">
        <w:t>withholding</w:t>
      </w:r>
      <w:r w:rsidR="000A7CBB" w:rsidRPr="004863F3">
        <w:t>,</w:t>
      </w:r>
      <w:r w:rsidR="00B35C91" w:rsidRPr="004863F3">
        <w:t xml:space="preserve"> consistent with stronger</w:t>
      </w:r>
      <w:r w:rsidR="001E171F" w:rsidRPr="004863F3">
        <w:noBreakHyphen/>
      </w:r>
      <w:r w:rsidR="00B35C91" w:rsidRPr="004863F3">
        <w:t>than</w:t>
      </w:r>
      <w:r w:rsidR="001E171F" w:rsidRPr="004863F3">
        <w:noBreakHyphen/>
      </w:r>
      <w:r w:rsidR="00B35C91" w:rsidRPr="004863F3">
        <w:t xml:space="preserve">expected growth in </w:t>
      </w:r>
      <w:r w:rsidR="006361A7" w:rsidRPr="004863F3">
        <w:t>wages</w:t>
      </w:r>
      <w:r w:rsidR="007C4E9F" w:rsidRPr="004863F3">
        <w:t>.</w:t>
      </w:r>
      <w:r w:rsidR="00DE7522" w:rsidRPr="004863F3">
        <w:t xml:space="preserve"> H</w:t>
      </w:r>
      <w:r w:rsidR="00CD12A8" w:rsidRPr="004863F3">
        <w:t>igher</w:t>
      </w:r>
      <w:r w:rsidR="001E171F" w:rsidRPr="004863F3">
        <w:noBreakHyphen/>
      </w:r>
      <w:r w:rsidR="001540B7" w:rsidRPr="004863F3">
        <w:t>than</w:t>
      </w:r>
      <w:r w:rsidR="001E171F" w:rsidRPr="004863F3">
        <w:noBreakHyphen/>
      </w:r>
      <w:r w:rsidR="001540B7" w:rsidRPr="004863F3">
        <w:t>expected</w:t>
      </w:r>
      <w:r w:rsidR="00775E22" w:rsidRPr="004863F3" w:rsidDel="00B916E4">
        <w:t xml:space="preserve"> </w:t>
      </w:r>
      <w:r w:rsidR="00B916E4" w:rsidRPr="004863F3">
        <w:t xml:space="preserve">gross </w:t>
      </w:r>
      <w:r w:rsidR="00775E22" w:rsidRPr="004863F3">
        <w:t>other individual</w:t>
      </w:r>
      <w:r w:rsidR="00396698" w:rsidRPr="004863F3">
        <w:t>s</w:t>
      </w:r>
      <w:r w:rsidR="00775E22" w:rsidRPr="004863F3">
        <w:t xml:space="preserve"> also </w:t>
      </w:r>
      <w:r w:rsidR="002D2CD7" w:rsidRPr="004863F3">
        <w:t>contribute</w:t>
      </w:r>
      <w:r w:rsidR="00775E22" w:rsidRPr="004863F3">
        <w:t>d</w:t>
      </w:r>
      <w:r w:rsidR="003A6B28" w:rsidRPr="004863F3">
        <w:t xml:space="preserve"> to the outcome</w:t>
      </w:r>
      <w:r w:rsidR="00775E22" w:rsidRPr="004863F3">
        <w:t>.</w:t>
      </w:r>
    </w:p>
    <w:p w14:paraId="1ED57F38" w14:textId="43A7E577" w:rsidR="00557610" w:rsidRPr="004863F3" w:rsidRDefault="008403B8" w:rsidP="00A86602">
      <w:pPr>
        <w:pStyle w:val="Bullet"/>
      </w:pPr>
      <w:r w:rsidRPr="004863F3">
        <w:t>Superannuation fund tax receipts were $</w:t>
      </w:r>
      <w:r w:rsidR="00C4426B" w:rsidRPr="004863F3">
        <w:t>2.9</w:t>
      </w:r>
      <w:r w:rsidRPr="004863F3">
        <w:t xml:space="preserve"> billion above the </w:t>
      </w:r>
      <w:r w:rsidR="00831184" w:rsidRPr="004863F3">
        <w:t xml:space="preserve">2025–26 </w:t>
      </w:r>
      <w:r w:rsidR="00570C5E" w:rsidRPr="004863F3">
        <w:t xml:space="preserve">Budget </w:t>
      </w:r>
      <w:r w:rsidRPr="004863F3">
        <w:t>estimate</w:t>
      </w:r>
      <w:r w:rsidR="00F37011" w:rsidRPr="004863F3">
        <w:t xml:space="preserve"> due to</w:t>
      </w:r>
      <w:r w:rsidR="00E97B24" w:rsidRPr="004863F3">
        <w:t xml:space="preserve"> higher</w:t>
      </w:r>
      <w:r w:rsidR="001E171F" w:rsidRPr="004863F3">
        <w:noBreakHyphen/>
      </w:r>
      <w:r w:rsidR="00A61E47" w:rsidRPr="004863F3">
        <w:t>than</w:t>
      </w:r>
      <w:r w:rsidR="001E171F" w:rsidRPr="004863F3">
        <w:noBreakHyphen/>
      </w:r>
      <w:r w:rsidR="00A61E47" w:rsidRPr="004863F3">
        <w:t>expected</w:t>
      </w:r>
      <w:r w:rsidR="00E97B24" w:rsidRPr="004863F3">
        <w:t xml:space="preserve"> contributions </w:t>
      </w:r>
      <w:r w:rsidR="00557610" w:rsidRPr="004863F3" w:rsidDel="00CB54FA">
        <w:t xml:space="preserve">and </w:t>
      </w:r>
      <w:r w:rsidR="008340AC" w:rsidRPr="004863F3">
        <w:t>tax from earnings on investments</w:t>
      </w:r>
      <w:r w:rsidR="00F61C1A" w:rsidRPr="004863F3">
        <w:t>.</w:t>
      </w:r>
    </w:p>
    <w:p w14:paraId="6E6B7E8C" w14:textId="49606311" w:rsidR="00775E22" w:rsidRPr="004863F3" w:rsidRDefault="00775E22" w:rsidP="00A86602">
      <w:pPr>
        <w:pStyle w:val="Bullet"/>
      </w:pPr>
      <w:r w:rsidRPr="004863F3">
        <w:t xml:space="preserve">GST </w:t>
      </w:r>
      <w:r w:rsidR="00DD4EC2" w:rsidRPr="004863F3">
        <w:t xml:space="preserve">receipts </w:t>
      </w:r>
      <w:r w:rsidRPr="004863F3">
        <w:t>were $</w:t>
      </w:r>
      <w:r w:rsidR="00D316C5" w:rsidRPr="004863F3">
        <w:t>0.9</w:t>
      </w:r>
      <w:r w:rsidRPr="004863F3">
        <w:t xml:space="preserve"> billion </w:t>
      </w:r>
      <w:r w:rsidR="00EA123D" w:rsidRPr="004863F3">
        <w:t xml:space="preserve">above </w:t>
      </w:r>
      <w:r w:rsidRPr="004863F3">
        <w:t xml:space="preserve">the </w:t>
      </w:r>
      <w:r w:rsidR="00831184" w:rsidRPr="004863F3">
        <w:t xml:space="preserve">2025–26 </w:t>
      </w:r>
      <w:r w:rsidR="00570C5E" w:rsidRPr="004863F3">
        <w:t xml:space="preserve">Budget </w:t>
      </w:r>
      <w:r w:rsidRPr="004863F3">
        <w:t>estimate</w:t>
      </w:r>
      <w:r w:rsidR="00B80A52" w:rsidRPr="004863F3">
        <w:t xml:space="preserve">, </w:t>
      </w:r>
      <w:r w:rsidR="00DE0D84" w:rsidRPr="004863F3">
        <w:t>consistent</w:t>
      </w:r>
      <w:r w:rsidR="00B80A52" w:rsidRPr="004863F3">
        <w:t xml:space="preserve"> with </w:t>
      </w:r>
      <w:r w:rsidR="00F83362" w:rsidRPr="004863F3">
        <w:t>stronger</w:t>
      </w:r>
      <w:r w:rsidR="001E171F" w:rsidRPr="004863F3">
        <w:noBreakHyphen/>
      </w:r>
      <w:r w:rsidR="00B4718C" w:rsidRPr="004863F3">
        <w:t>than</w:t>
      </w:r>
      <w:r w:rsidR="001E171F" w:rsidRPr="004863F3">
        <w:noBreakHyphen/>
      </w:r>
      <w:r w:rsidR="00B4718C" w:rsidRPr="004863F3">
        <w:t>expected</w:t>
      </w:r>
      <w:r w:rsidR="00F83362" w:rsidRPr="004863F3">
        <w:t xml:space="preserve"> growth in consumption</w:t>
      </w:r>
      <w:r w:rsidR="00DE0D84" w:rsidRPr="004863F3">
        <w:t xml:space="preserve"> and dwelling investment</w:t>
      </w:r>
      <w:r w:rsidRPr="004863F3" w:rsidDel="003D02D5">
        <w:t>.</w:t>
      </w:r>
      <w:r w:rsidRPr="004863F3">
        <w:t xml:space="preserve"> </w:t>
      </w:r>
    </w:p>
    <w:p w14:paraId="65BA510B" w14:textId="6C1C36E2" w:rsidR="00CC32CD" w:rsidRPr="004863F3" w:rsidRDefault="00CC32CD" w:rsidP="00A86602">
      <w:pPr>
        <w:pStyle w:val="Bullet"/>
      </w:pPr>
      <w:r w:rsidRPr="004863F3">
        <w:t>Excise and customs duty receipts were $</w:t>
      </w:r>
      <w:r w:rsidR="00397AD3" w:rsidRPr="004863F3">
        <w:t>0.</w:t>
      </w:r>
      <w:r w:rsidR="004230D9" w:rsidRPr="004863F3">
        <w:t>1</w:t>
      </w:r>
      <w:r w:rsidR="00167021" w:rsidRPr="004863F3">
        <w:t> </w:t>
      </w:r>
      <w:r w:rsidRPr="004863F3">
        <w:t xml:space="preserve">billion </w:t>
      </w:r>
      <w:r w:rsidR="0085114E" w:rsidRPr="004863F3">
        <w:t>above</w:t>
      </w:r>
      <w:r w:rsidRPr="004863F3">
        <w:t xml:space="preserve"> </w:t>
      </w:r>
      <w:r w:rsidR="00AE547F" w:rsidRPr="004863F3">
        <w:t xml:space="preserve">the </w:t>
      </w:r>
      <w:r w:rsidR="00831184" w:rsidRPr="004863F3">
        <w:t xml:space="preserve">2025–26 </w:t>
      </w:r>
      <w:r w:rsidR="00570C5E" w:rsidRPr="004863F3">
        <w:t xml:space="preserve">Budget </w:t>
      </w:r>
      <w:r w:rsidR="00AE547F" w:rsidRPr="004863F3">
        <w:t>estimate</w:t>
      </w:r>
      <w:r w:rsidR="0044432E" w:rsidRPr="004863F3">
        <w:t xml:space="preserve"> with higher tobacco excise </w:t>
      </w:r>
      <w:r w:rsidR="00580FCD" w:rsidRPr="004863F3">
        <w:t xml:space="preserve">equivalent duty </w:t>
      </w:r>
      <w:r w:rsidR="001A45FF" w:rsidRPr="004863F3">
        <w:t>offset by weaker fuel excise</w:t>
      </w:r>
      <w:r w:rsidR="00FC3D10" w:rsidRPr="004863F3">
        <w:t>.</w:t>
      </w:r>
      <w:r w:rsidR="0087594B" w:rsidRPr="004863F3">
        <w:t xml:space="preserve"> </w:t>
      </w:r>
    </w:p>
    <w:p w14:paraId="0E38810D" w14:textId="2DB581EB" w:rsidR="00775E22" w:rsidRPr="004863F3" w:rsidRDefault="002A1BFE" w:rsidP="00A86602">
      <w:pPr>
        <w:rPr>
          <w:b/>
        </w:rPr>
      </w:pPr>
      <w:r w:rsidRPr="004863F3">
        <w:t>Non</w:t>
      </w:r>
      <w:r w:rsidR="001E171F" w:rsidRPr="004863F3">
        <w:noBreakHyphen/>
      </w:r>
      <w:r w:rsidRPr="004863F3">
        <w:t>tax receipts were $59.</w:t>
      </w:r>
      <w:r w:rsidR="0006193A" w:rsidRPr="004863F3">
        <w:t>1</w:t>
      </w:r>
      <w:r w:rsidR="00167021" w:rsidRPr="004863F3">
        <w:t> </w:t>
      </w:r>
      <w:r w:rsidRPr="004863F3">
        <w:t>billion in 2024–25, $0.</w:t>
      </w:r>
      <w:r w:rsidR="0006193A" w:rsidRPr="004863F3">
        <w:t>4</w:t>
      </w:r>
      <w:r w:rsidRPr="004863F3">
        <w:t xml:space="preserve"> billion higher than estimated in the 2025</w:t>
      </w:r>
      <w:r w:rsidR="00B47883" w:rsidRPr="004863F3">
        <w:rPr>
          <w:szCs w:val="19"/>
        </w:rPr>
        <w:t>–</w:t>
      </w:r>
      <w:r w:rsidRPr="004863F3">
        <w:t>26 Budget and the 2025 PEFO. This increase largely reflected higher</w:t>
      </w:r>
      <w:r w:rsidR="001E171F" w:rsidRPr="004863F3">
        <w:noBreakHyphen/>
      </w:r>
      <w:r w:rsidRPr="004863F3">
        <w:t>than</w:t>
      </w:r>
      <w:r w:rsidR="001E171F" w:rsidRPr="004863F3">
        <w:noBreakHyphen/>
      </w:r>
      <w:r w:rsidRPr="004863F3">
        <w:t xml:space="preserve">estimated receipts for </w:t>
      </w:r>
      <w:r w:rsidR="00490538" w:rsidRPr="004863F3">
        <w:t>Commonwealth Debt Management</w:t>
      </w:r>
      <w:r w:rsidR="00A60033">
        <w:t xml:space="preserve">, </w:t>
      </w:r>
      <w:r w:rsidR="00490538" w:rsidRPr="004863F3">
        <w:t>Aged Care Services</w:t>
      </w:r>
      <w:r w:rsidR="00A60033">
        <w:t xml:space="preserve"> and Department of Defence programs</w:t>
      </w:r>
      <w:r w:rsidRPr="004863F3">
        <w:t>. This was partially offset by lower</w:t>
      </w:r>
      <w:r w:rsidR="001E171F" w:rsidRPr="004863F3">
        <w:noBreakHyphen/>
      </w:r>
      <w:r w:rsidRPr="004863F3">
        <w:t>than</w:t>
      </w:r>
      <w:r w:rsidR="001E171F" w:rsidRPr="004863F3">
        <w:noBreakHyphen/>
      </w:r>
      <w:r w:rsidRPr="004863F3">
        <w:t>estimated receipts, including from the Pharmaceutical Benefits program.</w:t>
      </w:r>
      <w:r w:rsidR="00775E22" w:rsidRPr="004863F3">
        <w:rPr>
          <w:b/>
        </w:rPr>
        <w:br w:type="page"/>
      </w:r>
    </w:p>
    <w:p w14:paraId="4982BFC5" w14:textId="645D2C29" w:rsidR="00E63ECB" w:rsidRPr="004863F3" w:rsidRDefault="00775E22" w:rsidP="00E63ECB">
      <w:pPr>
        <w:pStyle w:val="TableHeading"/>
        <w:rPr>
          <w:rFonts w:asciiTheme="minorHAnsi" w:eastAsiaTheme="minorHAnsi" w:hAnsiTheme="minorHAnsi" w:cstheme="minorBidi"/>
          <w:sz w:val="22"/>
          <w:szCs w:val="22"/>
          <w:lang w:eastAsia="en-US"/>
        </w:rPr>
      </w:pPr>
      <w:r w:rsidRPr="004863F3">
        <w:t>Table 1.3: Australian Government general government sector (cash) receipts</w:t>
      </w:r>
      <w:bookmarkStart w:id="1" w:name="_1820055070"/>
      <w:bookmarkEnd w:id="1"/>
    </w:p>
    <w:tbl>
      <w:tblPr>
        <w:tblW w:w="5000" w:type="pct"/>
        <w:tblCellMar>
          <w:left w:w="0" w:type="dxa"/>
          <w:right w:w="28" w:type="dxa"/>
        </w:tblCellMar>
        <w:tblLook w:val="04A0" w:firstRow="1" w:lastRow="0" w:firstColumn="1" w:lastColumn="0" w:noHBand="0" w:noVBand="1"/>
      </w:tblPr>
      <w:tblGrid>
        <w:gridCol w:w="3615"/>
        <w:gridCol w:w="1574"/>
        <w:gridCol w:w="1104"/>
        <w:gridCol w:w="1417"/>
      </w:tblGrid>
      <w:tr w:rsidR="00E63ECB" w:rsidRPr="004863F3" w14:paraId="0138821B" w14:textId="77777777" w:rsidTr="00E63ECB">
        <w:trPr>
          <w:trHeight w:hRule="exact" w:val="229"/>
        </w:trPr>
        <w:tc>
          <w:tcPr>
            <w:tcW w:w="2344" w:type="pct"/>
            <w:tcBorders>
              <w:top w:val="single" w:sz="4" w:space="0" w:color="000000"/>
              <w:left w:val="nil"/>
              <w:bottom w:val="nil"/>
              <w:right w:val="nil"/>
            </w:tcBorders>
            <w:shd w:val="clear" w:color="000000" w:fill="FFFFFF"/>
            <w:noWrap/>
            <w:vAlign w:val="center"/>
            <w:hideMark/>
          </w:tcPr>
          <w:p w14:paraId="41BB8EE7" w14:textId="10AC9FFF"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1021" w:type="pct"/>
            <w:tcBorders>
              <w:top w:val="single" w:sz="4" w:space="0" w:color="000000"/>
              <w:left w:val="nil"/>
              <w:bottom w:val="nil"/>
              <w:right w:val="nil"/>
            </w:tcBorders>
            <w:shd w:val="clear" w:color="000000" w:fill="FFFFFF"/>
            <w:noWrap/>
            <w:vAlign w:val="bottom"/>
            <w:hideMark/>
          </w:tcPr>
          <w:p w14:paraId="5365F93A" w14:textId="6526831F" w:rsidR="00E63ECB" w:rsidRPr="004863F3" w:rsidRDefault="00E63ECB" w:rsidP="00E63ECB">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716" w:type="pct"/>
            <w:tcBorders>
              <w:top w:val="single" w:sz="4" w:space="0" w:color="000000"/>
              <w:left w:val="nil"/>
              <w:bottom w:val="nil"/>
              <w:right w:val="nil"/>
            </w:tcBorders>
            <w:shd w:val="clear" w:color="000000" w:fill="E6F2FF"/>
            <w:noWrap/>
            <w:vAlign w:val="bottom"/>
            <w:hideMark/>
          </w:tcPr>
          <w:p w14:paraId="0A170C0D" w14:textId="223C3DF8" w:rsidR="00E63ECB" w:rsidRPr="004863F3" w:rsidRDefault="00E63ECB" w:rsidP="00E63ECB">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919" w:type="pct"/>
            <w:tcBorders>
              <w:top w:val="single" w:sz="4" w:space="0" w:color="000000"/>
              <w:left w:val="nil"/>
              <w:bottom w:val="nil"/>
              <w:right w:val="nil"/>
            </w:tcBorders>
            <w:shd w:val="clear" w:color="000000" w:fill="FFFFFF"/>
            <w:noWrap/>
            <w:vAlign w:val="bottom"/>
            <w:hideMark/>
          </w:tcPr>
          <w:p w14:paraId="31360A5E" w14:textId="77777777" w:rsidR="00E63ECB" w:rsidRPr="004863F3" w:rsidRDefault="00E63ECB" w:rsidP="00E63ECB">
            <w:pPr>
              <w:spacing w:before="0" w:after="0" w:line="240" w:lineRule="auto"/>
              <w:jc w:val="right"/>
              <w:rPr>
                <w:rFonts w:ascii="Arial" w:hAnsi="Arial" w:cs="Arial"/>
                <w:sz w:val="16"/>
                <w:szCs w:val="16"/>
              </w:rPr>
            </w:pPr>
            <w:r w:rsidRPr="004863F3">
              <w:rPr>
                <w:rFonts w:ascii="Arial" w:hAnsi="Arial" w:cs="Arial"/>
                <w:sz w:val="16"/>
                <w:szCs w:val="16"/>
              </w:rPr>
              <w:t>Change on</w:t>
            </w:r>
          </w:p>
        </w:tc>
      </w:tr>
      <w:tr w:rsidR="00E63ECB" w:rsidRPr="004863F3" w14:paraId="50D99D1E" w14:textId="77777777" w:rsidTr="00E63ECB">
        <w:trPr>
          <w:trHeight w:hRule="exact" w:val="229"/>
        </w:trPr>
        <w:tc>
          <w:tcPr>
            <w:tcW w:w="2344" w:type="pct"/>
            <w:tcBorders>
              <w:top w:val="nil"/>
              <w:left w:val="nil"/>
              <w:bottom w:val="nil"/>
              <w:right w:val="nil"/>
            </w:tcBorders>
            <w:shd w:val="clear" w:color="000000" w:fill="FFFFFF"/>
            <w:noWrap/>
            <w:vAlign w:val="center"/>
            <w:hideMark/>
          </w:tcPr>
          <w:p w14:paraId="6FE403FF"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1021" w:type="pct"/>
            <w:tcBorders>
              <w:top w:val="nil"/>
              <w:left w:val="nil"/>
              <w:bottom w:val="nil"/>
              <w:right w:val="nil"/>
            </w:tcBorders>
            <w:shd w:val="clear" w:color="000000" w:fill="FFFFFF"/>
            <w:noWrap/>
            <w:vAlign w:val="center"/>
            <w:hideMark/>
          </w:tcPr>
          <w:p w14:paraId="197A44B4"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Estimate at</w:t>
            </w:r>
          </w:p>
        </w:tc>
        <w:tc>
          <w:tcPr>
            <w:tcW w:w="716" w:type="pct"/>
            <w:tcBorders>
              <w:top w:val="nil"/>
              <w:left w:val="nil"/>
              <w:bottom w:val="nil"/>
              <w:right w:val="nil"/>
            </w:tcBorders>
            <w:shd w:val="clear" w:color="000000" w:fill="E6F2FF"/>
            <w:noWrap/>
            <w:vAlign w:val="center"/>
            <w:hideMark/>
          </w:tcPr>
          <w:p w14:paraId="02AA5E2C"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Outcome</w:t>
            </w:r>
          </w:p>
        </w:tc>
        <w:tc>
          <w:tcPr>
            <w:tcW w:w="919" w:type="pct"/>
            <w:tcBorders>
              <w:top w:val="nil"/>
              <w:left w:val="nil"/>
              <w:bottom w:val="nil"/>
              <w:right w:val="nil"/>
            </w:tcBorders>
            <w:shd w:val="clear" w:color="000000" w:fill="FFFFFF"/>
            <w:noWrap/>
            <w:vAlign w:val="center"/>
            <w:hideMark/>
          </w:tcPr>
          <w:p w14:paraId="5CEB7AF9" w14:textId="44C10E6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2025</w:t>
            </w:r>
            <w:r w:rsidR="001E171F" w:rsidRPr="004863F3">
              <w:rPr>
                <w:rFonts w:ascii="Arial" w:hAnsi="Arial" w:cs="Arial"/>
                <w:color w:val="000000"/>
                <w:sz w:val="16"/>
                <w:szCs w:val="16"/>
              </w:rPr>
              <w:noBreakHyphen/>
            </w:r>
            <w:r w:rsidRPr="004863F3">
              <w:rPr>
                <w:rFonts w:ascii="Arial" w:hAnsi="Arial" w:cs="Arial"/>
                <w:color w:val="000000"/>
                <w:sz w:val="16"/>
                <w:szCs w:val="16"/>
              </w:rPr>
              <w:t>26</w:t>
            </w:r>
          </w:p>
        </w:tc>
      </w:tr>
      <w:tr w:rsidR="00E63ECB" w:rsidRPr="004863F3" w14:paraId="077C96AC" w14:textId="77777777" w:rsidTr="00E63ECB">
        <w:trPr>
          <w:trHeight w:hRule="exact" w:val="229"/>
        </w:trPr>
        <w:tc>
          <w:tcPr>
            <w:tcW w:w="2344" w:type="pct"/>
            <w:tcBorders>
              <w:top w:val="nil"/>
              <w:left w:val="nil"/>
              <w:bottom w:val="nil"/>
              <w:right w:val="nil"/>
            </w:tcBorders>
            <w:shd w:val="clear" w:color="000000" w:fill="FFFFFF"/>
            <w:noWrap/>
            <w:vAlign w:val="center"/>
            <w:hideMark/>
          </w:tcPr>
          <w:p w14:paraId="476D5FA4"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1021" w:type="pct"/>
            <w:tcBorders>
              <w:top w:val="nil"/>
              <w:left w:val="nil"/>
              <w:bottom w:val="nil"/>
              <w:right w:val="nil"/>
            </w:tcBorders>
            <w:shd w:val="clear" w:color="000000" w:fill="FFFFFF"/>
            <w:noWrap/>
            <w:vAlign w:val="center"/>
            <w:hideMark/>
          </w:tcPr>
          <w:p w14:paraId="49FAE4F4" w14:textId="1D482B33"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2025</w:t>
            </w:r>
            <w:r w:rsidR="001E171F" w:rsidRPr="004863F3">
              <w:rPr>
                <w:rFonts w:ascii="Arial" w:hAnsi="Arial" w:cs="Arial"/>
                <w:color w:val="000000"/>
                <w:sz w:val="16"/>
                <w:szCs w:val="16"/>
              </w:rPr>
              <w:noBreakHyphen/>
            </w:r>
            <w:r w:rsidRPr="004863F3">
              <w:rPr>
                <w:rFonts w:ascii="Arial" w:hAnsi="Arial" w:cs="Arial"/>
                <w:color w:val="000000"/>
                <w:sz w:val="16"/>
                <w:szCs w:val="16"/>
              </w:rPr>
              <w:t>26</w:t>
            </w:r>
          </w:p>
        </w:tc>
        <w:tc>
          <w:tcPr>
            <w:tcW w:w="716" w:type="pct"/>
            <w:tcBorders>
              <w:top w:val="nil"/>
              <w:left w:val="nil"/>
              <w:bottom w:val="nil"/>
              <w:right w:val="nil"/>
            </w:tcBorders>
            <w:shd w:val="clear" w:color="000000" w:fill="E6F2FF"/>
            <w:noWrap/>
            <w:vAlign w:val="center"/>
            <w:hideMark/>
          </w:tcPr>
          <w:p w14:paraId="392E3E55"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919" w:type="pct"/>
            <w:tcBorders>
              <w:top w:val="nil"/>
              <w:left w:val="nil"/>
              <w:bottom w:val="nil"/>
              <w:right w:val="nil"/>
            </w:tcBorders>
            <w:shd w:val="clear" w:color="000000" w:fill="FFFFFF"/>
            <w:noWrap/>
            <w:vAlign w:val="bottom"/>
            <w:hideMark/>
          </w:tcPr>
          <w:p w14:paraId="3E1A069D" w14:textId="77777777" w:rsidR="00E63ECB" w:rsidRPr="004863F3" w:rsidRDefault="00E63ECB" w:rsidP="00E63ECB">
            <w:pPr>
              <w:spacing w:before="0" w:after="0" w:line="240" w:lineRule="auto"/>
              <w:jc w:val="right"/>
              <w:rPr>
                <w:rFonts w:ascii="Arial" w:hAnsi="Arial" w:cs="Arial"/>
                <w:sz w:val="16"/>
                <w:szCs w:val="16"/>
              </w:rPr>
            </w:pPr>
            <w:r w:rsidRPr="004863F3">
              <w:rPr>
                <w:rFonts w:ascii="Arial" w:hAnsi="Arial" w:cs="Arial"/>
                <w:sz w:val="16"/>
                <w:szCs w:val="16"/>
              </w:rPr>
              <w:t>Budget</w:t>
            </w:r>
          </w:p>
        </w:tc>
      </w:tr>
      <w:tr w:rsidR="00E63ECB" w:rsidRPr="004863F3" w14:paraId="2A63E8A7" w14:textId="77777777" w:rsidTr="00E63ECB">
        <w:trPr>
          <w:trHeight w:hRule="exact" w:val="225"/>
        </w:trPr>
        <w:tc>
          <w:tcPr>
            <w:tcW w:w="2344" w:type="pct"/>
            <w:tcBorders>
              <w:top w:val="nil"/>
              <w:left w:val="nil"/>
              <w:bottom w:val="nil"/>
              <w:right w:val="nil"/>
            </w:tcBorders>
            <w:shd w:val="clear" w:color="000000" w:fill="FFFFFF"/>
            <w:noWrap/>
            <w:vAlign w:val="center"/>
            <w:hideMark/>
          </w:tcPr>
          <w:p w14:paraId="51ACEB99"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1021" w:type="pct"/>
            <w:tcBorders>
              <w:top w:val="nil"/>
              <w:left w:val="nil"/>
              <w:bottom w:val="nil"/>
              <w:right w:val="nil"/>
            </w:tcBorders>
            <w:shd w:val="clear" w:color="000000" w:fill="FFFFFF"/>
            <w:noWrap/>
            <w:vAlign w:val="center"/>
            <w:hideMark/>
          </w:tcPr>
          <w:p w14:paraId="71D71F60"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Budget</w:t>
            </w:r>
          </w:p>
        </w:tc>
        <w:tc>
          <w:tcPr>
            <w:tcW w:w="716" w:type="pct"/>
            <w:tcBorders>
              <w:top w:val="nil"/>
              <w:left w:val="nil"/>
              <w:bottom w:val="nil"/>
              <w:right w:val="nil"/>
            </w:tcBorders>
            <w:shd w:val="clear" w:color="000000" w:fill="E6F2FF"/>
            <w:noWrap/>
            <w:vAlign w:val="center"/>
            <w:hideMark/>
          </w:tcPr>
          <w:p w14:paraId="64DB9B10"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919" w:type="pct"/>
            <w:tcBorders>
              <w:top w:val="nil"/>
              <w:left w:val="nil"/>
              <w:bottom w:val="nil"/>
              <w:right w:val="nil"/>
            </w:tcBorders>
            <w:shd w:val="clear" w:color="000000" w:fill="FFFFFF"/>
            <w:noWrap/>
            <w:vAlign w:val="bottom"/>
            <w:hideMark/>
          </w:tcPr>
          <w:p w14:paraId="57D891F2" w14:textId="77777777" w:rsidR="00E63ECB" w:rsidRPr="004863F3" w:rsidRDefault="00E63ECB" w:rsidP="00E63ECB">
            <w:pPr>
              <w:spacing w:before="0" w:after="0" w:line="240" w:lineRule="auto"/>
              <w:jc w:val="right"/>
              <w:rPr>
                <w:rFonts w:ascii="Arial" w:hAnsi="Arial" w:cs="Arial"/>
                <w:sz w:val="16"/>
                <w:szCs w:val="16"/>
              </w:rPr>
            </w:pPr>
            <w:r w:rsidRPr="004863F3">
              <w:rPr>
                <w:rFonts w:ascii="Arial" w:hAnsi="Arial" w:cs="Arial"/>
                <w:sz w:val="16"/>
                <w:szCs w:val="16"/>
              </w:rPr>
              <w:t> </w:t>
            </w:r>
          </w:p>
        </w:tc>
      </w:tr>
      <w:tr w:rsidR="00E63ECB" w:rsidRPr="004863F3" w14:paraId="0C34AD81" w14:textId="77777777" w:rsidTr="00E63ECB">
        <w:trPr>
          <w:trHeight w:hRule="exact" w:val="229"/>
        </w:trPr>
        <w:tc>
          <w:tcPr>
            <w:tcW w:w="2344" w:type="pct"/>
            <w:tcBorders>
              <w:top w:val="nil"/>
              <w:left w:val="nil"/>
              <w:bottom w:val="nil"/>
              <w:right w:val="nil"/>
            </w:tcBorders>
            <w:shd w:val="clear" w:color="000000" w:fill="FFFFFF"/>
            <w:noWrap/>
            <w:vAlign w:val="center"/>
            <w:hideMark/>
          </w:tcPr>
          <w:p w14:paraId="55E10C2F"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1021" w:type="pct"/>
            <w:tcBorders>
              <w:top w:val="nil"/>
              <w:left w:val="nil"/>
              <w:bottom w:val="nil"/>
              <w:right w:val="nil"/>
            </w:tcBorders>
            <w:shd w:val="clear" w:color="000000" w:fill="FFFFFF"/>
            <w:noWrap/>
            <w:vAlign w:val="center"/>
            <w:hideMark/>
          </w:tcPr>
          <w:p w14:paraId="359D45C9"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716" w:type="pct"/>
            <w:tcBorders>
              <w:top w:val="nil"/>
              <w:left w:val="nil"/>
              <w:bottom w:val="nil"/>
              <w:right w:val="nil"/>
            </w:tcBorders>
            <w:shd w:val="clear" w:color="000000" w:fill="E6F2FF"/>
            <w:noWrap/>
            <w:vAlign w:val="center"/>
            <w:hideMark/>
          </w:tcPr>
          <w:p w14:paraId="6D8AFA45"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919" w:type="pct"/>
            <w:tcBorders>
              <w:top w:val="nil"/>
              <w:left w:val="nil"/>
              <w:bottom w:val="nil"/>
              <w:right w:val="nil"/>
            </w:tcBorders>
            <w:shd w:val="clear" w:color="000000" w:fill="FFFFFF"/>
            <w:noWrap/>
            <w:vAlign w:val="center"/>
            <w:hideMark/>
          </w:tcPr>
          <w:p w14:paraId="07B0297F"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r>
      <w:tr w:rsidR="00E63ECB" w:rsidRPr="004863F3" w14:paraId="7C72E642"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5BF0E276"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Individuals and other withholding taxes</w:t>
            </w:r>
          </w:p>
        </w:tc>
        <w:tc>
          <w:tcPr>
            <w:tcW w:w="1021" w:type="pct"/>
            <w:tcBorders>
              <w:top w:val="single" w:sz="4" w:space="0" w:color="293F5B"/>
              <w:left w:val="nil"/>
              <w:bottom w:val="nil"/>
              <w:right w:val="nil"/>
            </w:tcBorders>
            <w:shd w:val="clear" w:color="000000" w:fill="FFFFFF"/>
            <w:noWrap/>
            <w:vAlign w:val="center"/>
            <w:hideMark/>
          </w:tcPr>
          <w:p w14:paraId="432CB656"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716" w:type="pct"/>
            <w:tcBorders>
              <w:top w:val="single" w:sz="4" w:space="0" w:color="293F5B"/>
              <w:left w:val="nil"/>
              <w:bottom w:val="nil"/>
              <w:right w:val="nil"/>
            </w:tcBorders>
            <w:shd w:val="clear" w:color="000000" w:fill="E6F2FF"/>
            <w:noWrap/>
            <w:vAlign w:val="center"/>
            <w:hideMark/>
          </w:tcPr>
          <w:p w14:paraId="255BE98B"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919" w:type="pct"/>
            <w:tcBorders>
              <w:top w:val="single" w:sz="4" w:space="0" w:color="293F5B"/>
              <w:left w:val="nil"/>
              <w:bottom w:val="nil"/>
              <w:right w:val="nil"/>
            </w:tcBorders>
            <w:shd w:val="clear" w:color="000000" w:fill="FFFFFF"/>
            <w:noWrap/>
            <w:vAlign w:val="center"/>
            <w:hideMark/>
          </w:tcPr>
          <w:p w14:paraId="521B4D57"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E63ECB" w:rsidRPr="004863F3" w14:paraId="44B24F7E"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5EF86225"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Gross income tax withholding</w:t>
            </w:r>
          </w:p>
        </w:tc>
        <w:tc>
          <w:tcPr>
            <w:tcW w:w="1021" w:type="pct"/>
            <w:tcBorders>
              <w:top w:val="nil"/>
              <w:left w:val="nil"/>
              <w:bottom w:val="nil"/>
              <w:right w:val="nil"/>
            </w:tcBorders>
            <w:shd w:val="clear" w:color="000000" w:fill="FFFFFF"/>
            <w:noWrap/>
            <w:vAlign w:val="center"/>
            <w:hideMark/>
          </w:tcPr>
          <w:p w14:paraId="79D9FC21"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293,600</w:t>
            </w:r>
          </w:p>
        </w:tc>
        <w:tc>
          <w:tcPr>
            <w:tcW w:w="716" w:type="pct"/>
            <w:tcBorders>
              <w:top w:val="nil"/>
              <w:left w:val="nil"/>
              <w:bottom w:val="nil"/>
              <w:right w:val="nil"/>
            </w:tcBorders>
            <w:shd w:val="clear" w:color="000000" w:fill="E6F2FF"/>
            <w:noWrap/>
            <w:vAlign w:val="center"/>
            <w:hideMark/>
          </w:tcPr>
          <w:p w14:paraId="3AAA8443"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295,827</w:t>
            </w:r>
          </w:p>
        </w:tc>
        <w:tc>
          <w:tcPr>
            <w:tcW w:w="919" w:type="pct"/>
            <w:tcBorders>
              <w:top w:val="nil"/>
              <w:left w:val="nil"/>
              <w:bottom w:val="nil"/>
              <w:right w:val="nil"/>
            </w:tcBorders>
            <w:shd w:val="clear" w:color="000000" w:fill="FFFFFF"/>
            <w:noWrap/>
            <w:vAlign w:val="center"/>
            <w:hideMark/>
          </w:tcPr>
          <w:p w14:paraId="3AA0C4FF"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2,227</w:t>
            </w:r>
          </w:p>
        </w:tc>
      </w:tr>
      <w:tr w:rsidR="00E63ECB" w:rsidRPr="004863F3" w14:paraId="78535D32"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07A05AFC"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Gross other individuals</w:t>
            </w:r>
          </w:p>
        </w:tc>
        <w:tc>
          <w:tcPr>
            <w:tcW w:w="1021" w:type="pct"/>
            <w:tcBorders>
              <w:top w:val="nil"/>
              <w:left w:val="nil"/>
              <w:bottom w:val="nil"/>
              <w:right w:val="nil"/>
            </w:tcBorders>
            <w:shd w:val="clear" w:color="000000" w:fill="FFFFFF"/>
            <w:noWrap/>
            <w:vAlign w:val="center"/>
            <w:hideMark/>
          </w:tcPr>
          <w:p w14:paraId="2DCF3098"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80,500</w:t>
            </w:r>
          </w:p>
        </w:tc>
        <w:tc>
          <w:tcPr>
            <w:tcW w:w="716" w:type="pct"/>
            <w:tcBorders>
              <w:top w:val="nil"/>
              <w:left w:val="nil"/>
              <w:bottom w:val="nil"/>
              <w:right w:val="nil"/>
            </w:tcBorders>
            <w:shd w:val="clear" w:color="000000" w:fill="E6F2FF"/>
            <w:noWrap/>
            <w:vAlign w:val="center"/>
            <w:hideMark/>
          </w:tcPr>
          <w:p w14:paraId="0087EFCB"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81,707</w:t>
            </w:r>
          </w:p>
        </w:tc>
        <w:tc>
          <w:tcPr>
            <w:tcW w:w="919" w:type="pct"/>
            <w:tcBorders>
              <w:top w:val="nil"/>
              <w:left w:val="nil"/>
              <w:bottom w:val="nil"/>
              <w:right w:val="nil"/>
            </w:tcBorders>
            <w:shd w:val="clear" w:color="000000" w:fill="FFFFFF"/>
            <w:noWrap/>
            <w:vAlign w:val="center"/>
            <w:hideMark/>
          </w:tcPr>
          <w:p w14:paraId="7A06F78A"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1,207</w:t>
            </w:r>
          </w:p>
        </w:tc>
      </w:tr>
      <w:tr w:rsidR="00E63ECB" w:rsidRPr="004863F3" w14:paraId="285C012D"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312B3A7B" w14:textId="77777777" w:rsidR="00E63ECB" w:rsidRPr="004863F3" w:rsidRDefault="00E63ECB" w:rsidP="00E63ECB">
            <w:pPr>
              <w:spacing w:before="0" w:after="0" w:line="240" w:lineRule="auto"/>
              <w:ind w:left="170"/>
              <w:rPr>
                <w:rFonts w:ascii="Arial" w:hAnsi="Arial" w:cs="Arial"/>
                <w:i/>
                <w:iCs/>
                <w:color w:val="000000"/>
                <w:sz w:val="16"/>
                <w:szCs w:val="16"/>
              </w:rPr>
            </w:pPr>
            <w:r w:rsidRPr="004863F3">
              <w:rPr>
                <w:rFonts w:ascii="Arial" w:hAnsi="Arial" w:cs="Arial"/>
                <w:i/>
                <w:iCs/>
                <w:color w:val="000000"/>
                <w:sz w:val="16"/>
                <w:szCs w:val="16"/>
              </w:rPr>
              <w:t xml:space="preserve">less: </w:t>
            </w:r>
            <w:r w:rsidRPr="004863F3">
              <w:rPr>
                <w:rFonts w:ascii="Arial" w:hAnsi="Arial" w:cs="Arial"/>
                <w:color w:val="000000"/>
                <w:sz w:val="16"/>
                <w:szCs w:val="16"/>
              </w:rPr>
              <w:t>Refunds</w:t>
            </w:r>
          </w:p>
        </w:tc>
        <w:tc>
          <w:tcPr>
            <w:tcW w:w="1021" w:type="pct"/>
            <w:tcBorders>
              <w:top w:val="nil"/>
              <w:left w:val="nil"/>
              <w:bottom w:val="single" w:sz="4" w:space="0" w:color="293F5B"/>
              <w:right w:val="nil"/>
            </w:tcBorders>
            <w:shd w:val="clear" w:color="000000" w:fill="FFFFFF"/>
            <w:noWrap/>
            <w:vAlign w:val="center"/>
            <w:hideMark/>
          </w:tcPr>
          <w:p w14:paraId="626F4923"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39,200</w:t>
            </w:r>
          </w:p>
        </w:tc>
        <w:tc>
          <w:tcPr>
            <w:tcW w:w="716" w:type="pct"/>
            <w:tcBorders>
              <w:top w:val="nil"/>
              <w:left w:val="nil"/>
              <w:bottom w:val="single" w:sz="4" w:space="0" w:color="293F5B"/>
              <w:right w:val="nil"/>
            </w:tcBorders>
            <w:shd w:val="clear" w:color="000000" w:fill="E6F2FF"/>
            <w:noWrap/>
            <w:vAlign w:val="center"/>
            <w:hideMark/>
          </w:tcPr>
          <w:p w14:paraId="6255B65A"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39,223</w:t>
            </w:r>
          </w:p>
        </w:tc>
        <w:tc>
          <w:tcPr>
            <w:tcW w:w="919" w:type="pct"/>
            <w:tcBorders>
              <w:top w:val="nil"/>
              <w:left w:val="nil"/>
              <w:bottom w:val="single" w:sz="4" w:space="0" w:color="293F5B"/>
              <w:right w:val="nil"/>
            </w:tcBorders>
            <w:shd w:val="clear" w:color="000000" w:fill="FFFFFF"/>
            <w:noWrap/>
            <w:vAlign w:val="center"/>
            <w:hideMark/>
          </w:tcPr>
          <w:p w14:paraId="0D419774"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23</w:t>
            </w:r>
          </w:p>
        </w:tc>
      </w:tr>
      <w:tr w:rsidR="00E63ECB" w:rsidRPr="004863F3" w14:paraId="45665562"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6CA5F27D"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Total individuals and other withholding tax</w:t>
            </w:r>
          </w:p>
        </w:tc>
        <w:tc>
          <w:tcPr>
            <w:tcW w:w="1021" w:type="pct"/>
            <w:tcBorders>
              <w:top w:val="nil"/>
              <w:left w:val="nil"/>
              <w:bottom w:val="nil"/>
              <w:right w:val="nil"/>
            </w:tcBorders>
            <w:shd w:val="clear" w:color="000000" w:fill="FFFFFF"/>
            <w:noWrap/>
            <w:vAlign w:val="center"/>
            <w:hideMark/>
          </w:tcPr>
          <w:p w14:paraId="355488C4"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334,900</w:t>
            </w:r>
          </w:p>
        </w:tc>
        <w:tc>
          <w:tcPr>
            <w:tcW w:w="716" w:type="pct"/>
            <w:tcBorders>
              <w:top w:val="nil"/>
              <w:left w:val="nil"/>
              <w:bottom w:val="nil"/>
              <w:right w:val="nil"/>
            </w:tcBorders>
            <w:shd w:val="clear" w:color="000000" w:fill="E6F2FF"/>
            <w:noWrap/>
            <w:vAlign w:val="center"/>
            <w:hideMark/>
          </w:tcPr>
          <w:p w14:paraId="070F9BA7"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338,312</w:t>
            </w:r>
          </w:p>
        </w:tc>
        <w:tc>
          <w:tcPr>
            <w:tcW w:w="919" w:type="pct"/>
            <w:tcBorders>
              <w:top w:val="nil"/>
              <w:left w:val="nil"/>
              <w:bottom w:val="nil"/>
              <w:right w:val="nil"/>
            </w:tcBorders>
            <w:shd w:val="clear" w:color="000000" w:fill="FFFFFF"/>
            <w:noWrap/>
            <w:vAlign w:val="center"/>
            <w:hideMark/>
          </w:tcPr>
          <w:p w14:paraId="7CD2FDFA"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3,412</w:t>
            </w:r>
          </w:p>
        </w:tc>
      </w:tr>
      <w:tr w:rsidR="00E63ECB" w:rsidRPr="004863F3" w14:paraId="77157582"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01E66A4B"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Fringe benefits tax</w:t>
            </w:r>
          </w:p>
        </w:tc>
        <w:tc>
          <w:tcPr>
            <w:tcW w:w="1021" w:type="pct"/>
            <w:tcBorders>
              <w:top w:val="nil"/>
              <w:left w:val="nil"/>
              <w:bottom w:val="nil"/>
              <w:right w:val="nil"/>
            </w:tcBorders>
            <w:shd w:val="clear" w:color="000000" w:fill="FFFFFF"/>
            <w:noWrap/>
            <w:vAlign w:val="center"/>
            <w:hideMark/>
          </w:tcPr>
          <w:p w14:paraId="7F8882FA"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4,950</w:t>
            </w:r>
          </w:p>
        </w:tc>
        <w:tc>
          <w:tcPr>
            <w:tcW w:w="716" w:type="pct"/>
            <w:tcBorders>
              <w:top w:val="nil"/>
              <w:left w:val="nil"/>
              <w:bottom w:val="nil"/>
              <w:right w:val="nil"/>
            </w:tcBorders>
            <w:shd w:val="clear" w:color="000000" w:fill="E6F2FF"/>
            <w:noWrap/>
            <w:vAlign w:val="center"/>
            <w:hideMark/>
          </w:tcPr>
          <w:p w14:paraId="3315B8D2"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4,927</w:t>
            </w:r>
          </w:p>
        </w:tc>
        <w:tc>
          <w:tcPr>
            <w:tcW w:w="919" w:type="pct"/>
            <w:tcBorders>
              <w:top w:val="nil"/>
              <w:left w:val="nil"/>
              <w:bottom w:val="nil"/>
              <w:right w:val="nil"/>
            </w:tcBorders>
            <w:shd w:val="clear" w:color="000000" w:fill="FFFFFF"/>
            <w:noWrap/>
            <w:vAlign w:val="center"/>
            <w:hideMark/>
          </w:tcPr>
          <w:p w14:paraId="63600E67" w14:textId="559B3CFA"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23</w:t>
            </w:r>
          </w:p>
        </w:tc>
      </w:tr>
      <w:tr w:rsidR="00E63ECB" w:rsidRPr="004863F3" w14:paraId="50E58C85"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0D49F23E"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Company tax</w:t>
            </w:r>
          </w:p>
        </w:tc>
        <w:tc>
          <w:tcPr>
            <w:tcW w:w="1021" w:type="pct"/>
            <w:tcBorders>
              <w:top w:val="nil"/>
              <w:left w:val="nil"/>
              <w:bottom w:val="nil"/>
              <w:right w:val="nil"/>
            </w:tcBorders>
            <w:shd w:val="clear" w:color="000000" w:fill="FFFFFF"/>
            <w:noWrap/>
            <w:vAlign w:val="center"/>
            <w:hideMark/>
          </w:tcPr>
          <w:p w14:paraId="68DEEB4B"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133,500</w:t>
            </w:r>
          </w:p>
        </w:tc>
        <w:tc>
          <w:tcPr>
            <w:tcW w:w="716" w:type="pct"/>
            <w:tcBorders>
              <w:top w:val="nil"/>
              <w:left w:val="nil"/>
              <w:bottom w:val="nil"/>
              <w:right w:val="nil"/>
            </w:tcBorders>
            <w:shd w:val="clear" w:color="000000" w:fill="E6F2FF"/>
            <w:noWrap/>
            <w:vAlign w:val="center"/>
            <w:hideMark/>
          </w:tcPr>
          <w:p w14:paraId="4AF593FB"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138,762</w:t>
            </w:r>
          </w:p>
        </w:tc>
        <w:tc>
          <w:tcPr>
            <w:tcW w:w="919" w:type="pct"/>
            <w:tcBorders>
              <w:top w:val="nil"/>
              <w:left w:val="nil"/>
              <w:bottom w:val="nil"/>
              <w:right w:val="nil"/>
            </w:tcBorders>
            <w:shd w:val="clear" w:color="000000" w:fill="FFFFFF"/>
            <w:noWrap/>
            <w:vAlign w:val="center"/>
            <w:hideMark/>
          </w:tcPr>
          <w:p w14:paraId="4A3AE810"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5,262</w:t>
            </w:r>
          </w:p>
        </w:tc>
      </w:tr>
      <w:tr w:rsidR="00E63ECB" w:rsidRPr="004863F3" w14:paraId="4DF22B87"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114CBAF0"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Superannuation fund taxes</w:t>
            </w:r>
          </w:p>
        </w:tc>
        <w:tc>
          <w:tcPr>
            <w:tcW w:w="1021" w:type="pct"/>
            <w:tcBorders>
              <w:top w:val="nil"/>
              <w:left w:val="nil"/>
              <w:bottom w:val="nil"/>
              <w:right w:val="nil"/>
            </w:tcBorders>
            <w:shd w:val="clear" w:color="000000" w:fill="FFFFFF"/>
            <w:noWrap/>
            <w:vAlign w:val="center"/>
            <w:hideMark/>
          </w:tcPr>
          <w:p w14:paraId="47AC3CE3"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22,810</w:t>
            </w:r>
          </w:p>
        </w:tc>
        <w:tc>
          <w:tcPr>
            <w:tcW w:w="716" w:type="pct"/>
            <w:tcBorders>
              <w:top w:val="nil"/>
              <w:left w:val="nil"/>
              <w:bottom w:val="nil"/>
              <w:right w:val="nil"/>
            </w:tcBorders>
            <w:shd w:val="clear" w:color="000000" w:fill="E6F2FF"/>
            <w:noWrap/>
            <w:vAlign w:val="center"/>
            <w:hideMark/>
          </w:tcPr>
          <w:p w14:paraId="35A8B70B"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25,700</w:t>
            </w:r>
          </w:p>
        </w:tc>
        <w:tc>
          <w:tcPr>
            <w:tcW w:w="919" w:type="pct"/>
            <w:tcBorders>
              <w:top w:val="nil"/>
              <w:left w:val="nil"/>
              <w:bottom w:val="nil"/>
              <w:right w:val="nil"/>
            </w:tcBorders>
            <w:shd w:val="clear" w:color="000000" w:fill="FFFFFF"/>
            <w:noWrap/>
            <w:vAlign w:val="center"/>
            <w:hideMark/>
          </w:tcPr>
          <w:p w14:paraId="2482EE06"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2,890</w:t>
            </w:r>
          </w:p>
        </w:tc>
      </w:tr>
      <w:tr w:rsidR="00E63ECB" w:rsidRPr="004863F3" w14:paraId="4ABD0CBB"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5E7CC198"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Petroleum resource rent tax</w:t>
            </w:r>
          </w:p>
        </w:tc>
        <w:tc>
          <w:tcPr>
            <w:tcW w:w="1021" w:type="pct"/>
            <w:tcBorders>
              <w:top w:val="nil"/>
              <w:left w:val="nil"/>
              <w:bottom w:val="nil"/>
              <w:right w:val="nil"/>
            </w:tcBorders>
            <w:shd w:val="clear" w:color="000000" w:fill="FFFFFF"/>
            <w:noWrap/>
            <w:vAlign w:val="center"/>
            <w:hideMark/>
          </w:tcPr>
          <w:p w14:paraId="731BBF1B"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1,450</w:t>
            </w:r>
          </w:p>
        </w:tc>
        <w:tc>
          <w:tcPr>
            <w:tcW w:w="716" w:type="pct"/>
            <w:tcBorders>
              <w:top w:val="nil"/>
              <w:left w:val="nil"/>
              <w:bottom w:val="nil"/>
              <w:right w:val="nil"/>
            </w:tcBorders>
            <w:shd w:val="clear" w:color="000000" w:fill="E6F2FF"/>
            <w:noWrap/>
            <w:vAlign w:val="center"/>
            <w:hideMark/>
          </w:tcPr>
          <w:p w14:paraId="0A7F5550"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1,420</w:t>
            </w:r>
          </w:p>
        </w:tc>
        <w:tc>
          <w:tcPr>
            <w:tcW w:w="919" w:type="pct"/>
            <w:tcBorders>
              <w:top w:val="nil"/>
              <w:left w:val="nil"/>
              <w:bottom w:val="nil"/>
              <w:right w:val="nil"/>
            </w:tcBorders>
            <w:shd w:val="clear" w:color="000000" w:fill="FFFFFF"/>
            <w:noWrap/>
            <w:vAlign w:val="center"/>
            <w:hideMark/>
          </w:tcPr>
          <w:p w14:paraId="51F8A41F" w14:textId="0AF9CB61"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30</w:t>
            </w:r>
          </w:p>
        </w:tc>
      </w:tr>
      <w:tr w:rsidR="00E63ECB" w:rsidRPr="004863F3" w14:paraId="74258506" w14:textId="77777777" w:rsidTr="00E63ECB">
        <w:trPr>
          <w:trHeight w:hRule="exact" w:val="215"/>
        </w:trPr>
        <w:tc>
          <w:tcPr>
            <w:tcW w:w="2344" w:type="pct"/>
            <w:tcBorders>
              <w:top w:val="nil"/>
              <w:left w:val="nil"/>
              <w:bottom w:val="nil"/>
              <w:right w:val="nil"/>
            </w:tcBorders>
            <w:shd w:val="clear" w:color="000000" w:fill="FFFFFF"/>
            <w:noWrap/>
            <w:vAlign w:val="center"/>
            <w:hideMark/>
          </w:tcPr>
          <w:p w14:paraId="519E491C" w14:textId="77777777" w:rsidR="00E63ECB" w:rsidRPr="004863F3" w:rsidRDefault="00E63ECB" w:rsidP="00E63EC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Income taxation receipts</w:t>
            </w:r>
          </w:p>
        </w:tc>
        <w:tc>
          <w:tcPr>
            <w:tcW w:w="1021" w:type="pct"/>
            <w:tcBorders>
              <w:top w:val="single" w:sz="4" w:space="0" w:color="293F5B"/>
              <w:left w:val="nil"/>
              <w:bottom w:val="single" w:sz="4" w:space="0" w:color="293F5B"/>
              <w:right w:val="nil"/>
            </w:tcBorders>
            <w:shd w:val="clear" w:color="000000" w:fill="FFFFFF"/>
            <w:noWrap/>
            <w:vAlign w:val="center"/>
            <w:hideMark/>
          </w:tcPr>
          <w:p w14:paraId="40679595"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497,610</w:t>
            </w:r>
          </w:p>
        </w:tc>
        <w:tc>
          <w:tcPr>
            <w:tcW w:w="716" w:type="pct"/>
            <w:tcBorders>
              <w:top w:val="single" w:sz="4" w:space="0" w:color="293F5B"/>
              <w:left w:val="nil"/>
              <w:bottom w:val="single" w:sz="4" w:space="0" w:color="293F5B"/>
              <w:right w:val="nil"/>
            </w:tcBorders>
            <w:shd w:val="clear" w:color="000000" w:fill="E6F2FF"/>
            <w:noWrap/>
            <w:vAlign w:val="center"/>
            <w:hideMark/>
          </w:tcPr>
          <w:p w14:paraId="60E249DF"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509,121</w:t>
            </w:r>
          </w:p>
        </w:tc>
        <w:tc>
          <w:tcPr>
            <w:tcW w:w="919" w:type="pct"/>
            <w:tcBorders>
              <w:top w:val="single" w:sz="4" w:space="0" w:color="293F5B"/>
              <w:left w:val="nil"/>
              <w:bottom w:val="single" w:sz="4" w:space="0" w:color="293F5B"/>
              <w:right w:val="nil"/>
            </w:tcBorders>
            <w:shd w:val="clear" w:color="000000" w:fill="FFFFFF"/>
            <w:noWrap/>
            <w:vAlign w:val="center"/>
            <w:hideMark/>
          </w:tcPr>
          <w:p w14:paraId="6438DA8F"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11,511</w:t>
            </w:r>
          </w:p>
        </w:tc>
      </w:tr>
      <w:tr w:rsidR="00E63ECB" w:rsidRPr="004863F3" w14:paraId="66B540FA" w14:textId="77777777" w:rsidTr="00E63ECB">
        <w:trPr>
          <w:trHeight w:hRule="exact" w:val="100"/>
        </w:trPr>
        <w:tc>
          <w:tcPr>
            <w:tcW w:w="2344" w:type="pct"/>
            <w:tcBorders>
              <w:top w:val="nil"/>
              <w:left w:val="nil"/>
              <w:bottom w:val="nil"/>
              <w:right w:val="nil"/>
            </w:tcBorders>
            <w:shd w:val="clear" w:color="000000" w:fill="FFFFFF"/>
            <w:noWrap/>
            <w:vAlign w:val="center"/>
            <w:hideMark/>
          </w:tcPr>
          <w:p w14:paraId="5E6D38A7" w14:textId="77777777" w:rsidR="00E63ECB" w:rsidRPr="004863F3" w:rsidRDefault="00E63ECB" w:rsidP="00E63EC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1021" w:type="pct"/>
            <w:tcBorders>
              <w:top w:val="nil"/>
              <w:left w:val="nil"/>
              <w:bottom w:val="nil"/>
              <w:right w:val="nil"/>
            </w:tcBorders>
            <w:shd w:val="clear" w:color="000000" w:fill="FFFFFF"/>
            <w:noWrap/>
            <w:vAlign w:val="center"/>
            <w:hideMark/>
          </w:tcPr>
          <w:p w14:paraId="1F235A14"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c>
          <w:tcPr>
            <w:tcW w:w="716" w:type="pct"/>
            <w:tcBorders>
              <w:top w:val="nil"/>
              <w:left w:val="nil"/>
              <w:bottom w:val="nil"/>
              <w:right w:val="nil"/>
            </w:tcBorders>
            <w:shd w:val="clear" w:color="000000" w:fill="E6F2FF"/>
            <w:noWrap/>
            <w:vAlign w:val="center"/>
            <w:hideMark/>
          </w:tcPr>
          <w:p w14:paraId="2A436AF6"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c>
          <w:tcPr>
            <w:tcW w:w="919" w:type="pct"/>
            <w:tcBorders>
              <w:top w:val="nil"/>
              <w:left w:val="nil"/>
              <w:bottom w:val="nil"/>
              <w:right w:val="nil"/>
            </w:tcBorders>
            <w:shd w:val="clear" w:color="000000" w:fill="FFFFFF"/>
            <w:noWrap/>
            <w:vAlign w:val="center"/>
            <w:hideMark/>
          </w:tcPr>
          <w:p w14:paraId="776B33F5"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r>
      <w:tr w:rsidR="00E63ECB" w:rsidRPr="004863F3" w14:paraId="40A3239C"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528AA424"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Goods and services tax</w:t>
            </w:r>
          </w:p>
        </w:tc>
        <w:tc>
          <w:tcPr>
            <w:tcW w:w="1021" w:type="pct"/>
            <w:tcBorders>
              <w:top w:val="nil"/>
              <w:left w:val="nil"/>
              <w:bottom w:val="nil"/>
              <w:right w:val="nil"/>
            </w:tcBorders>
            <w:shd w:val="clear" w:color="000000" w:fill="FFFFFF"/>
            <w:noWrap/>
            <w:vAlign w:val="center"/>
            <w:hideMark/>
          </w:tcPr>
          <w:p w14:paraId="2BC7D371"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89,400</w:t>
            </w:r>
          </w:p>
        </w:tc>
        <w:tc>
          <w:tcPr>
            <w:tcW w:w="716" w:type="pct"/>
            <w:tcBorders>
              <w:top w:val="nil"/>
              <w:left w:val="nil"/>
              <w:bottom w:val="nil"/>
              <w:right w:val="nil"/>
            </w:tcBorders>
            <w:shd w:val="clear" w:color="000000" w:fill="E6F2FF"/>
            <w:noWrap/>
            <w:vAlign w:val="center"/>
            <w:hideMark/>
          </w:tcPr>
          <w:p w14:paraId="2C077224"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90,322</w:t>
            </w:r>
          </w:p>
        </w:tc>
        <w:tc>
          <w:tcPr>
            <w:tcW w:w="919" w:type="pct"/>
            <w:tcBorders>
              <w:top w:val="nil"/>
              <w:left w:val="nil"/>
              <w:bottom w:val="nil"/>
              <w:right w:val="nil"/>
            </w:tcBorders>
            <w:shd w:val="clear" w:color="000000" w:fill="FFFFFF"/>
            <w:noWrap/>
            <w:vAlign w:val="center"/>
            <w:hideMark/>
          </w:tcPr>
          <w:p w14:paraId="34B28B9F"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922</w:t>
            </w:r>
          </w:p>
        </w:tc>
      </w:tr>
      <w:tr w:rsidR="00E63ECB" w:rsidRPr="004863F3" w14:paraId="03E9FACE"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4D99F123"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Wine equalisation tax</w:t>
            </w:r>
          </w:p>
        </w:tc>
        <w:tc>
          <w:tcPr>
            <w:tcW w:w="1021" w:type="pct"/>
            <w:tcBorders>
              <w:top w:val="nil"/>
              <w:left w:val="nil"/>
              <w:bottom w:val="nil"/>
              <w:right w:val="nil"/>
            </w:tcBorders>
            <w:shd w:val="clear" w:color="000000" w:fill="FFFFFF"/>
            <w:noWrap/>
            <w:vAlign w:val="center"/>
            <w:hideMark/>
          </w:tcPr>
          <w:p w14:paraId="25C4A0E9"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1,110</w:t>
            </w:r>
          </w:p>
        </w:tc>
        <w:tc>
          <w:tcPr>
            <w:tcW w:w="716" w:type="pct"/>
            <w:tcBorders>
              <w:top w:val="nil"/>
              <w:left w:val="nil"/>
              <w:bottom w:val="nil"/>
              <w:right w:val="nil"/>
            </w:tcBorders>
            <w:shd w:val="clear" w:color="000000" w:fill="E6F2FF"/>
            <w:noWrap/>
            <w:vAlign w:val="center"/>
            <w:hideMark/>
          </w:tcPr>
          <w:p w14:paraId="035DD248"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1,134</w:t>
            </w:r>
          </w:p>
        </w:tc>
        <w:tc>
          <w:tcPr>
            <w:tcW w:w="919" w:type="pct"/>
            <w:tcBorders>
              <w:top w:val="nil"/>
              <w:left w:val="nil"/>
              <w:bottom w:val="nil"/>
              <w:right w:val="nil"/>
            </w:tcBorders>
            <w:shd w:val="clear" w:color="000000" w:fill="FFFFFF"/>
            <w:noWrap/>
            <w:vAlign w:val="center"/>
            <w:hideMark/>
          </w:tcPr>
          <w:p w14:paraId="4158BA25"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24</w:t>
            </w:r>
          </w:p>
        </w:tc>
      </w:tr>
      <w:tr w:rsidR="00E63ECB" w:rsidRPr="004863F3" w14:paraId="74450B69"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424770C0"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Luxury car tax</w:t>
            </w:r>
          </w:p>
        </w:tc>
        <w:tc>
          <w:tcPr>
            <w:tcW w:w="1021" w:type="pct"/>
            <w:tcBorders>
              <w:top w:val="nil"/>
              <w:left w:val="nil"/>
              <w:bottom w:val="nil"/>
              <w:right w:val="nil"/>
            </w:tcBorders>
            <w:shd w:val="clear" w:color="000000" w:fill="FFFFFF"/>
            <w:noWrap/>
            <w:vAlign w:val="center"/>
            <w:hideMark/>
          </w:tcPr>
          <w:p w14:paraId="49BD4D44"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1,170</w:t>
            </w:r>
          </w:p>
        </w:tc>
        <w:tc>
          <w:tcPr>
            <w:tcW w:w="716" w:type="pct"/>
            <w:tcBorders>
              <w:top w:val="nil"/>
              <w:left w:val="nil"/>
              <w:bottom w:val="nil"/>
              <w:right w:val="nil"/>
            </w:tcBorders>
            <w:shd w:val="clear" w:color="000000" w:fill="E6F2FF"/>
            <w:noWrap/>
            <w:vAlign w:val="center"/>
            <w:hideMark/>
          </w:tcPr>
          <w:p w14:paraId="7E4A0988"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1,088</w:t>
            </w:r>
          </w:p>
        </w:tc>
        <w:tc>
          <w:tcPr>
            <w:tcW w:w="919" w:type="pct"/>
            <w:tcBorders>
              <w:top w:val="nil"/>
              <w:left w:val="nil"/>
              <w:bottom w:val="nil"/>
              <w:right w:val="nil"/>
            </w:tcBorders>
            <w:shd w:val="clear" w:color="000000" w:fill="FFFFFF"/>
            <w:noWrap/>
            <w:vAlign w:val="center"/>
            <w:hideMark/>
          </w:tcPr>
          <w:p w14:paraId="795CB2D2" w14:textId="7E759BD2"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82</w:t>
            </w:r>
          </w:p>
        </w:tc>
      </w:tr>
      <w:tr w:rsidR="00E63ECB" w:rsidRPr="004863F3" w14:paraId="253A141E"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17D3B55B"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 xml:space="preserve">Excise and customs duty  </w:t>
            </w:r>
          </w:p>
        </w:tc>
        <w:tc>
          <w:tcPr>
            <w:tcW w:w="1021" w:type="pct"/>
            <w:tcBorders>
              <w:top w:val="nil"/>
              <w:left w:val="nil"/>
              <w:bottom w:val="nil"/>
              <w:right w:val="nil"/>
            </w:tcBorders>
            <w:shd w:val="clear" w:color="000000" w:fill="FFFFFF"/>
            <w:noWrap/>
            <w:vAlign w:val="center"/>
            <w:hideMark/>
          </w:tcPr>
          <w:p w14:paraId="2FE1216D"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716" w:type="pct"/>
            <w:tcBorders>
              <w:top w:val="nil"/>
              <w:left w:val="nil"/>
              <w:bottom w:val="nil"/>
              <w:right w:val="nil"/>
            </w:tcBorders>
            <w:shd w:val="clear" w:color="000000" w:fill="E6F2FF"/>
            <w:noWrap/>
            <w:vAlign w:val="center"/>
            <w:hideMark/>
          </w:tcPr>
          <w:p w14:paraId="6ACC235E"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919" w:type="pct"/>
            <w:tcBorders>
              <w:top w:val="nil"/>
              <w:left w:val="nil"/>
              <w:bottom w:val="nil"/>
              <w:right w:val="nil"/>
            </w:tcBorders>
            <w:shd w:val="clear" w:color="000000" w:fill="FFFFFF"/>
            <w:noWrap/>
            <w:vAlign w:val="center"/>
            <w:hideMark/>
          </w:tcPr>
          <w:p w14:paraId="3475C602"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E63ECB" w:rsidRPr="004863F3" w14:paraId="1463E9CF"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40229120"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Petrol</w:t>
            </w:r>
          </w:p>
        </w:tc>
        <w:tc>
          <w:tcPr>
            <w:tcW w:w="1021" w:type="pct"/>
            <w:tcBorders>
              <w:top w:val="nil"/>
              <w:left w:val="nil"/>
              <w:bottom w:val="nil"/>
              <w:right w:val="nil"/>
            </w:tcBorders>
            <w:shd w:val="clear" w:color="000000" w:fill="FFFFFF"/>
            <w:noWrap/>
            <w:vAlign w:val="center"/>
            <w:hideMark/>
          </w:tcPr>
          <w:p w14:paraId="09264462"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7,250</w:t>
            </w:r>
          </w:p>
        </w:tc>
        <w:tc>
          <w:tcPr>
            <w:tcW w:w="716" w:type="pct"/>
            <w:tcBorders>
              <w:top w:val="nil"/>
              <w:left w:val="nil"/>
              <w:bottom w:val="nil"/>
              <w:right w:val="nil"/>
            </w:tcBorders>
            <w:shd w:val="clear" w:color="000000" w:fill="E6F2FF"/>
            <w:noWrap/>
            <w:vAlign w:val="center"/>
            <w:hideMark/>
          </w:tcPr>
          <w:p w14:paraId="1C1A0938"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7,306</w:t>
            </w:r>
          </w:p>
        </w:tc>
        <w:tc>
          <w:tcPr>
            <w:tcW w:w="919" w:type="pct"/>
            <w:tcBorders>
              <w:top w:val="nil"/>
              <w:left w:val="nil"/>
              <w:bottom w:val="nil"/>
              <w:right w:val="nil"/>
            </w:tcBorders>
            <w:shd w:val="clear" w:color="000000" w:fill="FFFFFF"/>
            <w:noWrap/>
            <w:vAlign w:val="center"/>
            <w:hideMark/>
          </w:tcPr>
          <w:p w14:paraId="2DE063DD"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56</w:t>
            </w:r>
          </w:p>
        </w:tc>
      </w:tr>
      <w:tr w:rsidR="00E63ECB" w:rsidRPr="004863F3" w14:paraId="34DF4746"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580D597A"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Diesel</w:t>
            </w:r>
          </w:p>
        </w:tc>
        <w:tc>
          <w:tcPr>
            <w:tcW w:w="1021" w:type="pct"/>
            <w:tcBorders>
              <w:top w:val="nil"/>
              <w:left w:val="nil"/>
              <w:bottom w:val="nil"/>
              <w:right w:val="nil"/>
            </w:tcBorders>
            <w:shd w:val="clear" w:color="000000" w:fill="FFFFFF"/>
            <w:noWrap/>
            <w:vAlign w:val="center"/>
            <w:hideMark/>
          </w:tcPr>
          <w:p w14:paraId="132E8EC4"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17,390</w:t>
            </w:r>
          </w:p>
        </w:tc>
        <w:tc>
          <w:tcPr>
            <w:tcW w:w="716" w:type="pct"/>
            <w:tcBorders>
              <w:top w:val="nil"/>
              <w:left w:val="nil"/>
              <w:bottom w:val="nil"/>
              <w:right w:val="nil"/>
            </w:tcBorders>
            <w:shd w:val="clear" w:color="000000" w:fill="E6F2FF"/>
            <w:noWrap/>
            <w:vAlign w:val="center"/>
            <w:hideMark/>
          </w:tcPr>
          <w:p w14:paraId="7C27A8D3"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17,262</w:t>
            </w:r>
          </w:p>
        </w:tc>
        <w:tc>
          <w:tcPr>
            <w:tcW w:w="919" w:type="pct"/>
            <w:tcBorders>
              <w:top w:val="nil"/>
              <w:left w:val="nil"/>
              <w:bottom w:val="nil"/>
              <w:right w:val="nil"/>
            </w:tcBorders>
            <w:shd w:val="clear" w:color="000000" w:fill="FFFFFF"/>
            <w:noWrap/>
            <w:vAlign w:val="center"/>
            <w:hideMark/>
          </w:tcPr>
          <w:p w14:paraId="1884ACA0" w14:textId="5487196B"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128</w:t>
            </w:r>
          </w:p>
        </w:tc>
      </w:tr>
      <w:tr w:rsidR="00E63ECB" w:rsidRPr="004863F3" w14:paraId="7FA4796A"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74BE1767"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Other fuel products</w:t>
            </w:r>
          </w:p>
        </w:tc>
        <w:tc>
          <w:tcPr>
            <w:tcW w:w="1021" w:type="pct"/>
            <w:tcBorders>
              <w:top w:val="nil"/>
              <w:left w:val="nil"/>
              <w:bottom w:val="nil"/>
              <w:right w:val="nil"/>
            </w:tcBorders>
            <w:shd w:val="clear" w:color="000000" w:fill="FFFFFF"/>
            <w:noWrap/>
            <w:vAlign w:val="center"/>
            <w:hideMark/>
          </w:tcPr>
          <w:p w14:paraId="3B94B57E"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2,040</w:t>
            </w:r>
          </w:p>
        </w:tc>
        <w:tc>
          <w:tcPr>
            <w:tcW w:w="716" w:type="pct"/>
            <w:tcBorders>
              <w:top w:val="nil"/>
              <w:left w:val="nil"/>
              <w:bottom w:val="nil"/>
              <w:right w:val="nil"/>
            </w:tcBorders>
            <w:shd w:val="clear" w:color="000000" w:fill="E6F2FF"/>
            <w:noWrap/>
            <w:vAlign w:val="center"/>
            <w:hideMark/>
          </w:tcPr>
          <w:p w14:paraId="53036BFA"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1,731</w:t>
            </w:r>
          </w:p>
        </w:tc>
        <w:tc>
          <w:tcPr>
            <w:tcW w:w="919" w:type="pct"/>
            <w:tcBorders>
              <w:top w:val="nil"/>
              <w:left w:val="nil"/>
              <w:bottom w:val="nil"/>
              <w:right w:val="nil"/>
            </w:tcBorders>
            <w:shd w:val="clear" w:color="000000" w:fill="FFFFFF"/>
            <w:noWrap/>
            <w:vAlign w:val="center"/>
            <w:hideMark/>
          </w:tcPr>
          <w:p w14:paraId="4552416B" w14:textId="03ADDC3F"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309</w:t>
            </w:r>
          </w:p>
        </w:tc>
      </w:tr>
      <w:tr w:rsidR="00E63ECB" w:rsidRPr="004863F3" w14:paraId="1F2E84C3"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63D2C5A7"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Tobacco</w:t>
            </w:r>
          </w:p>
        </w:tc>
        <w:tc>
          <w:tcPr>
            <w:tcW w:w="1021" w:type="pct"/>
            <w:tcBorders>
              <w:top w:val="nil"/>
              <w:left w:val="nil"/>
              <w:bottom w:val="nil"/>
              <w:right w:val="nil"/>
            </w:tcBorders>
            <w:shd w:val="clear" w:color="000000" w:fill="FFFFFF"/>
            <w:noWrap/>
            <w:vAlign w:val="center"/>
            <w:hideMark/>
          </w:tcPr>
          <w:p w14:paraId="27F5721C"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7,400</w:t>
            </w:r>
          </w:p>
        </w:tc>
        <w:tc>
          <w:tcPr>
            <w:tcW w:w="716" w:type="pct"/>
            <w:tcBorders>
              <w:top w:val="nil"/>
              <w:left w:val="nil"/>
              <w:bottom w:val="nil"/>
              <w:right w:val="nil"/>
            </w:tcBorders>
            <w:shd w:val="clear" w:color="000000" w:fill="E6F2FF"/>
            <w:noWrap/>
            <w:vAlign w:val="center"/>
            <w:hideMark/>
          </w:tcPr>
          <w:p w14:paraId="0E2758DE"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7,767</w:t>
            </w:r>
          </w:p>
        </w:tc>
        <w:tc>
          <w:tcPr>
            <w:tcW w:w="919" w:type="pct"/>
            <w:tcBorders>
              <w:top w:val="nil"/>
              <w:left w:val="nil"/>
              <w:bottom w:val="nil"/>
              <w:right w:val="nil"/>
            </w:tcBorders>
            <w:shd w:val="clear" w:color="000000" w:fill="FFFFFF"/>
            <w:noWrap/>
            <w:vAlign w:val="center"/>
            <w:hideMark/>
          </w:tcPr>
          <w:p w14:paraId="1688F513"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367</w:t>
            </w:r>
          </w:p>
        </w:tc>
      </w:tr>
      <w:tr w:rsidR="00E63ECB" w:rsidRPr="004863F3" w14:paraId="1E460591"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56A802C8"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Beer</w:t>
            </w:r>
          </w:p>
        </w:tc>
        <w:tc>
          <w:tcPr>
            <w:tcW w:w="1021" w:type="pct"/>
            <w:tcBorders>
              <w:top w:val="nil"/>
              <w:left w:val="nil"/>
              <w:bottom w:val="nil"/>
              <w:right w:val="nil"/>
            </w:tcBorders>
            <w:shd w:val="clear" w:color="000000" w:fill="FFFFFF"/>
            <w:noWrap/>
            <w:vAlign w:val="center"/>
            <w:hideMark/>
          </w:tcPr>
          <w:p w14:paraId="067F999D"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2,750</w:t>
            </w:r>
          </w:p>
        </w:tc>
        <w:tc>
          <w:tcPr>
            <w:tcW w:w="716" w:type="pct"/>
            <w:tcBorders>
              <w:top w:val="nil"/>
              <w:left w:val="nil"/>
              <w:bottom w:val="nil"/>
              <w:right w:val="nil"/>
            </w:tcBorders>
            <w:shd w:val="clear" w:color="000000" w:fill="E6F2FF"/>
            <w:noWrap/>
            <w:vAlign w:val="center"/>
            <w:hideMark/>
          </w:tcPr>
          <w:p w14:paraId="6834BF2D"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2,729</w:t>
            </w:r>
          </w:p>
        </w:tc>
        <w:tc>
          <w:tcPr>
            <w:tcW w:w="919" w:type="pct"/>
            <w:tcBorders>
              <w:top w:val="nil"/>
              <w:left w:val="nil"/>
              <w:bottom w:val="nil"/>
              <w:right w:val="nil"/>
            </w:tcBorders>
            <w:shd w:val="clear" w:color="000000" w:fill="FFFFFF"/>
            <w:noWrap/>
            <w:vAlign w:val="center"/>
            <w:hideMark/>
          </w:tcPr>
          <w:p w14:paraId="4A970274" w14:textId="1BB3F0C2"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21</w:t>
            </w:r>
          </w:p>
        </w:tc>
      </w:tr>
      <w:tr w:rsidR="00E63ECB" w:rsidRPr="004863F3" w14:paraId="71BBC8CE"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7F5054F4"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Spirits</w:t>
            </w:r>
          </w:p>
        </w:tc>
        <w:tc>
          <w:tcPr>
            <w:tcW w:w="1021" w:type="pct"/>
            <w:tcBorders>
              <w:top w:val="nil"/>
              <w:left w:val="nil"/>
              <w:bottom w:val="nil"/>
              <w:right w:val="nil"/>
            </w:tcBorders>
            <w:shd w:val="clear" w:color="000000" w:fill="FFFFFF"/>
            <w:noWrap/>
            <w:vAlign w:val="center"/>
            <w:hideMark/>
          </w:tcPr>
          <w:p w14:paraId="47D80735"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3,280</w:t>
            </w:r>
          </w:p>
        </w:tc>
        <w:tc>
          <w:tcPr>
            <w:tcW w:w="716" w:type="pct"/>
            <w:tcBorders>
              <w:top w:val="nil"/>
              <w:left w:val="nil"/>
              <w:bottom w:val="nil"/>
              <w:right w:val="nil"/>
            </w:tcBorders>
            <w:shd w:val="clear" w:color="000000" w:fill="E6F2FF"/>
            <w:noWrap/>
            <w:vAlign w:val="center"/>
            <w:hideMark/>
          </w:tcPr>
          <w:p w14:paraId="45994BC1"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3,320</w:t>
            </w:r>
          </w:p>
        </w:tc>
        <w:tc>
          <w:tcPr>
            <w:tcW w:w="919" w:type="pct"/>
            <w:tcBorders>
              <w:top w:val="nil"/>
              <w:left w:val="nil"/>
              <w:bottom w:val="nil"/>
              <w:right w:val="nil"/>
            </w:tcBorders>
            <w:shd w:val="clear" w:color="000000" w:fill="FFFFFF"/>
            <w:noWrap/>
            <w:vAlign w:val="center"/>
            <w:hideMark/>
          </w:tcPr>
          <w:p w14:paraId="24FBFA3D"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40</w:t>
            </w:r>
          </w:p>
        </w:tc>
      </w:tr>
      <w:tr w:rsidR="00E63ECB" w:rsidRPr="004863F3" w14:paraId="553B0E77"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4C136E16"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Other alcoholic beverages(a)</w:t>
            </w:r>
          </w:p>
        </w:tc>
        <w:tc>
          <w:tcPr>
            <w:tcW w:w="1021" w:type="pct"/>
            <w:tcBorders>
              <w:top w:val="nil"/>
              <w:left w:val="nil"/>
              <w:bottom w:val="nil"/>
              <w:right w:val="nil"/>
            </w:tcBorders>
            <w:shd w:val="clear" w:color="000000" w:fill="FFFFFF"/>
            <w:noWrap/>
            <w:vAlign w:val="center"/>
            <w:hideMark/>
          </w:tcPr>
          <w:p w14:paraId="20732786"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1,770</w:t>
            </w:r>
          </w:p>
        </w:tc>
        <w:tc>
          <w:tcPr>
            <w:tcW w:w="716" w:type="pct"/>
            <w:tcBorders>
              <w:top w:val="nil"/>
              <w:left w:val="nil"/>
              <w:bottom w:val="nil"/>
              <w:right w:val="nil"/>
            </w:tcBorders>
            <w:shd w:val="clear" w:color="000000" w:fill="E6F2FF"/>
            <w:noWrap/>
            <w:vAlign w:val="center"/>
            <w:hideMark/>
          </w:tcPr>
          <w:p w14:paraId="7CBFF7DF"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1,789</w:t>
            </w:r>
          </w:p>
        </w:tc>
        <w:tc>
          <w:tcPr>
            <w:tcW w:w="919" w:type="pct"/>
            <w:tcBorders>
              <w:top w:val="nil"/>
              <w:left w:val="nil"/>
              <w:bottom w:val="nil"/>
              <w:right w:val="nil"/>
            </w:tcBorders>
            <w:shd w:val="clear" w:color="000000" w:fill="FFFFFF"/>
            <w:noWrap/>
            <w:vAlign w:val="center"/>
            <w:hideMark/>
          </w:tcPr>
          <w:p w14:paraId="6B952F0E"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19</w:t>
            </w:r>
          </w:p>
        </w:tc>
      </w:tr>
      <w:tr w:rsidR="00E63ECB" w:rsidRPr="004863F3" w14:paraId="159DFFFE"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55A6D81A" w14:textId="77777777" w:rsidR="00E63ECB" w:rsidRPr="004863F3" w:rsidRDefault="00E63ECB" w:rsidP="00E63EC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Other customs duty</w:t>
            </w:r>
          </w:p>
        </w:tc>
        <w:tc>
          <w:tcPr>
            <w:tcW w:w="1021" w:type="pct"/>
            <w:tcBorders>
              <w:top w:val="nil"/>
              <w:left w:val="nil"/>
              <w:bottom w:val="nil"/>
              <w:right w:val="nil"/>
            </w:tcBorders>
            <w:shd w:val="clear" w:color="000000" w:fill="FFFFFF"/>
            <w:noWrap/>
            <w:vAlign w:val="center"/>
            <w:hideMark/>
          </w:tcPr>
          <w:p w14:paraId="7CBD345C"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716" w:type="pct"/>
            <w:tcBorders>
              <w:top w:val="nil"/>
              <w:left w:val="nil"/>
              <w:bottom w:val="nil"/>
              <w:right w:val="nil"/>
            </w:tcBorders>
            <w:shd w:val="clear" w:color="000000" w:fill="E6F2FF"/>
            <w:noWrap/>
            <w:vAlign w:val="center"/>
            <w:hideMark/>
          </w:tcPr>
          <w:p w14:paraId="018EA23D"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919" w:type="pct"/>
            <w:tcBorders>
              <w:top w:val="nil"/>
              <w:left w:val="nil"/>
              <w:bottom w:val="nil"/>
              <w:right w:val="nil"/>
            </w:tcBorders>
            <w:shd w:val="clear" w:color="000000" w:fill="FFFFFF"/>
            <w:noWrap/>
            <w:vAlign w:val="center"/>
            <w:hideMark/>
          </w:tcPr>
          <w:p w14:paraId="57F2B887"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E63ECB" w:rsidRPr="004863F3" w14:paraId="521F96D4"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69727642" w14:textId="77777777" w:rsidR="00E63ECB" w:rsidRPr="004863F3" w:rsidRDefault="00E63ECB" w:rsidP="00E63ECB">
            <w:pPr>
              <w:spacing w:before="0" w:after="0" w:line="240" w:lineRule="auto"/>
              <w:ind w:left="340"/>
              <w:rPr>
                <w:rFonts w:ascii="Arial" w:hAnsi="Arial" w:cs="Arial"/>
                <w:color w:val="000000"/>
                <w:sz w:val="16"/>
                <w:szCs w:val="16"/>
              </w:rPr>
            </w:pPr>
            <w:r w:rsidRPr="004863F3">
              <w:rPr>
                <w:rFonts w:ascii="Arial" w:hAnsi="Arial" w:cs="Arial"/>
                <w:color w:val="000000"/>
                <w:sz w:val="16"/>
                <w:szCs w:val="16"/>
              </w:rPr>
              <w:t>Textiles, clothing and footwear</w:t>
            </w:r>
          </w:p>
        </w:tc>
        <w:tc>
          <w:tcPr>
            <w:tcW w:w="1021" w:type="pct"/>
            <w:tcBorders>
              <w:top w:val="nil"/>
              <w:left w:val="nil"/>
              <w:bottom w:val="nil"/>
              <w:right w:val="nil"/>
            </w:tcBorders>
            <w:shd w:val="clear" w:color="000000" w:fill="FFFFFF"/>
            <w:noWrap/>
            <w:vAlign w:val="center"/>
            <w:hideMark/>
          </w:tcPr>
          <w:p w14:paraId="672FAAA6"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160</w:t>
            </w:r>
          </w:p>
        </w:tc>
        <w:tc>
          <w:tcPr>
            <w:tcW w:w="716" w:type="pct"/>
            <w:tcBorders>
              <w:top w:val="nil"/>
              <w:left w:val="nil"/>
              <w:bottom w:val="nil"/>
              <w:right w:val="nil"/>
            </w:tcBorders>
            <w:shd w:val="clear" w:color="000000" w:fill="E6F2FF"/>
            <w:noWrap/>
            <w:vAlign w:val="center"/>
            <w:hideMark/>
          </w:tcPr>
          <w:p w14:paraId="2AB298FE"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153</w:t>
            </w:r>
          </w:p>
        </w:tc>
        <w:tc>
          <w:tcPr>
            <w:tcW w:w="919" w:type="pct"/>
            <w:tcBorders>
              <w:top w:val="nil"/>
              <w:left w:val="nil"/>
              <w:bottom w:val="nil"/>
              <w:right w:val="nil"/>
            </w:tcBorders>
            <w:shd w:val="clear" w:color="000000" w:fill="FFFFFF"/>
            <w:noWrap/>
            <w:vAlign w:val="center"/>
            <w:hideMark/>
          </w:tcPr>
          <w:p w14:paraId="20A41753" w14:textId="54FC6459"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7</w:t>
            </w:r>
          </w:p>
        </w:tc>
      </w:tr>
      <w:tr w:rsidR="00E63ECB" w:rsidRPr="004863F3" w14:paraId="50F6D6D6"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20EA2E64" w14:textId="77777777" w:rsidR="00E63ECB" w:rsidRPr="004863F3" w:rsidRDefault="00E63ECB" w:rsidP="00E63ECB">
            <w:pPr>
              <w:spacing w:before="0" w:after="0" w:line="240" w:lineRule="auto"/>
              <w:ind w:left="340"/>
              <w:rPr>
                <w:rFonts w:ascii="Arial" w:hAnsi="Arial" w:cs="Arial"/>
                <w:color w:val="000000"/>
                <w:sz w:val="16"/>
                <w:szCs w:val="16"/>
              </w:rPr>
            </w:pPr>
            <w:r w:rsidRPr="004863F3">
              <w:rPr>
                <w:rFonts w:ascii="Arial" w:hAnsi="Arial" w:cs="Arial"/>
                <w:color w:val="000000"/>
                <w:sz w:val="16"/>
                <w:szCs w:val="16"/>
              </w:rPr>
              <w:t>Passenger motor vehicles</w:t>
            </w:r>
          </w:p>
        </w:tc>
        <w:tc>
          <w:tcPr>
            <w:tcW w:w="1021" w:type="pct"/>
            <w:tcBorders>
              <w:top w:val="nil"/>
              <w:left w:val="nil"/>
              <w:bottom w:val="nil"/>
              <w:right w:val="nil"/>
            </w:tcBorders>
            <w:shd w:val="clear" w:color="000000" w:fill="FFFFFF"/>
            <w:noWrap/>
            <w:vAlign w:val="center"/>
            <w:hideMark/>
          </w:tcPr>
          <w:p w14:paraId="530270F8"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380</w:t>
            </w:r>
          </w:p>
        </w:tc>
        <w:tc>
          <w:tcPr>
            <w:tcW w:w="716" w:type="pct"/>
            <w:tcBorders>
              <w:top w:val="nil"/>
              <w:left w:val="nil"/>
              <w:bottom w:val="nil"/>
              <w:right w:val="nil"/>
            </w:tcBorders>
            <w:shd w:val="clear" w:color="000000" w:fill="E6F2FF"/>
            <w:noWrap/>
            <w:vAlign w:val="center"/>
            <w:hideMark/>
          </w:tcPr>
          <w:p w14:paraId="1FB4AE3E"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339</w:t>
            </w:r>
          </w:p>
        </w:tc>
        <w:tc>
          <w:tcPr>
            <w:tcW w:w="919" w:type="pct"/>
            <w:tcBorders>
              <w:top w:val="nil"/>
              <w:left w:val="nil"/>
              <w:bottom w:val="nil"/>
              <w:right w:val="nil"/>
            </w:tcBorders>
            <w:shd w:val="clear" w:color="000000" w:fill="FFFFFF"/>
            <w:noWrap/>
            <w:vAlign w:val="center"/>
            <w:hideMark/>
          </w:tcPr>
          <w:p w14:paraId="718D3352" w14:textId="01D527BF"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41</w:t>
            </w:r>
          </w:p>
        </w:tc>
      </w:tr>
      <w:tr w:rsidR="00E63ECB" w:rsidRPr="004863F3" w14:paraId="33C3323A"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289CA7EF" w14:textId="77777777" w:rsidR="00E63ECB" w:rsidRPr="004863F3" w:rsidRDefault="00E63ECB" w:rsidP="00E63ECB">
            <w:pPr>
              <w:spacing w:before="0" w:after="0" w:line="240" w:lineRule="auto"/>
              <w:ind w:left="340"/>
              <w:rPr>
                <w:rFonts w:ascii="Arial" w:hAnsi="Arial" w:cs="Arial"/>
                <w:color w:val="000000"/>
                <w:sz w:val="16"/>
                <w:szCs w:val="16"/>
              </w:rPr>
            </w:pPr>
            <w:r w:rsidRPr="004863F3">
              <w:rPr>
                <w:rFonts w:ascii="Arial" w:hAnsi="Arial" w:cs="Arial"/>
                <w:color w:val="000000"/>
                <w:sz w:val="16"/>
                <w:szCs w:val="16"/>
              </w:rPr>
              <w:t>Other imports</w:t>
            </w:r>
          </w:p>
        </w:tc>
        <w:tc>
          <w:tcPr>
            <w:tcW w:w="1021" w:type="pct"/>
            <w:tcBorders>
              <w:top w:val="nil"/>
              <w:left w:val="nil"/>
              <w:bottom w:val="nil"/>
              <w:right w:val="nil"/>
            </w:tcBorders>
            <w:shd w:val="clear" w:color="000000" w:fill="FFFFFF"/>
            <w:noWrap/>
            <w:vAlign w:val="center"/>
            <w:hideMark/>
          </w:tcPr>
          <w:p w14:paraId="1CE34DA6"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1,560</w:t>
            </w:r>
          </w:p>
        </w:tc>
        <w:tc>
          <w:tcPr>
            <w:tcW w:w="716" w:type="pct"/>
            <w:tcBorders>
              <w:top w:val="nil"/>
              <w:left w:val="nil"/>
              <w:bottom w:val="nil"/>
              <w:right w:val="nil"/>
            </w:tcBorders>
            <w:shd w:val="clear" w:color="000000" w:fill="E6F2FF"/>
            <w:noWrap/>
            <w:vAlign w:val="center"/>
            <w:hideMark/>
          </w:tcPr>
          <w:p w14:paraId="57269A44"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1,504</w:t>
            </w:r>
          </w:p>
        </w:tc>
        <w:tc>
          <w:tcPr>
            <w:tcW w:w="919" w:type="pct"/>
            <w:tcBorders>
              <w:top w:val="nil"/>
              <w:left w:val="nil"/>
              <w:bottom w:val="nil"/>
              <w:right w:val="nil"/>
            </w:tcBorders>
            <w:shd w:val="clear" w:color="000000" w:fill="FFFFFF"/>
            <w:noWrap/>
            <w:vAlign w:val="center"/>
            <w:hideMark/>
          </w:tcPr>
          <w:p w14:paraId="7EF90F0C" w14:textId="049FC0A6"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56</w:t>
            </w:r>
          </w:p>
        </w:tc>
      </w:tr>
      <w:tr w:rsidR="00E63ECB" w:rsidRPr="004863F3" w14:paraId="1F31DF58"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626AA014" w14:textId="77777777" w:rsidR="00E63ECB" w:rsidRPr="004863F3" w:rsidRDefault="00E63ECB" w:rsidP="00E63ECB">
            <w:pPr>
              <w:spacing w:before="0" w:after="0" w:line="240" w:lineRule="auto"/>
              <w:ind w:left="170"/>
              <w:rPr>
                <w:rFonts w:ascii="Arial" w:hAnsi="Arial" w:cs="Arial"/>
                <w:i/>
                <w:iCs/>
                <w:color w:val="000000"/>
                <w:sz w:val="16"/>
                <w:szCs w:val="16"/>
              </w:rPr>
            </w:pPr>
            <w:r w:rsidRPr="004863F3">
              <w:rPr>
                <w:rFonts w:ascii="Arial" w:hAnsi="Arial" w:cs="Arial"/>
                <w:i/>
                <w:iCs/>
                <w:color w:val="000000"/>
                <w:sz w:val="16"/>
                <w:szCs w:val="16"/>
              </w:rPr>
              <w:t xml:space="preserve">less: </w:t>
            </w:r>
            <w:r w:rsidRPr="004863F3">
              <w:rPr>
                <w:rFonts w:ascii="Arial" w:hAnsi="Arial" w:cs="Arial"/>
                <w:color w:val="000000"/>
                <w:sz w:val="16"/>
                <w:szCs w:val="16"/>
              </w:rPr>
              <w:t>Refunds and drawbacks</w:t>
            </w:r>
          </w:p>
        </w:tc>
        <w:tc>
          <w:tcPr>
            <w:tcW w:w="1021" w:type="pct"/>
            <w:tcBorders>
              <w:top w:val="nil"/>
              <w:left w:val="nil"/>
              <w:bottom w:val="single" w:sz="4" w:space="0" w:color="293F5B"/>
              <w:right w:val="nil"/>
            </w:tcBorders>
            <w:shd w:val="clear" w:color="000000" w:fill="FFFFFF"/>
            <w:noWrap/>
            <w:vAlign w:val="center"/>
            <w:hideMark/>
          </w:tcPr>
          <w:p w14:paraId="2F8C0445"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870</w:t>
            </w:r>
          </w:p>
        </w:tc>
        <w:tc>
          <w:tcPr>
            <w:tcW w:w="716" w:type="pct"/>
            <w:tcBorders>
              <w:top w:val="nil"/>
              <w:left w:val="nil"/>
              <w:bottom w:val="single" w:sz="4" w:space="0" w:color="293F5B"/>
              <w:right w:val="nil"/>
            </w:tcBorders>
            <w:shd w:val="clear" w:color="000000" w:fill="E6F2FF"/>
            <w:noWrap/>
            <w:vAlign w:val="center"/>
            <w:hideMark/>
          </w:tcPr>
          <w:p w14:paraId="298C9F36"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711</w:t>
            </w:r>
          </w:p>
        </w:tc>
        <w:tc>
          <w:tcPr>
            <w:tcW w:w="919" w:type="pct"/>
            <w:tcBorders>
              <w:top w:val="nil"/>
              <w:left w:val="nil"/>
              <w:bottom w:val="single" w:sz="4" w:space="0" w:color="293F5B"/>
              <w:right w:val="nil"/>
            </w:tcBorders>
            <w:shd w:val="clear" w:color="000000" w:fill="FFFFFF"/>
            <w:noWrap/>
            <w:vAlign w:val="center"/>
            <w:hideMark/>
          </w:tcPr>
          <w:p w14:paraId="12C4B3C9" w14:textId="6012B755"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159</w:t>
            </w:r>
          </w:p>
        </w:tc>
      </w:tr>
      <w:tr w:rsidR="00E63ECB" w:rsidRPr="004863F3" w14:paraId="7CBBB605"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5751E4B8"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Total excise and customs duty</w:t>
            </w:r>
          </w:p>
        </w:tc>
        <w:tc>
          <w:tcPr>
            <w:tcW w:w="1021" w:type="pct"/>
            <w:tcBorders>
              <w:top w:val="nil"/>
              <w:left w:val="nil"/>
              <w:bottom w:val="nil"/>
              <w:right w:val="nil"/>
            </w:tcBorders>
            <w:noWrap/>
            <w:vAlign w:val="bottom"/>
            <w:hideMark/>
          </w:tcPr>
          <w:p w14:paraId="7BC0580F"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43,110</w:t>
            </w:r>
          </w:p>
        </w:tc>
        <w:tc>
          <w:tcPr>
            <w:tcW w:w="716" w:type="pct"/>
            <w:tcBorders>
              <w:top w:val="nil"/>
              <w:left w:val="nil"/>
              <w:bottom w:val="nil"/>
              <w:right w:val="nil"/>
            </w:tcBorders>
            <w:shd w:val="clear" w:color="000000" w:fill="E6F2FF"/>
            <w:noWrap/>
            <w:vAlign w:val="center"/>
            <w:hideMark/>
          </w:tcPr>
          <w:p w14:paraId="1CFF22E6"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43,188</w:t>
            </w:r>
          </w:p>
        </w:tc>
        <w:tc>
          <w:tcPr>
            <w:tcW w:w="919" w:type="pct"/>
            <w:tcBorders>
              <w:top w:val="nil"/>
              <w:left w:val="nil"/>
              <w:bottom w:val="nil"/>
              <w:right w:val="nil"/>
            </w:tcBorders>
            <w:shd w:val="clear" w:color="000000" w:fill="FFFFFF"/>
            <w:noWrap/>
            <w:vAlign w:val="center"/>
            <w:hideMark/>
          </w:tcPr>
          <w:p w14:paraId="02EA9751"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78</w:t>
            </w:r>
          </w:p>
        </w:tc>
      </w:tr>
      <w:tr w:rsidR="00E63ECB" w:rsidRPr="004863F3" w14:paraId="4243D9F7"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4842D57B"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Major bank levy</w:t>
            </w:r>
          </w:p>
        </w:tc>
        <w:tc>
          <w:tcPr>
            <w:tcW w:w="1021" w:type="pct"/>
            <w:tcBorders>
              <w:top w:val="nil"/>
              <w:left w:val="nil"/>
              <w:bottom w:val="nil"/>
              <w:right w:val="nil"/>
            </w:tcBorders>
            <w:shd w:val="clear" w:color="000000" w:fill="FFFFFF"/>
            <w:noWrap/>
            <w:vAlign w:val="center"/>
            <w:hideMark/>
          </w:tcPr>
          <w:p w14:paraId="47049D3C"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1,770</w:t>
            </w:r>
          </w:p>
        </w:tc>
        <w:tc>
          <w:tcPr>
            <w:tcW w:w="716" w:type="pct"/>
            <w:tcBorders>
              <w:top w:val="nil"/>
              <w:left w:val="nil"/>
              <w:bottom w:val="nil"/>
              <w:right w:val="nil"/>
            </w:tcBorders>
            <w:shd w:val="clear" w:color="000000" w:fill="E6F2FF"/>
            <w:noWrap/>
            <w:vAlign w:val="center"/>
            <w:hideMark/>
          </w:tcPr>
          <w:p w14:paraId="1710E090"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1,768</w:t>
            </w:r>
          </w:p>
        </w:tc>
        <w:tc>
          <w:tcPr>
            <w:tcW w:w="919" w:type="pct"/>
            <w:tcBorders>
              <w:top w:val="nil"/>
              <w:left w:val="nil"/>
              <w:bottom w:val="nil"/>
              <w:right w:val="nil"/>
            </w:tcBorders>
            <w:shd w:val="clear" w:color="000000" w:fill="FFFFFF"/>
            <w:noWrap/>
            <w:vAlign w:val="center"/>
            <w:hideMark/>
          </w:tcPr>
          <w:p w14:paraId="7D83BF03" w14:textId="0ACEF723"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2</w:t>
            </w:r>
          </w:p>
        </w:tc>
      </w:tr>
      <w:tr w:rsidR="00E63ECB" w:rsidRPr="004863F3" w14:paraId="15153ADB"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400DA695"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Agricultural levies</w:t>
            </w:r>
          </w:p>
        </w:tc>
        <w:tc>
          <w:tcPr>
            <w:tcW w:w="1021" w:type="pct"/>
            <w:tcBorders>
              <w:top w:val="nil"/>
              <w:left w:val="nil"/>
              <w:bottom w:val="nil"/>
              <w:right w:val="nil"/>
            </w:tcBorders>
            <w:shd w:val="clear" w:color="000000" w:fill="FFFFFF"/>
            <w:noWrap/>
            <w:vAlign w:val="center"/>
            <w:hideMark/>
          </w:tcPr>
          <w:p w14:paraId="66BC7167"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735</w:t>
            </w:r>
          </w:p>
        </w:tc>
        <w:tc>
          <w:tcPr>
            <w:tcW w:w="716" w:type="pct"/>
            <w:tcBorders>
              <w:top w:val="nil"/>
              <w:left w:val="nil"/>
              <w:bottom w:val="nil"/>
              <w:right w:val="nil"/>
            </w:tcBorders>
            <w:shd w:val="clear" w:color="000000" w:fill="E6F2FF"/>
            <w:noWrap/>
            <w:vAlign w:val="center"/>
            <w:hideMark/>
          </w:tcPr>
          <w:p w14:paraId="66575D00"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664</w:t>
            </w:r>
          </w:p>
        </w:tc>
        <w:tc>
          <w:tcPr>
            <w:tcW w:w="919" w:type="pct"/>
            <w:tcBorders>
              <w:top w:val="nil"/>
              <w:left w:val="nil"/>
              <w:bottom w:val="nil"/>
              <w:right w:val="nil"/>
            </w:tcBorders>
            <w:shd w:val="clear" w:color="000000" w:fill="FFFFFF"/>
            <w:noWrap/>
            <w:vAlign w:val="center"/>
            <w:hideMark/>
          </w:tcPr>
          <w:p w14:paraId="4097A802" w14:textId="2CCD3D8F"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70</w:t>
            </w:r>
          </w:p>
        </w:tc>
      </w:tr>
      <w:tr w:rsidR="00E63ECB" w:rsidRPr="004863F3" w14:paraId="493B69E6"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6A7FAD23"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Visa application charges</w:t>
            </w:r>
          </w:p>
        </w:tc>
        <w:tc>
          <w:tcPr>
            <w:tcW w:w="1021" w:type="pct"/>
            <w:tcBorders>
              <w:top w:val="nil"/>
              <w:left w:val="nil"/>
              <w:bottom w:val="nil"/>
              <w:right w:val="nil"/>
            </w:tcBorders>
            <w:shd w:val="clear" w:color="000000" w:fill="FFFFFF"/>
            <w:noWrap/>
            <w:vAlign w:val="center"/>
            <w:hideMark/>
          </w:tcPr>
          <w:p w14:paraId="3F21FFCA"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4,129</w:t>
            </w:r>
          </w:p>
        </w:tc>
        <w:tc>
          <w:tcPr>
            <w:tcW w:w="716" w:type="pct"/>
            <w:tcBorders>
              <w:top w:val="nil"/>
              <w:left w:val="nil"/>
              <w:bottom w:val="nil"/>
              <w:right w:val="nil"/>
            </w:tcBorders>
            <w:shd w:val="clear" w:color="000000" w:fill="E6F2FF"/>
            <w:noWrap/>
            <w:vAlign w:val="center"/>
            <w:hideMark/>
          </w:tcPr>
          <w:p w14:paraId="165ECDB0"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4,154</w:t>
            </w:r>
          </w:p>
        </w:tc>
        <w:tc>
          <w:tcPr>
            <w:tcW w:w="919" w:type="pct"/>
            <w:tcBorders>
              <w:top w:val="nil"/>
              <w:left w:val="nil"/>
              <w:bottom w:val="nil"/>
              <w:right w:val="nil"/>
            </w:tcBorders>
            <w:shd w:val="clear" w:color="000000" w:fill="FFFFFF"/>
            <w:noWrap/>
            <w:vAlign w:val="center"/>
            <w:hideMark/>
          </w:tcPr>
          <w:p w14:paraId="4E05A297"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26</w:t>
            </w:r>
          </w:p>
        </w:tc>
      </w:tr>
      <w:tr w:rsidR="00E63ECB" w:rsidRPr="004863F3" w14:paraId="07840C52"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075A7DBE"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Other taxes</w:t>
            </w:r>
          </w:p>
        </w:tc>
        <w:tc>
          <w:tcPr>
            <w:tcW w:w="1021" w:type="pct"/>
            <w:tcBorders>
              <w:top w:val="nil"/>
              <w:left w:val="nil"/>
              <w:bottom w:val="nil"/>
              <w:right w:val="nil"/>
            </w:tcBorders>
            <w:shd w:val="clear" w:color="000000" w:fill="FFFFFF"/>
            <w:noWrap/>
            <w:vAlign w:val="center"/>
            <w:hideMark/>
          </w:tcPr>
          <w:p w14:paraId="359685B1"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6,209</w:t>
            </w:r>
          </w:p>
        </w:tc>
        <w:tc>
          <w:tcPr>
            <w:tcW w:w="716" w:type="pct"/>
            <w:tcBorders>
              <w:top w:val="nil"/>
              <w:left w:val="nil"/>
              <w:bottom w:val="nil"/>
              <w:right w:val="nil"/>
            </w:tcBorders>
            <w:shd w:val="clear" w:color="000000" w:fill="E6F2FF"/>
            <w:noWrap/>
            <w:vAlign w:val="center"/>
            <w:hideMark/>
          </w:tcPr>
          <w:p w14:paraId="6A939C75"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6,403</w:t>
            </w:r>
          </w:p>
        </w:tc>
        <w:tc>
          <w:tcPr>
            <w:tcW w:w="919" w:type="pct"/>
            <w:tcBorders>
              <w:top w:val="nil"/>
              <w:left w:val="nil"/>
              <w:bottom w:val="nil"/>
              <w:right w:val="nil"/>
            </w:tcBorders>
            <w:shd w:val="clear" w:color="000000" w:fill="FFFFFF"/>
            <w:noWrap/>
            <w:vAlign w:val="center"/>
            <w:hideMark/>
          </w:tcPr>
          <w:p w14:paraId="3BE62772"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195</w:t>
            </w:r>
          </w:p>
        </w:tc>
      </w:tr>
      <w:tr w:rsidR="00E63ECB" w:rsidRPr="004863F3" w14:paraId="0317DADD"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6FD95956" w14:textId="77777777" w:rsidR="00E63ECB" w:rsidRPr="004863F3" w:rsidRDefault="00E63ECB" w:rsidP="00E63EC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Indirect taxation receipts</w:t>
            </w:r>
          </w:p>
        </w:tc>
        <w:tc>
          <w:tcPr>
            <w:tcW w:w="1021" w:type="pct"/>
            <w:tcBorders>
              <w:top w:val="single" w:sz="4" w:space="0" w:color="293F5B"/>
              <w:left w:val="nil"/>
              <w:bottom w:val="single" w:sz="4" w:space="0" w:color="293F5B"/>
              <w:right w:val="nil"/>
            </w:tcBorders>
            <w:shd w:val="clear" w:color="000000" w:fill="FFFFFF"/>
            <w:noWrap/>
            <w:vAlign w:val="center"/>
            <w:hideMark/>
          </w:tcPr>
          <w:p w14:paraId="00453740"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147,632</w:t>
            </w:r>
          </w:p>
        </w:tc>
        <w:tc>
          <w:tcPr>
            <w:tcW w:w="716" w:type="pct"/>
            <w:tcBorders>
              <w:top w:val="single" w:sz="4" w:space="0" w:color="293F5B"/>
              <w:left w:val="nil"/>
              <w:bottom w:val="single" w:sz="4" w:space="0" w:color="293F5B"/>
              <w:right w:val="nil"/>
            </w:tcBorders>
            <w:shd w:val="clear" w:color="000000" w:fill="E6F2FF"/>
            <w:noWrap/>
            <w:vAlign w:val="center"/>
            <w:hideMark/>
          </w:tcPr>
          <w:p w14:paraId="7A65413A"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148,723</w:t>
            </w:r>
          </w:p>
        </w:tc>
        <w:tc>
          <w:tcPr>
            <w:tcW w:w="919" w:type="pct"/>
            <w:tcBorders>
              <w:top w:val="single" w:sz="4" w:space="0" w:color="293F5B"/>
              <w:left w:val="nil"/>
              <w:bottom w:val="single" w:sz="4" w:space="0" w:color="293F5B"/>
              <w:right w:val="nil"/>
            </w:tcBorders>
            <w:shd w:val="clear" w:color="000000" w:fill="FFFFFF"/>
            <w:noWrap/>
            <w:vAlign w:val="center"/>
            <w:hideMark/>
          </w:tcPr>
          <w:p w14:paraId="19844A01"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1,091</w:t>
            </w:r>
          </w:p>
        </w:tc>
      </w:tr>
      <w:tr w:rsidR="00E63ECB" w:rsidRPr="004863F3" w14:paraId="3F3CCE9E" w14:textId="77777777" w:rsidTr="00E63ECB">
        <w:trPr>
          <w:trHeight w:hRule="exact" w:val="100"/>
        </w:trPr>
        <w:tc>
          <w:tcPr>
            <w:tcW w:w="2344" w:type="pct"/>
            <w:tcBorders>
              <w:top w:val="nil"/>
              <w:left w:val="nil"/>
              <w:bottom w:val="nil"/>
              <w:right w:val="nil"/>
            </w:tcBorders>
            <w:shd w:val="clear" w:color="000000" w:fill="FFFFFF"/>
            <w:noWrap/>
            <w:vAlign w:val="center"/>
            <w:hideMark/>
          </w:tcPr>
          <w:p w14:paraId="4534033D" w14:textId="77777777" w:rsidR="00E63ECB" w:rsidRPr="004863F3" w:rsidRDefault="00E63ECB" w:rsidP="00E63EC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1021" w:type="pct"/>
            <w:tcBorders>
              <w:top w:val="nil"/>
              <w:left w:val="nil"/>
              <w:bottom w:val="nil"/>
              <w:right w:val="nil"/>
            </w:tcBorders>
            <w:shd w:val="clear" w:color="000000" w:fill="FFFFFF"/>
            <w:noWrap/>
            <w:vAlign w:val="center"/>
            <w:hideMark/>
          </w:tcPr>
          <w:p w14:paraId="776D026B"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c>
          <w:tcPr>
            <w:tcW w:w="716" w:type="pct"/>
            <w:tcBorders>
              <w:top w:val="nil"/>
              <w:left w:val="nil"/>
              <w:bottom w:val="nil"/>
              <w:right w:val="nil"/>
            </w:tcBorders>
            <w:shd w:val="clear" w:color="000000" w:fill="E6F2FF"/>
            <w:noWrap/>
            <w:vAlign w:val="center"/>
            <w:hideMark/>
          </w:tcPr>
          <w:p w14:paraId="2C02A9C0"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c>
          <w:tcPr>
            <w:tcW w:w="919" w:type="pct"/>
            <w:tcBorders>
              <w:top w:val="nil"/>
              <w:left w:val="nil"/>
              <w:bottom w:val="nil"/>
              <w:right w:val="nil"/>
            </w:tcBorders>
            <w:shd w:val="clear" w:color="000000" w:fill="FFFFFF"/>
            <w:noWrap/>
            <w:vAlign w:val="center"/>
            <w:hideMark/>
          </w:tcPr>
          <w:p w14:paraId="7D36ED5C"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r>
      <w:tr w:rsidR="00E63ECB" w:rsidRPr="004863F3" w14:paraId="453F7B1C"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1ACF6854" w14:textId="77777777" w:rsidR="00E63ECB" w:rsidRPr="004863F3" w:rsidRDefault="00E63ECB" w:rsidP="00E63EC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Taxation receipts</w:t>
            </w:r>
          </w:p>
        </w:tc>
        <w:tc>
          <w:tcPr>
            <w:tcW w:w="1021" w:type="pct"/>
            <w:tcBorders>
              <w:top w:val="nil"/>
              <w:left w:val="nil"/>
              <w:bottom w:val="single" w:sz="4" w:space="0" w:color="293F5B"/>
              <w:right w:val="nil"/>
            </w:tcBorders>
            <w:shd w:val="clear" w:color="000000" w:fill="FFFFFF"/>
            <w:noWrap/>
            <w:vAlign w:val="center"/>
            <w:hideMark/>
          </w:tcPr>
          <w:p w14:paraId="21E22BB2"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645,242</w:t>
            </w:r>
          </w:p>
        </w:tc>
        <w:tc>
          <w:tcPr>
            <w:tcW w:w="716" w:type="pct"/>
            <w:tcBorders>
              <w:top w:val="nil"/>
              <w:left w:val="nil"/>
              <w:bottom w:val="single" w:sz="4" w:space="0" w:color="293F5B"/>
              <w:right w:val="nil"/>
            </w:tcBorders>
            <w:shd w:val="clear" w:color="000000" w:fill="E6F2FF"/>
            <w:noWrap/>
            <w:vAlign w:val="center"/>
            <w:hideMark/>
          </w:tcPr>
          <w:p w14:paraId="7CB30295"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657,844</w:t>
            </w:r>
          </w:p>
        </w:tc>
        <w:tc>
          <w:tcPr>
            <w:tcW w:w="919" w:type="pct"/>
            <w:tcBorders>
              <w:top w:val="nil"/>
              <w:left w:val="nil"/>
              <w:bottom w:val="single" w:sz="4" w:space="0" w:color="293F5B"/>
              <w:right w:val="nil"/>
            </w:tcBorders>
            <w:shd w:val="clear" w:color="000000" w:fill="FFFFFF"/>
            <w:noWrap/>
            <w:vAlign w:val="center"/>
            <w:hideMark/>
          </w:tcPr>
          <w:p w14:paraId="7A7713CC"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12,602</w:t>
            </w:r>
          </w:p>
        </w:tc>
      </w:tr>
      <w:tr w:rsidR="00E63ECB" w:rsidRPr="004863F3" w14:paraId="2AD00110" w14:textId="77777777" w:rsidTr="00E63ECB">
        <w:trPr>
          <w:trHeight w:hRule="exact" w:val="100"/>
        </w:trPr>
        <w:tc>
          <w:tcPr>
            <w:tcW w:w="2344" w:type="pct"/>
            <w:tcBorders>
              <w:top w:val="nil"/>
              <w:left w:val="nil"/>
              <w:bottom w:val="nil"/>
              <w:right w:val="nil"/>
            </w:tcBorders>
            <w:shd w:val="clear" w:color="000000" w:fill="FFFFFF"/>
            <w:noWrap/>
            <w:vAlign w:val="center"/>
            <w:hideMark/>
          </w:tcPr>
          <w:p w14:paraId="2F62C0B5" w14:textId="77777777" w:rsidR="00E63ECB" w:rsidRPr="004863F3" w:rsidRDefault="00E63ECB" w:rsidP="00E63EC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1021" w:type="pct"/>
            <w:tcBorders>
              <w:top w:val="nil"/>
              <w:left w:val="nil"/>
              <w:bottom w:val="nil"/>
              <w:right w:val="nil"/>
            </w:tcBorders>
            <w:shd w:val="clear" w:color="000000" w:fill="FFFFFF"/>
            <w:noWrap/>
            <w:vAlign w:val="center"/>
            <w:hideMark/>
          </w:tcPr>
          <w:p w14:paraId="7A87A9EE"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c>
          <w:tcPr>
            <w:tcW w:w="716" w:type="pct"/>
            <w:tcBorders>
              <w:top w:val="nil"/>
              <w:left w:val="nil"/>
              <w:bottom w:val="nil"/>
              <w:right w:val="nil"/>
            </w:tcBorders>
            <w:shd w:val="clear" w:color="000000" w:fill="E6F2FF"/>
            <w:noWrap/>
            <w:vAlign w:val="center"/>
            <w:hideMark/>
          </w:tcPr>
          <w:p w14:paraId="418F08EC"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c>
          <w:tcPr>
            <w:tcW w:w="919" w:type="pct"/>
            <w:tcBorders>
              <w:top w:val="nil"/>
              <w:left w:val="nil"/>
              <w:bottom w:val="nil"/>
              <w:right w:val="nil"/>
            </w:tcBorders>
            <w:shd w:val="clear" w:color="000000" w:fill="FFFFFF"/>
            <w:noWrap/>
            <w:vAlign w:val="center"/>
            <w:hideMark/>
          </w:tcPr>
          <w:p w14:paraId="27560A25"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E63ECB" w:rsidRPr="004863F3" w14:paraId="0713E16E"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08C59191"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Sales of goods and services</w:t>
            </w:r>
          </w:p>
        </w:tc>
        <w:tc>
          <w:tcPr>
            <w:tcW w:w="1021" w:type="pct"/>
            <w:tcBorders>
              <w:top w:val="nil"/>
              <w:left w:val="nil"/>
              <w:bottom w:val="nil"/>
              <w:right w:val="nil"/>
            </w:tcBorders>
            <w:shd w:val="clear" w:color="000000" w:fill="FFFFFF"/>
            <w:noWrap/>
            <w:vAlign w:val="center"/>
            <w:hideMark/>
          </w:tcPr>
          <w:p w14:paraId="1E6E177B"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21,796</w:t>
            </w:r>
          </w:p>
        </w:tc>
        <w:tc>
          <w:tcPr>
            <w:tcW w:w="716" w:type="pct"/>
            <w:tcBorders>
              <w:top w:val="nil"/>
              <w:left w:val="nil"/>
              <w:bottom w:val="nil"/>
              <w:right w:val="nil"/>
            </w:tcBorders>
            <w:shd w:val="clear" w:color="000000" w:fill="E6F2FF"/>
            <w:noWrap/>
            <w:vAlign w:val="center"/>
            <w:hideMark/>
          </w:tcPr>
          <w:p w14:paraId="00879F2E"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22,024</w:t>
            </w:r>
          </w:p>
        </w:tc>
        <w:tc>
          <w:tcPr>
            <w:tcW w:w="919" w:type="pct"/>
            <w:tcBorders>
              <w:top w:val="nil"/>
              <w:left w:val="nil"/>
              <w:bottom w:val="nil"/>
              <w:right w:val="nil"/>
            </w:tcBorders>
            <w:shd w:val="clear" w:color="000000" w:fill="FFFFFF"/>
            <w:noWrap/>
            <w:vAlign w:val="center"/>
            <w:hideMark/>
          </w:tcPr>
          <w:p w14:paraId="6DF264DA"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228</w:t>
            </w:r>
          </w:p>
        </w:tc>
      </w:tr>
      <w:tr w:rsidR="00E63ECB" w:rsidRPr="004863F3" w14:paraId="7B5C2A33"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20BBFD13"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Interest received</w:t>
            </w:r>
          </w:p>
        </w:tc>
        <w:tc>
          <w:tcPr>
            <w:tcW w:w="1021" w:type="pct"/>
            <w:tcBorders>
              <w:top w:val="nil"/>
              <w:left w:val="nil"/>
              <w:bottom w:val="nil"/>
              <w:right w:val="nil"/>
            </w:tcBorders>
            <w:shd w:val="clear" w:color="000000" w:fill="FFFFFF"/>
            <w:noWrap/>
            <w:vAlign w:val="center"/>
            <w:hideMark/>
          </w:tcPr>
          <w:p w14:paraId="66E879A6"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9,520</w:t>
            </w:r>
          </w:p>
        </w:tc>
        <w:tc>
          <w:tcPr>
            <w:tcW w:w="716" w:type="pct"/>
            <w:tcBorders>
              <w:top w:val="nil"/>
              <w:left w:val="nil"/>
              <w:bottom w:val="nil"/>
              <w:right w:val="nil"/>
            </w:tcBorders>
            <w:shd w:val="clear" w:color="000000" w:fill="E6F2FF"/>
            <w:noWrap/>
            <w:vAlign w:val="center"/>
            <w:hideMark/>
          </w:tcPr>
          <w:p w14:paraId="7F8FB489"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10,545</w:t>
            </w:r>
          </w:p>
        </w:tc>
        <w:tc>
          <w:tcPr>
            <w:tcW w:w="919" w:type="pct"/>
            <w:tcBorders>
              <w:top w:val="nil"/>
              <w:left w:val="nil"/>
              <w:bottom w:val="nil"/>
              <w:right w:val="nil"/>
            </w:tcBorders>
            <w:shd w:val="clear" w:color="000000" w:fill="FFFFFF"/>
            <w:noWrap/>
            <w:vAlign w:val="center"/>
            <w:hideMark/>
          </w:tcPr>
          <w:p w14:paraId="470DE6CD"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1,026</w:t>
            </w:r>
          </w:p>
        </w:tc>
      </w:tr>
      <w:tr w:rsidR="00E63ECB" w:rsidRPr="004863F3" w14:paraId="5B13BF1F"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19CBDDAA" w14:textId="77777777"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Dividends and distributions</w:t>
            </w:r>
          </w:p>
        </w:tc>
        <w:tc>
          <w:tcPr>
            <w:tcW w:w="1021" w:type="pct"/>
            <w:tcBorders>
              <w:top w:val="nil"/>
              <w:left w:val="nil"/>
              <w:bottom w:val="nil"/>
              <w:right w:val="nil"/>
            </w:tcBorders>
            <w:shd w:val="clear" w:color="000000" w:fill="FFFFFF"/>
            <w:noWrap/>
            <w:vAlign w:val="center"/>
            <w:hideMark/>
          </w:tcPr>
          <w:p w14:paraId="3D039567"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7,380</w:t>
            </w:r>
          </w:p>
        </w:tc>
        <w:tc>
          <w:tcPr>
            <w:tcW w:w="716" w:type="pct"/>
            <w:tcBorders>
              <w:top w:val="nil"/>
              <w:left w:val="nil"/>
              <w:bottom w:val="nil"/>
              <w:right w:val="nil"/>
            </w:tcBorders>
            <w:shd w:val="clear" w:color="000000" w:fill="E6F2FF"/>
            <w:noWrap/>
            <w:vAlign w:val="center"/>
            <w:hideMark/>
          </w:tcPr>
          <w:p w14:paraId="4D8777AB"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7,262</w:t>
            </w:r>
          </w:p>
        </w:tc>
        <w:tc>
          <w:tcPr>
            <w:tcW w:w="919" w:type="pct"/>
            <w:tcBorders>
              <w:top w:val="nil"/>
              <w:left w:val="nil"/>
              <w:bottom w:val="nil"/>
              <w:right w:val="nil"/>
            </w:tcBorders>
            <w:shd w:val="clear" w:color="000000" w:fill="FFFFFF"/>
            <w:noWrap/>
            <w:vAlign w:val="center"/>
            <w:hideMark/>
          </w:tcPr>
          <w:p w14:paraId="6106C07F" w14:textId="42CCCD43"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119</w:t>
            </w:r>
          </w:p>
        </w:tc>
      </w:tr>
      <w:tr w:rsidR="00E63ECB" w:rsidRPr="004863F3" w14:paraId="2ECC2C0F"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1F97F330" w14:textId="723735CF" w:rsidR="00E63ECB" w:rsidRPr="004863F3" w:rsidRDefault="00E63ECB" w:rsidP="00E63ECB">
            <w:pPr>
              <w:spacing w:before="0" w:after="0" w:line="240" w:lineRule="auto"/>
              <w:rPr>
                <w:rFonts w:ascii="Arial" w:hAnsi="Arial" w:cs="Arial"/>
                <w:color w:val="000000"/>
                <w:sz w:val="16"/>
                <w:szCs w:val="16"/>
              </w:rPr>
            </w:pPr>
            <w:r w:rsidRPr="004863F3">
              <w:rPr>
                <w:rFonts w:ascii="Arial" w:hAnsi="Arial" w:cs="Arial"/>
                <w:color w:val="000000"/>
                <w:sz w:val="16"/>
                <w:szCs w:val="16"/>
              </w:rPr>
              <w:t>Other non</w:t>
            </w:r>
            <w:r w:rsidR="001E171F" w:rsidRPr="004863F3">
              <w:rPr>
                <w:rFonts w:ascii="Arial" w:hAnsi="Arial" w:cs="Arial"/>
                <w:color w:val="000000"/>
                <w:sz w:val="16"/>
                <w:szCs w:val="16"/>
              </w:rPr>
              <w:noBreakHyphen/>
            </w:r>
            <w:r w:rsidRPr="004863F3">
              <w:rPr>
                <w:rFonts w:ascii="Arial" w:hAnsi="Arial" w:cs="Arial"/>
                <w:color w:val="000000"/>
                <w:sz w:val="16"/>
                <w:szCs w:val="16"/>
              </w:rPr>
              <w:t>taxation receipts</w:t>
            </w:r>
          </w:p>
        </w:tc>
        <w:tc>
          <w:tcPr>
            <w:tcW w:w="1021" w:type="pct"/>
            <w:tcBorders>
              <w:top w:val="nil"/>
              <w:left w:val="nil"/>
              <w:bottom w:val="nil"/>
              <w:right w:val="nil"/>
            </w:tcBorders>
            <w:shd w:val="clear" w:color="000000" w:fill="FFFFFF"/>
            <w:noWrap/>
            <w:vAlign w:val="center"/>
            <w:hideMark/>
          </w:tcPr>
          <w:p w14:paraId="235933A2"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19,984</w:t>
            </w:r>
          </w:p>
        </w:tc>
        <w:tc>
          <w:tcPr>
            <w:tcW w:w="716" w:type="pct"/>
            <w:tcBorders>
              <w:top w:val="nil"/>
              <w:left w:val="nil"/>
              <w:bottom w:val="nil"/>
              <w:right w:val="nil"/>
            </w:tcBorders>
            <w:shd w:val="clear" w:color="000000" w:fill="E6F2FF"/>
            <w:noWrap/>
            <w:vAlign w:val="center"/>
            <w:hideMark/>
          </w:tcPr>
          <w:p w14:paraId="301E945C"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19,277</w:t>
            </w:r>
          </w:p>
        </w:tc>
        <w:tc>
          <w:tcPr>
            <w:tcW w:w="919" w:type="pct"/>
            <w:tcBorders>
              <w:top w:val="nil"/>
              <w:left w:val="nil"/>
              <w:bottom w:val="nil"/>
              <w:right w:val="nil"/>
            </w:tcBorders>
            <w:shd w:val="clear" w:color="000000" w:fill="FFFFFF"/>
            <w:noWrap/>
            <w:vAlign w:val="center"/>
            <w:hideMark/>
          </w:tcPr>
          <w:p w14:paraId="202E6457" w14:textId="7D8B2C93" w:rsidR="00E63ECB" w:rsidRPr="004863F3" w:rsidRDefault="001E171F"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63ECB" w:rsidRPr="004863F3">
              <w:rPr>
                <w:rFonts w:ascii="Arial" w:hAnsi="Arial" w:cs="Arial"/>
                <w:color w:val="000000"/>
                <w:sz w:val="16"/>
                <w:szCs w:val="16"/>
              </w:rPr>
              <w:t>707</w:t>
            </w:r>
          </w:p>
        </w:tc>
      </w:tr>
      <w:tr w:rsidR="00E63ECB" w:rsidRPr="004863F3" w14:paraId="4DE747C4"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69C2F5BE" w14:textId="4FC8C1B5" w:rsidR="00E63ECB" w:rsidRPr="004863F3" w:rsidRDefault="00E63ECB" w:rsidP="00E63EC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Non</w:t>
            </w:r>
            <w:r w:rsidR="001E171F" w:rsidRPr="004863F3">
              <w:rPr>
                <w:rFonts w:ascii="Arial" w:hAnsi="Arial" w:cs="Arial"/>
                <w:b/>
                <w:bCs/>
                <w:color w:val="000000"/>
                <w:sz w:val="16"/>
                <w:szCs w:val="16"/>
              </w:rPr>
              <w:noBreakHyphen/>
            </w:r>
            <w:r w:rsidRPr="004863F3">
              <w:rPr>
                <w:rFonts w:ascii="Arial" w:hAnsi="Arial" w:cs="Arial"/>
                <w:b/>
                <w:bCs/>
                <w:color w:val="000000"/>
                <w:sz w:val="16"/>
                <w:szCs w:val="16"/>
              </w:rPr>
              <w:t>taxation receipts</w:t>
            </w:r>
          </w:p>
        </w:tc>
        <w:tc>
          <w:tcPr>
            <w:tcW w:w="1021" w:type="pct"/>
            <w:tcBorders>
              <w:top w:val="single" w:sz="4" w:space="0" w:color="293F5B"/>
              <w:left w:val="nil"/>
              <w:bottom w:val="single" w:sz="4" w:space="0" w:color="293F5B"/>
              <w:right w:val="nil"/>
            </w:tcBorders>
            <w:shd w:val="clear" w:color="000000" w:fill="FFFFFF"/>
            <w:noWrap/>
            <w:vAlign w:val="center"/>
            <w:hideMark/>
          </w:tcPr>
          <w:p w14:paraId="775A5FFF"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58,680</w:t>
            </w:r>
          </w:p>
        </w:tc>
        <w:tc>
          <w:tcPr>
            <w:tcW w:w="716" w:type="pct"/>
            <w:tcBorders>
              <w:top w:val="single" w:sz="4" w:space="0" w:color="293F5B"/>
              <w:left w:val="nil"/>
              <w:bottom w:val="single" w:sz="4" w:space="0" w:color="293F5B"/>
              <w:right w:val="nil"/>
            </w:tcBorders>
            <w:shd w:val="clear" w:color="000000" w:fill="E6F2FF"/>
            <w:noWrap/>
            <w:vAlign w:val="center"/>
            <w:hideMark/>
          </w:tcPr>
          <w:p w14:paraId="6121C201"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59,107</w:t>
            </w:r>
          </w:p>
        </w:tc>
        <w:tc>
          <w:tcPr>
            <w:tcW w:w="919" w:type="pct"/>
            <w:tcBorders>
              <w:top w:val="single" w:sz="4" w:space="0" w:color="293F5B"/>
              <w:left w:val="nil"/>
              <w:bottom w:val="single" w:sz="4" w:space="0" w:color="293F5B"/>
              <w:right w:val="nil"/>
            </w:tcBorders>
            <w:shd w:val="clear" w:color="000000" w:fill="FFFFFF"/>
            <w:noWrap/>
            <w:vAlign w:val="center"/>
            <w:hideMark/>
          </w:tcPr>
          <w:p w14:paraId="671C90AE"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427</w:t>
            </w:r>
          </w:p>
        </w:tc>
      </w:tr>
      <w:tr w:rsidR="00E63ECB" w:rsidRPr="004863F3" w14:paraId="0A3A65AA" w14:textId="77777777" w:rsidTr="00E63ECB">
        <w:trPr>
          <w:trHeight w:hRule="exact" w:val="100"/>
        </w:trPr>
        <w:tc>
          <w:tcPr>
            <w:tcW w:w="2344" w:type="pct"/>
            <w:tcBorders>
              <w:top w:val="nil"/>
              <w:left w:val="nil"/>
              <w:bottom w:val="nil"/>
              <w:right w:val="nil"/>
            </w:tcBorders>
            <w:shd w:val="clear" w:color="000000" w:fill="FFFFFF"/>
            <w:noWrap/>
            <w:vAlign w:val="center"/>
            <w:hideMark/>
          </w:tcPr>
          <w:p w14:paraId="3CB8FAE7" w14:textId="77777777" w:rsidR="00E63ECB" w:rsidRPr="004863F3" w:rsidRDefault="00E63ECB" w:rsidP="00E63EC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1021" w:type="pct"/>
            <w:tcBorders>
              <w:top w:val="nil"/>
              <w:left w:val="nil"/>
              <w:bottom w:val="nil"/>
              <w:right w:val="nil"/>
            </w:tcBorders>
            <w:shd w:val="clear" w:color="000000" w:fill="FFFFFF"/>
            <w:noWrap/>
            <w:vAlign w:val="center"/>
            <w:hideMark/>
          </w:tcPr>
          <w:p w14:paraId="1F7E3B73"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716" w:type="pct"/>
            <w:tcBorders>
              <w:top w:val="nil"/>
              <w:left w:val="nil"/>
              <w:bottom w:val="nil"/>
              <w:right w:val="nil"/>
            </w:tcBorders>
            <w:shd w:val="clear" w:color="000000" w:fill="E6F2FF"/>
            <w:noWrap/>
            <w:vAlign w:val="center"/>
            <w:hideMark/>
          </w:tcPr>
          <w:p w14:paraId="48BB61D9"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919" w:type="pct"/>
            <w:tcBorders>
              <w:top w:val="nil"/>
              <w:left w:val="nil"/>
              <w:bottom w:val="nil"/>
              <w:right w:val="nil"/>
            </w:tcBorders>
            <w:shd w:val="clear" w:color="000000" w:fill="FFFFFF"/>
            <w:noWrap/>
            <w:vAlign w:val="center"/>
            <w:hideMark/>
          </w:tcPr>
          <w:p w14:paraId="57A5AF14" w14:textId="77777777" w:rsidR="00E63ECB" w:rsidRPr="004863F3" w:rsidRDefault="00E63ECB" w:rsidP="00E63EC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E63ECB" w:rsidRPr="004863F3" w14:paraId="2E1BCE17" w14:textId="77777777" w:rsidTr="00E63ECB">
        <w:trPr>
          <w:trHeight w:hRule="exact" w:val="210"/>
        </w:trPr>
        <w:tc>
          <w:tcPr>
            <w:tcW w:w="2344" w:type="pct"/>
            <w:tcBorders>
              <w:top w:val="nil"/>
              <w:left w:val="nil"/>
              <w:bottom w:val="nil"/>
              <w:right w:val="nil"/>
            </w:tcBorders>
            <w:shd w:val="clear" w:color="000000" w:fill="FFFFFF"/>
            <w:noWrap/>
            <w:vAlign w:val="center"/>
            <w:hideMark/>
          </w:tcPr>
          <w:p w14:paraId="7D5AE499" w14:textId="77777777" w:rsidR="00E63ECB" w:rsidRPr="004863F3" w:rsidRDefault="00E63ECB" w:rsidP="00E63EC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Total receipts</w:t>
            </w:r>
          </w:p>
        </w:tc>
        <w:tc>
          <w:tcPr>
            <w:tcW w:w="1021" w:type="pct"/>
            <w:tcBorders>
              <w:top w:val="nil"/>
              <w:left w:val="nil"/>
              <w:bottom w:val="nil"/>
              <w:right w:val="nil"/>
            </w:tcBorders>
            <w:shd w:val="clear" w:color="000000" w:fill="FFFFFF"/>
            <w:noWrap/>
            <w:vAlign w:val="center"/>
            <w:hideMark/>
          </w:tcPr>
          <w:p w14:paraId="2300CA7A"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703,922</w:t>
            </w:r>
          </w:p>
        </w:tc>
        <w:tc>
          <w:tcPr>
            <w:tcW w:w="716" w:type="pct"/>
            <w:tcBorders>
              <w:top w:val="nil"/>
              <w:left w:val="nil"/>
              <w:bottom w:val="nil"/>
              <w:right w:val="nil"/>
            </w:tcBorders>
            <w:shd w:val="clear" w:color="000000" w:fill="E6F2FF"/>
            <w:noWrap/>
            <w:vAlign w:val="center"/>
            <w:hideMark/>
          </w:tcPr>
          <w:p w14:paraId="70647EC3"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716,951</w:t>
            </w:r>
          </w:p>
        </w:tc>
        <w:tc>
          <w:tcPr>
            <w:tcW w:w="919" w:type="pct"/>
            <w:tcBorders>
              <w:top w:val="nil"/>
              <w:left w:val="nil"/>
              <w:bottom w:val="nil"/>
              <w:right w:val="nil"/>
            </w:tcBorders>
            <w:shd w:val="clear" w:color="000000" w:fill="FFFFFF"/>
            <w:noWrap/>
            <w:vAlign w:val="center"/>
            <w:hideMark/>
          </w:tcPr>
          <w:p w14:paraId="5A5FF3E0"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13,029</w:t>
            </w:r>
          </w:p>
        </w:tc>
      </w:tr>
      <w:tr w:rsidR="00E63ECB" w:rsidRPr="004863F3" w14:paraId="1F21F903" w14:textId="77777777" w:rsidTr="00E63ECB">
        <w:trPr>
          <w:trHeight w:hRule="exact" w:val="210"/>
        </w:trPr>
        <w:tc>
          <w:tcPr>
            <w:tcW w:w="2344" w:type="pct"/>
            <w:tcBorders>
              <w:top w:val="single" w:sz="4" w:space="0" w:color="293F5B"/>
              <w:left w:val="nil"/>
              <w:bottom w:val="nil"/>
              <w:right w:val="nil"/>
            </w:tcBorders>
            <w:shd w:val="clear" w:color="000000" w:fill="FFFFFF"/>
            <w:noWrap/>
            <w:vAlign w:val="bottom"/>
            <w:hideMark/>
          </w:tcPr>
          <w:p w14:paraId="7BBE098A" w14:textId="77777777" w:rsidR="00E63ECB" w:rsidRPr="004863F3" w:rsidRDefault="00E63ECB" w:rsidP="00E63ECB">
            <w:pPr>
              <w:spacing w:before="0" w:after="0" w:line="240" w:lineRule="auto"/>
              <w:rPr>
                <w:rFonts w:ascii="Arial" w:hAnsi="Arial" w:cs="Arial"/>
                <w:i/>
                <w:iCs/>
                <w:color w:val="000000"/>
                <w:sz w:val="16"/>
                <w:szCs w:val="16"/>
              </w:rPr>
            </w:pPr>
            <w:r w:rsidRPr="004863F3">
              <w:rPr>
                <w:rFonts w:ascii="Arial" w:hAnsi="Arial" w:cs="Arial"/>
                <w:i/>
                <w:iCs/>
                <w:color w:val="000000"/>
                <w:sz w:val="16"/>
                <w:szCs w:val="16"/>
              </w:rPr>
              <w:t>Memorandum:</w:t>
            </w:r>
          </w:p>
        </w:tc>
        <w:tc>
          <w:tcPr>
            <w:tcW w:w="1021" w:type="pct"/>
            <w:tcBorders>
              <w:top w:val="single" w:sz="4" w:space="0" w:color="293F5B"/>
              <w:left w:val="nil"/>
              <w:bottom w:val="nil"/>
              <w:right w:val="nil"/>
            </w:tcBorders>
            <w:shd w:val="clear" w:color="000000" w:fill="FFFFFF"/>
            <w:noWrap/>
            <w:vAlign w:val="center"/>
            <w:hideMark/>
          </w:tcPr>
          <w:p w14:paraId="4480F462"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c>
          <w:tcPr>
            <w:tcW w:w="716" w:type="pct"/>
            <w:tcBorders>
              <w:top w:val="single" w:sz="4" w:space="0" w:color="293F5B"/>
              <w:left w:val="nil"/>
              <w:bottom w:val="nil"/>
              <w:right w:val="nil"/>
            </w:tcBorders>
            <w:shd w:val="clear" w:color="000000" w:fill="E6F2FF"/>
            <w:noWrap/>
            <w:vAlign w:val="center"/>
            <w:hideMark/>
          </w:tcPr>
          <w:p w14:paraId="222C3A2E"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c>
          <w:tcPr>
            <w:tcW w:w="919" w:type="pct"/>
            <w:tcBorders>
              <w:top w:val="single" w:sz="4" w:space="0" w:color="293F5B"/>
              <w:left w:val="nil"/>
              <w:bottom w:val="nil"/>
              <w:right w:val="nil"/>
            </w:tcBorders>
            <w:shd w:val="clear" w:color="000000" w:fill="FFFFFF"/>
            <w:noWrap/>
            <w:vAlign w:val="center"/>
            <w:hideMark/>
          </w:tcPr>
          <w:p w14:paraId="15C0C3BD" w14:textId="77777777" w:rsidR="00E63ECB" w:rsidRPr="004863F3" w:rsidRDefault="00E63ECB" w:rsidP="00E63EC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r>
      <w:tr w:rsidR="00E63ECB" w:rsidRPr="004863F3" w14:paraId="61C5057E" w14:textId="77777777" w:rsidTr="00E63ECB">
        <w:trPr>
          <w:trHeight w:hRule="exact" w:val="210"/>
        </w:trPr>
        <w:tc>
          <w:tcPr>
            <w:tcW w:w="2344" w:type="pct"/>
            <w:tcBorders>
              <w:top w:val="nil"/>
              <w:left w:val="nil"/>
              <w:bottom w:val="nil"/>
              <w:right w:val="nil"/>
            </w:tcBorders>
            <w:shd w:val="clear" w:color="000000" w:fill="FFFFFF"/>
            <w:noWrap/>
            <w:vAlign w:val="bottom"/>
            <w:hideMark/>
          </w:tcPr>
          <w:p w14:paraId="755AA946" w14:textId="77777777" w:rsidR="00E63ECB" w:rsidRPr="004863F3" w:rsidRDefault="00E63ECB" w:rsidP="00E63ECB">
            <w:pPr>
              <w:spacing w:before="0" w:after="0" w:line="240" w:lineRule="auto"/>
              <w:ind w:left="170"/>
              <w:rPr>
                <w:rFonts w:ascii="Arial" w:hAnsi="Arial" w:cs="Arial"/>
                <w:i/>
                <w:iCs/>
                <w:color w:val="000000"/>
                <w:sz w:val="16"/>
                <w:szCs w:val="16"/>
              </w:rPr>
            </w:pPr>
            <w:r w:rsidRPr="004863F3">
              <w:rPr>
                <w:rFonts w:ascii="Arial" w:hAnsi="Arial" w:cs="Arial"/>
                <w:i/>
                <w:iCs/>
                <w:color w:val="000000"/>
                <w:sz w:val="16"/>
                <w:szCs w:val="16"/>
              </w:rPr>
              <w:t>Total excise</w:t>
            </w:r>
          </w:p>
        </w:tc>
        <w:tc>
          <w:tcPr>
            <w:tcW w:w="1021" w:type="pct"/>
            <w:tcBorders>
              <w:top w:val="nil"/>
              <w:left w:val="nil"/>
              <w:bottom w:val="nil"/>
              <w:right w:val="nil"/>
            </w:tcBorders>
            <w:shd w:val="clear" w:color="000000" w:fill="FFFFFF"/>
            <w:noWrap/>
            <w:vAlign w:val="center"/>
            <w:hideMark/>
          </w:tcPr>
          <w:p w14:paraId="321CE3AF" w14:textId="77777777" w:rsidR="00E63ECB" w:rsidRPr="004863F3" w:rsidRDefault="00E63ECB" w:rsidP="00E63ECB">
            <w:pPr>
              <w:spacing w:before="0" w:after="0" w:line="240" w:lineRule="auto"/>
              <w:jc w:val="right"/>
              <w:rPr>
                <w:rFonts w:ascii="Arial" w:hAnsi="Arial" w:cs="Arial"/>
                <w:i/>
                <w:iCs/>
                <w:color w:val="000000"/>
                <w:sz w:val="16"/>
                <w:szCs w:val="16"/>
              </w:rPr>
            </w:pPr>
            <w:r w:rsidRPr="004863F3">
              <w:rPr>
                <w:rFonts w:ascii="Arial" w:hAnsi="Arial" w:cs="Arial"/>
                <w:i/>
                <w:iCs/>
                <w:color w:val="000000"/>
                <w:sz w:val="16"/>
                <w:szCs w:val="16"/>
              </w:rPr>
              <w:t>31,680</w:t>
            </w:r>
          </w:p>
        </w:tc>
        <w:tc>
          <w:tcPr>
            <w:tcW w:w="716" w:type="pct"/>
            <w:tcBorders>
              <w:top w:val="nil"/>
              <w:left w:val="nil"/>
              <w:bottom w:val="nil"/>
              <w:right w:val="nil"/>
            </w:tcBorders>
            <w:shd w:val="clear" w:color="000000" w:fill="E6F2FF"/>
            <w:noWrap/>
            <w:vAlign w:val="center"/>
            <w:hideMark/>
          </w:tcPr>
          <w:p w14:paraId="195770CA" w14:textId="77777777" w:rsidR="00E63ECB" w:rsidRPr="004863F3" w:rsidRDefault="00E63ECB" w:rsidP="00E63ECB">
            <w:pPr>
              <w:spacing w:before="0" w:after="0" w:line="240" w:lineRule="auto"/>
              <w:jc w:val="right"/>
              <w:rPr>
                <w:rFonts w:ascii="Arial" w:hAnsi="Arial" w:cs="Arial"/>
                <w:i/>
                <w:iCs/>
                <w:color w:val="000000"/>
                <w:sz w:val="16"/>
                <w:szCs w:val="16"/>
              </w:rPr>
            </w:pPr>
            <w:r w:rsidRPr="004863F3">
              <w:rPr>
                <w:rFonts w:ascii="Arial" w:hAnsi="Arial" w:cs="Arial"/>
                <w:i/>
                <w:iCs/>
                <w:color w:val="000000"/>
                <w:sz w:val="16"/>
                <w:szCs w:val="16"/>
              </w:rPr>
              <w:t>31,294</w:t>
            </w:r>
          </w:p>
        </w:tc>
        <w:tc>
          <w:tcPr>
            <w:tcW w:w="919" w:type="pct"/>
            <w:tcBorders>
              <w:top w:val="nil"/>
              <w:left w:val="nil"/>
              <w:bottom w:val="nil"/>
              <w:right w:val="nil"/>
            </w:tcBorders>
            <w:shd w:val="clear" w:color="000000" w:fill="FFFFFF"/>
            <w:noWrap/>
            <w:vAlign w:val="center"/>
            <w:hideMark/>
          </w:tcPr>
          <w:p w14:paraId="4A8EC269" w14:textId="42B5ABA4" w:rsidR="00E63ECB" w:rsidRPr="004863F3" w:rsidRDefault="001E171F" w:rsidP="00E63ECB">
            <w:pPr>
              <w:spacing w:before="0" w:after="0" w:line="240" w:lineRule="auto"/>
              <w:jc w:val="right"/>
              <w:rPr>
                <w:rFonts w:ascii="Arial" w:hAnsi="Arial" w:cs="Arial"/>
                <w:i/>
                <w:iCs/>
                <w:color w:val="000000"/>
                <w:sz w:val="16"/>
                <w:szCs w:val="16"/>
              </w:rPr>
            </w:pPr>
            <w:r w:rsidRPr="004863F3">
              <w:rPr>
                <w:rFonts w:ascii="Arial" w:hAnsi="Arial" w:cs="Arial"/>
                <w:i/>
                <w:iCs/>
                <w:color w:val="000000"/>
                <w:sz w:val="16"/>
                <w:szCs w:val="16"/>
              </w:rPr>
              <w:noBreakHyphen/>
            </w:r>
            <w:r w:rsidR="00E63ECB" w:rsidRPr="004863F3">
              <w:rPr>
                <w:rFonts w:ascii="Arial" w:hAnsi="Arial" w:cs="Arial"/>
                <w:i/>
                <w:iCs/>
                <w:color w:val="000000"/>
                <w:sz w:val="16"/>
                <w:szCs w:val="16"/>
              </w:rPr>
              <w:t>386</w:t>
            </w:r>
          </w:p>
        </w:tc>
      </w:tr>
      <w:tr w:rsidR="00E63ECB" w:rsidRPr="004863F3" w14:paraId="59E43A66" w14:textId="77777777" w:rsidTr="00E63ECB">
        <w:trPr>
          <w:trHeight w:hRule="exact" w:val="210"/>
        </w:trPr>
        <w:tc>
          <w:tcPr>
            <w:tcW w:w="2344" w:type="pct"/>
            <w:tcBorders>
              <w:top w:val="nil"/>
              <w:left w:val="nil"/>
              <w:bottom w:val="single" w:sz="4" w:space="0" w:color="293F5B"/>
              <w:right w:val="nil"/>
            </w:tcBorders>
            <w:shd w:val="clear" w:color="000000" w:fill="FFFFFF"/>
            <w:noWrap/>
            <w:vAlign w:val="center"/>
            <w:hideMark/>
          </w:tcPr>
          <w:p w14:paraId="5E709A53" w14:textId="77777777" w:rsidR="00E63ECB" w:rsidRPr="004863F3" w:rsidRDefault="00E63ECB" w:rsidP="00E63ECB">
            <w:pPr>
              <w:spacing w:before="0" w:after="0" w:line="240" w:lineRule="auto"/>
              <w:ind w:left="170"/>
              <w:rPr>
                <w:rFonts w:ascii="Arial" w:hAnsi="Arial" w:cs="Arial"/>
                <w:i/>
                <w:iCs/>
                <w:color w:val="000000"/>
                <w:sz w:val="16"/>
                <w:szCs w:val="16"/>
              </w:rPr>
            </w:pPr>
            <w:r w:rsidRPr="004863F3">
              <w:rPr>
                <w:rFonts w:ascii="Arial" w:hAnsi="Arial" w:cs="Arial"/>
                <w:i/>
                <w:iCs/>
                <w:color w:val="000000"/>
                <w:sz w:val="16"/>
                <w:szCs w:val="16"/>
              </w:rPr>
              <w:t>Total customs duty</w:t>
            </w:r>
          </w:p>
        </w:tc>
        <w:tc>
          <w:tcPr>
            <w:tcW w:w="1021" w:type="pct"/>
            <w:tcBorders>
              <w:top w:val="nil"/>
              <w:left w:val="nil"/>
              <w:bottom w:val="single" w:sz="4" w:space="0" w:color="293F5B"/>
              <w:right w:val="nil"/>
            </w:tcBorders>
            <w:shd w:val="clear" w:color="000000" w:fill="FFFFFF"/>
            <w:noWrap/>
            <w:vAlign w:val="center"/>
            <w:hideMark/>
          </w:tcPr>
          <w:p w14:paraId="20DD3D0B" w14:textId="77777777" w:rsidR="00E63ECB" w:rsidRPr="004863F3" w:rsidRDefault="00E63ECB" w:rsidP="00E63ECB">
            <w:pPr>
              <w:spacing w:before="0" w:after="0" w:line="240" w:lineRule="auto"/>
              <w:jc w:val="right"/>
              <w:rPr>
                <w:rFonts w:ascii="Arial" w:hAnsi="Arial" w:cs="Arial"/>
                <w:i/>
                <w:iCs/>
                <w:color w:val="000000"/>
                <w:sz w:val="16"/>
                <w:szCs w:val="16"/>
              </w:rPr>
            </w:pPr>
            <w:r w:rsidRPr="004863F3">
              <w:rPr>
                <w:rFonts w:ascii="Arial" w:hAnsi="Arial" w:cs="Arial"/>
                <w:i/>
                <w:iCs/>
                <w:color w:val="000000"/>
                <w:sz w:val="16"/>
                <w:szCs w:val="16"/>
              </w:rPr>
              <w:t>11,430</w:t>
            </w:r>
          </w:p>
        </w:tc>
        <w:tc>
          <w:tcPr>
            <w:tcW w:w="716" w:type="pct"/>
            <w:tcBorders>
              <w:top w:val="nil"/>
              <w:left w:val="nil"/>
              <w:bottom w:val="single" w:sz="4" w:space="0" w:color="293F5B"/>
              <w:right w:val="nil"/>
            </w:tcBorders>
            <w:shd w:val="clear" w:color="000000" w:fill="E6F2FF"/>
            <w:noWrap/>
            <w:vAlign w:val="center"/>
            <w:hideMark/>
          </w:tcPr>
          <w:p w14:paraId="627B8F22" w14:textId="77777777" w:rsidR="00E63ECB" w:rsidRPr="004863F3" w:rsidRDefault="00E63ECB" w:rsidP="00E63ECB">
            <w:pPr>
              <w:spacing w:before="0" w:after="0" w:line="240" w:lineRule="auto"/>
              <w:jc w:val="right"/>
              <w:rPr>
                <w:rFonts w:ascii="Arial" w:hAnsi="Arial" w:cs="Arial"/>
                <w:i/>
                <w:iCs/>
                <w:color w:val="000000"/>
                <w:sz w:val="16"/>
                <w:szCs w:val="16"/>
              </w:rPr>
            </w:pPr>
            <w:r w:rsidRPr="004863F3">
              <w:rPr>
                <w:rFonts w:ascii="Arial" w:hAnsi="Arial" w:cs="Arial"/>
                <w:i/>
                <w:iCs/>
                <w:color w:val="000000"/>
                <w:sz w:val="16"/>
                <w:szCs w:val="16"/>
              </w:rPr>
              <w:t>11,894</w:t>
            </w:r>
          </w:p>
        </w:tc>
        <w:tc>
          <w:tcPr>
            <w:tcW w:w="919" w:type="pct"/>
            <w:tcBorders>
              <w:top w:val="nil"/>
              <w:left w:val="nil"/>
              <w:bottom w:val="single" w:sz="4" w:space="0" w:color="293F5B"/>
              <w:right w:val="nil"/>
            </w:tcBorders>
            <w:shd w:val="clear" w:color="000000" w:fill="FFFFFF"/>
            <w:noWrap/>
            <w:vAlign w:val="center"/>
            <w:hideMark/>
          </w:tcPr>
          <w:p w14:paraId="392EF7C6" w14:textId="77777777" w:rsidR="00E63ECB" w:rsidRPr="004863F3" w:rsidRDefault="00E63ECB" w:rsidP="00E63ECB">
            <w:pPr>
              <w:spacing w:before="0" w:after="0" w:line="240" w:lineRule="auto"/>
              <w:jc w:val="right"/>
              <w:rPr>
                <w:rFonts w:ascii="Arial" w:hAnsi="Arial" w:cs="Arial"/>
                <w:i/>
                <w:iCs/>
                <w:color w:val="000000"/>
                <w:sz w:val="16"/>
                <w:szCs w:val="16"/>
              </w:rPr>
            </w:pPr>
            <w:r w:rsidRPr="004863F3">
              <w:rPr>
                <w:rFonts w:ascii="Arial" w:hAnsi="Arial" w:cs="Arial"/>
                <w:i/>
                <w:iCs/>
                <w:color w:val="000000"/>
                <w:sz w:val="16"/>
                <w:szCs w:val="16"/>
              </w:rPr>
              <w:t>464</w:t>
            </w:r>
          </w:p>
        </w:tc>
      </w:tr>
    </w:tbl>
    <w:p w14:paraId="20488830" w14:textId="47C825C1" w:rsidR="00775E22" w:rsidRPr="004863F3" w:rsidRDefault="001E171F" w:rsidP="004773A7">
      <w:pPr>
        <w:pStyle w:val="ChartandTableFootnoteAlpha"/>
        <w:numPr>
          <w:ilvl w:val="0"/>
          <w:numId w:val="22"/>
        </w:numPr>
      </w:pPr>
      <w:r w:rsidRPr="004863F3">
        <w:t>‘</w:t>
      </w:r>
      <w:r w:rsidR="00775E22" w:rsidRPr="004863F3">
        <w:rPr>
          <w:rFonts w:cs="Arial"/>
          <w:szCs w:val="16"/>
        </w:rPr>
        <w:t>Other</w:t>
      </w:r>
      <w:r w:rsidR="00775E22" w:rsidRPr="004863F3">
        <w:t xml:space="preserve"> alcoholic beverages</w:t>
      </w:r>
      <w:r w:rsidRPr="004863F3">
        <w:t>’</w:t>
      </w:r>
      <w:r w:rsidR="00775E22" w:rsidRPr="004863F3">
        <w:t xml:space="preserve"> are those not exceeding 10 per cent by volume of alcohol (excluding beer, brandy and wine).</w:t>
      </w:r>
    </w:p>
    <w:p w14:paraId="199D6C63" w14:textId="77777777" w:rsidR="00775E22" w:rsidRPr="004863F3" w:rsidRDefault="00775E22" w:rsidP="005363AF">
      <w:pPr>
        <w:pStyle w:val="TableLine"/>
      </w:pPr>
    </w:p>
    <w:p w14:paraId="1EFF3718" w14:textId="739EFDEE" w:rsidR="000F07E8" w:rsidRPr="004863F3" w:rsidRDefault="000F07E8" w:rsidP="000F07E8">
      <w:pPr>
        <w:pStyle w:val="Heading3"/>
      </w:pPr>
      <w:r w:rsidRPr="004863F3">
        <w:t>Payments</w:t>
      </w:r>
    </w:p>
    <w:p w14:paraId="3FF14CAA" w14:textId="1B3D5158" w:rsidR="000F07E8" w:rsidRPr="004863F3" w:rsidRDefault="00230E0E" w:rsidP="005363AF">
      <w:r w:rsidRPr="004863F3">
        <w:t>Payments in 2024–25 were $72</w:t>
      </w:r>
      <w:r w:rsidR="0006193A" w:rsidRPr="004863F3">
        <w:t>6.9</w:t>
      </w:r>
      <w:r w:rsidR="00167021" w:rsidRPr="004863F3">
        <w:t> </w:t>
      </w:r>
      <w:r w:rsidRPr="004863F3">
        <w:t>billion, $4.</w:t>
      </w:r>
      <w:r w:rsidR="00165346" w:rsidRPr="004863F3">
        <w:t>6</w:t>
      </w:r>
      <w:r w:rsidR="00167021" w:rsidRPr="004863F3">
        <w:t> </w:t>
      </w:r>
      <w:r w:rsidRPr="004863F3">
        <w:t xml:space="preserve">billion lower than estimated in the </w:t>
      </w:r>
      <w:r w:rsidR="006E5EEB">
        <w:br/>
      </w:r>
      <w:r w:rsidR="009D07E6" w:rsidRPr="004863F3">
        <w:t>2025</w:t>
      </w:r>
      <w:r w:rsidR="00294341" w:rsidRPr="004863F3">
        <w:t>–</w:t>
      </w:r>
      <w:r w:rsidRPr="004863F3" w:rsidDel="009D07E6">
        <w:t>26</w:t>
      </w:r>
      <w:r w:rsidR="006E5EEB">
        <w:t> </w:t>
      </w:r>
      <w:r w:rsidRPr="004863F3">
        <w:t>Budget and $4.</w:t>
      </w:r>
      <w:r w:rsidR="00165346" w:rsidRPr="004863F3">
        <w:t>9</w:t>
      </w:r>
      <w:r w:rsidR="00167021" w:rsidRPr="004863F3">
        <w:t> </w:t>
      </w:r>
      <w:r w:rsidRPr="004863F3">
        <w:t>billion lower than estimated in the 2025 PEFO. This reflected lower</w:t>
      </w:r>
      <w:r w:rsidR="001E171F" w:rsidRPr="004863F3">
        <w:noBreakHyphen/>
      </w:r>
      <w:r w:rsidRPr="004863F3">
        <w:t>than</w:t>
      </w:r>
      <w:r w:rsidR="001E171F" w:rsidRPr="004863F3">
        <w:noBreakHyphen/>
      </w:r>
      <w:r w:rsidRPr="004863F3">
        <w:t>estimated payments across a range of programs, including around $3.</w:t>
      </w:r>
      <w:r w:rsidR="00F03A80" w:rsidRPr="004863F3">
        <w:t>1</w:t>
      </w:r>
      <w:r w:rsidR="00167021" w:rsidRPr="004863F3">
        <w:t> </w:t>
      </w:r>
      <w:r w:rsidRPr="004863F3">
        <w:t>billion in lower payments across several National Partnership agreements. The programs with the largest downward adjustments compared to the 2025 PEFO include</w:t>
      </w:r>
      <w:r w:rsidR="000F07E8" w:rsidRPr="004863F3">
        <w:t>:</w:t>
      </w:r>
    </w:p>
    <w:p w14:paraId="5B1CB07F" w14:textId="31C3D86B" w:rsidR="007D1DEE" w:rsidRPr="004863F3" w:rsidRDefault="007D1DEE" w:rsidP="007D1DEE">
      <w:pPr>
        <w:pStyle w:val="Bullet"/>
      </w:pPr>
      <w:r w:rsidRPr="004863F3">
        <w:t xml:space="preserve">National Partnership Payments </w:t>
      </w:r>
      <w:r w:rsidR="00294341" w:rsidRPr="004863F3">
        <w:t>–</w:t>
      </w:r>
      <w:r w:rsidRPr="004863F3">
        <w:t xml:space="preserve"> Natural Disaster Relief program, largely reflecting delays in, and adjustments to, claims from the states ($0.8</w:t>
      </w:r>
      <w:r w:rsidR="00167021" w:rsidRPr="004863F3">
        <w:t> </w:t>
      </w:r>
      <w:r w:rsidRPr="004863F3">
        <w:t>billion).</w:t>
      </w:r>
    </w:p>
    <w:p w14:paraId="76ABE29B" w14:textId="0DD1054A" w:rsidR="007D1DEE" w:rsidRPr="004863F3" w:rsidRDefault="007D1DEE" w:rsidP="007D1DEE">
      <w:pPr>
        <w:pStyle w:val="Bullet"/>
      </w:pPr>
      <w:r w:rsidRPr="004863F3">
        <w:t>National Partnership Payments – Climate Change program, largely reflecting lower demand and the timing of claims from the states in relation to Energy Bill Relief payments ($0.8</w:t>
      </w:r>
      <w:r w:rsidR="00167021" w:rsidRPr="004863F3">
        <w:t> </w:t>
      </w:r>
      <w:r w:rsidRPr="004863F3">
        <w:t>billion).</w:t>
      </w:r>
    </w:p>
    <w:p w14:paraId="1849D4FB" w14:textId="5E5B17AC" w:rsidR="0028695F" w:rsidRPr="004863F3" w:rsidRDefault="0028695F" w:rsidP="0028695F">
      <w:pPr>
        <w:pStyle w:val="Bullet"/>
      </w:pPr>
      <w:r w:rsidRPr="004863F3">
        <w:t>Pharmaceutical Benefits program, largely reflecting lower</w:t>
      </w:r>
      <w:r w:rsidR="001E171F" w:rsidRPr="004863F3">
        <w:noBreakHyphen/>
      </w:r>
      <w:r w:rsidRPr="004863F3">
        <w:t>than</w:t>
      </w:r>
      <w:r w:rsidR="001E171F" w:rsidRPr="004863F3">
        <w:noBreakHyphen/>
      </w:r>
      <w:r w:rsidRPr="004863F3">
        <w:t>estimated uptake of highly specialised medicines by patients, and lower</w:t>
      </w:r>
      <w:r w:rsidR="001E171F" w:rsidRPr="004863F3">
        <w:noBreakHyphen/>
      </w:r>
      <w:r w:rsidRPr="004863F3">
        <w:t>than</w:t>
      </w:r>
      <w:r w:rsidR="001E171F" w:rsidRPr="004863F3">
        <w:noBreakHyphen/>
      </w:r>
      <w:r w:rsidRPr="004863F3">
        <w:t>estimated utilisation of on</w:t>
      </w:r>
      <w:r w:rsidR="001E171F" w:rsidRPr="004863F3">
        <w:noBreakHyphen/>
      </w:r>
      <w:r w:rsidRPr="004863F3">
        <w:t>site pharmacists by residential aged care facilities ($0.7</w:t>
      </w:r>
      <w:r w:rsidR="00167021" w:rsidRPr="004863F3">
        <w:t> </w:t>
      </w:r>
      <w:r w:rsidRPr="004863F3">
        <w:t xml:space="preserve">billion). </w:t>
      </w:r>
    </w:p>
    <w:p w14:paraId="3DFE997E" w14:textId="69DBD010" w:rsidR="001417DB" w:rsidRPr="004863F3" w:rsidRDefault="001417DB" w:rsidP="001417DB">
      <w:pPr>
        <w:pStyle w:val="Bullet"/>
      </w:pPr>
      <w:r w:rsidRPr="004863F3">
        <w:t xml:space="preserve">National Partnership Payments </w:t>
      </w:r>
      <w:r w:rsidR="002055EB" w:rsidRPr="004863F3">
        <w:t>–</w:t>
      </w:r>
      <w:r w:rsidRPr="004863F3">
        <w:t xml:space="preserve"> Housing program, largely reflecting delays in states meeting payment requirements for the Housing Support, Remote Indigenous Housing and </w:t>
      </w:r>
      <w:proofErr w:type="spellStart"/>
      <w:r w:rsidRPr="004863F3">
        <w:t>HomeBuilder</w:t>
      </w:r>
      <w:proofErr w:type="spellEnd"/>
      <w:r w:rsidRPr="004863F3">
        <w:t xml:space="preserve"> programs ($0.</w:t>
      </w:r>
      <w:r w:rsidR="00515099" w:rsidRPr="004863F3">
        <w:t>6</w:t>
      </w:r>
      <w:r w:rsidR="00167021" w:rsidRPr="004863F3">
        <w:t> </w:t>
      </w:r>
      <w:r w:rsidRPr="004863F3">
        <w:t>billion).</w:t>
      </w:r>
    </w:p>
    <w:p w14:paraId="0FD115B8" w14:textId="660DE800" w:rsidR="007D1DEE" w:rsidRPr="004863F3" w:rsidRDefault="007D1DEE" w:rsidP="007D1DEE">
      <w:pPr>
        <w:pStyle w:val="Bullet"/>
      </w:pPr>
      <w:r w:rsidRPr="004863F3">
        <w:t>National Disability Insurance Agency costs, largely reflecting lower</w:t>
      </w:r>
      <w:r w:rsidR="001E171F" w:rsidRPr="004863F3">
        <w:noBreakHyphen/>
      </w:r>
      <w:r w:rsidRPr="004863F3">
        <w:t>than</w:t>
      </w:r>
      <w:r w:rsidR="001E171F" w:rsidRPr="004863F3">
        <w:noBreakHyphen/>
      </w:r>
      <w:r w:rsidRPr="004863F3">
        <w:t xml:space="preserve">expected agency operating costs </w:t>
      </w:r>
      <w:r w:rsidR="00A013BD" w:rsidRPr="004863F3">
        <w:t>due to delayed implementation of previously funded initiatives</w:t>
      </w:r>
      <w:r w:rsidRPr="004863F3">
        <w:t xml:space="preserve"> ($0.5</w:t>
      </w:r>
      <w:r w:rsidR="00167021" w:rsidRPr="004863F3">
        <w:t> </w:t>
      </w:r>
      <w:r w:rsidRPr="004863F3">
        <w:t>billion).</w:t>
      </w:r>
    </w:p>
    <w:p w14:paraId="633AF6AE" w14:textId="65FC9FB4" w:rsidR="007D1DEE" w:rsidRPr="004863F3" w:rsidRDefault="007D1DEE" w:rsidP="007D1DEE">
      <w:pPr>
        <w:pStyle w:val="Bullet"/>
      </w:pPr>
      <w:r w:rsidRPr="004863F3">
        <w:t>Support for the Child Care System program, largely reflecting</w:t>
      </w:r>
      <w:r w:rsidR="005A2DD6" w:rsidRPr="004863F3">
        <w:t xml:space="preserve"> the </w:t>
      </w:r>
      <w:r w:rsidRPr="004863F3">
        <w:t xml:space="preserve">timing of payments for </w:t>
      </w:r>
      <w:proofErr w:type="gramStart"/>
      <w:r w:rsidRPr="004863F3">
        <w:t>a number of</w:t>
      </w:r>
      <w:proofErr w:type="gramEnd"/>
      <w:r w:rsidRPr="004863F3">
        <w:t xml:space="preserve"> grant programs including the Early Childhood Education and Care Worker Retention Payment ($0.4</w:t>
      </w:r>
      <w:r w:rsidR="00167021" w:rsidRPr="004863F3">
        <w:t> </w:t>
      </w:r>
      <w:r w:rsidRPr="004863F3">
        <w:t>billion).</w:t>
      </w:r>
    </w:p>
    <w:p w14:paraId="68164BF2" w14:textId="4164B75C" w:rsidR="007D1DEE" w:rsidRPr="004863F3" w:rsidRDefault="007D1DEE" w:rsidP="007D1DEE">
      <w:pPr>
        <w:pStyle w:val="Bullet"/>
      </w:pPr>
      <w:r w:rsidRPr="004863F3">
        <w:t>National Partnership Payments</w:t>
      </w:r>
      <w:r w:rsidR="002055EB" w:rsidRPr="004863F3">
        <w:t xml:space="preserve"> – </w:t>
      </w:r>
      <w:r w:rsidRPr="004863F3">
        <w:t xml:space="preserve">Water and Natural Resources program, largely reflecting delays in regulatory approvals and the identification of water supply measures by </w:t>
      </w:r>
      <w:r w:rsidR="00DB31F9">
        <w:t xml:space="preserve">the </w:t>
      </w:r>
      <w:r w:rsidRPr="004863F3">
        <w:t>states ($0.4</w:t>
      </w:r>
      <w:r w:rsidR="00167021" w:rsidRPr="004863F3">
        <w:t> </w:t>
      </w:r>
      <w:r w:rsidRPr="004863F3">
        <w:t>billion).</w:t>
      </w:r>
    </w:p>
    <w:p w14:paraId="0D61C206" w14:textId="4E6135A5" w:rsidR="00C73974" w:rsidRPr="004863F3" w:rsidRDefault="00C73974" w:rsidP="00C73974">
      <w:pPr>
        <w:pStyle w:val="Bullet"/>
      </w:pPr>
      <w:r w:rsidRPr="004863F3">
        <w:t xml:space="preserve">Housing Australia, largely reflecting revised payment milestones in contracts funded from the Housing Australia Future Fund Facility and the National Housing Infrastructure Facility </w:t>
      </w:r>
      <w:r w:rsidR="002055EB" w:rsidRPr="004863F3">
        <w:t>–</w:t>
      </w:r>
      <w:r w:rsidRPr="004863F3">
        <w:t xml:space="preserve"> Crisis and Transitional Housing ($0.4</w:t>
      </w:r>
      <w:r w:rsidR="00167021" w:rsidRPr="004863F3">
        <w:t> </w:t>
      </w:r>
      <w:r w:rsidRPr="004863F3">
        <w:t>billion).</w:t>
      </w:r>
    </w:p>
    <w:p w14:paraId="176CB16C" w14:textId="31E9F79D" w:rsidR="00BC50A1" w:rsidRPr="004863F3" w:rsidRDefault="00BC50A1" w:rsidP="00BC50A1">
      <w:pPr>
        <w:pStyle w:val="Bullet"/>
      </w:pPr>
      <w:r w:rsidRPr="004863F3">
        <w:t xml:space="preserve">National Partnership Payments </w:t>
      </w:r>
      <w:r w:rsidR="002055EB" w:rsidRPr="004863F3">
        <w:t>–</w:t>
      </w:r>
      <w:r w:rsidRPr="004863F3">
        <w:t xml:space="preserve"> General Health Services program, largely reflecting delays in states meeting payment milestones for the Comprehensive Cancer Centres and the Community Health and Hospitals programs ($0.</w:t>
      </w:r>
      <w:r w:rsidR="00B310B1" w:rsidRPr="004863F3">
        <w:t>4</w:t>
      </w:r>
      <w:r w:rsidR="00167021" w:rsidRPr="004863F3">
        <w:t> </w:t>
      </w:r>
      <w:r w:rsidRPr="004863F3">
        <w:t>billion).</w:t>
      </w:r>
    </w:p>
    <w:p w14:paraId="6FBE09C4" w14:textId="137F48DE" w:rsidR="007D1DEE" w:rsidRPr="004863F3" w:rsidRDefault="007D1DEE" w:rsidP="007D1DEE">
      <w:pPr>
        <w:pStyle w:val="Bullet"/>
      </w:pPr>
      <w:r w:rsidRPr="004863F3">
        <w:t xml:space="preserve">National Partnership Payments </w:t>
      </w:r>
      <w:r w:rsidR="002055EB" w:rsidRPr="004863F3">
        <w:t>–</w:t>
      </w:r>
      <w:r w:rsidRPr="004863F3">
        <w:t xml:space="preserve"> Regional Development program, largely reflecting project planning and construction delays ($0.</w:t>
      </w:r>
      <w:r w:rsidR="007657FD" w:rsidRPr="004863F3">
        <w:t>4</w:t>
      </w:r>
      <w:r w:rsidR="00167021" w:rsidRPr="004863F3">
        <w:t> </w:t>
      </w:r>
      <w:r w:rsidRPr="004863F3">
        <w:t>billion).</w:t>
      </w:r>
    </w:p>
    <w:p w14:paraId="68899D49" w14:textId="483D3525" w:rsidR="007D1DEE" w:rsidRPr="004863F3" w:rsidRDefault="007D1DEE" w:rsidP="007D1DEE">
      <w:pPr>
        <w:pStyle w:val="Bullet"/>
      </w:pPr>
      <w:r w:rsidRPr="004863F3">
        <w:t>Support Reliable, Secure and Affordable Energy program, largely reflecting project delays and delays in the execution of grant agreements ($0.3</w:t>
      </w:r>
      <w:r w:rsidR="00167021" w:rsidRPr="004863F3">
        <w:t> </w:t>
      </w:r>
      <w:r w:rsidRPr="004863F3">
        <w:t>billion).</w:t>
      </w:r>
    </w:p>
    <w:p w14:paraId="0263E7BE" w14:textId="1FA341F1" w:rsidR="007D1DEE" w:rsidRPr="004863F3" w:rsidRDefault="007D1DEE" w:rsidP="007D1DEE">
      <w:pPr>
        <w:pStyle w:val="Bullet"/>
      </w:pPr>
      <w:r w:rsidRPr="004863F3">
        <w:t xml:space="preserve">Regional Development program, largely reflecting delivery delays for projects under </w:t>
      </w:r>
      <w:proofErr w:type="gramStart"/>
      <w:r w:rsidRPr="004863F3">
        <w:t>a number of</w:t>
      </w:r>
      <w:proofErr w:type="gramEnd"/>
      <w:r w:rsidRPr="004863F3">
        <w:t xml:space="preserve"> local and community infrastructure programs ($0.3</w:t>
      </w:r>
      <w:r w:rsidR="00167021" w:rsidRPr="004863F3">
        <w:t> </w:t>
      </w:r>
      <w:r w:rsidRPr="004863F3">
        <w:t>billion).</w:t>
      </w:r>
    </w:p>
    <w:p w14:paraId="4DBE1EEB" w14:textId="1A7EB740" w:rsidR="007D1DEE" w:rsidRPr="004863F3" w:rsidRDefault="007D1DEE" w:rsidP="007D1DEE">
      <w:pPr>
        <w:pStyle w:val="Bullet"/>
      </w:pPr>
      <w:r w:rsidRPr="004863F3">
        <w:t>Health Protection, Emergency Response and Regulation program, largely reflecting delays in the production of COVID</w:t>
      </w:r>
      <w:r w:rsidR="001E171F" w:rsidRPr="004863F3">
        <w:noBreakHyphen/>
      </w:r>
      <w:r w:rsidRPr="004863F3">
        <w:t>19 vaccines at the mRNA manufacturing facility in Victoria ($0.3</w:t>
      </w:r>
      <w:r w:rsidR="00167021" w:rsidRPr="004863F3">
        <w:t> </w:t>
      </w:r>
      <w:r w:rsidRPr="004863F3">
        <w:t>billion).</w:t>
      </w:r>
    </w:p>
    <w:p w14:paraId="11B4EE60" w14:textId="601B5E6E" w:rsidR="007D1DEE" w:rsidRPr="004863F3" w:rsidRDefault="007D1DEE" w:rsidP="007D1DEE">
      <w:pPr>
        <w:pStyle w:val="Bullet"/>
      </w:pPr>
      <w:r w:rsidRPr="004863F3">
        <w:t>Protect, Restore and Sustainably Manage Australia</w:t>
      </w:r>
      <w:r w:rsidR="001E171F" w:rsidRPr="004863F3">
        <w:t>’</w:t>
      </w:r>
      <w:r w:rsidRPr="004863F3">
        <w:t>s Water Resources program, largely reflecting delays in the finalisation of contracts for water entitlement purchases ($0.3</w:t>
      </w:r>
      <w:r w:rsidR="00D245D3" w:rsidRPr="004863F3">
        <w:t> </w:t>
      </w:r>
      <w:r w:rsidRPr="004863F3">
        <w:t>billion).</w:t>
      </w:r>
    </w:p>
    <w:p w14:paraId="65298A8D" w14:textId="24690729" w:rsidR="007D1DEE" w:rsidRPr="004863F3" w:rsidRDefault="007D1DEE" w:rsidP="007D1DEE">
      <w:pPr>
        <w:pStyle w:val="Bullet"/>
      </w:pPr>
      <w:r w:rsidRPr="004863F3">
        <w:t>Aged Care Quality program, largely reflecting lower</w:t>
      </w:r>
      <w:r w:rsidR="001E171F" w:rsidRPr="004863F3">
        <w:noBreakHyphen/>
      </w:r>
      <w:r w:rsidRPr="004863F3">
        <w:t>than</w:t>
      </w:r>
      <w:r w:rsidR="001E171F" w:rsidRPr="004863F3">
        <w:noBreakHyphen/>
      </w:r>
      <w:r w:rsidRPr="004863F3">
        <w:t>anticipated demand for a range of activities within the program, including grants from the Aged Care Support Program and the Aged Care Surge Workforce Program ($0.3</w:t>
      </w:r>
      <w:r w:rsidR="00167021" w:rsidRPr="004863F3">
        <w:t> </w:t>
      </w:r>
      <w:r w:rsidRPr="004863F3">
        <w:t>billion).</w:t>
      </w:r>
    </w:p>
    <w:p w14:paraId="05B52D7A" w14:textId="77777777" w:rsidR="007D1DEE" w:rsidRPr="004863F3" w:rsidRDefault="007D1DEE" w:rsidP="0076164C">
      <w:r w:rsidRPr="004863F3">
        <w:t>The programs with the largest upward adjustments compared to the 2025 PEFO include:</w:t>
      </w:r>
    </w:p>
    <w:p w14:paraId="129E442A" w14:textId="170C8088" w:rsidR="007D1DEE" w:rsidRPr="004863F3" w:rsidRDefault="007D1DEE" w:rsidP="007D1DEE">
      <w:pPr>
        <w:pStyle w:val="Bullet"/>
      </w:pPr>
      <w:r w:rsidRPr="004863F3">
        <w:t>Local Government program, largely reflecting bringing forward funding from 2025</w:t>
      </w:r>
      <w:r w:rsidR="001E4CC5" w:rsidRPr="004863F3">
        <w:t>–</w:t>
      </w:r>
      <w:r w:rsidRPr="004863F3">
        <w:t>26 for the Financial Assistance Grants program ($1.6</w:t>
      </w:r>
      <w:r w:rsidR="00167021" w:rsidRPr="004863F3">
        <w:t> </w:t>
      </w:r>
      <w:r w:rsidRPr="004863F3">
        <w:t>billion).</w:t>
      </w:r>
    </w:p>
    <w:p w14:paraId="5CA9C47D" w14:textId="33336B7F" w:rsidR="007D1DEE" w:rsidRPr="004863F3" w:rsidRDefault="007D1DEE" w:rsidP="007D1DEE">
      <w:pPr>
        <w:pStyle w:val="Bullet"/>
      </w:pPr>
      <w:r w:rsidRPr="004863F3">
        <w:t xml:space="preserve">National Partnership Payments – Assistance to People with Disabilities program, largely reflecting Western Australia signing a National Disability Insurance Scheme </w:t>
      </w:r>
      <w:r w:rsidR="00E525E6" w:rsidRPr="004863F3">
        <w:t xml:space="preserve">Full Scheme Bilateral Agreement </w:t>
      </w:r>
      <w:r w:rsidRPr="004863F3">
        <w:t>in June 2025 ($0.8</w:t>
      </w:r>
      <w:r w:rsidR="00167021" w:rsidRPr="004863F3">
        <w:t> </w:t>
      </w:r>
      <w:r w:rsidRPr="004863F3">
        <w:t>billion).</w:t>
      </w:r>
    </w:p>
    <w:p w14:paraId="77E3E951" w14:textId="3031C0FE" w:rsidR="007D1DEE" w:rsidRPr="004863F3" w:rsidRDefault="007D1DEE" w:rsidP="007D1DEE">
      <w:pPr>
        <w:pStyle w:val="Bullet"/>
      </w:pPr>
      <w:r w:rsidRPr="004863F3">
        <w:t>National Partnership Payments – Road Transport ($0.6</w:t>
      </w:r>
      <w:r w:rsidR="00167021" w:rsidRPr="004863F3">
        <w:t> </w:t>
      </w:r>
      <w:r w:rsidRPr="004863F3">
        <w:t>billion) and Rail Transport ($0.1</w:t>
      </w:r>
      <w:r w:rsidR="00625A6A" w:rsidRPr="004863F3">
        <w:t> </w:t>
      </w:r>
      <w:r w:rsidRPr="004863F3">
        <w:t>billion) programs reflecting higher</w:t>
      </w:r>
      <w:r w:rsidR="001E171F" w:rsidRPr="004863F3">
        <w:noBreakHyphen/>
      </w:r>
      <w:r w:rsidRPr="004863F3">
        <w:t>than</w:t>
      </w:r>
      <w:r w:rsidR="001E171F" w:rsidRPr="004863F3">
        <w:noBreakHyphen/>
      </w:r>
      <w:r w:rsidRPr="004863F3">
        <w:t>anticipated milestone payments to states for projects under the Infrastructure Investment Program.</w:t>
      </w:r>
    </w:p>
    <w:p w14:paraId="60B824AE" w14:textId="00B44376" w:rsidR="000F07E8" w:rsidRPr="004863F3" w:rsidRDefault="007D1DEE" w:rsidP="00364316">
      <w:pPr>
        <w:pStyle w:val="Bullet"/>
      </w:pPr>
      <w:r w:rsidRPr="004863F3">
        <w:t>National Disability Insurance Scheme, largely reflecting higher</w:t>
      </w:r>
      <w:r w:rsidR="001E171F" w:rsidRPr="004863F3">
        <w:noBreakHyphen/>
      </w:r>
      <w:r w:rsidRPr="004863F3">
        <w:t>than</w:t>
      </w:r>
      <w:r w:rsidR="001E171F" w:rsidRPr="004863F3">
        <w:noBreakHyphen/>
      </w:r>
      <w:r w:rsidRPr="004863F3">
        <w:t>expected increases in average payments per participant ($0.</w:t>
      </w:r>
      <w:r w:rsidR="00194188" w:rsidRPr="004863F3">
        <w:t>4</w:t>
      </w:r>
      <w:r w:rsidR="00167021" w:rsidRPr="004863F3">
        <w:t> </w:t>
      </w:r>
      <w:r w:rsidRPr="004863F3">
        <w:t>billion)</w:t>
      </w:r>
      <w:r w:rsidR="008530B9" w:rsidRPr="004863F3">
        <w:t>.</w:t>
      </w:r>
      <w:r w:rsidR="000F07E8" w:rsidRPr="004863F3">
        <w:br w:type="page"/>
      </w:r>
    </w:p>
    <w:p w14:paraId="31CF9412" w14:textId="77777777" w:rsidR="000F07E8" w:rsidRPr="004863F3" w:rsidRDefault="000F07E8" w:rsidP="000F07E8">
      <w:pPr>
        <w:pStyle w:val="Heading2"/>
      </w:pPr>
      <w:r w:rsidRPr="004863F3">
        <w:t>Primary balance</w:t>
      </w:r>
    </w:p>
    <w:p w14:paraId="03703D80" w14:textId="218B2437" w:rsidR="000F07E8" w:rsidRPr="004863F3" w:rsidRDefault="000F07E8" w:rsidP="000F07E8">
      <w:pPr>
        <w:rPr>
          <w:szCs w:val="19"/>
        </w:rPr>
      </w:pPr>
      <w:r w:rsidRPr="004863F3">
        <w:rPr>
          <w:szCs w:val="19"/>
        </w:rPr>
        <w:t xml:space="preserve">The primary balance, which excludes interest payments and interest receipts related to the existing stock of debt and financial assets from the underlying cash balance, was </w:t>
      </w:r>
      <w:r w:rsidR="00161F4D" w:rsidRPr="004863F3">
        <w:rPr>
          <w:szCs w:val="19"/>
        </w:rPr>
        <w:t>a surplus of</w:t>
      </w:r>
      <w:r w:rsidRPr="004863F3">
        <w:rPr>
          <w:szCs w:val="19"/>
        </w:rPr>
        <w:t xml:space="preserve"> $</w:t>
      </w:r>
      <w:r w:rsidR="00DE6194" w:rsidRPr="004863F3">
        <w:rPr>
          <w:szCs w:val="19"/>
        </w:rPr>
        <w:t>3</w:t>
      </w:r>
      <w:r w:rsidR="00475D3C" w:rsidRPr="004863F3">
        <w:rPr>
          <w:szCs w:val="19"/>
        </w:rPr>
        <w:t>.</w:t>
      </w:r>
      <w:r w:rsidR="00DE6194" w:rsidRPr="004863F3">
        <w:rPr>
          <w:szCs w:val="19"/>
        </w:rPr>
        <w:t>7</w:t>
      </w:r>
      <w:r w:rsidRPr="004863F3">
        <w:rPr>
          <w:szCs w:val="19"/>
        </w:rPr>
        <w:t> billion (</w:t>
      </w:r>
      <w:r w:rsidR="00CE0135" w:rsidRPr="004863F3">
        <w:rPr>
          <w:szCs w:val="19"/>
        </w:rPr>
        <w:t>0</w:t>
      </w:r>
      <w:r w:rsidR="00475D3C" w:rsidRPr="004863F3">
        <w:rPr>
          <w:szCs w:val="19"/>
        </w:rPr>
        <w:t>.</w:t>
      </w:r>
      <w:r w:rsidR="00CE0135" w:rsidRPr="004863F3">
        <w:rPr>
          <w:szCs w:val="19"/>
        </w:rPr>
        <w:t>1</w:t>
      </w:r>
      <w:r w:rsidRPr="004863F3">
        <w:rPr>
          <w:szCs w:val="19"/>
        </w:rPr>
        <w:t> per cent of GDP) in 202</w:t>
      </w:r>
      <w:r w:rsidR="00475D3C" w:rsidRPr="004863F3">
        <w:rPr>
          <w:szCs w:val="19"/>
        </w:rPr>
        <w:t>4</w:t>
      </w:r>
      <w:r w:rsidRPr="004863F3">
        <w:rPr>
          <w:szCs w:val="19"/>
        </w:rPr>
        <w:t>–2</w:t>
      </w:r>
      <w:r w:rsidR="00475D3C" w:rsidRPr="004863F3">
        <w:rPr>
          <w:szCs w:val="19"/>
        </w:rPr>
        <w:t>5</w:t>
      </w:r>
      <w:r w:rsidR="005C186E" w:rsidRPr="004863F3">
        <w:rPr>
          <w:szCs w:val="19"/>
        </w:rPr>
        <w:t>. Th</w:t>
      </w:r>
      <w:r w:rsidR="00724C3A" w:rsidRPr="004863F3">
        <w:rPr>
          <w:szCs w:val="19"/>
        </w:rPr>
        <w:t>e primary balance</w:t>
      </w:r>
      <w:r w:rsidR="005C186E" w:rsidRPr="004863F3">
        <w:rPr>
          <w:szCs w:val="19"/>
        </w:rPr>
        <w:t xml:space="preserve"> </w:t>
      </w:r>
      <w:r w:rsidRPr="004863F3">
        <w:rPr>
          <w:szCs w:val="19"/>
        </w:rPr>
        <w:t>improv</w:t>
      </w:r>
      <w:r w:rsidR="005C186E" w:rsidRPr="004863F3">
        <w:rPr>
          <w:szCs w:val="19"/>
        </w:rPr>
        <w:t>ed</w:t>
      </w:r>
      <w:r w:rsidRPr="004863F3">
        <w:rPr>
          <w:szCs w:val="19"/>
        </w:rPr>
        <w:t xml:space="preserve"> </w:t>
      </w:r>
      <w:r w:rsidR="00724C3A" w:rsidRPr="004863F3">
        <w:rPr>
          <w:szCs w:val="19"/>
        </w:rPr>
        <w:t>from</w:t>
      </w:r>
      <w:r w:rsidRPr="004863F3">
        <w:rPr>
          <w:szCs w:val="19"/>
        </w:rPr>
        <w:t xml:space="preserve"> the</w:t>
      </w:r>
      <w:r w:rsidR="00130929" w:rsidRPr="004863F3">
        <w:rPr>
          <w:szCs w:val="19"/>
        </w:rPr>
        <w:t xml:space="preserve"> </w:t>
      </w:r>
      <w:r w:rsidR="00724C3A" w:rsidRPr="004863F3">
        <w:rPr>
          <w:szCs w:val="19"/>
        </w:rPr>
        <w:t xml:space="preserve">estimated </w:t>
      </w:r>
      <w:r w:rsidR="00130929" w:rsidRPr="004863F3">
        <w:rPr>
          <w:szCs w:val="19"/>
        </w:rPr>
        <w:t>deficit</w:t>
      </w:r>
      <w:r w:rsidR="00724C3A" w:rsidRPr="004863F3">
        <w:rPr>
          <w:szCs w:val="19"/>
        </w:rPr>
        <w:t>s</w:t>
      </w:r>
      <w:r w:rsidR="00130929" w:rsidRPr="004863F3">
        <w:rPr>
          <w:szCs w:val="19"/>
        </w:rPr>
        <w:t xml:space="preserve"> of</w:t>
      </w:r>
      <w:r w:rsidRPr="004863F3">
        <w:rPr>
          <w:szCs w:val="19"/>
        </w:rPr>
        <w:t xml:space="preserve"> </w:t>
      </w:r>
      <w:r w:rsidR="0084028E" w:rsidRPr="004863F3">
        <w:rPr>
          <w:szCs w:val="19"/>
        </w:rPr>
        <w:t>$12.7</w:t>
      </w:r>
      <w:r w:rsidR="007962BB" w:rsidRPr="004863F3">
        <w:rPr>
          <w:szCs w:val="19"/>
        </w:rPr>
        <w:t> </w:t>
      </w:r>
      <w:r w:rsidR="0084028E" w:rsidRPr="004863F3">
        <w:rPr>
          <w:szCs w:val="19"/>
        </w:rPr>
        <w:t xml:space="preserve">billion </w:t>
      </w:r>
      <w:r w:rsidR="00C7610B" w:rsidRPr="004863F3">
        <w:rPr>
          <w:szCs w:val="19"/>
        </w:rPr>
        <w:t>(</w:t>
      </w:r>
      <w:r w:rsidR="0027054D" w:rsidRPr="004863F3">
        <w:rPr>
          <w:szCs w:val="19"/>
        </w:rPr>
        <w:t>0.5</w:t>
      </w:r>
      <w:r w:rsidR="007C019E" w:rsidRPr="004863F3">
        <w:rPr>
          <w:szCs w:val="19"/>
        </w:rPr>
        <w:t> </w:t>
      </w:r>
      <w:r w:rsidR="0027054D" w:rsidRPr="004863F3">
        <w:rPr>
          <w:szCs w:val="19"/>
        </w:rPr>
        <w:t>per</w:t>
      </w:r>
      <w:r w:rsidR="002B7AA8" w:rsidRPr="004863F3">
        <w:rPr>
          <w:szCs w:val="19"/>
        </w:rPr>
        <w:t> </w:t>
      </w:r>
      <w:r w:rsidR="0027054D" w:rsidRPr="004863F3">
        <w:rPr>
          <w:szCs w:val="19"/>
        </w:rPr>
        <w:t>cent of GDP</w:t>
      </w:r>
      <w:r w:rsidR="00C7610B" w:rsidRPr="004863F3">
        <w:rPr>
          <w:szCs w:val="19"/>
        </w:rPr>
        <w:t>) at the 2025</w:t>
      </w:r>
      <w:r w:rsidR="006737C8" w:rsidRPr="004863F3">
        <w:rPr>
          <w:szCs w:val="19"/>
        </w:rPr>
        <w:t>–</w:t>
      </w:r>
      <w:r w:rsidR="00C7610B" w:rsidRPr="004863F3">
        <w:rPr>
          <w:szCs w:val="19"/>
        </w:rPr>
        <w:t xml:space="preserve">26 Budget and </w:t>
      </w:r>
      <w:r w:rsidRPr="004863F3">
        <w:rPr>
          <w:szCs w:val="19"/>
        </w:rPr>
        <w:t>$</w:t>
      </w:r>
      <w:r w:rsidR="007959F2" w:rsidRPr="004863F3">
        <w:rPr>
          <w:szCs w:val="19"/>
        </w:rPr>
        <w:t>13</w:t>
      </w:r>
      <w:r w:rsidR="00475D3C" w:rsidRPr="004863F3">
        <w:rPr>
          <w:szCs w:val="19"/>
        </w:rPr>
        <w:t>.</w:t>
      </w:r>
      <w:r w:rsidR="007959F2" w:rsidRPr="004863F3">
        <w:rPr>
          <w:szCs w:val="19"/>
        </w:rPr>
        <w:t>0</w:t>
      </w:r>
      <w:r w:rsidRPr="004863F3">
        <w:rPr>
          <w:szCs w:val="19"/>
        </w:rPr>
        <w:t> billion (</w:t>
      </w:r>
      <w:r w:rsidR="000663BF" w:rsidRPr="004863F3">
        <w:rPr>
          <w:szCs w:val="19"/>
        </w:rPr>
        <w:t>0</w:t>
      </w:r>
      <w:r w:rsidR="00475D3C" w:rsidRPr="004863F3">
        <w:rPr>
          <w:szCs w:val="19"/>
        </w:rPr>
        <w:t>.</w:t>
      </w:r>
      <w:r w:rsidR="000663BF" w:rsidRPr="004863F3">
        <w:rPr>
          <w:szCs w:val="19"/>
        </w:rPr>
        <w:t>5</w:t>
      </w:r>
      <w:r w:rsidRPr="004863F3">
        <w:rPr>
          <w:szCs w:val="19"/>
        </w:rPr>
        <w:t> per cent of GDP) at the 2</w:t>
      </w:r>
      <w:r w:rsidR="00475D3C" w:rsidRPr="004863F3">
        <w:rPr>
          <w:szCs w:val="19"/>
        </w:rPr>
        <w:t>025</w:t>
      </w:r>
      <w:r w:rsidRPr="004863F3">
        <w:rPr>
          <w:szCs w:val="19"/>
        </w:rPr>
        <w:t xml:space="preserve"> </w:t>
      </w:r>
      <w:r w:rsidR="00475D3C" w:rsidRPr="004863F3">
        <w:rPr>
          <w:szCs w:val="19"/>
        </w:rPr>
        <w:t>PEFO</w:t>
      </w:r>
      <w:r w:rsidR="00ED3E29" w:rsidRPr="004863F3">
        <w:rPr>
          <w:szCs w:val="19"/>
        </w:rPr>
        <w:t xml:space="preserve">. </w:t>
      </w:r>
    </w:p>
    <w:p w14:paraId="03F40B81" w14:textId="77777777" w:rsidR="000F07E8" w:rsidRPr="004863F3" w:rsidRDefault="000F07E8" w:rsidP="000F07E8">
      <w:pPr>
        <w:pStyle w:val="Heading2"/>
      </w:pPr>
      <w:r w:rsidRPr="004863F3">
        <w:t>Net operating balance and fiscal balance</w:t>
      </w:r>
    </w:p>
    <w:p w14:paraId="446A0996" w14:textId="691113F4" w:rsidR="000F07E8" w:rsidRPr="004863F3" w:rsidRDefault="000F07E8" w:rsidP="000F07E8">
      <w:pPr>
        <w:rPr>
          <w:szCs w:val="19"/>
        </w:rPr>
      </w:pPr>
      <w:r w:rsidRPr="004863F3">
        <w:rPr>
          <w:szCs w:val="19"/>
        </w:rPr>
        <w:t>The 202</w:t>
      </w:r>
      <w:r w:rsidR="006C287E" w:rsidRPr="004863F3">
        <w:rPr>
          <w:szCs w:val="19"/>
        </w:rPr>
        <w:t>4</w:t>
      </w:r>
      <w:r w:rsidRPr="004863F3">
        <w:rPr>
          <w:szCs w:val="19"/>
        </w:rPr>
        <w:t>–2</w:t>
      </w:r>
      <w:r w:rsidR="006C287E" w:rsidRPr="004863F3">
        <w:rPr>
          <w:szCs w:val="19"/>
        </w:rPr>
        <w:t>5</w:t>
      </w:r>
      <w:r w:rsidRPr="004863F3">
        <w:rPr>
          <w:szCs w:val="19"/>
        </w:rPr>
        <w:t xml:space="preserve"> net operating </w:t>
      </w:r>
      <w:r w:rsidR="00751503" w:rsidRPr="004863F3">
        <w:rPr>
          <w:szCs w:val="19"/>
        </w:rPr>
        <w:t>deficit</w:t>
      </w:r>
      <w:r w:rsidR="00963F12" w:rsidRPr="004863F3">
        <w:rPr>
          <w:szCs w:val="19"/>
        </w:rPr>
        <w:t xml:space="preserve"> </w:t>
      </w:r>
      <w:r w:rsidRPr="004863F3">
        <w:rPr>
          <w:szCs w:val="19"/>
        </w:rPr>
        <w:t>was $</w:t>
      </w:r>
      <w:r w:rsidR="00AC0B9C" w:rsidRPr="004863F3">
        <w:rPr>
          <w:szCs w:val="19"/>
        </w:rPr>
        <w:t>3</w:t>
      </w:r>
      <w:r w:rsidR="00330417" w:rsidRPr="004863F3">
        <w:rPr>
          <w:szCs w:val="19"/>
        </w:rPr>
        <w:t>7.1</w:t>
      </w:r>
      <w:r w:rsidRPr="004863F3">
        <w:rPr>
          <w:szCs w:val="19"/>
        </w:rPr>
        <w:t xml:space="preserve"> billion, </w:t>
      </w:r>
      <w:r w:rsidR="003D4715" w:rsidRPr="004863F3">
        <w:rPr>
          <w:szCs w:val="19"/>
        </w:rPr>
        <w:t>$</w:t>
      </w:r>
      <w:r w:rsidR="00980290" w:rsidRPr="004863F3">
        <w:rPr>
          <w:szCs w:val="19"/>
        </w:rPr>
        <w:t>8.1</w:t>
      </w:r>
      <w:r w:rsidR="003D4715" w:rsidRPr="004863F3">
        <w:rPr>
          <w:szCs w:val="19"/>
        </w:rPr>
        <w:t xml:space="preserve"> billion </w:t>
      </w:r>
      <w:r w:rsidR="00F7490D" w:rsidRPr="004863F3">
        <w:rPr>
          <w:szCs w:val="19"/>
        </w:rPr>
        <w:t xml:space="preserve">better than </w:t>
      </w:r>
      <w:r w:rsidR="00C24149" w:rsidRPr="004863F3">
        <w:rPr>
          <w:szCs w:val="19"/>
        </w:rPr>
        <w:t>the</w:t>
      </w:r>
      <w:r w:rsidRPr="004863F3">
        <w:rPr>
          <w:szCs w:val="19"/>
        </w:rPr>
        <w:t xml:space="preserve"> </w:t>
      </w:r>
      <w:r w:rsidR="00C24149" w:rsidRPr="004863F3">
        <w:rPr>
          <w:szCs w:val="19"/>
        </w:rPr>
        <w:t>$</w:t>
      </w:r>
      <w:r w:rsidR="00117A85" w:rsidRPr="004863F3">
        <w:rPr>
          <w:szCs w:val="19"/>
        </w:rPr>
        <w:t>45.2</w:t>
      </w:r>
      <w:r w:rsidR="00C24149" w:rsidRPr="004863F3">
        <w:rPr>
          <w:szCs w:val="19"/>
        </w:rPr>
        <w:t xml:space="preserve"> billion </w:t>
      </w:r>
      <w:r w:rsidR="00751503" w:rsidRPr="004863F3">
        <w:rPr>
          <w:szCs w:val="19"/>
        </w:rPr>
        <w:t xml:space="preserve">deficit </w:t>
      </w:r>
      <w:r w:rsidRPr="004863F3">
        <w:rPr>
          <w:szCs w:val="19"/>
        </w:rPr>
        <w:t xml:space="preserve">estimated </w:t>
      </w:r>
      <w:r w:rsidR="00117A85" w:rsidRPr="004863F3">
        <w:rPr>
          <w:szCs w:val="19"/>
        </w:rPr>
        <w:t>at</w:t>
      </w:r>
      <w:r w:rsidRPr="004863F3">
        <w:rPr>
          <w:szCs w:val="19"/>
        </w:rPr>
        <w:t xml:space="preserve"> the</w:t>
      </w:r>
      <w:r w:rsidR="00EE19C8" w:rsidRPr="004863F3">
        <w:rPr>
          <w:szCs w:val="19"/>
        </w:rPr>
        <w:t xml:space="preserve"> 2025</w:t>
      </w:r>
      <w:r w:rsidR="001E4CC5" w:rsidRPr="004863F3">
        <w:t>–</w:t>
      </w:r>
      <w:r w:rsidR="00EE19C8" w:rsidRPr="004863F3">
        <w:rPr>
          <w:szCs w:val="19"/>
        </w:rPr>
        <w:t>26 Budget and the</w:t>
      </w:r>
      <w:r w:rsidRPr="004863F3">
        <w:rPr>
          <w:szCs w:val="19"/>
        </w:rPr>
        <w:t xml:space="preserve"> </w:t>
      </w:r>
      <w:r w:rsidR="006C287E" w:rsidRPr="004863F3">
        <w:rPr>
          <w:szCs w:val="19"/>
        </w:rPr>
        <w:t>2025 PEFO</w:t>
      </w:r>
      <w:r w:rsidRPr="004863F3">
        <w:rPr>
          <w:szCs w:val="19"/>
        </w:rPr>
        <w:t>. The 202</w:t>
      </w:r>
      <w:r w:rsidR="006C287E" w:rsidRPr="004863F3">
        <w:rPr>
          <w:szCs w:val="19"/>
        </w:rPr>
        <w:t>4</w:t>
      </w:r>
      <w:r w:rsidRPr="004863F3">
        <w:rPr>
          <w:szCs w:val="19"/>
        </w:rPr>
        <w:t>–2</w:t>
      </w:r>
      <w:r w:rsidR="006C287E" w:rsidRPr="004863F3">
        <w:rPr>
          <w:szCs w:val="19"/>
        </w:rPr>
        <w:t>5</w:t>
      </w:r>
      <w:r w:rsidRPr="004863F3">
        <w:rPr>
          <w:szCs w:val="19"/>
        </w:rPr>
        <w:t xml:space="preserve"> fiscal balance was a </w:t>
      </w:r>
      <w:r w:rsidR="00605D6E" w:rsidRPr="004863F3">
        <w:rPr>
          <w:szCs w:val="19"/>
        </w:rPr>
        <w:t xml:space="preserve">deficit of </w:t>
      </w:r>
      <w:r w:rsidRPr="004863F3">
        <w:rPr>
          <w:szCs w:val="19"/>
        </w:rPr>
        <w:t>$</w:t>
      </w:r>
      <w:r w:rsidR="001E36E8" w:rsidRPr="004863F3">
        <w:rPr>
          <w:szCs w:val="19"/>
        </w:rPr>
        <w:t>4</w:t>
      </w:r>
      <w:r w:rsidR="00650A9E" w:rsidRPr="004863F3">
        <w:rPr>
          <w:szCs w:val="19"/>
        </w:rPr>
        <w:t>4.8</w:t>
      </w:r>
      <w:r w:rsidR="00BF7060" w:rsidRPr="004863F3">
        <w:rPr>
          <w:szCs w:val="19"/>
        </w:rPr>
        <w:t> </w:t>
      </w:r>
      <w:r w:rsidRPr="004863F3">
        <w:rPr>
          <w:szCs w:val="19"/>
        </w:rPr>
        <w:t>billion, compared with an estimate</w:t>
      </w:r>
      <w:r w:rsidRPr="004863F3" w:rsidDel="00891A0E">
        <w:rPr>
          <w:szCs w:val="19"/>
        </w:rPr>
        <w:t xml:space="preserve">d </w:t>
      </w:r>
      <w:r w:rsidR="00605D6E" w:rsidRPr="004863F3">
        <w:rPr>
          <w:szCs w:val="19"/>
        </w:rPr>
        <w:t>deficit</w:t>
      </w:r>
      <w:r w:rsidRPr="004863F3">
        <w:rPr>
          <w:szCs w:val="19"/>
        </w:rPr>
        <w:t xml:space="preserve"> of </w:t>
      </w:r>
      <w:r w:rsidR="004A373A" w:rsidRPr="004863F3">
        <w:rPr>
          <w:szCs w:val="19"/>
        </w:rPr>
        <w:t>$50.6</w:t>
      </w:r>
      <w:r w:rsidR="00BF7060" w:rsidRPr="004863F3">
        <w:rPr>
          <w:szCs w:val="19"/>
        </w:rPr>
        <w:t> </w:t>
      </w:r>
      <w:r w:rsidR="004A373A" w:rsidRPr="004863F3">
        <w:rPr>
          <w:szCs w:val="19"/>
        </w:rPr>
        <w:t xml:space="preserve">billion </w:t>
      </w:r>
      <w:r w:rsidR="00310985" w:rsidRPr="004863F3">
        <w:rPr>
          <w:szCs w:val="19"/>
        </w:rPr>
        <w:t>at</w:t>
      </w:r>
      <w:r w:rsidR="004A373A" w:rsidRPr="004863F3">
        <w:rPr>
          <w:szCs w:val="19"/>
        </w:rPr>
        <w:t xml:space="preserve"> the </w:t>
      </w:r>
      <w:r w:rsidR="00D57370">
        <w:rPr>
          <w:szCs w:val="19"/>
        </w:rPr>
        <w:br/>
      </w:r>
      <w:r w:rsidR="004A373A" w:rsidRPr="004863F3">
        <w:rPr>
          <w:szCs w:val="19"/>
        </w:rPr>
        <w:t>2025</w:t>
      </w:r>
      <w:r w:rsidR="002055EB" w:rsidRPr="004863F3">
        <w:rPr>
          <w:szCs w:val="19"/>
        </w:rPr>
        <w:t>–</w:t>
      </w:r>
      <w:r w:rsidR="004A373A" w:rsidRPr="004863F3">
        <w:rPr>
          <w:szCs w:val="19"/>
        </w:rPr>
        <w:t>26</w:t>
      </w:r>
      <w:r w:rsidR="00D57370">
        <w:rPr>
          <w:szCs w:val="19"/>
        </w:rPr>
        <w:t> </w:t>
      </w:r>
      <w:r w:rsidR="004A373A" w:rsidRPr="004863F3">
        <w:rPr>
          <w:szCs w:val="19"/>
        </w:rPr>
        <w:t xml:space="preserve">Budget and </w:t>
      </w:r>
      <w:r w:rsidRPr="004863F3">
        <w:rPr>
          <w:szCs w:val="19"/>
        </w:rPr>
        <w:t>$</w:t>
      </w:r>
      <w:r w:rsidR="001E36E8" w:rsidRPr="004863F3">
        <w:rPr>
          <w:szCs w:val="19"/>
        </w:rPr>
        <w:t>50</w:t>
      </w:r>
      <w:r w:rsidR="006C287E" w:rsidRPr="004863F3">
        <w:rPr>
          <w:szCs w:val="19"/>
        </w:rPr>
        <w:t>.</w:t>
      </w:r>
      <w:r w:rsidR="001E36E8" w:rsidRPr="004863F3">
        <w:rPr>
          <w:szCs w:val="19"/>
        </w:rPr>
        <w:t>7</w:t>
      </w:r>
      <w:r w:rsidRPr="004863F3">
        <w:rPr>
          <w:szCs w:val="19"/>
        </w:rPr>
        <w:t xml:space="preserve"> billion </w:t>
      </w:r>
      <w:r w:rsidR="00490A9F" w:rsidRPr="004863F3">
        <w:rPr>
          <w:szCs w:val="19"/>
        </w:rPr>
        <w:t>at</w:t>
      </w:r>
      <w:r w:rsidRPr="004863F3">
        <w:rPr>
          <w:szCs w:val="19"/>
        </w:rPr>
        <w:t xml:space="preserve"> the </w:t>
      </w:r>
      <w:r w:rsidR="006C287E" w:rsidRPr="004863F3">
        <w:rPr>
          <w:szCs w:val="19"/>
        </w:rPr>
        <w:t>2025 PEFO</w:t>
      </w:r>
      <w:r w:rsidRPr="004863F3">
        <w:rPr>
          <w:szCs w:val="19"/>
        </w:rPr>
        <w:t>.</w:t>
      </w:r>
    </w:p>
    <w:p w14:paraId="32FEA266" w14:textId="45219066" w:rsidR="000F07E8" w:rsidRPr="004863F3" w:rsidRDefault="000F07E8" w:rsidP="00F34E66">
      <w:pPr>
        <w:pStyle w:val="Heading3"/>
        <w:tabs>
          <w:tab w:val="left" w:pos="6123"/>
        </w:tabs>
      </w:pPr>
      <w:r w:rsidRPr="004863F3">
        <w:t>Revenue</w:t>
      </w:r>
    </w:p>
    <w:p w14:paraId="6DA8F3E6" w14:textId="715EC57B" w:rsidR="000F07E8" w:rsidRPr="004863F3" w:rsidRDefault="000F07E8" w:rsidP="000F07E8">
      <w:r w:rsidRPr="004863F3">
        <w:t>Revenue is the accrual accounting equivalent of cash</w:t>
      </w:r>
      <w:r w:rsidR="003F2134" w:rsidRPr="004863F3">
        <w:noBreakHyphen/>
      </w:r>
      <w:r w:rsidRPr="004863F3">
        <w:t>based receipts. The differences between receipts and revenue generally reflect timing differences between the recognition of receipts when cash is received and revenue at the time it is earned.</w:t>
      </w:r>
    </w:p>
    <w:p w14:paraId="05A1BE63" w14:textId="45912489" w:rsidR="000F07E8" w:rsidRPr="004863F3" w:rsidRDefault="000F07E8" w:rsidP="000F07E8">
      <w:pPr>
        <w:rPr>
          <w:szCs w:val="19"/>
        </w:rPr>
      </w:pPr>
      <w:r w:rsidRPr="004863F3">
        <w:rPr>
          <w:szCs w:val="19"/>
        </w:rPr>
        <w:t>Total revenue was $</w:t>
      </w:r>
      <w:r w:rsidR="00462AD1" w:rsidRPr="004863F3">
        <w:rPr>
          <w:szCs w:val="19"/>
        </w:rPr>
        <w:t>73</w:t>
      </w:r>
      <w:r w:rsidR="006A6278" w:rsidRPr="004863F3">
        <w:rPr>
          <w:szCs w:val="19"/>
        </w:rPr>
        <w:t>3.0</w:t>
      </w:r>
      <w:r w:rsidRPr="004863F3">
        <w:rPr>
          <w:szCs w:val="19"/>
        </w:rPr>
        <w:t> billion in 202</w:t>
      </w:r>
      <w:r w:rsidR="006C287E" w:rsidRPr="004863F3">
        <w:rPr>
          <w:szCs w:val="19"/>
        </w:rPr>
        <w:t>4</w:t>
      </w:r>
      <w:r w:rsidRPr="004863F3">
        <w:rPr>
          <w:szCs w:val="19"/>
        </w:rPr>
        <w:t>–2</w:t>
      </w:r>
      <w:r w:rsidR="006C287E" w:rsidRPr="004863F3">
        <w:rPr>
          <w:szCs w:val="19"/>
        </w:rPr>
        <w:t>5</w:t>
      </w:r>
      <w:r w:rsidRPr="004863F3">
        <w:rPr>
          <w:szCs w:val="19"/>
        </w:rPr>
        <w:t>, $</w:t>
      </w:r>
      <w:r w:rsidR="00BD5133" w:rsidRPr="004863F3">
        <w:rPr>
          <w:szCs w:val="19"/>
        </w:rPr>
        <w:t>1</w:t>
      </w:r>
      <w:r w:rsidR="00C937DD" w:rsidRPr="004863F3">
        <w:rPr>
          <w:szCs w:val="19"/>
        </w:rPr>
        <w:t>5.4</w:t>
      </w:r>
      <w:r w:rsidRPr="004863F3">
        <w:rPr>
          <w:szCs w:val="19"/>
        </w:rPr>
        <w:t xml:space="preserve"> billion </w:t>
      </w:r>
      <w:r w:rsidR="009946F4" w:rsidRPr="004863F3">
        <w:rPr>
          <w:szCs w:val="19"/>
        </w:rPr>
        <w:t>higher</w:t>
      </w:r>
      <w:r w:rsidRPr="004863F3">
        <w:rPr>
          <w:szCs w:val="19"/>
        </w:rPr>
        <w:t xml:space="preserve"> than estimated </w:t>
      </w:r>
      <w:r w:rsidR="0093794F" w:rsidRPr="004863F3">
        <w:rPr>
          <w:szCs w:val="19"/>
        </w:rPr>
        <w:t>at</w:t>
      </w:r>
      <w:r w:rsidRPr="004863F3">
        <w:rPr>
          <w:szCs w:val="19"/>
        </w:rPr>
        <w:t xml:space="preserve"> the </w:t>
      </w:r>
      <w:r w:rsidR="00C937DD" w:rsidRPr="004863F3">
        <w:rPr>
          <w:szCs w:val="19"/>
        </w:rPr>
        <w:br/>
      </w:r>
      <w:r w:rsidR="009946F4" w:rsidRPr="004863F3">
        <w:rPr>
          <w:szCs w:val="19"/>
        </w:rPr>
        <w:t>2025</w:t>
      </w:r>
      <w:r w:rsidR="0093794F" w:rsidRPr="004863F3">
        <w:rPr>
          <w:szCs w:val="19"/>
        </w:rPr>
        <w:t>–</w:t>
      </w:r>
      <w:r w:rsidR="009946F4" w:rsidRPr="004863F3">
        <w:rPr>
          <w:szCs w:val="19"/>
        </w:rPr>
        <w:t>26 Budget</w:t>
      </w:r>
      <w:r w:rsidR="00BB194B" w:rsidRPr="004863F3">
        <w:rPr>
          <w:szCs w:val="19"/>
        </w:rPr>
        <w:t xml:space="preserve"> and the 2025 PEFO</w:t>
      </w:r>
      <w:r w:rsidRPr="004863F3">
        <w:rPr>
          <w:szCs w:val="19"/>
        </w:rPr>
        <w:t>. Total cash receipts were $</w:t>
      </w:r>
      <w:r w:rsidR="00337A29" w:rsidRPr="004863F3">
        <w:rPr>
          <w:szCs w:val="19"/>
        </w:rPr>
        <w:t>717</w:t>
      </w:r>
      <w:r w:rsidR="006C287E" w:rsidRPr="004863F3">
        <w:rPr>
          <w:szCs w:val="19"/>
        </w:rPr>
        <w:t>.</w:t>
      </w:r>
      <w:r w:rsidR="00337A29" w:rsidRPr="004863F3">
        <w:rPr>
          <w:szCs w:val="19"/>
        </w:rPr>
        <w:t>0</w:t>
      </w:r>
      <w:r w:rsidRPr="004863F3">
        <w:rPr>
          <w:szCs w:val="19"/>
        </w:rPr>
        <w:t> billion, $</w:t>
      </w:r>
      <w:r w:rsidR="00EF20A5" w:rsidRPr="004863F3">
        <w:rPr>
          <w:szCs w:val="19"/>
        </w:rPr>
        <w:t>13</w:t>
      </w:r>
      <w:r w:rsidR="006C287E" w:rsidRPr="004863F3">
        <w:rPr>
          <w:szCs w:val="19"/>
        </w:rPr>
        <w:t>.</w:t>
      </w:r>
      <w:r w:rsidR="00842CD4" w:rsidRPr="004863F3">
        <w:rPr>
          <w:szCs w:val="19"/>
        </w:rPr>
        <w:t>0</w:t>
      </w:r>
      <w:r w:rsidRPr="004863F3">
        <w:rPr>
          <w:szCs w:val="19"/>
        </w:rPr>
        <w:t xml:space="preserve"> billion </w:t>
      </w:r>
      <w:r w:rsidR="0041031D" w:rsidRPr="004863F3">
        <w:rPr>
          <w:szCs w:val="19"/>
        </w:rPr>
        <w:t>higher</w:t>
      </w:r>
      <w:r w:rsidRPr="004863F3">
        <w:rPr>
          <w:szCs w:val="19"/>
        </w:rPr>
        <w:t xml:space="preserve"> than estimated </w:t>
      </w:r>
      <w:r w:rsidR="0093794F" w:rsidRPr="004863F3">
        <w:rPr>
          <w:szCs w:val="19"/>
        </w:rPr>
        <w:t>at</w:t>
      </w:r>
      <w:r w:rsidRPr="004863F3">
        <w:rPr>
          <w:szCs w:val="19"/>
        </w:rPr>
        <w:t xml:space="preserve"> the </w:t>
      </w:r>
      <w:r w:rsidR="00834C30" w:rsidRPr="004863F3">
        <w:rPr>
          <w:szCs w:val="19"/>
        </w:rPr>
        <w:t>2025</w:t>
      </w:r>
      <w:r w:rsidR="0093794F" w:rsidRPr="004863F3">
        <w:rPr>
          <w:szCs w:val="19"/>
        </w:rPr>
        <w:t>–</w:t>
      </w:r>
      <w:r w:rsidR="00834C30" w:rsidRPr="004863F3">
        <w:rPr>
          <w:szCs w:val="19"/>
        </w:rPr>
        <w:t>26 Budget</w:t>
      </w:r>
      <w:r w:rsidR="00F17324" w:rsidRPr="004863F3">
        <w:rPr>
          <w:szCs w:val="19"/>
        </w:rPr>
        <w:t xml:space="preserve"> and the 2025 PEFO</w:t>
      </w:r>
      <w:r w:rsidRPr="004863F3">
        <w:rPr>
          <w:szCs w:val="19"/>
        </w:rPr>
        <w:t>.</w:t>
      </w:r>
      <w:r w:rsidR="00395F09" w:rsidRPr="004863F3">
        <w:rPr>
          <w:szCs w:val="19"/>
        </w:rPr>
        <w:t xml:space="preserve"> </w:t>
      </w:r>
    </w:p>
    <w:p w14:paraId="29118AF2" w14:textId="431B6964" w:rsidR="000F07E8" w:rsidRPr="004863F3" w:rsidRDefault="000F07E8" w:rsidP="000F07E8">
      <w:bookmarkStart w:id="2" w:name="_Hlk114654887"/>
      <w:r w:rsidRPr="004863F3">
        <w:t xml:space="preserve">Tax revenue was </w:t>
      </w:r>
      <w:r w:rsidR="00E65AD2" w:rsidRPr="004863F3">
        <w:t>$677.2</w:t>
      </w:r>
      <w:r w:rsidR="00BF7060" w:rsidRPr="004863F3">
        <w:t> </w:t>
      </w:r>
      <w:r w:rsidRPr="004863F3">
        <w:t>billion in 202</w:t>
      </w:r>
      <w:r w:rsidR="005503CA" w:rsidRPr="004863F3">
        <w:t>4</w:t>
      </w:r>
      <w:r w:rsidRPr="004863F3">
        <w:t>–2</w:t>
      </w:r>
      <w:r w:rsidR="005503CA" w:rsidRPr="004863F3">
        <w:t>5</w:t>
      </w:r>
      <w:r w:rsidRPr="004863F3">
        <w:t xml:space="preserve">, </w:t>
      </w:r>
      <w:r w:rsidR="00F52962" w:rsidRPr="004863F3">
        <w:t>$14.0</w:t>
      </w:r>
      <w:r w:rsidRPr="004863F3">
        <w:t xml:space="preserve"> billion </w:t>
      </w:r>
      <w:r w:rsidR="00253D8B" w:rsidRPr="004863F3">
        <w:t xml:space="preserve">higher </w:t>
      </w:r>
      <w:r w:rsidRPr="004863F3">
        <w:t xml:space="preserve">than estimated </w:t>
      </w:r>
      <w:r w:rsidR="00395F09" w:rsidRPr="004863F3">
        <w:t>at</w:t>
      </w:r>
      <w:r w:rsidRPr="004863F3">
        <w:t xml:space="preserve"> the</w:t>
      </w:r>
      <w:r w:rsidR="00AA0205" w:rsidRPr="004863F3">
        <w:t xml:space="preserve"> </w:t>
      </w:r>
      <w:r w:rsidR="00DF36B8" w:rsidRPr="004863F3">
        <w:br/>
      </w:r>
      <w:r w:rsidR="00B813DE" w:rsidRPr="004863F3">
        <w:t>2025</w:t>
      </w:r>
      <w:r w:rsidR="00395F09" w:rsidRPr="004863F3">
        <w:t>–</w:t>
      </w:r>
      <w:r w:rsidR="00B813DE" w:rsidRPr="004863F3">
        <w:t>26 Budget</w:t>
      </w:r>
      <w:r w:rsidR="000B48ED" w:rsidRPr="004863F3">
        <w:t xml:space="preserve"> and</w:t>
      </w:r>
      <w:r w:rsidR="006475FF" w:rsidRPr="004863F3">
        <w:t xml:space="preserve"> the </w:t>
      </w:r>
      <w:r w:rsidR="00AA0205" w:rsidRPr="004863F3" w:rsidDel="00A8523A">
        <w:t>2025 PEFO</w:t>
      </w:r>
      <w:r w:rsidRPr="004863F3">
        <w:t>. Total tax receipts were $</w:t>
      </w:r>
      <w:r w:rsidR="006E4E5D" w:rsidRPr="004863F3">
        <w:t>657</w:t>
      </w:r>
      <w:r w:rsidR="00D26004" w:rsidRPr="004863F3">
        <w:t>.</w:t>
      </w:r>
      <w:r w:rsidR="006E4E5D" w:rsidRPr="004863F3">
        <w:t>8</w:t>
      </w:r>
      <w:r w:rsidRPr="004863F3">
        <w:t> billion in 202</w:t>
      </w:r>
      <w:r w:rsidR="00D26004" w:rsidRPr="004863F3">
        <w:t>4</w:t>
      </w:r>
      <w:r w:rsidRPr="004863F3">
        <w:t>–2</w:t>
      </w:r>
      <w:r w:rsidR="00D26004" w:rsidRPr="004863F3">
        <w:t>5</w:t>
      </w:r>
      <w:r w:rsidRPr="004863F3">
        <w:t>, $</w:t>
      </w:r>
      <w:r w:rsidR="00981C9E" w:rsidRPr="004863F3">
        <w:t>12</w:t>
      </w:r>
      <w:r w:rsidR="00D26004" w:rsidRPr="004863F3">
        <w:t>.</w:t>
      </w:r>
      <w:r w:rsidR="00981C9E" w:rsidRPr="004863F3">
        <w:t>6</w:t>
      </w:r>
      <w:r w:rsidRPr="004863F3">
        <w:t xml:space="preserve"> billion </w:t>
      </w:r>
      <w:r w:rsidR="00D26004" w:rsidRPr="004863F3">
        <w:t xml:space="preserve">higher </w:t>
      </w:r>
      <w:r w:rsidRPr="004863F3">
        <w:t xml:space="preserve">than estimated </w:t>
      </w:r>
      <w:r w:rsidR="00395F09" w:rsidRPr="004863F3">
        <w:t>at</w:t>
      </w:r>
      <w:r w:rsidRPr="004863F3">
        <w:t xml:space="preserve"> the </w:t>
      </w:r>
      <w:r w:rsidR="009F20B8" w:rsidRPr="004863F3">
        <w:t>2025</w:t>
      </w:r>
      <w:r w:rsidR="00395F09" w:rsidRPr="004863F3">
        <w:t>–</w:t>
      </w:r>
      <w:r w:rsidR="009F20B8" w:rsidRPr="004863F3">
        <w:t xml:space="preserve">26 Budget and the </w:t>
      </w:r>
      <w:r w:rsidR="00A51D0C" w:rsidRPr="004863F3">
        <w:t>2025 PEFO</w:t>
      </w:r>
      <w:r w:rsidRPr="004863F3">
        <w:t>. Changes in taxation revenue were generally driven by the same factors as receipts.</w:t>
      </w:r>
    </w:p>
    <w:bookmarkEnd w:id="2"/>
    <w:p w14:paraId="210C3B7C" w14:textId="6D823032" w:rsidR="000F07E8" w:rsidRPr="004863F3" w:rsidRDefault="00031D1B" w:rsidP="000F07E8">
      <w:r w:rsidRPr="004863F3">
        <w:rPr>
          <w:szCs w:val="19"/>
        </w:rPr>
        <w:t>Total non</w:t>
      </w:r>
      <w:r w:rsidR="001E171F" w:rsidRPr="004863F3">
        <w:rPr>
          <w:szCs w:val="19"/>
        </w:rPr>
        <w:noBreakHyphen/>
      </w:r>
      <w:r w:rsidRPr="004863F3">
        <w:rPr>
          <w:szCs w:val="19"/>
        </w:rPr>
        <w:t>tax revenue was $55.</w:t>
      </w:r>
      <w:r w:rsidR="00073722" w:rsidRPr="004863F3">
        <w:rPr>
          <w:szCs w:val="19"/>
        </w:rPr>
        <w:t>8</w:t>
      </w:r>
      <w:r w:rsidR="00BF7060" w:rsidRPr="004863F3">
        <w:rPr>
          <w:szCs w:val="19"/>
        </w:rPr>
        <w:t> </w:t>
      </w:r>
      <w:r w:rsidRPr="004863F3">
        <w:rPr>
          <w:szCs w:val="19"/>
        </w:rPr>
        <w:t>billion in 2024–25, $1.</w:t>
      </w:r>
      <w:r w:rsidR="00073722" w:rsidRPr="004863F3">
        <w:rPr>
          <w:szCs w:val="19"/>
        </w:rPr>
        <w:t>5</w:t>
      </w:r>
      <w:r w:rsidR="00BF7060" w:rsidRPr="004863F3">
        <w:rPr>
          <w:szCs w:val="19"/>
        </w:rPr>
        <w:t> </w:t>
      </w:r>
      <w:r w:rsidRPr="004863F3">
        <w:rPr>
          <w:szCs w:val="19"/>
        </w:rPr>
        <w:t>billion higher than estimated in the 2025</w:t>
      </w:r>
      <w:r w:rsidR="001E4CC5" w:rsidRPr="004863F3">
        <w:t>–</w:t>
      </w:r>
      <w:r w:rsidRPr="004863F3">
        <w:rPr>
          <w:szCs w:val="19"/>
        </w:rPr>
        <w:t>26 Budget and the 2025 PEFO. Non</w:t>
      </w:r>
      <w:r w:rsidR="001E171F" w:rsidRPr="004863F3">
        <w:rPr>
          <w:szCs w:val="19"/>
        </w:rPr>
        <w:noBreakHyphen/>
      </w:r>
      <w:r w:rsidRPr="004863F3">
        <w:rPr>
          <w:szCs w:val="19"/>
        </w:rPr>
        <w:t>tax receipts were $5</w:t>
      </w:r>
      <w:r w:rsidR="00AD53AB" w:rsidRPr="004863F3">
        <w:rPr>
          <w:szCs w:val="19"/>
        </w:rPr>
        <w:t>9.1</w:t>
      </w:r>
      <w:r w:rsidR="00BF7060" w:rsidRPr="004863F3">
        <w:rPr>
          <w:szCs w:val="19"/>
        </w:rPr>
        <w:t> </w:t>
      </w:r>
      <w:r w:rsidRPr="004863F3">
        <w:rPr>
          <w:szCs w:val="19"/>
        </w:rPr>
        <w:t>billion in 2024–25, $</w:t>
      </w:r>
      <w:r w:rsidR="00AD53AB" w:rsidRPr="004863F3">
        <w:rPr>
          <w:szCs w:val="19"/>
        </w:rPr>
        <w:t>0.4 </w:t>
      </w:r>
      <w:r w:rsidRPr="004863F3">
        <w:rPr>
          <w:szCs w:val="19"/>
        </w:rPr>
        <w:t xml:space="preserve">billion </w:t>
      </w:r>
      <w:r w:rsidR="00AD53AB" w:rsidRPr="004863F3">
        <w:rPr>
          <w:szCs w:val="19"/>
        </w:rPr>
        <w:t>higher</w:t>
      </w:r>
      <w:r w:rsidRPr="004863F3">
        <w:rPr>
          <w:szCs w:val="19"/>
        </w:rPr>
        <w:t xml:space="preserve"> than estimated in the 2025</w:t>
      </w:r>
      <w:r w:rsidR="001E4CC5" w:rsidRPr="004863F3">
        <w:t>–</w:t>
      </w:r>
      <w:r w:rsidRPr="004863F3">
        <w:rPr>
          <w:szCs w:val="19"/>
        </w:rPr>
        <w:t>26 Budget and the 2025 PEFO.</w:t>
      </w:r>
      <w:r w:rsidR="000F07E8" w:rsidRPr="004863F3">
        <w:br w:type="page"/>
      </w:r>
    </w:p>
    <w:p w14:paraId="144E1DF0" w14:textId="47B6B846" w:rsidR="0030199E" w:rsidRPr="004863F3" w:rsidRDefault="000F07E8" w:rsidP="004D08B6">
      <w:pPr>
        <w:pStyle w:val="TableHeading"/>
        <w:spacing w:before="0"/>
        <w:rPr>
          <w:color w:val="000000"/>
          <w:sz w:val="16"/>
        </w:rPr>
      </w:pPr>
      <w:r w:rsidRPr="004863F3">
        <w:t>Table 1.4: Australian Government general government sector (accrual) revenue</w:t>
      </w:r>
    </w:p>
    <w:tbl>
      <w:tblPr>
        <w:tblW w:w="5000" w:type="pct"/>
        <w:tblCellMar>
          <w:left w:w="0" w:type="dxa"/>
          <w:right w:w="28" w:type="dxa"/>
        </w:tblCellMar>
        <w:tblLook w:val="04A0" w:firstRow="1" w:lastRow="0" w:firstColumn="1" w:lastColumn="0" w:noHBand="0" w:noVBand="1"/>
      </w:tblPr>
      <w:tblGrid>
        <w:gridCol w:w="3921"/>
        <w:gridCol w:w="1263"/>
        <w:gridCol w:w="1263"/>
        <w:gridCol w:w="1263"/>
      </w:tblGrid>
      <w:tr w:rsidR="0030199E" w:rsidRPr="004863F3" w14:paraId="393C3B5C" w14:textId="77777777" w:rsidTr="004D08B6">
        <w:trPr>
          <w:trHeight w:hRule="exact" w:val="226"/>
        </w:trPr>
        <w:tc>
          <w:tcPr>
            <w:tcW w:w="2542" w:type="pct"/>
            <w:tcBorders>
              <w:top w:val="single" w:sz="4" w:space="0" w:color="293F5B"/>
              <w:left w:val="nil"/>
              <w:bottom w:val="nil"/>
              <w:right w:val="nil"/>
            </w:tcBorders>
            <w:shd w:val="clear" w:color="000000" w:fill="FFFFFF"/>
            <w:noWrap/>
            <w:vAlign w:val="center"/>
            <w:hideMark/>
          </w:tcPr>
          <w:p w14:paraId="4F0A1238" w14:textId="5DEAD083" w:rsidR="0030199E" w:rsidRPr="004863F3" w:rsidRDefault="0030199E" w:rsidP="0030199E">
            <w:pPr>
              <w:spacing w:before="0" w:after="0" w:line="240" w:lineRule="auto"/>
              <w:rPr>
                <w:rFonts w:ascii="Arial" w:hAnsi="Arial" w:cs="Arial"/>
                <w:color w:val="0000FF"/>
                <w:sz w:val="16"/>
                <w:szCs w:val="16"/>
              </w:rPr>
            </w:pPr>
            <w:r w:rsidRPr="004863F3">
              <w:rPr>
                <w:rFonts w:ascii="Arial" w:hAnsi="Arial" w:cs="Arial"/>
                <w:color w:val="0000FF"/>
                <w:sz w:val="16"/>
                <w:szCs w:val="16"/>
              </w:rPr>
              <w:t> </w:t>
            </w:r>
          </w:p>
        </w:tc>
        <w:tc>
          <w:tcPr>
            <w:tcW w:w="819" w:type="pct"/>
            <w:tcBorders>
              <w:top w:val="single" w:sz="4" w:space="0" w:color="293F5B"/>
              <w:left w:val="nil"/>
              <w:bottom w:val="nil"/>
              <w:right w:val="nil"/>
            </w:tcBorders>
            <w:shd w:val="clear" w:color="000000" w:fill="FFFFFF"/>
            <w:noWrap/>
            <w:vAlign w:val="center"/>
            <w:hideMark/>
          </w:tcPr>
          <w:p w14:paraId="5069D97E" w14:textId="30505D11"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819" w:type="pct"/>
            <w:tcBorders>
              <w:top w:val="single" w:sz="4" w:space="0" w:color="293F5B"/>
              <w:left w:val="nil"/>
              <w:bottom w:val="nil"/>
              <w:right w:val="nil"/>
            </w:tcBorders>
            <w:shd w:val="clear" w:color="000000" w:fill="E6F2FF"/>
            <w:noWrap/>
            <w:vAlign w:val="center"/>
            <w:hideMark/>
          </w:tcPr>
          <w:p w14:paraId="07C986E0" w14:textId="5CFC1B9C"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819" w:type="pct"/>
            <w:tcBorders>
              <w:top w:val="single" w:sz="4" w:space="0" w:color="293F5B"/>
              <w:left w:val="nil"/>
              <w:bottom w:val="nil"/>
              <w:right w:val="nil"/>
            </w:tcBorders>
            <w:shd w:val="clear" w:color="000000" w:fill="FFFFFF"/>
            <w:noWrap/>
            <w:vAlign w:val="bottom"/>
            <w:hideMark/>
          </w:tcPr>
          <w:p w14:paraId="5947F985"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Change on</w:t>
            </w:r>
          </w:p>
        </w:tc>
      </w:tr>
      <w:tr w:rsidR="0030199E" w:rsidRPr="004863F3" w14:paraId="06A3AD5C" w14:textId="77777777" w:rsidTr="004D08B6">
        <w:trPr>
          <w:trHeight w:hRule="exact" w:val="226"/>
        </w:trPr>
        <w:tc>
          <w:tcPr>
            <w:tcW w:w="2542" w:type="pct"/>
            <w:tcBorders>
              <w:top w:val="nil"/>
              <w:left w:val="nil"/>
              <w:bottom w:val="nil"/>
              <w:right w:val="nil"/>
            </w:tcBorders>
            <w:shd w:val="clear" w:color="000000" w:fill="FFFFFF"/>
            <w:noWrap/>
            <w:vAlign w:val="center"/>
            <w:hideMark/>
          </w:tcPr>
          <w:p w14:paraId="56BDFC4E" w14:textId="77777777" w:rsidR="0030199E" w:rsidRPr="004863F3" w:rsidRDefault="0030199E" w:rsidP="0030199E">
            <w:pPr>
              <w:spacing w:before="0" w:after="0" w:line="240" w:lineRule="auto"/>
              <w:rPr>
                <w:rFonts w:ascii="Arial" w:hAnsi="Arial" w:cs="Arial"/>
                <w:color w:val="0000FF"/>
                <w:sz w:val="16"/>
                <w:szCs w:val="16"/>
              </w:rPr>
            </w:pPr>
            <w:r w:rsidRPr="004863F3">
              <w:rPr>
                <w:rFonts w:ascii="Arial" w:hAnsi="Arial" w:cs="Arial"/>
                <w:color w:val="0000FF"/>
                <w:sz w:val="16"/>
                <w:szCs w:val="16"/>
              </w:rPr>
              <w:t> </w:t>
            </w:r>
          </w:p>
        </w:tc>
        <w:tc>
          <w:tcPr>
            <w:tcW w:w="819" w:type="pct"/>
            <w:tcBorders>
              <w:top w:val="nil"/>
              <w:left w:val="nil"/>
              <w:bottom w:val="nil"/>
              <w:right w:val="nil"/>
            </w:tcBorders>
            <w:shd w:val="clear" w:color="000000" w:fill="FFFFFF"/>
            <w:noWrap/>
            <w:vAlign w:val="center"/>
            <w:hideMark/>
          </w:tcPr>
          <w:p w14:paraId="51852BE7"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819" w:type="pct"/>
            <w:tcBorders>
              <w:top w:val="nil"/>
              <w:left w:val="nil"/>
              <w:bottom w:val="nil"/>
              <w:right w:val="nil"/>
            </w:tcBorders>
            <w:shd w:val="clear" w:color="000000" w:fill="E6F2FF"/>
            <w:noWrap/>
            <w:vAlign w:val="center"/>
            <w:hideMark/>
          </w:tcPr>
          <w:p w14:paraId="7CF22883"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Outcome</w:t>
            </w:r>
          </w:p>
        </w:tc>
        <w:tc>
          <w:tcPr>
            <w:tcW w:w="819" w:type="pct"/>
            <w:tcBorders>
              <w:top w:val="nil"/>
              <w:left w:val="nil"/>
              <w:bottom w:val="nil"/>
              <w:right w:val="nil"/>
            </w:tcBorders>
            <w:shd w:val="clear" w:color="000000" w:fill="FFFFFF"/>
            <w:noWrap/>
            <w:vAlign w:val="center"/>
            <w:hideMark/>
          </w:tcPr>
          <w:p w14:paraId="7109237F" w14:textId="2188D873"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r>
      <w:tr w:rsidR="0030199E" w:rsidRPr="004863F3" w14:paraId="0E5C1A60" w14:textId="77777777" w:rsidTr="004D08B6">
        <w:trPr>
          <w:trHeight w:hRule="exact" w:val="226"/>
        </w:trPr>
        <w:tc>
          <w:tcPr>
            <w:tcW w:w="2542" w:type="pct"/>
            <w:tcBorders>
              <w:top w:val="nil"/>
              <w:left w:val="nil"/>
              <w:bottom w:val="nil"/>
              <w:right w:val="nil"/>
            </w:tcBorders>
            <w:shd w:val="clear" w:color="000000" w:fill="FFFFFF"/>
            <w:noWrap/>
            <w:vAlign w:val="center"/>
            <w:hideMark/>
          </w:tcPr>
          <w:p w14:paraId="503E5D64" w14:textId="77777777" w:rsidR="0030199E" w:rsidRPr="004863F3" w:rsidRDefault="0030199E" w:rsidP="0030199E">
            <w:pPr>
              <w:spacing w:before="0" w:after="0" w:line="240" w:lineRule="auto"/>
              <w:rPr>
                <w:rFonts w:ascii="Arial" w:hAnsi="Arial" w:cs="Arial"/>
                <w:color w:val="0000FF"/>
                <w:sz w:val="16"/>
                <w:szCs w:val="16"/>
              </w:rPr>
            </w:pPr>
            <w:r w:rsidRPr="004863F3">
              <w:rPr>
                <w:rFonts w:ascii="Arial" w:hAnsi="Arial" w:cs="Arial"/>
                <w:color w:val="0000FF"/>
                <w:sz w:val="16"/>
                <w:szCs w:val="16"/>
              </w:rPr>
              <w:t> </w:t>
            </w:r>
          </w:p>
        </w:tc>
        <w:tc>
          <w:tcPr>
            <w:tcW w:w="819" w:type="pct"/>
            <w:tcBorders>
              <w:top w:val="nil"/>
              <w:left w:val="nil"/>
              <w:bottom w:val="nil"/>
              <w:right w:val="nil"/>
            </w:tcBorders>
            <w:shd w:val="clear" w:color="000000" w:fill="FFFFFF"/>
            <w:noWrap/>
            <w:vAlign w:val="center"/>
            <w:hideMark/>
          </w:tcPr>
          <w:p w14:paraId="03919D4C" w14:textId="6D95D509"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c>
          <w:tcPr>
            <w:tcW w:w="819" w:type="pct"/>
            <w:tcBorders>
              <w:top w:val="nil"/>
              <w:left w:val="nil"/>
              <w:bottom w:val="nil"/>
              <w:right w:val="nil"/>
            </w:tcBorders>
            <w:shd w:val="clear" w:color="000000" w:fill="E6F2FF"/>
            <w:noWrap/>
            <w:vAlign w:val="center"/>
            <w:hideMark/>
          </w:tcPr>
          <w:p w14:paraId="044C2988"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 </w:t>
            </w:r>
          </w:p>
        </w:tc>
        <w:tc>
          <w:tcPr>
            <w:tcW w:w="819" w:type="pct"/>
            <w:tcBorders>
              <w:top w:val="nil"/>
              <w:left w:val="nil"/>
              <w:bottom w:val="nil"/>
              <w:right w:val="nil"/>
            </w:tcBorders>
            <w:shd w:val="clear" w:color="000000" w:fill="FFFFFF"/>
            <w:noWrap/>
            <w:vAlign w:val="bottom"/>
            <w:hideMark/>
          </w:tcPr>
          <w:p w14:paraId="78E1ED5E"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Budget</w:t>
            </w:r>
          </w:p>
        </w:tc>
      </w:tr>
      <w:tr w:rsidR="0030199E" w:rsidRPr="004863F3" w14:paraId="17FA60AD" w14:textId="77777777" w:rsidTr="004D08B6">
        <w:trPr>
          <w:trHeight w:hRule="exact" w:val="226"/>
        </w:trPr>
        <w:tc>
          <w:tcPr>
            <w:tcW w:w="2542" w:type="pct"/>
            <w:tcBorders>
              <w:top w:val="nil"/>
              <w:left w:val="nil"/>
              <w:bottom w:val="nil"/>
              <w:right w:val="nil"/>
            </w:tcBorders>
            <w:shd w:val="clear" w:color="000000" w:fill="FFFFFF"/>
            <w:noWrap/>
            <w:vAlign w:val="center"/>
            <w:hideMark/>
          </w:tcPr>
          <w:p w14:paraId="7E6C85A6" w14:textId="77777777" w:rsidR="0030199E" w:rsidRPr="004863F3" w:rsidRDefault="0030199E" w:rsidP="0030199E">
            <w:pPr>
              <w:spacing w:before="0" w:after="0" w:line="240" w:lineRule="auto"/>
              <w:rPr>
                <w:rFonts w:ascii="Arial" w:hAnsi="Arial" w:cs="Arial"/>
                <w:color w:val="0000FF"/>
                <w:sz w:val="16"/>
                <w:szCs w:val="16"/>
              </w:rPr>
            </w:pPr>
            <w:r w:rsidRPr="004863F3">
              <w:rPr>
                <w:rFonts w:ascii="Arial" w:hAnsi="Arial" w:cs="Arial"/>
                <w:color w:val="0000FF"/>
                <w:sz w:val="16"/>
                <w:szCs w:val="16"/>
              </w:rPr>
              <w:t> </w:t>
            </w:r>
          </w:p>
        </w:tc>
        <w:tc>
          <w:tcPr>
            <w:tcW w:w="819" w:type="pct"/>
            <w:tcBorders>
              <w:top w:val="nil"/>
              <w:left w:val="nil"/>
              <w:bottom w:val="nil"/>
              <w:right w:val="nil"/>
            </w:tcBorders>
            <w:shd w:val="clear" w:color="000000" w:fill="FFFFFF"/>
            <w:noWrap/>
            <w:vAlign w:val="center"/>
            <w:hideMark/>
          </w:tcPr>
          <w:p w14:paraId="24503B06"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819" w:type="pct"/>
            <w:tcBorders>
              <w:top w:val="nil"/>
              <w:left w:val="nil"/>
              <w:bottom w:val="nil"/>
              <w:right w:val="nil"/>
            </w:tcBorders>
            <w:shd w:val="clear" w:color="000000" w:fill="E6F2FF"/>
            <w:noWrap/>
            <w:vAlign w:val="center"/>
            <w:hideMark/>
          </w:tcPr>
          <w:p w14:paraId="34F529A0"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 </w:t>
            </w:r>
          </w:p>
        </w:tc>
        <w:tc>
          <w:tcPr>
            <w:tcW w:w="819" w:type="pct"/>
            <w:tcBorders>
              <w:top w:val="nil"/>
              <w:left w:val="nil"/>
              <w:bottom w:val="nil"/>
              <w:right w:val="nil"/>
            </w:tcBorders>
            <w:shd w:val="clear" w:color="000000" w:fill="FFFFFF"/>
            <w:noWrap/>
            <w:vAlign w:val="center"/>
            <w:hideMark/>
          </w:tcPr>
          <w:p w14:paraId="3C4AADCD" w14:textId="77777777" w:rsidR="0030199E" w:rsidRPr="004863F3" w:rsidRDefault="0030199E" w:rsidP="0030199E">
            <w:pPr>
              <w:spacing w:before="0" w:after="0" w:line="240" w:lineRule="auto"/>
              <w:jc w:val="center"/>
              <w:rPr>
                <w:rFonts w:ascii="Arial" w:hAnsi="Arial" w:cs="Arial"/>
                <w:sz w:val="16"/>
                <w:szCs w:val="16"/>
              </w:rPr>
            </w:pPr>
            <w:r w:rsidRPr="004863F3">
              <w:rPr>
                <w:rFonts w:ascii="Arial" w:hAnsi="Arial" w:cs="Arial"/>
                <w:sz w:val="16"/>
                <w:szCs w:val="16"/>
              </w:rPr>
              <w:t> </w:t>
            </w:r>
          </w:p>
        </w:tc>
      </w:tr>
      <w:tr w:rsidR="0030199E" w:rsidRPr="004863F3" w14:paraId="7CED69A0" w14:textId="77777777" w:rsidTr="004D08B6">
        <w:trPr>
          <w:trHeight w:hRule="exact" w:val="226"/>
        </w:trPr>
        <w:tc>
          <w:tcPr>
            <w:tcW w:w="2542" w:type="pct"/>
            <w:tcBorders>
              <w:top w:val="nil"/>
              <w:left w:val="nil"/>
              <w:bottom w:val="nil"/>
              <w:right w:val="nil"/>
            </w:tcBorders>
            <w:shd w:val="clear" w:color="000000" w:fill="FFFFFF"/>
            <w:vAlign w:val="center"/>
            <w:hideMark/>
          </w:tcPr>
          <w:p w14:paraId="7B5B8018" w14:textId="77777777" w:rsidR="0030199E" w:rsidRPr="004863F3" w:rsidRDefault="0030199E" w:rsidP="0030199E">
            <w:pPr>
              <w:spacing w:before="0" w:after="0" w:line="240" w:lineRule="auto"/>
              <w:rPr>
                <w:rFonts w:ascii="Arial" w:hAnsi="Arial" w:cs="Arial"/>
                <w:color w:val="0000FF"/>
                <w:sz w:val="16"/>
                <w:szCs w:val="16"/>
              </w:rPr>
            </w:pPr>
            <w:r w:rsidRPr="004863F3">
              <w:rPr>
                <w:rFonts w:ascii="Arial" w:hAnsi="Arial" w:cs="Arial"/>
                <w:color w:val="0000FF"/>
                <w:sz w:val="16"/>
                <w:szCs w:val="16"/>
              </w:rPr>
              <w:t> </w:t>
            </w:r>
          </w:p>
        </w:tc>
        <w:tc>
          <w:tcPr>
            <w:tcW w:w="819" w:type="pct"/>
            <w:tcBorders>
              <w:top w:val="nil"/>
              <w:left w:val="nil"/>
              <w:bottom w:val="single" w:sz="4" w:space="0" w:color="293F5B"/>
              <w:right w:val="nil"/>
            </w:tcBorders>
            <w:shd w:val="clear" w:color="000000" w:fill="FFFFFF"/>
            <w:vAlign w:val="center"/>
            <w:hideMark/>
          </w:tcPr>
          <w:p w14:paraId="004E2237"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$m</w:t>
            </w:r>
          </w:p>
        </w:tc>
        <w:tc>
          <w:tcPr>
            <w:tcW w:w="819" w:type="pct"/>
            <w:tcBorders>
              <w:top w:val="nil"/>
              <w:left w:val="nil"/>
              <w:bottom w:val="single" w:sz="4" w:space="0" w:color="293F5B"/>
              <w:right w:val="nil"/>
            </w:tcBorders>
            <w:shd w:val="clear" w:color="000000" w:fill="E6F2FF"/>
            <w:vAlign w:val="center"/>
            <w:hideMark/>
          </w:tcPr>
          <w:p w14:paraId="50835772"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$m</w:t>
            </w:r>
          </w:p>
        </w:tc>
        <w:tc>
          <w:tcPr>
            <w:tcW w:w="819" w:type="pct"/>
            <w:tcBorders>
              <w:top w:val="nil"/>
              <w:left w:val="nil"/>
              <w:bottom w:val="single" w:sz="4" w:space="0" w:color="293F5B"/>
              <w:right w:val="nil"/>
            </w:tcBorders>
            <w:shd w:val="clear" w:color="000000" w:fill="FFFFFF"/>
            <w:vAlign w:val="center"/>
            <w:hideMark/>
          </w:tcPr>
          <w:p w14:paraId="59BE847C"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$m</w:t>
            </w:r>
          </w:p>
        </w:tc>
      </w:tr>
      <w:tr w:rsidR="0030199E" w:rsidRPr="004863F3" w14:paraId="26FCBABD"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3AFA247F"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Individuals and other withholding taxes</w:t>
            </w:r>
          </w:p>
        </w:tc>
        <w:tc>
          <w:tcPr>
            <w:tcW w:w="819" w:type="pct"/>
            <w:tcBorders>
              <w:top w:val="nil"/>
              <w:left w:val="nil"/>
              <w:bottom w:val="nil"/>
              <w:right w:val="nil"/>
            </w:tcBorders>
            <w:shd w:val="clear" w:color="000000" w:fill="FFFFFF"/>
            <w:noWrap/>
            <w:vAlign w:val="center"/>
            <w:hideMark/>
          </w:tcPr>
          <w:p w14:paraId="29570244"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 </w:t>
            </w:r>
          </w:p>
        </w:tc>
        <w:tc>
          <w:tcPr>
            <w:tcW w:w="819" w:type="pct"/>
            <w:tcBorders>
              <w:top w:val="nil"/>
              <w:left w:val="nil"/>
              <w:bottom w:val="nil"/>
              <w:right w:val="nil"/>
            </w:tcBorders>
            <w:shd w:val="clear" w:color="000000" w:fill="E6F2FF"/>
            <w:noWrap/>
            <w:vAlign w:val="center"/>
            <w:hideMark/>
          </w:tcPr>
          <w:p w14:paraId="09FEB449"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819" w:type="pct"/>
            <w:tcBorders>
              <w:top w:val="nil"/>
              <w:left w:val="nil"/>
              <w:bottom w:val="nil"/>
              <w:right w:val="nil"/>
            </w:tcBorders>
            <w:shd w:val="clear" w:color="000000" w:fill="FFFFFF"/>
            <w:noWrap/>
            <w:vAlign w:val="center"/>
            <w:hideMark/>
          </w:tcPr>
          <w:p w14:paraId="0B57163C"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199E" w:rsidRPr="004863F3" w14:paraId="32B39D7F"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4894AE51" w14:textId="77777777" w:rsidR="0030199E" w:rsidRPr="004863F3" w:rsidRDefault="0030199E" w:rsidP="004D08B6">
            <w:pPr>
              <w:spacing w:before="0" w:after="0" w:line="240" w:lineRule="auto"/>
              <w:ind w:left="170"/>
              <w:rPr>
                <w:rFonts w:ascii="Arial" w:hAnsi="Arial" w:cs="Arial"/>
                <w:sz w:val="16"/>
                <w:szCs w:val="16"/>
              </w:rPr>
            </w:pPr>
            <w:r w:rsidRPr="004863F3">
              <w:rPr>
                <w:rFonts w:ascii="Arial" w:hAnsi="Arial" w:cs="Arial"/>
                <w:sz w:val="16"/>
                <w:szCs w:val="16"/>
              </w:rPr>
              <w:t>Gross income tax withholding</w:t>
            </w:r>
          </w:p>
        </w:tc>
        <w:tc>
          <w:tcPr>
            <w:tcW w:w="819" w:type="pct"/>
            <w:tcBorders>
              <w:top w:val="nil"/>
              <w:left w:val="nil"/>
              <w:bottom w:val="nil"/>
              <w:right w:val="nil"/>
            </w:tcBorders>
            <w:shd w:val="clear" w:color="000000" w:fill="FFFFFF"/>
            <w:noWrap/>
            <w:vAlign w:val="center"/>
            <w:hideMark/>
          </w:tcPr>
          <w:p w14:paraId="0AF0221C"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296,800</w:t>
            </w:r>
          </w:p>
        </w:tc>
        <w:tc>
          <w:tcPr>
            <w:tcW w:w="819" w:type="pct"/>
            <w:tcBorders>
              <w:top w:val="nil"/>
              <w:left w:val="nil"/>
              <w:bottom w:val="nil"/>
              <w:right w:val="nil"/>
            </w:tcBorders>
            <w:shd w:val="clear" w:color="000000" w:fill="E6F2FF"/>
            <w:noWrap/>
            <w:vAlign w:val="center"/>
            <w:hideMark/>
          </w:tcPr>
          <w:p w14:paraId="395946FE"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299,394</w:t>
            </w:r>
          </w:p>
        </w:tc>
        <w:tc>
          <w:tcPr>
            <w:tcW w:w="819" w:type="pct"/>
            <w:tcBorders>
              <w:top w:val="nil"/>
              <w:left w:val="nil"/>
              <w:bottom w:val="nil"/>
              <w:right w:val="nil"/>
            </w:tcBorders>
            <w:shd w:val="clear" w:color="000000" w:fill="FFFFFF"/>
            <w:noWrap/>
            <w:vAlign w:val="center"/>
            <w:hideMark/>
          </w:tcPr>
          <w:p w14:paraId="3105484E"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2,594</w:t>
            </w:r>
          </w:p>
        </w:tc>
      </w:tr>
      <w:tr w:rsidR="0030199E" w:rsidRPr="004863F3" w14:paraId="3DE6D27D"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2FADDDB7" w14:textId="77777777" w:rsidR="0030199E" w:rsidRPr="004863F3" w:rsidRDefault="0030199E" w:rsidP="004D08B6">
            <w:pPr>
              <w:spacing w:before="0" w:after="0" w:line="240" w:lineRule="auto"/>
              <w:ind w:left="170"/>
              <w:rPr>
                <w:rFonts w:ascii="Arial" w:hAnsi="Arial" w:cs="Arial"/>
                <w:sz w:val="16"/>
                <w:szCs w:val="16"/>
              </w:rPr>
            </w:pPr>
            <w:r w:rsidRPr="004863F3">
              <w:rPr>
                <w:rFonts w:ascii="Arial" w:hAnsi="Arial" w:cs="Arial"/>
                <w:sz w:val="16"/>
                <w:szCs w:val="16"/>
              </w:rPr>
              <w:t>Gross other individuals</w:t>
            </w:r>
          </w:p>
        </w:tc>
        <w:tc>
          <w:tcPr>
            <w:tcW w:w="819" w:type="pct"/>
            <w:tcBorders>
              <w:top w:val="nil"/>
              <w:left w:val="nil"/>
              <w:bottom w:val="nil"/>
              <w:right w:val="nil"/>
            </w:tcBorders>
            <w:shd w:val="clear" w:color="000000" w:fill="FFFFFF"/>
            <w:noWrap/>
            <w:vAlign w:val="center"/>
            <w:hideMark/>
          </w:tcPr>
          <w:p w14:paraId="3C1F8162"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86,200</w:t>
            </w:r>
          </w:p>
        </w:tc>
        <w:tc>
          <w:tcPr>
            <w:tcW w:w="819" w:type="pct"/>
            <w:tcBorders>
              <w:top w:val="nil"/>
              <w:left w:val="nil"/>
              <w:bottom w:val="nil"/>
              <w:right w:val="nil"/>
            </w:tcBorders>
            <w:shd w:val="clear" w:color="000000" w:fill="E6F2FF"/>
            <w:noWrap/>
            <w:vAlign w:val="center"/>
            <w:hideMark/>
          </w:tcPr>
          <w:p w14:paraId="1FB36685"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86,228</w:t>
            </w:r>
          </w:p>
        </w:tc>
        <w:tc>
          <w:tcPr>
            <w:tcW w:w="819" w:type="pct"/>
            <w:tcBorders>
              <w:top w:val="nil"/>
              <w:left w:val="nil"/>
              <w:bottom w:val="nil"/>
              <w:right w:val="nil"/>
            </w:tcBorders>
            <w:shd w:val="clear" w:color="000000" w:fill="FFFFFF"/>
            <w:noWrap/>
            <w:vAlign w:val="center"/>
            <w:hideMark/>
          </w:tcPr>
          <w:p w14:paraId="4070AE98"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28</w:t>
            </w:r>
          </w:p>
        </w:tc>
      </w:tr>
      <w:tr w:rsidR="0030199E" w:rsidRPr="004863F3" w14:paraId="6CD42099"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5B25D402" w14:textId="77777777" w:rsidR="0030199E" w:rsidRPr="004863F3" w:rsidRDefault="0030199E" w:rsidP="004D08B6">
            <w:pPr>
              <w:spacing w:before="0" w:after="0" w:line="240" w:lineRule="auto"/>
              <w:ind w:left="170"/>
              <w:rPr>
                <w:rFonts w:ascii="Arial" w:hAnsi="Arial" w:cs="Arial"/>
                <w:i/>
                <w:iCs/>
                <w:sz w:val="16"/>
                <w:szCs w:val="16"/>
              </w:rPr>
            </w:pPr>
            <w:r w:rsidRPr="004863F3">
              <w:rPr>
                <w:rFonts w:ascii="Arial" w:hAnsi="Arial" w:cs="Arial"/>
                <w:i/>
                <w:iCs/>
                <w:sz w:val="16"/>
                <w:szCs w:val="16"/>
              </w:rPr>
              <w:t>less:</w:t>
            </w:r>
            <w:r w:rsidRPr="004863F3">
              <w:rPr>
                <w:rFonts w:ascii="Arial" w:hAnsi="Arial" w:cs="Arial"/>
                <w:sz w:val="16"/>
                <w:szCs w:val="16"/>
              </w:rPr>
              <w:t xml:space="preserve"> Refunds</w:t>
            </w:r>
          </w:p>
        </w:tc>
        <w:tc>
          <w:tcPr>
            <w:tcW w:w="819" w:type="pct"/>
            <w:tcBorders>
              <w:top w:val="nil"/>
              <w:left w:val="nil"/>
              <w:bottom w:val="single" w:sz="4" w:space="0" w:color="000000"/>
              <w:right w:val="nil"/>
            </w:tcBorders>
            <w:shd w:val="clear" w:color="000000" w:fill="FFFFFF"/>
            <w:noWrap/>
            <w:vAlign w:val="center"/>
            <w:hideMark/>
          </w:tcPr>
          <w:p w14:paraId="55433F52"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39,200</w:t>
            </w:r>
          </w:p>
        </w:tc>
        <w:tc>
          <w:tcPr>
            <w:tcW w:w="819" w:type="pct"/>
            <w:tcBorders>
              <w:top w:val="nil"/>
              <w:left w:val="nil"/>
              <w:bottom w:val="single" w:sz="4" w:space="0" w:color="000000"/>
              <w:right w:val="nil"/>
            </w:tcBorders>
            <w:shd w:val="clear" w:color="000000" w:fill="E6F2FF"/>
            <w:noWrap/>
            <w:vAlign w:val="center"/>
            <w:hideMark/>
          </w:tcPr>
          <w:p w14:paraId="0FE10A87"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39,223</w:t>
            </w:r>
          </w:p>
        </w:tc>
        <w:tc>
          <w:tcPr>
            <w:tcW w:w="819" w:type="pct"/>
            <w:tcBorders>
              <w:top w:val="nil"/>
              <w:left w:val="nil"/>
              <w:bottom w:val="single" w:sz="4" w:space="0" w:color="000000"/>
              <w:right w:val="nil"/>
            </w:tcBorders>
            <w:shd w:val="clear" w:color="000000" w:fill="FFFFFF"/>
            <w:noWrap/>
            <w:vAlign w:val="center"/>
            <w:hideMark/>
          </w:tcPr>
          <w:p w14:paraId="475D996F"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23</w:t>
            </w:r>
          </w:p>
        </w:tc>
      </w:tr>
      <w:tr w:rsidR="0030199E" w:rsidRPr="004863F3" w14:paraId="7120879D"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20F36F4A" w14:textId="77777777" w:rsidR="0030199E" w:rsidRPr="004863F3" w:rsidRDefault="0030199E" w:rsidP="0030199E">
            <w:pPr>
              <w:spacing w:before="0" w:after="0" w:line="240" w:lineRule="auto"/>
              <w:rPr>
                <w:rFonts w:ascii="Arial" w:hAnsi="Arial" w:cs="Arial"/>
                <w:sz w:val="16"/>
                <w:szCs w:val="16"/>
              </w:rPr>
            </w:pPr>
            <w:r w:rsidRPr="004863F3">
              <w:rPr>
                <w:rFonts w:ascii="Arial" w:hAnsi="Arial" w:cs="Arial"/>
                <w:sz w:val="16"/>
                <w:szCs w:val="16"/>
              </w:rPr>
              <w:t>Total individuals and other withholding tax</w:t>
            </w:r>
          </w:p>
        </w:tc>
        <w:tc>
          <w:tcPr>
            <w:tcW w:w="819" w:type="pct"/>
            <w:tcBorders>
              <w:top w:val="nil"/>
              <w:left w:val="nil"/>
              <w:bottom w:val="nil"/>
              <w:right w:val="nil"/>
            </w:tcBorders>
            <w:shd w:val="clear" w:color="000000" w:fill="FFFFFF"/>
            <w:noWrap/>
            <w:vAlign w:val="center"/>
            <w:hideMark/>
          </w:tcPr>
          <w:p w14:paraId="36013E54"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343,800</w:t>
            </w:r>
          </w:p>
        </w:tc>
        <w:tc>
          <w:tcPr>
            <w:tcW w:w="819" w:type="pct"/>
            <w:tcBorders>
              <w:top w:val="nil"/>
              <w:left w:val="nil"/>
              <w:bottom w:val="nil"/>
              <w:right w:val="nil"/>
            </w:tcBorders>
            <w:shd w:val="clear" w:color="000000" w:fill="E6F2FF"/>
            <w:noWrap/>
            <w:vAlign w:val="center"/>
            <w:hideMark/>
          </w:tcPr>
          <w:p w14:paraId="68C0EB30"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346,399</w:t>
            </w:r>
          </w:p>
        </w:tc>
        <w:tc>
          <w:tcPr>
            <w:tcW w:w="819" w:type="pct"/>
            <w:tcBorders>
              <w:top w:val="nil"/>
              <w:left w:val="nil"/>
              <w:bottom w:val="nil"/>
              <w:right w:val="nil"/>
            </w:tcBorders>
            <w:shd w:val="clear" w:color="000000" w:fill="FFFFFF"/>
            <w:noWrap/>
            <w:vAlign w:val="center"/>
            <w:hideMark/>
          </w:tcPr>
          <w:p w14:paraId="4C0B8600"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2,599</w:t>
            </w:r>
          </w:p>
        </w:tc>
      </w:tr>
      <w:tr w:rsidR="0030199E" w:rsidRPr="004863F3" w14:paraId="117CE25A"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07FF752B"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Fringe benefits tax</w:t>
            </w:r>
          </w:p>
        </w:tc>
        <w:tc>
          <w:tcPr>
            <w:tcW w:w="819" w:type="pct"/>
            <w:tcBorders>
              <w:top w:val="nil"/>
              <w:left w:val="nil"/>
              <w:bottom w:val="nil"/>
              <w:right w:val="nil"/>
            </w:tcBorders>
            <w:shd w:val="clear" w:color="000000" w:fill="FFFFFF"/>
            <w:noWrap/>
            <w:vAlign w:val="center"/>
            <w:hideMark/>
          </w:tcPr>
          <w:p w14:paraId="6E3EB215"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5,070</w:t>
            </w:r>
          </w:p>
        </w:tc>
        <w:tc>
          <w:tcPr>
            <w:tcW w:w="819" w:type="pct"/>
            <w:tcBorders>
              <w:top w:val="nil"/>
              <w:left w:val="nil"/>
              <w:bottom w:val="nil"/>
              <w:right w:val="nil"/>
            </w:tcBorders>
            <w:shd w:val="clear" w:color="000000" w:fill="E6F2FF"/>
            <w:noWrap/>
            <w:vAlign w:val="center"/>
            <w:hideMark/>
          </w:tcPr>
          <w:p w14:paraId="7642CA0F"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5,194</w:t>
            </w:r>
          </w:p>
        </w:tc>
        <w:tc>
          <w:tcPr>
            <w:tcW w:w="819" w:type="pct"/>
            <w:tcBorders>
              <w:top w:val="nil"/>
              <w:left w:val="nil"/>
              <w:bottom w:val="nil"/>
              <w:right w:val="nil"/>
            </w:tcBorders>
            <w:shd w:val="clear" w:color="000000" w:fill="FFFFFF"/>
            <w:noWrap/>
            <w:vAlign w:val="center"/>
            <w:hideMark/>
          </w:tcPr>
          <w:p w14:paraId="7B4E9A28"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124</w:t>
            </w:r>
          </w:p>
        </w:tc>
      </w:tr>
      <w:tr w:rsidR="0030199E" w:rsidRPr="004863F3" w14:paraId="41146051"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7F0446DF"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Company tax</w:t>
            </w:r>
          </w:p>
        </w:tc>
        <w:tc>
          <w:tcPr>
            <w:tcW w:w="819" w:type="pct"/>
            <w:tcBorders>
              <w:top w:val="nil"/>
              <w:left w:val="nil"/>
              <w:bottom w:val="nil"/>
              <w:right w:val="nil"/>
            </w:tcBorders>
            <w:shd w:val="clear" w:color="000000" w:fill="FFFFFF"/>
            <w:noWrap/>
            <w:vAlign w:val="center"/>
            <w:hideMark/>
          </w:tcPr>
          <w:p w14:paraId="621FD158"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136,500</w:t>
            </w:r>
          </w:p>
        </w:tc>
        <w:tc>
          <w:tcPr>
            <w:tcW w:w="819" w:type="pct"/>
            <w:tcBorders>
              <w:top w:val="nil"/>
              <w:left w:val="nil"/>
              <w:bottom w:val="nil"/>
              <w:right w:val="nil"/>
            </w:tcBorders>
            <w:shd w:val="clear" w:color="000000" w:fill="E6F2FF"/>
            <w:noWrap/>
            <w:vAlign w:val="center"/>
            <w:hideMark/>
          </w:tcPr>
          <w:p w14:paraId="79AF1261"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142,159</w:t>
            </w:r>
          </w:p>
        </w:tc>
        <w:tc>
          <w:tcPr>
            <w:tcW w:w="819" w:type="pct"/>
            <w:tcBorders>
              <w:top w:val="nil"/>
              <w:left w:val="nil"/>
              <w:bottom w:val="nil"/>
              <w:right w:val="nil"/>
            </w:tcBorders>
            <w:shd w:val="clear" w:color="000000" w:fill="FFFFFF"/>
            <w:noWrap/>
            <w:vAlign w:val="center"/>
            <w:hideMark/>
          </w:tcPr>
          <w:p w14:paraId="4C610547"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5,659</w:t>
            </w:r>
          </w:p>
        </w:tc>
      </w:tr>
      <w:tr w:rsidR="0030199E" w:rsidRPr="004863F3" w14:paraId="594966FA"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45BFD001"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Superannuation fund taxes</w:t>
            </w:r>
          </w:p>
        </w:tc>
        <w:tc>
          <w:tcPr>
            <w:tcW w:w="819" w:type="pct"/>
            <w:tcBorders>
              <w:top w:val="nil"/>
              <w:left w:val="nil"/>
              <w:bottom w:val="nil"/>
              <w:right w:val="nil"/>
            </w:tcBorders>
            <w:shd w:val="clear" w:color="000000" w:fill="FFFFFF"/>
            <w:noWrap/>
            <w:vAlign w:val="center"/>
            <w:hideMark/>
          </w:tcPr>
          <w:p w14:paraId="6A9B8243"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22,830</w:t>
            </w:r>
          </w:p>
        </w:tc>
        <w:tc>
          <w:tcPr>
            <w:tcW w:w="819" w:type="pct"/>
            <w:tcBorders>
              <w:top w:val="nil"/>
              <w:left w:val="nil"/>
              <w:bottom w:val="nil"/>
              <w:right w:val="nil"/>
            </w:tcBorders>
            <w:shd w:val="clear" w:color="000000" w:fill="E6F2FF"/>
            <w:noWrap/>
            <w:vAlign w:val="center"/>
            <w:hideMark/>
          </w:tcPr>
          <w:p w14:paraId="6AE1449D"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26,055</w:t>
            </w:r>
          </w:p>
        </w:tc>
        <w:tc>
          <w:tcPr>
            <w:tcW w:w="819" w:type="pct"/>
            <w:tcBorders>
              <w:top w:val="nil"/>
              <w:left w:val="nil"/>
              <w:bottom w:val="nil"/>
              <w:right w:val="nil"/>
            </w:tcBorders>
            <w:shd w:val="clear" w:color="000000" w:fill="FFFFFF"/>
            <w:noWrap/>
            <w:vAlign w:val="center"/>
            <w:hideMark/>
          </w:tcPr>
          <w:p w14:paraId="5F123A09"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3,225</w:t>
            </w:r>
          </w:p>
        </w:tc>
      </w:tr>
      <w:tr w:rsidR="0030199E" w:rsidRPr="004863F3" w14:paraId="2CCE0B88"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70005A63"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Petroleum resource rent tax</w:t>
            </w:r>
          </w:p>
        </w:tc>
        <w:tc>
          <w:tcPr>
            <w:tcW w:w="819" w:type="pct"/>
            <w:tcBorders>
              <w:top w:val="nil"/>
              <w:left w:val="nil"/>
              <w:bottom w:val="nil"/>
              <w:right w:val="nil"/>
            </w:tcBorders>
            <w:shd w:val="clear" w:color="000000" w:fill="FFFFFF"/>
            <w:noWrap/>
            <w:vAlign w:val="center"/>
            <w:hideMark/>
          </w:tcPr>
          <w:p w14:paraId="58987270"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1,500</w:t>
            </w:r>
          </w:p>
        </w:tc>
        <w:tc>
          <w:tcPr>
            <w:tcW w:w="819" w:type="pct"/>
            <w:tcBorders>
              <w:top w:val="nil"/>
              <w:left w:val="nil"/>
              <w:bottom w:val="single" w:sz="4" w:space="0" w:color="auto"/>
              <w:right w:val="nil"/>
            </w:tcBorders>
            <w:shd w:val="clear" w:color="000000" w:fill="E6F2FF"/>
            <w:noWrap/>
            <w:vAlign w:val="center"/>
            <w:hideMark/>
          </w:tcPr>
          <w:p w14:paraId="6B6B10DF"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1,483</w:t>
            </w:r>
          </w:p>
        </w:tc>
        <w:tc>
          <w:tcPr>
            <w:tcW w:w="819" w:type="pct"/>
            <w:tcBorders>
              <w:top w:val="nil"/>
              <w:left w:val="nil"/>
              <w:bottom w:val="single" w:sz="4" w:space="0" w:color="auto"/>
              <w:right w:val="nil"/>
            </w:tcBorders>
            <w:shd w:val="clear" w:color="000000" w:fill="FFFFFF"/>
            <w:noWrap/>
            <w:vAlign w:val="center"/>
            <w:hideMark/>
          </w:tcPr>
          <w:p w14:paraId="05732138" w14:textId="24BB4258" w:rsidR="0030199E" w:rsidRPr="004863F3" w:rsidRDefault="001E171F" w:rsidP="0030199E">
            <w:pPr>
              <w:spacing w:before="0" w:after="0" w:line="240" w:lineRule="auto"/>
              <w:jc w:val="right"/>
              <w:rPr>
                <w:rFonts w:ascii="Arial" w:hAnsi="Arial" w:cs="Arial"/>
                <w:sz w:val="16"/>
                <w:szCs w:val="16"/>
              </w:rPr>
            </w:pPr>
            <w:r w:rsidRPr="004863F3">
              <w:rPr>
                <w:rFonts w:ascii="Arial" w:hAnsi="Arial" w:cs="Arial"/>
                <w:sz w:val="16"/>
                <w:szCs w:val="16"/>
              </w:rPr>
              <w:noBreakHyphen/>
            </w:r>
            <w:r w:rsidR="0030199E" w:rsidRPr="004863F3">
              <w:rPr>
                <w:rFonts w:ascii="Arial" w:hAnsi="Arial" w:cs="Arial"/>
                <w:sz w:val="16"/>
                <w:szCs w:val="16"/>
              </w:rPr>
              <w:t>17</w:t>
            </w:r>
          </w:p>
        </w:tc>
      </w:tr>
      <w:tr w:rsidR="0030199E" w:rsidRPr="004863F3" w14:paraId="04E974EA"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779D1DFF" w14:textId="77777777" w:rsidR="0030199E" w:rsidRPr="004863F3" w:rsidRDefault="0030199E" w:rsidP="0030199E">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Income taxation revenue</w:t>
            </w:r>
          </w:p>
        </w:tc>
        <w:tc>
          <w:tcPr>
            <w:tcW w:w="819" w:type="pct"/>
            <w:tcBorders>
              <w:top w:val="single" w:sz="4" w:space="0" w:color="auto"/>
              <w:left w:val="nil"/>
              <w:bottom w:val="single" w:sz="4" w:space="0" w:color="000000"/>
              <w:right w:val="nil"/>
            </w:tcBorders>
            <w:shd w:val="clear" w:color="000000" w:fill="FFFFFF"/>
            <w:noWrap/>
            <w:vAlign w:val="center"/>
            <w:hideMark/>
          </w:tcPr>
          <w:p w14:paraId="6194A550" w14:textId="77777777" w:rsidR="0030199E" w:rsidRPr="004863F3" w:rsidRDefault="0030199E" w:rsidP="0030199E">
            <w:pPr>
              <w:spacing w:before="0" w:after="0" w:line="240" w:lineRule="auto"/>
              <w:jc w:val="right"/>
              <w:rPr>
                <w:rFonts w:ascii="Arial" w:hAnsi="Arial" w:cs="Arial"/>
                <w:b/>
                <w:bCs/>
                <w:sz w:val="16"/>
                <w:szCs w:val="16"/>
              </w:rPr>
            </w:pPr>
            <w:r w:rsidRPr="004863F3">
              <w:rPr>
                <w:rFonts w:ascii="Arial" w:hAnsi="Arial" w:cs="Arial"/>
                <w:b/>
                <w:bCs/>
                <w:sz w:val="16"/>
                <w:szCs w:val="16"/>
              </w:rPr>
              <w:t>509,700</w:t>
            </w:r>
          </w:p>
        </w:tc>
        <w:tc>
          <w:tcPr>
            <w:tcW w:w="819" w:type="pct"/>
            <w:tcBorders>
              <w:top w:val="single" w:sz="4" w:space="0" w:color="auto"/>
              <w:left w:val="nil"/>
              <w:bottom w:val="single" w:sz="4" w:space="0" w:color="000000"/>
              <w:right w:val="nil"/>
            </w:tcBorders>
            <w:shd w:val="clear" w:color="000000" w:fill="E6F2FF"/>
            <w:noWrap/>
            <w:vAlign w:val="center"/>
            <w:hideMark/>
          </w:tcPr>
          <w:p w14:paraId="1E96DAA3" w14:textId="77777777" w:rsidR="0030199E" w:rsidRPr="004863F3" w:rsidRDefault="0030199E" w:rsidP="0030199E">
            <w:pPr>
              <w:spacing w:before="0" w:after="0" w:line="240" w:lineRule="auto"/>
              <w:jc w:val="right"/>
              <w:rPr>
                <w:rFonts w:ascii="Arial" w:hAnsi="Arial" w:cs="Arial"/>
                <w:b/>
                <w:bCs/>
                <w:sz w:val="16"/>
                <w:szCs w:val="16"/>
              </w:rPr>
            </w:pPr>
            <w:r w:rsidRPr="004863F3">
              <w:rPr>
                <w:rFonts w:ascii="Arial" w:hAnsi="Arial" w:cs="Arial"/>
                <w:b/>
                <w:bCs/>
                <w:sz w:val="16"/>
                <w:szCs w:val="16"/>
              </w:rPr>
              <w:t>521,290</w:t>
            </w:r>
          </w:p>
        </w:tc>
        <w:tc>
          <w:tcPr>
            <w:tcW w:w="819" w:type="pct"/>
            <w:tcBorders>
              <w:top w:val="nil"/>
              <w:left w:val="nil"/>
              <w:bottom w:val="single" w:sz="4" w:space="0" w:color="000000"/>
              <w:right w:val="nil"/>
            </w:tcBorders>
            <w:shd w:val="clear" w:color="000000" w:fill="FFFFFF"/>
            <w:noWrap/>
            <w:vAlign w:val="center"/>
            <w:hideMark/>
          </w:tcPr>
          <w:p w14:paraId="1C4E5A43"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11,590</w:t>
            </w:r>
          </w:p>
        </w:tc>
      </w:tr>
      <w:tr w:rsidR="0030199E" w:rsidRPr="004863F3" w14:paraId="23CDBB22" w14:textId="77777777" w:rsidTr="004D08B6">
        <w:trPr>
          <w:trHeight w:hRule="exact" w:val="76"/>
        </w:trPr>
        <w:tc>
          <w:tcPr>
            <w:tcW w:w="2542" w:type="pct"/>
            <w:tcBorders>
              <w:top w:val="nil"/>
              <w:left w:val="nil"/>
              <w:bottom w:val="nil"/>
              <w:right w:val="nil"/>
            </w:tcBorders>
            <w:shd w:val="clear" w:color="000000" w:fill="FFFFFF"/>
            <w:noWrap/>
            <w:vAlign w:val="center"/>
            <w:hideMark/>
          </w:tcPr>
          <w:p w14:paraId="0B36EDCF" w14:textId="77777777" w:rsidR="0030199E" w:rsidRPr="004863F3" w:rsidRDefault="0030199E" w:rsidP="0030199E">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819" w:type="pct"/>
            <w:tcBorders>
              <w:top w:val="nil"/>
              <w:left w:val="nil"/>
              <w:bottom w:val="nil"/>
              <w:right w:val="nil"/>
            </w:tcBorders>
            <w:shd w:val="clear" w:color="000000" w:fill="FFFFFF"/>
            <w:noWrap/>
            <w:vAlign w:val="center"/>
            <w:hideMark/>
          </w:tcPr>
          <w:p w14:paraId="554DC589"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 </w:t>
            </w:r>
          </w:p>
        </w:tc>
        <w:tc>
          <w:tcPr>
            <w:tcW w:w="819" w:type="pct"/>
            <w:tcBorders>
              <w:top w:val="nil"/>
              <w:left w:val="nil"/>
              <w:bottom w:val="nil"/>
              <w:right w:val="nil"/>
            </w:tcBorders>
            <w:shd w:val="clear" w:color="000000" w:fill="E6F2FF"/>
            <w:noWrap/>
            <w:vAlign w:val="center"/>
            <w:hideMark/>
          </w:tcPr>
          <w:p w14:paraId="23A00079"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 </w:t>
            </w:r>
          </w:p>
        </w:tc>
        <w:tc>
          <w:tcPr>
            <w:tcW w:w="819" w:type="pct"/>
            <w:tcBorders>
              <w:top w:val="nil"/>
              <w:left w:val="nil"/>
              <w:bottom w:val="nil"/>
              <w:right w:val="nil"/>
            </w:tcBorders>
            <w:shd w:val="clear" w:color="000000" w:fill="FFFFFF"/>
            <w:noWrap/>
            <w:vAlign w:val="center"/>
            <w:hideMark/>
          </w:tcPr>
          <w:p w14:paraId="4C3EE46B"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199E" w:rsidRPr="004863F3" w14:paraId="2A412EFA"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2690CE29"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Goods and services tax</w:t>
            </w:r>
          </w:p>
        </w:tc>
        <w:tc>
          <w:tcPr>
            <w:tcW w:w="819" w:type="pct"/>
            <w:tcBorders>
              <w:top w:val="nil"/>
              <w:left w:val="nil"/>
              <w:bottom w:val="nil"/>
              <w:right w:val="nil"/>
            </w:tcBorders>
            <w:shd w:val="clear" w:color="000000" w:fill="FFFFFF"/>
            <w:noWrap/>
            <w:vAlign w:val="center"/>
            <w:hideMark/>
          </w:tcPr>
          <w:p w14:paraId="1C41C753"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94,420</w:t>
            </w:r>
          </w:p>
        </w:tc>
        <w:tc>
          <w:tcPr>
            <w:tcW w:w="819" w:type="pct"/>
            <w:tcBorders>
              <w:top w:val="nil"/>
              <w:left w:val="nil"/>
              <w:bottom w:val="nil"/>
              <w:right w:val="nil"/>
            </w:tcBorders>
            <w:shd w:val="clear" w:color="000000" w:fill="E6F2FF"/>
            <w:noWrap/>
            <w:vAlign w:val="center"/>
            <w:hideMark/>
          </w:tcPr>
          <w:p w14:paraId="2288791F"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96,543</w:t>
            </w:r>
          </w:p>
        </w:tc>
        <w:tc>
          <w:tcPr>
            <w:tcW w:w="819" w:type="pct"/>
            <w:tcBorders>
              <w:top w:val="nil"/>
              <w:left w:val="nil"/>
              <w:bottom w:val="nil"/>
              <w:right w:val="nil"/>
            </w:tcBorders>
            <w:shd w:val="clear" w:color="000000" w:fill="FFFFFF"/>
            <w:noWrap/>
            <w:vAlign w:val="center"/>
            <w:hideMark/>
          </w:tcPr>
          <w:p w14:paraId="689B560D"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2,123</w:t>
            </w:r>
          </w:p>
        </w:tc>
      </w:tr>
      <w:tr w:rsidR="0030199E" w:rsidRPr="004863F3" w14:paraId="6F5780D8"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21B40922"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Wine equalisation tax</w:t>
            </w:r>
          </w:p>
        </w:tc>
        <w:tc>
          <w:tcPr>
            <w:tcW w:w="819" w:type="pct"/>
            <w:tcBorders>
              <w:top w:val="nil"/>
              <w:left w:val="nil"/>
              <w:bottom w:val="nil"/>
              <w:right w:val="nil"/>
            </w:tcBorders>
            <w:shd w:val="clear" w:color="000000" w:fill="FFFFFF"/>
            <w:noWrap/>
            <w:vAlign w:val="center"/>
            <w:hideMark/>
          </w:tcPr>
          <w:p w14:paraId="12CF2ECD"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1,120</w:t>
            </w:r>
          </w:p>
        </w:tc>
        <w:tc>
          <w:tcPr>
            <w:tcW w:w="819" w:type="pct"/>
            <w:tcBorders>
              <w:top w:val="nil"/>
              <w:left w:val="nil"/>
              <w:bottom w:val="nil"/>
              <w:right w:val="nil"/>
            </w:tcBorders>
            <w:shd w:val="clear" w:color="000000" w:fill="E6F2FF"/>
            <w:noWrap/>
            <w:vAlign w:val="center"/>
            <w:hideMark/>
          </w:tcPr>
          <w:p w14:paraId="314332F5"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1,135</w:t>
            </w:r>
          </w:p>
        </w:tc>
        <w:tc>
          <w:tcPr>
            <w:tcW w:w="819" w:type="pct"/>
            <w:tcBorders>
              <w:top w:val="nil"/>
              <w:left w:val="nil"/>
              <w:bottom w:val="nil"/>
              <w:right w:val="nil"/>
            </w:tcBorders>
            <w:shd w:val="clear" w:color="000000" w:fill="FFFFFF"/>
            <w:noWrap/>
            <w:vAlign w:val="center"/>
            <w:hideMark/>
          </w:tcPr>
          <w:p w14:paraId="7A06BB97"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w:t>
            </w:r>
          </w:p>
        </w:tc>
      </w:tr>
      <w:tr w:rsidR="0030199E" w:rsidRPr="004863F3" w14:paraId="129E9917"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0AF6DB61"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Luxury car tax</w:t>
            </w:r>
          </w:p>
        </w:tc>
        <w:tc>
          <w:tcPr>
            <w:tcW w:w="819" w:type="pct"/>
            <w:tcBorders>
              <w:top w:val="nil"/>
              <w:left w:val="nil"/>
              <w:bottom w:val="nil"/>
              <w:right w:val="nil"/>
            </w:tcBorders>
            <w:shd w:val="clear" w:color="000000" w:fill="FFFFFF"/>
            <w:noWrap/>
            <w:vAlign w:val="center"/>
            <w:hideMark/>
          </w:tcPr>
          <w:p w14:paraId="3B4AC3EC"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1,170</w:t>
            </w:r>
          </w:p>
        </w:tc>
        <w:tc>
          <w:tcPr>
            <w:tcW w:w="819" w:type="pct"/>
            <w:tcBorders>
              <w:top w:val="nil"/>
              <w:left w:val="nil"/>
              <w:bottom w:val="nil"/>
              <w:right w:val="nil"/>
            </w:tcBorders>
            <w:shd w:val="clear" w:color="000000" w:fill="E6F2FF"/>
            <w:noWrap/>
            <w:vAlign w:val="center"/>
            <w:hideMark/>
          </w:tcPr>
          <w:p w14:paraId="3E4B0A9A"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1,088</w:t>
            </w:r>
          </w:p>
        </w:tc>
        <w:tc>
          <w:tcPr>
            <w:tcW w:w="819" w:type="pct"/>
            <w:tcBorders>
              <w:top w:val="nil"/>
              <w:left w:val="nil"/>
              <w:bottom w:val="nil"/>
              <w:right w:val="nil"/>
            </w:tcBorders>
            <w:shd w:val="clear" w:color="000000" w:fill="FFFFFF"/>
            <w:noWrap/>
            <w:vAlign w:val="center"/>
            <w:hideMark/>
          </w:tcPr>
          <w:p w14:paraId="5FE295ED" w14:textId="2222F721" w:rsidR="0030199E" w:rsidRPr="004863F3" w:rsidRDefault="001E171F"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30199E" w:rsidRPr="004863F3">
              <w:rPr>
                <w:rFonts w:ascii="Arial" w:hAnsi="Arial" w:cs="Arial"/>
                <w:color w:val="000000"/>
                <w:sz w:val="16"/>
                <w:szCs w:val="16"/>
              </w:rPr>
              <w:t>82</w:t>
            </w:r>
          </w:p>
        </w:tc>
      </w:tr>
      <w:tr w:rsidR="0030199E" w:rsidRPr="004863F3" w14:paraId="69D8EF8A"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6963C1B9"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 xml:space="preserve">Excise and customs duty  </w:t>
            </w:r>
          </w:p>
        </w:tc>
        <w:tc>
          <w:tcPr>
            <w:tcW w:w="819" w:type="pct"/>
            <w:tcBorders>
              <w:top w:val="nil"/>
              <w:left w:val="nil"/>
              <w:bottom w:val="nil"/>
              <w:right w:val="nil"/>
            </w:tcBorders>
            <w:shd w:val="clear" w:color="000000" w:fill="FFFFFF"/>
            <w:noWrap/>
            <w:vAlign w:val="center"/>
            <w:hideMark/>
          </w:tcPr>
          <w:p w14:paraId="330BC327"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 </w:t>
            </w:r>
          </w:p>
        </w:tc>
        <w:tc>
          <w:tcPr>
            <w:tcW w:w="819" w:type="pct"/>
            <w:tcBorders>
              <w:top w:val="nil"/>
              <w:left w:val="nil"/>
              <w:bottom w:val="nil"/>
              <w:right w:val="nil"/>
            </w:tcBorders>
            <w:shd w:val="clear" w:color="000000" w:fill="E6F2FF"/>
            <w:noWrap/>
            <w:vAlign w:val="center"/>
            <w:hideMark/>
          </w:tcPr>
          <w:p w14:paraId="654A8D0D"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 </w:t>
            </w:r>
          </w:p>
        </w:tc>
        <w:tc>
          <w:tcPr>
            <w:tcW w:w="819" w:type="pct"/>
            <w:tcBorders>
              <w:top w:val="nil"/>
              <w:left w:val="nil"/>
              <w:bottom w:val="nil"/>
              <w:right w:val="nil"/>
            </w:tcBorders>
            <w:shd w:val="clear" w:color="000000" w:fill="FFFFFF"/>
            <w:noWrap/>
            <w:vAlign w:val="center"/>
            <w:hideMark/>
          </w:tcPr>
          <w:p w14:paraId="78121C69"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199E" w:rsidRPr="004863F3" w14:paraId="584459C9"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426A63AA" w14:textId="77777777" w:rsidR="0030199E" w:rsidRPr="004863F3" w:rsidRDefault="0030199E" w:rsidP="004D08B6">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Petrol</w:t>
            </w:r>
          </w:p>
        </w:tc>
        <w:tc>
          <w:tcPr>
            <w:tcW w:w="819" w:type="pct"/>
            <w:tcBorders>
              <w:top w:val="nil"/>
              <w:left w:val="nil"/>
              <w:bottom w:val="nil"/>
              <w:right w:val="nil"/>
            </w:tcBorders>
            <w:shd w:val="clear" w:color="000000" w:fill="FFFFFF"/>
            <w:noWrap/>
            <w:vAlign w:val="center"/>
            <w:hideMark/>
          </w:tcPr>
          <w:p w14:paraId="067E4522"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7,100</w:t>
            </w:r>
          </w:p>
        </w:tc>
        <w:tc>
          <w:tcPr>
            <w:tcW w:w="819" w:type="pct"/>
            <w:tcBorders>
              <w:top w:val="nil"/>
              <w:left w:val="nil"/>
              <w:bottom w:val="nil"/>
              <w:right w:val="nil"/>
            </w:tcBorders>
            <w:shd w:val="clear" w:color="000000" w:fill="E6F2FF"/>
            <w:noWrap/>
            <w:vAlign w:val="center"/>
            <w:hideMark/>
          </w:tcPr>
          <w:p w14:paraId="352ECAB2"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7,180</w:t>
            </w:r>
          </w:p>
        </w:tc>
        <w:tc>
          <w:tcPr>
            <w:tcW w:w="819" w:type="pct"/>
            <w:tcBorders>
              <w:top w:val="nil"/>
              <w:left w:val="nil"/>
              <w:bottom w:val="nil"/>
              <w:right w:val="nil"/>
            </w:tcBorders>
            <w:shd w:val="clear" w:color="000000" w:fill="FFFFFF"/>
            <w:noWrap/>
            <w:vAlign w:val="center"/>
            <w:hideMark/>
          </w:tcPr>
          <w:p w14:paraId="5F22E1FC"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80</w:t>
            </w:r>
          </w:p>
        </w:tc>
      </w:tr>
      <w:tr w:rsidR="0030199E" w:rsidRPr="004863F3" w14:paraId="161C3F7C"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51355AAC" w14:textId="77777777" w:rsidR="0030199E" w:rsidRPr="004863F3" w:rsidRDefault="0030199E" w:rsidP="004D08B6">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Diesel</w:t>
            </w:r>
          </w:p>
        </w:tc>
        <w:tc>
          <w:tcPr>
            <w:tcW w:w="819" w:type="pct"/>
            <w:tcBorders>
              <w:top w:val="nil"/>
              <w:left w:val="nil"/>
              <w:bottom w:val="nil"/>
              <w:right w:val="nil"/>
            </w:tcBorders>
            <w:shd w:val="clear" w:color="000000" w:fill="FFFFFF"/>
            <w:noWrap/>
            <w:vAlign w:val="center"/>
            <w:hideMark/>
          </w:tcPr>
          <w:p w14:paraId="06E44C7C"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16,990</w:t>
            </w:r>
          </w:p>
        </w:tc>
        <w:tc>
          <w:tcPr>
            <w:tcW w:w="819" w:type="pct"/>
            <w:tcBorders>
              <w:top w:val="nil"/>
              <w:left w:val="nil"/>
              <w:bottom w:val="nil"/>
              <w:right w:val="nil"/>
            </w:tcBorders>
            <w:shd w:val="clear" w:color="000000" w:fill="E6F2FF"/>
            <w:noWrap/>
            <w:vAlign w:val="center"/>
            <w:hideMark/>
          </w:tcPr>
          <w:p w14:paraId="7F56D5E8"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17,106</w:t>
            </w:r>
          </w:p>
        </w:tc>
        <w:tc>
          <w:tcPr>
            <w:tcW w:w="819" w:type="pct"/>
            <w:tcBorders>
              <w:top w:val="nil"/>
              <w:left w:val="nil"/>
              <w:bottom w:val="nil"/>
              <w:right w:val="nil"/>
            </w:tcBorders>
            <w:shd w:val="clear" w:color="000000" w:fill="FFFFFF"/>
            <w:noWrap/>
            <w:vAlign w:val="center"/>
            <w:hideMark/>
          </w:tcPr>
          <w:p w14:paraId="41593392"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116</w:t>
            </w:r>
          </w:p>
        </w:tc>
      </w:tr>
      <w:tr w:rsidR="0030199E" w:rsidRPr="004863F3" w14:paraId="710BD14C"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54BC2A8C" w14:textId="77777777" w:rsidR="0030199E" w:rsidRPr="004863F3" w:rsidRDefault="0030199E" w:rsidP="004D08B6">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Other fuel products</w:t>
            </w:r>
          </w:p>
        </w:tc>
        <w:tc>
          <w:tcPr>
            <w:tcW w:w="819" w:type="pct"/>
            <w:tcBorders>
              <w:top w:val="nil"/>
              <w:left w:val="nil"/>
              <w:bottom w:val="nil"/>
              <w:right w:val="nil"/>
            </w:tcBorders>
            <w:shd w:val="clear" w:color="000000" w:fill="FFFFFF"/>
            <w:noWrap/>
            <w:vAlign w:val="center"/>
            <w:hideMark/>
          </w:tcPr>
          <w:p w14:paraId="51B92708"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2,010</w:t>
            </w:r>
          </w:p>
        </w:tc>
        <w:tc>
          <w:tcPr>
            <w:tcW w:w="819" w:type="pct"/>
            <w:tcBorders>
              <w:top w:val="nil"/>
              <w:left w:val="nil"/>
              <w:bottom w:val="nil"/>
              <w:right w:val="nil"/>
            </w:tcBorders>
            <w:shd w:val="clear" w:color="000000" w:fill="E6F2FF"/>
            <w:noWrap/>
            <w:vAlign w:val="center"/>
            <w:hideMark/>
          </w:tcPr>
          <w:p w14:paraId="471B4682"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1,620</w:t>
            </w:r>
          </w:p>
        </w:tc>
        <w:tc>
          <w:tcPr>
            <w:tcW w:w="819" w:type="pct"/>
            <w:tcBorders>
              <w:top w:val="nil"/>
              <w:left w:val="nil"/>
              <w:bottom w:val="nil"/>
              <w:right w:val="nil"/>
            </w:tcBorders>
            <w:shd w:val="clear" w:color="000000" w:fill="FFFFFF"/>
            <w:noWrap/>
            <w:vAlign w:val="center"/>
            <w:hideMark/>
          </w:tcPr>
          <w:p w14:paraId="7C6CB294" w14:textId="774D15F5" w:rsidR="0030199E" w:rsidRPr="004863F3" w:rsidRDefault="001E171F"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30199E" w:rsidRPr="004863F3">
              <w:rPr>
                <w:rFonts w:ascii="Arial" w:hAnsi="Arial" w:cs="Arial"/>
                <w:color w:val="000000"/>
                <w:sz w:val="16"/>
                <w:szCs w:val="16"/>
              </w:rPr>
              <w:t>390</w:t>
            </w:r>
          </w:p>
        </w:tc>
      </w:tr>
      <w:tr w:rsidR="0030199E" w:rsidRPr="004863F3" w14:paraId="4DC70BA0"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6D69426C" w14:textId="77777777" w:rsidR="0030199E" w:rsidRPr="004863F3" w:rsidRDefault="0030199E" w:rsidP="004D08B6">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Tobacco</w:t>
            </w:r>
          </w:p>
        </w:tc>
        <w:tc>
          <w:tcPr>
            <w:tcW w:w="819" w:type="pct"/>
            <w:tcBorders>
              <w:top w:val="nil"/>
              <w:left w:val="nil"/>
              <w:bottom w:val="nil"/>
              <w:right w:val="nil"/>
            </w:tcBorders>
            <w:shd w:val="clear" w:color="000000" w:fill="FFFFFF"/>
            <w:noWrap/>
            <w:vAlign w:val="center"/>
            <w:hideMark/>
          </w:tcPr>
          <w:p w14:paraId="7A262623"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7,400</w:t>
            </w:r>
          </w:p>
        </w:tc>
        <w:tc>
          <w:tcPr>
            <w:tcW w:w="819" w:type="pct"/>
            <w:tcBorders>
              <w:top w:val="nil"/>
              <w:left w:val="nil"/>
              <w:bottom w:val="nil"/>
              <w:right w:val="nil"/>
            </w:tcBorders>
            <w:shd w:val="clear" w:color="000000" w:fill="E6F2FF"/>
            <w:noWrap/>
            <w:vAlign w:val="center"/>
            <w:hideMark/>
          </w:tcPr>
          <w:p w14:paraId="24920520"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7,841</w:t>
            </w:r>
          </w:p>
        </w:tc>
        <w:tc>
          <w:tcPr>
            <w:tcW w:w="819" w:type="pct"/>
            <w:tcBorders>
              <w:top w:val="nil"/>
              <w:left w:val="nil"/>
              <w:bottom w:val="nil"/>
              <w:right w:val="nil"/>
            </w:tcBorders>
            <w:shd w:val="clear" w:color="000000" w:fill="FFFFFF"/>
            <w:noWrap/>
            <w:vAlign w:val="center"/>
            <w:hideMark/>
          </w:tcPr>
          <w:p w14:paraId="10DB7292"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441</w:t>
            </w:r>
          </w:p>
        </w:tc>
      </w:tr>
      <w:tr w:rsidR="0030199E" w:rsidRPr="004863F3" w14:paraId="011E41D7"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6815E8FE" w14:textId="77777777" w:rsidR="0030199E" w:rsidRPr="004863F3" w:rsidRDefault="0030199E" w:rsidP="004D08B6">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Beer</w:t>
            </w:r>
          </w:p>
        </w:tc>
        <w:tc>
          <w:tcPr>
            <w:tcW w:w="819" w:type="pct"/>
            <w:tcBorders>
              <w:top w:val="nil"/>
              <w:left w:val="nil"/>
              <w:bottom w:val="nil"/>
              <w:right w:val="nil"/>
            </w:tcBorders>
            <w:shd w:val="clear" w:color="000000" w:fill="FFFFFF"/>
            <w:noWrap/>
            <w:vAlign w:val="center"/>
            <w:hideMark/>
          </w:tcPr>
          <w:p w14:paraId="2B983962"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2,650</w:t>
            </w:r>
          </w:p>
        </w:tc>
        <w:tc>
          <w:tcPr>
            <w:tcW w:w="819" w:type="pct"/>
            <w:tcBorders>
              <w:top w:val="nil"/>
              <w:left w:val="nil"/>
              <w:bottom w:val="nil"/>
              <w:right w:val="nil"/>
            </w:tcBorders>
            <w:shd w:val="clear" w:color="000000" w:fill="E6F2FF"/>
            <w:noWrap/>
            <w:vAlign w:val="center"/>
            <w:hideMark/>
          </w:tcPr>
          <w:p w14:paraId="09DE27AB"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2,707</w:t>
            </w:r>
          </w:p>
        </w:tc>
        <w:tc>
          <w:tcPr>
            <w:tcW w:w="819" w:type="pct"/>
            <w:tcBorders>
              <w:top w:val="nil"/>
              <w:left w:val="nil"/>
              <w:bottom w:val="nil"/>
              <w:right w:val="nil"/>
            </w:tcBorders>
            <w:shd w:val="clear" w:color="000000" w:fill="FFFFFF"/>
            <w:noWrap/>
            <w:vAlign w:val="center"/>
            <w:hideMark/>
          </w:tcPr>
          <w:p w14:paraId="2AA46E0A"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57</w:t>
            </w:r>
          </w:p>
        </w:tc>
      </w:tr>
      <w:tr w:rsidR="0030199E" w:rsidRPr="004863F3" w14:paraId="091A48E9"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00D07E2C" w14:textId="77777777" w:rsidR="0030199E" w:rsidRPr="004863F3" w:rsidRDefault="0030199E" w:rsidP="004D08B6">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Spirits</w:t>
            </w:r>
          </w:p>
        </w:tc>
        <w:tc>
          <w:tcPr>
            <w:tcW w:w="819" w:type="pct"/>
            <w:tcBorders>
              <w:top w:val="nil"/>
              <w:left w:val="nil"/>
              <w:bottom w:val="nil"/>
              <w:right w:val="nil"/>
            </w:tcBorders>
            <w:shd w:val="clear" w:color="000000" w:fill="FFFFFF"/>
            <w:noWrap/>
            <w:vAlign w:val="center"/>
            <w:hideMark/>
          </w:tcPr>
          <w:p w14:paraId="5984FFC7"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3,280</w:t>
            </w:r>
          </w:p>
        </w:tc>
        <w:tc>
          <w:tcPr>
            <w:tcW w:w="819" w:type="pct"/>
            <w:tcBorders>
              <w:top w:val="nil"/>
              <w:left w:val="nil"/>
              <w:bottom w:val="nil"/>
              <w:right w:val="nil"/>
            </w:tcBorders>
            <w:shd w:val="clear" w:color="000000" w:fill="E6F2FF"/>
            <w:noWrap/>
            <w:vAlign w:val="center"/>
            <w:hideMark/>
          </w:tcPr>
          <w:p w14:paraId="5E55578F"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3,311</w:t>
            </w:r>
          </w:p>
        </w:tc>
        <w:tc>
          <w:tcPr>
            <w:tcW w:w="819" w:type="pct"/>
            <w:tcBorders>
              <w:top w:val="nil"/>
              <w:left w:val="nil"/>
              <w:bottom w:val="nil"/>
              <w:right w:val="nil"/>
            </w:tcBorders>
            <w:shd w:val="clear" w:color="000000" w:fill="FFFFFF"/>
            <w:noWrap/>
            <w:vAlign w:val="center"/>
            <w:hideMark/>
          </w:tcPr>
          <w:p w14:paraId="0B0CE783"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31</w:t>
            </w:r>
          </w:p>
        </w:tc>
      </w:tr>
      <w:tr w:rsidR="0030199E" w:rsidRPr="004863F3" w14:paraId="4D6697B4"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506BCE96" w14:textId="77777777" w:rsidR="0030199E" w:rsidRPr="004863F3" w:rsidRDefault="0030199E" w:rsidP="004D08B6">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Other alcoholic beverages(a)</w:t>
            </w:r>
          </w:p>
        </w:tc>
        <w:tc>
          <w:tcPr>
            <w:tcW w:w="819" w:type="pct"/>
            <w:tcBorders>
              <w:top w:val="nil"/>
              <w:left w:val="nil"/>
              <w:bottom w:val="nil"/>
              <w:right w:val="nil"/>
            </w:tcBorders>
            <w:shd w:val="clear" w:color="000000" w:fill="FFFFFF"/>
            <w:noWrap/>
            <w:vAlign w:val="center"/>
            <w:hideMark/>
          </w:tcPr>
          <w:p w14:paraId="52E13652"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1,770</w:t>
            </w:r>
          </w:p>
        </w:tc>
        <w:tc>
          <w:tcPr>
            <w:tcW w:w="819" w:type="pct"/>
            <w:tcBorders>
              <w:top w:val="nil"/>
              <w:left w:val="nil"/>
              <w:bottom w:val="nil"/>
              <w:right w:val="nil"/>
            </w:tcBorders>
            <w:shd w:val="clear" w:color="000000" w:fill="E6F2FF"/>
            <w:noWrap/>
            <w:vAlign w:val="center"/>
            <w:hideMark/>
          </w:tcPr>
          <w:p w14:paraId="24EDBBDC"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1,775</w:t>
            </w:r>
          </w:p>
        </w:tc>
        <w:tc>
          <w:tcPr>
            <w:tcW w:w="819" w:type="pct"/>
            <w:tcBorders>
              <w:top w:val="nil"/>
              <w:left w:val="nil"/>
              <w:bottom w:val="nil"/>
              <w:right w:val="nil"/>
            </w:tcBorders>
            <w:shd w:val="clear" w:color="000000" w:fill="FFFFFF"/>
            <w:noWrap/>
            <w:vAlign w:val="center"/>
            <w:hideMark/>
          </w:tcPr>
          <w:p w14:paraId="4F4CB91E"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w:t>
            </w:r>
          </w:p>
        </w:tc>
      </w:tr>
      <w:tr w:rsidR="0030199E" w:rsidRPr="004863F3" w14:paraId="22878F51"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73D6AC21" w14:textId="77777777" w:rsidR="0030199E" w:rsidRPr="004863F3" w:rsidRDefault="0030199E" w:rsidP="004D08B6">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Other customs duty</w:t>
            </w:r>
          </w:p>
        </w:tc>
        <w:tc>
          <w:tcPr>
            <w:tcW w:w="819" w:type="pct"/>
            <w:tcBorders>
              <w:top w:val="nil"/>
              <w:left w:val="nil"/>
              <w:bottom w:val="nil"/>
              <w:right w:val="nil"/>
            </w:tcBorders>
            <w:shd w:val="clear" w:color="000000" w:fill="FFFFFF"/>
            <w:noWrap/>
            <w:vAlign w:val="center"/>
            <w:hideMark/>
          </w:tcPr>
          <w:p w14:paraId="0D9662BB"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819" w:type="pct"/>
            <w:tcBorders>
              <w:top w:val="nil"/>
              <w:left w:val="nil"/>
              <w:bottom w:val="nil"/>
              <w:right w:val="nil"/>
            </w:tcBorders>
            <w:shd w:val="clear" w:color="000000" w:fill="E6F2FF"/>
            <w:noWrap/>
            <w:vAlign w:val="center"/>
            <w:hideMark/>
          </w:tcPr>
          <w:p w14:paraId="5D565368"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819" w:type="pct"/>
            <w:tcBorders>
              <w:top w:val="nil"/>
              <w:left w:val="nil"/>
              <w:bottom w:val="nil"/>
              <w:right w:val="nil"/>
            </w:tcBorders>
            <w:shd w:val="clear" w:color="000000" w:fill="FFFFFF"/>
            <w:noWrap/>
            <w:vAlign w:val="center"/>
            <w:hideMark/>
          </w:tcPr>
          <w:p w14:paraId="53CAB4D1"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199E" w:rsidRPr="004863F3" w14:paraId="2B426C05" w14:textId="77777777" w:rsidTr="004D08B6">
        <w:trPr>
          <w:trHeight w:hRule="exact" w:val="210"/>
        </w:trPr>
        <w:tc>
          <w:tcPr>
            <w:tcW w:w="2542" w:type="pct"/>
            <w:tcBorders>
              <w:top w:val="nil"/>
              <w:left w:val="nil"/>
              <w:bottom w:val="nil"/>
              <w:right w:val="nil"/>
            </w:tcBorders>
            <w:shd w:val="clear" w:color="000000" w:fill="FFFFFF"/>
            <w:noWrap/>
            <w:vAlign w:val="bottom"/>
            <w:hideMark/>
          </w:tcPr>
          <w:p w14:paraId="4591E4A7" w14:textId="77777777" w:rsidR="0030199E" w:rsidRPr="004863F3" w:rsidRDefault="0030199E" w:rsidP="004D08B6">
            <w:pPr>
              <w:spacing w:before="0" w:after="0" w:line="240" w:lineRule="auto"/>
              <w:ind w:left="340"/>
              <w:rPr>
                <w:rFonts w:ascii="Arial" w:hAnsi="Arial" w:cs="Arial"/>
                <w:color w:val="000000"/>
                <w:sz w:val="16"/>
                <w:szCs w:val="16"/>
              </w:rPr>
            </w:pPr>
            <w:r w:rsidRPr="004863F3">
              <w:rPr>
                <w:rFonts w:ascii="Arial" w:hAnsi="Arial" w:cs="Arial"/>
                <w:color w:val="000000"/>
                <w:sz w:val="16"/>
                <w:szCs w:val="16"/>
              </w:rPr>
              <w:t>Textiles, clothing and footwear</w:t>
            </w:r>
          </w:p>
        </w:tc>
        <w:tc>
          <w:tcPr>
            <w:tcW w:w="819" w:type="pct"/>
            <w:tcBorders>
              <w:top w:val="nil"/>
              <w:left w:val="nil"/>
              <w:bottom w:val="nil"/>
              <w:right w:val="nil"/>
            </w:tcBorders>
            <w:shd w:val="clear" w:color="000000" w:fill="FFFFFF"/>
            <w:noWrap/>
            <w:vAlign w:val="center"/>
            <w:hideMark/>
          </w:tcPr>
          <w:p w14:paraId="08FDA66D"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160</w:t>
            </w:r>
          </w:p>
        </w:tc>
        <w:tc>
          <w:tcPr>
            <w:tcW w:w="819" w:type="pct"/>
            <w:tcBorders>
              <w:top w:val="nil"/>
              <w:left w:val="nil"/>
              <w:bottom w:val="nil"/>
              <w:right w:val="nil"/>
            </w:tcBorders>
            <w:shd w:val="clear" w:color="000000" w:fill="E6F2FF"/>
            <w:noWrap/>
            <w:vAlign w:val="center"/>
            <w:hideMark/>
          </w:tcPr>
          <w:p w14:paraId="05E64937"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153</w:t>
            </w:r>
          </w:p>
        </w:tc>
        <w:tc>
          <w:tcPr>
            <w:tcW w:w="819" w:type="pct"/>
            <w:tcBorders>
              <w:top w:val="nil"/>
              <w:left w:val="nil"/>
              <w:bottom w:val="nil"/>
              <w:right w:val="nil"/>
            </w:tcBorders>
            <w:shd w:val="clear" w:color="000000" w:fill="FFFFFF"/>
            <w:noWrap/>
            <w:vAlign w:val="center"/>
            <w:hideMark/>
          </w:tcPr>
          <w:p w14:paraId="6E937D7F" w14:textId="1BD9207D" w:rsidR="0030199E" w:rsidRPr="004863F3" w:rsidRDefault="001E171F"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30199E" w:rsidRPr="004863F3">
              <w:rPr>
                <w:rFonts w:ascii="Arial" w:hAnsi="Arial" w:cs="Arial"/>
                <w:color w:val="000000"/>
                <w:sz w:val="16"/>
                <w:szCs w:val="16"/>
              </w:rPr>
              <w:t>7</w:t>
            </w:r>
          </w:p>
        </w:tc>
      </w:tr>
      <w:tr w:rsidR="0030199E" w:rsidRPr="004863F3" w14:paraId="40E03831" w14:textId="77777777" w:rsidTr="004D08B6">
        <w:trPr>
          <w:trHeight w:hRule="exact" w:val="210"/>
        </w:trPr>
        <w:tc>
          <w:tcPr>
            <w:tcW w:w="2542" w:type="pct"/>
            <w:tcBorders>
              <w:top w:val="nil"/>
              <w:left w:val="nil"/>
              <w:bottom w:val="nil"/>
              <w:right w:val="nil"/>
            </w:tcBorders>
            <w:shd w:val="clear" w:color="000000" w:fill="FFFFFF"/>
            <w:noWrap/>
            <w:vAlign w:val="bottom"/>
            <w:hideMark/>
          </w:tcPr>
          <w:p w14:paraId="2E36D176" w14:textId="77777777" w:rsidR="0030199E" w:rsidRPr="004863F3" w:rsidRDefault="0030199E" w:rsidP="004D08B6">
            <w:pPr>
              <w:spacing w:before="0" w:after="0" w:line="240" w:lineRule="auto"/>
              <w:ind w:left="340"/>
              <w:rPr>
                <w:rFonts w:ascii="Arial" w:hAnsi="Arial" w:cs="Arial"/>
                <w:color w:val="000000"/>
                <w:sz w:val="16"/>
                <w:szCs w:val="16"/>
              </w:rPr>
            </w:pPr>
            <w:r w:rsidRPr="004863F3">
              <w:rPr>
                <w:rFonts w:ascii="Arial" w:hAnsi="Arial" w:cs="Arial"/>
                <w:color w:val="000000"/>
                <w:sz w:val="16"/>
                <w:szCs w:val="16"/>
              </w:rPr>
              <w:t>Passenger motor vehicles</w:t>
            </w:r>
          </w:p>
        </w:tc>
        <w:tc>
          <w:tcPr>
            <w:tcW w:w="819" w:type="pct"/>
            <w:tcBorders>
              <w:top w:val="nil"/>
              <w:left w:val="nil"/>
              <w:bottom w:val="nil"/>
              <w:right w:val="nil"/>
            </w:tcBorders>
            <w:shd w:val="clear" w:color="000000" w:fill="FFFFFF"/>
            <w:noWrap/>
            <w:vAlign w:val="center"/>
            <w:hideMark/>
          </w:tcPr>
          <w:p w14:paraId="080E66F3"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380</w:t>
            </w:r>
          </w:p>
        </w:tc>
        <w:tc>
          <w:tcPr>
            <w:tcW w:w="819" w:type="pct"/>
            <w:tcBorders>
              <w:top w:val="nil"/>
              <w:left w:val="nil"/>
              <w:bottom w:val="nil"/>
              <w:right w:val="nil"/>
            </w:tcBorders>
            <w:shd w:val="clear" w:color="000000" w:fill="E6F2FF"/>
            <w:noWrap/>
            <w:vAlign w:val="center"/>
            <w:hideMark/>
          </w:tcPr>
          <w:p w14:paraId="2B902BE8"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339</w:t>
            </w:r>
          </w:p>
        </w:tc>
        <w:tc>
          <w:tcPr>
            <w:tcW w:w="819" w:type="pct"/>
            <w:tcBorders>
              <w:top w:val="nil"/>
              <w:left w:val="nil"/>
              <w:bottom w:val="nil"/>
              <w:right w:val="nil"/>
            </w:tcBorders>
            <w:shd w:val="clear" w:color="000000" w:fill="FFFFFF"/>
            <w:noWrap/>
            <w:vAlign w:val="center"/>
            <w:hideMark/>
          </w:tcPr>
          <w:p w14:paraId="54F11C87" w14:textId="2D85E3EB" w:rsidR="0030199E" w:rsidRPr="004863F3" w:rsidRDefault="001E171F"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30199E" w:rsidRPr="004863F3">
              <w:rPr>
                <w:rFonts w:ascii="Arial" w:hAnsi="Arial" w:cs="Arial"/>
                <w:color w:val="000000"/>
                <w:sz w:val="16"/>
                <w:szCs w:val="16"/>
              </w:rPr>
              <w:t>41</w:t>
            </w:r>
          </w:p>
        </w:tc>
      </w:tr>
      <w:tr w:rsidR="0030199E" w:rsidRPr="004863F3" w14:paraId="382A16FA"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74D87EC6" w14:textId="77777777" w:rsidR="0030199E" w:rsidRPr="004863F3" w:rsidRDefault="0030199E" w:rsidP="004D08B6">
            <w:pPr>
              <w:spacing w:before="0" w:after="0" w:line="240" w:lineRule="auto"/>
              <w:ind w:left="340"/>
              <w:rPr>
                <w:rFonts w:ascii="Arial" w:hAnsi="Arial" w:cs="Arial"/>
                <w:color w:val="000000"/>
                <w:sz w:val="16"/>
                <w:szCs w:val="16"/>
              </w:rPr>
            </w:pPr>
            <w:r w:rsidRPr="004863F3">
              <w:rPr>
                <w:rFonts w:ascii="Arial" w:hAnsi="Arial" w:cs="Arial"/>
                <w:color w:val="000000"/>
                <w:sz w:val="16"/>
                <w:szCs w:val="16"/>
              </w:rPr>
              <w:t>Other imports</w:t>
            </w:r>
          </w:p>
        </w:tc>
        <w:tc>
          <w:tcPr>
            <w:tcW w:w="819" w:type="pct"/>
            <w:tcBorders>
              <w:top w:val="nil"/>
              <w:left w:val="nil"/>
              <w:bottom w:val="nil"/>
              <w:right w:val="nil"/>
            </w:tcBorders>
            <w:shd w:val="clear" w:color="000000" w:fill="FFFFFF"/>
            <w:noWrap/>
            <w:vAlign w:val="center"/>
            <w:hideMark/>
          </w:tcPr>
          <w:p w14:paraId="30845D01"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1,560</w:t>
            </w:r>
          </w:p>
        </w:tc>
        <w:tc>
          <w:tcPr>
            <w:tcW w:w="819" w:type="pct"/>
            <w:tcBorders>
              <w:top w:val="nil"/>
              <w:left w:val="nil"/>
              <w:bottom w:val="nil"/>
              <w:right w:val="nil"/>
            </w:tcBorders>
            <w:shd w:val="clear" w:color="000000" w:fill="E6F2FF"/>
            <w:noWrap/>
            <w:vAlign w:val="center"/>
            <w:hideMark/>
          </w:tcPr>
          <w:p w14:paraId="60F0B891"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1,505</w:t>
            </w:r>
          </w:p>
        </w:tc>
        <w:tc>
          <w:tcPr>
            <w:tcW w:w="819" w:type="pct"/>
            <w:tcBorders>
              <w:top w:val="nil"/>
              <w:left w:val="nil"/>
              <w:bottom w:val="nil"/>
              <w:right w:val="nil"/>
            </w:tcBorders>
            <w:shd w:val="clear" w:color="000000" w:fill="FFFFFF"/>
            <w:noWrap/>
            <w:vAlign w:val="center"/>
            <w:hideMark/>
          </w:tcPr>
          <w:p w14:paraId="0DE57E47" w14:textId="0F602CF8" w:rsidR="0030199E" w:rsidRPr="004863F3" w:rsidRDefault="001E171F"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30199E" w:rsidRPr="004863F3">
              <w:rPr>
                <w:rFonts w:ascii="Arial" w:hAnsi="Arial" w:cs="Arial"/>
                <w:color w:val="000000"/>
                <w:sz w:val="16"/>
                <w:szCs w:val="16"/>
              </w:rPr>
              <w:t>55</w:t>
            </w:r>
          </w:p>
        </w:tc>
      </w:tr>
      <w:tr w:rsidR="0030199E" w:rsidRPr="004863F3" w14:paraId="722FC5BD" w14:textId="77777777" w:rsidTr="004D08B6">
        <w:trPr>
          <w:trHeight w:hRule="exact" w:val="210"/>
        </w:trPr>
        <w:tc>
          <w:tcPr>
            <w:tcW w:w="2542" w:type="pct"/>
            <w:tcBorders>
              <w:top w:val="nil"/>
              <w:left w:val="nil"/>
              <w:bottom w:val="nil"/>
              <w:right w:val="nil"/>
            </w:tcBorders>
            <w:shd w:val="clear" w:color="000000" w:fill="FFFFFF"/>
            <w:noWrap/>
            <w:vAlign w:val="bottom"/>
            <w:hideMark/>
          </w:tcPr>
          <w:p w14:paraId="41C03C9A" w14:textId="77777777" w:rsidR="0030199E" w:rsidRPr="004863F3" w:rsidRDefault="0030199E" w:rsidP="004D08B6">
            <w:pPr>
              <w:spacing w:before="0" w:after="0" w:line="240" w:lineRule="auto"/>
              <w:ind w:left="170"/>
              <w:rPr>
                <w:rFonts w:ascii="Arial" w:hAnsi="Arial" w:cs="Arial"/>
                <w:i/>
                <w:iCs/>
                <w:sz w:val="16"/>
                <w:szCs w:val="16"/>
              </w:rPr>
            </w:pPr>
            <w:r w:rsidRPr="004863F3">
              <w:rPr>
                <w:rFonts w:ascii="Arial" w:hAnsi="Arial" w:cs="Arial"/>
                <w:i/>
                <w:iCs/>
                <w:sz w:val="16"/>
                <w:szCs w:val="16"/>
              </w:rPr>
              <w:t>less:</w:t>
            </w:r>
            <w:r w:rsidRPr="004863F3">
              <w:rPr>
                <w:rFonts w:ascii="Arial" w:hAnsi="Arial" w:cs="Arial"/>
                <w:sz w:val="16"/>
                <w:szCs w:val="16"/>
              </w:rPr>
              <w:t xml:space="preserve"> Refunds and drawbacks</w:t>
            </w:r>
          </w:p>
        </w:tc>
        <w:tc>
          <w:tcPr>
            <w:tcW w:w="819" w:type="pct"/>
            <w:tcBorders>
              <w:top w:val="nil"/>
              <w:left w:val="nil"/>
              <w:bottom w:val="single" w:sz="4" w:space="0" w:color="000000"/>
              <w:right w:val="nil"/>
            </w:tcBorders>
            <w:shd w:val="clear" w:color="000000" w:fill="FFFFFF"/>
            <w:noWrap/>
            <w:vAlign w:val="center"/>
            <w:hideMark/>
          </w:tcPr>
          <w:p w14:paraId="06E1BA3D"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870</w:t>
            </w:r>
          </w:p>
        </w:tc>
        <w:tc>
          <w:tcPr>
            <w:tcW w:w="819" w:type="pct"/>
            <w:tcBorders>
              <w:top w:val="nil"/>
              <w:left w:val="nil"/>
              <w:bottom w:val="single" w:sz="4" w:space="0" w:color="000000"/>
              <w:right w:val="nil"/>
            </w:tcBorders>
            <w:shd w:val="clear" w:color="000000" w:fill="E6F2FF"/>
            <w:noWrap/>
            <w:vAlign w:val="center"/>
            <w:hideMark/>
          </w:tcPr>
          <w:p w14:paraId="1CB264EB"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711</w:t>
            </w:r>
          </w:p>
        </w:tc>
        <w:tc>
          <w:tcPr>
            <w:tcW w:w="819" w:type="pct"/>
            <w:tcBorders>
              <w:top w:val="nil"/>
              <w:left w:val="nil"/>
              <w:bottom w:val="single" w:sz="4" w:space="0" w:color="000000"/>
              <w:right w:val="nil"/>
            </w:tcBorders>
            <w:shd w:val="clear" w:color="000000" w:fill="FFFFFF"/>
            <w:noWrap/>
            <w:vAlign w:val="center"/>
            <w:hideMark/>
          </w:tcPr>
          <w:p w14:paraId="02D64C0A" w14:textId="49EA0943" w:rsidR="0030199E" w:rsidRPr="004863F3" w:rsidRDefault="001E171F" w:rsidP="0030199E">
            <w:pPr>
              <w:spacing w:before="0" w:after="0" w:line="240" w:lineRule="auto"/>
              <w:jc w:val="right"/>
              <w:rPr>
                <w:rFonts w:ascii="Arial" w:hAnsi="Arial" w:cs="Arial"/>
                <w:sz w:val="16"/>
                <w:szCs w:val="16"/>
              </w:rPr>
            </w:pPr>
            <w:r w:rsidRPr="004863F3">
              <w:rPr>
                <w:rFonts w:ascii="Arial" w:hAnsi="Arial" w:cs="Arial"/>
                <w:sz w:val="16"/>
                <w:szCs w:val="16"/>
              </w:rPr>
              <w:noBreakHyphen/>
            </w:r>
            <w:r w:rsidR="0030199E" w:rsidRPr="004863F3">
              <w:rPr>
                <w:rFonts w:ascii="Arial" w:hAnsi="Arial" w:cs="Arial"/>
                <w:sz w:val="16"/>
                <w:szCs w:val="16"/>
              </w:rPr>
              <w:t>159</w:t>
            </w:r>
          </w:p>
        </w:tc>
      </w:tr>
      <w:tr w:rsidR="0030199E" w:rsidRPr="004863F3" w14:paraId="2B54DBE0"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2DC1E703"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Total excise and customs duty</w:t>
            </w:r>
          </w:p>
        </w:tc>
        <w:tc>
          <w:tcPr>
            <w:tcW w:w="819" w:type="pct"/>
            <w:tcBorders>
              <w:top w:val="nil"/>
              <w:left w:val="nil"/>
              <w:bottom w:val="nil"/>
              <w:right w:val="nil"/>
            </w:tcBorders>
            <w:shd w:val="clear" w:color="000000" w:fill="FFFFFF"/>
            <w:noWrap/>
            <w:vAlign w:val="center"/>
            <w:hideMark/>
          </w:tcPr>
          <w:p w14:paraId="02C83888"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42,430</w:t>
            </w:r>
          </w:p>
        </w:tc>
        <w:tc>
          <w:tcPr>
            <w:tcW w:w="819" w:type="pct"/>
            <w:tcBorders>
              <w:top w:val="nil"/>
              <w:left w:val="nil"/>
              <w:bottom w:val="nil"/>
              <w:right w:val="nil"/>
            </w:tcBorders>
            <w:shd w:val="clear" w:color="000000" w:fill="E6F2FF"/>
            <w:noWrap/>
            <w:vAlign w:val="center"/>
            <w:hideMark/>
          </w:tcPr>
          <w:p w14:paraId="562D7619"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42,826</w:t>
            </w:r>
          </w:p>
        </w:tc>
        <w:tc>
          <w:tcPr>
            <w:tcW w:w="819" w:type="pct"/>
            <w:tcBorders>
              <w:top w:val="nil"/>
              <w:left w:val="nil"/>
              <w:bottom w:val="nil"/>
              <w:right w:val="nil"/>
            </w:tcBorders>
            <w:shd w:val="clear" w:color="000000" w:fill="FFFFFF"/>
            <w:noWrap/>
            <w:vAlign w:val="center"/>
            <w:hideMark/>
          </w:tcPr>
          <w:p w14:paraId="29187BDF"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396</w:t>
            </w:r>
          </w:p>
        </w:tc>
      </w:tr>
      <w:tr w:rsidR="0030199E" w:rsidRPr="004863F3" w14:paraId="64B77586" w14:textId="77777777" w:rsidTr="004D08B6">
        <w:trPr>
          <w:trHeight w:hRule="exact" w:val="60"/>
        </w:trPr>
        <w:tc>
          <w:tcPr>
            <w:tcW w:w="2542" w:type="pct"/>
            <w:tcBorders>
              <w:top w:val="nil"/>
              <w:left w:val="nil"/>
              <w:bottom w:val="nil"/>
              <w:right w:val="nil"/>
            </w:tcBorders>
            <w:shd w:val="clear" w:color="000000" w:fill="FFFFFF"/>
            <w:noWrap/>
            <w:vAlign w:val="center"/>
            <w:hideMark/>
          </w:tcPr>
          <w:p w14:paraId="7183ED40" w14:textId="77777777" w:rsidR="0030199E" w:rsidRPr="004863F3" w:rsidRDefault="0030199E" w:rsidP="0030199E">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819" w:type="pct"/>
            <w:tcBorders>
              <w:top w:val="nil"/>
              <w:left w:val="nil"/>
              <w:bottom w:val="nil"/>
              <w:right w:val="nil"/>
            </w:tcBorders>
            <w:shd w:val="clear" w:color="000000" w:fill="FFFFFF"/>
            <w:noWrap/>
            <w:vAlign w:val="center"/>
            <w:hideMark/>
          </w:tcPr>
          <w:p w14:paraId="6D319806"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819" w:type="pct"/>
            <w:tcBorders>
              <w:top w:val="nil"/>
              <w:left w:val="nil"/>
              <w:bottom w:val="nil"/>
              <w:right w:val="nil"/>
            </w:tcBorders>
            <w:shd w:val="clear" w:color="000000" w:fill="E6F2FF"/>
            <w:noWrap/>
            <w:vAlign w:val="center"/>
            <w:hideMark/>
          </w:tcPr>
          <w:p w14:paraId="22A20E0D"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819" w:type="pct"/>
            <w:tcBorders>
              <w:top w:val="nil"/>
              <w:left w:val="nil"/>
              <w:bottom w:val="nil"/>
              <w:right w:val="nil"/>
            </w:tcBorders>
            <w:shd w:val="clear" w:color="000000" w:fill="FFFFFF"/>
            <w:noWrap/>
            <w:vAlign w:val="center"/>
            <w:hideMark/>
          </w:tcPr>
          <w:p w14:paraId="3E01C38B"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199E" w:rsidRPr="004863F3" w14:paraId="07E53C26"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6D248133" w14:textId="77777777" w:rsidR="0030199E" w:rsidRPr="004863F3" w:rsidRDefault="0030199E" w:rsidP="0030199E">
            <w:pPr>
              <w:spacing w:before="0" w:after="0" w:line="240" w:lineRule="auto"/>
              <w:rPr>
                <w:rFonts w:ascii="Arial" w:hAnsi="Arial" w:cs="Arial"/>
                <w:sz w:val="16"/>
                <w:szCs w:val="16"/>
              </w:rPr>
            </w:pPr>
            <w:r w:rsidRPr="004863F3">
              <w:rPr>
                <w:rFonts w:ascii="Arial" w:hAnsi="Arial" w:cs="Arial"/>
                <w:sz w:val="16"/>
                <w:szCs w:val="16"/>
              </w:rPr>
              <w:t>Major bank levy</w:t>
            </w:r>
          </w:p>
        </w:tc>
        <w:tc>
          <w:tcPr>
            <w:tcW w:w="819" w:type="pct"/>
            <w:tcBorders>
              <w:top w:val="nil"/>
              <w:left w:val="nil"/>
              <w:bottom w:val="nil"/>
              <w:right w:val="nil"/>
            </w:tcBorders>
            <w:shd w:val="clear" w:color="000000" w:fill="FFFFFF"/>
            <w:noWrap/>
            <w:vAlign w:val="center"/>
            <w:hideMark/>
          </w:tcPr>
          <w:p w14:paraId="2C7D7478"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1,790</w:t>
            </w:r>
          </w:p>
        </w:tc>
        <w:tc>
          <w:tcPr>
            <w:tcW w:w="819" w:type="pct"/>
            <w:tcBorders>
              <w:top w:val="nil"/>
              <w:left w:val="nil"/>
              <w:bottom w:val="nil"/>
              <w:right w:val="nil"/>
            </w:tcBorders>
            <w:shd w:val="clear" w:color="000000" w:fill="E6F2FF"/>
            <w:noWrap/>
            <w:vAlign w:val="center"/>
            <w:hideMark/>
          </w:tcPr>
          <w:p w14:paraId="63E9EBA5"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1,809</w:t>
            </w:r>
          </w:p>
        </w:tc>
        <w:tc>
          <w:tcPr>
            <w:tcW w:w="819" w:type="pct"/>
            <w:tcBorders>
              <w:top w:val="nil"/>
              <w:left w:val="nil"/>
              <w:bottom w:val="nil"/>
              <w:right w:val="nil"/>
            </w:tcBorders>
            <w:shd w:val="clear" w:color="000000" w:fill="FFFFFF"/>
            <w:noWrap/>
            <w:vAlign w:val="center"/>
            <w:hideMark/>
          </w:tcPr>
          <w:p w14:paraId="200200CB"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19</w:t>
            </w:r>
          </w:p>
        </w:tc>
      </w:tr>
      <w:tr w:rsidR="0030199E" w:rsidRPr="004863F3" w14:paraId="4D7E81D4"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00412D77" w14:textId="77777777" w:rsidR="0030199E" w:rsidRPr="004863F3" w:rsidRDefault="0030199E" w:rsidP="0030199E">
            <w:pPr>
              <w:spacing w:before="0" w:after="0" w:line="240" w:lineRule="auto"/>
              <w:rPr>
                <w:rFonts w:ascii="Arial" w:hAnsi="Arial" w:cs="Arial"/>
                <w:sz w:val="16"/>
                <w:szCs w:val="16"/>
              </w:rPr>
            </w:pPr>
            <w:r w:rsidRPr="004863F3">
              <w:rPr>
                <w:rFonts w:ascii="Arial" w:hAnsi="Arial" w:cs="Arial"/>
                <w:sz w:val="16"/>
                <w:szCs w:val="16"/>
              </w:rPr>
              <w:t>Agricultural levies</w:t>
            </w:r>
          </w:p>
        </w:tc>
        <w:tc>
          <w:tcPr>
            <w:tcW w:w="819" w:type="pct"/>
            <w:tcBorders>
              <w:top w:val="nil"/>
              <w:left w:val="nil"/>
              <w:bottom w:val="nil"/>
              <w:right w:val="nil"/>
            </w:tcBorders>
            <w:shd w:val="clear" w:color="000000" w:fill="FFFFFF"/>
            <w:noWrap/>
            <w:vAlign w:val="center"/>
            <w:hideMark/>
          </w:tcPr>
          <w:p w14:paraId="5F79CF6C"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739</w:t>
            </w:r>
          </w:p>
        </w:tc>
        <w:tc>
          <w:tcPr>
            <w:tcW w:w="819" w:type="pct"/>
            <w:tcBorders>
              <w:top w:val="nil"/>
              <w:left w:val="nil"/>
              <w:bottom w:val="nil"/>
              <w:right w:val="nil"/>
            </w:tcBorders>
            <w:shd w:val="clear" w:color="000000" w:fill="E6F2FF"/>
            <w:noWrap/>
            <w:vAlign w:val="center"/>
            <w:hideMark/>
          </w:tcPr>
          <w:p w14:paraId="5F174DFB"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671</w:t>
            </w:r>
          </w:p>
        </w:tc>
        <w:tc>
          <w:tcPr>
            <w:tcW w:w="819" w:type="pct"/>
            <w:tcBorders>
              <w:top w:val="nil"/>
              <w:left w:val="nil"/>
              <w:bottom w:val="nil"/>
              <w:right w:val="nil"/>
            </w:tcBorders>
            <w:shd w:val="clear" w:color="000000" w:fill="FFFFFF"/>
            <w:noWrap/>
            <w:vAlign w:val="center"/>
            <w:hideMark/>
          </w:tcPr>
          <w:p w14:paraId="1C17860E" w14:textId="624088C2" w:rsidR="0030199E" w:rsidRPr="004863F3" w:rsidRDefault="001E171F"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30199E" w:rsidRPr="004863F3">
              <w:rPr>
                <w:rFonts w:ascii="Arial" w:hAnsi="Arial" w:cs="Arial"/>
                <w:color w:val="000000"/>
                <w:sz w:val="16"/>
                <w:szCs w:val="16"/>
              </w:rPr>
              <w:t>67</w:t>
            </w:r>
          </w:p>
        </w:tc>
      </w:tr>
      <w:tr w:rsidR="0030199E" w:rsidRPr="004863F3" w14:paraId="4A14863E"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09478B72" w14:textId="77777777" w:rsidR="0030199E" w:rsidRPr="004863F3" w:rsidRDefault="0030199E" w:rsidP="0030199E">
            <w:pPr>
              <w:spacing w:before="0" w:after="0" w:line="240" w:lineRule="auto"/>
              <w:rPr>
                <w:rFonts w:ascii="Arial" w:hAnsi="Arial" w:cs="Arial"/>
                <w:sz w:val="16"/>
                <w:szCs w:val="16"/>
              </w:rPr>
            </w:pPr>
            <w:r w:rsidRPr="004863F3">
              <w:rPr>
                <w:rFonts w:ascii="Arial" w:hAnsi="Arial" w:cs="Arial"/>
                <w:sz w:val="16"/>
                <w:szCs w:val="16"/>
              </w:rPr>
              <w:t>Visa application charges</w:t>
            </w:r>
          </w:p>
        </w:tc>
        <w:tc>
          <w:tcPr>
            <w:tcW w:w="819" w:type="pct"/>
            <w:tcBorders>
              <w:top w:val="nil"/>
              <w:left w:val="nil"/>
              <w:bottom w:val="nil"/>
              <w:right w:val="nil"/>
            </w:tcBorders>
            <w:shd w:val="clear" w:color="000000" w:fill="FFFFFF"/>
            <w:noWrap/>
            <w:vAlign w:val="center"/>
            <w:hideMark/>
          </w:tcPr>
          <w:p w14:paraId="18BD3755"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4,129</w:t>
            </w:r>
          </w:p>
        </w:tc>
        <w:tc>
          <w:tcPr>
            <w:tcW w:w="819" w:type="pct"/>
            <w:tcBorders>
              <w:top w:val="nil"/>
              <w:left w:val="nil"/>
              <w:bottom w:val="nil"/>
              <w:right w:val="nil"/>
            </w:tcBorders>
            <w:shd w:val="clear" w:color="000000" w:fill="E6F2FF"/>
            <w:noWrap/>
            <w:vAlign w:val="center"/>
            <w:hideMark/>
          </w:tcPr>
          <w:p w14:paraId="2E008415"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4,154</w:t>
            </w:r>
          </w:p>
        </w:tc>
        <w:tc>
          <w:tcPr>
            <w:tcW w:w="819" w:type="pct"/>
            <w:tcBorders>
              <w:top w:val="nil"/>
              <w:left w:val="nil"/>
              <w:bottom w:val="nil"/>
              <w:right w:val="nil"/>
            </w:tcBorders>
            <w:shd w:val="clear" w:color="000000" w:fill="FFFFFF"/>
            <w:noWrap/>
            <w:vAlign w:val="center"/>
            <w:hideMark/>
          </w:tcPr>
          <w:p w14:paraId="64D7E90D"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26</w:t>
            </w:r>
          </w:p>
        </w:tc>
      </w:tr>
      <w:tr w:rsidR="0030199E" w:rsidRPr="004863F3" w14:paraId="43CEF97F"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106ECF4B" w14:textId="77777777" w:rsidR="0030199E" w:rsidRPr="004863F3" w:rsidRDefault="0030199E" w:rsidP="0030199E">
            <w:pPr>
              <w:spacing w:before="0" w:after="0" w:line="240" w:lineRule="auto"/>
              <w:rPr>
                <w:rFonts w:ascii="Arial" w:hAnsi="Arial" w:cs="Arial"/>
                <w:sz w:val="16"/>
                <w:szCs w:val="16"/>
              </w:rPr>
            </w:pPr>
            <w:r w:rsidRPr="004863F3">
              <w:rPr>
                <w:rFonts w:ascii="Arial" w:hAnsi="Arial" w:cs="Arial"/>
                <w:sz w:val="16"/>
                <w:szCs w:val="16"/>
              </w:rPr>
              <w:t>Other taxes</w:t>
            </w:r>
          </w:p>
        </w:tc>
        <w:tc>
          <w:tcPr>
            <w:tcW w:w="819" w:type="pct"/>
            <w:tcBorders>
              <w:top w:val="nil"/>
              <w:left w:val="nil"/>
              <w:bottom w:val="single" w:sz="4" w:space="0" w:color="000000"/>
              <w:right w:val="nil"/>
            </w:tcBorders>
            <w:shd w:val="clear" w:color="000000" w:fill="FFFFFF"/>
            <w:noWrap/>
            <w:vAlign w:val="center"/>
            <w:hideMark/>
          </w:tcPr>
          <w:p w14:paraId="061330C3"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7,710</w:t>
            </w:r>
          </w:p>
        </w:tc>
        <w:tc>
          <w:tcPr>
            <w:tcW w:w="819" w:type="pct"/>
            <w:tcBorders>
              <w:top w:val="nil"/>
              <w:left w:val="nil"/>
              <w:bottom w:val="single" w:sz="4" w:space="0" w:color="000000"/>
              <w:right w:val="nil"/>
            </w:tcBorders>
            <w:shd w:val="clear" w:color="000000" w:fill="E6F2FF"/>
            <w:noWrap/>
            <w:vAlign w:val="center"/>
            <w:hideMark/>
          </w:tcPr>
          <w:p w14:paraId="29426B61"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7,669</w:t>
            </w:r>
          </w:p>
        </w:tc>
        <w:tc>
          <w:tcPr>
            <w:tcW w:w="819" w:type="pct"/>
            <w:tcBorders>
              <w:top w:val="nil"/>
              <w:left w:val="nil"/>
              <w:bottom w:val="single" w:sz="4" w:space="0" w:color="000000"/>
              <w:right w:val="nil"/>
            </w:tcBorders>
            <w:shd w:val="clear" w:color="000000" w:fill="FFFFFF"/>
            <w:noWrap/>
            <w:vAlign w:val="center"/>
            <w:hideMark/>
          </w:tcPr>
          <w:p w14:paraId="741E271A" w14:textId="766B16B2" w:rsidR="0030199E" w:rsidRPr="004863F3" w:rsidRDefault="001E171F" w:rsidP="0030199E">
            <w:pPr>
              <w:spacing w:before="0" w:after="0" w:line="240" w:lineRule="auto"/>
              <w:jc w:val="right"/>
              <w:rPr>
                <w:rFonts w:ascii="Arial" w:hAnsi="Arial" w:cs="Arial"/>
                <w:sz w:val="16"/>
                <w:szCs w:val="16"/>
              </w:rPr>
            </w:pPr>
            <w:r w:rsidRPr="004863F3">
              <w:rPr>
                <w:rFonts w:ascii="Arial" w:hAnsi="Arial" w:cs="Arial"/>
                <w:sz w:val="16"/>
                <w:szCs w:val="16"/>
              </w:rPr>
              <w:noBreakHyphen/>
            </w:r>
            <w:r w:rsidR="0030199E" w:rsidRPr="004863F3">
              <w:rPr>
                <w:rFonts w:ascii="Arial" w:hAnsi="Arial" w:cs="Arial"/>
                <w:sz w:val="16"/>
                <w:szCs w:val="16"/>
              </w:rPr>
              <w:t>41</w:t>
            </w:r>
          </w:p>
        </w:tc>
      </w:tr>
      <w:tr w:rsidR="0030199E" w:rsidRPr="004863F3" w14:paraId="317C1294"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76464A16" w14:textId="77777777" w:rsidR="0030199E" w:rsidRPr="004863F3" w:rsidRDefault="0030199E" w:rsidP="0030199E">
            <w:pPr>
              <w:spacing w:before="0" w:after="0" w:line="240" w:lineRule="auto"/>
              <w:rPr>
                <w:rFonts w:ascii="Arial" w:hAnsi="Arial" w:cs="Arial"/>
                <w:b/>
                <w:bCs/>
                <w:sz w:val="16"/>
                <w:szCs w:val="16"/>
              </w:rPr>
            </w:pPr>
            <w:r w:rsidRPr="004863F3">
              <w:rPr>
                <w:rFonts w:ascii="Arial" w:hAnsi="Arial" w:cs="Arial"/>
                <w:b/>
                <w:bCs/>
                <w:sz w:val="16"/>
                <w:szCs w:val="16"/>
              </w:rPr>
              <w:t>Indirect taxation revenue</w:t>
            </w:r>
          </w:p>
        </w:tc>
        <w:tc>
          <w:tcPr>
            <w:tcW w:w="819" w:type="pct"/>
            <w:tcBorders>
              <w:top w:val="nil"/>
              <w:left w:val="nil"/>
              <w:bottom w:val="single" w:sz="4" w:space="0" w:color="000000"/>
              <w:right w:val="nil"/>
            </w:tcBorders>
            <w:shd w:val="clear" w:color="000000" w:fill="FFFFFF"/>
            <w:noWrap/>
            <w:vAlign w:val="center"/>
            <w:hideMark/>
          </w:tcPr>
          <w:p w14:paraId="01951CBE"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153,508</w:t>
            </w:r>
          </w:p>
        </w:tc>
        <w:tc>
          <w:tcPr>
            <w:tcW w:w="819" w:type="pct"/>
            <w:tcBorders>
              <w:top w:val="nil"/>
              <w:left w:val="nil"/>
              <w:bottom w:val="single" w:sz="4" w:space="0" w:color="000000"/>
              <w:right w:val="nil"/>
            </w:tcBorders>
            <w:shd w:val="clear" w:color="000000" w:fill="E6F2FF"/>
            <w:noWrap/>
            <w:vAlign w:val="center"/>
            <w:hideMark/>
          </w:tcPr>
          <w:p w14:paraId="507C441E"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155,896</w:t>
            </w:r>
          </w:p>
        </w:tc>
        <w:tc>
          <w:tcPr>
            <w:tcW w:w="819" w:type="pct"/>
            <w:tcBorders>
              <w:top w:val="nil"/>
              <w:left w:val="nil"/>
              <w:bottom w:val="single" w:sz="4" w:space="0" w:color="000000"/>
              <w:right w:val="nil"/>
            </w:tcBorders>
            <w:shd w:val="clear" w:color="000000" w:fill="FFFFFF"/>
            <w:noWrap/>
            <w:vAlign w:val="center"/>
            <w:hideMark/>
          </w:tcPr>
          <w:p w14:paraId="4A4E1B59"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2,388</w:t>
            </w:r>
          </w:p>
        </w:tc>
      </w:tr>
      <w:tr w:rsidR="0030199E" w:rsidRPr="004863F3" w14:paraId="17E93183" w14:textId="77777777" w:rsidTr="004D08B6">
        <w:trPr>
          <w:trHeight w:hRule="exact" w:val="60"/>
        </w:trPr>
        <w:tc>
          <w:tcPr>
            <w:tcW w:w="2542" w:type="pct"/>
            <w:tcBorders>
              <w:top w:val="nil"/>
              <w:left w:val="nil"/>
              <w:bottom w:val="nil"/>
              <w:right w:val="nil"/>
            </w:tcBorders>
            <w:shd w:val="clear" w:color="000000" w:fill="FFFFFF"/>
            <w:noWrap/>
            <w:vAlign w:val="center"/>
            <w:hideMark/>
          </w:tcPr>
          <w:p w14:paraId="7FE18B28" w14:textId="77777777" w:rsidR="0030199E" w:rsidRPr="004863F3" w:rsidRDefault="0030199E" w:rsidP="0030199E">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819" w:type="pct"/>
            <w:tcBorders>
              <w:top w:val="nil"/>
              <w:left w:val="nil"/>
              <w:bottom w:val="nil"/>
              <w:right w:val="nil"/>
            </w:tcBorders>
            <w:shd w:val="clear" w:color="000000" w:fill="FFFFFF"/>
            <w:noWrap/>
            <w:vAlign w:val="center"/>
            <w:hideMark/>
          </w:tcPr>
          <w:p w14:paraId="0AA4841B"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819" w:type="pct"/>
            <w:tcBorders>
              <w:top w:val="nil"/>
              <w:left w:val="nil"/>
              <w:bottom w:val="nil"/>
              <w:right w:val="nil"/>
            </w:tcBorders>
            <w:shd w:val="clear" w:color="000000" w:fill="E6F2FF"/>
            <w:noWrap/>
            <w:vAlign w:val="center"/>
            <w:hideMark/>
          </w:tcPr>
          <w:p w14:paraId="646CBBF9"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819" w:type="pct"/>
            <w:tcBorders>
              <w:top w:val="nil"/>
              <w:left w:val="nil"/>
              <w:bottom w:val="nil"/>
              <w:right w:val="nil"/>
            </w:tcBorders>
            <w:shd w:val="clear" w:color="000000" w:fill="FFFFFF"/>
            <w:noWrap/>
            <w:vAlign w:val="center"/>
            <w:hideMark/>
          </w:tcPr>
          <w:p w14:paraId="3A743A31"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199E" w:rsidRPr="004863F3" w14:paraId="7AC8C479"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681D1B8B" w14:textId="77777777" w:rsidR="0030199E" w:rsidRPr="004863F3" w:rsidRDefault="0030199E" w:rsidP="0030199E">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Taxation revenue</w:t>
            </w:r>
          </w:p>
        </w:tc>
        <w:tc>
          <w:tcPr>
            <w:tcW w:w="819" w:type="pct"/>
            <w:tcBorders>
              <w:top w:val="nil"/>
              <w:left w:val="nil"/>
              <w:bottom w:val="single" w:sz="4" w:space="0" w:color="000000"/>
              <w:right w:val="nil"/>
            </w:tcBorders>
            <w:shd w:val="clear" w:color="000000" w:fill="FFFFFF"/>
            <w:noWrap/>
            <w:vAlign w:val="center"/>
            <w:hideMark/>
          </w:tcPr>
          <w:p w14:paraId="3FB6A319"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663,208</w:t>
            </w:r>
          </w:p>
        </w:tc>
        <w:tc>
          <w:tcPr>
            <w:tcW w:w="819" w:type="pct"/>
            <w:tcBorders>
              <w:top w:val="nil"/>
              <w:left w:val="nil"/>
              <w:bottom w:val="single" w:sz="4" w:space="0" w:color="000000"/>
              <w:right w:val="nil"/>
            </w:tcBorders>
            <w:shd w:val="clear" w:color="000000" w:fill="E6F2FF"/>
            <w:noWrap/>
            <w:vAlign w:val="center"/>
            <w:hideMark/>
          </w:tcPr>
          <w:p w14:paraId="5C9BDCBB"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677,185</w:t>
            </w:r>
          </w:p>
        </w:tc>
        <w:tc>
          <w:tcPr>
            <w:tcW w:w="819" w:type="pct"/>
            <w:tcBorders>
              <w:top w:val="nil"/>
              <w:left w:val="nil"/>
              <w:bottom w:val="single" w:sz="4" w:space="0" w:color="000000"/>
              <w:right w:val="nil"/>
            </w:tcBorders>
            <w:shd w:val="clear" w:color="000000" w:fill="FFFFFF"/>
            <w:noWrap/>
            <w:vAlign w:val="center"/>
            <w:hideMark/>
          </w:tcPr>
          <w:p w14:paraId="626FEC4A"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13,977</w:t>
            </w:r>
          </w:p>
        </w:tc>
      </w:tr>
      <w:tr w:rsidR="0030199E" w:rsidRPr="004863F3" w14:paraId="741C39FC" w14:textId="77777777" w:rsidTr="004D08B6">
        <w:trPr>
          <w:trHeight w:hRule="exact" w:val="60"/>
        </w:trPr>
        <w:tc>
          <w:tcPr>
            <w:tcW w:w="2542" w:type="pct"/>
            <w:tcBorders>
              <w:top w:val="nil"/>
              <w:left w:val="nil"/>
              <w:bottom w:val="nil"/>
              <w:right w:val="nil"/>
            </w:tcBorders>
            <w:shd w:val="clear" w:color="000000" w:fill="FFFFFF"/>
            <w:noWrap/>
            <w:vAlign w:val="center"/>
            <w:hideMark/>
          </w:tcPr>
          <w:p w14:paraId="03263DE3" w14:textId="77777777" w:rsidR="0030199E" w:rsidRPr="004863F3" w:rsidRDefault="0030199E" w:rsidP="0030199E">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819" w:type="pct"/>
            <w:tcBorders>
              <w:top w:val="nil"/>
              <w:left w:val="nil"/>
              <w:bottom w:val="nil"/>
              <w:right w:val="nil"/>
            </w:tcBorders>
            <w:shd w:val="clear" w:color="000000" w:fill="FFFFFF"/>
            <w:noWrap/>
            <w:vAlign w:val="center"/>
            <w:hideMark/>
          </w:tcPr>
          <w:p w14:paraId="6D20DE8A"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819" w:type="pct"/>
            <w:tcBorders>
              <w:top w:val="nil"/>
              <w:left w:val="nil"/>
              <w:bottom w:val="nil"/>
              <w:right w:val="nil"/>
            </w:tcBorders>
            <w:shd w:val="clear" w:color="000000" w:fill="E6F2FF"/>
            <w:noWrap/>
            <w:vAlign w:val="center"/>
            <w:hideMark/>
          </w:tcPr>
          <w:p w14:paraId="2106535E"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c>
          <w:tcPr>
            <w:tcW w:w="819" w:type="pct"/>
            <w:tcBorders>
              <w:top w:val="nil"/>
              <w:left w:val="nil"/>
              <w:bottom w:val="nil"/>
              <w:right w:val="nil"/>
            </w:tcBorders>
            <w:shd w:val="clear" w:color="000000" w:fill="FFFFFF"/>
            <w:noWrap/>
            <w:vAlign w:val="center"/>
            <w:hideMark/>
          </w:tcPr>
          <w:p w14:paraId="0AB8F1AD"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 </w:t>
            </w:r>
          </w:p>
        </w:tc>
      </w:tr>
      <w:tr w:rsidR="0030199E" w:rsidRPr="004863F3" w14:paraId="2B39C421"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79E964F7"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Sales of goods and services</w:t>
            </w:r>
          </w:p>
        </w:tc>
        <w:tc>
          <w:tcPr>
            <w:tcW w:w="819" w:type="pct"/>
            <w:tcBorders>
              <w:top w:val="nil"/>
              <w:left w:val="nil"/>
              <w:bottom w:val="nil"/>
              <w:right w:val="nil"/>
            </w:tcBorders>
            <w:shd w:val="clear" w:color="000000" w:fill="FFFFFF"/>
            <w:noWrap/>
            <w:vAlign w:val="center"/>
            <w:hideMark/>
          </w:tcPr>
          <w:p w14:paraId="09D351A4"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21,166</w:t>
            </w:r>
          </w:p>
        </w:tc>
        <w:tc>
          <w:tcPr>
            <w:tcW w:w="819" w:type="pct"/>
            <w:tcBorders>
              <w:top w:val="nil"/>
              <w:left w:val="nil"/>
              <w:bottom w:val="nil"/>
              <w:right w:val="nil"/>
            </w:tcBorders>
            <w:shd w:val="clear" w:color="000000" w:fill="E6F2FF"/>
            <w:noWrap/>
            <w:vAlign w:val="center"/>
            <w:hideMark/>
          </w:tcPr>
          <w:p w14:paraId="0AEFC870"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20,596</w:t>
            </w:r>
          </w:p>
        </w:tc>
        <w:tc>
          <w:tcPr>
            <w:tcW w:w="819" w:type="pct"/>
            <w:tcBorders>
              <w:top w:val="nil"/>
              <w:left w:val="nil"/>
              <w:bottom w:val="nil"/>
              <w:right w:val="nil"/>
            </w:tcBorders>
            <w:shd w:val="clear" w:color="000000" w:fill="FFFFFF"/>
            <w:noWrap/>
            <w:vAlign w:val="center"/>
            <w:hideMark/>
          </w:tcPr>
          <w:p w14:paraId="2BE92B95" w14:textId="4C137F31" w:rsidR="0030199E" w:rsidRPr="004863F3" w:rsidRDefault="001E171F"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30199E" w:rsidRPr="004863F3">
              <w:rPr>
                <w:rFonts w:ascii="Arial" w:hAnsi="Arial" w:cs="Arial"/>
                <w:color w:val="000000"/>
                <w:sz w:val="16"/>
                <w:szCs w:val="16"/>
              </w:rPr>
              <w:t>570</w:t>
            </w:r>
          </w:p>
        </w:tc>
      </w:tr>
      <w:tr w:rsidR="0030199E" w:rsidRPr="004863F3" w14:paraId="3DD1FFA4"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6225E706"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Interest</w:t>
            </w:r>
          </w:p>
        </w:tc>
        <w:tc>
          <w:tcPr>
            <w:tcW w:w="819" w:type="pct"/>
            <w:tcBorders>
              <w:top w:val="nil"/>
              <w:left w:val="nil"/>
              <w:bottom w:val="nil"/>
              <w:right w:val="nil"/>
            </w:tcBorders>
            <w:shd w:val="clear" w:color="000000" w:fill="FFFFFF"/>
            <w:noWrap/>
            <w:vAlign w:val="center"/>
            <w:hideMark/>
          </w:tcPr>
          <w:p w14:paraId="631CC47E"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10,532</w:t>
            </w:r>
          </w:p>
        </w:tc>
        <w:tc>
          <w:tcPr>
            <w:tcW w:w="819" w:type="pct"/>
            <w:tcBorders>
              <w:top w:val="nil"/>
              <w:left w:val="nil"/>
              <w:bottom w:val="nil"/>
              <w:right w:val="nil"/>
            </w:tcBorders>
            <w:shd w:val="clear" w:color="000000" w:fill="E6F2FF"/>
            <w:noWrap/>
            <w:vAlign w:val="center"/>
            <w:hideMark/>
          </w:tcPr>
          <w:p w14:paraId="61AB0484"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11,518</w:t>
            </w:r>
          </w:p>
        </w:tc>
        <w:tc>
          <w:tcPr>
            <w:tcW w:w="819" w:type="pct"/>
            <w:tcBorders>
              <w:top w:val="nil"/>
              <w:left w:val="nil"/>
              <w:bottom w:val="nil"/>
              <w:right w:val="nil"/>
            </w:tcBorders>
            <w:shd w:val="clear" w:color="000000" w:fill="FFFFFF"/>
            <w:noWrap/>
            <w:vAlign w:val="center"/>
            <w:hideMark/>
          </w:tcPr>
          <w:p w14:paraId="78D9279F"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986</w:t>
            </w:r>
          </w:p>
        </w:tc>
      </w:tr>
      <w:tr w:rsidR="0030199E" w:rsidRPr="004863F3" w14:paraId="5E7CBDD4"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3C48FA3D" w14:textId="77777777"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Dividends and distributions</w:t>
            </w:r>
          </w:p>
        </w:tc>
        <w:tc>
          <w:tcPr>
            <w:tcW w:w="819" w:type="pct"/>
            <w:tcBorders>
              <w:top w:val="nil"/>
              <w:left w:val="nil"/>
              <w:bottom w:val="nil"/>
              <w:right w:val="nil"/>
            </w:tcBorders>
            <w:shd w:val="clear" w:color="000000" w:fill="FFFFFF"/>
            <w:noWrap/>
            <w:vAlign w:val="center"/>
            <w:hideMark/>
          </w:tcPr>
          <w:p w14:paraId="56B4D0D3"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7,205</w:t>
            </w:r>
          </w:p>
        </w:tc>
        <w:tc>
          <w:tcPr>
            <w:tcW w:w="819" w:type="pct"/>
            <w:tcBorders>
              <w:top w:val="nil"/>
              <w:left w:val="nil"/>
              <w:bottom w:val="nil"/>
              <w:right w:val="nil"/>
            </w:tcBorders>
            <w:shd w:val="clear" w:color="000000" w:fill="E6F2FF"/>
            <w:noWrap/>
            <w:vAlign w:val="center"/>
            <w:hideMark/>
          </w:tcPr>
          <w:p w14:paraId="71BC003F"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7,495</w:t>
            </w:r>
          </w:p>
        </w:tc>
        <w:tc>
          <w:tcPr>
            <w:tcW w:w="819" w:type="pct"/>
            <w:tcBorders>
              <w:top w:val="nil"/>
              <w:left w:val="nil"/>
              <w:bottom w:val="nil"/>
              <w:right w:val="nil"/>
            </w:tcBorders>
            <w:shd w:val="clear" w:color="000000" w:fill="FFFFFF"/>
            <w:noWrap/>
            <w:vAlign w:val="center"/>
            <w:hideMark/>
          </w:tcPr>
          <w:p w14:paraId="546269AC"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290</w:t>
            </w:r>
          </w:p>
        </w:tc>
      </w:tr>
      <w:tr w:rsidR="0030199E" w:rsidRPr="004863F3" w14:paraId="4F85DE17"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728B5FC1" w14:textId="541A6EFF" w:rsidR="0030199E" w:rsidRPr="004863F3" w:rsidRDefault="0030199E" w:rsidP="0030199E">
            <w:pPr>
              <w:spacing w:before="0" w:after="0" w:line="240" w:lineRule="auto"/>
              <w:rPr>
                <w:rFonts w:ascii="Arial" w:hAnsi="Arial" w:cs="Arial"/>
                <w:color w:val="000000"/>
                <w:sz w:val="16"/>
                <w:szCs w:val="16"/>
              </w:rPr>
            </w:pPr>
            <w:r w:rsidRPr="004863F3">
              <w:rPr>
                <w:rFonts w:ascii="Arial" w:hAnsi="Arial" w:cs="Arial"/>
                <w:color w:val="000000"/>
                <w:sz w:val="16"/>
                <w:szCs w:val="16"/>
              </w:rPr>
              <w:t>Other non</w:t>
            </w:r>
            <w:r w:rsidR="001E171F" w:rsidRPr="004863F3">
              <w:rPr>
                <w:rFonts w:ascii="Arial" w:hAnsi="Arial" w:cs="Arial"/>
                <w:color w:val="000000"/>
                <w:sz w:val="16"/>
                <w:szCs w:val="16"/>
              </w:rPr>
              <w:noBreakHyphen/>
            </w:r>
            <w:r w:rsidRPr="004863F3">
              <w:rPr>
                <w:rFonts w:ascii="Arial" w:hAnsi="Arial" w:cs="Arial"/>
                <w:color w:val="000000"/>
                <w:sz w:val="16"/>
                <w:szCs w:val="16"/>
              </w:rPr>
              <w:t>taxation revenue</w:t>
            </w:r>
          </w:p>
        </w:tc>
        <w:tc>
          <w:tcPr>
            <w:tcW w:w="819" w:type="pct"/>
            <w:tcBorders>
              <w:top w:val="nil"/>
              <w:left w:val="nil"/>
              <w:bottom w:val="single" w:sz="4" w:space="0" w:color="000000"/>
              <w:right w:val="nil"/>
            </w:tcBorders>
            <w:shd w:val="clear" w:color="000000" w:fill="FFFFFF"/>
            <w:noWrap/>
            <w:vAlign w:val="center"/>
            <w:hideMark/>
          </w:tcPr>
          <w:p w14:paraId="67E564F9"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15,458</w:t>
            </w:r>
          </w:p>
        </w:tc>
        <w:tc>
          <w:tcPr>
            <w:tcW w:w="819" w:type="pct"/>
            <w:tcBorders>
              <w:top w:val="nil"/>
              <w:left w:val="nil"/>
              <w:bottom w:val="single" w:sz="4" w:space="0" w:color="000000"/>
              <w:right w:val="nil"/>
            </w:tcBorders>
            <w:shd w:val="clear" w:color="000000" w:fill="E6F2FF"/>
            <w:noWrap/>
            <w:vAlign w:val="center"/>
            <w:hideMark/>
          </w:tcPr>
          <w:p w14:paraId="665F9A04" w14:textId="77777777" w:rsidR="0030199E" w:rsidRPr="004863F3" w:rsidRDefault="0030199E" w:rsidP="0030199E">
            <w:pPr>
              <w:spacing w:before="0" w:after="0" w:line="240" w:lineRule="auto"/>
              <w:jc w:val="right"/>
              <w:rPr>
                <w:rFonts w:ascii="Arial" w:hAnsi="Arial" w:cs="Arial"/>
                <w:sz w:val="16"/>
                <w:szCs w:val="16"/>
              </w:rPr>
            </w:pPr>
            <w:r w:rsidRPr="004863F3">
              <w:rPr>
                <w:rFonts w:ascii="Arial" w:hAnsi="Arial" w:cs="Arial"/>
                <w:sz w:val="16"/>
                <w:szCs w:val="16"/>
              </w:rPr>
              <w:t>16,215</w:t>
            </w:r>
          </w:p>
        </w:tc>
        <w:tc>
          <w:tcPr>
            <w:tcW w:w="819" w:type="pct"/>
            <w:tcBorders>
              <w:top w:val="nil"/>
              <w:left w:val="nil"/>
              <w:bottom w:val="single" w:sz="4" w:space="0" w:color="000000"/>
              <w:right w:val="nil"/>
            </w:tcBorders>
            <w:shd w:val="clear" w:color="000000" w:fill="FFFFFF"/>
            <w:noWrap/>
            <w:vAlign w:val="center"/>
            <w:hideMark/>
          </w:tcPr>
          <w:p w14:paraId="7CA48B6D" w14:textId="77777777" w:rsidR="0030199E" w:rsidRPr="004863F3" w:rsidRDefault="0030199E" w:rsidP="0030199E">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758</w:t>
            </w:r>
          </w:p>
        </w:tc>
      </w:tr>
      <w:tr w:rsidR="0030199E" w:rsidRPr="004863F3" w14:paraId="0D07C290"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5DA5FE2E" w14:textId="300D9BF7" w:rsidR="0030199E" w:rsidRPr="004863F3" w:rsidRDefault="0030199E" w:rsidP="0030199E">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Non</w:t>
            </w:r>
            <w:r w:rsidR="001E171F" w:rsidRPr="004863F3">
              <w:rPr>
                <w:rFonts w:ascii="Arial" w:hAnsi="Arial" w:cs="Arial"/>
                <w:b/>
                <w:bCs/>
                <w:color w:val="000000"/>
                <w:sz w:val="16"/>
                <w:szCs w:val="16"/>
              </w:rPr>
              <w:noBreakHyphen/>
            </w:r>
            <w:r w:rsidRPr="004863F3">
              <w:rPr>
                <w:rFonts w:ascii="Arial" w:hAnsi="Arial" w:cs="Arial"/>
                <w:b/>
                <w:bCs/>
                <w:color w:val="000000"/>
                <w:sz w:val="16"/>
                <w:szCs w:val="16"/>
              </w:rPr>
              <w:t>taxation revenue</w:t>
            </w:r>
          </w:p>
        </w:tc>
        <w:tc>
          <w:tcPr>
            <w:tcW w:w="819" w:type="pct"/>
            <w:tcBorders>
              <w:top w:val="nil"/>
              <w:left w:val="nil"/>
              <w:bottom w:val="single" w:sz="4" w:space="0" w:color="000000"/>
              <w:right w:val="nil"/>
            </w:tcBorders>
            <w:shd w:val="clear" w:color="000000" w:fill="FFFFFF"/>
            <w:noWrap/>
            <w:vAlign w:val="center"/>
            <w:hideMark/>
          </w:tcPr>
          <w:p w14:paraId="44152525" w14:textId="77777777" w:rsidR="0030199E" w:rsidRPr="004863F3" w:rsidRDefault="0030199E" w:rsidP="0030199E">
            <w:pPr>
              <w:spacing w:before="0" w:after="0" w:line="240" w:lineRule="auto"/>
              <w:jc w:val="right"/>
              <w:rPr>
                <w:rFonts w:ascii="Arial" w:hAnsi="Arial" w:cs="Arial"/>
                <w:b/>
                <w:bCs/>
                <w:sz w:val="16"/>
                <w:szCs w:val="16"/>
              </w:rPr>
            </w:pPr>
            <w:r w:rsidRPr="004863F3">
              <w:rPr>
                <w:rFonts w:ascii="Arial" w:hAnsi="Arial" w:cs="Arial"/>
                <w:b/>
                <w:bCs/>
                <w:sz w:val="16"/>
                <w:szCs w:val="16"/>
              </w:rPr>
              <w:t>54,360</w:t>
            </w:r>
          </w:p>
        </w:tc>
        <w:tc>
          <w:tcPr>
            <w:tcW w:w="819" w:type="pct"/>
            <w:tcBorders>
              <w:top w:val="nil"/>
              <w:left w:val="nil"/>
              <w:bottom w:val="single" w:sz="4" w:space="0" w:color="000000"/>
              <w:right w:val="nil"/>
            </w:tcBorders>
            <w:shd w:val="clear" w:color="000000" w:fill="E6F2FF"/>
            <w:noWrap/>
            <w:vAlign w:val="center"/>
            <w:hideMark/>
          </w:tcPr>
          <w:p w14:paraId="7A3ECEA2" w14:textId="77777777" w:rsidR="0030199E" w:rsidRPr="004863F3" w:rsidRDefault="0030199E" w:rsidP="0030199E">
            <w:pPr>
              <w:spacing w:before="0" w:after="0" w:line="240" w:lineRule="auto"/>
              <w:jc w:val="right"/>
              <w:rPr>
                <w:rFonts w:ascii="Arial" w:hAnsi="Arial" w:cs="Arial"/>
                <w:b/>
                <w:bCs/>
                <w:sz w:val="16"/>
                <w:szCs w:val="16"/>
              </w:rPr>
            </w:pPr>
            <w:r w:rsidRPr="004863F3">
              <w:rPr>
                <w:rFonts w:ascii="Arial" w:hAnsi="Arial" w:cs="Arial"/>
                <w:b/>
                <w:bCs/>
                <w:sz w:val="16"/>
                <w:szCs w:val="16"/>
              </w:rPr>
              <w:t>55,825</w:t>
            </w:r>
          </w:p>
        </w:tc>
        <w:tc>
          <w:tcPr>
            <w:tcW w:w="819" w:type="pct"/>
            <w:tcBorders>
              <w:top w:val="nil"/>
              <w:left w:val="nil"/>
              <w:bottom w:val="single" w:sz="4" w:space="0" w:color="000000"/>
              <w:right w:val="nil"/>
            </w:tcBorders>
            <w:shd w:val="clear" w:color="000000" w:fill="FFFFFF"/>
            <w:noWrap/>
            <w:vAlign w:val="center"/>
            <w:hideMark/>
          </w:tcPr>
          <w:p w14:paraId="568A2705"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1,464</w:t>
            </w:r>
          </w:p>
        </w:tc>
      </w:tr>
      <w:tr w:rsidR="0030199E" w:rsidRPr="004863F3" w14:paraId="773F7D0B" w14:textId="77777777" w:rsidTr="004D08B6">
        <w:trPr>
          <w:trHeight w:hRule="exact" w:val="60"/>
        </w:trPr>
        <w:tc>
          <w:tcPr>
            <w:tcW w:w="2542" w:type="pct"/>
            <w:tcBorders>
              <w:top w:val="nil"/>
              <w:left w:val="nil"/>
              <w:bottom w:val="nil"/>
              <w:right w:val="nil"/>
            </w:tcBorders>
            <w:shd w:val="clear" w:color="000000" w:fill="FFFFFF"/>
            <w:noWrap/>
            <w:vAlign w:val="center"/>
            <w:hideMark/>
          </w:tcPr>
          <w:p w14:paraId="7DBFB652" w14:textId="77777777" w:rsidR="0030199E" w:rsidRPr="004863F3" w:rsidRDefault="0030199E" w:rsidP="0030199E">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819" w:type="pct"/>
            <w:tcBorders>
              <w:top w:val="nil"/>
              <w:left w:val="nil"/>
              <w:bottom w:val="nil"/>
              <w:right w:val="nil"/>
            </w:tcBorders>
            <w:shd w:val="clear" w:color="000000" w:fill="FFFFFF"/>
            <w:noWrap/>
            <w:vAlign w:val="center"/>
            <w:hideMark/>
          </w:tcPr>
          <w:p w14:paraId="3EC267D8" w14:textId="77777777" w:rsidR="0030199E" w:rsidRPr="004863F3" w:rsidRDefault="0030199E" w:rsidP="0030199E">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819" w:type="pct"/>
            <w:tcBorders>
              <w:top w:val="nil"/>
              <w:left w:val="nil"/>
              <w:bottom w:val="nil"/>
              <w:right w:val="nil"/>
            </w:tcBorders>
            <w:shd w:val="clear" w:color="000000" w:fill="E6F2FF"/>
            <w:noWrap/>
            <w:vAlign w:val="center"/>
            <w:hideMark/>
          </w:tcPr>
          <w:p w14:paraId="43168D47" w14:textId="77777777" w:rsidR="0030199E" w:rsidRPr="004863F3" w:rsidRDefault="0030199E" w:rsidP="0030199E">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819" w:type="pct"/>
            <w:tcBorders>
              <w:top w:val="nil"/>
              <w:left w:val="nil"/>
              <w:bottom w:val="nil"/>
              <w:right w:val="nil"/>
            </w:tcBorders>
            <w:shd w:val="clear" w:color="000000" w:fill="FFFFFF"/>
            <w:noWrap/>
            <w:vAlign w:val="center"/>
            <w:hideMark/>
          </w:tcPr>
          <w:p w14:paraId="5336C564"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 </w:t>
            </w:r>
          </w:p>
        </w:tc>
      </w:tr>
      <w:tr w:rsidR="0030199E" w:rsidRPr="004863F3" w14:paraId="7848FCE6" w14:textId="77777777" w:rsidTr="004D08B6">
        <w:trPr>
          <w:trHeight w:hRule="exact" w:val="210"/>
        </w:trPr>
        <w:tc>
          <w:tcPr>
            <w:tcW w:w="2542" w:type="pct"/>
            <w:tcBorders>
              <w:top w:val="nil"/>
              <w:left w:val="nil"/>
              <w:bottom w:val="single" w:sz="4" w:space="0" w:color="293F5B"/>
              <w:right w:val="nil"/>
            </w:tcBorders>
            <w:shd w:val="clear" w:color="000000" w:fill="FFFFFF"/>
            <w:noWrap/>
            <w:vAlign w:val="center"/>
            <w:hideMark/>
          </w:tcPr>
          <w:p w14:paraId="59AD0887" w14:textId="77777777" w:rsidR="0030199E" w:rsidRPr="004863F3" w:rsidRDefault="0030199E" w:rsidP="0030199E">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Total revenue</w:t>
            </w:r>
          </w:p>
        </w:tc>
        <w:tc>
          <w:tcPr>
            <w:tcW w:w="819" w:type="pct"/>
            <w:tcBorders>
              <w:top w:val="nil"/>
              <w:left w:val="nil"/>
              <w:bottom w:val="single" w:sz="4" w:space="0" w:color="000000"/>
              <w:right w:val="nil"/>
            </w:tcBorders>
            <w:shd w:val="clear" w:color="000000" w:fill="FFFFFF"/>
            <w:noWrap/>
            <w:vAlign w:val="center"/>
            <w:hideMark/>
          </w:tcPr>
          <w:p w14:paraId="5E2D14DC" w14:textId="77777777" w:rsidR="0030199E" w:rsidRPr="004863F3" w:rsidRDefault="0030199E" w:rsidP="0030199E">
            <w:pPr>
              <w:spacing w:before="0" w:after="0" w:line="240" w:lineRule="auto"/>
              <w:jc w:val="right"/>
              <w:rPr>
                <w:rFonts w:ascii="Arial" w:hAnsi="Arial" w:cs="Arial"/>
                <w:b/>
                <w:bCs/>
                <w:sz w:val="16"/>
                <w:szCs w:val="16"/>
              </w:rPr>
            </w:pPr>
            <w:r w:rsidRPr="004863F3">
              <w:rPr>
                <w:rFonts w:ascii="Arial" w:hAnsi="Arial" w:cs="Arial"/>
                <w:b/>
                <w:bCs/>
                <w:sz w:val="16"/>
                <w:szCs w:val="16"/>
              </w:rPr>
              <w:t>717,568</w:t>
            </w:r>
          </w:p>
        </w:tc>
        <w:tc>
          <w:tcPr>
            <w:tcW w:w="819" w:type="pct"/>
            <w:tcBorders>
              <w:top w:val="nil"/>
              <w:left w:val="nil"/>
              <w:bottom w:val="single" w:sz="4" w:space="0" w:color="000000"/>
              <w:right w:val="nil"/>
            </w:tcBorders>
            <w:shd w:val="clear" w:color="000000" w:fill="E6F2FF"/>
            <w:noWrap/>
            <w:vAlign w:val="center"/>
            <w:hideMark/>
          </w:tcPr>
          <w:p w14:paraId="02861265" w14:textId="77777777" w:rsidR="0030199E" w:rsidRPr="004863F3" w:rsidRDefault="0030199E" w:rsidP="0030199E">
            <w:pPr>
              <w:spacing w:before="0" w:after="0" w:line="240" w:lineRule="auto"/>
              <w:jc w:val="right"/>
              <w:rPr>
                <w:rFonts w:ascii="Arial" w:hAnsi="Arial" w:cs="Arial"/>
                <w:b/>
                <w:bCs/>
                <w:sz w:val="16"/>
                <w:szCs w:val="16"/>
              </w:rPr>
            </w:pPr>
            <w:r w:rsidRPr="004863F3">
              <w:rPr>
                <w:rFonts w:ascii="Arial" w:hAnsi="Arial" w:cs="Arial"/>
                <w:b/>
                <w:bCs/>
                <w:sz w:val="16"/>
                <w:szCs w:val="16"/>
              </w:rPr>
              <w:t>733,010</w:t>
            </w:r>
          </w:p>
        </w:tc>
        <w:tc>
          <w:tcPr>
            <w:tcW w:w="819" w:type="pct"/>
            <w:tcBorders>
              <w:top w:val="nil"/>
              <w:left w:val="nil"/>
              <w:bottom w:val="single" w:sz="4" w:space="0" w:color="000000"/>
              <w:right w:val="nil"/>
            </w:tcBorders>
            <w:shd w:val="clear" w:color="000000" w:fill="FFFFFF"/>
            <w:noWrap/>
            <w:vAlign w:val="center"/>
            <w:hideMark/>
          </w:tcPr>
          <w:p w14:paraId="6C7C5154" w14:textId="77777777" w:rsidR="0030199E" w:rsidRPr="004863F3" w:rsidRDefault="0030199E" w:rsidP="0030199E">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15,442</w:t>
            </w:r>
          </w:p>
        </w:tc>
      </w:tr>
      <w:tr w:rsidR="0030199E" w:rsidRPr="004863F3" w14:paraId="57352BCA"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231AFE5D" w14:textId="77777777" w:rsidR="0030199E" w:rsidRPr="004863F3" w:rsidRDefault="0030199E" w:rsidP="0030199E">
            <w:pPr>
              <w:spacing w:before="0" w:after="0" w:line="240" w:lineRule="auto"/>
              <w:rPr>
                <w:rFonts w:ascii="Arial" w:hAnsi="Arial" w:cs="Arial"/>
                <w:i/>
                <w:iCs/>
                <w:sz w:val="16"/>
                <w:szCs w:val="16"/>
              </w:rPr>
            </w:pPr>
            <w:r w:rsidRPr="004863F3">
              <w:rPr>
                <w:rFonts w:ascii="Arial" w:hAnsi="Arial" w:cs="Arial"/>
                <w:i/>
                <w:iCs/>
                <w:sz w:val="16"/>
                <w:szCs w:val="16"/>
              </w:rPr>
              <w:t>Memorandum:</w:t>
            </w:r>
          </w:p>
        </w:tc>
        <w:tc>
          <w:tcPr>
            <w:tcW w:w="819" w:type="pct"/>
            <w:tcBorders>
              <w:top w:val="nil"/>
              <w:left w:val="nil"/>
              <w:bottom w:val="nil"/>
              <w:right w:val="nil"/>
            </w:tcBorders>
            <w:shd w:val="clear" w:color="000000" w:fill="FFFFFF"/>
            <w:noWrap/>
            <w:vAlign w:val="center"/>
            <w:hideMark/>
          </w:tcPr>
          <w:p w14:paraId="5D9D0489" w14:textId="77777777" w:rsidR="0030199E" w:rsidRPr="004863F3" w:rsidRDefault="0030199E" w:rsidP="0030199E">
            <w:pPr>
              <w:spacing w:before="0" w:after="0" w:line="240" w:lineRule="auto"/>
              <w:jc w:val="right"/>
              <w:rPr>
                <w:rFonts w:ascii="Arial" w:hAnsi="Arial" w:cs="Arial"/>
                <w:i/>
                <w:iCs/>
                <w:sz w:val="16"/>
                <w:szCs w:val="16"/>
              </w:rPr>
            </w:pPr>
            <w:r w:rsidRPr="004863F3">
              <w:rPr>
                <w:rFonts w:ascii="Arial" w:hAnsi="Arial" w:cs="Arial"/>
                <w:i/>
                <w:iCs/>
                <w:sz w:val="16"/>
                <w:szCs w:val="16"/>
              </w:rPr>
              <w:t> </w:t>
            </w:r>
          </w:p>
        </w:tc>
        <w:tc>
          <w:tcPr>
            <w:tcW w:w="819" w:type="pct"/>
            <w:tcBorders>
              <w:top w:val="nil"/>
              <w:left w:val="nil"/>
              <w:bottom w:val="nil"/>
              <w:right w:val="nil"/>
            </w:tcBorders>
            <w:shd w:val="clear" w:color="000000" w:fill="E6F2FF"/>
            <w:noWrap/>
            <w:vAlign w:val="center"/>
            <w:hideMark/>
          </w:tcPr>
          <w:p w14:paraId="6BC3D1EF" w14:textId="77777777" w:rsidR="0030199E" w:rsidRPr="004863F3" w:rsidRDefault="0030199E" w:rsidP="0030199E">
            <w:pPr>
              <w:spacing w:before="0" w:after="0" w:line="240" w:lineRule="auto"/>
              <w:jc w:val="right"/>
              <w:rPr>
                <w:rFonts w:ascii="Arial" w:hAnsi="Arial" w:cs="Arial"/>
                <w:i/>
                <w:iCs/>
                <w:sz w:val="16"/>
                <w:szCs w:val="16"/>
              </w:rPr>
            </w:pPr>
            <w:r w:rsidRPr="004863F3">
              <w:rPr>
                <w:rFonts w:ascii="Arial" w:hAnsi="Arial" w:cs="Arial"/>
                <w:i/>
                <w:iCs/>
                <w:sz w:val="16"/>
                <w:szCs w:val="16"/>
              </w:rPr>
              <w:t> </w:t>
            </w:r>
          </w:p>
        </w:tc>
        <w:tc>
          <w:tcPr>
            <w:tcW w:w="819" w:type="pct"/>
            <w:tcBorders>
              <w:top w:val="nil"/>
              <w:left w:val="nil"/>
              <w:bottom w:val="nil"/>
              <w:right w:val="nil"/>
            </w:tcBorders>
            <w:shd w:val="clear" w:color="000000" w:fill="FFFFFF"/>
            <w:noWrap/>
            <w:vAlign w:val="center"/>
            <w:hideMark/>
          </w:tcPr>
          <w:p w14:paraId="5259B9AE" w14:textId="77777777" w:rsidR="0030199E" w:rsidRPr="004863F3" w:rsidRDefault="0030199E" w:rsidP="0030199E">
            <w:pPr>
              <w:spacing w:before="0" w:after="0" w:line="240" w:lineRule="auto"/>
              <w:jc w:val="right"/>
              <w:rPr>
                <w:rFonts w:ascii="Arial" w:hAnsi="Arial" w:cs="Arial"/>
                <w:i/>
                <w:iCs/>
                <w:sz w:val="16"/>
                <w:szCs w:val="16"/>
              </w:rPr>
            </w:pPr>
            <w:r w:rsidRPr="004863F3">
              <w:rPr>
                <w:rFonts w:ascii="Arial" w:hAnsi="Arial" w:cs="Arial"/>
                <w:i/>
                <w:iCs/>
                <w:sz w:val="16"/>
                <w:szCs w:val="16"/>
              </w:rPr>
              <w:t> </w:t>
            </w:r>
          </w:p>
        </w:tc>
      </w:tr>
      <w:tr w:rsidR="0030199E" w:rsidRPr="004863F3" w14:paraId="545200E0" w14:textId="77777777" w:rsidTr="004D08B6">
        <w:trPr>
          <w:trHeight w:hRule="exact" w:val="210"/>
        </w:trPr>
        <w:tc>
          <w:tcPr>
            <w:tcW w:w="2542" w:type="pct"/>
            <w:tcBorders>
              <w:top w:val="nil"/>
              <w:left w:val="nil"/>
              <w:bottom w:val="nil"/>
              <w:right w:val="nil"/>
            </w:tcBorders>
            <w:shd w:val="clear" w:color="000000" w:fill="FFFFFF"/>
            <w:noWrap/>
            <w:vAlign w:val="center"/>
            <w:hideMark/>
          </w:tcPr>
          <w:p w14:paraId="2DDDCD95" w14:textId="77777777" w:rsidR="0030199E" w:rsidRPr="004863F3" w:rsidRDefault="0030199E" w:rsidP="004D08B6">
            <w:pPr>
              <w:spacing w:before="0" w:after="0" w:line="240" w:lineRule="auto"/>
              <w:ind w:left="170"/>
              <w:rPr>
                <w:rFonts w:ascii="Arial" w:hAnsi="Arial" w:cs="Arial"/>
                <w:i/>
                <w:iCs/>
                <w:sz w:val="16"/>
                <w:szCs w:val="16"/>
              </w:rPr>
            </w:pPr>
            <w:r w:rsidRPr="004863F3">
              <w:rPr>
                <w:rFonts w:ascii="Arial" w:hAnsi="Arial" w:cs="Arial"/>
                <w:i/>
                <w:iCs/>
                <w:sz w:val="16"/>
                <w:szCs w:val="16"/>
              </w:rPr>
              <w:t>Total excise</w:t>
            </w:r>
          </w:p>
        </w:tc>
        <w:tc>
          <w:tcPr>
            <w:tcW w:w="819" w:type="pct"/>
            <w:tcBorders>
              <w:top w:val="nil"/>
              <w:left w:val="nil"/>
              <w:bottom w:val="nil"/>
              <w:right w:val="nil"/>
            </w:tcBorders>
            <w:shd w:val="clear" w:color="000000" w:fill="FFFFFF"/>
            <w:noWrap/>
            <w:vAlign w:val="center"/>
            <w:hideMark/>
          </w:tcPr>
          <w:p w14:paraId="3124A7DE" w14:textId="77777777" w:rsidR="0030199E" w:rsidRPr="004863F3" w:rsidRDefault="0030199E" w:rsidP="0030199E">
            <w:pPr>
              <w:spacing w:before="0" w:after="0" w:line="240" w:lineRule="auto"/>
              <w:jc w:val="right"/>
              <w:rPr>
                <w:rFonts w:ascii="Arial" w:hAnsi="Arial" w:cs="Arial"/>
                <w:i/>
                <w:iCs/>
                <w:sz w:val="16"/>
                <w:szCs w:val="16"/>
              </w:rPr>
            </w:pPr>
            <w:r w:rsidRPr="004863F3">
              <w:rPr>
                <w:rFonts w:ascii="Arial" w:hAnsi="Arial" w:cs="Arial"/>
                <w:i/>
                <w:iCs/>
                <w:sz w:val="16"/>
                <w:szCs w:val="16"/>
              </w:rPr>
              <w:t>31,000</w:t>
            </w:r>
          </w:p>
        </w:tc>
        <w:tc>
          <w:tcPr>
            <w:tcW w:w="819" w:type="pct"/>
            <w:tcBorders>
              <w:top w:val="nil"/>
              <w:left w:val="nil"/>
              <w:bottom w:val="nil"/>
              <w:right w:val="nil"/>
            </w:tcBorders>
            <w:shd w:val="clear" w:color="000000" w:fill="E6F2FF"/>
            <w:noWrap/>
            <w:vAlign w:val="center"/>
            <w:hideMark/>
          </w:tcPr>
          <w:p w14:paraId="6648C836" w14:textId="77777777" w:rsidR="0030199E" w:rsidRPr="004863F3" w:rsidRDefault="0030199E" w:rsidP="0030199E">
            <w:pPr>
              <w:spacing w:before="0" w:after="0" w:line="240" w:lineRule="auto"/>
              <w:jc w:val="right"/>
              <w:rPr>
                <w:rFonts w:ascii="Arial" w:hAnsi="Arial" w:cs="Arial"/>
                <w:i/>
                <w:iCs/>
                <w:sz w:val="16"/>
                <w:szCs w:val="16"/>
              </w:rPr>
            </w:pPr>
            <w:r w:rsidRPr="004863F3">
              <w:rPr>
                <w:rFonts w:ascii="Arial" w:hAnsi="Arial" w:cs="Arial"/>
                <w:i/>
                <w:iCs/>
                <w:sz w:val="16"/>
                <w:szCs w:val="16"/>
              </w:rPr>
              <w:t>30,857</w:t>
            </w:r>
          </w:p>
        </w:tc>
        <w:tc>
          <w:tcPr>
            <w:tcW w:w="819" w:type="pct"/>
            <w:tcBorders>
              <w:top w:val="nil"/>
              <w:left w:val="nil"/>
              <w:bottom w:val="nil"/>
              <w:right w:val="nil"/>
            </w:tcBorders>
            <w:shd w:val="clear" w:color="000000" w:fill="FFFFFF"/>
            <w:noWrap/>
            <w:vAlign w:val="center"/>
            <w:hideMark/>
          </w:tcPr>
          <w:p w14:paraId="1135B449" w14:textId="4E28CED7" w:rsidR="0030199E" w:rsidRPr="004863F3" w:rsidRDefault="001E171F" w:rsidP="0030199E">
            <w:pPr>
              <w:spacing w:before="0" w:after="0" w:line="240" w:lineRule="auto"/>
              <w:jc w:val="right"/>
              <w:rPr>
                <w:rFonts w:ascii="Arial" w:hAnsi="Arial" w:cs="Arial"/>
                <w:i/>
                <w:iCs/>
                <w:sz w:val="16"/>
                <w:szCs w:val="16"/>
              </w:rPr>
            </w:pPr>
            <w:r w:rsidRPr="004863F3">
              <w:rPr>
                <w:rFonts w:ascii="Arial" w:hAnsi="Arial" w:cs="Arial"/>
                <w:i/>
                <w:iCs/>
                <w:sz w:val="16"/>
                <w:szCs w:val="16"/>
              </w:rPr>
              <w:noBreakHyphen/>
            </w:r>
            <w:r w:rsidR="0030199E" w:rsidRPr="004863F3">
              <w:rPr>
                <w:rFonts w:ascii="Arial" w:hAnsi="Arial" w:cs="Arial"/>
                <w:i/>
                <w:iCs/>
                <w:sz w:val="16"/>
                <w:szCs w:val="16"/>
              </w:rPr>
              <w:t>143</w:t>
            </w:r>
          </w:p>
        </w:tc>
      </w:tr>
      <w:tr w:rsidR="0030199E" w:rsidRPr="004863F3" w14:paraId="7B8BCBF7" w14:textId="77777777" w:rsidTr="004D08B6">
        <w:trPr>
          <w:trHeight w:hRule="exact" w:val="210"/>
        </w:trPr>
        <w:tc>
          <w:tcPr>
            <w:tcW w:w="2542" w:type="pct"/>
            <w:tcBorders>
              <w:top w:val="nil"/>
              <w:left w:val="nil"/>
              <w:bottom w:val="single" w:sz="4" w:space="0" w:color="293F5B"/>
              <w:right w:val="nil"/>
            </w:tcBorders>
            <w:shd w:val="clear" w:color="000000" w:fill="FFFFFF"/>
            <w:noWrap/>
            <w:vAlign w:val="center"/>
            <w:hideMark/>
          </w:tcPr>
          <w:p w14:paraId="68F87F98" w14:textId="77777777" w:rsidR="0030199E" w:rsidRPr="004863F3" w:rsidRDefault="0030199E" w:rsidP="004D08B6">
            <w:pPr>
              <w:spacing w:before="0" w:after="0" w:line="240" w:lineRule="auto"/>
              <w:ind w:left="170"/>
              <w:rPr>
                <w:rFonts w:ascii="Arial" w:hAnsi="Arial" w:cs="Arial"/>
                <w:i/>
                <w:iCs/>
                <w:sz w:val="16"/>
                <w:szCs w:val="16"/>
              </w:rPr>
            </w:pPr>
            <w:r w:rsidRPr="004863F3">
              <w:rPr>
                <w:rFonts w:ascii="Arial" w:hAnsi="Arial" w:cs="Arial"/>
                <w:i/>
                <w:iCs/>
                <w:sz w:val="16"/>
                <w:szCs w:val="16"/>
              </w:rPr>
              <w:t>Total customs duty</w:t>
            </w:r>
          </w:p>
        </w:tc>
        <w:tc>
          <w:tcPr>
            <w:tcW w:w="819" w:type="pct"/>
            <w:tcBorders>
              <w:top w:val="nil"/>
              <w:left w:val="nil"/>
              <w:bottom w:val="single" w:sz="4" w:space="0" w:color="293F5B"/>
              <w:right w:val="nil"/>
            </w:tcBorders>
            <w:shd w:val="clear" w:color="000000" w:fill="FFFFFF"/>
            <w:noWrap/>
            <w:vAlign w:val="center"/>
            <w:hideMark/>
          </w:tcPr>
          <w:p w14:paraId="2043CB7A" w14:textId="77777777" w:rsidR="0030199E" w:rsidRPr="004863F3" w:rsidRDefault="0030199E" w:rsidP="0030199E">
            <w:pPr>
              <w:spacing w:before="0" w:after="0" w:line="240" w:lineRule="auto"/>
              <w:jc w:val="right"/>
              <w:rPr>
                <w:rFonts w:ascii="Arial" w:hAnsi="Arial" w:cs="Arial"/>
                <w:i/>
                <w:iCs/>
                <w:sz w:val="16"/>
                <w:szCs w:val="16"/>
              </w:rPr>
            </w:pPr>
            <w:r w:rsidRPr="004863F3">
              <w:rPr>
                <w:rFonts w:ascii="Arial" w:hAnsi="Arial" w:cs="Arial"/>
                <w:i/>
                <w:iCs/>
                <w:sz w:val="16"/>
                <w:szCs w:val="16"/>
              </w:rPr>
              <w:t>11,430</w:t>
            </w:r>
          </w:p>
        </w:tc>
        <w:tc>
          <w:tcPr>
            <w:tcW w:w="819" w:type="pct"/>
            <w:tcBorders>
              <w:top w:val="nil"/>
              <w:left w:val="nil"/>
              <w:bottom w:val="single" w:sz="4" w:space="0" w:color="293F5B"/>
              <w:right w:val="nil"/>
            </w:tcBorders>
            <w:shd w:val="clear" w:color="000000" w:fill="E6F2FF"/>
            <w:noWrap/>
            <w:vAlign w:val="center"/>
            <w:hideMark/>
          </w:tcPr>
          <w:p w14:paraId="63E1D851" w14:textId="77777777" w:rsidR="0030199E" w:rsidRPr="004863F3" w:rsidRDefault="0030199E" w:rsidP="0030199E">
            <w:pPr>
              <w:spacing w:before="0" w:after="0" w:line="240" w:lineRule="auto"/>
              <w:jc w:val="right"/>
              <w:rPr>
                <w:rFonts w:ascii="Arial" w:hAnsi="Arial" w:cs="Arial"/>
                <w:i/>
                <w:iCs/>
                <w:sz w:val="16"/>
                <w:szCs w:val="16"/>
              </w:rPr>
            </w:pPr>
            <w:r w:rsidRPr="004863F3">
              <w:rPr>
                <w:rFonts w:ascii="Arial" w:hAnsi="Arial" w:cs="Arial"/>
                <w:i/>
                <w:iCs/>
                <w:sz w:val="16"/>
                <w:szCs w:val="16"/>
              </w:rPr>
              <w:t>11,969</w:t>
            </w:r>
          </w:p>
        </w:tc>
        <w:tc>
          <w:tcPr>
            <w:tcW w:w="819" w:type="pct"/>
            <w:tcBorders>
              <w:top w:val="nil"/>
              <w:left w:val="nil"/>
              <w:bottom w:val="single" w:sz="4" w:space="0" w:color="293F5B"/>
              <w:right w:val="nil"/>
            </w:tcBorders>
            <w:shd w:val="clear" w:color="000000" w:fill="FFFFFF"/>
            <w:noWrap/>
            <w:vAlign w:val="center"/>
            <w:hideMark/>
          </w:tcPr>
          <w:p w14:paraId="6A3482D3" w14:textId="77777777" w:rsidR="0030199E" w:rsidRPr="004863F3" w:rsidRDefault="0030199E" w:rsidP="0030199E">
            <w:pPr>
              <w:spacing w:before="0" w:after="0" w:line="240" w:lineRule="auto"/>
              <w:jc w:val="right"/>
              <w:rPr>
                <w:rFonts w:ascii="Arial" w:hAnsi="Arial" w:cs="Arial"/>
                <w:i/>
                <w:iCs/>
                <w:sz w:val="16"/>
                <w:szCs w:val="16"/>
              </w:rPr>
            </w:pPr>
            <w:r w:rsidRPr="004863F3">
              <w:rPr>
                <w:rFonts w:ascii="Arial" w:hAnsi="Arial" w:cs="Arial"/>
                <w:i/>
                <w:iCs/>
                <w:sz w:val="16"/>
                <w:szCs w:val="16"/>
              </w:rPr>
              <w:t>539</w:t>
            </w:r>
          </w:p>
        </w:tc>
      </w:tr>
    </w:tbl>
    <w:p w14:paraId="469E561B" w14:textId="6733C26D" w:rsidR="000F07E8" w:rsidRPr="004863F3" w:rsidRDefault="001E171F" w:rsidP="004773A7">
      <w:pPr>
        <w:pStyle w:val="ChartandTableFootnoteAlpha"/>
        <w:numPr>
          <w:ilvl w:val="0"/>
          <w:numId w:val="23"/>
        </w:numPr>
      </w:pPr>
      <w:r w:rsidRPr="004863F3">
        <w:t>‘</w:t>
      </w:r>
      <w:r w:rsidR="000F07E8" w:rsidRPr="004863F3">
        <w:t>Other alcoholic beverages</w:t>
      </w:r>
      <w:r w:rsidRPr="004863F3">
        <w:t>’</w:t>
      </w:r>
      <w:r w:rsidR="000F07E8" w:rsidRPr="004863F3">
        <w:t xml:space="preserve"> are those not exceeding 10 per cent by volume of alcohol (excluding beer, brandy and wine).</w:t>
      </w:r>
    </w:p>
    <w:p w14:paraId="435A290B" w14:textId="21B07B0E" w:rsidR="000F07E8" w:rsidRPr="004863F3" w:rsidRDefault="000F07E8" w:rsidP="00D95039">
      <w:pPr>
        <w:pStyle w:val="TableLine"/>
      </w:pPr>
    </w:p>
    <w:p w14:paraId="57F4FFA3" w14:textId="435DEBB7" w:rsidR="00E53E7A" w:rsidRPr="004863F3" w:rsidRDefault="00E53E7A" w:rsidP="00E53E7A">
      <w:pPr>
        <w:pStyle w:val="Heading3"/>
      </w:pPr>
      <w:r w:rsidRPr="004863F3">
        <w:t>Expenses and net capital investment</w:t>
      </w:r>
      <w:r w:rsidRPr="004863F3">
        <w:rPr>
          <w:noProof/>
        </w:rPr>
        <w:t xml:space="preserve"> </w:t>
      </w:r>
    </w:p>
    <w:p w14:paraId="0CBD3FD6" w14:textId="34B68EAB" w:rsidR="00E53E7A" w:rsidRPr="004863F3" w:rsidRDefault="00E53E7A" w:rsidP="62F21363">
      <w:r w:rsidRPr="004863F3">
        <w:t>Total expenses were $770.1</w:t>
      </w:r>
      <w:r w:rsidR="00BF7060" w:rsidRPr="004863F3">
        <w:t> </w:t>
      </w:r>
      <w:r w:rsidRPr="004863F3">
        <w:t>billion in 2024–25, $7.3</w:t>
      </w:r>
      <w:r w:rsidR="00BF7060" w:rsidRPr="004863F3">
        <w:t> </w:t>
      </w:r>
      <w:r w:rsidRPr="004863F3">
        <w:t>billion higher</w:t>
      </w:r>
      <w:r w:rsidR="00421824" w:rsidRPr="004863F3">
        <w:t xml:space="preserve"> </w:t>
      </w:r>
      <w:r w:rsidRPr="004863F3">
        <w:t>than</w:t>
      </w:r>
      <w:r w:rsidR="00421824" w:rsidRPr="004863F3">
        <w:t xml:space="preserve"> </w:t>
      </w:r>
      <w:r w:rsidRPr="004863F3">
        <w:t>estimated in the 2025</w:t>
      </w:r>
      <w:r w:rsidR="007A227B" w:rsidRPr="004863F3">
        <w:t>–</w:t>
      </w:r>
      <w:r w:rsidRPr="004863F3">
        <w:t>26 Budget and the 2025 PEFO. Total net capital investment for 2024</w:t>
      </w:r>
      <w:r w:rsidR="002C3D01" w:rsidRPr="004863F3">
        <w:t>–</w:t>
      </w:r>
      <w:r w:rsidRPr="004863F3">
        <w:t>25 was $7.7 billion, $2.3</w:t>
      </w:r>
      <w:r w:rsidR="00BF7060" w:rsidRPr="004863F3">
        <w:t> </w:t>
      </w:r>
      <w:r w:rsidRPr="004863F3">
        <w:t>billion higher</w:t>
      </w:r>
      <w:r w:rsidR="00D40AF3" w:rsidRPr="004863F3">
        <w:t xml:space="preserve"> </w:t>
      </w:r>
      <w:r w:rsidRPr="004863F3">
        <w:t>than</w:t>
      </w:r>
      <w:r w:rsidR="00D40AF3" w:rsidRPr="004863F3">
        <w:t xml:space="preserve"> </w:t>
      </w:r>
      <w:r w:rsidRPr="004863F3">
        <w:t>estimated in the 2025–26 Budget and the 2025 PEFO. This results in a net outcome for expenses and net capital investment of $777.8</w:t>
      </w:r>
      <w:r w:rsidR="00BF7060" w:rsidRPr="004863F3">
        <w:t> </w:t>
      </w:r>
      <w:r w:rsidRPr="004863F3">
        <w:t>billion, which is $9.6 billion higher than the $768.2</w:t>
      </w:r>
      <w:r w:rsidR="00BF7060" w:rsidRPr="004863F3">
        <w:t> </w:t>
      </w:r>
      <w:r w:rsidRPr="004863F3">
        <w:t>billion estimated at the 2025</w:t>
      </w:r>
      <w:r w:rsidR="00B91064" w:rsidRPr="004863F3">
        <w:t>–</w:t>
      </w:r>
      <w:r w:rsidRPr="004863F3">
        <w:t xml:space="preserve">26 Budget and the 2025 PEFO. </w:t>
      </w:r>
    </w:p>
    <w:p w14:paraId="5346A1D9" w14:textId="7E446D25" w:rsidR="00E53E7A" w:rsidRPr="004863F3" w:rsidRDefault="00E53E7A" w:rsidP="62F21363">
      <w:r w:rsidRPr="004863F3">
        <w:t xml:space="preserve">In comparison, cash payments in 2024–25 </w:t>
      </w:r>
      <w:proofErr w:type="gramStart"/>
      <w:r w:rsidRPr="004863F3">
        <w:t>were</w:t>
      </w:r>
      <w:proofErr w:type="gramEnd"/>
      <w:r w:rsidRPr="004863F3">
        <w:t xml:space="preserve"> $726.9</w:t>
      </w:r>
      <w:r w:rsidR="00BF7060" w:rsidRPr="004863F3">
        <w:t> </w:t>
      </w:r>
      <w:r w:rsidRPr="004863F3">
        <w:t>billion, $4.6</w:t>
      </w:r>
      <w:r w:rsidR="00BF7060" w:rsidRPr="004863F3">
        <w:t> </w:t>
      </w:r>
      <w:r w:rsidRPr="004863F3">
        <w:t>billion lower</w:t>
      </w:r>
      <w:r w:rsidR="001A5542" w:rsidRPr="004863F3">
        <w:t xml:space="preserve"> </w:t>
      </w:r>
      <w:r w:rsidRPr="004863F3">
        <w:t>than</w:t>
      </w:r>
      <w:r w:rsidR="001A5542" w:rsidRPr="004863F3">
        <w:t xml:space="preserve"> </w:t>
      </w:r>
      <w:r w:rsidRPr="004863F3">
        <w:t>estimated in the 2025</w:t>
      </w:r>
      <w:r w:rsidR="000C4C55" w:rsidRPr="004863F3">
        <w:t>–</w:t>
      </w:r>
      <w:r w:rsidRPr="004863F3">
        <w:t>26 Budget and $4.9</w:t>
      </w:r>
      <w:r w:rsidR="00BF7060" w:rsidRPr="004863F3">
        <w:t> </w:t>
      </w:r>
      <w:r w:rsidRPr="004863F3">
        <w:t>billion lower</w:t>
      </w:r>
      <w:r w:rsidR="001A5542" w:rsidRPr="004863F3">
        <w:t xml:space="preserve"> </w:t>
      </w:r>
      <w:r w:rsidRPr="004863F3">
        <w:t>than</w:t>
      </w:r>
      <w:r w:rsidR="001A5542" w:rsidRPr="004863F3">
        <w:t xml:space="preserve"> </w:t>
      </w:r>
      <w:r w:rsidRPr="004863F3">
        <w:t>estimated in the 2025 PEFO.</w:t>
      </w:r>
    </w:p>
    <w:p w14:paraId="57BBE902" w14:textId="423CB97A" w:rsidR="00E53E7A" w:rsidRPr="004863F3" w:rsidRDefault="00E53E7A" w:rsidP="62F21363">
      <w:r w:rsidRPr="004863F3">
        <w:t>The difference of $50.9</w:t>
      </w:r>
      <w:r w:rsidR="00BF7060" w:rsidRPr="004863F3">
        <w:t> </w:t>
      </w:r>
      <w:r w:rsidRPr="004863F3">
        <w:t>billion between the net outcome for expenses and net capital investment, and the outcome for cash payments, generally reflects timing differences between the recognition of incurred expenses and the finalisation of corresponding payments.</w:t>
      </w:r>
    </w:p>
    <w:p w14:paraId="3B74DADC" w14:textId="155C961E" w:rsidR="002F6612" w:rsidRPr="004863F3" w:rsidRDefault="00E53E7A" w:rsidP="00B82122">
      <w:r w:rsidRPr="004863F3">
        <w:t xml:space="preserve">Further information on expenses by function and sub function is provided in Appendix A. </w:t>
      </w:r>
      <w:r w:rsidR="002F6612" w:rsidRPr="004863F3">
        <w:br w:type="page"/>
      </w:r>
    </w:p>
    <w:p w14:paraId="42E796FE" w14:textId="31280425" w:rsidR="001B335C" w:rsidRPr="004863F3" w:rsidRDefault="002F6612" w:rsidP="001B335C">
      <w:pPr>
        <w:pStyle w:val="TableHeading"/>
        <w:spacing w:before="0"/>
        <w:rPr>
          <w:rFonts w:asciiTheme="minorHAnsi" w:eastAsiaTheme="minorHAnsi" w:hAnsiTheme="minorHAnsi" w:cstheme="minorBidi"/>
          <w:sz w:val="22"/>
          <w:szCs w:val="22"/>
          <w:lang w:eastAsia="en-US"/>
        </w:rPr>
      </w:pPr>
      <w:r w:rsidRPr="004863F3">
        <w:t>Table 1.5: Australian Government general government sector expenses by function</w:t>
      </w:r>
      <w:r w:rsidR="00263DC7" w:rsidRPr="004863F3">
        <w:t xml:space="preserve"> </w:t>
      </w:r>
    </w:p>
    <w:tbl>
      <w:tblPr>
        <w:tblW w:w="5000" w:type="pct"/>
        <w:tblCellMar>
          <w:left w:w="0" w:type="dxa"/>
          <w:right w:w="28" w:type="dxa"/>
        </w:tblCellMar>
        <w:tblLook w:val="04A0" w:firstRow="1" w:lastRow="0" w:firstColumn="1" w:lastColumn="0" w:noHBand="0" w:noVBand="1"/>
      </w:tblPr>
      <w:tblGrid>
        <w:gridCol w:w="4500"/>
        <w:gridCol w:w="1070"/>
        <w:gridCol w:w="1070"/>
        <w:gridCol w:w="1070"/>
      </w:tblGrid>
      <w:tr w:rsidR="001B335C" w:rsidRPr="004863F3" w14:paraId="724DADD5" w14:textId="77777777" w:rsidTr="001B335C">
        <w:trPr>
          <w:trHeight w:hRule="exact" w:val="225"/>
        </w:trPr>
        <w:tc>
          <w:tcPr>
            <w:tcW w:w="2918" w:type="pct"/>
            <w:tcBorders>
              <w:top w:val="single" w:sz="4" w:space="0" w:color="293F5B"/>
              <w:left w:val="nil"/>
              <w:bottom w:val="nil"/>
              <w:right w:val="nil"/>
            </w:tcBorders>
            <w:shd w:val="clear" w:color="000000" w:fill="FFFFFF"/>
            <w:noWrap/>
            <w:vAlign w:val="center"/>
            <w:hideMark/>
          </w:tcPr>
          <w:p w14:paraId="3CC3FE90" w14:textId="1B8E733C"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single" w:sz="4" w:space="0" w:color="293F5B"/>
              <w:left w:val="nil"/>
              <w:bottom w:val="nil"/>
              <w:right w:val="nil"/>
            </w:tcBorders>
            <w:shd w:val="clear" w:color="000000" w:fill="FFFFFF"/>
            <w:noWrap/>
            <w:vAlign w:val="center"/>
            <w:hideMark/>
          </w:tcPr>
          <w:p w14:paraId="4609B62D" w14:textId="6EAE3675"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694" w:type="pct"/>
            <w:tcBorders>
              <w:top w:val="single" w:sz="4" w:space="0" w:color="293F5B"/>
              <w:left w:val="nil"/>
              <w:bottom w:val="nil"/>
              <w:right w:val="nil"/>
            </w:tcBorders>
            <w:shd w:val="clear" w:color="000000" w:fill="E6F2FF"/>
            <w:noWrap/>
            <w:vAlign w:val="center"/>
            <w:hideMark/>
          </w:tcPr>
          <w:p w14:paraId="7D9EAA58" w14:textId="49A8DB6F"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694" w:type="pct"/>
            <w:tcBorders>
              <w:top w:val="single" w:sz="4" w:space="0" w:color="293F5B"/>
              <w:left w:val="nil"/>
              <w:bottom w:val="nil"/>
              <w:right w:val="nil"/>
            </w:tcBorders>
            <w:shd w:val="clear" w:color="000000" w:fill="FFFFFF"/>
            <w:noWrap/>
            <w:vAlign w:val="bottom"/>
            <w:hideMark/>
          </w:tcPr>
          <w:p w14:paraId="4AF9F58B" w14:textId="77777777"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Change on</w:t>
            </w:r>
          </w:p>
        </w:tc>
      </w:tr>
      <w:tr w:rsidR="001B335C" w:rsidRPr="004863F3" w14:paraId="1D19D5E7"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2912CA81"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nil"/>
              <w:right w:val="nil"/>
            </w:tcBorders>
            <w:shd w:val="clear" w:color="000000" w:fill="FFFFFF"/>
            <w:noWrap/>
            <w:vAlign w:val="center"/>
            <w:hideMark/>
          </w:tcPr>
          <w:p w14:paraId="50EF6FBC" w14:textId="77777777"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694" w:type="pct"/>
            <w:tcBorders>
              <w:top w:val="nil"/>
              <w:left w:val="nil"/>
              <w:bottom w:val="nil"/>
              <w:right w:val="nil"/>
            </w:tcBorders>
            <w:shd w:val="clear" w:color="000000" w:fill="E6F2FF"/>
            <w:noWrap/>
            <w:vAlign w:val="center"/>
            <w:hideMark/>
          </w:tcPr>
          <w:p w14:paraId="0C9E53F8" w14:textId="77777777"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Outcome</w:t>
            </w:r>
          </w:p>
        </w:tc>
        <w:tc>
          <w:tcPr>
            <w:tcW w:w="694" w:type="pct"/>
            <w:tcBorders>
              <w:top w:val="nil"/>
              <w:left w:val="nil"/>
              <w:bottom w:val="nil"/>
              <w:right w:val="nil"/>
            </w:tcBorders>
            <w:shd w:val="clear" w:color="000000" w:fill="FFFFFF"/>
            <w:noWrap/>
            <w:vAlign w:val="center"/>
            <w:hideMark/>
          </w:tcPr>
          <w:p w14:paraId="31080E50" w14:textId="3B99233B"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r>
      <w:tr w:rsidR="001B335C" w:rsidRPr="004863F3" w14:paraId="352826E1"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032FB34C"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nil"/>
              <w:right w:val="nil"/>
            </w:tcBorders>
            <w:shd w:val="clear" w:color="000000" w:fill="FFFFFF"/>
            <w:noWrap/>
            <w:vAlign w:val="center"/>
            <w:hideMark/>
          </w:tcPr>
          <w:p w14:paraId="57FE1CCF" w14:textId="1E49FA06"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c>
          <w:tcPr>
            <w:tcW w:w="694" w:type="pct"/>
            <w:tcBorders>
              <w:top w:val="nil"/>
              <w:left w:val="nil"/>
              <w:bottom w:val="nil"/>
              <w:right w:val="nil"/>
            </w:tcBorders>
            <w:shd w:val="clear" w:color="000000" w:fill="E6F2FF"/>
            <w:noWrap/>
            <w:vAlign w:val="center"/>
            <w:hideMark/>
          </w:tcPr>
          <w:p w14:paraId="4AA425DD" w14:textId="77777777"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 </w:t>
            </w:r>
          </w:p>
        </w:tc>
        <w:tc>
          <w:tcPr>
            <w:tcW w:w="694" w:type="pct"/>
            <w:tcBorders>
              <w:top w:val="nil"/>
              <w:left w:val="nil"/>
              <w:bottom w:val="nil"/>
              <w:right w:val="nil"/>
            </w:tcBorders>
            <w:shd w:val="clear" w:color="000000" w:fill="FFFFFF"/>
            <w:noWrap/>
            <w:vAlign w:val="bottom"/>
            <w:hideMark/>
          </w:tcPr>
          <w:p w14:paraId="164D7903" w14:textId="77777777"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Budget</w:t>
            </w:r>
          </w:p>
        </w:tc>
      </w:tr>
      <w:tr w:rsidR="001B335C" w:rsidRPr="004863F3" w14:paraId="499B6D1D"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606867D1"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nil"/>
              <w:right w:val="nil"/>
            </w:tcBorders>
            <w:shd w:val="clear" w:color="000000" w:fill="FFFFFF"/>
            <w:noWrap/>
            <w:vAlign w:val="center"/>
            <w:hideMark/>
          </w:tcPr>
          <w:p w14:paraId="2063B437" w14:textId="77777777"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694" w:type="pct"/>
            <w:tcBorders>
              <w:top w:val="nil"/>
              <w:left w:val="nil"/>
              <w:bottom w:val="nil"/>
              <w:right w:val="nil"/>
            </w:tcBorders>
            <w:shd w:val="clear" w:color="000000" w:fill="E6F2FF"/>
            <w:noWrap/>
            <w:vAlign w:val="center"/>
            <w:hideMark/>
          </w:tcPr>
          <w:p w14:paraId="2C055C0D" w14:textId="77777777"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 </w:t>
            </w:r>
          </w:p>
        </w:tc>
        <w:tc>
          <w:tcPr>
            <w:tcW w:w="694" w:type="pct"/>
            <w:tcBorders>
              <w:top w:val="nil"/>
              <w:left w:val="nil"/>
              <w:bottom w:val="nil"/>
              <w:right w:val="nil"/>
            </w:tcBorders>
            <w:shd w:val="clear" w:color="000000" w:fill="FFFFFF"/>
            <w:noWrap/>
            <w:vAlign w:val="bottom"/>
            <w:hideMark/>
          </w:tcPr>
          <w:p w14:paraId="64A92FCB" w14:textId="77777777" w:rsidR="001B335C" w:rsidRPr="004863F3" w:rsidRDefault="001B335C" w:rsidP="001B335C">
            <w:pPr>
              <w:spacing w:before="0" w:after="0" w:line="240" w:lineRule="auto"/>
              <w:jc w:val="right"/>
              <w:rPr>
                <w:rFonts w:ascii="Arial" w:hAnsi="Arial" w:cs="Arial"/>
                <w:sz w:val="16"/>
                <w:szCs w:val="16"/>
              </w:rPr>
            </w:pPr>
            <w:r w:rsidRPr="004863F3">
              <w:rPr>
                <w:rFonts w:ascii="Arial" w:hAnsi="Arial" w:cs="Arial"/>
                <w:sz w:val="16"/>
                <w:szCs w:val="16"/>
              </w:rPr>
              <w:t> </w:t>
            </w:r>
          </w:p>
        </w:tc>
      </w:tr>
      <w:tr w:rsidR="001B335C" w:rsidRPr="004863F3" w14:paraId="60A2BC3C"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6AB5E0BA"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single" w:sz="4" w:space="0" w:color="293F5B"/>
              <w:right w:val="nil"/>
            </w:tcBorders>
            <w:shd w:val="clear" w:color="000000" w:fill="FFFFFF"/>
            <w:noWrap/>
            <w:vAlign w:val="center"/>
            <w:hideMark/>
          </w:tcPr>
          <w:p w14:paraId="5E7B2EB0"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694" w:type="pct"/>
            <w:tcBorders>
              <w:top w:val="nil"/>
              <w:left w:val="nil"/>
              <w:bottom w:val="single" w:sz="4" w:space="0" w:color="293F5B"/>
              <w:right w:val="nil"/>
            </w:tcBorders>
            <w:shd w:val="clear" w:color="000000" w:fill="E6F2FF"/>
            <w:noWrap/>
            <w:vAlign w:val="center"/>
            <w:hideMark/>
          </w:tcPr>
          <w:p w14:paraId="36BAFE17"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694" w:type="pct"/>
            <w:tcBorders>
              <w:top w:val="nil"/>
              <w:left w:val="nil"/>
              <w:bottom w:val="single" w:sz="4" w:space="0" w:color="293F5B"/>
              <w:right w:val="nil"/>
            </w:tcBorders>
            <w:shd w:val="clear" w:color="000000" w:fill="FFFFFF"/>
            <w:noWrap/>
            <w:vAlign w:val="center"/>
            <w:hideMark/>
          </w:tcPr>
          <w:p w14:paraId="3EB27E44"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r>
      <w:tr w:rsidR="001B335C" w:rsidRPr="004863F3" w14:paraId="4A7925EA"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5E1C3937"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General public services</w:t>
            </w:r>
          </w:p>
        </w:tc>
        <w:tc>
          <w:tcPr>
            <w:tcW w:w="694" w:type="pct"/>
            <w:tcBorders>
              <w:top w:val="nil"/>
              <w:left w:val="nil"/>
              <w:bottom w:val="nil"/>
              <w:right w:val="nil"/>
            </w:tcBorders>
            <w:shd w:val="clear" w:color="000000" w:fill="FFFFFF"/>
            <w:noWrap/>
            <w:vAlign w:val="center"/>
            <w:hideMark/>
          </w:tcPr>
          <w:p w14:paraId="7BCBD0A3"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nil"/>
              <w:right w:val="nil"/>
            </w:tcBorders>
            <w:shd w:val="clear" w:color="000000" w:fill="E6F2FF"/>
            <w:noWrap/>
            <w:vAlign w:val="center"/>
            <w:hideMark/>
          </w:tcPr>
          <w:p w14:paraId="550FFF5D"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nil"/>
              <w:right w:val="nil"/>
            </w:tcBorders>
            <w:shd w:val="clear" w:color="000000" w:fill="FFFFFF"/>
            <w:noWrap/>
            <w:vAlign w:val="center"/>
            <w:hideMark/>
          </w:tcPr>
          <w:p w14:paraId="61C48041" w14:textId="77777777" w:rsidR="001B335C" w:rsidRPr="004863F3" w:rsidRDefault="001B335C" w:rsidP="001B335C">
            <w:pPr>
              <w:spacing w:before="0" w:after="0" w:line="240" w:lineRule="auto"/>
              <w:rPr>
                <w:rFonts w:ascii="Arial" w:hAnsi="Arial" w:cs="Arial"/>
                <w:color w:val="33CCCC"/>
                <w:sz w:val="16"/>
                <w:szCs w:val="16"/>
              </w:rPr>
            </w:pPr>
            <w:r w:rsidRPr="004863F3">
              <w:rPr>
                <w:rFonts w:ascii="Arial" w:hAnsi="Arial" w:cs="Arial"/>
                <w:color w:val="33CCCC"/>
                <w:sz w:val="16"/>
                <w:szCs w:val="16"/>
              </w:rPr>
              <w:t> </w:t>
            </w:r>
          </w:p>
        </w:tc>
      </w:tr>
      <w:tr w:rsidR="001B335C" w:rsidRPr="004863F3" w14:paraId="36A04C57"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24B055DB"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Legislative and executive affairs</w:t>
            </w:r>
          </w:p>
        </w:tc>
        <w:tc>
          <w:tcPr>
            <w:tcW w:w="694" w:type="pct"/>
            <w:tcBorders>
              <w:top w:val="nil"/>
              <w:left w:val="nil"/>
              <w:bottom w:val="nil"/>
              <w:right w:val="nil"/>
            </w:tcBorders>
            <w:shd w:val="clear" w:color="000000" w:fill="FFFFFF"/>
            <w:noWrap/>
            <w:vAlign w:val="center"/>
            <w:hideMark/>
          </w:tcPr>
          <w:p w14:paraId="1BDA6FDA"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2,335</w:t>
            </w:r>
          </w:p>
        </w:tc>
        <w:tc>
          <w:tcPr>
            <w:tcW w:w="694" w:type="pct"/>
            <w:tcBorders>
              <w:top w:val="nil"/>
              <w:left w:val="nil"/>
              <w:bottom w:val="nil"/>
              <w:right w:val="nil"/>
            </w:tcBorders>
            <w:shd w:val="clear" w:color="000000" w:fill="E6F2FF"/>
            <w:noWrap/>
            <w:vAlign w:val="center"/>
            <w:hideMark/>
          </w:tcPr>
          <w:p w14:paraId="2601C800"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2,406</w:t>
            </w:r>
          </w:p>
        </w:tc>
        <w:tc>
          <w:tcPr>
            <w:tcW w:w="694" w:type="pct"/>
            <w:tcBorders>
              <w:top w:val="nil"/>
              <w:left w:val="nil"/>
              <w:bottom w:val="nil"/>
              <w:right w:val="nil"/>
            </w:tcBorders>
            <w:shd w:val="clear" w:color="000000" w:fill="FFFFFF"/>
            <w:noWrap/>
            <w:vAlign w:val="center"/>
            <w:hideMark/>
          </w:tcPr>
          <w:p w14:paraId="2D627E9E"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71</w:t>
            </w:r>
          </w:p>
        </w:tc>
      </w:tr>
      <w:tr w:rsidR="001B335C" w:rsidRPr="004863F3" w14:paraId="40271F9A"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3E9D7062"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Financial and fiscal affairs</w:t>
            </w:r>
          </w:p>
        </w:tc>
        <w:tc>
          <w:tcPr>
            <w:tcW w:w="694" w:type="pct"/>
            <w:tcBorders>
              <w:top w:val="nil"/>
              <w:left w:val="nil"/>
              <w:bottom w:val="nil"/>
              <w:right w:val="nil"/>
            </w:tcBorders>
            <w:shd w:val="clear" w:color="000000" w:fill="FFFFFF"/>
            <w:noWrap/>
            <w:vAlign w:val="center"/>
            <w:hideMark/>
          </w:tcPr>
          <w:p w14:paraId="38ED4415"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10,364</w:t>
            </w:r>
          </w:p>
        </w:tc>
        <w:tc>
          <w:tcPr>
            <w:tcW w:w="694" w:type="pct"/>
            <w:tcBorders>
              <w:top w:val="nil"/>
              <w:left w:val="nil"/>
              <w:bottom w:val="nil"/>
              <w:right w:val="nil"/>
            </w:tcBorders>
            <w:shd w:val="clear" w:color="000000" w:fill="E6F2FF"/>
            <w:noWrap/>
            <w:vAlign w:val="center"/>
            <w:hideMark/>
          </w:tcPr>
          <w:p w14:paraId="0159A35D"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10,764</w:t>
            </w:r>
          </w:p>
        </w:tc>
        <w:tc>
          <w:tcPr>
            <w:tcW w:w="694" w:type="pct"/>
            <w:tcBorders>
              <w:top w:val="nil"/>
              <w:left w:val="nil"/>
              <w:bottom w:val="nil"/>
              <w:right w:val="nil"/>
            </w:tcBorders>
            <w:shd w:val="clear" w:color="000000" w:fill="FFFFFF"/>
            <w:noWrap/>
            <w:vAlign w:val="center"/>
            <w:hideMark/>
          </w:tcPr>
          <w:p w14:paraId="66DCD012"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400</w:t>
            </w:r>
          </w:p>
        </w:tc>
      </w:tr>
      <w:tr w:rsidR="001B335C" w:rsidRPr="004863F3" w14:paraId="04A46B3E"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37F42CD0"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Foreign affairs and economic aid</w:t>
            </w:r>
          </w:p>
        </w:tc>
        <w:tc>
          <w:tcPr>
            <w:tcW w:w="694" w:type="pct"/>
            <w:tcBorders>
              <w:top w:val="nil"/>
              <w:left w:val="nil"/>
              <w:bottom w:val="nil"/>
              <w:right w:val="nil"/>
            </w:tcBorders>
            <w:shd w:val="clear" w:color="000000" w:fill="FFFFFF"/>
            <w:noWrap/>
            <w:vAlign w:val="center"/>
            <w:hideMark/>
          </w:tcPr>
          <w:p w14:paraId="2D68078C"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8,760</w:t>
            </w:r>
          </w:p>
        </w:tc>
        <w:tc>
          <w:tcPr>
            <w:tcW w:w="694" w:type="pct"/>
            <w:tcBorders>
              <w:top w:val="nil"/>
              <w:left w:val="nil"/>
              <w:bottom w:val="nil"/>
              <w:right w:val="nil"/>
            </w:tcBorders>
            <w:shd w:val="clear" w:color="000000" w:fill="E6F2FF"/>
            <w:noWrap/>
            <w:vAlign w:val="center"/>
            <w:hideMark/>
          </w:tcPr>
          <w:p w14:paraId="0AF6537D"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7,488</w:t>
            </w:r>
          </w:p>
        </w:tc>
        <w:tc>
          <w:tcPr>
            <w:tcW w:w="694" w:type="pct"/>
            <w:tcBorders>
              <w:top w:val="nil"/>
              <w:left w:val="nil"/>
              <w:bottom w:val="nil"/>
              <w:right w:val="nil"/>
            </w:tcBorders>
            <w:shd w:val="clear" w:color="000000" w:fill="FFFFFF"/>
            <w:noWrap/>
            <w:vAlign w:val="center"/>
            <w:hideMark/>
          </w:tcPr>
          <w:p w14:paraId="26ED9CC8" w14:textId="5F685E38"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1,272</w:t>
            </w:r>
          </w:p>
        </w:tc>
      </w:tr>
      <w:tr w:rsidR="001B335C" w:rsidRPr="004863F3" w14:paraId="013329A1"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32B2E10C"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General research</w:t>
            </w:r>
          </w:p>
        </w:tc>
        <w:tc>
          <w:tcPr>
            <w:tcW w:w="694" w:type="pct"/>
            <w:tcBorders>
              <w:top w:val="nil"/>
              <w:left w:val="nil"/>
              <w:bottom w:val="nil"/>
              <w:right w:val="nil"/>
            </w:tcBorders>
            <w:shd w:val="clear" w:color="000000" w:fill="FFFFFF"/>
            <w:noWrap/>
            <w:vAlign w:val="center"/>
            <w:hideMark/>
          </w:tcPr>
          <w:p w14:paraId="137053B1"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4,775</w:t>
            </w:r>
          </w:p>
        </w:tc>
        <w:tc>
          <w:tcPr>
            <w:tcW w:w="694" w:type="pct"/>
            <w:tcBorders>
              <w:top w:val="nil"/>
              <w:left w:val="nil"/>
              <w:bottom w:val="nil"/>
              <w:right w:val="nil"/>
            </w:tcBorders>
            <w:shd w:val="clear" w:color="000000" w:fill="E6F2FF"/>
            <w:noWrap/>
            <w:vAlign w:val="center"/>
            <w:hideMark/>
          </w:tcPr>
          <w:p w14:paraId="574767F8"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4,346</w:t>
            </w:r>
          </w:p>
        </w:tc>
        <w:tc>
          <w:tcPr>
            <w:tcW w:w="694" w:type="pct"/>
            <w:tcBorders>
              <w:top w:val="nil"/>
              <w:left w:val="nil"/>
              <w:bottom w:val="nil"/>
              <w:right w:val="nil"/>
            </w:tcBorders>
            <w:shd w:val="clear" w:color="000000" w:fill="FFFFFF"/>
            <w:noWrap/>
            <w:vAlign w:val="center"/>
            <w:hideMark/>
          </w:tcPr>
          <w:p w14:paraId="696C778C" w14:textId="33BE5512"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429</w:t>
            </w:r>
          </w:p>
        </w:tc>
      </w:tr>
      <w:tr w:rsidR="001B335C" w:rsidRPr="004863F3" w14:paraId="11406DA2"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22D0AAF4"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General services</w:t>
            </w:r>
          </w:p>
        </w:tc>
        <w:tc>
          <w:tcPr>
            <w:tcW w:w="694" w:type="pct"/>
            <w:tcBorders>
              <w:top w:val="nil"/>
              <w:left w:val="nil"/>
              <w:bottom w:val="nil"/>
              <w:right w:val="nil"/>
            </w:tcBorders>
            <w:shd w:val="clear" w:color="000000" w:fill="FFFFFF"/>
            <w:noWrap/>
            <w:vAlign w:val="center"/>
            <w:hideMark/>
          </w:tcPr>
          <w:p w14:paraId="3A3B2597"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1,240</w:t>
            </w:r>
          </w:p>
        </w:tc>
        <w:tc>
          <w:tcPr>
            <w:tcW w:w="694" w:type="pct"/>
            <w:tcBorders>
              <w:top w:val="nil"/>
              <w:left w:val="nil"/>
              <w:bottom w:val="nil"/>
              <w:right w:val="nil"/>
            </w:tcBorders>
            <w:shd w:val="clear" w:color="000000" w:fill="E6F2FF"/>
            <w:noWrap/>
            <w:vAlign w:val="center"/>
            <w:hideMark/>
          </w:tcPr>
          <w:p w14:paraId="0A1DD3C2"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1,748</w:t>
            </w:r>
          </w:p>
        </w:tc>
        <w:tc>
          <w:tcPr>
            <w:tcW w:w="694" w:type="pct"/>
            <w:tcBorders>
              <w:top w:val="nil"/>
              <w:left w:val="nil"/>
              <w:bottom w:val="nil"/>
              <w:right w:val="nil"/>
            </w:tcBorders>
            <w:shd w:val="clear" w:color="000000" w:fill="FFFFFF"/>
            <w:noWrap/>
            <w:vAlign w:val="center"/>
            <w:hideMark/>
          </w:tcPr>
          <w:p w14:paraId="3551769E"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508</w:t>
            </w:r>
          </w:p>
        </w:tc>
      </w:tr>
      <w:tr w:rsidR="001B335C" w:rsidRPr="004863F3" w14:paraId="07CC29E5"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6FBA9858"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Government superannuation benefits</w:t>
            </w:r>
          </w:p>
        </w:tc>
        <w:tc>
          <w:tcPr>
            <w:tcW w:w="694" w:type="pct"/>
            <w:tcBorders>
              <w:top w:val="nil"/>
              <w:left w:val="nil"/>
              <w:bottom w:val="nil"/>
              <w:right w:val="nil"/>
            </w:tcBorders>
            <w:shd w:val="clear" w:color="000000" w:fill="FFFFFF"/>
            <w:noWrap/>
            <w:vAlign w:val="center"/>
            <w:hideMark/>
          </w:tcPr>
          <w:p w14:paraId="64736685"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5,578</w:t>
            </w:r>
          </w:p>
        </w:tc>
        <w:tc>
          <w:tcPr>
            <w:tcW w:w="694" w:type="pct"/>
            <w:tcBorders>
              <w:top w:val="nil"/>
              <w:left w:val="nil"/>
              <w:bottom w:val="nil"/>
              <w:right w:val="nil"/>
            </w:tcBorders>
            <w:shd w:val="clear" w:color="000000" w:fill="E6F2FF"/>
            <w:noWrap/>
            <w:vAlign w:val="center"/>
            <w:hideMark/>
          </w:tcPr>
          <w:p w14:paraId="3A30F494"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6,136</w:t>
            </w:r>
          </w:p>
        </w:tc>
        <w:tc>
          <w:tcPr>
            <w:tcW w:w="694" w:type="pct"/>
            <w:tcBorders>
              <w:top w:val="nil"/>
              <w:left w:val="nil"/>
              <w:bottom w:val="nil"/>
              <w:right w:val="nil"/>
            </w:tcBorders>
            <w:shd w:val="clear" w:color="000000" w:fill="FFFFFF"/>
            <w:noWrap/>
            <w:vAlign w:val="center"/>
            <w:hideMark/>
          </w:tcPr>
          <w:p w14:paraId="032399B3"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558</w:t>
            </w:r>
          </w:p>
        </w:tc>
      </w:tr>
      <w:tr w:rsidR="001B335C" w:rsidRPr="004863F3" w14:paraId="33A491FC"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3E6FDCB5"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Defence</w:t>
            </w:r>
          </w:p>
        </w:tc>
        <w:tc>
          <w:tcPr>
            <w:tcW w:w="694" w:type="pct"/>
            <w:tcBorders>
              <w:top w:val="nil"/>
              <w:left w:val="nil"/>
              <w:bottom w:val="nil"/>
              <w:right w:val="nil"/>
            </w:tcBorders>
            <w:shd w:val="clear" w:color="000000" w:fill="FFFFFF"/>
            <w:noWrap/>
            <w:vAlign w:val="center"/>
            <w:hideMark/>
          </w:tcPr>
          <w:p w14:paraId="6472E428"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49,344</w:t>
            </w:r>
          </w:p>
        </w:tc>
        <w:tc>
          <w:tcPr>
            <w:tcW w:w="694" w:type="pct"/>
            <w:tcBorders>
              <w:top w:val="nil"/>
              <w:left w:val="nil"/>
              <w:bottom w:val="nil"/>
              <w:right w:val="nil"/>
            </w:tcBorders>
            <w:shd w:val="clear" w:color="000000" w:fill="E6F2FF"/>
            <w:noWrap/>
            <w:vAlign w:val="center"/>
            <w:hideMark/>
          </w:tcPr>
          <w:p w14:paraId="26A7D056"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47,785</w:t>
            </w:r>
          </w:p>
        </w:tc>
        <w:tc>
          <w:tcPr>
            <w:tcW w:w="694" w:type="pct"/>
            <w:tcBorders>
              <w:top w:val="nil"/>
              <w:left w:val="nil"/>
              <w:bottom w:val="nil"/>
              <w:right w:val="nil"/>
            </w:tcBorders>
            <w:shd w:val="clear" w:color="000000" w:fill="FFFFFF"/>
            <w:noWrap/>
            <w:vAlign w:val="center"/>
            <w:hideMark/>
          </w:tcPr>
          <w:p w14:paraId="0EF04C1C" w14:textId="4EBAF3E9"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1,559</w:t>
            </w:r>
          </w:p>
        </w:tc>
      </w:tr>
      <w:tr w:rsidR="001B335C" w:rsidRPr="004863F3" w14:paraId="67C6DD49"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4B8132C8"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Public order and safety</w:t>
            </w:r>
          </w:p>
        </w:tc>
        <w:tc>
          <w:tcPr>
            <w:tcW w:w="694" w:type="pct"/>
            <w:tcBorders>
              <w:top w:val="nil"/>
              <w:left w:val="nil"/>
              <w:bottom w:val="nil"/>
              <w:right w:val="nil"/>
            </w:tcBorders>
            <w:shd w:val="clear" w:color="000000" w:fill="FFFFFF"/>
            <w:noWrap/>
            <w:vAlign w:val="center"/>
            <w:hideMark/>
          </w:tcPr>
          <w:p w14:paraId="36861260"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8,778</w:t>
            </w:r>
          </w:p>
        </w:tc>
        <w:tc>
          <w:tcPr>
            <w:tcW w:w="694" w:type="pct"/>
            <w:tcBorders>
              <w:top w:val="nil"/>
              <w:left w:val="nil"/>
              <w:bottom w:val="nil"/>
              <w:right w:val="nil"/>
            </w:tcBorders>
            <w:shd w:val="clear" w:color="000000" w:fill="E6F2FF"/>
            <w:noWrap/>
            <w:vAlign w:val="center"/>
            <w:hideMark/>
          </w:tcPr>
          <w:p w14:paraId="507BC00B"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8,517</w:t>
            </w:r>
          </w:p>
        </w:tc>
        <w:tc>
          <w:tcPr>
            <w:tcW w:w="694" w:type="pct"/>
            <w:tcBorders>
              <w:top w:val="nil"/>
              <w:left w:val="nil"/>
              <w:bottom w:val="nil"/>
              <w:right w:val="nil"/>
            </w:tcBorders>
            <w:shd w:val="clear" w:color="000000" w:fill="FFFFFF"/>
            <w:noWrap/>
            <w:vAlign w:val="center"/>
            <w:hideMark/>
          </w:tcPr>
          <w:p w14:paraId="368357AA" w14:textId="35B0267F"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261</w:t>
            </w:r>
          </w:p>
        </w:tc>
      </w:tr>
      <w:tr w:rsidR="001B335C" w:rsidRPr="004863F3" w14:paraId="3876D543"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53243321"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Education</w:t>
            </w:r>
          </w:p>
        </w:tc>
        <w:tc>
          <w:tcPr>
            <w:tcW w:w="694" w:type="pct"/>
            <w:tcBorders>
              <w:top w:val="nil"/>
              <w:left w:val="nil"/>
              <w:bottom w:val="nil"/>
              <w:right w:val="nil"/>
            </w:tcBorders>
            <w:shd w:val="clear" w:color="000000" w:fill="FFFFFF"/>
            <w:noWrap/>
            <w:vAlign w:val="center"/>
            <w:hideMark/>
          </w:tcPr>
          <w:p w14:paraId="2ECA4B43"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63,503</w:t>
            </w:r>
          </w:p>
        </w:tc>
        <w:tc>
          <w:tcPr>
            <w:tcW w:w="694" w:type="pct"/>
            <w:tcBorders>
              <w:top w:val="nil"/>
              <w:left w:val="nil"/>
              <w:bottom w:val="nil"/>
              <w:right w:val="nil"/>
            </w:tcBorders>
            <w:shd w:val="clear" w:color="000000" w:fill="E6F2FF"/>
            <w:noWrap/>
            <w:vAlign w:val="center"/>
            <w:hideMark/>
          </w:tcPr>
          <w:p w14:paraId="21B60DC0"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50,901</w:t>
            </w:r>
          </w:p>
        </w:tc>
        <w:tc>
          <w:tcPr>
            <w:tcW w:w="694" w:type="pct"/>
            <w:tcBorders>
              <w:top w:val="nil"/>
              <w:left w:val="nil"/>
              <w:bottom w:val="nil"/>
              <w:right w:val="nil"/>
            </w:tcBorders>
            <w:shd w:val="clear" w:color="000000" w:fill="FFFFFF"/>
            <w:noWrap/>
            <w:vAlign w:val="center"/>
            <w:hideMark/>
          </w:tcPr>
          <w:p w14:paraId="603A525E" w14:textId="3C6C73CE"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12,602</w:t>
            </w:r>
          </w:p>
        </w:tc>
      </w:tr>
      <w:tr w:rsidR="001B335C" w:rsidRPr="004863F3" w14:paraId="6C39122B"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41E04182"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Health</w:t>
            </w:r>
          </w:p>
        </w:tc>
        <w:tc>
          <w:tcPr>
            <w:tcW w:w="694" w:type="pct"/>
            <w:tcBorders>
              <w:top w:val="nil"/>
              <w:left w:val="nil"/>
              <w:bottom w:val="nil"/>
              <w:right w:val="nil"/>
            </w:tcBorders>
            <w:shd w:val="clear" w:color="000000" w:fill="FFFFFF"/>
            <w:noWrap/>
            <w:vAlign w:val="center"/>
            <w:hideMark/>
          </w:tcPr>
          <w:p w14:paraId="533DEDB8"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117,067</w:t>
            </w:r>
          </w:p>
        </w:tc>
        <w:tc>
          <w:tcPr>
            <w:tcW w:w="694" w:type="pct"/>
            <w:tcBorders>
              <w:top w:val="nil"/>
              <w:left w:val="nil"/>
              <w:bottom w:val="nil"/>
              <w:right w:val="nil"/>
            </w:tcBorders>
            <w:shd w:val="clear" w:color="000000" w:fill="E6F2FF"/>
            <w:noWrap/>
            <w:vAlign w:val="center"/>
            <w:hideMark/>
          </w:tcPr>
          <w:p w14:paraId="09D58F5A"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132,249</w:t>
            </w:r>
          </w:p>
        </w:tc>
        <w:tc>
          <w:tcPr>
            <w:tcW w:w="694" w:type="pct"/>
            <w:tcBorders>
              <w:top w:val="nil"/>
              <w:left w:val="nil"/>
              <w:bottom w:val="nil"/>
              <w:right w:val="nil"/>
            </w:tcBorders>
            <w:shd w:val="clear" w:color="000000" w:fill="FFFFFF"/>
            <w:noWrap/>
            <w:vAlign w:val="center"/>
            <w:hideMark/>
          </w:tcPr>
          <w:p w14:paraId="60E92B90"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15,182</w:t>
            </w:r>
          </w:p>
        </w:tc>
      </w:tr>
      <w:tr w:rsidR="001B335C" w:rsidRPr="004863F3" w14:paraId="4167990B"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647AFA2C"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Social security and welfare</w:t>
            </w:r>
          </w:p>
        </w:tc>
        <w:tc>
          <w:tcPr>
            <w:tcW w:w="694" w:type="pct"/>
            <w:tcBorders>
              <w:top w:val="nil"/>
              <w:left w:val="nil"/>
              <w:bottom w:val="nil"/>
              <w:right w:val="nil"/>
            </w:tcBorders>
            <w:shd w:val="clear" w:color="000000" w:fill="FFFFFF"/>
            <w:noWrap/>
            <w:vAlign w:val="center"/>
            <w:hideMark/>
          </w:tcPr>
          <w:p w14:paraId="5CDC623E"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274,901</w:t>
            </w:r>
          </w:p>
        </w:tc>
        <w:tc>
          <w:tcPr>
            <w:tcW w:w="694" w:type="pct"/>
            <w:tcBorders>
              <w:top w:val="nil"/>
              <w:left w:val="nil"/>
              <w:bottom w:val="nil"/>
              <w:right w:val="nil"/>
            </w:tcBorders>
            <w:shd w:val="clear" w:color="000000" w:fill="E6F2FF"/>
            <w:noWrap/>
            <w:vAlign w:val="center"/>
            <w:hideMark/>
          </w:tcPr>
          <w:p w14:paraId="0DB1D2D2"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285,479</w:t>
            </w:r>
          </w:p>
        </w:tc>
        <w:tc>
          <w:tcPr>
            <w:tcW w:w="694" w:type="pct"/>
            <w:tcBorders>
              <w:top w:val="nil"/>
              <w:left w:val="nil"/>
              <w:bottom w:val="nil"/>
              <w:right w:val="nil"/>
            </w:tcBorders>
            <w:shd w:val="clear" w:color="000000" w:fill="FFFFFF"/>
            <w:noWrap/>
            <w:vAlign w:val="center"/>
            <w:hideMark/>
          </w:tcPr>
          <w:p w14:paraId="79F18426"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10,578</w:t>
            </w:r>
          </w:p>
        </w:tc>
      </w:tr>
      <w:tr w:rsidR="001B335C" w:rsidRPr="004863F3" w14:paraId="7FBC94C7"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3E6722EC"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Housing and community amenities</w:t>
            </w:r>
          </w:p>
        </w:tc>
        <w:tc>
          <w:tcPr>
            <w:tcW w:w="694" w:type="pct"/>
            <w:tcBorders>
              <w:top w:val="nil"/>
              <w:left w:val="nil"/>
              <w:bottom w:val="nil"/>
              <w:right w:val="nil"/>
            </w:tcBorders>
            <w:shd w:val="clear" w:color="000000" w:fill="FFFFFF"/>
            <w:noWrap/>
            <w:vAlign w:val="center"/>
            <w:hideMark/>
          </w:tcPr>
          <w:p w14:paraId="15B38F1B"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18,122</w:t>
            </w:r>
          </w:p>
        </w:tc>
        <w:tc>
          <w:tcPr>
            <w:tcW w:w="694" w:type="pct"/>
            <w:tcBorders>
              <w:top w:val="nil"/>
              <w:left w:val="nil"/>
              <w:bottom w:val="nil"/>
              <w:right w:val="nil"/>
            </w:tcBorders>
            <w:shd w:val="clear" w:color="000000" w:fill="E6F2FF"/>
            <w:noWrap/>
            <w:vAlign w:val="center"/>
            <w:hideMark/>
          </w:tcPr>
          <w:p w14:paraId="2485AA58"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8,330</w:t>
            </w:r>
          </w:p>
        </w:tc>
        <w:tc>
          <w:tcPr>
            <w:tcW w:w="694" w:type="pct"/>
            <w:tcBorders>
              <w:top w:val="nil"/>
              <w:left w:val="nil"/>
              <w:bottom w:val="nil"/>
              <w:right w:val="nil"/>
            </w:tcBorders>
            <w:shd w:val="clear" w:color="000000" w:fill="FFFFFF"/>
            <w:noWrap/>
            <w:vAlign w:val="center"/>
            <w:hideMark/>
          </w:tcPr>
          <w:p w14:paraId="36E4B9E7" w14:textId="4774155D"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9,793</w:t>
            </w:r>
          </w:p>
        </w:tc>
      </w:tr>
      <w:tr w:rsidR="001B335C" w:rsidRPr="004863F3" w14:paraId="643F2729"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00A48989"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Recreation and culture</w:t>
            </w:r>
          </w:p>
        </w:tc>
        <w:tc>
          <w:tcPr>
            <w:tcW w:w="694" w:type="pct"/>
            <w:tcBorders>
              <w:top w:val="nil"/>
              <w:left w:val="nil"/>
              <w:bottom w:val="nil"/>
              <w:right w:val="nil"/>
            </w:tcBorders>
            <w:shd w:val="clear" w:color="000000" w:fill="FFFFFF"/>
            <w:noWrap/>
            <w:vAlign w:val="center"/>
            <w:hideMark/>
          </w:tcPr>
          <w:p w14:paraId="433D0E55"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5,859</w:t>
            </w:r>
          </w:p>
        </w:tc>
        <w:tc>
          <w:tcPr>
            <w:tcW w:w="694" w:type="pct"/>
            <w:tcBorders>
              <w:top w:val="nil"/>
              <w:left w:val="nil"/>
              <w:bottom w:val="nil"/>
              <w:right w:val="nil"/>
            </w:tcBorders>
            <w:shd w:val="clear" w:color="000000" w:fill="E6F2FF"/>
            <w:noWrap/>
            <w:vAlign w:val="center"/>
            <w:hideMark/>
          </w:tcPr>
          <w:p w14:paraId="185BAA40"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5,966</w:t>
            </w:r>
          </w:p>
        </w:tc>
        <w:tc>
          <w:tcPr>
            <w:tcW w:w="694" w:type="pct"/>
            <w:tcBorders>
              <w:top w:val="nil"/>
              <w:left w:val="nil"/>
              <w:bottom w:val="nil"/>
              <w:right w:val="nil"/>
            </w:tcBorders>
            <w:shd w:val="clear" w:color="000000" w:fill="FFFFFF"/>
            <w:noWrap/>
            <w:vAlign w:val="center"/>
            <w:hideMark/>
          </w:tcPr>
          <w:p w14:paraId="0F9F1040"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108</w:t>
            </w:r>
          </w:p>
        </w:tc>
      </w:tr>
      <w:tr w:rsidR="001B335C" w:rsidRPr="004863F3" w14:paraId="5A23ADBE"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65CE4DC6"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Fuel and energy</w:t>
            </w:r>
          </w:p>
        </w:tc>
        <w:tc>
          <w:tcPr>
            <w:tcW w:w="694" w:type="pct"/>
            <w:tcBorders>
              <w:top w:val="nil"/>
              <w:left w:val="nil"/>
              <w:bottom w:val="nil"/>
              <w:right w:val="nil"/>
            </w:tcBorders>
            <w:shd w:val="clear" w:color="000000" w:fill="FFFFFF"/>
            <w:noWrap/>
            <w:vAlign w:val="center"/>
            <w:hideMark/>
          </w:tcPr>
          <w:p w14:paraId="368A84C4"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16,437</w:t>
            </w:r>
          </w:p>
        </w:tc>
        <w:tc>
          <w:tcPr>
            <w:tcW w:w="694" w:type="pct"/>
            <w:tcBorders>
              <w:top w:val="nil"/>
              <w:left w:val="nil"/>
              <w:bottom w:val="nil"/>
              <w:right w:val="nil"/>
            </w:tcBorders>
            <w:shd w:val="clear" w:color="000000" w:fill="E6F2FF"/>
            <w:noWrap/>
            <w:vAlign w:val="center"/>
            <w:hideMark/>
          </w:tcPr>
          <w:p w14:paraId="7B1412E4"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14,954</w:t>
            </w:r>
          </w:p>
        </w:tc>
        <w:tc>
          <w:tcPr>
            <w:tcW w:w="694" w:type="pct"/>
            <w:tcBorders>
              <w:top w:val="nil"/>
              <w:left w:val="nil"/>
              <w:bottom w:val="nil"/>
              <w:right w:val="nil"/>
            </w:tcBorders>
            <w:shd w:val="clear" w:color="000000" w:fill="FFFFFF"/>
            <w:noWrap/>
            <w:vAlign w:val="center"/>
            <w:hideMark/>
          </w:tcPr>
          <w:p w14:paraId="4C259DCD" w14:textId="65BA550A"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1,484</w:t>
            </w:r>
          </w:p>
        </w:tc>
      </w:tr>
      <w:tr w:rsidR="001B335C" w:rsidRPr="004863F3" w14:paraId="6905C90D"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25CD3DEC"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Agriculture, forestry and fishing</w:t>
            </w:r>
          </w:p>
        </w:tc>
        <w:tc>
          <w:tcPr>
            <w:tcW w:w="694" w:type="pct"/>
            <w:tcBorders>
              <w:top w:val="nil"/>
              <w:left w:val="nil"/>
              <w:bottom w:val="nil"/>
              <w:right w:val="nil"/>
            </w:tcBorders>
            <w:shd w:val="clear" w:color="000000" w:fill="FFFFFF"/>
            <w:noWrap/>
            <w:vAlign w:val="center"/>
            <w:hideMark/>
          </w:tcPr>
          <w:p w14:paraId="4DCD4FCA"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4,461</w:t>
            </w:r>
          </w:p>
        </w:tc>
        <w:tc>
          <w:tcPr>
            <w:tcW w:w="694" w:type="pct"/>
            <w:tcBorders>
              <w:top w:val="nil"/>
              <w:left w:val="nil"/>
              <w:bottom w:val="nil"/>
              <w:right w:val="nil"/>
            </w:tcBorders>
            <w:shd w:val="clear" w:color="000000" w:fill="E6F2FF"/>
            <w:noWrap/>
            <w:vAlign w:val="center"/>
            <w:hideMark/>
          </w:tcPr>
          <w:p w14:paraId="587AD60B"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3,801</w:t>
            </w:r>
          </w:p>
        </w:tc>
        <w:tc>
          <w:tcPr>
            <w:tcW w:w="694" w:type="pct"/>
            <w:tcBorders>
              <w:top w:val="nil"/>
              <w:left w:val="nil"/>
              <w:bottom w:val="nil"/>
              <w:right w:val="nil"/>
            </w:tcBorders>
            <w:shd w:val="clear" w:color="000000" w:fill="FFFFFF"/>
            <w:noWrap/>
            <w:vAlign w:val="center"/>
            <w:hideMark/>
          </w:tcPr>
          <w:p w14:paraId="7B723FC8" w14:textId="6B9EC55E"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660</w:t>
            </w:r>
          </w:p>
        </w:tc>
      </w:tr>
      <w:tr w:rsidR="001B335C" w:rsidRPr="004863F3" w14:paraId="34827629"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1DFED90F"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Mining, manufacturing and construction</w:t>
            </w:r>
          </w:p>
        </w:tc>
        <w:tc>
          <w:tcPr>
            <w:tcW w:w="694" w:type="pct"/>
            <w:tcBorders>
              <w:top w:val="nil"/>
              <w:left w:val="nil"/>
              <w:bottom w:val="nil"/>
              <w:right w:val="nil"/>
            </w:tcBorders>
            <w:shd w:val="clear" w:color="000000" w:fill="FFFFFF"/>
            <w:noWrap/>
            <w:vAlign w:val="center"/>
            <w:hideMark/>
          </w:tcPr>
          <w:p w14:paraId="54D9C60D"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5,866</w:t>
            </w:r>
          </w:p>
        </w:tc>
        <w:tc>
          <w:tcPr>
            <w:tcW w:w="694" w:type="pct"/>
            <w:tcBorders>
              <w:top w:val="nil"/>
              <w:left w:val="nil"/>
              <w:bottom w:val="nil"/>
              <w:right w:val="nil"/>
            </w:tcBorders>
            <w:shd w:val="clear" w:color="000000" w:fill="E6F2FF"/>
            <w:noWrap/>
            <w:vAlign w:val="center"/>
            <w:hideMark/>
          </w:tcPr>
          <w:p w14:paraId="418FC401"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4,937</w:t>
            </w:r>
          </w:p>
        </w:tc>
        <w:tc>
          <w:tcPr>
            <w:tcW w:w="694" w:type="pct"/>
            <w:tcBorders>
              <w:top w:val="nil"/>
              <w:left w:val="nil"/>
              <w:bottom w:val="nil"/>
              <w:right w:val="nil"/>
            </w:tcBorders>
            <w:shd w:val="clear" w:color="000000" w:fill="FFFFFF"/>
            <w:noWrap/>
            <w:vAlign w:val="center"/>
            <w:hideMark/>
          </w:tcPr>
          <w:p w14:paraId="435F27B0" w14:textId="2A018872"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930</w:t>
            </w:r>
          </w:p>
        </w:tc>
      </w:tr>
      <w:tr w:rsidR="001B335C" w:rsidRPr="004863F3" w14:paraId="5F040787"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0BFBD9F7"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Transport and communication</w:t>
            </w:r>
          </w:p>
        </w:tc>
        <w:tc>
          <w:tcPr>
            <w:tcW w:w="694" w:type="pct"/>
            <w:tcBorders>
              <w:top w:val="nil"/>
              <w:left w:val="nil"/>
              <w:bottom w:val="nil"/>
              <w:right w:val="nil"/>
            </w:tcBorders>
            <w:shd w:val="clear" w:color="000000" w:fill="FFFFFF"/>
            <w:noWrap/>
            <w:vAlign w:val="center"/>
            <w:hideMark/>
          </w:tcPr>
          <w:p w14:paraId="57E58EC1"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15,980</w:t>
            </w:r>
          </w:p>
        </w:tc>
        <w:tc>
          <w:tcPr>
            <w:tcW w:w="694" w:type="pct"/>
            <w:tcBorders>
              <w:top w:val="nil"/>
              <w:left w:val="nil"/>
              <w:bottom w:val="nil"/>
              <w:right w:val="nil"/>
            </w:tcBorders>
            <w:shd w:val="clear" w:color="000000" w:fill="E6F2FF"/>
            <w:noWrap/>
            <w:vAlign w:val="center"/>
            <w:hideMark/>
          </w:tcPr>
          <w:p w14:paraId="1CA25A88"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16,244</w:t>
            </w:r>
          </w:p>
        </w:tc>
        <w:tc>
          <w:tcPr>
            <w:tcW w:w="694" w:type="pct"/>
            <w:tcBorders>
              <w:top w:val="nil"/>
              <w:left w:val="nil"/>
              <w:bottom w:val="nil"/>
              <w:right w:val="nil"/>
            </w:tcBorders>
            <w:shd w:val="clear" w:color="000000" w:fill="FFFFFF"/>
            <w:noWrap/>
            <w:vAlign w:val="center"/>
            <w:hideMark/>
          </w:tcPr>
          <w:p w14:paraId="1B77D3C6"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264</w:t>
            </w:r>
          </w:p>
        </w:tc>
      </w:tr>
      <w:tr w:rsidR="001B335C" w:rsidRPr="004863F3" w14:paraId="49782EE2"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38A1B384"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Other economic affairs</w:t>
            </w:r>
          </w:p>
        </w:tc>
        <w:tc>
          <w:tcPr>
            <w:tcW w:w="694" w:type="pct"/>
            <w:tcBorders>
              <w:top w:val="nil"/>
              <w:left w:val="nil"/>
              <w:bottom w:val="nil"/>
              <w:right w:val="nil"/>
            </w:tcBorders>
            <w:shd w:val="clear" w:color="000000" w:fill="FFFFFF"/>
            <w:noWrap/>
            <w:vAlign w:val="center"/>
            <w:hideMark/>
          </w:tcPr>
          <w:p w14:paraId="2E7090E4"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nil"/>
              <w:right w:val="nil"/>
            </w:tcBorders>
            <w:shd w:val="clear" w:color="000000" w:fill="E6F2FF"/>
            <w:noWrap/>
            <w:vAlign w:val="center"/>
            <w:hideMark/>
          </w:tcPr>
          <w:p w14:paraId="2F734EAD"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nil"/>
              <w:right w:val="nil"/>
            </w:tcBorders>
            <w:shd w:val="clear" w:color="000000" w:fill="FFFFFF"/>
            <w:noWrap/>
            <w:vAlign w:val="center"/>
            <w:hideMark/>
          </w:tcPr>
          <w:p w14:paraId="759E0023"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r>
      <w:tr w:rsidR="001B335C" w:rsidRPr="004863F3" w14:paraId="1FC1B1F5"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22AB6ACC"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Tourism and area promotion</w:t>
            </w:r>
          </w:p>
        </w:tc>
        <w:tc>
          <w:tcPr>
            <w:tcW w:w="694" w:type="pct"/>
            <w:tcBorders>
              <w:top w:val="nil"/>
              <w:left w:val="nil"/>
              <w:bottom w:val="nil"/>
              <w:right w:val="nil"/>
            </w:tcBorders>
            <w:shd w:val="clear" w:color="000000" w:fill="FFFFFF"/>
            <w:noWrap/>
            <w:vAlign w:val="center"/>
            <w:hideMark/>
          </w:tcPr>
          <w:p w14:paraId="252CCDA8"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197</w:t>
            </w:r>
          </w:p>
        </w:tc>
        <w:tc>
          <w:tcPr>
            <w:tcW w:w="694" w:type="pct"/>
            <w:tcBorders>
              <w:top w:val="nil"/>
              <w:left w:val="nil"/>
              <w:bottom w:val="nil"/>
              <w:right w:val="nil"/>
            </w:tcBorders>
            <w:shd w:val="clear" w:color="000000" w:fill="E6F2FF"/>
            <w:noWrap/>
            <w:vAlign w:val="center"/>
            <w:hideMark/>
          </w:tcPr>
          <w:p w14:paraId="42DA6CB0"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196</w:t>
            </w:r>
          </w:p>
        </w:tc>
        <w:tc>
          <w:tcPr>
            <w:tcW w:w="694" w:type="pct"/>
            <w:tcBorders>
              <w:top w:val="nil"/>
              <w:left w:val="nil"/>
              <w:bottom w:val="nil"/>
              <w:right w:val="nil"/>
            </w:tcBorders>
            <w:shd w:val="clear" w:color="000000" w:fill="FFFFFF"/>
            <w:noWrap/>
            <w:vAlign w:val="center"/>
            <w:hideMark/>
          </w:tcPr>
          <w:p w14:paraId="508880CA"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0</w:t>
            </w:r>
          </w:p>
        </w:tc>
      </w:tr>
      <w:tr w:rsidR="001B335C" w:rsidRPr="004863F3" w14:paraId="5A258F62"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64D4BF0C"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Labour and employment affairs</w:t>
            </w:r>
          </w:p>
        </w:tc>
        <w:tc>
          <w:tcPr>
            <w:tcW w:w="694" w:type="pct"/>
            <w:tcBorders>
              <w:top w:val="nil"/>
              <w:left w:val="nil"/>
              <w:bottom w:val="nil"/>
              <w:right w:val="nil"/>
            </w:tcBorders>
            <w:shd w:val="clear" w:color="000000" w:fill="FFFFFF"/>
            <w:noWrap/>
            <w:vAlign w:val="center"/>
            <w:hideMark/>
          </w:tcPr>
          <w:p w14:paraId="50B20E4B"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6,104</w:t>
            </w:r>
          </w:p>
        </w:tc>
        <w:tc>
          <w:tcPr>
            <w:tcW w:w="694" w:type="pct"/>
            <w:tcBorders>
              <w:top w:val="nil"/>
              <w:left w:val="nil"/>
              <w:bottom w:val="nil"/>
              <w:right w:val="nil"/>
            </w:tcBorders>
            <w:shd w:val="clear" w:color="000000" w:fill="E6F2FF"/>
            <w:noWrap/>
            <w:vAlign w:val="center"/>
            <w:hideMark/>
          </w:tcPr>
          <w:p w14:paraId="59DB3267"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5,425</w:t>
            </w:r>
          </w:p>
        </w:tc>
        <w:tc>
          <w:tcPr>
            <w:tcW w:w="694" w:type="pct"/>
            <w:tcBorders>
              <w:top w:val="nil"/>
              <w:left w:val="nil"/>
              <w:bottom w:val="nil"/>
              <w:right w:val="nil"/>
            </w:tcBorders>
            <w:shd w:val="clear" w:color="000000" w:fill="FFFFFF"/>
            <w:noWrap/>
            <w:vAlign w:val="center"/>
            <w:hideMark/>
          </w:tcPr>
          <w:p w14:paraId="49298D7B" w14:textId="78ECE2B9"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679</w:t>
            </w:r>
          </w:p>
        </w:tc>
      </w:tr>
      <w:tr w:rsidR="001B335C" w:rsidRPr="004863F3" w14:paraId="1ABA7389"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6DFA8B6C"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Immigration</w:t>
            </w:r>
          </w:p>
        </w:tc>
        <w:tc>
          <w:tcPr>
            <w:tcW w:w="694" w:type="pct"/>
            <w:tcBorders>
              <w:top w:val="nil"/>
              <w:left w:val="nil"/>
              <w:bottom w:val="nil"/>
              <w:right w:val="nil"/>
            </w:tcBorders>
            <w:shd w:val="clear" w:color="000000" w:fill="FFFFFF"/>
            <w:noWrap/>
            <w:vAlign w:val="center"/>
            <w:hideMark/>
          </w:tcPr>
          <w:p w14:paraId="3FC3B2DC"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3,963</w:t>
            </w:r>
          </w:p>
        </w:tc>
        <w:tc>
          <w:tcPr>
            <w:tcW w:w="694" w:type="pct"/>
            <w:tcBorders>
              <w:top w:val="nil"/>
              <w:left w:val="nil"/>
              <w:bottom w:val="nil"/>
              <w:right w:val="nil"/>
            </w:tcBorders>
            <w:shd w:val="clear" w:color="000000" w:fill="E6F2FF"/>
            <w:noWrap/>
            <w:vAlign w:val="center"/>
            <w:hideMark/>
          </w:tcPr>
          <w:p w14:paraId="51B168E1"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3,758</w:t>
            </w:r>
          </w:p>
        </w:tc>
        <w:tc>
          <w:tcPr>
            <w:tcW w:w="694" w:type="pct"/>
            <w:tcBorders>
              <w:top w:val="nil"/>
              <w:left w:val="nil"/>
              <w:bottom w:val="nil"/>
              <w:right w:val="nil"/>
            </w:tcBorders>
            <w:shd w:val="clear" w:color="000000" w:fill="FFFFFF"/>
            <w:noWrap/>
            <w:vAlign w:val="center"/>
            <w:hideMark/>
          </w:tcPr>
          <w:p w14:paraId="1E115A1B" w14:textId="78E1818B"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206</w:t>
            </w:r>
          </w:p>
        </w:tc>
      </w:tr>
      <w:tr w:rsidR="001B335C" w:rsidRPr="004863F3" w14:paraId="7A08B2AB"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7DEF0B4F"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Other economic affairs nec</w:t>
            </w:r>
          </w:p>
        </w:tc>
        <w:tc>
          <w:tcPr>
            <w:tcW w:w="694" w:type="pct"/>
            <w:tcBorders>
              <w:top w:val="nil"/>
              <w:left w:val="nil"/>
              <w:bottom w:val="nil"/>
              <w:right w:val="nil"/>
            </w:tcBorders>
            <w:shd w:val="clear" w:color="000000" w:fill="FFFFFF"/>
            <w:noWrap/>
            <w:vAlign w:val="center"/>
            <w:hideMark/>
          </w:tcPr>
          <w:p w14:paraId="5691CCE9"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3,799</w:t>
            </w:r>
          </w:p>
        </w:tc>
        <w:tc>
          <w:tcPr>
            <w:tcW w:w="694" w:type="pct"/>
            <w:tcBorders>
              <w:top w:val="nil"/>
              <w:left w:val="nil"/>
              <w:bottom w:val="nil"/>
              <w:right w:val="nil"/>
            </w:tcBorders>
            <w:shd w:val="clear" w:color="000000" w:fill="E6F2FF"/>
            <w:noWrap/>
            <w:vAlign w:val="center"/>
            <w:hideMark/>
          </w:tcPr>
          <w:p w14:paraId="326EE02F"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3,516</w:t>
            </w:r>
          </w:p>
        </w:tc>
        <w:tc>
          <w:tcPr>
            <w:tcW w:w="694" w:type="pct"/>
            <w:tcBorders>
              <w:top w:val="nil"/>
              <w:left w:val="nil"/>
              <w:bottom w:val="nil"/>
              <w:right w:val="nil"/>
            </w:tcBorders>
            <w:shd w:val="clear" w:color="000000" w:fill="FFFFFF"/>
            <w:noWrap/>
            <w:vAlign w:val="center"/>
            <w:hideMark/>
          </w:tcPr>
          <w:p w14:paraId="629B473C" w14:textId="201B1304"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282</w:t>
            </w:r>
          </w:p>
        </w:tc>
      </w:tr>
      <w:tr w:rsidR="001B335C" w:rsidRPr="004863F3" w14:paraId="221027E3"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3ABB3D36"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Other purposes</w:t>
            </w:r>
          </w:p>
        </w:tc>
        <w:tc>
          <w:tcPr>
            <w:tcW w:w="694" w:type="pct"/>
            <w:tcBorders>
              <w:top w:val="nil"/>
              <w:left w:val="nil"/>
              <w:bottom w:val="nil"/>
              <w:right w:val="nil"/>
            </w:tcBorders>
            <w:shd w:val="clear" w:color="000000" w:fill="FFFFFF"/>
            <w:noWrap/>
            <w:vAlign w:val="center"/>
            <w:hideMark/>
          </w:tcPr>
          <w:p w14:paraId="3C281A75"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nil"/>
              <w:right w:val="nil"/>
            </w:tcBorders>
            <w:shd w:val="clear" w:color="000000" w:fill="E6F2FF"/>
            <w:noWrap/>
            <w:vAlign w:val="center"/>
            <w:hideMark/>
          </w:tcPr>
          <w:p w14:paraId="698BCC2C"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94" w:type="pct"/>
            <w:tcBorders>
              <w:top w:val="nil"/>
              <w:left w:val="nil"/>
              <w:bottom w:val="nil"/>
              <w:right w:val="nil"/>
            </w:tcBorders>
            <w:shd w:val="clear" w:color="000000" w:fill="FFFFFF"/>
            <w:noWrap/>
            <w:vAlign w:val="center"/>
            <w:hideMark/>
          </w:tcPr>
          <w:p w14:paraId="3324B3BD" w14:textId="77777777" w:rsidR="001B335C" w:rsidRPr="004863F3" w:rsidRDefault="001B335C" w:rsidP="001B335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r>
      <w:tr w:rsidR="001B335C" w:rsidRPr="004863F3" w14:paraId="77432001"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60D6FB37" w14:textId="77777777" w:rsidR="001B335C" w:rsidRPr="004863F3" w:rsidRDefault="001B335C" w:rsidP="001B335C">
            <w:pPr>
              <w:spacing w:before="0" w:after="0" w:line="240" w:lineRule="auto"/>
              <w:ind w:left="170"/>
              <w:rPr>
                <w:rFonts w:ascii="Arial" w:hAnsi="Arial" w:cs="Arial"/>
                <w:sz w:val="16"/>
                <w:szCs w:val="16"/>
              </w:rPr>
            </w:pPr>
            <w:r w:rsidRPr="004863F3">
              <w:rPr>
                <w:rFonts w:ascii="Arial" w:hAnsi="Arial" w:cs="Arial"/>
                <w:sz w:val="16"/>
                <w:szCs w:val="16"/>
              </w:rPr>
              <w:t>Public debt interest</w:t>
            </w:r>
          </w:p>
        </w:tc>
        <w:tc>
          <w:tcPr>
            <w:tcW w:w="694" w:type="pct"/>
            <w:tcBorders>
              <w:top w:val="nil"/>
              <w:left w:val="nil"/>
              <w:bottom w:val="nil"/>
              <w:right w:val="nil"/>
            </w:tcBorders>
            <w:shd w:val="clear" w:color="000000" w:fill="FFFFFF"/>
            <w:noWrap/>
            <w:vAlign w:val="center"/>
            <w:hideMark/>
          </w:tcPr>
          <w:p w14:paraId="32705F52"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23,940</w:t>
            </w:r>
          </w:p>
        </w:tc>
        <w:tc>
          <w:tcPr>
            <w:tcW w:w="694" w:type="pct"/>
            <w:tcBorders>
              <w:top w:val="nil"/>
              <w:left w:val="nil"/>
              <w:bottom w:val="nil"/>
              <w:right w:val="nil"/>
            </w:tcBorders>
            <w:shd w:val="clear" w:color="000000" w:fill="E6F2FF"/>
            <w:noWrap/>
            <w:vAlign w:val="center"/>
            <w:hideMark/>
          </w:tcPr>
          <w:p w14:paraId="1C05ADAD"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23,868</w:t>
            </w:r>
          </w:p>
        </w:tc>
        <w:tc>
          <w:tcPr>
            <w:tcW w:w="694" w:type="pct"/>
            <w:tcBorders>
              <w:top w:val="nil"/>
              <w:left w:val="nil"/>
              <w:bottom w:val="nil"/>
              <w:right w:val="nil"/>
            </w:tcBorders>
            <w:shd w:val="clear" w:color="000000" w:fill="FFFFFF"/>
            <w:noWrap/>
            <w:vAlign w:val="center"/>
            <w:hideMark/>
          </w:tcPr>
          <w:p w14:paraId="20E47401" w14:textId="496D6DEC"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72</w:t>
            </w:r>
          </w:p>
        </w:tc>
      </w:tr>
      <w:tr w:rsidR="001B335C" w:rsidRPr="004863F3" w14:paraId="14B26689"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652FB7CE"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Nominal superannuation interest</w:t>
            </w:r>
          </w:p>
        </w:tc>
        <w:tc>
          <w:tcPr>
            <w:tcW w:w="694" w:type="pct"/>
            <w:tcBorders>
              <w:top w:val="nil"/>
              <w:left w:val="nil"/>
              <w:bottom w:val="nil"/>
              <w:right w:val="nil"/>
            </w:tcBorders>
            <w:shd w:val="clear" w:color="000000" w:fill="FFFFFF"/>
            <w:noWrap/>
            <w:vAlign w:val="center"/>
            <w:hideMark/>
          </w:tcPr>
          <w:p w14:paraId="72AB33F9"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14,241</w:t>
            </w:r>
          </w:p>
        </w:tc>
        <w:tc>
          <w:tcPr>
            <w:tcW w:w="694" w:type="pct"/>
            <w:tcBorders>
              <w:top w:val="nil"/>
              <w:left w:val="nil"/>
              <w:bottom w:val="nil"/>
              <w:right w:val="nil"/>
            </w:tcBorders>
            <w:shd w:val="clear" w:color="000000" w:fill="E6F2FF"/>
            <w:noWrap/>
            <w:vAlign w:val="center"/>
            <w:hideMark/>
          </w:tcPr>
          <w:p w14:paraId="2CF5C501"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14,250</w:t>
            </w:r>
          </w:p>
        </w:tc>
        <w:tc>
          <w:tcPr>
            <w:tcW w:w="694" w:type="pct"/>
            <w:tcBorders>
              <w:top w:val="nil"/>
              <w:left w:val="nil"/>
              <w:bottom w:val="nil"/>
              <w:right w:val="nil"/>
            </w:tcBorders>
            <w:shd w:val="clear" w:color="000000" w:fill="FFFFFF"/>
            <w:noWrap/>
            <w:vAlign w:val="center"/>
            <w:hideMark/>
          </w:tcPr>
          <w:p w14:paraId="6B93806B"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w:t>
            </w:r>
          </w:p>
        </w:tc>
      </w:tr>
      <w:tr w:rsidR="001B335C" w:rsidRPr="004863F3" w14:paraId="4E56E255"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1B144B59" w14:textId="69569080"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General purpose inter</w:t>
            </w:r>
            <w:r w:rsidR="001E171F" w:rsidRPr="004863F3">
              <w:rPr>
                <w:rFonts w:ascii="Arial" w:hAnsi="Arial" w:cs="Arial"/>
                <w:color w:val="000000"/>
                <w:sz w:val="16"/>
                <w:szCs w:val="16"/>
              </w:rPr>
              <w:noBreakHyphen/>
            </w:r>
            <w:r w:rsidRPr="004863F3">
              <w:rPr>
                <w:rFonts w:ascii="Arial" w:hAnsi="Arial" w:cs="Arial"/>
                <w:color w:val="000000"/>
                <w:sz w:val="16"/>
                <w:szCs w:val="16"/>
              </w:rPr>
              <w:t>government transactions</w:t>
            </w:r>
          </w:p>
        </w:tc>
        <w:tc>
          <w:tcPr>
            <w:tcW w:w="694" w:type="pct"/>
            <w:tcBorders>
              <w:top w:val="nil"/>
              <w:left w:val="nil"/>
              <w:bottom w:val="nil"/>
              <w:right w:val="nil"/>
            </w:tcBorders>
            <w:shd w:val="clear" w:color="000000" w:fill="FFFFFF"/>
            <w:noWrap/>
            <w:vAlign w:val="center"/>
            <w:hideMark/>
          </w:tcPr>
          <w:p w14:paraId="749B43EF"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97,382</w:t>
            </w:r>
          </w:p>
        </w:tc>
        <w:tc>
          <w:tcPr>
            <w:tcW w:w="694" w:type="pct"/>
            <w:tcBorders>
              <w:top w:val="nil"/>
              <w:left w:val="nil"/>
              <w:bottom w:val="nil"/>
              <w:right w:val="nil"/>
            </w:tcBorders>
            <w:shd w:val="clear" w:color="000000" w:fill="E6F2FF"/>
            <w:noWrap/>
            <w:vAlign w:val="center"/>
            <w:hideMark/>
          </w:tcPr>
          <w:p w14:paraId="038A2748"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99,937</w:t>
            </w:r>
          </w:p>
        </w:tc>
        <w:tc>
          <w:tcPr>
            <w:tcW w:w="694" w:type="pct"/>
            <w:tcBorders>
              <w:top w:val="nil"/>
              <w:left w:val="nil"/>
              <w:bottom w:val="nil"/>
              <w:right w:val="nil"/>
            </w:tcBorders>
            <w:shd w:val="clear" w:color="000000" w:fill="FFFFFF"/>
            <w:noWrap/>
            <w:vAlign w:val="center"/>
            <w:hideMark/>
          </w:tcPr>
          <w:p w14:paraId="6611A795"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2,555</w:t>
            </w:r>
          </w:p>
        </w:tc>
      </w:tr>
      <w:tr w:rsidR="001B335C" w:rsidRPr="004863F3" w14:paraId="522471AF"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7635C399" w14:textId="77777777" w:rsidR="001B335C" w:rsidRPr="004863F3" w:rsidRDefault="001B335C" w:rsidP="001B335C">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Natural disaster relief</w:t>
            </w:r>
          </w:p>
        </w:tc>
        <w:tc>
          <w:tcPr>
            <w:tcW w:w="694" w:type="pct"/>
            <w:tcBorders>
              <w:top w:val="nil"/>
              <w:left w:val="nil"/>
              <w:bottom w:val="nil"/>
              <w:right w:val="nil"/>
            </w:tcBorders>
            <w:shd w:val="clear" w:color="000000" w:fill="FFFFFF"/>
            <w:noWrap/>
            <w:vAlign w:val="center"/>
            <w:hideMark/>
          </w:tcPr>
          <w:p w14:paraId="079DB3EE"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1,506</w:t>
            </w:r>
          </w:p>
        </w:tc>
        <w:tc>
          <w:tcPr>
            <w:tcW w:w="694" w:type="pct"/>
            <w:tcBorders>
              <w:top w:val="nil"/>
              <w:left w:val="nil"/>
              <w:bottom w:val="nil"/>
              <w:right w:val="nil"/>
            </w:tcBorders>
            <w:shd w:val="clear" w:color="000000" w:fill="E6F2FF"/>
            <w:noWrap/>
            <w:vAlign w:val="center"/>
            <w:hideMark/>
          </w:tcPr>
          <w:p w14:paraId="480C61F0"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7,071</w:t>
            </w:r>
          </w:p>
        </w:tc>
        <w:tc>
          <w:tcPr>
            <w:tcW w:w="694" w:type="pct"/>
            <w:tcBorders>
              <w:top w:val="nil"/>
              <w:left w:val="nil"/>
              <w:bottom w:val="nil"/>
              <w:right w:val="nil"/>
            </w:tcBorders>
            <w:shd w:val="clear" w:color="000000" w:fill="FFFFFF"/>
            <w:noWrap/>
            <w:vAlign w:val="center"/>
            <w:hideMark/>
          </w:tcPr>
          <w:p w14:paraId="1E162209"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5,565</w:t>
            </w:r>
          </w:p>
        </w:tc>
      </w:tr>
      <w:tr w:rsidR="001B335C" w:rsidRPr="004863F3" w14:paraId="43AD3FE9" w14:textId="77777777" w:rsidTr="001B335C">
        <w:trPr>
          <w:trHeight w:hRule="exact" w:val="225"/>
        </w:trPr>
        <w:tc>
          <w:tcPr>
            <w:tcW w:w="2918" w:type="pct"/>
            <w:tcBorders>
              <w:top w:val="nil"/>
              <w:left w:val="nil"/>
              <w:bottom w:val="nil"/>
              <w:right w:val="nil"/>
            </w:tcBorders>
            <w:shd w:val="clear" w:color="000000" w:fill="FFFFFF"/>
            <w:noWrap/>
            <w:vAlign w:val="center"/>
            <w:hideMark/>
          </w:tcPr>
          <w:p w14:paraId="5B2A2C2D" w14:textId="77777777" w:rsidR="001B335C" w:rsidRPr="004863F3" w:rsidRDefault="001B335C" w:rsidP="001B335C">
            <w:pPr>
              <w:spacing w:before="0" w:after="0" w:line="240" w:lineRule="auto"/>
              <w:ind w:left="170"/>
              <w:rPr>
                <w:rFonts w:ascii="Arial" w:hAnsi="Arial" w:cs="Arial"/>
                <w:sz w:val="16"/>
                <w:szCs w:val="16"/>
              </w:rPr>
            </w:pPr>
            <w:r w:rsidRPr="004863F3">
              <w:rPr>
                <w:rFonts w:ascii="Arial" w:hAnsi="Arial" w:cs="Arial"/>
                <w:sz w:val="16"/>
                <w:szCs w:val="16"/>
              </w:rPr>
              <w:t>Contingency reserve</w:t>
            </w:r>
          </w:p>
        </w:tc>
        <w:tc>
          <w:tcPr>
            <w:tcW w:w="694" w:type="pct"/>
            <w:tcBorders>
              <w:top w:val="nil"/>
              <w:left w:val="nil"/>
              <w:bottom w:val="single" w:sz="4" w:space="0" w:color="293F5B"/>
              <w:right w:val="nil"/>
            </w:tcBorders>
            <w:shd w:val="clear" w:color="000000" w:fill="FFFFFF"/>
            <w:noWrap/>
            <w:vAlign w:val="center"/>
            <w:hideMark/>
          </w:tcPr>
          <w:p w14:paraId="7BED9FDF" w14:textId="4786ACFF" w:rsidR="001B335C" w:rsidRPr="004863F3" w:rsidRDefault="001E171F"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1B335C" w:rsidRPr="004863F3">
              <w:rPr>
                <w:rFonts w:ascii="Arial" w:hAnsi="Arial" w:cs="Arial"/>
                <w:color w:val="000000"/>
                <w:sz w:val="16"/>
                <w:szCs w:val="16"/>
              </w:rPr>
              <w:t>1,747</w:t>
            </w:r>
          </w:p>
        </w:tc>
        <w:tc>
          <w:tcPr>
            <w:tcW w:w="694" w:type="pct"/>
            <w:tcBorders>
              <w:top w:val="nil"/>
              <w:left w:val="nil"/>
              <w:bottom w:val="single" w:sz="4" w:space="0" w:color="293F5B"/>
              <w:right w:val="nil"/>
            </w:tcBorders>
            <w:shd w:val="clear" w:color="000000" w:fill="E6F2FF"/>
            <w:noWrap/>
            <w:vAlign w:val="center"/>
            <w:hideMark/>
          </w:tcPr>
          <w:p w14:paraId="661B32EF"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0</w:t>
            </w:r>
          </w:p>
        </w:tc>
        <w:tc>
          <w:tcPr>
            <w:tcW w:w="694" w:type="pct"/>
            <w:tcBorders>
              <w:top w:val="nil"/>
              <w:left w:val="nil"/>
              <w:bottom w:val="single" w:sz="4" w:space="0" w:color="293F5B"/>
              <w:right w:val="nil"/>
            </w:tcBorders>
            <w:shd w:val="clear" w:color="000000" w:fill="FFFFFF"/>
            <w:noWrap/>
            <w:vAlign w:val="center"/>
            <w:hideMark/>
          </w:tcPr>
          <w:p w14:paraId="3C7DDDA8" w14:textId="77777777" w:rsidR="001B335C" w:rsidRPr="004863F3" w:rsidRDefault="001B335C" w:rsidP="001B335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1,747</w:t>
            </w:r>
          </w:p>
        </w:tc>
      </w:tr>
      <w:tr w:rsidR="001B335C" w:rsidRPr="004863F3" w14:paraId="76F2FF61" w14:textId="77777777" w:rsidTr="001B335C">
        <w:trPr>
          <w:trHeight w:hRule="exact" w:val="225"/>
        </w:trPr>
        <w:tc>
          <w:tcPr>
            <w:tcW w:w="2918" w:type="pct"/>
            <w:tcBorders>
              <w:top w:val="nil"/>
              <w:left w:val="nil"/>
              <w:bottom w:val="single" w:sz="4" w:space="0" w:color="293F5B"/>
              <w:right w:val="nil"/>
            </w:tcBorders>
            <w:shd w:val="clear" w:color="000000" w:fill="FFFFFF"/>
            <w:noWrap/>
            <w:vAlign w:val="center"/>
            <w:hideMark/>
          </w:tcPr>
          <w:p w14:paraId="6879AB3A" w14:textId="77777777" w:rsidR="001B335C" w:rsidRPr="004863F3" w:rsidRDefault="001B335C" w:rsidP="001B335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Total expenses</w:t>
            </w:r>
          </w:p>
        </w:tc>
        <w:tc>
          <w:tcPr>
            <w:tcW w:w="694" w:type="pct"/>
            <w:tcBorders>
              <w:top w:val="nil"/>
              <w:left w:val="nil"/>
              <w:bottom w:val="single" w:sz="4" w:space="0" w:color="293F5B"/>
              <w:right w:val="nil"/>
            </w:tcBorders>
            <w:shd w:val="clear" w:color="000000" w:fill="FFFFFF"/>
            <w:noWrap/>
            <w:vAlign w:val="center"/>
            <w:hideMark/>
          </w:tcPr>
          <w:p w14:paraId="1EAACB41" w14:textId="77777777" w:rsidR="001B335C" w:rsidRPr="004863F3" w:rsidRDefault="001B335C" w:rsidP="001B335C">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762,756</w:t>
            </w:r>
          </w:p>
        </w:tc>
        <w:tc>
          <w:tcPr>
            <w:tcW w:w="694" w:type="pct"/>
            <w:tcBorders>
              <w:top w:val="nil"/>
              <w:left w:val="nil"/>
              <w:bottom w:val="single" w:sz="4" w:space="0" w:color="293F5B"/>
              <w:right w:val="nil"/>
            </w:tcBorders>
            <w:shd w:val="clear" w:color="000000" w:fill="E6F2FF"/>
            <w:noWrap/>
            <w:vAlign w:val="center"/>
            <w:hideMark/>
          </w:tcPr>
          <w:p w14:paraId="194447C5" w14:textId="77777777" w:rsidR="001B335C" w:rsidRPr="004863F3" w:rsidRDefault="001B335C" w:rsidP="001B335C">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770,071</w:t>
            </w:r>
          </w:p>
        </w:tc>
        <w:tc>
          <w:tcPr>
            <w:tcW w:w="694" w:type="pct"/>
            <w:tcBorders>
              <w:top w:val="nil"/>
              <w:left w:val="nil"/>
              <w:bottom w:val="single" w:sz="4" w:space="0" w:color="293F5B"/>
              <w:right w:val="nil"/>
            </w:tcBorders>
            <w:shd w:val="clear" w:color="000000" w:fill="FFFFFF"/>
            <w:noWrap/>
            <w:vAlign w:val="center"/>
            <w:hideMark/>
          </w:tcPr>
          <w:p w14:paraId="6B820B28" w14:textId="77777777" w:rsidR="001B335C" w:rsidRPr="004863F3" w:rsidRDefault="001B335C" w:rsidP="001B335C">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7,315</w:t>
            </w:r>
          </w:p>
        </w:tc>
      </w:tr>
    </w:tbl>
    <w:p w14:paraId="673116BE" w14:textId="27F65BAF" w:rsidR="00E93031" w:rsidRPr="004863F3" w:rsidRDefault="00E93031" w:rsidP="00B82122">
      <w:pPr>
        <w:pStyle w:val="SingleParagraph"/>
      </w:pPr>
      <w:r w:rsidRPr="004863F3">
        <w:br w:type="page"/>
      </w:r>
    </w:p>
    <w:p w14:paraId="53187BC1" w14:textId="6EEA2766" w:rsidR="00006A1C" w:rsidRPr="004863F3" w:rsidRDefault="00E93031" w:rsidP="00006A1C">
      <w:pPr>
        <w:pStyle w:val="TableHeading"/>
        <w:rPr>
          <w:rFonts w:asciiTheme="minorHAnsi" w:eastAsiaTheme="minorHAnsi" w:hAnsiTheme="minorHAnsi" w:cstheme="minorBidi"/>
          <w:sz w:val="22"/>
          <w:szCs w:val="22"/>
          <w:lang w:eastAsia="en-US"/>
        </w:rPr>
      </w:pPr>
      <w:r w:rsidRPr="004863F3">
        <w:t xml:space="preserve">Table 1.6: Australian Government general government sector net capital investment by function </w:t>
      </w:r>
    </w:p>
    <w:tbl>
      <w:tblPr>
        <w:tblW w:w="5000" w:type="pct"/>
        <w:tblCellMar>
          <w:left w:w="0" w:type="dxa"/>
          <w:right w:w="28" w:type="dxa"/>
        </w:tblCellMar>
        <w:tblLook w:val="04A0" w:firstRow="1" w:lastRow="0" w:firstColumn="1" w:lastColumn="0" w:noHBand="0" w:noVBand="1"/>
      </w:tblPr>
      <w:tblGrid>
        <w:gridCol w:w="4785"/>
        <w:gridCol w:w="975"/>
        <w:gridCol w:w="975"/>
        <w:gridCol w:w="975"/>
      </w:tblGrid>
      <w:tr w:rsidR="00006A1C" w:rsidRPr="004863F3" w14:paraId="7890D93A" w14:textId="77777777" w:rsidTr="00006A1C">
        <w:trPr>
          <w:trHeight w:hRule="exact" w:val="225"/>
        </w:trPr>
        <w:tc>
          <w:tcPr>
            <w:tcW w:w="3103" w:type="pct"/>
            <w:tcBorders>
              <w:top w:val="single" w:sz="4" w:space="0" w:color="293F5B"/>
              <w:left w:val="nil"/>
              <w:bottom w:val="nil"/>
              <w:right w:val="nil"/>
            </w:tcBorders>
            <w:shd w:val="clear" w:color="000000" w:fill="FFFFFF"/>
            <w:noWrap/>
            <w:vAlign w:val="center"/>
            <w:hideMark/>
          </w:tcPr>
          <w:p w14:paraId="47383886" w14:textId="3722F4DC"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2" w:type="pct"/>
            <w:tcBorders>
              <w:top w:val="single" w:sz="4" w:space="0" w:color="293F5B"/>
              <w:left w:val="nil"/>
              <w:bottom w:val="nil"/>
              <w:right w:val="nil"/>
            </w:tcBorders>
            <w:shd w:val="clear" w:color="000000" w:fill="FFFFFF"/>
            <w:noWrap/>
            <w:vAlign w:val="center"/>
            <w:hideMark/>
          </w:tcPr>
          <w:p w14:paraId="52DD3C8D" w14:textId="7BDEA951"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632" w:type="pct"/>
            <w:tcBorders>
              <w:top w:val="single" w:sz="4" w:space="0" w:color="293F5B"/>
              <w:left w:val="nil"/>
              <w:bottom w:val="nil"/>
              <w:right w:val="nil"/>
            </w:tcBorders>
            <w:shd w:val="clear" w:color="000000" w:fill="E6F2FF"/>
            <w:noWrap/>
            <w:vAlign w:val="center"/>
            <w:hideMark/>
          </w:tcPr>
          <w:p w14:paraId="0C68DF31" w14:textId="66F6FDED"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632" w:type="pct"/>
            <w:tcBorders>
              <w:top w:val="single" w:sz="4" w:space="0" w:color="293F5B"/>
              <w:left w:val="nil"/>
              <w:bottom w:val="nil"/>
              <w:right w:val="nil"/>
            </w:tcBorders>
            <w:shd w:val="clear" w:color="000000" w:fill="FFFFFF"/>
            <w:noWrap/>
            <w:vAlign w:val="bottom"/>
            <w:hideMark/>
          </w:tcPr>
          <w:p w14:paraId="2E4718D8" w14:textId="77777777"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Change on</w:t>
            </w:r>
          </w:p>
        </w:tc>
      </w:tr>
      <w:tr w:rsidR="00006A1C" w:rsidRPr="004863F3" w14:paraId="3C46935D"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67EA8034"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2" w:type="pct"/>
            <w:tcBorders>
              <w:top w:val="nil"/>
              <w:left w:val="nil"/>
              <w:bottom w:val="nil"/>
              <w:right w:val="nil"/>
            </w:tcBorders>
            <w:shd w:val="clear" w:color="000000" w:fill="FFFFFF"/>
            <w:noWrap/>
            <w:vAlign w:val="center"/>
            <w:hideMark/>
          </w:tcPr>
          <w:p w14:paraId="2A4527BA" w14:textId="77777777"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632" w:type="pct"/>
            <w:tcBorders>
              <w:top w:val="nil"/>
              <w:left w:val="nil"/>
              <w:bottom w:val="nil"/>
              <w:right w:val="nil"/>
            </w:tcBorders>
            <w:shd w:val="clear" w:color="000000" w:fill="E6F2FF"/>
            <w:noWrap/>
            <w:vAlign w:val="center"/>
            <w:hideMark/>
          </w:tcPr>
          <w:p w14:paraId="3A11E66F" w14:textId="77777777"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Outcome</w:t>
            </w:r>
          </w:p>
        </w:tc>
        <w:tc>
          <w:tcPr>
            <w:tcW w:w="632" w:type="pct"/>
            <w:tcBorders>
              <w:top w:val="nil"/>
              <w:left w:val="nil"/>
              <w:bottom w:val="nil"/>
              <w:right w:val="nil"/>
            </w:tcBorders>
            <w:shd w:val="clear" w:color="000000" w:fill="FFFFFF"/>
            <w:noWrap/>
            <w:vAlign w:val="center"/>
            <w:hideMark/>
          </w:tcPr>
          <w:p w14:paraId="5BC1FE53" w14:textId="21FAA0AD"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r>
      <w:tr w:rsidR="00006A1C" w:rsidRPr="004863F3" w14:paraId="6F9861B9"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7A902F1F"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2" w:type="pct"/>
            <w:tcBorders>
              <w:top w:val="nil"/>
              <w:left w:val="nil"/>
              <w:bottom w:val="nil"/>
              <w:right w:val="nil"/>
            </w:tcBorders>
            <w:shd w:val="clear" w:color="000000" w:fill="FFFFFF"/>
            <w:noWrap/>
            <w:vAlign w:val="center"/>
            <w:hideMark/>
          </w:tcPr>
          <w:p w14:paraId="086CBE63" w14:textId="49A9633F"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c>
          <w:tcPr>
            <w:tcW w:w="632" w:type="pct"/>
            <w:tcBorders>
              <w:top w:val="nil"/>
              <w:left w:val="nil"/>
              <w:bottom w:val="nil"/>
              <w:right w:val="nil"/>
            </w:tcBorders>
            <w:shd w:val="clear" w:color="000000" w:fill="E6F2FF"/>
            <w:noWrap/>
            <w:vAlign w:val="center"/>
            <w:hideMark/>
          </w:tcPr>
          <w:p w14:paraId="4ED094D6" w14:textId="77777777"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 </w:t>
            </w:r>
          </w:p>
        </w:tc>
        <w:tc>
          <w:tcPr>
            <w:tcW w:w="632" w:type="pct"/>
            <w:tcBorders>
              <w:top w:val="nil"/>
              <w:left w:val="nil"/>
              <w:bottom w:val="nil"/>
              <w:right w:val="nil"/>
            </w:tcBorders>
            <w:shd w:val="clear" w:color="000000" w:fill="FFFFFF"/>
            <w:noWrap/>
            <w:vAlign w:val="bottom"/>
            <w:hideMark/>
          </w:tcPr>
          <w:p w14:paraId="32EAAA6A" w14:textId="77777777"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Budget</w:t>
            </w:r>
          </w:p>
        </w:tc>
      </w:tr>
      <w:tr w:rsidR="00006A1C" w:rsidRPr="004863F3" w14:paraId="1B3E32E2"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43E9DF68"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2" w:type="pct"/>
            <w:tcBorders>
              <w:top w:val="nil"/>
              <w:left w:val="nil"/>
              <w:bottom w:val="nil"/>
              <w:right w:val="nil"/>
            </w:tcBorders>
            <w:shd w:val="clear" w:color="000000" w:fill="FFFFFF"/>
            <w:noWrap/>
            <w:vAlign w:val="center"/>
            <w:hideMark/>
          </w:tcPr>
          <w:p w14:paraId="7E2C7384" w14:textId="77777777"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632" w:type="pct"/>
            <w:tcBorders>
              <w:top w:val="nil"/>
              <w:left w:val="nil"/>
              <w:bottom w:val="nil"/>
              <w:right w:val="nil"/>
            </w:tcBorders>
            <w:shd w:val="clear" w:color="000000" w:fill="E6F2FF"/>
            <w:noWrap/>
            <w:vAlign w:val="center"/>
            <w:hideMark/>
          </w:tcPr>
          <w:p w14:paraId="0A588DE3" w14:textId="77777777"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 </w:t>
            </w:r>
          </w:p>
        </w:tc>
        <w:tc>
          <w:tcPr>
            <w:tcW w:w="632" w:type="pct"/>
            <w:tcBorders>
              <w:top w:val="nil"/>
              <w:left w:val="nil"/>
              <w:bottom w:val="nil"/>
              <w:right w:val="nil"/>
            </w:tcBorders>
            <w:shd w:val="clear" w:color="000000" w:fill="FFFFFF"/>
            <w:noWrap/>
            <w:vAlign w:val="bottom"/>
            <w:hideMark/>
          </w:tcPr>
          <w:p w14:paraId="0247E58E" w14:textId="77777777"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 </w:t>
            </w:r>
          </w:p>
        </w:tc>
      </w:tr>
      <w:tr w:rsidR="00006A1C" w:rsidRPr="004863F3" w14:paraId="72048D8E"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3C32C7B8"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2" w:type="pct"/>
            <w:tcBorders>
              <w:top w:val="nil"/>
              <w:left w:val="nil"/>
              <w:bottom w:val="single" w:sz="4" w:space="0" w:color="000000"/>
              <w:right w:val="nil"/>
            </w:tcBorders>
            <w:shd w:val="clear" w:color="000000" w:fill="FFFFFF"/>
            <w:noWrap/>
            <w:vAlign w:val="center"/>
            <w:hideMark/>
          </w:tcPr>
          <w:p w14:paraId="0324B07E"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632" w:type="pct"/>
            <w:tcBorders>
              <w:top w:val="nil"/>
              <w:left w:val="nil"/>
              <w:bottom w:val="single" w:sz="4" w:space="0" w:color="000000"/>
              <w:right w:val="nil"/>
            </w:tcBorders>
            <w:shd w:val="clear" w:color="000000" w:fill="E6F2FF"/>
            <w:noWrap/>
            <w:vAlign w:val="center"/>
            <w:hideMark/>
          </w:tcPr>
          <w:p w14:paraId="319392AA"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632" w:type="pct"/>
            <w:tcBorders>
              <w:top w:val="nil"/>
              <w:left w:val="nil"/>
              <w:bottom w:val="single" w:sz="4" w:space="0" w:color="000000"/>
              <w:right w:val="nil"/>
            </w:tcBorders>
            <w:shd w:val="clear" w:color="000000" w:fill="FFFFFF"/>
            <w:vAlign w:val="center"/>
            <w:hideMark/>
          </w:tcPr>
          <w:p w14:paraId="056E42C7" w14:textId="77777777" w:rsidR="00006A1C" w:rsidRPr="004863F3" w:rsidRDefault="00006A1C" w:rsidP="00006A1C">
            <w:pPr>
              <w:spacing w:before="0" w:after="0" w:line="240" w:lineRule="auto"/>
              <w:jc w:val="right"/>
              <w:rPr>
                <w:rFonts w:ascii="Arial" w:hAnsi="Arial" w:cs="Arial"/>
                <w:sz w:val="16"/>
                <w:szCs w:val="16"/>
              </w:rPr>
            </w:pPr>
            <w:r w:rsidRPr="004863F3">
              <w:rPr>
                <w:rFonts w:ascii="Arial" w:hAnsi="Arial" w:cs="Arial"/>
                <w:sz w:val="16"/>
                <w:szCs w:val="16"/>
              </w:rPr>
              <w:t>$m</w:t>
            </w:r>
          </w:p>
        </w:tc>
      </w:tr>
      <w:tr w:rsidR="00006A1C" w:rsidRPr="004863F3" w14:paraId="2659A1A7"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33B76272"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General public services</w:t>
            </w:r>
          </w:p>
        </w:tc>
        <w:tc>
          <w:tcPr>
            <w:tcW w:w="632" w:type="pct"/>
            <w:tcBorders>
              <w:top w:val="nil"/>
              <w:left w:val="nil"/>
              <w:bottom w:val="nil"/>
              <w:right w:val="nil"/>
            </w:tcBorders>
            <w:shd w:val="clear" w:color="000000" w:fill="FFFFFF"/>
            <w:noWrap/>
            <w:vAlign w:val="center"/>
            <w:hideMark/>
          </w:tcPr>
          <w:p w14:paraId="1D486B95"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283</w:t>
            </w:r>
          </w:p>
        </w:tc>
        <w:tc>
          <w:tcPr>
            <w:tcW w:w="632" w:type="pct"/>
            <w:tcBorders>
              <w:top w:val="nil"/>
              <w:left w:val="nil"/>
              <w:bottom w:val="nil"/>
              <w:right w:val="nil"/>
            </w:tcBorders>
            <w:shd w:val="clear" w:color="000000" w:fill="E6F2FF"/>
            <w:noWrap/>
            <w:vAlign w:val="center"/>
            <w:hideMark/>
          </w:tcPr>
          <w:p w14:paraId="7E54077F"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96</w:t>
            </w:r>
          </w:p>
        </w:tc>
        <w:tc>
          <w:tcPr>
            <w:tcW w:w="632" w:type="pct"/>
            <w:tcBorders>
              <w:top w:val="nil"/>
              <w:left w:val="nil"/>
              <w:bottom w:val="nil"/>
              <w:right w:val="nil"/>
            </w:tcBorders>
            <w:shd w:val="clear" w:color="000000" w:fill="FFFFFF"/>
            <w:noWrap/>
            <w:vAlign w:val="center"/>
            <w:hideMark/>
          </w:tcPr>
          <w:p w14:paraId="78B08134" w14:textId="034D62FF"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187</w:t>
            </w:r>
          </w:p>
        </w:tc>
      </w:tr>
      <w:tr w:rsidR="00006A1C" w:rsidRPr="004863F3" w14:paraId="42677082"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579B3D96"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Defence</w:t>
            </w:r>
          </w:p>
        </w:tc>
        <w:tc>
          <w:tcPr>
            <w:tcW w:w="632" w:type="pct"/>
            <w:tcBorders>
              <w:top w:val="nil"/>
              <w:left w:val="nil"/>
              <w:bottom w:val="nil"/>
              <w:right w:val="nil"/>
            </w:tcBorders>
            <w:shd w:val="clear" w:color="000000" w:fill="FFFFFF"/>
            <w:noWrap/>
            <w:vAlign w:val="center"/>
            <w:hideMark/>
          </w:tcPr>
          <w:p w14:paraId="79968CFD"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5,915</w:t>
            </w:r>
          </w:p>
        </w:tc>
        <w:tc>
          <w:tcPr>
            <w:tcW w:w="632" w:type="pct"/>
            <w:tcBorders>
              <w:top w:val="nil"/>
              <w:left w:val="nil"/>
              <w:bottom w:val="nil"/>
              <w:right w:val="nil"/>
            </w:tcBorders>
            <w:shd w:val="clear" w:color="000000" w:fill="E6F2FF"/>
            <w:noWrap/>
            <w:vAlign w:val="center"/>
            <w:hideMark/>
          </w:tcPr>
          <w:p w14:paraId="1FABBC86"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8,272</w:t>
            </w:r>
          </w:p>
        </w:tc>
        <w:tc>
          <w:tcPr>
            <w:tcW w:w="632" w:type="pct"/>
            <w:tcBorders>
              <w:top w:val="nil"/>
              <w:left w:val="nil"/>
              <w:bottom w:val="nil"/>
              <w:right w:val="nil"/>
            </w:tcBorders>
            <w:shd w:val="clear" w:color="000000" w:fill="FFFFFF"/>
            <w:noWrap/>
            <w:vAlign w:val="center"/>
            <w:hideMark/>
          </w:tcPr>
          <w:p w14:paraId="1A6C28D7"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2,357</w:t>
            </w:r>
          </w:p>
        </w:tc>
      </w:tr>
      <w:tr w:rsidR="00006A1C" w:rsidRPr="004863F3" w14:paraId="1BE8AAC9"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1554121B"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Public order and safety</w:t>
            </w:r>
          </w:p>
        </w:tc>
        <w:tc>
          <w:tcPr>
            <w:tcW w:w="632" w:type="pct"/>
            <w:tcBorders>
              <w:top w:val="nil"/>
              <w:left w:val="nil"/>
              <w:bottom w:val="nil"/>
              <w:right w:val="nil"/>
            </w:tcBorders>
            <w:shd w:val="clear" w:color="000000" w:fill="FFFFFF"/>
            <w:noWrap/>
            <w:vAlign w:val="center"/>
            <w:hideMark/>
          </w:tcPr>
          <w:p w14:paraId="55475858"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202</w:t>
            </w:r>
          </w:p>
        </w:tc>
        <w:tc>
          <w:tcPr>
            <w:tcW w:w="632" w:type="pct"/>
            <w:tcBorders>
              <w:top w:val="nil"/>
              <w:left w:val="nil"/>
              <w:bottom w:val="nil"/>
              <w:right w:val="nil"/>
            </w:tcBorders>
            <w:shd w:val="clear" w:color="000000" w:fill="E6F2FF"/>
            <w:noWrap/>
            <w:vAlign w:val="center"/>
            <w:hideMark/>
          </w:tcPr>
          <w:p w14:paraId="2D150D33" w14:textId="605A2CDF"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36</w:t>
            </w:r>
          </w:p>
        </w:tc>
        <w:tc>
          <w:tcPr>
            <w:tcW w:w="632" w:type="pct"/>
            <w:tcBorders>
              <w:top w:val="nil"/>
              <w:left w:val="nil"/>
              <w:bottom w:val="nil"/>
              <w:right w:val="nil"/>
            </w:tcBorders>
            <w:shd w:val="clear" w:color="000000" w:fill="FFFFFF"/>
            <w:noWrap/>
            <w:vAlign w:val="center"/>
            <w:hideMark/>
          </w:tcPr>
          <w:p w14:paraId="1BA82037" w14:textId="67932EE6"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238</w:t>
            </w:r>
          </w:p>
        </w:tc>
      </w:tr>
      <w:tr w:rsidR="00006A1C" w:rsidRPr="004863F3" w14:paraId="2806E0B3"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47EC9B77"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Education</w:t>
            </w:r>
          </w:p>
        </w:tc>
        <w:tc>
          <w:tcPr>
            <w:tcW w:w="632" w:type="pct"/>
            <w:tcBorders>
              <w:top w:val="nil"/>
              <w:left w:val="nil"/>
              <w:bottom w:val="nil"/>
              <w:right w:val="nil"/>
            </w:tcBorders>
            <w:shd w:val="clear" w:color="000000" w:fill="FFFFFF"/>
            <w:noWrap/>
            <w:vAlign w:val="center"/>
            <w:hideMark/>
          </w:tcPr>
          <w:p w14:paraId="5B14F1C8"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46</w:t>
            </w:r>
          </w:p>
        </w:tc>
        <w:tc>
          <w:tcPr>
            <w:tcW w:w="632" w:type="pct"/>
            <w:tcBorders>
              <w:top w:val="nil"/>
              <w:left w:val="nil"/>
              <w:bottom w:val="nil"/>
              <w:right w:val="nil"/>
            </w:tcBorders>
            <w:shd w:val="clear" w:color="000000" w:fill="E6F2FF"/>
            <w:noWrap/>
            <w:vAlign w:val="center"/>
            <w:hideMark/>
          </w:tcPr>
          <w:p w14:paraId="4D8C5F6B"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38</w:t>
            </w:r>
          </w:p>
        </w:tc>
        <w:tc>
          <w:tcPr>
            <w:tcW w:w="632" w:type="pct"/>
            <w:tcBorders>
              <w:top w:val="nil"/>
              <w:left w:val="nil"/>
              <w:bottom w:val="nil"/>
              <w:right w:val="nil"/>
            </w:tcBorders>
            <w:shd w:val="clear" w:color="000000" w:fill="FFFFFF"/>
            <w:noWrap/>
            <w:vAlign w:val="center"/>
            <w:hideMark/>
          </w:tcPr>
          <w:p w14:paraId="1D357CF1" w14:textId="5116657F"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8</w:t>
            </w:r>
          </w:p>
        </w:tc>
      </w:tr>
      <w:tr w:rsidR="00006A1C" w:rsidRPr="004863F3" w14:paraId="535F66C5"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2AE700E1"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Health</w:t>
            </w:r>
          </w:p>
        </w:tc>
        <w:tc>
          <w:tcPr>
            <w:tcW w:w="632" w:type="pct"/>
            <w:tcBorders>
              <w:top w:val="nil"/>
              <w:left w:val="nil"/>
              <w:bottom w:val="nil"/>
              <w:right w:val="nil"/>
            </w:tcBorders>
            <w:shd w:val="clear" w:color="000000" w:fill="FFFFFF"/>
            <w:noWrap/>
            <w:vAlign w:val="center"/>
            <w:hideMark/>
          </w:tcPr>
          <w:p w14:paraId="7B198702" w14:textId="4238F120"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268</w:t>
            </w:r>
          </w:p>
        </w:tc>
        <w:tc>
          <w:tcPr>
            <w:tcW w:w="632" w:type="pct"/>
            <w:tcBorders>
              <w:top w:val="nil"/>
              <w:left w:val="nil"/>
              <w:bottom w:val="nil"/>
              <w:right w:val="nil"/>
            </w:tcBorders>
            <w:shd w:val="clear" w:color="000000" w:fill="E6F2FF"/>
            <w:noWrap/>
            <w:vAlign w:val="center"/>
            <w:hideMark/>
          </w:tcPr>
          <w:p w14:paraId="1D5D5EAD"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451</w:t>
            </w:r>
          </w:p>
        </w:tc>
        <w:tc>
          <w:tcPr>
            <w:tcW w:w="632" w:type="pct"/>
            <w:tcBorders>
              <w:top w:val="nil"/>
              <w:left w:val="nil"/>
              <w:bottom w:val="nil"/>
              <w:right w:val="nil"/>
            </w:tcBorders>
            <w:shd w:val="clear" w:color="000000" w:fill="FFFFFF"/>
            <w:noWrap/>
            <w:vAlign w:val="center"/>
            <w:hideMark/>
          </w:tcPr>
          <w:p w14:paraId="2205CB92"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719</w:t>
            </w:r>
          </w:p>
        </w:tc>
      </w:tr>
      <w:tr w:rsidR="00006A1C" w:rsidRPr="004863F3" w14:paraId="0452612B"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0DF67F64"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Social security and welfare</w:t>
            </w:r>
          </w:p>
        </w:tc>
        <w:tc>
          <w:tcPr>
            <w:tcW w:w="632" w:type="pct"/>
            <w:tcBorders>
              <w:top w:val="nil"/>
              <w:left w:val="nil"/>
              <w:bottom w:val="nil"/>
              <w:right w:val="nil"/>
            </w:tcBorders>
            <w:shd w:val="clear" w:color="000000" w:fill="FFFFFF"/>
            <w:noWrap/>
            <w:vAlign w:val="center"/>
            <w:hideMark/>
          </w:tcPr>
          <w:p w14:paraId="4481E16A"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w:t>
            </w:r>
          </w:p>
        </w:tc>
        <w:tc>
          <w:tcPr>
            <w:tcW w:w="632" w:type="pct"/>
            <w:tcBorders>
              <w:top w:val="nil"/>
              <w:left w:val="nil"/>
              <w:bottom w:val="nil"/>
              <w:right w:val="nil"/>
            </w:tcBorders>
            <w:shd w:val="clear" w:color="000000" w:fill="E6F2FF"/>
            <w:noWrap/>
            <w:vAlign w:val="center"/>
            <w:hideMark/>
          </w:tcPr>
          <w:p w14:paraId="45B1814A"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516</w:t>
            </w:r>
          </w:p>
        </w:tc>
        <w:tc>
          <w:tcPr>
            <w:tcW w:w="632" w:type="pct"/>
            <w:tcBorders>
              <w:top w:val="nil"/>
              <w:left w:val="nil"/>
              <w:bottom w:val="nil"/>
              <w:right w:val="nil"/>
            </w:tcBorders>
            <w:shd w:val="clear" w:color="000000" w:fill="FFFFFF"/>
            <w:noWrap/>
            <w:vAlign w:val="center"/>
            <w:hideMark/>
          </w:tcPr>
          <w:p w14:paraId="45B9CF4C"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515</w:t>
            </w:r>
          </w:p>
        </w:tc>
      </w:tr>
      <w:tr w:rsidR="00006A1C" w:rsidRPr="004863F3" w14:paraId="57EF328E"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676657D4"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Housing and community amenities</w:t>
            </w:r>
          </w:p>
        </w:tc>
        <w:tc>
          <w:tcPr>
            <w:tcW w:w="632" w:type="pct"/>
            <w:tcBorders>
              <w:top w:val="nil"/>
              <w:left w:val="nil"/>
              <w:bottom w:val="nil"/>
              <w:right w:val="nil"/>
            </w:tcBorders>
            <w:shd w:val="clear" w:color="000000" w:fill="FFFFFF"/>
            <w:noWrap/>
            <w:vAlign w:val="center"/>
            <w:hideMark/>
          </w:tcPr>
          <w:p w14:paraId="5C445C78"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206</w:t>
            </w:r>
          </w:p>
        </w:tc>
        <w:tc>
          <w:tcPr>
            <w:tcW w:w="632" w:type="pct"/>
            <w:tcBorders>
              <w:top w:val="nil"/>
              <w:left w:val="nil"/>
              <w:bottom w:val="nil"/>
              <w:right w:val="nil"/>
            </w:tcBorders>
            <w:shd w:val="clear" w:color="000000" w:fill="E6F2FF"/>
            <w:noWrap/>
            <w:vAlign w:val="center"/>
            <w:hideMark/>
          </w:tcPr>
          <w:p w14:paraId="459C5C7B"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139</w:t>
            </w:r>
          </w:p>
        </w:tc>
        <w:tc>
          <w:tcPr>
            <w:tcW w:w="632" w:type="pct"/>
            <w:tcBorders>
              <w:top w:val="nil"/>
              <w:left w:val="nil"/>
              <w:bottom w:val="nil"/>
              <w:right w:val="nil"/>
            </w:tcBorders>
            <w:shd w:val="clear" w:color="000000" w:fill="FFFFFF"/>
            <w:noWrap/>
            <w:vAlign w:val="center"/>
            <w:hideMark/>
          </w:tcPr>
          <w:p w14:paraId="1A94C250" w14:textId="683A3ECB"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67</w:t>
            </w:r>
          </w:p>
        </w:tc>
      </w:tr>
      <w:tr w:rsidR="00006A1C" w:rsidRPr="004863F3" w14:paraId="1F9085A0"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0E7353F8"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Recreation and culture</w:t>
            </w:r>
          </w:p>
        </w:tc>
        <w:tc>
          <w:tcPr>
            <w:tcW w:w="632" w:type="pct"/>
            <w:tcBorders>
              <w:top w:val="nil"/>
              <w:left w:val="nil"/>
              <w:bottom w:val="nil"/>
              <w:right w:val="nil"/>
            </w:tcBorders>
            <w:shd w:val="clear" w:color="000000" w:fill="FFFFFF"/>
            <w:noWrap/>
            <w:vAlign w:val="center"/>
            <w:hideMark/>
          </w:tcPr>
          <w:p w14:paraId="79691786"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442</w:t>
            </w:r>
          </w:p>
        </w:tc>
        <w:tc>
          <w:tcPr>
            <w:tcW w:w="632" w:type="pct"/>
            <w:tcBorders>
              <w:top w:val="nil"/>
              <w:left w:val="nil"/>
              <w:bottom w:val="nil"/>
              <w:right w:val="nil"/>
            </w:tcBorders>
            <w:shd w:val="clear" w:color="000000" w:fill="E6F2FF"/>
            <w:noWrap/>
            <w:vAlign w:val="center"/>
            <w:hideMark/>
          </w:tcPr>
          <w:p w14:paraId="4FB865FE"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211</w:t>
            </w:r>
          </w:p>
        </w:tc>
        <w:tc>
          <w:tcPr>
            <w:tcW w:w="632" w:type="pct"/>
            <w:tcBorders>
              <w:top w:val="nil"/>
              <w:left w:val="nil"/>
              <w:bottom w:val="nil"/>
              <w:right w:val="nil"/>
            </w:tcBorders>
            <w:shd w:val="clear" w:color="000000" w:fill="FFFFFF"/>
            <w:noWrap/>
            <w:vAlign w:val="center"/>
            <w:hideMark/>
          </w:tcPr>
          <w:p w14:paraId="702D93EB" w14:textId="030F0C51"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232</w:t>
            </w:r>
          </w:p>
        </w:tc>
      </w:tr>
      <w:tr w:rsidR="00006A1C" w:rsidRPr="004863F3" w14:paraId="45D95DFD"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06630A4B"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Fuel and energy</w:t>
            </w:r>
          </w:p>
        </w:tc>
        <w:tc>
          <w:tcPr>
            <w:tcW w:w="632" w:type="pct"/>
            <w:tcBorders>
              <w:top w:val="nil"/>
              <w:left w:val="nil"/>
              <w:bottom w:val="nil"/>
              <w:right w:val="nil"/>
            </w:tcBorders>
            <w:shd w:val="clear" w:color="000000" w:fill="FFFFFF"/>
            <w:noWrap/>
            <w:vAlign w:val="center"/>
            <w:hideMark/>
          </w:tcPr>
          <w:p w14:paraId="208E9772"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22</w:t>
            </w:r>
          </w:p>
        </w:tc>
        <w:tc>
          <w:tcPr>
            <w:tcW w:w="632" w:type="pct"/>
            <w:tcBorders>
              <w:top w:val="nil"/>
              <w:left w:val="nil"/>
              <w:bottom w:val="nil"/>
              <w:right w:val="nil"/>
            </w:tcBorders>
            <w:shd w:val="clear" w:color="000000" w:fill="E6F2FF"/>
            <w:noWrap/>
            <w:vAlign w:val="center"/>
            <w:hideMark/>
          </w:tcPr>
          <w:p w14:paraId="1954ACBC" w14:textId="1863A814"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4</w:t>
            </w:r>
          </w:p>
        </w:tc>
        <w:tc>
          <w:tcPr>
            <w:tcW w:w="632" w:type="pct"/>
            <w:tcBorders>
              <w:top w:val="nil"/>
              <w:left w:val="nil"/>
              <w:bottom w:val="nil"/>
              <w:right w:val="nil"/>
            </w:tcBorders>
            <w:shd w:val="clear" w:color="000000" w:fill="FFFFFF"/>
            <w:noWrap/>
            <w:vAlign w:val="center"/>
            <w:hideMark/>
          </w:tcPr>
          <w:p w14:paraId="6073643D" w14:textId="5921F392"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26</w:t>
            </w:r>
          </w:p>
        </w:tc>
      </w:tr>
      <w:tr w:rsidR="00006A1C" w:rsidRPr="004863F3" w14:paraId="1BAEB00A"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3EF786FB"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Agriculture, forestry and fishing</w:t>
            </w:r>
          </w:p>
        </w:tc>
        <w:tc>
          <w:tcPr>
            <w:tcW w:w="632" w:type="pct"/>
            <w:tcBorders>
              <w:top w:val="nil"/>
              <w:left w:val="nil"/>
              <w:bottom w:val="nil"/>
              <w:right w:val="nil"/>
            </w:tcBorders>
            <w:shd w:val="clear" w:color="000000" w:fill="FFFFFF"/>
            <w:noWrap/>
            <w:vAlign w:val="center"/>
            <w:hideMark/>
          </w:tcPr>
          <w:p w14:paraId="39021D61"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615</w:t>
            </w:r>
          </w:p>
        </w:tc>
        <w:tc>
          <w:tcPr>
            <w:tcW w:w="632" w:type="pct"/>
            <w:tcBorders>
              <w:top w:val="nil"/>
              <w:left w:val="nil"/>
              <w:bottom w:val="nil"/>
              <w:right w:val="nil"/>
            </w:tcBorders>
            <w:shd w:val="clear" w:color="000000" w:fill="E6F2FF"/>
            <w:noWrap/>
            <w:vAlign w:val="center"/>
            <w:hideMark/>
          </w:tcPr>
          <w:p w14:paraId="212DF60C"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462</w:t>
            </w:r>
          </w:p>
        </w:tc>
        <w:tc>
          <w:tcPr>
            <w:tcW w:w="632" w:type="pct"/>
            <w:tcBorders>
              <w:top w:val="nil"/>
              <w:left w:val="nil"/>
              <w:bottom w:val="nil"/>
              <w:right w:val="nil"/>
            </w:tcBorders>
            <w:shd w:val="clear" w:color="000000" w:fill="FFFFFF"/>
            <w:noWrap/>
            <w:vAlign w:val="center"/>
            <w:hideMark/>
          </w:tcPr>
          <w:p w14:paraId="7B44DBBC" w14:textId="7679F1CA"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153</w:t>
            </w:r>
          </w:p>
        </w:tc>
      </w:tr>
      <w:tr w:rsidR="00006A1C" w:rsidRPr="004863F3" w14:paraId="08F53C90"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17A4231D"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Mining, manufacturing and construction</w:t>
            </w:r>
          </w:p>
        </w:tc>
        <w:tc>
          <w:tcPr>
            <w:tcW w:w="632" w:type="pct"/>
            <w:tcBorders>
              <w:top w:val="nil"/>
              <w:left w:val="nil"/>
              <w:bottom w:val="nil"/>
              <w:right w:val="nil"/>
            </w:tcBorders>
            <w:shd w:val="clear" w:color="000000" w:fill="FFFFFF"/>
            <w:noWrap/>
            <w:vAlign w:val="center"/>
            <w:hideMark/>
          </w:tcPr>
          <w:p w14:paraId="0EE3BAD9" w14:textId="3E8E7B3A"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36</w:t>
            </w:r>
          </w:p>
        </w:tc>
        <w:tc>
          <w:tcPr>
            <w:tcW w:w="632" w:type="pct"/>
            <w:tcBorders>
              <w:top w:val="nil"/>
              <w:left w:val="nil"/>
              <w:bottom w:val="nil"/>
              <w:right w:val="nil"/>
            </w:tcBorders>
            <w:shd w:val="clear" w:color="000000" w:fill="E6F2FF"/>
            <w:noWrap/>
            <w:vAlign w:val="center"/>
            <w:hideMark/>
          </w:tcPr>
          <w:p w14:paraId="5183C9DC" w14:textId="378E586E"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31</w:t>
            </w:r>
          </w:p>
        </w:tc>
        <w:tc>
          <w:tcPr>
            <w:tcW w:w="632" w:type="pct"/>
            <w:tcBorders>
              <w:top w:val="nil"/>
              <w:left w:val="nil"/>
              <w:bottom w:val="nil"/>
              <w:right w:val="nil"/>
            </w:tcBorders>
            <w:shd w:val="clear" w:color="000000" w:fill="FFFFFF"/>
            <w:noWrap/>
            <w:vAlign w:val="center"/>
            <w:hideMark/>
          </w:tcPr>
          <w:p w14:paraId="47E3CB26"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w:t>
            </w:r>
          </w:p>
        </w:tc>
      </w:tr>
      <w:tr w:rsidR="00006A1C" w:rsidRPr="004863F3" w14:paraId="4150196C"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432105ED"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Transport and communication</w:t>
            </w:r>
          </w:p>
        </w:tc>
        <w:tc>
          <w:tcPr>
            <w:tcW w:w="632" w:type="pct"/>
            <w:tcBorders>
              <w:top w:val="nil"/>
              <w:left w:val="nil"/>
              <w:bottom w:val="nil"/>
              <w:right w:val="nil"/>
            </w:tcBorders>
            <w:shd w:val="clear" w:color="000000" w:fill="FFFFFF"/>
            <w:noWrap/>
            <w:vAlign w:val="center"/>
            <w:hideMark/>
          </w:tcPr>
          <w:p w14:paraId="64ED35FA" w14:textId="2C9709DF"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2,063</w:t>
            </w:r>
          </w:p>
        </w:tc>
        <w:tc>
          <w:tcPr>
            <w:tcW w:w="632" w:type="pct"/>
            <w:tcBorders>
              <w:top w:val="nil"/>
              <w:left w:val="nil"/>
              <w:bottom w:val="nil"/>
              <w:right w:val="nil"/>
            </w:tcBorders>
            <w:shd w:val="clear" w:color="000000" w:fill="E6F2FF"/>
            <w:noWrap/>
            <w:vAlign w:val="center"/>
            <w:hideMark/>
          </w:tcPr>
          <w:p w14:paraId="7B3CB2B3" w14:textId="11E25DCE"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2,153</w:t>
            </w:r>
          </w:p>
        </w:tc>
        <w:tc>
          <w:tcPr>
            <w:tcW w:w="632" w:type="pct"/>
            <w:tcBorders>
              <w:top w:val="nil"/>
              <w:left w:val="nil"/>
              <w:bottom w:val="nil"/>
              <w:right w:val="nil"/>
            </w:tcBorders>
            <w:shd w:val="clear" w:color="000000" w:fill="FFFFFF"/>
            <w:noWrap/>
            <w:vAlign w:val="center"/>
            <w:hideMark/>
          </w:tcPr>
          <w:p w14:paraId="62A07908" w14:textId="7F16910F"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90</w:t>
            </w:r>
          </w:p>
        </w:tc>
      </w:tr>
      <w:tr w:rsidR="00006A1C" w:rsidRPr="004863F3" w14:paraId="22C26D44"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38EC2531"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Other economic affairs</w:t>
            </w:r>
          </w:p>
        </w:tc>
        <w:tc>
          <w:tcPr>
            <w:tcW w:w="632" w:type="pct"/>
            <w:tcBorders>
              <w:top w:val="nil"/>
              <w:left w:val="nil"/>
              <w:bottom w:val="nil"/>
              <w:right w:val="nil"/>
            </w:tcBorders>
            <w:shd w:val="clear" w:color="000000" w:fill="FFFFFF"/>
            <w:noWrap/>
            <w:vAlign w:val="center"/>
            <w:hideMark/>
          </w:tcPr>
          <w:p w14:paraId="565BA44A"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48</w:t>
            </w:r>
          </w:p>
        </w:tc>
        <w:tc>
          <w:tcPr>
            <w:tcW w:w="632" w:type="pct"/>
            <w:tcBorders>
              <w:top w:val="nil"/>
              <w:left w:val="nil"/>
              <w:bottom w:val="nil"/>
              <w:right w:val="nil"/>
            </w:tcBorders>
            <w:shd w:val="clear" w:color="000000" w:fill="E6F2FF"/>
            <w:noWrap/>
            <w:vAlign w:val="center"/>
            <w:hideMark/>
          </w:tcPr>
          <w:p w14:paraId="14BA7C68" w14:textId="50B5381C"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233</w:t>
            </w:r>
          </w:p>
        </w:tc>
        <w:tc>
          <w:tcPr>
            <w:tcW w:w="632" w:type="pct"/>
            <w:tcBorders>
              <w:top w:val="nil"/>
              <w:left w:val="nil"/>
              <w:bottom w:val="nil"/>
              <w:right w:val="nil"/>
            </w:tcBorders>
            <w:shd w:val="clear" w:color="000000" w:fill="FFFFFF"/>
            <w:noWrap/>
            <w:vAlign w:val="center"/>
            <w:hideMark/>
          </w:tcPr>
          <w:p w14:paraId="51436D3C" w14:textId="679C44C9"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281</w:t>
            </w:r>
          </w:p>
        </w:tc>
      </w:tr>
      <w:tr w:rsidR="00006A1C" w:rsidRPr="004863F3" w14:paraId="0DE62D1F" w14:textId="77777777" w:rsidTr="00006A1C">
        <w:trPr>
          <w:trHeight w:hRule="exact" w:val="225"/>
        </w:trPr>
        <w:tc>
          <w:tcPr>
            <w:tcW w:w="3103" w:type="pct"/>
            <w:tcBorders>
              <w:top w:val="nil"/>
              <w:left w:val="nil"/>
              <w:bottom w:val="nil"/>
              <w:right w:val="nil"/>
            </w:tcBorders>
            <w:shd w:val="clear" w:color="000000" w:fill="FFFFFF"/>
            <w:noWrap/>
            <w:vAlign w:val="center"/>
            <w:hideMark/>
          </w:tcPr>
          <w:p w14:paraId="17E694B6" w14:textId="77777777" w:rsidR="00006A1C" w:rsidRPr="004863F3" w:rsidRDefault="00006A1C" w:rsidP="00006A1C">
            <w:pPr>
              <w:spacing w:before="0" w:after="0" w:line="240" w:lineRule="auto"/>
              <w:rPr>
                <w:rFonts w:ascii="Arial" w:hAnsi="Arial" w:cs="Arial"/>
                <w:color w:val="000000"/>
                <w:sz w:val="16"/>
                <w:szCs w:val="16"/>
              </w:rPr>
            </w:pPr>
            <w:r w:rsidRPr="004863F3">
              <w:rPr>
                <w:rFonts w:ascii="Arial" w:hAnsi="Arial" w:cs="Arial"/>
                <w:color w:val="000000"/>
                <w:sz w:val="16"/>
                <w:szCs w:val="16"/>
              </w:rPr>
              <w:t>Other purposes</w:t>
            </w:r>
          </w:p>
        </w:tc>
        <w:tc>
          <w:tcPr>
            <w:tcW w:w="632" w:type="pct"/>
            <w:tcBorders>
              <w:top w:val="nil"/>
              <w:left w:val="nil"/>
              <w:bottom w:val="single" w:sz="4" w:space="0" w:color="000000"/>
              <w:right w:val="nil"/>
            </w:tcBorders>
            <w:shd w:val="clear" w:color="000000" w:fill="FFFFFF"/>
            <w:noWrap/>
            <w:vAlign w:val="center"/>
            <w:hideMark/>
          </w:tcPr>
          <w:p w14:paraId="03E3B6C7"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46</w:t>
            </w:r>
          </w:p>
        </w:tc>
        <w:tc>
          <w:tcPr>
            <w:tcW w:w="632" w:type="pct"/>
            <w:tcBorders>
              <w:top w:val="nil"/>
              <w:left w:val="nil"/>
              <w:bottom w:val="single" w:sz="4" w:space="0" w:color="000000"/>
              <w:right w:val="nil"/>
            </w:tcBorders>
            <w:shd w:val="clear" w:color="000000" w:fill="E6F2FF"/>
            <w:noWrap/>
            <w:vAlign w:val="center"/>
            <w:hideMark/>
          </w:tcPr>
          <w:p w14:paraId="51E7ADA9" w14:textId="77777777" w:rsidR="00006A1C" w:rsidRPr="004863F3" w:rsidRDefault="00006A1C"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16</w:t>
            </w:r>
          </w:p>
        </w:tc>
        <w:tc>
          <w:tcPr>
            <w:tcW w:w="632" w:type="pct"/>
            <w:tcBorders>
              <w:top w:val="nil"/>
              <w:left w:val="nil"/>
              <w:bottom w:val="single" w:sz="4" w:space="0" w:color="000000"/>
              <w:right w:val="nil"/>
            </w:tcBorders>
            <w:shd w:val="clear" w:color="000000" w:fill="FFFFFF"/>
            <w:noWrap/>
            <w:vAlign w:val="center"/>
            <w:hideMark/>
          </w:tcPr>
          <w:p w14:paraId="3FFDFD2B" w14:textId="541F64CD" w:rsidR="00006A1C" w:rsidRPr="004863F3" w:rsidRDefault="001E171F" w:rsidP="00006A1C">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006A1C" w:rsidRPr="004863F3">
              <w:rPr>
                <w:rFonts w:ascii="Arial" w:hAnsi="Arial" w:cs="Arial"/>
                <w:color w:val="000000"/>
                <w:sz w:val="16"/>
                <w:szCs w:val="16"/>
              </w:rPr>
              <w:t>30</w:t>
            </w:r>
          </w:p>
        </w:tc>
      </w:tr>
      <w:tr w:rsidR="00006A1C" w:rsidRPr="004863F3" w14:paraId="3115513C" w14:textId="77777777" w:rsidTr="00006A1C">
        <w:trPr>
          <w:trHeight w:hRule="exact" w:val="225"/>
        </w:trPr>
        <w:tc>
          <w:tcPr>
            <w:tcW w:w="3103" w:type="pct"/>
            <w:tcBorders>
              <w:top w:val="nil"/>
              <w:left w:val="nil"/>
              <w:bottom w:val="single" w:sz="4" w:space="0" w:color="293F5B"/>
              <w:right w:val="nil"/>
            </w:tcBorders>
            <w:shd w:val="clear" w:color="000000" w:fill="FFFFFF"/>
            <w:noWrap/>
            <w:vAlign w:val="center"/>
            <w:hideMark/>
          </w:tcPr>
          <w:p w14:paraId="525DB136" w14:textId="77777777" w:rsidR="00006A1C" w:rsidRPr="004863F3" w:rsidRDefault="00006A1C" w:rsidP="00006A1C">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Total net capital investment</w:t>
            </w:r>
          </w:p>
        </w:tc>
        <w:tc>
          <w:tcPr>
            <w:tcW w:w="632" w:type="pct"/>
            <w:tcBorders>
              <w:top w:val="nil"/>
              <w:left w:val="nil"/>
              <w:bottom w:val="single" w:sz="4" w:space="0" w:color="293F5B"/>
              <w:right w:val="nil"/>
            </w:tcBorders>
            <w:shd w:val="clear" w:color="000000" w:fill="FFFFFF"/>
            <w:noWrap/>
            <w:vAlign w:val="center"/>
            <w:hideMark/>
          </w:tcPr>
          <w:p w14:paraId="6F64523C" w14:textId="77777777" w:rsidR="00006A1C" w:rsidRPr="004863F3" w:rsidRDefault="00006A1C" w:rsidP="00006A1C">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5,459</w:t>
            </w:r>
          </w:p>
        </w:tc>
        <w:tc>
          <w:tcPr>
            <w:tcW w:w="632" w:type="pct"/>
            <w:tcBorders>
              <w:top w:val="nil"/>
              <w:left w:val="nil"/>
              <w:bottom w:val="single" w:sz="4" w:space="0" w:color="293F5B"/>
              <w:right w:val="nil"/>
            </w:tcBorders>
            <w:shd w:val="clear" w:color="000000" w:fill="E6F2FF"/>
            <w:noWrap/>
            <w:vAlign w:val="center"/>
            <w:hideMark/>
          </w:tcPr>
          <w:p w14:paraId="76B3BE08" w14:textId="77777777" w:rsidR="00006A1C" w:rsidRPr="004863F3" w:rsidRDefault="00006A1C" w:rsidP="00006A1C">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7,745</w:t>
            </w:r>
          </w:p>
        </w:tc>
        <w:tc>
          <w:tcPr>
            <w:tcW w:w="632" w:type="pct"/>
            <w:tcBorders>
              <w:top w:val="nil"/>
              <w:left w:val="nil"/>
              <w:bottom w:val="single" w:sz="4" w:space="0" w:color="293F5B"/>
              <w:right w:val="nil"/>
            </w:tcBorders>
            <w:shd w:val="clear" w:color="000000" w:fill="FFFFFF"/>
            <w:noWrap/>
            <w:vAlign w:val="center"/>
            <w:hideMark/>
          </w:tcPr>
          <w:p w14:paraId="688E2B05" w14:textId="77777777" w:rsidR="00006A1C" w:rsidRPr="004863F3" w:rsidRDefault="00006A1C" w:rsidP="00006A1C">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2,286</w:t>
            </w:r>
          </w:p>
        </w:tc>
      </w:tr>
    </w:tbl>
    <w:p w14:paraId="02181AA9" w14:textId="72457D70" w:rsidR="00E93031" w:rsidRPr="004863F3" w:rsidRDefault="00E93031" w:rsidP="00E93031">
      <w:pPr>
        <w:pStyle w:val="SingleParagraph"/>
      </w:pPr>
    </w:p>
    <w:p w14:paraId="0FAEBCC8" w14:textId="54B65771" w:rsidR="00682CB8" w:rsidRPr="004863F3" w:rsidRDefault="00E93031" w:rsidP="00682CB8">
      <w:pPr>
        <w:pStyle w:val="TableHeading"/>
        <w:rPr>
          <w:rFonts w:asciiTheme="minorHAnsi" w:eastAsiaTheme="minorHAnsi" w:hAnsiTheme="minorHAnsi" w:cstheme="minorBidi"/>
          <w:sz w:val="22"/>
          <w:szCs w:val="22"/>
          <w:lang w:eastAsia="en-US"/>
        </w:rPr>
      </w:pPr>
      <w:r w:rsidRPr="004863F3">
        <w:t>Table 1.7: Australian Government general government sector purchases of non</w:t>
      </w:r>
      <w:r w:rsidR="000C4C55" w:rsidRPr="004863F3">
        <w:rPr>
          <w:rFonts w:ascii="Times New Roman" w:hAnsi="Times New Roman"/>
          <w:b w:val="0"/>
          <w:bCs/>
        </w:rPr>
        <w:noBreakHyphen/>
      </w:r>
      <w:r w:rsidRPr="004863F3">
        <w:t>financial assets by function</w:t>
      </w:r>
      <w:r w:rsidRPr="004863F3">
        <w:rPr>
          <w:noProof/>
        </w:rPr>
        <w:t xml:space="preserve"> </w:t>
      </w:r>
    </w:p>
    <w:tbl>
      <w:tblPr>
        <w:tblW w:w="5000" w:type="pct"/>
        <w:tblCellMar>
          <w:left w:w="0" w:type="dxa"/>
          <w:right w:w="28" w:type="dxa"/>
        </w:tblCellMar>
        <w:tblLook w:val="04A0" w:firstRow="1" w:lastRow="0" w:firstColumn="1" w:lastColumn="0" w:noHBand="0" w:noVBand="1"/>
      </w:tblPr>
      <w:tblGrid>
        <w:gridCol w:w="4356"/>
        <w:gridCol w:w="1189"/>
        <w:gridCol w:w="1189"/>
        <w:gridCol w:w="976"/>
      </w:tblGrid>
      <w:tr w:rsidR="00682CB8" w:rsidRPr="004863F3" w14:paraId="47FFB06A" w14:textId="77777777" w:rsidTr="00682CB8">
        <w:trPr>
          <w:trHeight w:hRule="exact" w:val="225"/>
        </w:trPr>
        <w:tc>
          <w:tcPr>
            <w:tcW w:w="2825" w:type="pct"/>
            <w:tcBorders>
              <w:top w:val="single" w:sz="4" w:space="0" w:color="293F5B"/>
              <w:left w:val="nil"/>
              <w:bottom w:val="nil"/>
              <w:right w:val="nil"/>
            </w:tcBorders>
            <w:shd w:val="clear" w:color="000000" w:fill="FFFFFF"/>
            <w:noWrap/>
            <w:vAlign w:val="center"/>
            <w:hideMark/>
          </w:tcPr>
          <w:p w14:paraId="6F395FF4" w14:textId="3B498CE3"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771" w:type="pct"/>
            <w:tcBorders>
              <w:top w:val="single" w:sz="4" w:space="0" w:color="293F5B"/>
              <w:left w:val="nil"/>
              <w:bottom w:val="nil"/>
              <w:right w:val="nil"/>
            </w:tcBorders>
            <w:shd w:val="clear" w:color="000000" w:fill="FFFFFF"/>
            <w:noWrap/>
            <w:vAlign w:val="center"/>
            <w:hideMark/>
          </w:tcPr>
          <w:p w14:paraId="072316B2" w14:textId="315DCD02"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771" w:type="pct"/>
            <w:tcBorders>
              <w:top w:val="single" w:sz="4" w:space="0" w:color="293F5B"/>
              <w:left w:val="nil"/>
              <w:bottom w:val="nil"/>
              <w:right w:val="nil"/>
            </w:tcBorders>
            <w:shd w:val="clear" w:color="000000" w:fill="E6F2FF"/>
            <w:noWrap/>
            <w:vAlign w:val="center"/>
            <w:hideMark/>
          </w:tcPr>
          <w:p w14:paraId="682A524D" w14:textId="55FCECD5"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633" w:type="pct"/>
            <w:tcBorders>
              <w:top w:val="single" w:sz="4" w:space="0" w:color="293F5B"/>
              <w:left w:val="nil"/>
              <w:bottom w:val="nil"/>
              <w:right w:val="nil"/>
            </w:tcBorders>
            <w:shd w:val="clear" w:color="000000" w:fill="FFFFFF"/>
            <w:noWrap/>
            <w:vAlign w:val="bottom"/>
            <w:hideMark/>
          </w:tcPr>
          <w:p w14:paraId="3AA4312F" w14:textId="77777777"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Change on</w:t>
            </w:r>
          </w:p>
        </w:tc>
      </w:tr>
      <w:tr w:rsidR="00682CB8" w:rsidRPr="004863F3" w14:paraId="7ACA4881"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371FB244"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771" w:type="pct"/>
            <w:tcBorders>
              <w:top w:val="nil"/>
              <w:left w:val="nil"/>
              <w:bottom w:val="nil"/>
              <w:right w:val="nil"/>
            </w:tcBorders>
            <w:shd w:val="clear" w:color="000000" w:fill="FFFFFF"/>
            <w:noWrap/>
            <w:vAlign w:val="center"/>
            <w:hideMark/>
          </w:tcPr>
          <w:p w14:paraId="5606B9C9" w14:textId="77777777"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771" w:type="pct"/>
            <w:tcBorders>
              <w:top w:val="nil"/>
              <w:left w:val="nil"/>
              <w:bottom w:val="nil"/>
              <w:right w:val="nil"/>
            </w:tcBorders>
            <w:shd w:val="clear" w:color="000000" w:fill="E6F2FF"/>
            <w:noWrap/>
            <w:vAlign w:val="center"/>
            <w:hideMark/>
          </w:tcPr>
          <w:p w14:paraId="5B12411D" w14:textId="77777777"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Outcome</w:t>
            </w:r>
          </w:p>
        </w:tc>
        <w:tc>
          <w:tcPr>
            <w:tcW w:w="633" w:type="pct"/>
            <w:tcBorders>
              <w:top w:val="nil"/>
              <w:left w:val="nil"/>
              <w:bottom w:val="nil"/>
              <w:right w:val="nil"/>
            </w:tcBorders>
            <w:shd w:val="clear" w:color="000000" w:fill="FFFFFF"/>
            <w:noWrap/>
            <w:vAlign w:val="center"/>
            <w:hideMark/>
          </w:tcPr>
          <w:p w14:paraId="6658E15B" w14:textId="7430F2F1"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r>
      <w:tr w:rsidR="00682CB8" w:rsidRPr="004863F3" w14:paraId="769DBDE4"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3D4C8502"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771" w:type="pct"/>
            <w:tcBorders>
              <w:top w:val="nil"/>
              <w:left w:val="nil"/>
              <w:bottom w:val="nil"/>
              <w:right w:val="nil"/>
            </w:tcBorders>
            <w:shd w:val="clear" w:color="000000" w:fill="FFFFFF"/>
            <w:noWrap/>
            <w:vAlign w:val="center"/>
            <w:hideMark/>
          </w:tcPr>
          <w:p w14:paraId="3B977937" w14:textId="2DA7340E"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c>
          <w:tcPr>
            <w:tcW w:w="771" w:type="pct"/>
            <w:tcBorders>
              <w:top w:val="nil"/>
              <w:left w:val="nil"/>
              <w:bottom w:val="nil"/>
              <w:right w:val="nil"/>
            </w:tcBorders>
            <w:shd w:val="clear" w:color="000000" w:fill="E6F2FF"/>
            <w:noWrap/>
            <w:vAlign w:val="center"/>
            <w:hideMark/>
          </w:tcPr>
          <w:p w14:paraId="3D120481" w14:textId="77777777"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 </w:t>
            </w:r>
          </w:p>
        </w:tc>
        <w:tc>
          <w:tcPr>
            <w:tcW w:w="633" w:type="pct"/>
            <w:tcBorders>
              <w:top w:val="nil"/>
              <w:left w:val="nil"/>
              <w:bottom w:val="nil"/>
              <w:right w:val="nil"/>
            </w:tcBorders>
            <w:shd w:val="clear" w:color="000000" w:fill="FFFFFF"/>
            <w:noWrap/>
            <w:vAlign w:val="bottom"/>
            <w:hideMark/>
          </w:tcPr>
          <w:p w14:paraId="77439450" w14:textId="77777777"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Budget</w:t>
            </w:r>
          </w:p>
        </w:tc>
      </w:tr>
      <w:tr w:rsidR="00682CB8" w:rsidRPr="004863F3" w14:paraId="7E220D1B"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1C8AC559"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771" w:type="pct"/>
            <w:tcBorders>
              <w:top w:val="nil"/>
              <w:left w:val="nil"/>
              <w:bottom w:val="nil"/>
              <w:right w:val="nil"/>
            </w:tcBorders>
            <w:shd w:val="clear" w:color="000000" w:fill="FFFFFF"/>
            <w:noWrap/>
            <w:vAlign w:val="center"/>
            <w:hideMark/>
          </w:tcPr>
          <w:p w14:paraId="12C1A201" w14:textId="77777777"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771" w:type="pct"/>
            <w:tcBorders>
              <w:top w:val="nil"/>
              <w:left w:val="nil"/>
              <w:bottom w:val="nil"/>
              <w:right w:val="nil"/>
            </w:tcBorders>
            <w:shd w:val="clear" w:color="000000" w:fill="E6F2FF"/>
            <w:noWrap/>
            <w:vAlign w:val="center"/>
            <w:hideMark/>
          </w:tcPr>
          <w:p w14:paraId="2970BC75" w14:textId="77777777"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 </w:t>
            </w:r>
          </w:p>
        </w:tc>
        <w:tc>
          <w:tcPr>
            <w:tcW w:w="633" w:type="pct"/>
            <w:tcBorders>
              <w:top w:val="nil"/>
              <w:left w:val="nil"/>
              <w:bottom w:val="nil"/>
              <w:right w:val="nil"/>
            </w:tcBorders>
            <w:shd w:val="clear" w:color="000000" w:fill="FFFFFF"/>
            <w:noWrap/>
            <w:vAlign w:val="bottom"/>
            <w:hideMark/>
          </w:tcPr>
          <w:p w14:paraId="64FAA1E7" w14:textId="77777777"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 </w:t>
            </w:r>
          </w:p>
        </w:tc>
      </w:tr>
      <w:tr w:rsidR="00682CB8" w:rsidRPr="004863F3" w14:paraId="0BCBAF4C"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7B5DBE1D"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771" w:type="pct"/>
            <w:tcBorders>
              <w:top w:val="nil"/>
              <w:left w:val="nil"/>
              <w:bottom w:val="single" w:sz="4" w:space="0" w:color="000000"/>
              <w:right w:val="nil"/>
            </w:tcBorders>
            <w:shd w:val="clear" w:color="000000" w:fill="FFFFFF"/>
            <w:noWrap/>
            <w:vAlign w:val="center"/>
            <w:hideMark/>
          </w:tcPr>
          <w:p w14:paraId="565361BC"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771" w:type="pct"/>
            <w:tcBorders>
              <w:top w:val="nil"/>
              <w:left w:val="nil"/>
              <w:bottom w:val="single" w:sz="4" w:space="0" w:color="000000"/>
              <w:right w:val="nil"/>
            </w:tcBorders>
            <w:shd w:val="clear" w:color="000000" w:fill="E6F2FF"/>
            <w:noWrap/>
            <w:vAlign w:val="center"/>
            <w:hideMark/>
          </w:tcPr>
          <w:p w14:paraId="57D9453C"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633" w:type="pct"/>
            <w:tcBorders>
              <w:top w:val="nil"/>
              <w:left w:val="nil"/>
              <w:bottom w:val="single" w:sz="4" w:space="0" w:color="000000"/>
              <w:right w:val="nil"/>
            </w:tcBorders>
            <w:shd w:val="clear" w:color="000000" w:fill="FFFFFF"/>
            <w:vAlign w:val="center"/>
            <w:hideMark/>
          </w:tcPr>
          <w:p w14:paraId="4541E3C4" w14:textId="77777777" w:rsidR="00682CB8" w:rsidRPr="004863F3" w:rsidRDefault="00682CB8" w:rsidP="00682CB8">
            <w:pPr>
              <w:spacing w:before="0" w:after="0" w:line="240" w:lineRule="auto"/>
              <w:jc w:val="right"/>
              <w:rPr>
                <w:rFonts w:ascii="Arial" w:hAnsi="Arial" w:cs="Arial"/>
                <w:sz w:val="16"/>
                <w:szCs w:val="16"/>
              </w:rPr>
            </w:pPr>
            <w:r w:rsidRPr="004863F3">
              <w:rPr>
                <w:rFonts w:ascii="Arial" w:hAnsi="Arial" w:cs="Arial"/>
                <w:sz w:val="16"/>
                <w:szCs w:val="16"/>
              </w:rPr>
              <w:t>$m</w:t>
            </w:r>
          </w:p>
        </w:tc>
      </w:tr>
      <w:tr w:rsidR="00682CB8" w:rsidRPr="004863F3" w14:paraId="7CB1661F"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2010A8F7"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General public services</w:t>
            </w:r>
          </w:p>
        </w:tc>
        <w:tc>
          <w:tcPr>
            <w:tcW w:w="771" w:type="pct"/>
            <w:tcBorders>
              <w:top w:val="nil"/>
              <w:left w:val="nil"/>
              <w:bottom w:val="nil"/>
              <w:right w:val="nil"/>
            </w:tcBorders>
            <w:shd w:val="clear" w:color="000000" w:fill="FFFFFF"/>
            <w:noWrap/>
            <w:vAlign w:val="center"/>
            <w:hideMark/>
          </w:tcPr>
          <w:p w14:paraId="3A2EC19B"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2,156</w:t>
            </w:r>
          </w:p>
        </w:tc>
        <w:tc>
          <w:tcPr>
            <w:tcW w:w="771" w:type="pct"/>
            <w:tcBorders>
              <w:top w:val="nil"/>
              <w:left w:val="nil"/>
              <w:bottom w:val="nil"/>
              <w:right w:val="nil"/>
            </w:tcBorders>
            <w:shd w:val="clear" w:color="000000" w:fill="E6F2FF"/>
            <w:noWrap/>
            <w:vAlign w:val="center"/>
            <w:hideMark/>
          </w:tcPr>
          <w:p w14:paraId="2EC621CA"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1,782</w:t>
            </w:r>
          </w:p>
        </w:tc>
        <w:tc>
          <w:tcPr>
            <w:tcW w:w="633" w:type="pct"/>
            <w:tcBorders>
              <w:top w:val="nil"/>
              <w:left w:val="nil"/>
              <w:bottom w:val="nil"/>
              <w:right w:val="nil"/>
            </w:tcBorders>
            <w:shd w:val="clear" w:color="000000" w:fill="FFFFFF"/>
            <w:noWrap/>
            <w:vAlign w:val="center"/>
            <w:hideMark/>
          </w:tcPr>
          <w:p w14:paraId="020B0AFE" w14:textId="3D7DF089"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374</w:t>
            </w:r>
          </w:p>
        </w:tc>
      </w:tr>
      <w:tr w:rsidR="00682CB8" w:rsidRPr="004863F3" w14:paraId="5B53A489"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3CA7A7C7"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Defence</w:t>
            </w:r>
          </w:p>
        </w:tc>
        <w:tc>
          <w:tcPr>
            <w:tcW w:w="771" w:type="pct"/>
            <w:tcBorders>
              <w:top w:val="nil"/>
              <w:left w:val="nil"/>
              <w:bottom w:val="nil"/>
              <w:right w:val="nil"/>
            </w:tcBorders>
            <w:shd w:val="clear" w:color="000000" w:fill="FFFFFF"/>
            <w:noWrap/>
            <w:vAlign w:val="center"/>
            <w:hideMark/>
          </w:tcPr>
          <w:p w14:paraId="06DC5915"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14,130</w:t>
            </w:r>
          </w:p>
        </w:tc>
        <w:tc>
          <w:tcPr>
            <w:tcW w:w="771" w:type="pct"/>
            <w:tcBorders>
              <w:top w:val="nil"/>
              <w:left w:val="nil"/>
              <w:bottom w:val="nil"/>
              <w:right w:val="nil"/>
            </w:tcBorders>
            <w:shd w:val="clear" w:color="000000" w:fill="E6F2FF"/>
            <w:noWrap/>
            <w:vAlign w:val="center"/>
            <w:hideMark/>
          </w:tcPr>
          <w:p w14:paraId="4E5241A9"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14,731</w:t>
            </w:r>
          </w:p>
        </w:tc>
        <w:tc>
          <w:tcPr>
            <w:tcW w:w="633" w:type="pct"/>
            <w:tcBorders>
              <w:top w:val="nil"/>
              <w:left w:val="nil"/>
              <w:bottom w:val="nil"/>
              <w:right w:val="nil"/>
            </w:tcBorders>
            <w:shd w:val="clear" w:color="000000" w:fill="FFFFFF"/>
            <w:noWrap/>
            <w:vAlign w:val="center"/>
            <w:hideMark/>
          </w:tcPr>
          <w:p w14:paraId="44ADD1BA"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601</w:t>
            </w:r>
          </w:p>
        </w:tc>
      </w:tr>
      <w:tr w:rsidR="00682CB8" w:rsidRPr="004863F3" w14:paraId="0A63978E"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32DBFF0D"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Public order and safety</w:t>
            </w:r>
          </w:p>
        </w:tc>
        <w:tc>
          <w:tcPr>
            <w:tcW w:w="771" w:type="pct"/>
            <w:tcBorders>
              <w:top w:val="nil"/>
              <w:left w:val="nil"/>
              <w:bottom w:val="nil"/>
              <w:right w:val="nil"/>
            </w:tcBorders>
            <w:shd w:val="clear" w:color="000000" w:fill="FFFFFF"/>
            <w:noWrap/>
            <w:vAlign w:val="center"/>
            <w:hideMark/>
          </w:tcPr>
          <w:p w14:paraId="3CD4630D"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1,056</w:t>
            </w:r>
          </w:p>
        </w:tc>
        <w:tc>
          <w:tcPr>
            <w:tcW w:w="771" w:type="pct"/>
            <w:tcBorders>
              <w:top w:val="nil"/>
              <w:left w:val="nil"/>
              <w:bottom w:val="nil"/>
              <w:right w:val="nil"/>
            </w:tcBorders>
            <w:shd w:val="clear" w:color="000000" w:fill="E6F2FF"/>
            <w:noWrap/>
            <w:vAlign w:val="center"/>
            <w:hideMark/>
          </w:tcPr>
          <w:p w14:paraId="3AE8AE95"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889</w:t>
            </w:r>
          </w:p>
        </w:tc>
        <w:tc>
          <w:tcPr>
            <w:tcW w:w="633" w:type="pct"/>
            <w:tcBorders>
              <w:top w:val="nil"/>
              <w:left w:val="nil"/>
              <w:bottom w:val="nil"/>
              <w:right w:val="nil"/>
            </w:tcBorders>
            <w:shd w:val="clear" w:color="000000" w:fill="FFFFFF"/>
            <w:noWrap/>
            <w:vAlign w:val="center"/>
            <w:hideMark/>
          </w:tcPr>
          <w:p w14:paraId="0B7E6133" w14:textId="3E79824D"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166</w:t>
            </w:r>
          </w:p>
        </w:tc>
      </w:tr>
      <w:tr w:rsidR="00682CB8" w:rsidRPr="004863F3" w14:paraId="423C85C0"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29B9D4A4"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Education</w:t>
            </w:r>
          </w:p>
        </w:tc>
        <w:tc>
          <w:tcPr>
            <w:tcW w:w="771" w:type="pct"/>
            <w:tcBorders>
              <w:top w:val="nil"/>
              <w:left w:val="nil"/>
              <w:bottom w:val="nil"/>
              <w:right w:val="nil"/>
            </w:tcBorders>
            <w:shd w:val="clear" w:color="000000" w:fill="FFFFFF"/>
            <w:noWrap/>
            <w:vAlign w:val="center"/>
            <w:hideMark/>
          </w:tcPr>
          <w:p w14:paraId="591F57F1"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66</w:t>
            </w:r>
          </w:p>
        </w:tc>
        <w:tc>
          <w:tcPr>
            <w:tcW w:w="771" w:type="pct"/>
            <w:tcBorders>
              <w:top w:val="nil"/>
              <w:left w:val="nil"/>
              <w:bottom w:val="nil"/>
              <w:right w:val="nil"/>
            </w:tcBorders>
            <w:shd w:val="clear" w:color="000000" w:fill="E6F2FF"/>
            <w:noWrap/>
            <w:vAlign w:val="center"/>
            <w:hideMark/>
          </w:tcPr>
          <w:p w14:paraId="227D9384"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52</w:t>
            </w:r>
          </w:p>
        </w:tc>
        <w:tc>
          <w:tcPr>
            <w:tcW w:w="633" w:type="pct"/>
            <w:tcBorders>
              <w:top w:val="nil"/>
              <w:left w:val="nil"/>
              <w:bottom w:val="nil"/>
              <w:right w:val="nil"/>
            </w:tcBorders>
            <w:shd w:val="clear" w:color="000000" w:fill="FFFFFF"/>
            <w:noWrap/>
            <w:vAlign w:val="center"/>
            <w:hideMark/>
          </w:tcPr>
          <w:p w14:paraId="4690F60F" w14:textId="52B07F82"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14</w:t>
            </w:r>
          </w:p>
        </w:tc>
      </w:tr>
      <w:tr w:rsidR="00682CB8" w:rsidRPr="004863F3" w14:paraId="0A552D76"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26E3EA99"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Health</w:t>
            </w:r>
          </w:p>
        </w:tc>
        <w:tc>
          <w:tcPr>
            <w:tcW w:w="771" w:type="pct"/>
            <w:tcBorders>
              <w:top w:val="nil"/>
              <w:left w:val="nil"/>
              <w:bottom w:val="nil"/>
              <w:right w:val="nil"/>
            </w:tcBorders>
            <w:shd w:val="clear" w:color="000000" w:fill="FFFFFF"/>
            <w:noWrap/>
            <w:vAlign w:val="center"/>
            <w:hideMark/>
          </w:tcPr>
          <w:p w14:paraId="10ABACE0"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275</w:t>
            </w:r>
          </w:p>
        </w:tc>
        <w:tc>
          <w:tcPr>
            <w:tcW w:w="771" w:type="pct"/>
            <w:tcBorders>
              <w:top w:val="nil"/>
              <w:left w:val="nil"/>
              <w:bottom w:val="nil"/>
              <w:right w:val="nil"/>
            </w:tcBorders>
            <w:shd w:val="clear" w:color="000000" w:fill="E6F2FF"/>
            <w:noWrap/>
            <w:vAlign w:val="center"/>
            <w:hideMark/>
          </w:tcPr>
          <w:p w14:paraId="2513D72E"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209</w:t>
            </w:r>
          </w:p>
        </w:tc>
        <w:tc>
          <w:tcPr>
            <w:tcW w:w="633" w:type="pct"/>
            <w:tcBorders>
              <w:top w:val="nil"/>
              <w:left w:val="nil"/>
              <w:bottom w:val="nil"/>
              <w:right w:val="nil"/>
            </w:tcBorders>
            <w:shd w:val="clear" w:color="000000" w:fill="FFFFFF"/>
            <w:noWrap/>
            <w:vAlign w:val="center"/>
            <w:hideMark/>
          </w:tcPr>
          <w:p w14:paraId="0532D655" w14:textId="40131B35"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66</w:t>
            </w:r>
          </w:p>
        </w:tc>
      </w:tr>
      <w:tr w:rsidR="00682CB8" w:rsidRPr="004863F3" w14:paraId="360ACC8F"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00BDAC49"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Social security and welfare</w:t>
            </w:r>
          </w:p>
        </w:tc>
        <w:tc>
          <w:tcPr>
            <w:tcW w:w="771" w:type="pct"/>
            <w:tcBorders>
              <w:top w:val="nil"/>
              <w:left w:val="nil"/>
              <w:bottom w:val="nil"/>
              <w:right w:val="nil"/>
            </w:tcBorders>
            <w:shd w:val="clear" w:color="000000" w:fill="FFFFFF"/>
            <w:noWrap/>
            <w:vAlign w:val="center"/>
            <w:hideMark/>
          </w:tcPr>
          <w:p w14:paraId="07872AA4"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982</w:t>
            </w:r>
          </w:p>
        </w:tc>
        <w:tc>
          <w:tcPr>
            <w:tcW w:w="771" w:type="pct"/>
            <w:tcBorders>
              <w:top w:val="nil"/>
              <w:left w:val="nil"/>
              <w:bottom w:val="nil"/>
              <w:right w:val="nil"/>
            </w:tcBorders>
            <w:shd w:val="clear" w:color="000000" w:fill="E6F2FF"/>
            <w:noWrap/>
            <w:vAlign w:val="center"/>
            <w:hideMark/>
          </w:tcPr>
          <w:p w14:paraId="677B78F2"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1,532</w:t>
            </w:r>
          </w:p>
        </w:tc>
        <w:tc>
          <w:tcPr>
            <w:tcW w:w="633" w:type="pct"/>
            <w:tcBorders>
              <w:top w:val="nil"/>
              <w:left w:val="nil"/>
              <w:bottom w:val="nil"/>
              <w:right w:val="nil"/>
            </w:tcBorders>
            <w:shd w:val="clear" w:color="000000" w:fill="FFFFFF"/>
            <w:noWrap/>
            <w:vAlign w:val="center"/>
            <w:hideMark/>
          </w:tcPr>
          <w:p w14:paraId="06DBB711"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550</w:t>
            </w:r>
          </w:p>
        </w:tc>
      </w:tr>
      <w:tr w:rsidR="00682CB8" w:rsidRPr="004863F3" w14:paraId="2257DC40"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57566B6E"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Housing and community amenities</w:t>
            </w:r>
          </w:p>
        </w:tc>
        <w:tc>
          <w:tcPr>
            <w:tcW w:w="771" w:type="pct"/>
            <w:tcBorders>
              <w:top w:val="nil"/>
              <w:left w:val="nil"/>
              <w:bottom w:val="nil"/>
              <w:right w:val="nil"/>
            </w:tcBorders>
            <w:shd w:val="clear" w:color="000000" w:fill="FFFFFF"/>
            <w:noWrap/>
            <w:vAlign w:val="center"/>
            <w:hideMark/>
          </w:tcPr>
          <w:p w14:paraId="296440DD"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666</w:t>
            </w:r>
          </w:p>
        </w:tc>
        <w:tc>
          <w:tcPr>
            <w:tcW w:w="771" w:type="pct"/>
            <w:tcBorders>
              <w:top w:val="nil"/>
              <w:left w:val="nil"/>
              <w:bottom w:val="nil"/>
              <w:right w:val="nil"/>
            </w:tcBorders>
            <w:shd w:val="clear" w:color="000000" w:fill="E6F2FF"/>
            <w:noWrap/>
            <w:vAlign w:val="center"/>
            <w:hideMark/>
          </w:tcPr>
          <w:p w14:paraId="06193954"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622</w:t>
            </w:r>
          </w:p>
        </w:tc>
        <w:tc>
          <w:tcPr>
            <w:tcW w:w="633" w:type="pct"/>
            <w:tcBorders>
              <w:top w:val="nil"/>
              <w:left w:val="nil"/>
              <w:bottom w:val="nil"/>
              <w:right w:val="nil"/>
            </w:tcBorders>
            <w:shd w:val="clear" w:color="000000" w:fill="FFFFFF"/>
            <w:noWrap/>
            <w:vAlign w:val="center"/>
            <w:hideMark/>
          </w:tcPr>
          <w:p w14:paraId="10B8F33B" w14:textId="15E065B4"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44</w:t>
            </w:r>
          </w:p>
        </w:tc>
      </w:tr>
      <w:tr w:rsidR="00682CB8" w:rsidRPr="004863F3" w14:paraId="034E76CE"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1FA95779"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Recreation and culture</w:t>
            </w:r>
          </w:p>
        </w:tc>
        <w:tc>
          <w:tcPr>
            <w:tcW w:w="771" w:type="pct"/>
            <w:tcBorders>
              <w:top w:val="nil"/>
              <w:left w:val="nil"/>
              <w:bottom w:val="nil"/>
              <w:right w:val="nil"/>
            </w:tcBorders>
            <w:shd w:val="clear" w:color="000000" w:fill="FFFFFF"/>
            <w:noWrap/>
            <w:vAlign w:val="center"/>
            <w:hideMark/>
          </w:tcPr>
          <w:p w14:paraId="3E8D76BA"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952</w:t>
            </w:r>
          </w:p>
        </w:tc>
        <w:tc>
          <w:tcPr>
            <w:tcW w:w="771" w:type="pct"/>
            <w:tcBorders>
              <w:top w:val="nil"/>
              <w:left w:val="nil"/>
              <w:bottom w:val="nil"/>
              <w:right w:val="nil"/>
            </w:tcBorders>
            <w:shd w:val="clear" w:color="000000" w:fill="E6F2FF"/>
            <w:noWrap/>
            <w:vAlign w:val="center"/>
            <w:hideMark/>
          </w:tcPr>
          <w:p w14:paraId="54109922"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743</w:t>
            </w:r>
          </w:p>
        </w:tc>
        <w:tc>
          <w:tcPr>
            <w:tcW w:w="633" w:type="pct"/>
            <w:tcBorders>
              <w:top w:val="nil"/>
              <w:left w:val="nil"/>
              <w:bottom w:val="nil"/>
              <w:right w:val="nil"/>
            </w:tcBorders>
            <w:shd w:val="clear" w:color="000000" w:fill="FFFFFF"/>
            <w:noWrap/>
            <w:vAlign w:val="center"/>
            <w:hideMark/>
          </w:tcPr>
          <w:p w14:paraId="1BCF85D8" w14:textId="13076F79"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209</w:t>
            </w:r>
          </w:p>
        </w:tc>
      </w:tr>
      <w:tr w:rsidR="00682CB8" w:rsidRPr="004863F3" w14:paraId="4EA5FB1D"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74306D50"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Fuel and energy</w:t>
            </w:r>
          </w:p>
        </w:tc>
        <w:tc>
          <w:tcPr>
            <w:tcW w:w="771" w:type="pct"/>
            <w:tcBorders>
              <w:top w:val="nil"/>
              <w:left w:val="nil"/>
              <w:bottom w:val="nil"/>
              <w:right w:val="nil"/>
            </w:tcBorders>
            <w:shd w:val="clear" w:color="000000" w:fill="FFFFFF"/>
            <w:noWrap/>
            <w:vAlign w:val="center"/>
            <w:hideMark/>
          </w:tcPr>
          <w:p w14:paraId="00DE83EA"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34</w:t>
            </w:r>
          </w:p>
        </w:tc>
        <w:tc>
          <w:tcPr>
            <w:tcW w:w="771" w:type="pct"/>
            <w:tcBorders>
              <w:top w:val="nil"/>
              <w:left w:val="nil"/>
              <w:bottom w:val="nil"/>
              <w:right w:val="nil"/>
            </w:tcBorders>
            <w:shd w:val="clear" w:color="000000" w:fill="E6F2FF"/>
            <w:noWrap/>
            <w:vAlign w:val="center"/>
            <w:hideMark/>
          </w:tcPr>
          <w:p w14:paraId="73775723"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w:t>
            </w:r>
          </w:p>
        </w:tc>
        <w:tc>
          <w:tcPr>
            <w:tcW w:w="633" w:type="pct"/>
            <w:tcBorders>
              <w:top w:val="nil"/>
              <w:left w:val="nil"/>
              <w:bottom w:val="nil"/>
              <w:right w:val="nil"/>
            </w:tcBorders>
            <w:shd w:val="clear" w:color="000000" w:fill="FFFFFF"/>
            <w:noWrap/>
            <w:vAlign w:val="center"/>
            <w:hideMark/>
          </w:tcPr>
          <w:p w14:paraId="4456BD39" w14:textId="491C6BF6"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28</w:t>
            </w:r>
          </w:p>
        </w:tc>
      </w:tr>
      <w:tr w:rsidR="00682CB8" w:rsidRPr="004863F3" w14:paraId="4DED04A1"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509F6558"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Agriculture, forestry and fishing</w:t>
            </w:r>
          </w:p>
        </w:tc>
        <w:tc>
          <w:tcPr>
            <w:tcW w:w="771" w:type="pct"/>
            <w:tcBorders>
              <w:top w:val="nil"/>
              <w:left w:val="nil"/>
              <w:bottom w:val="nil"/>
              <w:right w:val="nil"/>
            </w:tcBorders>
            <w:shd w:val="clear" w:color="000000" w:fill="FFFFFF"/>
            <w:noWrap/>
            <w:vAlign w:val="center"/>
            <w:hideMark/>
          </w:tcPr>
          <w:p w14:paraId="0DFFCAB2"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741</w:t>
            </w:r>
          </w:p>
        </w:tc>
        <w:tc>
          <w:tcPr>
            <w:tcW w:w="771" w:type="pct"/>
            <w:tcBorders>
              <w:top w:val="nil"/>
              <w:left w:val="nil"/>
              <w:bottom w:val="nil"/>
              <w:right w:val="nil"/>
            </w:tcBorders>
            <w:shd w:val="clear" w:color="000000" w:fill="E6F2FF"/>
            <w:noWrap/>
            <w:vAlign w:val="center"/>
            <w:hideMark/>
          </w:tcPr>
          <w:p w14:paraId="290FCD75"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592</w:t>
            </w:r>
          </w:p>
        </w:tc>
        <w:tc>
          <w:tcPr>
            <w:tcW w:w="633" w:type="pct"/>
            <w:tcBorders>
              <w:top w:val="nil"/>
              <w:left w:val="nil"/>
              <w:bottom w:val="nil"/>
              <w:right w:val="nil"/>
            </w:tcBorders>
            <w:shd w:val="clear" w:color="000000" w:fill="FFFFFF"/>
            <w:noWrap/>
            <w:vAlign w:val="center"/>
            <w:hideMark/>
          </w:tcPr>
          <w:p w14:paraId="5E49BD38" w14:textId="12B496EA"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149</w:t>
            </w:r>
          </w:p>
        </w:tc>
      </w:tr>
      <w:tr w:rsidR="00682CB8" w:rsidRPr="004863F3" w14:paraId="316335C0"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18D774EC"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Mining, manufacturing and construction</w:t>
            </w:r>
          </w:p>
        </w:tc>
        <w:tc>
          <w:tcPr>
            <w:tcW w:w="771" w:type="pct"/>
            <w:tcBorders>
              <w:top w:val="nil"/>
              <w:left w:val="nil"/>
              <w:bottom w:val="nil"/>
              <w:right w:val="nil"/>
            </w:tcBorders>
            <w:shd w:val="clear" w:color="000000" w:fill="FFFFFF"/>
            <w:noWrap/>
            <w:vAlign w:val="center"/>
            <w:hideMark/>
          </w:tcPr>
          <w:p w14:paraId="1CAD52CF"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w:t>
            </w:r>
          </w:p>
        </w:tc>
        <w:tc>
          <w:tcPr>
            <w:tcW w:w="771" w:type="pct"/>
            <w:tcBorders>
              <w:top w:val="nil"/>
              <w:left w:val="nil"/>
              <w:bottom w:val="nil"/>
              <w:right w:val="nil"/>
            </w:tcBorders>
            <w:shd w:val="clear" w:color="000000" w:fill="E6F2FF"/>
            <w:noWrap/>
            <w:vAlign w:val="center"/>
            <w:hideMark/>
          </w:tcPr>
          <w:p w14:paraId="404E9735"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12</w:t>
            </w:r>
          </w:p>
        </w:tc>
        <w:tc>
          <w:tcPr>
            <w:tcW w:w="633" w:type="pct"/>
            <w:tcBorders>
              <w:top w:val="nil"/>
              <w:left w:val="nil"/>
              <w:bottom w:val="nil"/>
              <w:right w:val="nil"/>
            </w:tcBorders>
            <w:shd w:val="clear" w:color="000000" w:fill="FFFFFF"/>
            <w:noWrap/>
            <w:vAlign w:val="center"/>
            <w:hideMark/>
          </w:tcPr>
          <w:p w14:paraId="220B9516" w14:textId="0089502B"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3</w:t>
            </w:r>
          </w:p>
        </w:tc>
      </w:tr>
      <w:tr w:rsidR="00682CB8" w:rsidRPr="004863F3" w14:paraId="3CFB5D87"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4611C889"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Transport and communication</w:t>
            </w:r>
          </w:p>
        </w:tc>
        <w:tc>
          <w:tcPr>
            <w:tcW w:w="771" w:type="pct"/>
            <w:tcBorders>
              <w:top w:val="nil"/>
              <w:left w:val="nil"/>
              <w:bottom w:val="nil"/>
              <w:right w:val="nil"/>
            </w:tcBorders>
            <w:shd w:val="clear" w:color="000000" w:fill="FFFFFF"/>
            <w:noWrap/>
            <w:vAlign w:val="center"/>
            <w:hideMark/>
          </w:tcPr>
          <w:p w14:paraId="33471C0B"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147</w:t>
            </w:r>
          </w:p>
        </w:tc>
        <w:tc>
          <w:tcPr>
            <w:tcW w:w="771" w:type="pct"/>
            <w:tcBorders>
              <w:top w:val="nil"/>
              <w:left w:val="nil"/>
              <w:bottom w:val="nil"/>
              <w:right w:val="nil"/>
            </w:tcBorders>
            <w:shd w:val="clear" w:color="000000" w:fill="E6F2FF"/>
            <w:noWrap/>
            <w:vAlign w:val="center"/>
            <w:hideMark/>
          </w:tcPr>
          <w:p w14:paraId="4A0B9787"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81</w:t>
            </w:r>
          </w:p>
        </w:tc>
        <w:tc>
          <w:tcPr>
            <w:tcW w:w="633" w:type="pct"/>
            <w:tcBorders>
              <w:top w:val="nil"/>
              <w:left w:val="nil"/>
              <w:bottom w:val="nil"/>
              <w:right w:val="nil"/>
            </w:tcBorders>
            <w:shd w:val="clear" w:color="000000" w:fill="FFFFFF"/>
            <w:noWrap/>
            <w:vAlign w:val="center"/>
            <w:hideMark/>
          </w:tcPr>
          <w:p w14:paraId="39C10576" w14:textId="45C181FA"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66</w:t>
            </w:r>
          </w:p>
        </w:tc>
      </w:tr>
      <w:tr w:rsidR="00682CB8" w:rsidRPr="004863F3" w14:paraId="425441F3"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123FDFD5"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Other economic affairs</w:t>
            </w:r>
          </w:p>
        </w:tc>
        <w:tc>
          <w:tcPr>
            <w:tcW w:w="771" w:type="pct"/>
            <w:tcBorders>
              <w:top w:val="nil"/>
              <w:left w:val="nil"/>
              <w:bottom w:val="nil"/>
              <w:right w:val="nil"/>
            </w:tcBorders>
            <w:shd w:val="clear" w:color="000000" w:fill="FFFFFF"/>
            <w:noWrap/>
            <w:vAlign w:val="center"/>
            <w:hideMark/>
          </w:tcPr>
          <w:p w14:paraId="377AB569"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864</w:t>
            </w:r>
          </w:p>
        </w:tc>
        <w:tc>
          <w:tcPr>
            <w:tcW w:w="771" w:type="pct"/>
            <w:tcBorders>
              <w:top w:val="nil"/>
              <w:left w:val="nil"/>
              <w:bottom w:val="nil"/>
              <w:right w:val="nil"/>
            </w:tcBorders>
            <w:shd w:val="clear" w:color="000000" w:fill="E6F2FF"/>
            <w:noWrap/>
            <w:vAlign w:val="center"/>
            <w:hideMark/>
          </w:tcPr>
          <w:p w14:paraId="798E5E79"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741</w:t>
            </w:r>
          </w:p>
        </w:tc>
        <w:tc>
          <w:tcPr>
            <w:tcW w:w="633" w:type="pct"/>
            <w:tcBorders>
              <w:top w:val="nil"/>
              <w:left w:val="nil"/>
              <w:bottom w:val="nil"/>
              <w:right w:val="nil"/>
            </w:tcBorders>
            <w:shd w:val="clear" w:color="000000" w:fill="FFFFFF"/>
            <w:noWrap/>
            <w:vAlign w:val="center"/>
            <w:hideMark/>
          </w:tcPr>
          <w:p w14:paraId="65CB4649" w14:textId="55854203"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123</w:t>
            </w:r>
          </w:p>
        </w:tc>
      </w:tr>
      <w:tr w:rsidR="00682CB8" w:rsidRPr="004863F3" w14:paraId="7C612633" w14:textId="77777777" w:rsidTr="00682CB8">
        <w:trPr>
          <w:trHeight w:hRule="exact" w:val="225"/>
        </w:trPr>
        <w:tc>
          <w:tcPr>
            <w:tcW w:w="2825" w:type="pct"/>
            <w:tcBorders>
              <w:top w:val="nil"/>
              <w:left w:val="nil"/>
              <w:bottom w:val="nil"/>
              <w:right w:val="nil"/>
            </w:tcBorders>
            <w:shd w:val="clear" w:color="000000" w:fill="FFFFFF"/>
            <w:noWrap/>
            <w:vAlign w:val="center"/>
            <w:hideMark/>
          </w:tcPr>
          <w:p w14:paraId="3572E28A"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Other purposes</w:t>
            </w:r>
          </w:p>
        </w:tc>
        <w:tc>
          <w:tcPr>
            <w:tcW w:w="771" w:type="pct"/>
            <w:tcBorders>
              <w:top w:val="nil"/>
              <w:left w:val="nil"/>
              <w:bottom w:val="nil"/>
              <w:right w:val="nil"/>
            </w:tcBorders>
            <w:shd w:val="clear" w:color="000000" w:fill="FFFFFF"/>
            <w:noWrap/>
            <w:vAlign w:val="center"/>
            <w:hideMark/>
          </w:tcPr>
          <w:p w14:paraId="1369AB1E"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51</w:t>
            </w:r>
          </w:p>
        </w:tc>
        <w:tc>
          <w:tcPr>
            <w:tcW w:w="771" w:type="pct"/>
            <w:tcBorders>
              <w:top w:val="nil"/>
              <w:left w:val="nil"/>
              <w:bottom w:val="nil"/>
              <w:right w:val="nil"/>
            </w:tcBorders>
            <w:shd w:val="clear" w:color="000000" w:fill="E6F2FF"/>
            <w:noWrap/>
            <w:vAlign w:val="center"/>
            <w:hideMark/>
          </w:tcPr>
          <w:p w14:paraId="57D64F5A" w14:textId="77777777" w:rsidR="00682CB8" w:rsidRPr="004863F3" w:rsidRDefault="00682CB8"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25</w:t>
            </w:r>
          </w:p>
        </w:tc>
        <w:tc>
          <w:tcPr>
            <w:tcW w:w="633" w:type="pct"/>
            <w:tcBorders>
              <w:top w:val="nil"/>
              <w:left w:val="nil"/>
              <w:bottom w:val="nil"/>
              <w:right w:val="nil"/>
            </w:tcBorders>
            <w:shd w:val="clear" w:color="000000" w:fill="FFFFFF"/>
            <w:noWrap/>
            <w:vAlign w:val="center"/>
            <w:hideMark/>
          </w:tcPr>
          <w:p w14:paraId="53AF050A" w14:textId="2DDBA7CE" w:rsidR="00682CB8" w:rsidRPr="004863F3" w:rsidRDefault="001E171F" w:rsidP="00682CB8">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682CB8" w:rsidRPr="004863F3">
              <w:rPr>
                <w:rFonts w:ascii="Arial" w:hAnsi="Arial" w:cs="Arial"/>
                <w:color w:val="000000"/>
                <w:sz w:val="16"/>
                <w:szCs w:val="16"/>
              </w:rPr>
              <w:t>26</w:t>
            </w:r>
          </w:p>
        </w:tc>
      </w:tr>
      <w:tr w:rsidR="00682CB8" w:rsidRPr="004863F3" w14:paraId="5A468D8F" w14:textId="77777777" w:rsidTr="00682CB8">
        <w:trPr>
          <w:trHeight w:hRule="exact" w:val="60"/>
        </w:trPr>
        <w:tc>
          <w:tcPr>
            <w:tcW w:w="2825" w:type="pct"/>
            <w:tcBorders>
              <w:top w:val="nil"/>
              <w:left w:val="nil"/>
              <w:bottom w:val="nil"/>
              <w:right w:val="nil"/>
            </w:tcBorders>
            <w:shd w:val="clear" w:color="000000" w:fill="FFFFFF"/>
            <w:noWrap/>
            <w:vAlign w:val="center"/>
            <w:hideMark/>
          </w:tcPr>
          <w:p w14:paraId="36035D00"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771" w:type="pct"/>
            <w:tcBorders>
              <w:top w:val="nil"/>
              <w:left w:val="nil"/>
              <w:bottom w:val="single" w:sz="4" w:space="0" w:color="auto"/>
              <w:right w:val="nil"/>
            </w:tcBorders>
            <w:shd w:val="clear" w:color="000000" w:fill="FFFFFF"/>
            <w:noWrap/>
            <w:vAlign w:val="center"/>
            <w:hideMark/>
          </w:tcPr>
          <w:p w14:paraId="3A13A730"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771" w:type="pct"/>
            <w:tcBorders>
              <w:top w:val="nil"/>
              <w:left w:val="nil"/>
              <w:bottom w:val="single" w:sz="4" w:space="0" w:color="auto"/>
              <w:right w:val="nil"/>
            </w:tcBorders>
            <w:shd w:val="clear" w:color="000000" w:fill="E6F2FF"/>
            <w:noWrap/>
            <w:vAlign w:val="center"/>
            <w:hideMark/>
          </w:tcPr>
          <w:p w14:paraId="1F019C47"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3" w:type="pct"/>
            <w:tcBorders>
              <w:top w:val="nil"/>
              <w:left w:val="nil"/>
              <w:bottom w:val="single" w:sz="4" w:space="0" w:color="auto"/>
              <w:right w:val="nil"/>
            </w:tcBorders>
            <w:shd w:val="clear" w:color="000000" w:fill="FFFFFF"/>
            <w:noWrap/>
            <w:vAlign w:val="center"/>
            <w:hideMark/>
          </w:tcPr>
          <w:p w14:paraId="1BD52058" w14:textId="77777777" w:rsidR="00682CB8" w:rsidRPr="004863F3" w:rsidRDefault="00682CB8" w:rsidP="00682CB8">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r>
      <w:tr w:rsidR="00682CB8" w:rsidRPr="004863F3" w14:paraId="3094A5EA" w14:textId="77777777" w:rsidTr="00682CB8">
        <w:trPr>
          <w:trHeight w:hRule="exact" w:val="225"/>
        </w:trPr>
        <w:tc>
          <w:tcPr>
            <w:tcW w:w="2825" w:type="pct"/>
            <w:tcBorders>
              <w:top w:val="nil"/>
              <w:left w:val="nil"/>
              <w:bottom w:val="single" w:sz="4" w:space="0" w:color="293F5B"/>
              <w:right w:val="nil"/>
            </w:tcBorders>
            <w:shd w:val="clear" w:color="000000" w:fill="FFFFFF"/>
            <w:vAlign w:val="center"/>
            <w:hideMark/>
          </w:tcPr>
          <w:p w14:paraId="5FB18CA0" w14:textId="3C6A31E6" w:rsidR="00682CB8" w:rsidRPr="004863F3" w:rsidRDefault="00682CB8" w:rsidP="00682CB8">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Total Government purchases of non</w:t>
            </w:r>
            <w:r w:rsidR="001E171F" w:rsidRPr="004863F3">
              <w:rPr>
                <w:rFonts w:ascii="Arial" w:hAnsi="Arial" w:cs="Arial"/>
                <w:b/>
                <w:bCs/>
                <w:color w:val="000000"/>
                <w:sz w:val="16"/>
                <w:szCs w:val="16"/>
              </w:rPr>
              <w:noBreakHyphen/>
            </w:r>
            <w:r w:rsidRPr="004863F3">
              <w:rPr>
                <w:rFonts w:ascii="Arial" w:hAnsi="Arial" w:cs="Arial"/>
                <w:b/>
                <w:bCs/>
                <w:color w:val="000000"/>
                <w:sz w:val="16"/>
                <w:szCs w:val="16"/>
              </w:rPr>
              <w:t>financial assets</w:t>
            </w:r>
          </w:p>
        </w:tc>
        <w:tc>
          <w:tcPr>
            <w:tcW w:w="771" w:type="pct"/>
            <w:tcBorders>
              <w:top w:val="nil"/>
              <w:left w:val="nil"/>
              <w:bottom w:val="single" w:sz="4" w:space="0" w:color="293F5B"/>
              <w:right w:val="nil"/>
            </w:tcBorders>
            <w:shd w:val="clear" w:color="000000" w:fill="FFFFFF"/>
            <w:noWrap/>
            <w:vAlign w:val="center"/>
            <w:hideMark/>
          </w:tcPr>
          <w:p w14:paraId="396CC29F" w14:textId="77777777" w:rsidR="00682CB8" w:rsidRPr="004863F3" w:rsidRDefault="00682CB8" w:rsidP="00682CB8">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22,133</w:t>
            </w:r>
          </w:p>
        </w:tc>
        <w:tc>
          <w:tcPr>
            <w:tcW w:w="771" w:type="pct"/>
            <w:tcBorders>
              <w:top w:val="nil"/>
              <w:left w:val="nil"/>
              <w:bottom w:val="single" w:sz="4" w:space="0" w:color="293F5B"/>
              <w:right w:val="nil"/>
            </w:tcBorders>
            <w:shd w:val="clear" w:color="000000" w:fill="E6F2FF"/>
            <w:noWrap/>
            <w:vAlign w:val="center"/>
            <w:hideMark/>
          </w:tcPr>
          <w:p w14:paraId="1C732834" w14:textId="77777777" w:rsidR="00682CB8" w:rsidRPr="004863F3" w:rsidRDefault="00682CB8" w:rsidP="00682CB8">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22,016</w:t>
            </w:r>
          </w:p>
        </w:tc>
        <w:tc>
          <w:tcPr>
            <w:tcW w:w="633" w:type="pct"/>
            <w:tcBorders>
              <w:top w:val="nil"/>
              <w:left w:val="nil"/>
              <w:bottom w:val="single" w:sz="4" w:space="0" w:color="293F5B"/>
              <w:right w:val="nil"/>
            </w:tcBorders>
            <w:shd w:val="clear" w:color="000000" w:fill="FFFFFF"/>
            <w:noWrap/>
            <w:vAlign w:val="center"/>
            <w:hideMark/>
          </w:tcPr>
          <w:p w14:paraId="08DA0F96" w14:textId="65C31BA8" w:rsidR="00682CB8" w:rsidRPr="004863F3" w:rsidRDefault="001E171F" w:rsidP="00682CB8">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682CB8" w:rsidRPr="004863F3">
              <w:rPr>
                <w:rFonts w:ascii="Arial" w:hAnsi="Arial" w:cs="Arial"/>
                <w:b/>
                <w:bCs/>
                <w:color w:val="000000"/>
                <w:sz w:val="16"/>
                <w:szCs w:val="16"/>
              </w:rPr>
              <w:t>117</w:t>
            </w:r>
          </w:p>
        </w:tc>
      </w:tr>
    </w:tbl>
    <w:p w14:paraId="2FC419C2" w14:textId="22B6AA77" w:rsidR="00E93031" w:rsidRPr="004863F3" w:rsidRDefault="00E93031" w:rsidP="00B82122">
      <w:pPr>
        <w:pStyle w:val="SingleParagraph"/>
      </w:pPr>
      <w:r w:rsidRPr="004863F3">
        <w:br w:type="page"/>
      </w:r>
    </w:p>
    <w:p w14:paraId="5EB19EEB" w14:textId="77777777" w:rsidR="00E93031" w:rsidRPr="004863F3" w:rsidRDefault="00E93031" w:rsidP="00E93031">
      <w:pPr>
        <w:pStyle w:val="Heading2"/>
      </w:pPr>
      <w:r w:rsidRPr="004863F3">
        <w:t>Headline cash balance</w:t>
      </w:r>
      <w:r w:rsidRPr="004863F3">
        <w:rPr>
          <w:noProof/>
        </w:rPr>
        <w:t xml:space="preserve"> </w:t>
      </w:r>
    </w:p>
    <w:p w14:paraId="578C81C8" w14:textId="77777777" w:rsidR="00BE0CF5" w:rsidRPr="004863F3" w:rsidRDefault="00BE0CF5" w:rsidP="00BE0CF5">
      <w:pPr>
        <w:rPr>
          <w:szCs w:val="19"/>
        </w:rPr>
      </w:pPr>
      <w:r w:rsidRPr="004863F3">
        <w:rPr>
          <w:szCs w:val="19"/>
        </w:rPr>
        <w:t>The headline cash balance consists of the underlying cash balance and net cash flows from investments in financial assets for policy purposes (for example, student loans and Clean Energy Finance Corporation loans and equity investments).</w:t>
      </w:r>
    </w:p>
    <w:p w14:paraId="445BC440" w14:textId="03DAE488" w:rsidR="00BE0CF5" w:rsidRPr="004863F3" w:rsidRDefault="00BE0CF5" w:rsidP="00BE0CF5">
      <w:pPr>
        <w:rPr>
          <w:szCs w:val="19"/>
        </w:rPr>
      </w:pPr>
      <w:r w:rsidRPr="004863F3">
        <w:rPr>
          <w:szCs w:val="19"/>
        </w:rPr>
        <w:t>In 2024–25, the headline cash deficit was $21.</w:t>
      </w:r>
      <w:r w:rsidR="005066FF" w:rsidRPr="004863F3">
        <w:rPr>
          <w:szCs w:val="19"/>
        </w:rPr>
        <w:t>8</w:t>
      </w:r>
      <w:r w:rsidR="00BF7060" w:rsidRPr="004863F3">
        <w:rPr>
          <w:szCs w:val="19"/>
        </w:rPr>
        <w:t> </w:t>
      </w:r>
      <w:r w:rsidRPr="004863F3">
        <w:rPr>
          <w:szCs w:val="19"/>
        </w:rPr>
        <w:t>billion compared with an estimated deficit of $46.7</w:t>
      </w:r>
      <w:r w:rsidR="004A053D" w:rsidRPr="004863F3">
        <w:rPr>
          <w:szCs w:val="19"/>
        </w:rPr>
        <w:t> </w:t>
      </w:r>
      <w:r w:rsidRPr="004863F3">
        <w:rPr>
          <w:szCs w:val="19"/>
        </w:rPr>
        <w:t>billion in the 2025</w:t>
      </w:r>
      <w:r w:rsidR="001E4CC5" w:rsidRPr="004863F3">
        <w:t>–</w:t>
      </w:r>
      <w:r w:rsidRPr="004863F3">
        <w:rPr>
          <w:szCs w:val="19"/>
        </w:rPr>
        <w:t>26 Budget. The improvement in the headline cash balance of $24.</w:t>
      </w:r>
      <w:r w:rsidR="002F1A98" w:rsidRPr="004863F3">
        <w:rPr>
          <w:szCs w:val="19"/>
        </w:rPr>
        <w:t>9</w:t>
      </w:r>
      <w:r w:rsidR="00235136" w:rsidRPr="004863F3">
        <w:rPr>
          <w:szCs w:val="19"/>
        </w:rPr>
        <w:t> </w:t>
      </w:r>
      <w:r w:rsidRPr="004863F3">
        <w:rPr>
          <w:szCs w:val="19"/>
        </w:rPr>
        <w:t>billion was primarily driven by the improvement in the underlying cash balance ($17.</w:t>
      </w:r>
      <w:r w:rsidR="001A3A88" w:rsidRPr="004863F3">
        <w:rPr>
          <w:szCs w:val="19"/>
        </w:rPr>
        <w:t>6</w:t>
      </w:r>
      <w:r w:rsidR="004A053D" w:rsidRPr="004863F3">
        <w:rPr>
          <w:szCs w:val="19"/>
        </w:rPr>
        <w:t> </w:t>
      </w:r>
      <w:r w:rsidRPr="004863F3">
        <w:rPr>
          <w:szCs w:val="19"/>
        </w:rPr>
        <w:t xml:space="preserve">billion). </w:t>
      </w:r>
    </w:p>
    <w:p w14:paraId="0F84A8FD" w14:textId="1DA0C929" w:rsidR="00BE0CF5" w:rsidRPr="004863F3" w:rsidRDefault="00BE0CF5" w:rsidP="00BE0CF5">
      <w:pPr>
        <w:rPr>
          <w:szCs w:val="19"/>
        </w:rPr>
      </w:pPr>
      <w:r w:rsidRPr="004863F3">
        <w:rPr>
          <w:szCs w:val="19"/>
        </w:rPr>
        <w:t>Net cash flows from investments in financial assets for policy purposes also improved by $7.</w:t>
      </w:r>
      <w:r w:rsidR="00C726F5" w:rsidRPr="004863F3">
        <w:rPr>
          <w:szCs w:val="19"/>
        </w:rPr>
        <w:t>3</w:t>
      </w:r>
      <w:r w:rsidR="004A053D" w:rsidRPr="004863F3">
        <w:rPr>
          <w:szCs w:val="19"/>
        </w:rPr>
        <w:t> </w:t>
      </w:r>
      <w:r w:rsidRPr="004863F3">
        <w:rPr>
          <w:szCs w:val="19"/>
        </w:rPr>
        <w:t>billion since estimated in the 2025</w:t>
      </w:r>
      <w:r w:rsidR="001E4CC5" w:rsidRPr="004863F3">
        <w:t>–</w:t>
      </w:r>
      <w:r w:rsidRPr="004863F3">
        <w:rPr>
          <w:szCs w:val="19"/>
        </w:rPr>
        <w:t>26 Budget. This is primarily driven by lower</w:t>
      </w:r>
      <w:r w:rsidR="001E171F" w:rsidRPr="004863F3">
        <w:rPr>
          <w:szCs w:val="19"/>
        </w:rPr>
        <w:noBreakHyphen/>
      </w:r>
      <w:r w:rsidRPr="004863F3">
        <w:rPr>
          <w:szCs w:val="19"/>
        </w:rPr>
        <w:t>than</w:t>
      </w:r>
      <w:r w:rsidR="001E171F" w:rsidRPr="004863F3">
        <w:rPr>
          <w:szCs w:val="19"/>
        </w:rPr>
        <w:noBreakHyphen/>
      </w:r>
      <w:r w:rsidRPr="004863F3">
        <w:rPr>
          <w:szCs w:val="19"/>
        </w:rPr>
        <w:t xml:space="preserve">estimated drawdowns by the National Reconstruction Fund Corporation, </w:t>
      </w:r>
      <w:r w:rsidR="00C477B6" w:rsidRPr="004863F3">
        <w:rPr>
          <w:szCs w:val="19"/>
        </w:rPr>
        <w:t xml:space="preserve">the </w:t>
      </w:r>
      <w:r w:rsidRPr="004863F3">
        <w:rPr>
          <w:szCs w:val="19"/>
        </w:rPr>
        <w:t>Clean Energy Finance Corporation and Housing Australia.</w:t>
      </w:r>
    </w:p>
    <w:p w14:paraId="36C6BF5E" w14:textId="0B0C988E" w:rsidR="00E93031" w:rsidRPr="004863F3" w:rsidRDefault="00BE0CF5">
      <w:r w:rsidRPr="004863F3">
        <w:rPr>
          <w:szCs w:val="19"/>
        </w:rPr>
        <w:t>Table 1.8 provides further detail between the underlying and headline cash balance estimates of the Australian Government general government sector in 2024–25</w:t>
      </w:r>
      <w:r w:rsidR="00E93031" w:rsidRPr="004863F3">
        <w:rPr>
          <w:szCs w:val="19"/>
        </w:rPr>
        <w:t xml:space="preserve">. </w:t>
      </w:r>
      <w:r w:rsidR="00E93031" w:rsidRPr="004863F3">
        <w:br w:type="page"/>
      </w:r>
    </w:p>
    <w:p w14:paraId="377DC91E" w14:textId="2A127F9E" w:rsidR="00E01C2B" w:rsidRPr="004863F3" w:rsidRDefault="00E93031" w:rsidP="00E01C2B">
      <w:pPr>
        <w:pStyle w:val="TableHeading"/>
        <w:rPr>
          <w:rFonts w:asciiTheme="minorHAnsi" w:eastAsiaTheme="minorHAnsi" w:hAnsiTheme="minorHAnsi" w:cstheme="minorBidi"/>
          <w:sz w:val="22"/>
          <w:szCs w:val="22"/>
          <w:lang w:eastAsia="en-US"/>
        </w:rPr>
      </w:pPr>
      <w:r w:rsidRPr="004863F3">
        <w:t>Table 1.8: Australian Government general government sector reconciliation of underlying and headline cash balanc</w:t>
      </w:r>
      <w:r w:rsidR="00E34D7A" w:rsidRPr="004863F3">
        <w:t>e</w:t>
      </w:r>
    </w:p>
    <w:tbl>
      <w:tblPr>
        <w:tblW w:w="5000" w:type="pct"/>
        <w:tblCellMar>
          <w:left w:w="0" w:type="dxa"/>
          <w:right w:w="28" w:type="dxa"/>
        </w:tblCellMar>
        <w:tblLook w:val="04A0" w:firstRow="1" w:lastRow="0" w:firstColumn="1" w:lastColumn="0" w:noHBand="0" w:noVBand="1"/>
      </w:tblPr>
      <w:tblGrid>
        <w:gridCol w:w="5276"/>
        <w:gridCol w:w="829"/>
        <w:gridCol w:w="794"/>
        <w:gridCol w:w="811"/>
      </w:tblGrid>
      <w:tr w:rsidR="00E01C2B" w:rsidRPr="004863F3" w14:paraId="777C177D" w14:textId="77777777" w:rsidTr="00E01C2B">
        <w:trPr>
          <w:trHeight w:hRule="exact" w:val="225"/>
        </w:trPr>
        <w:tc>
          <w:tcPr>
            <w:tcW w:w="3127" w:type="pct"/>
            <w:tcBorders>
              <w:top w:val="single" w:sz="4" w:space="0" w:color="293F5B"/>
              <w:left w:val="nil"/>
              <w:bottom w:val="nil"/>
              <w:right w:val="nil"/>
            </w:tcBorders>
            <w:shd w:val="clear" w:color="000000" w:fill="FFFFFF"/>
            <w:noWrap/>
            <w:vAlign w:val="bottom"/>
            <w:hideMark/>
          </w:tcPr>
          <w:p w14:paraId="3D2AC33C" w14:textId="61E8B53D"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1" w:type="pct"/>
            <w:tcBorders>
              <w:top w:val="single" w:sz="4" w:space="0" w:color="293F5B"/>
              <w:left w:val="nil"/>
              <w:bottom w:val="nil"/>
              <w:right w:val="nil"/>
            </w:tcBorders>
            <w:shd w:val="clear" w:color="000000" w:fill="FFFFFF"/>
            <w:noWrap/>
            <w:vAlign w:val="center"/>
            <w:hideMark/>
          </w:tcPr>
          <w:p w14:paraId="2C90A6C5" w14:textId="40F41576"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631" w:type="pct"/>
            <w:tcBorders>
              <w:top w:val="single" w:sz="4" w:space="0" w:color="293F5B"/>
              <w:left w:val="nil"/>
              <w:bottom w:val="nil"/>
              <w:right w:val="nil"/>
            </w:tcBorders>
            <w:shd w:val="clear" w:color="000000" w:fill="E6F2FF"/>
            <w:noWrap/>
            <w:vAlign w:val="center"/>
            <w:hideMark/>
          </w:tcPr>
          <w:p w14:paraId="445AA277" w14:textId="5A24E6FA"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2024</w:t>
            </w:r>
            <w:r w:rsidR="001E171F" w:rsidRPr="004863F3">
              <w:rPr>
                <w:rFonts w:ascii="Arial" w:hAnsi="Arial" w:cs="Arial"/>
                <w:sz w:val="16"/>
                <w:szCs w:val="16"/>
              </w:rPr>
              <w:noBreakHyphen/>
            </w:r>
            <w:r w:rsidRPr="004863F3">
              <w:rPr>
                <w:rFonts w:ascii="Arial" w:hAnsi="Arial" w:cs="Arial"/>
                <w:sz w:val="16"/>
                <w:szCs w:val="16"/>
              </w:rPr>
              <w:t>25</w:t>
            </w:r>
          </w:p>
        </w:tc>
        <w:tc>
          <w:tcPr>
            <w:tcW w:w="610" w:type="pct"/>
            <w:tcBorders>
              <w:top w:val="single" w:sz="4" w:space="0" w:color="293F5B"/>
              <w:left w:val="nil"/>
              <w:bottom w:val="nil"/>
              <w:right w:val="nil"/>
            </w:tcBorders>
            <w:shd w:val="clear" w:color="000000" w:fill="FFFFFF"/>
            <w:noWrap/>
            <w:vAlign w:val="bottom"/>
            <w:hideMark/>
          </w:tcPr>
          <w:p w14:paraId="64179355" w14:textId="77777777"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Change on</w:t>
            </w:r>
          </w:p>
        </w:tc>
      </w:tr>
      <w:tr w:rsidR="00E01C2B" w:rsidRPr="004863F3" w14:paraId="72D1EA75"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6E9E2106"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1" w:type="pct"/>
            <w:tcBorders>
              <w:top w:val="nil"/>
              <w:left w:val="nil"/>
              <w:bottom w:val="nil"/>
              <w:right w:val="nil"/>
            </w:tcBorders>
            <w:shd w:val="clear" w:color="000000" w:fill="FFFFFF"/>
            <w:noWrap/>
            <w:vAlign w:val="center"/>
            <w:hideMark/>
          </w:tcPr>
          <w:p w14:paraId="4365E4E1" w14:textId="77777777"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631" w:type="pct"/>
            <w:tcBorders>
              <w:top w:val="nil"/>
              <w:left w:val="nil"/>
              <w:bottom w:val="nil"/>
              <w:right w:val="nil"/>
            </w:tcBorders>
            <w:shd w:val="clear" w:color="000000" w:fill="E6F2FF"/>
            <w:noWrap/>
            <w:vAlign w:val="center"/>
            <w:hideMark/>
          </w:tcPr>
          <w:p w14:paraId="370A75C3" w14:textId="77777777"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Outcome</w:t>
            </w:r>
          </w:p>
        </w:tc>
        <w:tc>
          <w:tcPr>
            <w:tcW w:w="610" w:type="pct"/>
            <w:tcBorders>
              <w:top w:val="nil"/>
              <w:left w:val="nil"/>
              <w:bottom w:val="nil"/>
              <w:right w:val="nil"/>
            </w:tcBorders>
            <w:shd w:val="clear" w:color="000000" w:fill="FFFFFF"/>
            <w:noWrap/>
            <w:vAlign w:val="center"/>
            <w:hideMark/>
          </w:tcPr>
          <w:p w14:paraId="27549481" w14:textId="175819ED"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r>
      <w:tr w:rsidR="00E01C2B" w:rsidRPr="004863F3" w14:paraId="54A37FD4"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7A1C8349"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1" w:type="pct"/>
            <w:tcBorders>
              <w:top w:val="nil"/>
              <w:left w:val="nil"/>
              <w:bottom w:val="nil"/>
              <w:right w:val="nil"/>
            </w:tcBorders>
            <w:shd w:val="clear" w:color="000000" w:fill="FFFFFF"/>
            <w:noWrap/>
            <w:vAlign w:val="center"/>
            <w:hideMark/>
          </w:tcPr>
          <w:p w14:paraId="32E5803B" w14:textId="2A68A9F4"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2025</w:t>
            </w:r>
            <w:r w:rsidR="001E171F" w:rsidRPr="004863F3">
              <w:rPr>
                <w:rFonts w:ascii="Arial" w:hAnsi="Arial" w:cs="Arial"/>
                <w:sz w:val="16"/>
                <w:szCs w:val="16"/>
              </w:rPr>
              <w:noBreakHyphen/>
            </w:r>
            <w:r w:rsidRPr="004863F3">
              <w:rPr>
                <w:rFonts w:ascii="Arial" w:hAnsi="Arial" w:cs="Arial"/>
                <w:sz w:val="16"/>
                <w:szCs w:val="16"/>
              </w:rPr>
              <w:t>26</w:t>
            </w:r>
          </w:p>
        </w:tc>
        <w:tc>
          <w:tcPr>
            <w:tcW w:w="631" w:type="pct"/>
            <w:tcBorders>
              <w:top w:val="nil"/>
              <w:left w:val="nil"/>
              <w:bottom w:val="nil"/>
              <w:right w:val="nil"/>
            </w:tcBorders>
            <w:shd w:val="clear" w:color="000000" w:fill="E6F2FF"/>
            <w:noWrap/>
            <w:vAlign w:val="center"/>
            <w:hideMark/>
          </w:tcPr>
          <w:p w14:paraId="297522E3" w14:textId="77777777"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 </w:t>
            </w:r>
          </w:p>
        </w:tc>
        <w:tc>
          <w:tcPr>
            <w:tcW w:w="610" w:type="pct"/>
            <w:tcBorders>
              <w:top w:val="nil"/>
              <w:left w:val="nil"/>
              <w:bottom w:val="nil"/>
              <w:right w:val="nil"/>
            </w:tcBorders>
            <w:shd w:val="clear" w:color="000000" w:fill="FFFFFF"/>
            <w:noWrap/>
            <w:vAlign w:val="bottom"/>
            <w:hideMark/>
          </w:tcPr>
          <w:p w14:paraId="0DC834EF" w14:textId="77777777"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Budget</w:t>
            </w:r>
          </w:p>
        </w:tc>
      </w:tr>
      <w:tr w:rsidR="00E01C2B" w:rsidRPr="004863F3" w14:paraId="780037E9"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1F6BBB0A"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1" w:type="pct"/>
            <w:tcBorders>
              <w:top w:val="nil"/>
              <w:left w:val="nil"/>
              <w:bottom w:val="nil"/>
              <w:right w:val="nil"/>
            </w:tcBorders>
            <w:shd w:val="clear" w:color="000000" w:fill="FFFFFF"/>
            <w:noWrap/>
            <w:vAlign w:val="center"/>
            <w:hideMark/>
          </w:tcPr>
          <w:p w14:paraId="02F32C01" w14:textId="77777777"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631" w:type="pct"/>
            <w:tcBorders>
              <w:top w:val="nil"/>
              <w:left w:val="nil"/>
              <w:bottom w:val="nil"/>
              <w:right w:val="nil"/>
            </w:tcBorders>
            <w:shd w:val="clear" w:color="000000" w:fill="E6F2FF"/>
            <w:noWrap/>
            <w:vAlign w:val="center"/>
            <w:hideMark/>
          </w:tcPr>
          <w:p w14:paraId="45EBCCC6" w14:textId="77777777"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 </w:t>
            </w:r>
          </w:p>
        </w:tc>
        <w:tc>
          <w:tcPr>
            <w:tcW w:w="610" w:type="pct"/>
            <w:tcBorders>
              <w:top w:val="nil"/>
              <w:left w:val="nil"/>
              <w:bottom w:val="nil"/>
              <w:right w:val="nil"/>
            </w:tcBorders>
            <w:shd w:val="clear" w:color="000000" w:fill="FFFFFF"/>
            <w:noWrap/>
            <w:vAlign w:val="bottom"/>
            <w:hideMark/>
          </w:tcPr>
          <w:p w14:paraId="021B9A6F"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r>
      <w:tr w:rsidR="00E01C2B" w:rsidRPr="004863F3" w14:paraId="07D01028"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3B6DF091"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1" w:type="pct"/>
            <w:tcBorders>
              <w:top w:val="nil"/>
              <w:left w:val="nil"/>
              <w:bottom w:val="single" w:sz="4" w:space="0" w:color="000000"/>
              <w:right w:val="nil"/>
            </w:tcBorders>
            <w:shd w:val="clear" w:color="000000" w:fill="FFFFFF"/>
            <w:noWrap/>
            <w:vAlign w:val="center"/>
            <w:hideMark/>
          </w:tcPr>
          <w:p w14:paraId="03B2AC18"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631" w:type="pct"/>
            <w:tcBorders>
              <w:top w:val="nil"/>
              <w:left w:val="nil"/>
              <w:bottom w:val="single" w:sz="4" w:space="0" w:color="000000"/>
              <w:right w:val="nil"/>
            </w:tcBorders>
            <w:shd w:val="clear" w:color="000000" w:fill="E6F2FF"/>
            <w:noWrap/>
            <w:vAlign w:val="center"/>
            <w:hideMark/>
          </w:tcPr>
          <w:p w14:paraId="7880B7C8"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$m</w:t>
            </w:r>
          </w:p>
        </w:tc>
        <w:tc>
          <w:tcPr>
            <w:tcW w:w="610" w:type="pct"/>
            <w:tcBorders>
              <w:top w:val="nil"/>
              <w:left w:val="nil"/>
              <w:bottom w:val="nil"/>
              <w:right w:val="nil"/>
            </w:tcBorders>
            <w:shd w:val="clear" w:color="000000" w:fill="FFFFFF"/>
            <w:vAlign w:val="center"/>
            <w:hideMark/>
          </w:tcPr>
          <w:p w14:paraId="7D177428" w14:textId="77777777" w:rsidR="00E01C2B" w:rsidRPr="004863F3" w:rsidRDefault="00E01C2B" w:rsidP="00E01C2B">
            <w:pPr>
              <w:spacing w:before="0" w:after="0" w:line="240" w:lineRule="auto"/>
              <w:jc w:val="right"/>
              <w:rPr>
                <w:rFonts w:ascii="Arial" w:hAnsi="Arial" w:cs="Arial"/>
                <w:sz w:val="16"/>
                <w:szCs w:val="16"/>
              </w:rPr>
            </w:pPr>
            <w:r w:rsidRPr="004863F3">
              <w:rPr>
                <w:rFonts w:ascii="Arial" w:hAnsi="Arial" w:cs="Arial"/>
                <w:sz w:val="16"/>
                <w:szCs w:val="16"/>
              </w:rPr>
              <w:t>$m</w:t>
            </w:r>
          </w:p>
        </w:tc>
      </w:tr>
      <w:tr w:rsidR="00E01C2B" w:rsidRPr="004863F3" w14:paraId="2DE633A0"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5408781E" w14:textId="785083E8" w:rsidR="00E01C2B" w:rsidRPr="004863F3" w:rsidRDefault="00E01C2B" w:rsidP="00E01C2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2024</w:t>
            </w:r>
            <w:r w:rsidR="001E171F" w:rsidRPr="004863F3">
              <w:rPr>
                <w:rFonts w:ascii="Arial" w:hAnsi="Arial" w:cs="Arial"/>
                <w:b/>
                <w:bCs/>
                <w:color w:val="000000"/>
                <w:sz w:val="16"/>
                <w:szCs w:val="16"/>
              </w:rPr>
              <w:noBreakHyphen/>
            </w:r>
            <w:r w:rsidRPr="004863F3">
              <w:rPr>
                <w:rFonts w:ascii="Arial" w:hAnsi="Arial" w:cs="Arial"/>
                <w:b/>
                <w:bCs/>
                <w:color w:val="000000"/>
                <w:sz w:val="16"/>
                <w:szCs w:val="16"/>
              </w:rPr>
              <w:t>25 Underlying cash balance</w:t>
            </w:r>
          </w:p>
        </w:tc>
        <w:tc>
          <w:tcPr>
            <w:tcW w:w="631" w:type="pct"/>
            <w:tcBorders>
              <w:top w:val="nil"/>
              <w:left w:val="nil"/>
              <w:bottom w:val="nil"/>
              <w:right w:val="nil"/>
            </w:tcBorders>
            <w:shd w:val="clear" w:color="000000" w:fill="FFFFFF"/>
            <w:noWrap/>
            <w:vAlign w:val="bottom"/>
            <w:hideMark/>
          </w:tcPr>
          <w:p w14:paraId="63F4E978" w14:textId="35FE4720" w:rsidR="00E01C2B" w:rsidRPr="004863F3" w:rsidRDefault="001E171F" w:rsidP="00E01C2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E01C2B" w:rsidRPr="004863F3">
              <w:rPr>
                <w:rFonts w:ascii="Arial" w:hAnsi="Arial" w:cs="Arial"/>
                <w:b/>
                <w:bCs/>
                <w:color w:val="000000"/>
                <w:sz w:val="16"/>
                <w:szCs w:val="16"/>
              </w:rPr>
              <w:t>27,605</w:t>
            </w:r>
          </w:p>
        </w:tc>
        <w:tc>
          <w:tcPr>
            <w:tcW w:w="631" w:type="pct"/>
            <w:tcBorders>
              <w:top w:val="nil"/>
              <w:left w:val="nil"/>
              <w:bottom w:val="nil"/>
              <w:right w:val="nil"/>
            </w:tcBorders>
            <w:shd w:val="clear" w:color="000000" w:fill="E6F2FF"/>
            <w:noWrap/>
            <w:vAlign w:val="bottom"/>
            <w:hideMark/>
          </w:tcPr>
          <w:p w14:paraId="45AD80E0" w14:textId="249553BE" w:rsidR="00E01C2B" w:rsidRPr="004863F3" w:rsidRDefault="001E171F" w:rsidP="00E01C2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E01C2B" w:rsidRPr="004863F3">
              <w:rPr>
                <w:rFonts w:ascii="Arial" w:hAnsi="Arial" w:cs="Arial"/>
                <w:b/>
                <w:bCs/>
                <w:color w:val="000000"/>
                <w:sz w:val="16"/>
                <w:szCs w:val="16"/>
              </w:rPr>
              <w:t>9,990</w:t>
            </w:r>
          </w:p>
        </w:tc>
        <w:tc>
          <w:tcPr>
            <w:tcW w:w="610" w:type="pct"/>
            <w:tcBorders>
              <w:top w:val="single" w:sz="4" w:space="0" w:color="000000"/>
              <w:left w:val="nil"/>
              <w:bottom w:val="nil"/>
              <w:right w:val="nil"/>
            </w:tcBorders>
            <w:shd w:val="clear" w:color="000000" w:fill="FFFFFF"/>
            <w:noWrap/>
            <w:vAlign w:val="bottom"/>
            <w:hideMark/>
          </w:tcPr>
          <w:p w14:paraId="2C35FAE0" w14:textId="77777777" w:rsidR="00E01C2B" w:rsidRPr="004863F3" w:rsidRDefault="00E01C2B" w:rsidP="00E01C2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17,615</w:t>
            </w:r>
          </w:p>
        </w:tc>
      </w:tr>
      <w:tr w:rsidR="00E01C2B" w:rsidRPr="004863F3" w14:paraId="3E00DABC"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73574934" w14:textId="77777777" w:rsidR="00E01C2B" w:rsidRPr="004863F3" w:rsidRDefault="00E01C2B" w:rsidP="00E01C2B">
            <w:pPr>
              <w:spacing w:before="0" w:after="0" w:line="240" w:lineRule="auto"/>
              <w:rPr>
                <w:rFonts w:ascii="Arial" w:hAnsi="Arial" w:cs="Arial"/>
                <w:b/>
                <w:bCs/>
                <w:color w:val="000000"/>
                <w:sz w:val="16"/>
                <w:szCs w:val="16"/>
              </w:rPr>
            </w:pPr>
            <w:proofErr w:type="gramStart"/>
            <w:r w:rsidRPr="004863F3">
              <w:rPr>
                <w:rFonts w:ascii="Arial" w:hAnsi="Arial" w:cs="Arial"/>
                <w:b/>
                <w:bCs/>
                <w:color w:val="000000"/>
                <w:sz w:val="16"/>
                <w:szCs w:val="16"/>
              </w:rPr>
              <w:t>plus</w:t>
            </w:r>
            <w:proofErr w:type="gramEnd"/>
            <w:r w:rsidRPr="004863F3">
              <w:rPr>
                <w:rFonts w:ascii="Arial" w:hAnsi="Arial" w:cs="Arial"/>
                <w:b/>
                <w:bCs/>
                <w:color w:val="000000"/>
                <w:sz w:val="16"/>
                <w:szCs w:val="16"/>
              </w:rPr>
              <w:t xml:space="preserve"> Net cash flows from investments in financial assets</w:t>
            </w:r>
          </w:p>
        </w:tc>
        <w:tc>
          <w:tcPr>
            <w:tcW w:w="631" w:type="pct"/>
            <w:tcBorders>
              <w:top w:val="nil"/>
              <w:left w:val="nil"/>
              <w:bottom w:val="nil"/>
              <w:right w:val="nil"/>
            </w:tcBorders>
            <w:shd w:val="clear" w:color="000000" w:fill="FFFFFF"/>
            <w:noWrap/>
            <w:vAlign w:val="bottom"/>
            <w:hideMark/>
          </w:tcPr>
          <w:p w14:paraId="76A0460D"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1" w:type="pct"/>
            <w:tcBorders>
              <w:top w:val="nil"/>
              <w:left w:val="nil"/>
              <w:bottom w:val="nil"/>
              <w:right w:val="nil"/>
            </w:tcBorders>
            <w:shd w:val="clear" w:color="000000" w:fill="E6F2FF"/>
            <w:noWrap/>
            <w:vAlign w:val="bottom"/>
            <w:hideMark/>
          </w:tcPr>
          <w:p w14:paraId="7DAC4BCB"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10" w:type="pct"/>
            <w:tcBorders>
              <w:top w:val="nil"/>
              <w:left w:val="nil"/>
              <w:bottom w:val="nil"/>
              <w:right w:val="nil"/>
            </w:tcBorders>
            <w:shd w:val="clear" w:color="000000" w:fill="FFFFFF"/>
            <w:noWrap/>
            <w:vAlign w:val="bottom"/>
            <w:hideMark/>
          </w:tcPr>
          <w:p w14:paraId="55E49A50"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r>
      <w:tr w:rsidR="00E01C2B" w:rsidRPr="004863F3" w14:paraId="5AB3CA97"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41D438CF" w14:textId="77777777" w:rsidR="00E01C2B" w:rsidRPr="004863F3" w:rsidRDefault="00E01C2B" w:rsidP="00E01C2B">
            <w:pPr>
              <w:spacing w:before="0" w:after="0" w:line="240" w:lineRule="auto"/>
              <w:ind w:left="170"/>
              <w:rPr>
                <w:rFonts w:ascii="Arial" w:hAnsi="Arial" w:cs="Arial"/>
                <w:b/>
                <w:bCs/>
                <w:color w:val="000000"/>
                <w:sz w:val="16"/>
                <w:szCs w:val="16"/>
              </w:rPr>
            </w:pPr>
            <w:r w:rsidRPr="004863F3">
              <w:rPr>
                <w:rFonts w:ascii="Arial" w:hAnsi="Arial" w:cs="Arial"/>
                <w:b/>
                <w:bCs/>
                <w:color w:val="000000"/>
                <w:sz w:val="16"/>
                <w:szCs w:val="16"/>
              </w:rPr>
              <w:t>for policy purposes(a)</w:t>
            </w:r>
          </w:p>
        </w:tc>
        <w:tc>
          <w:tcPr>
            <w:tcW w:w="631" w:type="pct"/>
            <w:tcBorders>
              <w:top w:val="nil"/>
              <w:left w:val="nil"/>
              <w:bottom w:val="nil"/>
              <w:right w:val="nil"/>
            </w:tcBorders>
            <w:shd w:val="clear" w:color="000000" w:fill="FFFFFF"/>
            <w:noWrap/>
            <w:vAlign w:val="bottom"/>
            <w:hideMark/>
          </w:tcPr>
          <w:p w14:paraId="0594473A"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1" w:type="pct"/>
            <w:tcBorders>
              <w:top w:val="nil"/>
              <w:left w:val="nil"/>
              <w:bottom w:val="nil"/>
              <w:right w:val="nil"/>
            </w:tcBorders>
            <w:shd w:val="clear" w:color="000000" w:fill="E6F2FF"/>
            <w:noWrap/>
            <w:vAlign w:val="bottom"/>
            <w:hideMark/>
          </w:tcPr>
          <w:p w14:paraId="247D305F"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10" w:type="pct"/>
            <w:tcBorders>
              <w:top w:val="nil"/>
              <w:left w:val="nil"/>
              <w:bottom w:val="nil"/>
              <w:right w:val="nil"/>
            </w:tcBorders>
            <w:shd w:val="clear" w:color="000000" w:fill="FFFFFF"/>
            <w:noWrap/>
            <w:vAlign w:val="bottom"/>
            <w:hideMark/>
          </w:tcPr>
          <w:p w14:paraId="71B57E1B"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r>
      <w:tr w:rsidR="00E01C2B" w:rsidRPr="004863F3" w14:paraId="658DB60B"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3E6FFB91"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Student loans</w:t>
            </w:r>
          </w:p>
        </w:tc>
        <w:tc>
          <w:tcPr>
            <w:tcW w:w="631" w:type="pct"/>
            <w:tcBorders>
              <w:top w:val="nil"/>
              <w:left w:val="nil"/>
              <w:bottom w:val="nil"/>
              <w:right w:val="nil"/>
            </w:tcBorders>
            <w:shd w:val="clear" w:color="000000" w:fill="FFFFFF"/>
            <w:noWrap/>
            <w:vAlign w:val="bottom"/>
            <w:hideMark/>
          </w:tcPr>
          <w:p w14:paraId="6912B50D" w14:textId="7F916893"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3,869</w:t>
            </w:r>
          </w:p>
        </w:tc>
        <w:tc>
          <w:tcPr>
            <w:tcW w:w="631" w:type="pct"/>
            <w:tcBorders>
              <w:top w:val="nil"/>
              <w:left w:val="nil"/>
              <w:bottom w:val="nil"/>
              <w:right w:val="nil"/>
            </w:tcBorders>
            <w:shd w:val="clear" w:color="000000" w:fill="E6F2FF"/>
            <w:noWrap/>
            <w:vAlign w:val="bottom"/>
            <w:hideMark/>
          </w:tcPr>
          <w:p w14:paraId="0DB8A997" w14:textId="44D47F50"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3,336</w:t>
            </w:r>
          </w:p>
        </w:tc>
        <w:tc>
          <w:tcPr>
            <w:tcW w:w="610" w:type="pct"/>
            <w:tcBorders>
              <w:top w:val="nil"/>
              <w:left w:val="nil"/>
              <w:bottom w:val="nil"/>
              <w:right w:val="nil"/>
            </w:tcBorders>
            <w:shd w:val="clear" w:color="000000" w:fill="FFFFFF"/>
            <w:noWrap/>
            <w:vAlign w:val="bottom"/>
            <w:hideMark/>
          </w:tcPr>
          <w:p w14:paraId="004EAE9F"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533</w:t>
            </w:r>
          </w:p>
        </w:tc>
      </w:tr>
      <w:tr w:rsidR="00E01C2B" w:rsidRPr="004863F3" w14:paraId="67E60263"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088DAB41"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NBN investment</w:t>
            </w:r>
          </w:p>
        </w:tc>
        <w:tc>
          <w:tcPr>
            <w:tcW w:w="631" w:type="pct"/>
            <w:tcBorders>
              <w:top w:val="nil"/>
              <w:left w:val="nil"/>
              <w:bottom w:val="nil"/>
              <w:right w:val="nil"/>
            </w:tcBorders>
            <w:shd w:val="clear" w:color="000000" w:fill="FFFFFF"/>
            <w:noWrap/>
            <w:vAlign w:val="bottom"/>
            <w:hideMark/>
          </w:tcPr>
          <w:p w14:paraId="3DEF83A7" w14:textId="52CA2B1D"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1,473</w:t>
            </w:r>
          </w:p>
        </w:tc>
        <w:tc>
          <w:tcPr>
            <w:tcW w:w="631" w:type="pct"/>
            <w:tcBorders>
              <w:top w:val="nil"/>
              <w:left w:val="nil"/>
              <w:bottom w:val="nil"/>
              <w:right w:val="nil"/>
            </w:tcBorders>
            <w:shd w:val="clear" w:color="000000" w:fill="E6F2FF"/>
            <w:noWrap/>
            <w:vAlign w:val="bottom"/>
            <w:hideMark/>
          </w:tcPr>
          <w:p w14:paraId="289A697F" w14:textId="54414D0E"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1,186</w:t>
            </w:r>
          </w:p>
        </w:tc>
        <w:tc>
          <w:tcPr>
            <w:tcW w:w="610" w:type="pct"/>
            <w:tcBorders>
              <w:top w:val="nil"/>
              <w:left w:val="nil"/>
              <w:bottom w:val="nil"/>
              <w:right w:val="nil"/>
            </w:tcBorders>
            <w:shd w:val="clear" w:color="000000" w:fill="FFFFFF"/>
            <w:noWrap/>
            <w:vAlign w:val="bottom"/>
            <w:hideMark/>
          </w:tcPr>
          <w:p w14:paraId="46CE0015"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287</w:t>
            </w:r>
          </w:p>
        </w:tc>
      </w:tr>
      <w:tr w:rsidR="00E01C2B" w:rsidRPr="004863F3" w14:paraId="180CA853"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7DF68B38"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Snowy Hydro Limited Loan</w:t>
            </w:r>
          </w:p>
        </w:tc>
        <w:tc>
          <w:tcPr>
            <w:tcW w:w="631" w:type="pct"/>
            <w:tcBorders>
              <w:top w:val="nil"/>
              <w:left w:val="nil"/>
              <w:bottom w:val="nil"/>
              <w:right w:val="nil"/>
            </w:tcBorders>
            <w:shd w:val="clear" w:color="000000" w:fill="FFFFFF"/>
            <w:noWrap/>
            <w:vAlign w:val="bottom"/>
            <w:hideMark/>
          </w:tcPr>
          <w:p w14:paraId="7647DBD3" w14:textId="7AD0706D"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150</w:t>
            </w:r>
          </w:p>
        </w:tc>
        <w:tc>
          <w:tcPr>
            <w:tcW w:w="631" w:type="pct"/>
            <w:tcBorders>
              <w:top w:val="nil"/>
              <w:left w:val="nil"/>
              <w:bottom w:val="nil"/>
              <w:right w:val="nil"/>
            </w:tcBorders>
            <w:shd w:val="clear" w:color="000000" w:fill="E6F2FF"/>
            <w:noWrap/>
            <w:vAlign w:val="bottom"/>
            <w:hideMark/>
          </w:tcPr>
          <w:p w14:paraId="3DC930DA" w14:textId="2EA7085C"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150</w:t>
            </w:r>
          </w:p>
        </w:tc>
        <w:tc>
          <w:tcPr>
            <w:tcW w:w="610" w:type="pct"/>
            <w:tcBorders>
              <w:top w:val="nil"/>
              <w:left w:val="nil"/>
              <w:bottom w:val="nil"/>
              <w:right w:val="nil"/>
            </w:tcBorders>
            <w:shd w:val="clear" w:color="000000" w:fill="FFFFFF"/>
            <w:noWrap/>
            <w:vAlign w:val="bottom"/>
            <w:hideMark/>
          </w:tcPr>
          <w:p w14:paraId="6A63F721"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0</w:t>
            </w:r>
          </w:p>
        </w:tc>
      </w:tr>
      <w:tr w:rsidR="00E01C2B" w:rsidRPr="004863F3" w14:paraId="369F4A73"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38A22AE1"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Snowy Hydro Limited investment</w:t>
            </w:r>
          </w:p>
        </w:tc>
        <w:tc>
          <w:tcPr>
            <w:tcW w:w="631" w:type="pct"/>
            <w:tcBorders>
              <w:top w:val="nil"/>
              <w:left w:val="nil"/>
              <w:bottom w:val="nil"/>
              <w:right w:val="nil"/>
            </w:tcBorders>
            <w:shd w:val="clear" w:color="000000" w:fill="FFFFFF"/>
            <w:noWrap/>
            <w:vAlign w:val="bottom"/>
            <w:hideMark/>
          </w:tcPr>
          <w:p w14:paraId="4053D274" w14:textId="4D6BAFE8"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1,625</w:t>
            </w:r>
          </w:p>
        </w:tc>
        <w:tc>
          <w:tcPr>
            <w:tcW w:w="631" w:type="pct"/>
            <w:tcBorders>
              <w:top w:val="nil"/>
              <w:left w:val="nil"/>
              <w:bottom w:val="nil"/>
              <w:right w:val="nil"/>
            </w:tcBorders>
            <w:shd w:val="clear" w:color="000000" w:fill="E6F2FF"/>
            <w:noWrap/>
            <w:vAlign w:val="bottom"/>
            <w:hideMark/>
          </w:tcPr>
          <w:p w14:paraId="6ABD8860" w14:textId="672128FA"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1,625</w:t>
            </w:r>
          </w:p>
        </w:tc>
        <w:tc>
          <w:tcPr>
            <w:tcW w:w="610" w:type="pct"/>
            <w:tcBorders>
              <w:top w:val="nil"/>
              <w:left w:val="nil"/>
              <w:bottom w:val="nil"/>
              <w:right w:val="nil"/>
            </w:tcBorders>
            <w:shd w:val="clear" w:color="000000" w:fill="FFFFFF"/>
            <w:noWrap/>
            <w:vAlign w:val="bottom"/>
            <w:hideMark/>
          </w:tcPr>
          <w:p w14:paraId="0425BBB9"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0</w:t>
            </w:r>
          </w:p>
        </w:tc>
      </w:tr>
      <w:tr w:rsidR="00E01C2B" w:rsidRPr="004863F3" w14:paraId="2A4A3D89"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17F7F7FE"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Australian apprenticeship support loans</w:t>
            </w:r>
          </w:p>
        </w:tc>
        <w:tc>
          <w:tcPr>
            <w:tcW w:w="631" w:type="pct"/>
            <w:tcBorders>
              <w:top w:val="nil"/>
              <w:left w:val="nil"/>
              <w:bottom w:val="nil"/>
              <w:right w:val="nil"/>
            </w:tcBorders>
            <w:shd w:val="clear" w:color="000000" w:fill="FFFFFF"/>
            <w:noWrap/>
            <w:vAlign w:val="bottom"/>
            <w:hideMark/>
          </w:tcPr>
          <w:p w14:paraId="1EF1996D" w14:textId="40E3314C"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114</w:t>
            </w:r>
          </w:p>
        </w:tc>
        <w:tc>
          <w:tcPr>
            <w:tcW w:w="631" w:type="pct"/>
            <w:tcBorders>
              <w:top w:val="nil"/>
              <w:left w:val="nil"/>
              <w:bottom w:val="nil"/>
              <w:right w:val="nil"/>
            </w:tcBorders>
            <w:shd w:val="clear" w:color="000000" w:fill="E6F2FF"/>
            <w:noWrap/>
            <w:vAlign w:val="bottom"/>
            <w:hideMark/>
          </w:tcPr>
          <w:p w14:paraId="3597AF62" w14:textId="49C4E139"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99</w:t>
            </w:r>
          </w:p>
        </w:tc>
        <w:tc>
          <w:tcPr>
            <w:tcW w:w="610" w:type="pct"/>
            <w:tcBorders>
              <w:top w:val="nil"/>
              <w:left w:val="nil"/>
              <w:bottom w:val="nil"/>
              <w:right w:val="nil"/>
            </w:tcBorders>
            <w:shd w:val="clear" w:color="000000" w:fill="FFFFFF"/>
            <w:noWrap/>
            <w:vAlign w:val="bottom"/>
            <w:hideMark/>
          </w:tcPr>
          <w:p w14:paraId="173012B4"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w:t>
            </w:r>
          </w:p>
        </w:tc>
      </w:tr>
      <w:tr w:rsidR="00E01C2B" w:rsidRPr="004863F3" w14:paraId="355CBEEE"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7D2788CF"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CEFC loans and investments</w:t>
            </w:r>
          </w:p>
        </w:tc>
        <w:tc>
          <w:tcPr>
            <w:tcW w:w="631" w:type="pct"/>
            <w:tcBorders>
              <w:top w:val="nil"/>
              <w:left w:val="nil"/>
              <w:bottom w:val="nil"/>
              <w:right w:val="nil"/>
            </w:tcBorders>
            <w:shd w:val="clear" w:color="000000" w:fill="FFFFFF"/>
            <w:noWrap/>
            <w:vAlign w:val="bottom"/>
            <w:hideMark/>
          </w:tcPr>
          <w:p w14:paraId="70B85772" w14:textId="446DBE27"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3,106</w:t>
            </w:r>
          </w:p>
        </w:tc>
        <w:tc>
          <w:tcPr>
            <w:tcW w:w="631" w:type="pct"/>
            <w:tcBorders>
              <w:top w:val="nil"/>
              <w:left w:val="nil"/>
              <w:bottom w:val="nil"/>
              <w:right w:val="nil"/>
            </w:tcBorders>
            <w:shd w:val="clear" w:color="000000" w:fill="E6F2FF"/>
            <w:noWrap/>
            <w:vAlign w:val="bottom"/>
            <w:hideMark/>
          </w:tcPr>
          <w:p w14:paraId="6AFFA021" w14:textId="3607D52E"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2,058</w:t>
            </w:r>
          </w:p>
        </w:tc>
        <w:tc>
          <w:tcPr>
            <w:tcW w:w="610" w:type="pct"/>
            <w:tcBorders>
              <w:top w:val="nil"/>
              <w:left w:val="nil"/>
              <w:bottom w:val="nil"/>
              <w:right w:val="nil"/>
            </w:tcBorders>
            <w:shd w:val="clear" w:color="000000" w:fill="FFFFFF"/>
            <w:noWrap/>
            <w:vAlign w:val="bottom"/>
            <w:hideMark/>
          </w:tcPr>
          <w:p w14:paraId="6BAF0B98"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1,048</w:t>
            </w:r>
          </w:p>
        </w:tc>
      </w:tr>
      <w:tr w:rsidR="00E01C2B" w:rsidRPr="004863F3" w14:paraId="6E0DABB6"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42157BEA"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 xml:space="preserve">Northern Australia Infrastructure Facility </w:t>
            </w:r>
          </w:p>
        </w:tc>
        <w:tc>
          <w:tcPr>
            <w:tcW w:w="631" w:type="pct"/>
            <w:tcBorders>
              <w:top w:val="nil"/>
              <w:left w:val="nil"/>
              <w:bottom w:val="nil"/>
              <w:right w:val="nil"/>
            </w:tcBorders>
            <w:shd w:val="clear" w:color="000000" w:fill="FFFFFF"/>
            <w:noWrap/>
            <w:vAlign w:val="bottom"/>
            <w:hideMark/>
          </w:tcPr>
          <w:p w14:paraId="4D3F9679" w14:textId="7C59D361"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492</w:t>
            </w:r>
          </w:p>
        </w:tc>
        <w:tc>
          <w:tcPr>
            <w:tcW w:w="631" w:type="pct"/>
            <w:tcBorders>
              <w:top w:val="nil"/>
              <w:left w:val="nil"/>
              <w:bottom w:val="nil"/>
              <w:right w:val="nil"/>
            </w:tcBorders>
            <w:shd w:val="clear" w:color="000000" w:fill="E6F2FF"/>
            <w:noWrap/>
            <w:vAlign w:val="bottom"/>
            <w:hideMark/>
          </w:tcPr>
          <w:p w14:paraId="1B7C9153" w14:textId="67C59332"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202</w:t>
            </w:r>
          </w:p>
        </w:tc>
        <w:tc>
          <w:tcPr>
            <w:tcW w:w="610" w:type="pct"/>
            <w:tcBorders>
              <w:top w:val="nil"/>
              <w:left w:val="nil"/>
              <w:bottom w:val="nil"/>
              <w:right w:val="nil"/>
            </w:tcBorders>
            <w:shd w:val="clear" w:color="000000" w:fill="FFFFFF"/>
            <w:noWrap/>
            <w:vAlign w:val="bottom"/>
            <w:hideMark/>
          </w:tcPr>
          <w:p w14:paraId="14DFF02D"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291</w:t>
            </w:r>
          </w:p>
        </w:tc>
      </w:tr>
      <w:tr w:rsidR="00E01C2B" w:rsidRPr="004863F3" w14:paraId="2E8ED967"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1D815C41"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NRFC loans and investments</w:t>
            </w:r>
          </w:p>
        </w:tc>
        <w:tc>
          <w:tcPr>
            <w:tcW w:w="631" w:type="pct"/>
            <w:tcBorders>
              <w:top w:val="nil"/>
              <w:left w:val="nil"/>
              <w:bottom w:val="nil"/>
              <w:right w:val="nil"/>
            </w:tcBorders>
            <w:shd w:val="clear" w:color="000000" w:fill="FFFFFF"/>
            <w:noWrap/>
            <w:vAlign w:val="bottom"/>
            <w:hideMark/>
          </w:tcPr>
          <w:p w14:paraId="06BCFC43" w14:textId="7F6F89C2"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1,299</w:t>
            </w:r>
          </w:p>
        </w:tc>
        <w:tc>
          <w:tcPr>
            <w:tcW w:w="631" w:type="pct"/>
            <w:tcBorders>
              <w:top w:val="nil"/>
              <w:left w:val="nil"/>
              <w:bottom w:val="nil"/>
              <w:right w:val="nil"/>
            </w:tcBorders>
            <w:shd w:val="clear" w:color="000000" w:fill="E6F2FF"/>
            <w:noWrap/>
            <w:vAlign w:val="bottom"/>
            <w:hideMark/>
          </w:tcPr>
          <w:p w14:paraId="1B26573B" w14:textId="562C1C06"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164</w:t>
            </w:r>
          </w:p>
        </w:tc>
        <w:tc>
          <w:tcPr>
            <w:tcW w:w="610" w:type="pct"/>
            <w:tcBorders>
              <w:top w:val="nil"/>
              <w:left w:val="nil"/>
              <w:bottom w:val="nil"/>
              <w:right w:val="nil"/>
            </w:tcBorders>
            <w:shd w:val="clear" w:color="000000" w:fill="FFFFFF"/>
            <w:noWrap/>
            <w:vAlign w:val="bottom"/>
            <w:hideMark/>
          </w:tcPr>
          <w:p w14:paraId="28ED3173"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1,135</w:t>
            </w:r>
          </w:p>
        </w:tc>
      </w:tr>
      <w:tr w:rsidR="00E01C2B" w:rsidRPr="004863F3" w14:paraId="4251A3C9"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393708FA"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Australian Business Securitisation Fund</w:t>
            </w:r>
          </w:p>
        </w:tc>
        <w:tc>
          <w:tcPr>
            <w:tcW w:w="631" w:type="pct"/>
            <w:tcBorders>
              <w:top w:val="nil"/>
              <w:left w:val="nil"/>
              <w:bottom w:val="nil"/>
              <w:right w:val="nil"/>
            </w:tcBorders>
            <w:shd w:val="clear" w:color="000000" w:fill="FFFFFF"/>
            <w:noWrap/>
            <w:vAlign w:val="bottom"/>
            <w:hideMark/>
          </w:tcPr>
          <w:p w14:paraId="0F604061" w14:textId="16FCCBF0"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563</w:t>
            </w:r>
          </w:p>
        </w:tc>
        <w:tc>
          <w:tcPr>
            <w:tcW w:w="631" w:type="pct"/>
            <w:tcBorders>
              <w:top w:val="nil"/>
              <w:left w:val="nil"/>
              <w:bottom w:val="nil"/>
              <w:right w:val="nil"/>
            </w:tcBorders>
            <w:shd w:val="clear" w:color="000000" w:fill="E6F2FF"/>
            <w:noWrap/>
            <w:vAlign w:val="bottom"/>
            <w:hideMark/>
          </w:tcPr>
          <w:p w14:paraId="7A928FBE" w14:textId="5C7541DF"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58</w:t>
            </w:r>
          </w:p>
        </w:tc>
        <w:tc>
          <w:tcPr>
            <w:tcW w:w="610" w:type="pct"/>
            <w:tcBorders>
              <w:top w:val="nil"/>
              <w:left w:val="nil"/>
              <w:bottom w:val="nil"/>
              <w:right w:val="nil"/>
            </w:tcBorders>
            <w:shd w:val="clear" w:color="000000" w:fill="FFFFFF"/>
            <w:noWrap/>
            <w:vAlign w:val="bottom"/>
            <w:hideMark/>
          </w:tcPr>
          <w:p w14:paraId="63A1694D"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505</w:t>
            </w:r>
          </w:p>
        </w:tc>
      </w:tr>
      <w:tr w:rsidR="00E01C2B" w:rsidRPr="004863F3" w14:paraId="407E73F6"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510536AD"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Structured Finance Support Fund</w:t>
            </w:r>
          </w:p>
        </w:tc>
        <w:tc>
          <w:tcPr>
            <w:tcW w:w="631" w:type="pct"/>
            <w:tcBorders>
              <w:top w:val="nil"/>
              <w:left w:val="nil"/>
              <w:bottom w:val="nil"/>
              <w:right w:val="nil"/>
            </w:tcBorders>
            <w:shd w:val="clear" w:color="000000" w:fill="FFFFFF"/>
            <w:noWrap/>
            <w:vAlign w:val="bottom"/>
            <w:hideMark/>
          </w:tcPr>
          <w:p w14:paraId="500F70D3"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153</w:t>
            </w:r>
          </w:p>
        </w:tc>
        <w:tc>
          <w:tcPr>
            <w:tcW w:w="631" w:type="pct"/>
            <w:tcBorders>
              <w:top w:val="nil"/>
              <w:left w:val="nil"/>
              <w:bottom w:val="nil"/>
              <w:right w:val="nil"/>
            </w:tcBorders>
            <w:shd w:val="clear" w:color="000000" w:fill="E6F2FF"/>
            <w:noWrap/>
            <w:vAlign w:val="bottom"/>
            <w:hideMark/>
          </w:tcPr>
          <w:p w14:paraId="7B6830A8"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153</w:t>
            </w:r>
          </w:p>
        </w:tc>
        <w:tc>
          <w:tcPr>
            <w:tcW w:w="610" w:type="pct"/>
            <w:tcBorders>
              <w:top w:val="nil"/>
              <w:left w:val="nil"/>
              <w:bottom w:val="nil"/>
              <w:right w:val="nil"/>
            </w:tcBorders>
            <w:shd w:val="clear" w:color="000000" w:fill="FFFFFF"/>
            <w:noWrap/>
            <w:vAlign w:val="bottom"/>
            <w:hideMark/>
          </w:tcPr>
          <w:p w14:paraId="671F8D59"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0</w:t>
            </w:r>
          </w:p>
        </w:tc>
      </w:tr>
      <w:tr w:rsidR="00E01C2B" w:rsidRPr="004863F3" w14:paraId="490D4557"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4E337C08"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Drought and rural assistance loans</w:t>
            </w:r>
          </w:p>
        </w:tc>
        <w:tc>
          <w:tcPr>
            <w:tcW w:w="631" w:type="pct"/>
            <w:tcBorders>
              <w:top w:val="nil"/>
              <w:left w:val="nil"/>
              <w:bottom w:val="nil"/>
              <w:right w:val="nil"/>
            </w:tcBorders>
            <w:shd w:val="clear" w:color="000000" w:fill="FFFFFF"/>
            <w:noWrap/>
            <w:vAlign w:val="bottom"/>
            <w:hideMark/>
          </w:tcPr>
          <w:p w14:paraId="282A2CAE" w14:textId="02F8A4A9"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334</w:t>
            </w:r>
          </w:p>
        </w:tc>
        <w:tc>
          <w:tcPr>
            <w:tcW w:w="631" w:type="pct"/>
            <w:tcBorders>
              <w:top w:val="nil"/>
              <w:left w:val="nil"/>
              <w:bottom w:val="nil"/>
              <w:right w:val="nil"/>
            </w:tcBorders>
            <w:shd w:val="clear" w:color="000000" w:fill="E6F2FF"/>
            <w:noWrap/>
            <w:vAlign w:val="bottom"/>
            <w:hideMark/>
          </w:tcPr>
          <w:p w14:paraId="7500C6A8" w14:textId="6151561D"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35</w:t>
            </w:r>
          </w:p>
        </w:tc>
        <w:tc>
          <w:tcPr>
            <w:tcW w:w="610" w:type="pct"/>
            <w:tcBorders>
              <w:top w:val="nil"/>
              <w:left w:val="nil"/>
              <w:bottom w:val="nil"/>
              <w:right w:val="nil"/>
            </w:tcBorders>
            <w:shd w:val="clear" w:color="000000" w:fill="FFFFFF"/>
            <w:noWrap/>
            <w:vAlign w:val="bottom"/>
            <w:hideMark/>
          </w:tcPr>
          <w:p w14:paraId="39D204C1"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298</w:t>
            </w:r>
          </w:p>
        </w:tc>
      </w:tr>
      <w:tr w:rsidR="00E01C2B" w:rsidRPr="004863F3" w14:paraId="09B985AE"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1D2A03A8"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Official Development Assistance – Australian Development Investments</w:t>
            </w:r>
          </w:p>
        </w:tc>
        <w:tc>
          <w:tcPr>
            <w:tcW w:w="631" w:type="pct"/>
            <w:tcBorders>
              <w:top w:val="nil"/>
              <w:left w:val="nil"/>
              <w:bottom w:val="nil"/>
              <w:right w:val="nil"/>
            </w:tcBorders>
            <w:shd w:val="clear" w:color="000000" w:fill="FFFFFF"/>
            <w:noWrap/>
            <w:vAlign w:val="bottom"/>
            <w:hideMark/>
          </w:tcPr>
          <w:p w14:paraId="6FDB10D5" w14:textId="1E2678C8"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102</w:t>
            </w:r>
          </w:p>
        </w:tc>
        <w:tc>
          <w:tcPr>
            <w:tcW w:w="631" w:type="pct"/>
            <w:tcBorders>
              <w:top w:val="nil"/>
              <w:left w:val="nil"/>
              <w:bottom w:val="nil"/>
              <w:right w:val="nil"/>
            </w:tcBorders>
            <w:shd w:val="clear" w:color="000000" w:fill="E6F2FF"/>
            <w:noWrap/>
            <w:vAlign w:val="bottom"/>
            <w:hideMark/>
          </w:tcPr>
          <w:p w14:paraId="42219C30" w14:textId="6B1FEFED"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102</w:t>
            </w:r>
          </w:p>
        </w:tc>
        <w:tc>
          <w:tcPr>
            <w:tcW w:w="610" w:type="pct"/>
            <w:tcBorders>
              <w:top w:val="nil"/>
              <w:left w:val="nil"/>
              <w:bottom w:val="nil"/>
              <w:right w:val="nil"/>
            </w:tcBorders>
            <w:shd w:val="clear" w:color="000000" w:fill="FFFFFF"/>
            <w:noWrap/>
            <w:vAlign w:val="bottom"/>
            <w:hideMark/>
          </w:tcPr>
          <w:p w14:paraId="1E71AAFE"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0</w:t>
            </w:r>
          </w:p>
        </w:tc>
      </w:tr>
      <w:tr w:rsidR="00E01C2B" w:rsidRPr="004863F3" w14:paraId="7C6F84D8"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2D4A088D"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Official Development Assistance – Multilateral Replenishment</w:t>
            </w:r>
          </w:p>
        </w:tc>
        <w:tc>
          <w:tcPr>
            <w:tcW w:w="631" w:type="pct"/>
            <w:tcBorders>
              <w:top w:val="nil"/>
              <w:left w:val="nil"/>
              <w:bottom w:val="nil"/>
              <w:right w:val="nil"/>
            </w:tcBorders>
            <w:shd w:val="clear" w:color="000000" w:fill="FFFFFF"/>
            <w:noWrap/>
            <w:vAlign w:val="bottom"/>
            <w:hideMark/>
          </w:tcPr>
          <w:p w14:paraId="0C36E6BD" w14:textId="2BB14684"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142</w:t>
            </w:r>
          </w:p>
        </w:tc>
        <w:tc>
          <w:tcPr>
            <w:tcW w:w="631" w:type="pct"/>
            <w:tcBorders>
              <w:top w:val="nil"/>
              <w:left w:val="nil"/>
              <w:bottom w:val="nil"/>
              <w:right w:val="nil"/>
            </w:tcBorders>
            <w:shd w:val="clear" w:color="000000" w:fill="E6F2FF"/>
            <w:noWrap/>
            <w:vAlign w:val="bottom"/>
            <w:hideMark/>
          </w:tcPr>
          <w:p w14:paraId="313E8826" w14:textId="36BB5111"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142</w:t>
            </w:r>
          </w:p>
        </w:tc>
        <w:tc>
          <w:tcPr>
            <w:tcW w:w="610" w:type="pct"/>
            <w:tcBorders>
              <w:top w:val="nil"/>
              <w:left w:val="nil"/>
              <w:bottom w:val="nil"/>
              <w:right w:val="nil"/>
            </w:tcBorders>
            <w:shd w:val="clear" w:color="000000" w:fill="FFFFFF"/>
            <w:noWrap/>
            <w:vAlign w:val="bottom"/>
            <w:hideMark/>
          </w:tcPr>
          <w:p w14:paraId="46F9E914"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0</w:t>
            </w:r>
          </w:p>
        </w:tc>
      </w:tr>
      <w:tr w:rsidR="00E01C2B" w:rsidRPr="004863F3" w14:paraId="767D0D94"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5D4857D7"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Home Equity Access Scheme</w:t>
            </w:r>
          </w:p>
        </w:tc>
        <w:tc>
          <w:tcPr>
            <w:tcW w:w="631" w:type="pct"/>
            <w:tcBorders>
              <w:top w:val="nil"/>
              <w:left w:val="nil"/>
              <w:bottom w:val="nil"/>
              <w:right w:val="nil"/>
            </w:tcBorders>
            <w:shd w:val="clear" w:color="000000" w:fill="FFFFFF"/>
            <w:noWrap/>
            <w:vAlign w:val="bottom"/>
            <w:hideMark/>
          </w:tcPr>
          <w:p w14:paraId="3B5EB93C" w14:textId="68EE918D"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179</w:t>
            </w:r>
          </w:p>
        </w:tc>
        <w:tc>
          <w:tcPr>
            <w:tcW w:w="631" w:type="pct"/>
            <w:tcBorders>
              <w:top w:val="nil"/>
              <w:left w:val="nil"/>
              <w:bottom w:val="nil"/>
              <w:right w:val="nil"/>
            </w:tcBorders>
            <w:shd w:val="clear" w:color="000000" w:fill="E6F2FF"/>
            <w:noWrap/>
            <w:vAlign w:val="bottom"/>
            <w:hideMark/>
          </w:tcPr>
          <w:p w14:paraId="3BF4FC61" w14:textId="358D5968"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167</w:t>
            </w:r>
          </w:p>
        </w:tc>
        <w:tc>
          <w:tcPr>
            <w:tcW w:w="610" w:type="pct"/>
            <w:tcBorders>
              <w:top w:val="nil"/>
              <w:left w:val="nil"/>
              <w:bottom w:val="nil"/>
              <w:right w:val="nil"/>
            </w:tcBorders>
            <w:shd w:val="clear" w:color="000000" w:fill="FFFFFF"/>
            <w:noWrap/>
            <w:vAlign w:val="bottom"/>
            <w:hideMark/>
          </w:tcPr>
          <w:p w14:paraId="4082D6F3"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12</w:t>
            </w:r>
          </w:p>
        </w:tc>
      </w:tr>
      <w:tr w:rsidR="00E01C2B" w:rsidRPr="004863F3" w14:paraId="33733FBE"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367ED6C9"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Housing Australia</w:t>
            </w:r>
          </w:p>
        </w:tc>
        <w:tc>
          <w:tcPr>
            <w:tcW w:w="631" w:type="pct"/>
            <w:tcBorders>
              <w:top w:val="nil"/>
              <w:left w:val="nil"/>
              <w:bottom w:val="nil"/>
              <w:right w:val="nil"/>
            </w:tcBorders>
            <w:shd w:val="clear" w:color="000000" w:fill="FFFFFF"/>
            <w:noWrap/>
            <w:vAlign w:val="bottom"/>
            <w:hideMark/>
          </w:tcPr>
          <w:p w14:paraId="3B02A5C7" w14:textId="7A49BD70"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913</w:t>
            </w:r>
          </w:p>
        </w:tc>
        <w:tc>
          <w:tcPr>
            <w:tcW w:w="631" w:type="pct"/>
            <w:tcBorders>
              <w:top w:val="nil"/>
              <w:left w:val="nil"/>
              <w:bottom w:val="nil"/>
              <w:right w:val="nil"/>
            </w:tcBorders>
            <w:shd w:val="clear" w:color="000000" w:fill="E6F2FF"/>
            <w:noWrap/>
            <w:vAlign w:val="bottom"/>
            <w:hideMark/>
          </w:tcPr>
          <w:p w14:paraId="6F9E8514"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113</w:t>
            </w:r>
          </w:p>
        </w:tc>
        <w:tc>
          <w:tcPr>
            <w:tcW w:w="610" w:type="pct"/>
            <w:tcBorders>
              <w:top w:val="nil"/>
              <w:left w:val="nil"/>
              <w:bottom w:val="nil"/>
              <w:right w:val="nil"/>
            </w:tcBorders>
            <w:shd w:val="clear" w:color="000000" w:fill="FFFFFF"/>
            <w:noWrap/>
            <w:vAlign w:val="bottom"/>
            <w:hideMark/>
          </w:tcPr>
          <w:p w14:paraId="2F643C8A"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1,027</w:t>
            </w:r>
          </w:p>
        </w:tc>
      </w:tr>
      <w:tr w:rsidR="00E01C2B" w:rsidRPr="004863F3" w14:paraId="212EFDCA"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67612C0B"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Indigenous Business Australia home and business loans</w:t>
            </w:r>
          </w:p>
        </w:tc>
        <w:tc>
          <w:tcPr>
            <w:tcW w:w="631" w:type="pct"/>
            <w:tcBorders>
              <w:top w:val="nil"/>
              <w:left w:val="nil"/>
              <w:bottom w:val="nil"/>
              <w:right w:val="nil"/>
            </w:tcBorders>
            <w:shd w:val="clear" w:color="000000" w:fill="FFFFFF"/>
            <w:noWrap/>
            <w:vAlign w:val="bottom"/>
            <w:hideMark/>
          </w:tcPr>
          <w:p w14:paraId="15E3A1E7" w14:textId="59F39492"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104</w:t>
            </w:r>
          </w:p>
        </w:tc>
        <w:tc>
          <w:tcPr>
            <w:tcW w:w="631" w:type="pct"/>
            <w:tcBorders>
              <w:top w:val="nil"/>
              <w:left w:val="nil"/>
              <w:bottom w:val="nil"/>
              <w:right w:val="nil"/>
            </w:tcBorders>
            <w:shd w:val="clear" w:color="000000" w:fill="E6F2FF"/>
            <w:noWrap/>
            <w:vAlign w:val="bottom"/>
            <w:hideMark/>
          </w:tcPr>
          <w:p w14:paraId="58C6D0B7" w14:textId="7E0559C1"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149</w:t>
            </w:r>
          </w:p>
        </w:tc>
        <w:tc>
          <w:tcPr>
            <w:tcW w:w="610" w:type="pct"/>
            <w:tcBorders>
              <w:top w:val="nil"/>
              <w:left w:val="nil"/>
              <w:bottom w:val="nil"/>
              <w:right w:val="nil"/>
            </w:tcBorders>
            <w:shd w:val="clear" w:color="000000" w:fill="FFFFFF"/>
            <w:noWrap/>
            <w:vAlign w:val="bottom"/>
            <w:hideMark/>
          </w:tcPr>
          <w:p w14:paraId="5E41E65A" w14:textId="7BE22D96"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44</w:t>
            </w:r>
          </w:p>
        </w:tc>
      </w:tr>
      <w:tr w:rsidR="00E01C2B" w:rsidRPr="004863F3" w14:paraId="7256374E"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22CAE1DC"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 xml:space="preserve">National Interest Account loans and investments </w:t>
            </w:r>
          </w:p>
        </w:tc>
        <w:tc>
          <w:tcPr>
            <w:tcW w:w="631" w:type="pct"/>
            <w:tcBorders>
              <w:top w:val="nil"/>
              <w:left w:val="nil"/>
              <w:bottom w:val="nil"/>
              <w:right w:val="nil"/>
            </w:tcBorders>
            <w:shd w:val="clear" w:color="000000" w:fill="FFFFFF"/>
            <w:noWrap/>
            <w:vAlign w:val="bottom"/>
            <w:hideMark/>
          </w:tcPr>
          <w:p w14:paraId="5C478698" w14:textId="0DA1C93D"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886</w:t>
            </w:r>
          </w:p>
        </w:tc>
        <w:tc>
          <w:tcPr>
            <w:tcW w:w="631" w:type="pct"/>
            <w:tcBorders>
              <w:top w:val="nil"/>
              <w:left w:val="nil"/>
              <w:bottom w:val="nil"/>
              <w:right w:val="nil"/>
            </w:tcBorders>
            <w:shd w:val="clear" w:color="000000" w:fill="E6F2FF"/>
            <w:noWrap/>
            <w:vAlign w:val="bottom"/>
            <w:hideMark/>
          </w:tcPr>
          <w:p w14:paraId="3F034E9C" w14:textId="4F192BFA"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258</w:t>
            </w:r>
          </w:p>
        </w:tc>
        <w:tc>
          <w:tcPr>
            <w:tcW w:w="610" w:type="pct"/>
            <w:tcBorders>
              <w:top w:val="nil"/>
              <w:left w:val="nil"/>
              <w:bottom w:val="nil"/>
              <w:right w:val="nil"/>
            </w:tcBorders>
            <w:shd w:val="clear" w:color="000000" w:fill="FFFFFF"/>
            <w:noWrap/>
            <w:vAlign w:val="bottom"/>
            <w:hideMark/>
          </w:tcPr>
          <w:p w14:paraId="7CEB84E5"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628</w:t>
            </w:r>
          </w:p>
        </w:tc>
      </w:tr>
      <w:tr w:rsidR="00E01C2B" w:rsidRPr="004863F3" w14:paraId="2EF0CE90"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70949DC0" w14:textId="3A9DC33F"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COVID</w:t>
            </w:r>
            <w:r w:rsidR="001E171F" w:rsidRPr="004863F3">
              <w:rPr>
                <w:rFonts w:ascii="Arial" w:hAnsi="Arial" w:cs="Arial"/>
                <w:color w:val="000000"/>
                <w:sz w:val="16"/>
                <w:szCs w:val="16"/>
              </w:rPr>
              <w:noBreakHyphen/>
            </w:r>
            <w:r w:rsidRPr="004863F3">
              <w:rPr>
                <w:rFonts w:ascii="Arial" w:hAnsi="Arial" w:cs="Arial"/>
                <w:color w:val="000000"/>
                <w:sz w:val="16"/>
                <w:szCs w:val="16"/>
              </w:rPr>
              <w:t>19 Support for Indonesia – loan</w:t>
            </w:r>
          </w:p>
        </w:tc>
        <w:tc>
          <w:tcPr>
            <w:tcW w:w="631" w:type="pct"/>
            <w:tcBorders>
              <w:top w:val="nil"/>
              <w:left w:val="nil"/>
              <w:bottom w:val="nil"/>
              <w:right w:val="nil"/>
            </w:tcBorders>
            <w:shd w:val="clear" w:color="000000" w:fill="FFFFFF"/>
            <w:noWrap/>
            <w:vAlign w:val="bottom"/>
            <w:hideMark/>
          </w:tcPr>
          <w:p w14:paraId="1074B6AE"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100</w:t>
            </w:r>
          </w:p>
        </w:tc>
        <w:tc>
          <w:tcPr>
            <w:tcW w:w="631" w:type="pct"/>
            <w:tcBorders>
              <w:top w:val="nil"/>
              <w:left w:val="nil"/>
              <w:bottom w:val="nil"/>
              <w:right w:val="nil"/>
            </w:tcBorders>
            <w:shd w:val="clear" w:color="000000" w:fill="E6F2FF"/>
            <w:noWrap/>
            <w:vAlign w:val="bottom"/>
            <w:hideMark/>
          </w:tcPr>
          <w:p w14:paraId="6890E249"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100</w:t>
            </w:r>
          </w:p>
        </w:tc>
        <w:tc>
          <w:tcPr>
            <w:tcW w:w="610" w:type="pct"/>
            <w:tcBorders>
              <w:top w:val="nil"/>
              <w:left w:val="nil"/>
              <w:bottom w:val="nil"/>
              <w:right w:val="nil"/>
            </w:tcBorders>
            <w:shd w:val="clear" w:color="000000" w:fill="FFFFFF"/>
            <w:noWrap/>
            <w:vAlign w:val="bottom"/>
            <w:hideMark/>
          </w:tcPr>
          <w:p w14:paraId="194609C0"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0</w:t>
            </w:r>
          </w:p>
        </w:tc>
      </w:tr>
      <w:tr w:rsidR="00E01C2B" w:rsidRPr="004863F3" w14:paraId="4A6FA24E"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67312C8C"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Financial Assistance to Papua New Guinea – loan</w:t>
            </w:r>
          </w:p>
        </w:tc>
        <w:tc>
          <w:tcPr>
            <w:tcW w:w="631" w:type="pct"/>
            <w:tcBorders>
              <w:top w:val="nil"/>
              <w:left w:val="nil"/>
              <w:bottom w:val="nil"/>
              <w:right w:val="nil"/>
            </w:tcBorders>
            <w:shd w:val="clear" w:color="000000" w:fill="FFFFFF"/>
            <w:noWrap/>
            <w:vAlign w:val="bottom"/>
            <w:hideMark/>
          </w:tcPr>
          <w:p w14:paraId="6486E693" w14:textId="3B4F628C"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415</w:t>
            </w:r>
          </w:p>
        </w:tc>
        <w:tc>
          <w:tcPr>
            <w:tcW w:w="631" w:type="pct"/>
            <w:tcBorders>
              <w:top w:val="nil"/>
              <w:left w:val="nil"/>
              <w:bottom w:val="nil"/>
              <w:right w:val="nil"/>
            </w:tcBorders>
            <w:shd w:val="clear" w:color="000000" w:fill="E6F2FF"/>
            <w:noWrap/>
            <w:vAlign w:val="bottom"/>
            <w:hideMark/>
          </w:tcPr>
          <w:p w14:paraId="26488EF0" w14:textId="45C00466"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415</w:t>
            </w:r>
          </w:p>
        </w:tc>
        <w:tc>
          <w:tcPr>
            <w:tcW w:w="610" w:type="pct"/>
            <w:tcBorders>
              <w:top w:val="nil"/>
              <w:left w:val="nil"/>
              <w:bottom w:val="nil"/>
              <w:right w:val="nil"/>
            </w:tcBorders>
            <w:shd w:val="clear" w:color="000000" w:fill="FFFFFF"/>
            <w:noWrap/>
            <w:vAlign w:val="bottom"/>
            <w:hideMark/>
          </w:tcPr>
          <w:p w14:paraId="48A0587D"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0</w:t>
            </w:r>
          </w:p>
        </w:tc>
      </w:tr>
      <w:tr w:rsidR="00E01C2B" w:rsidRPr="004863F3" w14:paraId="6C1C29F6"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37B25D95" w14:textId="77777777" w:rsidR="00E01C2B" w:rsidRPr="004863F3" w:rsidRDefault="00E01C2B" w:rsidP="00E01C2B">
            <w:pPr>
              <w:spacing w:before="0" w:after="0" w:line="240" w:lineRule="auto"/>
              <w:ind w:left="170"/>
              <w:rPr>
                <w:rFonts w:ascii="Arial" w:hAnsi="Arial" w:cs="Arial"/>
                <w:color w:val="000000"/>
                <w:sz w:val="16"/>
                <w:szCs w:val="16"/>
              </w:rPr>
            </w:pPr>
            <w:r w:rsidRPr="004863F3">
              <w:rPr>
                <w:rFonts w:ascii="Arial" w:hAnsi="Arial" w:cs="Arial"/>
                <w:color w:val="000000"/>
                <w:sz w:val="16"/>
                <w:szCs w:val="16"/>
              </w:rPr>
              <w:t>Net other(b)</w:t>
            </w:r>
          </w:p>
        </w:tc>
        <w:tc>
          <w:tcPr>
            <w:tcW w:w="631" w:type="pct"/>
            <w:tcBorders>
              <w:top w:val="nil"/>
              <w:left w:val="nil"/>
              <w:bottom w:val="nil"/>
              <w:right w:val="nil"/>
            </w:tcBorders>
            <w:shd w:val="clear" w:color="000000" w:fill="FFFFFF"/>
            <w:noWrap/>
            <w:vAlign w:val="bottom"/>
            <w:hideMark/>
          </w:tcPr>
          <w:p w14:paraId="50BCEF66" w14:textId="246F9DC3"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3,561</w:t>
            </w:r>
          </w:p>
        </w:tc>
        <w:tc>
          <w:tcPr>
            <w:tcW w:w="631" w:type="pct"/>
            <w:tcBorders>
              <w:top w:val="nil"/>
              <w:left w:val="nil"/>
              <w:bottom w:val="nil"/>
              <w:right w:val="nil"/>
            </w:tcBorders>
            <w:shd w:val="clear" w:color="000000" w:fill="E6F2FF"/>
            <w:noWrap/>
            <w:vAlign w:val="bottom"/>
            <w:hideMark/>
          </w:tcPr>
          <w:p w14:paraId="7B3906D3" w14:textId="5A485AAE" w:rsidR="00E01C2B" w:rsidRPr="004863F3" w:rsidRDefault="001E171F"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noBreakHyphen/>
            </w:r>
            <w:r w:rsidR="00E01C2B" w:rsidRPr="004863F3">
              <w:rPr>
                <w:rFonts w:ascii="Arial" w:hAnsi="Arial" w:cs="Arial"/>
                <w:color w:val="000000"/>
                <w:sz w:val="16"/>
                <w:szCs w:val="16"/>
              </w:rPr>
              <w:t>1,995</w:t>
            </w:r>
          </w:p>
        </w:tc>
        <w:tc>
          <w:tcPr>
            <w:tcW w:w="610" w:type="pct"/>
            <w:tcBorders>
              <w:top w:val="nil"/>
              <w:left w:val="nil"/>
              <w:bottom w:val="nil"/>
              <w:right w:val="nil"/>
            </w:tcBorders>
            <w:shd w:val="clear" w:color="000000" w:fill="FFFFFF"/>
            <w:noWrap/>
            <w:vAlign w:val="bottom"/>
            <w:hideMark/>
          </w:tcPr>
          <w:p w14:paraId="55C7C6A2" w14:textId="77777777" w:rsidR="00E01C2B" w:rsidRPr="004863F3" w:rsidRDefault="00E01C2B" w:rsidP="00E01C2B">
            <w:pPr>
              <w:spacing w:before="0" w:after="0" w:line="240" w:lineRule="auto"/>
              <w:jc w:val="right"/>
              <w:rPr>
                <w:rFonts w:ascii="Arial" w:hAnsi="Arial" w:cs="Arial"/>
                <w:color w:val="000000"/>
                <w:sz w:val="16"/>
                <w:szCs w:val="16"/>
              </w:rPr>
            </w:pPr>
            <w:r w:rsidRPr="004863F3">
              <w:rPr>
                <w:rFonts w:ascii="Arial" w:hAnsi="Arial" w:cs="Arial"/>
                <w:color w:val="000000"/>
                <w:sz w:val="16"/>
                <w:szCs w:val="16"/>
              </w:rPr>
              <w:t>1,566</w:t>
            </w:r>
          </w:p>
        </w:tc>
      </w:tr>
      <w:tr w:rsidR="00E01C2B" w:rsidRPr="004863F3" w14:paraId="736D4D4A"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0F82BEE7" w14:textId="77777777" w:rsidR="00E01C2B" w:rsidRPr="004863F3" w:rsidRDefault="00E01C2B" w:rsidP="00E01C2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Total net cash flows from investments in financial assets</w:t>
            </w:r>
          </w:p>
        </w:tc>
        <w:tc>
          <w:tcPr>
            <w:tcW w:w="631" w:type="pct"/>
            <w:tcBorders>
              <w:top w:val="nil"/>
              <w:left w:val="nil"/>
              <w:bottom w:val="nil"/>
              <w:right w:val="nil"/>
            </w:tcBorders>
            <w:shd w:val="clear" w:color="000000" w:fill="FFFFFF"/>
            <w:noWrap/>
            <w:vAlign w:val="bottom"/>
            <w:hideMark/>
          </w:tcPr>
          <w:p w14:paraId="25E25333"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31" w:type="pct"/>
            <w:tcBorders>
              <w:top w:val="nil"/>
              <w:left w:val="nil"/>
              <w:bottom w:val="nil"/>
              <w:right w:val="nil"/>
            </w:tcBorders>
            <w:shd w:val="clear" w:color="000000" w:fill="E6F2FF"/>
            <w:noWrap/>
            <w:vAlign w:val="bottom"/>
            <w:hideMark/>
          </w:tcPr>
          <w:p w14:paraId="769E969A"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c>
          <w:tcPr>
            <w:tcW w:w="610" w:type="pct"/>
            <w:tcBorders>
              <w:top w:val="nil"/>
              <w:left w:val="nil"/>
              <w:bottom w:val="nil"/>
              <w:right w:val="nil"/>
            </w:tcBorders>
            <w:shd w:val="clear" w:color="000000" w:fill="FFFFFF"/>
            <w:noWrap/>
            <w:vAlign w:val="bottom"/>
            <w:hideMark/>
          </w:tcPr>
          <w:p w14:paraId="3D04924C" w14:textId="77777777" w:rsidR="00E01C2B" w:rsidRPr="004863F3" w:rsidRDefault="00E01C2B" w:rsidP="00E01C2B">
            <w:pPr>
              <w:spacing w:before="0" w:after="0" w:line="240" w:lineRule="auto"/>
              <w:rPr>
                <w:rFonts w:ascii="Arial" w:hAnsi="Arial" w:cs="Arial"/>
                <w:color w:val="000000"/>
                <w:sz w:val="16"/>
                <w:szCs w:val="16"/>
              </w:rPr>
            </w:pPr>
            <w:r w:rsidRPr="004863F3">
              <w:rPr>
                <w:rFonts w:ascii="Arial" w:hAnsi="Arial" w:cs="Arial"/>
                <w:color w:val="000000"/>
                <w:sz w:val="16"/>
                <w:szCs w:val="16"/>
              </w:rPr>
              <w:t> </w:t>
            </w:r>
          </w:p>
        </w:tc>
      </w:tr>
      <w:tr w:rsidR="00E01C2B" w:rsidRPr="004863F3" w14:paraId="4C51F12C" w14:textId="77777777" w:rsidTr="00E01C2B">
        <w:trPr>
          <w:trHeight w:hRule="exact" w:val="225"/>
        </w:trPr>
        <w:tc>
          <w:tcPr>
            <w:tcW w:w="3127" w:type="pct"/>
            <w:tcBorders>
              <w:top w:val="nil"/>
              <w:left w:val="nil"/>
              <w:bottom w:val="nil"/>
              <w:right w:val="nil"/>
            </w:tcBorders>
            <w:shd w:val="clear" w:color="000000" w:fill="FFFFFF"/>
            <w:noWrap/>
            <w:vAlign w:val="bottom"/>
            <w:hideMark/>
          </w:tcPr>
          <w:p w14:paraId="433B0E5D" w14:textId="77777777" w:rsidR="00E01C2B" w:rsidRPr="004863F3" w:rsidRDefault="00E01C2B" w:rsidP="00E01C2B">
            <w:pPr>
              <w:spacing w:before="0" w:after="0" w:line="240" w:lineRule="auto"/>
              <w:ind w:left="170"/>
              <w:rPr>
                <w:rFonts w:ascii="Arial" w:hAnsi="Arial" w:cs="Arial"/>
                <w:b/>
                <w:bCs/>
                <w:color w:val="000000"/>
                <w:sz w:val="16"/>
                <w:szCs w:val="16"/>
              </w:rPr>
            </w:pPr>
            <w:r w:rsidRPr="004863F3">
              <w:rPr>
                <w:rFonts w:ascii="Arial" w:hAnsi="Arial" w:cs="Arial"/>
                <w:b/>
                <w:bCs/>
                <w:color w:val="000000"/>
                <w:sz w:val="16"/>
                <w:szCs w:val="16"/>
              </w:rPr>
              <w:t>for policy purposes</w:t>
            </w:r>
          </w:p>
        </w:tc>
        <w:tc>
          <w:tcPr>
            <w:tcW w:w="631" w:type="pct"/>
            <w:tcBorders>
              <w:top w:val="nil"/>
              <w:left w:val="nil"/>
              <w:bottom w:val="single" w:sz="4" w:space="0" w:color="auto"/>
              <w:right w:val="nil"/>
            </w:tcBorders>
            <w:shd w:val="clear" w:color="000000" w:fill="FFFFFF"/>
            <w:noWrap/>
            <w:vAlign w:val="bottom"/>
            <w:hideMark/>
          </w:tcPr>
          <w:p w14:paraId="4BA2D0A3" w14:textId="33DDB92B" w:rsidR="00E01C2B" w:rsidRPr="004863F3" w:rsidRDefault="001E171F" w:rsidP="00E01C2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E01C2B" w:rsidRPr="004863F3">
              <w:rPr>
                <w:rFonts w:ascii="Arial" w:hAnsi="Arial" w:cs="Arial"/>
                <w:b/>
                <w:bCs/>
                <w:color w:val="000000"/>
                <w:sz w:val="16"/>
                <w:szCs w:val="16"/>
              </w:rPr>
              <w:t>19,076</w:t>
            </w:r>
          </w:p>
        </w:tc>
        <w:tc>
          <w:tcPr>
            <w:tcW w:w="631" w:type="pct"/>
            <w:tcBorders>
              <w:top w:val="nil"/>
              <w:left w:val="nil"/>
              <w:bottom w:val="single" w:sz="4" w:space="0" w:color="auto"/>
              <w:right w:val="nil"/>
            </w:tcBorders>
            <w:shd w:val="clear" w:color="000000" w:fill="E6F2FF"/>
            <w:noWrap/>
            <w:vAlign w:val="bottom"/>
            <w:hideMark/>
          </w:tcPr>
          <w:p w14:paraId="402AE8AA" w14:textId="40EAF529" w:rsidR="00E01C2B" w:rsidRPr="004863F3" w:rsidRDefault="001E171F" w:rsidP="00E01C2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E01C2B" w:rsidRPr="004863F3">
              <w:rPr>
                <w:rFonts w:ascii="Arial" w:hAnsi="Arial" w:cs="Arial"/>
                <w:b/>
                <w:bCs/>
                <w:color w:val="000000"/>
                <w:sz w:val="16"/>
                <w:szCs w:val="16"/>
              </w:rPr>
              <w:t>11,775</w:t>
            </w:r>
          </w:p>
        </w:tc>
        <w:tc>
          <w:tcPr>
            <w:tcW w:w="610" w:type="pct"/>
            <w:tcBorders>
              <w:top w:val="nil"/>
              <w:left w:val="nil"/>
              <w:bottom w:val="single" w:sz="4" w:space="0" w:color="000000"/>
              <w:right w:val="nil"/>
            </w:tcBorders>
            <w:shd w:val="clear" w:color="000000" w:fill="FFFFFF"/>
            <w:noWrap/>
            <w:vAlign w:val="bottom"/>
            <w:hideMark/>
          </w:tcPr>
          <w:p w14:paraId="492C875E" w14:textId="77777777" w:rsidR="00E01C2B" w:rsidRPr="004863F3" w:rsidRDefault="00E01C2B" w:rsidP="00E01C2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7,300</w:t>
            </w:r>
          </w:p>
        </w:tc>
      </w:tr>
      <w:tr w:rsidR="00E01C2B" w:rsidRPr="004863F3" w14:paraId="5EC1B443" w14:textId="77777777" w:rsidTr="00E01C2B">
        <w:trPr>
          <w:trHeight w:hRule="exact" w:val="60"/>
        </w:trPr>
        <w:tc>
          <w:tcPr>
            <w:tcW w:w="3127" w:type="pct"/>
            <w:tcBorders>
              <w:top w:val="nil"/>
              <w:left w:val="nil"/>
              <w:bottom w:val="nil"/>
              <w:right w:val="nil"/>
            </w:tcBorders>
            <w:shd w:val="clear" w:color="000000" w:fill="FFFFFF"/>
            <w:noWrap/>
            <w:vAlign w:val="bottom"/>
            <w:hideMark/>
          </w:tcPr>
          <w:p w14:paraId="7E9DFE85" w14:textId="77777777" w:rsidR="00E01C2B" w:rsidRPr="004863F3" w:rsidRDefault="00E01C2B" w:rsidP="00E01C2B">
            <w:pPr>
              <w:spacing w:before="0" w:after="0" w:line="240" w:lineRule="auto"/>
              <w:ind w:left="170"/>
              <w:rPr>
                <w:rFonts w:ascii="Arial" w:hAnsi="Arial" w:cs="Arial"/>
                <w:b/>
                <w:bCs/>
                <w:color w:val="000000"/>
                <w:sz w:val="16"/>
                <w:szCs w:val="16"/>
              </w:rPr>
            </w:pPr>
            <w:r w:rsidRPr="004863F3">
              <w:rPr>
                <w:rFonts w:ascii="Arial" w:hAnsi="Arial" w:cs="Arial"/>
                <w:b/>
                <w:bCs/>
                <w:color w:val="000000"/>
                <w:sz w:val="16"/>
                <w:szCs w:val="16"/>
              </w:rPr>
              <w:t> </w:t>
            </w:r>
          </w:p>
        </w:tc>
        <w:tc>
          <w:tcPr>
            <w:tcW w:w="631" w:type="pct"/>
            <w:tcBorders>
              <w:top w:val="nil"/>
              <w:left w:val="nil"/>
              <w:bottom w:val="nil"/>
              <w:right w:val="nil"/>
            </w:tcBorders>
            <w:shd w:val="clear" w:color="000000" w:fill="FFFFFF"/>
            <w:noWrap/>
            <w:vAlign w:val="bottom"/>
            <w:hideMark/>
          </w:tcPr>
          <w:p w14:paraId="0E3A36D8" w14:textId="77777777" w:rsidR="00E01C2B" w:rsidRPr="004863F3" w:rsidRDefault="00E01C2B" w:rsidP="00E01C2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631" w:type="pct"/>
            <w:tcBorders>
              <w:top w:val="nil"/>
              <w:left w:val="nil"/>
              <w:bottom w:val="nil"/>
              <w:right w:val="nil"/>
            </w:tcBorders>
            <w:shd w:val="clear" w:color="000000" w:fill="E6F2FF"/>
            <w:noWrap/>
            <w:vAlign w:val="bottom"/>
            <w:hideMark/>
          </w:tcPr>
          <w:p w14:paraId="6A56C020" w14:textId="77777777" w:rsidR="00E01C2B" w:rsidRPr="004863F3" w:rsidRDefault="00E01C2B" w:rsidP="00E01C2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c>
          <w:tcPr>
            <w:tcW w:w="610" w:type="pct"/>
            <w:tcBorders>
              <w:top w:val="single" w:sz="4" w:space="0" w:color="000000"/>
              <w:left w:val="nil"/>
              <w:bottom w:val="nil"/>
              <w:right w:val="nil"/>
            </w:tcBorders>
            <w:shd w:val="clear" w:color="000000" w:fill="FFFFFF"/>
            <w:noWrap/>
            <w:vAlign w:val="bottom"/>
            <w:hideMark/>
          </w:tcPr>
          <w:p w14:paraId="1D158CA7" w14:textId="77777777" w:rsidR="00E01C2B" w:rsidRPr="004863F3" w:rsidRDefault="00E01C2B" w:rsidP="00E01C2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 </w:t>
            </w:r>
          </w:p>
        </w:tc>
      </w:tr>
      <w:tr w:rsidR="00E01C2B" w:rsidRPr="004863F3" w14:paraId="639231A5" w14:textId="77777777" w:rsidTr="00E01C2B">
        <w:trPr>
          <w:trHeight w:hRule="exact" w:val="225"/>
        </w:trPr>
        <w:tc>
          <w:tcPr>
            <w:tcW w:w="3127" w:type="pct"/>
            <w:tcBorders>
              <w:top w:val="nil"/>
              <w:left w:val="nil"/>
              <w:bottom w:val="single" w:sz="4" w:space="0" w:color="293F5B"/>
              <w:right w:val="nil"/>
            </w:tcBorders>
            <w:shd w:val="clear" w:color="000000" w:fill="FFFFFF"/>
            <w:noWrap/>
            <w:vAlign w:val="bottom"/>
            <w:hideMark/>
          </w:tcPr>
          <w:p w14:paraId="482D6720" w14:textId="7A727FBF" w:rsidR="00E01C2B" w:rsidRPr="004863F3" w:rsidRDefault="00E01C2B" w:rsidP="00E01C2B">
            <w:pPr>
              <w:spacing w:before="0" w:after="0" w:line="240" w:lineRule="auto"/>
              <w:rPr>
                <w:rFonts w:ascii="Arial" w:hAnsi="Arial" w:cs="Arial"/>
                <w:b/>
                <w:bCs/>
                <w:color w:val="000000"/>
                <w:sz w:val="16"/>
                <w:szCs w:val="16"/>
              </w:rPr>
            </w:pPr>
            <w:r w:rsidRPr="004863F3">
              <w:rPr>
                <w:rFonts w:ascii="Arial" w:hAnsi="Arial" w:cs="Arial"/>
                <w:b/>
                <w:bCs/>
                <w:color w:val="000000"/>
                <w:sz w:val="16"/>
                <w:szCs w:val="16"/>
              </w:rPr>
              <w:t>2024</w:t>
            </w:r>
            <w:r w:rsidR="001E171F" w:rsidRPr="004863F3">
              <w:rPr>
                <w:rFonts w:ascii="Arial" w:hAnsi="Arial" w:cs="Arial"/>
                <w:b/>
                <w:bCs/>
                <w:color w:val="000000"/>
                <w:sz w:val="16"/>
                <w:szCs w:val="16"/>
              </w:rPr>
              <w:noBreakHyphen/>
            </w:r>
            <w:r w:rsidRPr="004863F3">
              <w:rPr>
                <w:rFonts w:ascii="Arial" w:hAnsi="Arial" w:cs="Arial"/>
                <w:b/>
                <w:bCs/>
                <w:color w:val="000000"/>
                <w:sz w:val="16"/>
                <w:szCs w:val="16"/>
              </w:rPr>
              <w:t>25 Headline cash balance</w:t>
            </w:r>
          </w:p>
        </w:tc>
        <w:tc>
          <w:tcPr>
            <w:tcW w:w="631" w:type="pct"/>
            <w:tcBorders>
              <w:top w:val="nil"/>
              <w:left w:val="nil"/>
              <w:bottom w:val="single" w:sz="4" w:space="0" w:color="293F5B"/>
              <w:right w:val="nil"/>
            </w:tcBorders>
            <w:shd w:val="clear" w:color="000000" w:fill="FFFFFF"/>
            <w:noWrap/>
            <w:vAlign w:val="bottom"/>
            <w:hideMark/>
          </w:tcPr>
          <w:p w14:paraId="10DA08F9" w14:textId="10F58A17" w:rsidR="00E01C2B" w:rsidRPr="004863F3" w:rsidRDefault="001E171F" w:rsidP="00E01C2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E01C2B" w:rsidRPr="004863F3">
              <w:rPr>
                <w:rFonts w:ascii="Arial" w:hAnsi="Arial" w:cs="Arial"/>
                <w:b/>
                <w:bCs/>
                <w:color w:val="000000"/>
                <w:sz w:val="16"/>
                <w:szCs w:val="16"/>
              </w:rPr>
              <w:t>46,681</w:t>
            </w:r>
          </w:p>
        </w:tc>
        <w:tc>
          <w:tcPr>
            <w:tcW w:w="631" w:type="pct"/>
            <w:tcBorders>
              <w:top w:val="nil"/>
              <w:left w:val="nil"/>
              <w:bottom w:val="single" w:sz="4" w:space="0" w:color="293F5B"/>
              <w:right w:val="nil"/>
            </w:tcBorders>
            <w:shd w:val="clear" w:color="000000" w:fill="E6F2FF"/>
            <w:noWrap/>
            <w:vAlign w:val="bottom"/>
            <w:hideMark/>
          </w:tcPr>
          <w:p w14:paraId="179703D6" w14:textId="6701FC35" w:rsidR="00E01C2B" w:rsidRPr="004863F3" w:rsidRDefault="001E171F" w:rsidP="00E01C2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noBreakHyphen/>
            </w:r>
            <w:r w:rsidR="00E01C2B" w:rsidRPr="004863F3">
              <w:rPr>
                <w:rFonts w:ascii="Arial" w:hAnsi="Arial" w:cs="Arial"/>
                <w:b/>
                <w:bCs/>
                <w:color w:val="000000"/>
                <w:sz w:val="16"/>
                <w:szCs w:val="16"/>
              </w:rPr>
              <w:t>21,765</w:t>
            </w:r>
          </w:p>
        </w:tc>
        <w:tc>
          <w:tcPr>
            <w:tcW w:w="610" w:type="pct"/>
            <w:tcBorders>
              <w:top w:val="nil"/>
              <w:left w:val="nil"/>
              <w:bottom w:val="single" w:sz="4" w:space="0" w:color="293F5B"/>
              <w:right w:val="nil"/>
            </w:tcBorders>
            <w:shd w:val="clear" w:color="000000" w:fill="FFFFFF"/>
            <w:noWrap/>
            <w:vAlign w:val="bottom"/>
            <w:hideMark/>
          </w:tcPr>
          <w:p w14:paraId="177AF83E" w14:textId="77777777" w:rsidR="00E01C2B" w:rsidRPr="004863F3" w:rsidRDefault="00E01C2B" w:rsidP="00E01C2B">
            <w:pPr>
              <w:spacing w:before="0" w:after="0" w:line="240" w:lineRule="auto"/>
              <w:jc w:val="right"/>
              <w:rPr>
                <w:rFonts w:ascii="Arial" w:hAnsi="Arial" w:cs="Arial"/>
                <w:b/>
                <w:bCs/>
                <w:color w:val="000000"/>
                <w:sz w:val="16"/>
                <w:szCs w:val="16"/>
              </w:rPr>
            </w:pPr>
            <w:r w:rsidRPr="004863F3">
              <w:rPr>
                <w:rFonts w:ascii="Arial" w:hAnsi="Arial" w:cs="Arial"/>
                <w:b/>
                <w:bCs/>
                <w:color w:val="000000"/>
                <w:sz w:val="16"/>
                <w:szCs w:val="16"/>
              </w:rPr>
              <w:t>24,916</w:t>
            </w:r>
          </w:p>
        </w:tc>
      </w:tr>
    </w:tbl>
    <w:p w14:paraId="6E55591F" w14:textId="5BC4DB00" w:rsidR="00E93031" w:rsidRPr="004863F3" w:rsidRDefault="00E93031" w:rsidP="004D6B5A">
      <w:pPr>
        <w:pStyle w:val="ChartandTableFootnoteAlpha"/>
        <w:numPr>
          <w:ilvl w:val="0"/>
          <w:numId w:val="24"/>
        </w:numPr>
      </w:pPr>
      <w:r w:rsidRPr="004863F3">
        <w:t>A positive number denotes a cash inflow; a negative number denotes a cash outflow.</w:t>
      </w:r>
    </w:p>
    <w:p w14:paraId="0B8EFED3" w14:textId="700C0E99" w:rsidR="00E93031" w:rsidRPr="004863F3" w:rsidRDefault="001E171F" w:rsidP="00E93031">
      <w:pPr>
        <w:pStyle w:val="ChartandTableFootnoteAlpha"/>
      </w:pPr>
      <w:r w:rsidRPr="004863F3">
        <w:t>‘</w:t>
      </w:r>
      <w:r w:rsidR="00E93031" w:rsidRPr="004863F3">
        <w:t>Net other</w:t>
      </w:r>
      <w:r w:rsidRPr="004863F3">
        <w:t>’</w:t>
      </w:r>
      <w:r w:rsidR="00E93031" w:rsidRPr="004863F3">
        <w:t xml:space="preserve"> includes amounts that </w:t>
      </w:r>
      <w:r w:rsidR="00D13F9F" w:rsidRPr="004863F3">
        <w:t>cannot</w:t>
      </w:r>
      <w:r w:rsidR="00E93031" w:rsidRPr="004863F3">
        <w:t xml:space="preserve"> be</w:t>
      </w:r>
      <w:r w:rsidR="00D13F9F" w:rsidRPr="004863F3">
        <w:t xml:space="preserve"> </w:t>
      </w:r>
      <w:r w:rsidR="00E93031" w:rsidRPr="004863F3">
        <w:t>itemised</w:t>
      </w:r>
      <w:r w:rsidR="00D13F9F" w:rsidRPr="004863F3">
        <w:t>, including commercial</w:t>
      </w:r>
      <w:r w:rsidRPr="004863F3">
        <w:noBreakHyphen/>
      </w:r>
      <w:r w:rsidR="00D13F9F" w:rsidRPr="004863F3">
        <w:t>in</w:t>
      </w:r>
      <w:r w:rsidRPr="004863F3">
        <w:noBreakHyphen/>
      </w:r>
      <w:r w:rsidR="00D13F9F" w:rsidRPr="004863F3">
        <w:t>confidence transactions and decisions taken but not yet announced.</w:t>
      </w:r>
      <w:r w:rsidR="009D1926" w:rsidRPr="004863F3">
        <w:t xml:space="preserve"> </w:t>
      </w:r>
    </w:p>
    <w:p w14:paraId="07D29BF4" w14:textId="77777777" w:rsidR="00E93031" w:rsidRPr="004863F3" w:rsidRDefault="00E93031" w:rsidP="00A126D9">
      <w:pPr>
        <w:pStyle w:val="TableLine"/>
      </w:pPr>
    </w:p>
    <w:p w14:paraId="78EFAFAD" w14:textId="77777777" w:rsidR="009565F5" w:rsidRPr="004863F3" w:rsidRDefault="009565F5" w:rsidP="009565F5">
      <w:pPr>
        <w:pStyle w:val="Heading2"/>
      </w:pPr>
      <w:r w:rsidRPr="004863F3">
        <w:t>Gross debt, net debt, net financial worth and net worth</w:t>
      </w:r>
    </w:p>
    <w:p w14:paraId="7DA583DB" w14:textId="0420C47C" w:rsidR="00B57262" w:rsidRDefault="00E93031" w:rsidP="00DD4FE1">
      <w:pPr>
        <w:rPr>
          <w:szCs w:val="19"/>
          <w:bdr w:val="none" w:sz="0" w:space="0" w:color="auto" w:frame="1"/>
        </w:rPr>
      </w:pPr>
      <w:r w:rsidRPr="004863F3">
        <w:rPr>
          <w:szCs w:val="19"/>
        </w:rPr>
        <w:t>At the end of 202</w:t>
      </w:r>
      <w:r w:rsidR="005D6AC2" w:rsidRPr="004863F3">
        <w:rPr>
          <w:szCs w:val="19"/>
        </w:rPr>
        <w:t>4</w:t>
      </w:r>
      <w:r w:rsidRPr="004863F3">
        <w:rPr>
          <w:szCs w:val="19"/>
        </w:rPr>
        <w:t>–2</w:t>
      </w:r>
      <w:r w:rsidR="005D6AC2" w:rsidRPr="004863F3">
        <w:rPr>
          <w:szCs w:val="19"/>
        </w:rPr>
        <w:t>5</w:t>
      </w:r>
      <w:r w:rsidRPr="004863F3">
        <w:rPr>
          <w:szCs w:val="19"/>
        </w:rPr>
        <w:t>, gross debt was $9</w:t>
      </w:r>
      <w:r w:rsidR="00BF1CE7" w:rsidRPr="004863F3">
        <w:rPr>
          <w:szCs w:val="19"/>
        </w:rPr>
        <w:t>28</w:t>
      </w:r>
      <w:r w:rsidRPr="004863F3">
        <w:rPr>
          <w:szCs w:val="19"/>
        </w:rPr>
        <w:t>.</w:t>
      </w:r>
      <w:r w:rsidR="00BF1CE7" w:rsidRPr="004863F3">
        <w:rPr>
          <w:szCs w:val="19"/>
        </w:rPr>
        <w:t>6</w:t>
      </w:r>
      <w:r w:rsidRPr="004863F3">
        <w:rPr>
          <w:szCs w:val="19"/>
        </w:rPr>
        <w:t> billion (3</w:t>
      </w:r>
      <w:r w:rsidR="00D63C45" w:rsidRPr="004863F3">
        <w:rPr>
          <w:szCs w:val="19"/>
        </w:rPr>
        <w:t>3.</w:t>
      </w:r>
      <w:r w:rsidR="00AB0192" w:rsidRPr="004863F3">
        <w:rPr>
          <w:szCs w:val="19"/>
        </w:rPr>
        <w:t>5</w:t>
      </w:r>
      <w:r w:rsidRPr="004863F3">
        <w:rPr>
          <w:szCs w:val="19"/>
        </w:rPr>
        <w:t> per cent of GDP)</w:t>
      </w:r>
      <w:r w:rsidR="00FD5FD1" w:rsidRPr="004863F3">
        <w:rPr>
          <w:szCs w:val="19"/>
        </w:rPr>
        <w:t>,</w:t>
      </w:r>
      <w:r w:rsidRPr="004863F3">
        <w:rPr>
          <w:szCs w:val="19"/>
        </w:rPr>
        <w:t xml:space="preserve"> </w:t>
      </w:r>
      <w:r w:rsidR="00CB22EE" w:rsidRPr="004863F3">
        <w:rPr>
          <w:szCs w:val="19"/>
        </w:rPr>
        <w:t>$11.4</w:t>
      </w:r>
      <w:r w:rsidR="004A053D" w:rsidRPr="004863F3">
        <w:rPr>
          <w:szCs w:val="19"/>
        </w:rPr>
        <w:t> </w:t>
      </w:r>
      <w:r w:rsidR="00CB22EE" w:rsidRPr="004863F3">
        <w:rPr>
          <w:szCs w:val="19"/>
        </w:rPr>
        <w:t xml:space="preserve">billion lower than estimated </w:t>
      </w:r>
      <w:r w:rsidR="00FD5FD1" w:rsidRPr="004863F3">
        <w:rPr>
          <w:szCs w:val="19"/>
        </w:rPr>
        <w:t>at</w:t>
      </w:r>
      <w:r w:rsidR="00CB22EE" w:rsidRPr="004863F3">
        <w:rPr>
          <w:szCs w:val="19"/>
        </w:rPr>
        <w:t xml:space="preserve"> the 2025</w:t>
      </w:r>
      <w:r w:rsidR="00FD5FD1" w:rsidRPr="004863F3">
        <w:rPr>
          <w:szCs w:val="19"/>
        </w:rPr>
        <w:t>–</w:t>
      </w:r>
      <w:r w:rsidR="00CB22EE" w:rsidRPr="004863F3">
        <w:rPr>
          <w:szCs w:val="19"/>
        </w:rPr>
        <w:t xml:space="preserve">26 Budget and </w:t>
      </w:r>
      <w:r w:rsidR="00FD5FD1" w:rsidRPr="004863F3">
        <w:rPr>
          <w:szCs w:val="19"/>
        </w:rPr>
        <w:t xml:space="preserve">the </w:t>
      </w:r>
      <w:r w:rsidR="00CB22EE" w:rsidRPr="004863F3">
        <w:rPr>
          <w:szCs w:val="19"/>
        </w:rPr>
        <w:t xml:space="preserve">2025 PEFO. The reduction is smaller than the improvement in the fiscal position, reflecting the </w:t>
      </w:r>
      <w:r w:rsidRPr="004863F3">
        <w:rPr>
          <w:szCs w:val="19"/>
        </w:rPr>
        <w:t>Australian Office of Financial Management</w:t>
      </w:r>
      <w:r w:rsidR="001E171F" w:rsidRPr="004863F3">
        <w:rPr>
          <w:szCs w:val="19"/>
        </w:rPr>
        <w:t>’</w:t>
      </w:r>
      <w:r w:rsidRPr="004863F3">
        <w:rPr>
          <w:szCs w:val="19"/>
        </w:rPr>
        <w:t>s (AOFM) decision not to deviate from the issuance guidance provided to the market following the Budget for the remainder of 202</w:t>
      </w:r>
      <w:r w:rsidR="009A05AF" w:rsidRPr="004863F3">
        <w:rPr>
          <w:szCs w:val="19"/>
        </w:rPr>
        <w:t>4</w:t>
      </w:r>
      <w:r w:rsidRPr="004863F3">
        <w:rPr>
          <w:szCs w:val="19"/>
        </w:rPr>
        <w:t>–2</w:t>
      </w:r>
      <w:r w:rsidR="009A05AF" w:rsidRPr="004863F3">
        <w:rPr>
          <w:szCs w:val="19"/>
        </w:rPr>
        <w:t>5</w:t>
      </w:r>
      <w:r w:rsidRPr="004863F3">
        <w:rPr>
          <w:szCs w:val="19"/>
        </w:rPr>
        <w:t>. The combination of the improved underlying cash balance and AOFM</w:t>
      </w:r>
      <w:r w:rsidR="001E171F" w:rsidRPr="004863F3">
        <w:rPr>
          <w:szCs w:val="19"/>
        </w:rPr>
        <w:t>’</w:t>
      </w:r>
      <w:r w:rsidRPr="004863F3">
        <w:rPr>
          <w:szCs w:val="19"/>
        </w:rPr>
        <w:t>s adherence to announced issuance plans effectively pre</w:t>
      </w:r>
      <w:r w:rsidR="00D32E67" w:rsidRPr="004863F3">
        <w:rPr>
          <w:szCs w:val="19"/>
        </w:rPr>
        <w:noBreakHyphen/>
      </w:r>
      <w:r w:rsidRPr="004863F3">
        <w:rPr>
          <w:szCs w:val="19"/>
        </w:rPr>
        <w:t>funds some of the Government</w:t>
      </w:r>
      <w:r w:rsidR="001E171F" w:rsidRPr="004863F3">
        <w:rPr>
          <w:szCs w:val="19"/>
        </w:rPr>
        <w:t>’</w:t>
      </w:r>
      <w:r w:rsidRPr="004863F3">
        <w:rPr>
          <w:szCs w:val="19"/>
        </w:rPr>
        <w:t>s financing requirement for 202</w:t>
      </w:r>
      <w:r w:rsidR="00927C5B" w:rsidRPr="004863F3">
        <w:rPr>
          <w:szCs w:val="19"/>
        </w:rPr>
        <w:t>5</w:t>
      </w:r>
      <w:r w:rsidRPr="004863F3">
        <w:rPr>
          <w:szCs w:val="19"/>
        </w:rPr>
        <w:t>–2</w:t>
      </w:r>
      <w:r w:rsidR="00927C5B" w:rsidRPr="004863F3">
        <w:rPr>
          <w:szCs w:val="19"/>
        </w:rPr>
        <w:t>6</w:t>
      </w:r>
      <w:r w:rsidRPr="004863F3">
        <w:rPr>
          <w:szCs w:val="19"/>
        </w:rPr>
        <w:t xml:space="preserve">. </w:t>
      </w:r>
      <w:r w:rsidR="00B57262">
        <w:rPr>
          <w:szCs w:val="19"/>
          <w:bdr w:val="none" w:sz="0" w:space="0" w:color="auto" w:frame="1"/>
        </w:rPr>
        <w:br w:type="page"/>
      </w:r>
    </w:p>
    <w:p w14:paraId="1B8AF697" w14:textId="738CDA74" w:rsidR="00E93031" w:rsidRPr="004863F3" w:rsidRDefault="005D1990" w:rsidP="00E93031">
      <w:pPr>
        <w:rPr>
          <w:szCs w:val="19"/>
        </w:rPr>
      </w:pPr>
      <w:r w:rsidRPr="004863F3">
        <w:rPr>
          <w:szCs w:val="19"/>
          <w:bdr w:val="none" w:sz="0" w:space="0" w:color="auto" w:frame="1"/>
        </w:rPr>
        <w:t>At the end of 2024–25, net debt was $53</w:t>
      </w:r>
      <w:r w:rsidR="00340959" w:rsidRPr="004863F3">
        <w:rPr>
          <w:szCs w:val="19"/>
          <w:bdr w:val="none" w:sz="0" w:space="0" w:color="auto" w:frame="1"/>
        </w:rPr>
        <w:t>2.3</w:t>
      </w:r>
      <w:r w:rsidR="004A053D" w:rsidRPr="004863F3">
        <w:rPr>
          <w:szCs w:val="19"/>
          <w:bdr w:val="none" w:sz="0" w:space="0" w:color="auto" w:frame="1"/>
        </w:rPr>
        <w:t> </w:t>
      </w:r>
      <w:r w:rsidRPr="004863F3">
        <w:rPr>
          <w:szCs w:val="19"/>
          <w:bdr w:val="none" w:sz="0" w:space="0" w:color="auto" w:frame="1"/>
        </w:rPr>
        <w:t>billion (19.</w:t>
      </w:r>
      <w:r w:rsidR="005C2B4F" w:rsidRPr="004863F3">
        <w:rPr>
          <w:szCs w:val="19"/>
          <w:bdr w:val="none" w:sz="0" w:space="0" w:color="auto" w:frame="1"/>
        </w:rPr>
        <w:t>2</w:t>
      </w:r>
      <w:r w:rsidR="008301F3" w:rsidRPr="004863F3">
        <w:rPr>
          <w:szCs w:val="19"/>
          <w:bdr w:val="none" w:sz="0" w:space="0" w:color="auto" w:frame="1"/>
        </w:rPr>
        <w:t> </w:t>
      </w:r>
      <w:r w:rsidRPr="004863F3">
        <w:rPr>
          <w:szCs w:val="19"/>
          <w:bdr w:val="none" w:sz="0" w:space="0" w:color="auto" w:frame="1"/>
        </w:rPr>
        <w:t>per</w:t>
      </w:r>
      <w:r w:rsidR="008301F3" w:rsidRPr="004863F3">
        <w:rPr>
          <w:szCs w:val="19"/>
          <w:bdr w:val="none" w:sz="0" w:space="0" w:color="auto" w:frame="1"/>
        </w:rPr>
        <w:t> </w:t>
      </w:r>
      <w:r w:rsidRPr="004863F3">
        <w:rPr>
          <w:szCs w:val="19"/>
          <w:bdr w:val="none" w:sz="0" w:space="0" w:color="auto" w:frame="1"/>
        </w:rPr>
        <w:t>cent of GDP), $2</w:t>
      </w:r>
      <w:r w:rsidR="00611924" w:rsidRPr="004863F3">
        <w:rPr>
          <w:szCs w:val="19"/>
          <w:bdr w:val="none" w:sz="0" w:space="0" w:color="auto" w:frame="1"/>
        </w:rPr>
        <w:t>3.6</w:t>
      </w:r>
      <w:r w:rsidR="004A053D" w:rsidRPr="004863F3">
        <w:rPr>
          <w:szCs w:val="19"/>
          <w:bdr w:val="none" w:sz="0" w:space="0" w:color="auto" w:frame="1"/>
        </w:rPr>
        <w:t> </w:t>
      </w:r>
      <w:r w:rsidRPr="004863F3">
        <w:rPr>
          <w:szCs w:val="19"/>
          <w:bdr w:val="none" w:sz="0" w:space="0" w:color="auto" w:frame="1"/>
        </w:rPr>
        <w:t>billion lower</w:t>
      </w:r>
      <w:r w:rsidR="00D45D36" w:rsidRPr="004863F3">
        <w:rPr>
          <w:szCs w:val="19"/>
          <w:bdr w:val="none" w:sz="0" w:space="0" w:color="auto" w:frame="1"/>
        </w:rPr>
        <w:t xml:space="preserve"> </w:t>
      </w:r>
      <w:r w:rsidRPr="004863F3">
        <w:rPr>
          <w:szCs w:val="19"/>
          <w:bdr w:val="none" w:sz="0" w:space="0" w:color="auto" w:frame="1"/>
        </w:rPr>
        <w:t>than</w:t>
      </w:r>
      <w:r w:rsidR="00D45D36" w:rsidRPr="004863F3">
        <w:rPr>
          <w:szCs w:val="19"/>
          <w:bdr w:val="none" w:sz="0" w:space="0" w:color="auto" w:frame="1"/>
        </w:rPr>
        <w:t xml:space="preserve"> </w:t>
      </w:r>
      <w:r w:rsidRPr="004863F3">
        <w:rPr>
          <w:szCs w:val="19"/>
          <w:bdr w:val="none" w:sz="0" w:space="0" w:color="auto" w:frame="1"/>
        </w:rPr>
        <w:t>estimated in the 2025</w:t>
      </w:r>
      <w:r w:rsidR="001E4CC5" w:rsidRPr="004863F3">
        <w:t>–</w:t>
      </w:r>
      <w:r w:rsidRPr="004863F3">
        <w:rPr>
          <w:szCs w:val="19"/>
          <w:bdr w:val="none" w:sz="0" w:space="0" w:color="auto" w:frame="1"/>
        </w:rPr>
        <w:t>26 Budget and $23.</w:t>
      </w:r>
      <w:r w:rsidR="0069454B" w:rsidRPr="004863F3">
        <w:rPr>
          <w:szCs w:val="19"/>
          <w:bdr w:val="none" w:sz="0" w:space="0" w:color="auto" w:frame="1"/>
        </w:rPr>
        <w:t>9</w:t>
      </w:r>
      <w:r w:rsidR="004A053D" w:rsidRPr="004863F3">
        <w:rPr>
          <w:szCs w:val="19"/>
          <w:bdr w:val="none" w:sz="0" w:space="0" w:color="auto" w:frame="1"/>
        </w:rPr>
        <w:t> </w:t>
      </w:r>
      <w:r w:rsidRPr="004863F3">
        <w:rPr>
          <w:szCs w:val="19"/>
          <w:bdr w:val="none" w:sz="0" w:space="0" w:color="auto" w:frame="1"/>
        </w:rPr>
        <w:t>billion lower</w:t>
      </w:r>
      <w:r w:rsidR="00D45D36" w:rsidRPr="004863F3">
        <w:rPr>
          <w:szCs w:val="19"/>
          <w:bdr w:val="none" w:sz="0" w:space="0" w:color="auto" w:frame="1"/>
        </w:rPr>
        <w:t xml:space="preserve"> </w:t>
      </w:r>
      <w:r w:rsidRPr="004863F3">
        <w:rPr>
          <w:szCs w:val="19"/>
          <w:bdr w:val="none" w:sz="0" w:space="0" w:color="auto" w:frame="1"/>
        </w:rPr>
        <w:t>than</w:t>
      </w:r>
      <w:r w:rsidR="00D45D36" w:rsidRPr="004863F3">
        <w:rPr>
          <w:szCs w:val="19"/>
          <w:bdr w:val="none" w:sz="0" w:space="0" w:color="auto" w:frame="1"/>
        </w:rPr>
        <w:t xml:space="preserve"> </w:t>
      </w:r>
      <w:r w:rsidRPr="004863F3">
        <w:rPr>
          <w:szCs w:val="19"/>
          <w:bdr w:val="none" w:sz="0" w:space="0" w:color="auto" w:frame="1"/>
        </w:rPr>
        <w:t>estimated in the 2025</w:t>
      </w:r>
      <w:r w:rsidR="00D45D36" w:rsidRPr="004863F3">
        <w:rPr>
          <w:szCs w:val="19"/>
          <w:bdr w:val="none" w:sz="0" w:space="0" w:color="auto" w:frame="1"/>
        </w:rPr>
        <w:t> </w:t>
      </w:r>
      <w:r w:rsidRPr="004863F3">
        <w:rPr>
          <w:szCs w:val="19"/>
          <w:bdr w:val="none" w:sz="0" w:space="0" w:color="auto" w:frame="1"/>
        </w:rPr>
        <w:t>PEFO</w:t>
      </w:r>
      <w:r w:rsidR="00E93031" w:rsidRPr="004863F3">
        <w:rPr>
          <w:szCs w:val="19"/>
          <w:bdr w:val="none" w:sz="0" w:space="0" w:color="auto" w:frame="1"/>
        </w:rPr>
        <w:t xml:space="preserve">. </w:t>
      </w:r>
      <w:r w:rsidR="00E93031" w:rsidRPr="004863F3">
        <w:rPr>
          <w:szCs w:val="19"/>
        </w:rPr>
        <w:t xml:space="preserve">Net debt is measured by the market value of Australian Government Securities on issue (whereas gross debt is measured by face value) </w:t>
      </w:r>
      <w:proofErr w:type="gramStart"/>
      <w:r w:rsidR="00E93031" w:rsidRPr="004863F3">
        <w:rPr>
          <w:szCs w:val="19"/>
        </w:rPr>
        <w:t>and also</w:t>
      </w:r>
      <w:proofErr w:type="gramEnd"/>
      <w:r w:rsidR="00E93031" w:rsidRPr="004863F3">
        <w:rPr>
          <w:szCs w:val="19"/>
        </w:rPr>
        <w:t xml:space="preserve"> includes selected financial assets and other interest</w:t>
      </w:r>
      <w:r w:rsidR="001E171F" w:rsidRPr="004863F3">
        <w:rPr>
          <w:szCs w:val="19"/>
        </w:rPr>
        <w:noBreakHyphen/>
      </w:r>
      <w:r w:rsidR="00E93031" w:rsidRPr="004863F3">
        <w:rPr>
          <w:szCs w:val="19"/>
        </w:rPr>
        <w:t xml:space="preserve">bearing liabilities. </w:t>
      </w:r>
    </w:p>
    <w:p w14:paraId="3D22B075" w14:textId="15A48078" w:rsidR="00E93031" w:rsidRPr="004863F3" w:rsidRDefault="00E93031" w:rsidP="62F21363">
      <w:pPr>
        <w:rPr>
          <w:i/>
          <w:iCs/>
        </w:rPr>
      </w:pPr>
      <w:bookmarkStart w:id="3" w:name="OLE_LINK3"/>
      <w:bookmarkStart w:id="4" w:name="OLE_LINK2"/>
      <w:r w:rsidRPr="004863F3">
        <w:t>Since the 202</w:t>
      </w:r>
      <w:r w:rsidR="00ED6CE5" w:rsidRPr="004863F3">
        <w:t>5</w:t>
      </w:r>
      <w:r w:rsidR="00D32E67" w:rsidRPr="004863F3">
        <w:t>–</w:t>
      </w:r>
      <w:r w:rsidR="00301CAD" w:rsidRPr="004863F3">
        <w:t>2</w:t>
      </w:r>
      <w:r w:rsidR="006B1580" w:rsidRPr="004863F3">
        <w:t>6</w:t>
      </w:r>
      <w:r w:rsidR="00ED6CE5" w:rsidRPr="004863F3">
        <w:rPr>
          <w:szCs w:val="19"/>
        </w:rPr>
        <w:t xml:space="preserve"> </w:t>
      </w:r>
      <w:r w:rsidR="00301CAD" w:rsidRPr="004863F3">
        <w:t>Budget</w:t>
      </w:r>
      <w:r w:rsidRPr="004863F3">
        <w:t>, net debt has benefited from higher</w:t>
      </w:r>
      <w:r w:rsidR="001E171F" w:rsidRPr="004863F3">
        <w:rPr>
          <w:szCs w:val="19"/>
        </w:rPr>
        <w:noBreakHyphen/>
      </w:r>
      <w:r w:rsidRPr="004863F3">
        <w:t>than</w:t>
      </w:r>
      <w:r w:rsidR="001E171F" w:rsidRPr="004863F3">
        <w:rPr>
          <w:szCs w:val="19"/>
        </w:rPr>
        <w:noBreakHyphen/>
      </w:r>
      <w:r w:rsidRPr="004863F3">
        <w:t xml:space="preserve">estimated cash </w:t>
      </w:r>
      <w:r w:rsidR="000C3E18" w:rsidRPr="004863F3">
        <w:t xml:space="preserve">and deposits, </w:t>
      </w:r>
      <w:r w:rsidRPr="004863F3">
        <w:t>advances paid</w:t>
      </w:r>
      <w:r w:rsidR="000C3E18" w:rsidRPr="004863F3">
        <w:t xml:space="preserve"> and investments, loans and placements</w:t>
      </w:r>
      <w:r w:rsidRPr="004863F3">
        <w:t xml:space="preserve">. This has been partially offset by </w:t>
      </w:r>
      <w:r w:rsidR="00AB62E6" w:rsidRPr="004863F3">
        <w:t>higher government securities liabilities</w:t>
      </w:r>
      <w:r w:rsidRPr="004863F3">
        <w:rPr>
          <w:szCs w:val="19"/>
        </w:rPr>
        <w:t>.</w:t>
      </w:r>
      <w:bookmarkEnd w:id="3"/>
    </w:p>
    <w:bookmarkEnd w:id="4"/>
    <w:p w14:paraId="25D7652A" w14:textId="7EA608DE" w:rsidR="00337FFA" w:rsidRPr="004863F3" w:rsidRDefault="00C80DBF" w:rsidP="00337FFA">
      <w:pPr>
        <w:rPr>
          <w:szCs w:val="19"/>
          <w:bdr w:val="none" w:sz="0" w:space="0" w:color="auto" w:frame="1"/>
        </w:rPr>
      </w:pPr>
      <w:r w:rsidRPr="004863F3">
        <w:rPr>
          <w:szCs w:val="19"/>
          <w:bdr w:val="none" w:sz="0" w:space="0" w:color="auto" w:frame="1"/>
        </w:rPr>
        <w:t xml:space="preserve">Net financial worth was </w:t>
      </w:r>
      <w:r w:rsidR="0001100C" w:rsidRPr="004863F3">
        <w:rPr>
          <w:szCs w:val="19"/>
          <w:bdr w:val="none" w:sz="0" w:space="0" w:color="auto" w:frame="1"/>
        </w:rPr>
        <w:t>-</w:t>
      </w:r>
      <w:r w:rsidRPr="004863F3">
        <w:rPr>
          <w:szCs w:val="19"/>
          <w:bdr w:val="none" w:sz="0" w:space="0" w:color="auto" w:frame="1"/>
        </w:rPr>
        <w:t>$841.</w:t>
      </w:r>
      <w:r w:rsidR="007A11DE" w:rsidRPr="004863F3">
        <w:rPr>
          <w:szCs w:val="19"/>
          <w:bdr w:val="none" w:sz="0" w:space="0" w:color="auto" w:frame="1"/>
        </w:rPr>
        <w:t>9</w:t>
      </w:r>
      <w:r w:rsidR="004A053D" w:rsidRPr="004863F3">
        <w:rPr>
          <w:szCs w:val="19"/>
          <w:bdr w:val="none" w:sz="0" w:space="0" w:color="auto" w:frame="1"/>
        </w:rPr>
        <w:t> </w:t>
      </w:r>
      <w:r w:rsidRPr="004863F3">
        <w:rPr>
          <w:szCs w:val="19"/>
          <w:bdr w:val="none" w:sz="0" w:space="0" w:color="auto" w:frame="1"/>
        </w:rPr>
        <w:t xml:space="preserve">billion at the end of 2024–25, compared to </w:t>
      </w:r>
      <w:r w:rsidR="0027171B" w:rsidRPr="004863F3">
        <w:rPr>
          <w:szCs w:val="19"/>
          <w:bdr w:val="none" w:sz="0" w:space="0" w:color="auto" w:frame="1"/>
        </w:rPr>
        <w:t>-</w:t>
      </w:r>
      <w:r w:rsidRPr="004863F3">
        <w:rPr>
          <w:szCs w:val="19"/>
          <w:bdr w:val="none" w:sz="0" w:space="0" w:color="auto" w:frame="1"/>
        </w:rPr>
        <w:t>$791.1</w:t>
      </w:r>
      <w:r w:rsidR="004A053D" w:rsidRPr="004863F3">
        <w:rPr>
          <w:szCs w:val="19"/>
          <w:bdr w:val="none" w:sz="0" w:space="0" w:color="auto" w:frame="1"/>
        </w:rPr>
        <w:t> </w:t>
      </w:r>
      <w:r w:rsidRPr="004863F3">
        <w:rPr>
          <w:szCs w:val="19"/>
          <w:bdr w:val="none" w:sz="0" w:space="0" w:color="auto" w:frame="1"/>
        </w:rPr>
        <w:t>billion estimated in the 2025</w:t>
      </w:r>
      <w:r w:rsidR="001E4CC5" w:rsidRPr="004863F3">
        <w:t>–</w:t>
      </w:r>
      <w:r w:rsidRPr="004863F3">
        <w:rPr>
          <w:szCs w:val="19"/>
          <w:bdr w:val="none" w:sz="0" w:space="0" w:color="auto" w:frame="1"/>
        </w:rPr>
        <w:t xml:space="preserve">26 Budget and the 2025 PEFO. Net worth was </w:t>
      </w:r>
      <w:r w:rsidR="00095627" w:rsidRPr="004863F3">
        <w:rPr>
          <w:szCs w:val="19"/>
          <w:bdr w:val="none" w:sz="0" w:space="0" w:color="auto" w:frame="1"/>
        </w:rPr>
        <w:t>-</w:t>
      </w:r>
      <w:r w:rsidRPr="004863F3">
        <w:rPr>
          <w:szCs w:val="19"/>
          <w:bdr w:val="none" w:sz="0" w:space="0" w:color="auto" w:frame="1"/>
        </w:rPr>
        <w:t>$614.</w:t>
      </w:r>
      <w:r w:rsidR="007A11DE" w:rsidRPr="004863F3">
        <w:rPr>
          <w:szCs w:val="19"/>
          <w:bdr w:val="none" w:sz="0" w:space="0" w:color="auto" w:frame="1"/>
        </w:rPr>
        <w:t>5</w:t>
      </w:r>
      <w:r w:rsidR="004A053D" w:rsidRPr="004863F3">
        <w:rPr>
          <w:szCs w:val="19"/>
          <w:bdr w:val="none" w:sz="0" w:space="0" w:color="auto" w:frame="1"/>
        </w:rPr>
        <w:t> </w:t>
      </w:r>
      <w:r w:rsidRPr="004863F3">
        <w:rPr>
          <w:szCs w:val="19"/>
          <w:bdr w:val="none" w:sz="0" w:space="0" w:color="auto" w:frame="1"/>
        </w:rPr>
        <w:t>billion at the end of 2024</w:t>
      </w:r>
      <w:r w:rsidR="00B55A72" w:rsidRPr="004863F3">
        <w:rPr>
          <w:szCs w:val="19"/>
          <w:bdr w:val="none" w:sz="0" w:space="0" w:color="auto" w:frame="1"/>
        </w:rPr>
        <w:t>–</w:t>
      </w:r>
      <w:r w:rsidRPr="004863F3">
        <w:rPr>
          <w:szCs w:val="19"/>
          <w:bdr w:val="none" w:sz="0" w:space="0" w:color="auto" w:frame="1"/>
        </w:rPr>
        <w:t>25, compared to</w:t>
      </w:r>
      <w:r w:rsidR="00CB5F6C" w:rsidRPr="004863F3">
        <w:rPr>
          <w:szCs w:val="19"/>
          <w:bdr w:val="none" w:sz="0" w:space="0" w:color="auto" w:frame="1"/>
        </w:rPr>
        <w:t xml:space="preserve"> </w:t>
      </w:r>
      <w:r w:rsidR="00095627" w:rsidRPr="004863F3">
        <w:rPr>
          <w:szCs w:val="19"/>
          <w:bdr w:val="none" w:sz="0" w:space="0" w:color="auto" w:frame="1"/>
        </w:rPr>
        <w:t>-</w:t>
      </w:r>
      <w:r w:rsidRPr="004863F3">
        <w:rPr>
          <w:szCs w:val="19"/>
          <w:bdr w:val="none" w:sz="0" w:space="0" w:color="auto" w:frame="1"/>
        </w:rPr>
        <w:t>$570.5</w:t>
      </w:r>
      <w:r w:rsidR="004A053D" w:rsidRPr="004863F3">
        <w:rPr>
          <w:szCs w:val="19"/>
          <w:bdr w:val="none" w:sz="0" w:space="0" w:color="auto" w:frame="1"/>
        </w:rPr>
        <w:t> </w:t>
      </w:r>
      <w:r w:rsidRPr="004863F3">
        <w:rPr>
          <w:szCs w:val="19"/>
          <w:bdr w:val="none" w:sz="0" w:space="0" w:color="auto" w:frame="1"/>
        </w:rPr>
        <w:t>billion estimated in the 2025</w:t>
      </w:r>
      <w:r w:rsidR="001E4CC5" w:rsidRPr="004863F3">
        <w:t>–</w:t>
      </w:r>
      <w:r w:rsidRPr="004863F3">
        <w:rPr>
          <w:szCs w:val="19"/>
          <w:bdr w:val="none" w:sz="0" w:space="0" w:color="auto" w:frame="1"/>
        </w:rPr>
        <w:t>26 Budget and the 2025</w:t>
      </w:r>
      <w:r w:rsidR="00D54483" w:rsidRPr="004863F3">
        <w:rPr>
          <w:szCs w:val="19"/>
          <w:bdr w:val="none" w:sz="0" w:space="0" w:color="auto" w:frame="1"/>
        </w:rPr>
        <w:t> </w:t>
      </w:r>
      <w:r w:rsidRPr="004863F3">
        <w:rPr>
          <w:szCs w:val="19"/>
          <w:bdr w:val="none" w:sz="0" w:space="0" w:color="auto" w:frame="1"/>
        </w:rPr>
        <w:t>PEFO</w:t>
      </w:r>
      <w:r w:rsidR="00E93031" w:rsidRPr="004863F3">
        <w:rPr>
          <w:szCs w:val="19"/>
          <w:bdr w:val="none" w:sz="0" w:space="0" w:color="auto" w:frame="1"/>
        </w:rPr>
        <w:t xml:space="preserve">. </w:t>
      </w:r>
      <w:r w:rsidR="00460083" w:rsidRPr="004863F3">
        <w:rPr>
          <w:szCs w:val="19"/>
        </w:rPr>
        <w:t>The changes in net financial worth and net worth largely reflect an increase in liabilities for military compensation, provisions for claims for veterans</w:t>
      </w:r>
      <w:r w:rsidR="001E171F" w:rsidRPr="004863F3">
        <w:rPr>
          <w:szCs w:val="19"/>
        </w:rPr>
        <w:t>’</w:t>
      </w:r>
      <w:r w:rsidR="00460083" w:rsidRPr="004863F3">
        <w:rPr>
          <w:szCs w:val="19"/>
        </w:rPr>
        <w:t xml:space="preserve"> benefits, and superannuation</w:t>
      </w:r>
      <w:r w:rsidR="00F3139C" w:rsidRPr="004863F3">
        <w:rPr>
          <w:szCs w:val="19"/>
        </w:rPr>
        <w:t xml:space="preserve"> liabilities</w:t>
      </w:r>
      <w:r w:rsidR="00460083" w:rsidRPr="004863F3">
        <w:rPr>
          <w:szCs w:val="19"/>
        </w:rPr>
        <w:t>, partially offset by the improvement in advances paid for student loans.</w:t>
      </w:r>
      <w:r w:rsidR="00337FFA" w:rsidRPr="004863F3">
        <w:rPr>
          <w:szCs w:val="19"/>
          <w:bdr w:val="none" w:sz="0" w:space="0" w:color="auto" w:frame="1"/>
        </w:rPr>
        <w:t xml:space="preserve"> </w:t>
      </w:r>
      <w:r w:rsidR="00711DC6" w:rsidRPr="004863F3">
        <w:rPr>
          <w:szCs w:val="19"/>
          <w:bdr w:val="none" w:sz="0" w:space="0" w:color="auto" w:frame="1"/>
        </w:rPr>
        <w:t>The increase in the superannuation liability is the result of the difference between the discount rates used to value the Government’s defined benefit superannuation liability at the Budget and the Final Budget Outcome.</w:t>
      </w:r>
    </w:p>
    <w:p w14:paraId="1531AB04" w14:textId="0B0B6E5B" w:rsidR="00110E42" w:rsidRPr="004863F3" w:rsidRDefault="00110E42" w:rsidP="00110E42">
      <w:pPr>
        <w:rPr>
          <w:szCs w:val="19"/>
          <w:bdr w:val="none" w:sz="0" w:space="0" w:color="auto" w:frame="1"/>
        </w:rPr>
      </w:pPr>
      <w:r w:rsidRPr="004863F3">
        <w:rPr>
          <w:szCs w:val="19"/>
          <w:bdr w:val="none" w:sz="0" w:space="0" w:color="auto" w:frame="1"/>
        </w:rPr>
        <w:t>At the 2025-26 Budget and 2025 PEFO, the unfunded superannuation liabilities were estimated using an actuarially determined long</w:t>
      </w:r>
      <w:r w:rsidR="00C654FA" w:rsidRPr="004863F3">
        <w:rPr>
          <w:szCs w:val="19"/>
          <w:bdr w:val="none" w:sz="0" w:space="0" w:color="auto" w:frame="1"/>
        </w:rPr>
        <w:t>-</w:t>
      </w:r>
      <w:r w:rsidRPr="004863F3">
        <w:rPr>
          <w:szCs w:val="19"/>
          <w:bdr w:val="none" w:sz="0" w:space="0" w:color="auto" w:frame="1"/>
        </w:rPr>
        <w:t>term discount rate of 5.0 per cent per annum. This rate reflected the average annual rate estimated to apply over the remainder of the term to maturity of the liability and the actuaries’ views that short-term deviations are expected to be smoothed out in the longer term. This approach also reduces the volatility in reported liabilities that would occur from year to year if the market long</w:t>
      </w:r>
      <w:r w:rsidR="005526E4" w:rsidRPr="004863F3">
        <w:rPr>
          <w:szCs w:val="19"/>
          <w:bdr w:val="none" w:sz="0" w:space="0" w:color="auto" w:frame="1"/>
        </w:rPr>
        <w:t>-</w:t>
      </w:r>
      <w:r w:rsidRPr="004863F3">
        <w:rPr>
          <w:szCs w:val="19"/>
          <w:bdr w:val="none" w:sz="0" w:space="0" w:color="auto" w:frame="1"/>
        </w:rPr>
        <w:t xml:space="preserve">term government bond rate was used. </w:t>
      </w:r>
    </w:p>
    <w:p w14:paraId="2D7A639E" w14:textId="77777777" w:rsidR="00110E42" w:rsidRPr="004863F3" w:rsidRDefault="00110E42" w:rsidP="00110E42">
      <w:pPr>
        <w:rPr>
          <w:szCs w:val="19"/>
          <w:bdr w:val="none" w:sz="0" w:space="0" w:color="auto" w:frame="1"/>
        </w:rPr>
      </w:pPr>
      <w:r w:rsidRPr="004863F3">
        <w:rPr>
          <w:szCs w:val="19"/>
          <w:bdr w:val="none" w:sz="0" w:space="0" w:color="auto" w:frame="1"/>
        </w:rPr>
        <w:t xml:space="preserve">For the Final Budget Outcome, the Australian Accounting Standards (AAS) require the use of the long-term government bond rate as </w:t>
      </w:r>
      <w:proofErr w:type="gramStart"/>
      <w:r w:rsidRPr="004863F3">
        <w:rPr>
          <w:szCs w:val="19"/>
          <w:bdr w:val="none" w:sz="0" w:space="0" w:color="auto" w:frame="1"/>
        </w:rPr>
        <w:t>at</w:t>
      </w:r>
      <w:proofErr w:type="gramEnd"/>
      <w:r w:rsidRPr="004863F3">
        <w:rPr>
          <w:szCs w:val="19"/>
          <w:bdr w:val="none" w:sz="0" w:space="0" w:color="auto" w:frame="1"/>
        </w:rPr>
        <w:t xml:space="preserve"> 30 June 2025 that best matches each individual scheme’s liability duration. This results in differences in the superannuation liability between Final Budget Outcomes, and between Budgets and Final Budget Outcomes. For the 2024–25 Final Budget Outcome, the bond rates used were between 3.8 and 5.0 per cent per annum depending on the defined benefit scheme. </w:t>
      </w:r>
    </w:p>
    <w:p w14:paraId="2A3AF109" w14:textId="69C6FEF7" w:rsidR="00E93031" w:rsidRPr="004863F3" w:rsidRDefault="00110E42" w:rsidP="00E93031">
      <w:pPr>
        <w:rPr>
          <w:szCs w:val="19"/>
        </w:rPr>
      </w:pPr>
      <w:r w:rsidRPr="004863F3">
        <w:rPr>
          <w:szCs w:val="19"/>
          <w:bdr w:val="none" w:sz="0" w:space="0" w:color="auto" w:frame="1"/>
        </w:rPr>
        <w:t>The variance in the reported superannuation liability between the 2025–26 Budget and 2025 PEFO and the 2024–25 Final Budget Outcome was an increase of $9.9 billion. By way of comparison, the variance between the 2024–25 Budget and the 2023–24 Final Budget Outcome was an increase of $13.8 billion.</w:t>
      </w:r>
      <w:r w:rsidR="00E93031" w:rsidRPr="004863F3">
        <w:rPr>
          <w:szCs w:val="19"/>
        </w:rPr>
        <w:br w:type="page"/>
      </w:r>
    </w:p>
    <w:p w14:paraId="5AD45156" w14:textId="53CC32C7" w:rsidR="00D33B0A" w:rsidRPr="004863F3" w:rsidRDefault="00E93031" w:rsidP="00D37EE2">
      <w:pPr>
        <w:pStyle w:val="TableHeading"/>
        <w:rPr>
          <w:rFonts w:asciiTheme="minorHAnsi" w:eastAsiaTheme="minorHAnsi" w:hAnsiTheme="minorHAnsi" w:cstheme="minorBidi"/>
          <w:b w:val="0"/>
          <w:sz w:val="22"/>
          <w:szCs w:val="22"/>
          <w:lang w:eastAsia="en-US"/>
        </w:rPr>
      </w:pPr>
      <w:r w:rsidRPr="004863F3">
        <w:t>Table 1.9: Australian Government general government sector balance sheet aggregates</w:t>
      </w:r>
      <w:r w:rsidR="00691B4A" w:rsidRPr="004863F3">
        <w:rPr>
          <w:vertAlign w:val="superscript"/>
        </w:rPr>
        <w:t>(a)</w:t>
      </w:r>
      <w:bookmarkStart w:id="5" w:name="_1820151015"/>
      <w:bookmarkStart w:id="6" w:name="_1820150952"/>
      <w:bookmarkEnd w:id="5"/>
      <w:bookmarkEnd w:id="6"/>
    </w:p>
    <w:tbl>
      <w:tblPr>
        <w:tblW w:w="5000" w:type="pct"/>
        <w:tblCellMar>
          <w:left w:w="0" w:type="dxa"/>
          <w:right w:w="28" w:type="dxa"/>
        </w:tblCellMar>
        <w:tblLook w:val="04A0" w:firstRow="1" w:lastRow="0" w:firstColumn="1" w:lastColumn="0" w:noHBand="0" w:noVBand="1"/>
      </w:tblPr>
      <w:tblGrid>
        <w:gridCol w:w="2978"/>
        <w:gridCol w:w="947"/>
        <w:gridCol w:w="947"/>
        <w:gridCol w:w="947"/>
        <w:gridCol w:w="947"/>
        <w:gridCol w:w="944"/>
      </w:tblGrid>
      <w:tr w:rsidR="001A4862" w:rsidRPr="004863F3" w14:paraId="70DFA887" w14:textId="77777777" w:rsidTr="00FD09E1">
        <w:trPr>
          <w:trHeight w:hRule="exact" w:val="225"/>
        </w:trPr>
        <w:tc>
          <w:tcPr>
            <w:tcW w:w="1932" w:type="pct"/>
            <w:tcBorders>
              <w:top w:val="single" w:sz="4" w:space="0" w:color="293F5B"/>
              <w:left w:val="nil"/>
              <w:bottom w:val="nil"/>
              <w:right w:val="nil"/>
            </w:tcBorders>
            <w:shd w:val="clear" w:color="000000" w:fill="FFFFFF"/>
            <w:noWrap/>
            <w:vAlign w:val="center"/>
            <w:hideMark/>
          </w:tcPr>
          <w:p w14:paraId="3F6391C7" w14:textId="12A83A61"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 </w:t>
            </w:r>
          </w:p>
        </w:tc>
        <w:tc>
          <w:tcPr>
            <w:tcW w:w="614" w:type="pct"/>
            <w:tcBorders>
              <w:top w:val="single" w:sz="4" w:space="0" w:color="293F5B"/>
              <w:left w:val="nil"/>
              <w:bottom w:val="nil"/>
              <w:right w:val="nil"/>
            </w:tcBorders>
            <w:shd w:val="clear" w:color="000000" w:fill="FFFFFF"/>
            <w:noWrap/>
            <w:vAlign w:val="center"/>
            <w:hideMark/>
          </w:tcPr>
          <w:p w14:paraId="69DC5F80"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2024-25</w:t>
            </w:r>
          </w:p>
        </w:tc>
        <w:tc>
          <w:tcPr>
            <w:tcW w:w="614" w:type="pct"/>
            <w:tcBorders>
              <w:top w:val="single" w:sz="4" w:space="0" w:color="293F5B"/>
              <w:left w:val="nil"/>
              <w:bottom w:val="nil"/>
              <w:right w:val="nil"/>
            </w:tcBorders>
            <w:shd w:val="clear" w:color="000000" w:fill="FFFFFF"/>
            <w:noWrap/>
            <w:vAlign w:val="center"/>
            <w:hideMark/>
          </w:tcPr>
          <w:p w14:paraId="46489408"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2024-25</w:t>
            </w:r>
          </w:p>
        </w:tc>
        <w:tc>
          <w:tcPr>
            <w:tcW w:w="614" w:type="pct"/>
            <w:tcBorders>
              <w:top w:val="single" w:sz="4" w:space="0" w:color="293F5B"/>
              <w:left w:val="nil"/>
              <w:bottom w:val="nil"/>
              <w:right w:val="nil"/>
            </w:tcBorders>
            <w:shd w:val="clear" w:color="000000" w:fill="E6F2FF"/>
            <w:noWrap/>
            <w:vAlign w:val="center"/>
            <w:hideMark/>
          </w:tcPr>
          <w:p w14:paraId="6963CB4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2024-25</w:t>
            </w:r>
          </w:p>
        </w:tc>
        <w:tc>
          <w:tcPr>
            <w:tcW w:w="614" w:type="pct"/>
            <w:tcBorders>
              <w:top w:val="single" w:sz="4" w:space="0" w:color="293F5B"/>
              <w:left w:val="nil"/>
              <w:bottom w:val="nil"/>
              <w:right w:val="nil"/>
            </w:tcBorders>
            <w:shd w:val="clear" w:color="000000" w:fill="FFFFFF"/>
            <w:noWrap/>
            <w:vAlign w:val="center"/>
            <w:hideMark/>
          </w:tcPr>
          <w:p w14:paraId="347A2A80"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Change on</w:t>
            </w:r>
          </w:p>
        </w:tc>
        <w:tc>
          <w:tcPr>
            <w:tcW w:w="614" w:type="pct"/>
            <w:tcBorders>
              <w:top w:val="single" w:sz="4" w:space="0" w:color="293F5B"/>
              <w:left w:val="nil"/>
              <w:bottom w:val="nil"/>
              <w:right w:val="nil"/>
            </w:tcBorders>
            <w:shd w:val="clear" w:color="000000" w:fill="FFFFFF"/>
            <w:noWrap/>
            <w:vAlign w:val="center"/>
            <w:hideMark/>
          </w:tcPr>
          <w:p w14:paraId="4DBD43D2"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Change on</w:t>
            </w:r>
          </w:p>
        </w:tc>
      </w:tr>
      <w:tr w:rsidR="001A4862" w:rsidRPr="004863F3" w14:paraId="39E1FAF2"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4F5129B2"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77B965C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614" w:type="pct"/>
            <w:tcBorders>
              <w:top w:val="nil"/>
              <w:left w:val="nil"/>
              <w:bottom w:val="nil"/>
              <w:right w:val="nil"/>
            </w:tcBorders>
            <w:shd w:val="clear" w:color="000000" w:fill="FFFFFF"/>
            <w:noWrap/>
            <w:vAlign w:val="center"/>
            <w:hideMark/>
          </w:tcPr>
          <w:p w14:paraId="1E838F5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Estimate at</w:t>
            </w:r>
          </w:p>
        </w:tc>
        <w:tc>
          <w:tcPr>
            <w:tcW w:w="614" w:type="pct"/>
            <w:tcBorders>
              <w:top w:val="nil"/>
              <w:left w:val="nil"/>
              <w:bottom w:val="nil"/>
              <w:right w:val="nil"/>
            </w:tcBorders>
            <w:shd w:val="clear" w:color="000000" w:fill="E6F2FF"/>
            <w:noWrap/>
            <w:vAlign w:val="center"/>
            <w:hideMark/>
          </w:tcPr>
          <w:p w14:paraId="381FC29F"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Outcome</w:t>
            </w:r>
          </w:p>
        </w:tc>
        <w:tc>
          <w:tcPr>
            <w:tcW w:w="614" w:type="pct"/>
            <w:tcBorders>
              <w:top w:val="nil"/>
              <w:left w:val="nil"/>
              <w:bottom w:val="nil"/>
              <w:right w:val="nil"/>
            </w:tcBorders>
            <w:shd w:val="clear" w:color="000000" w:fill="FFFFFF"/>
            <w:noWrap/>
            <w:vAlign w:val="center"/>
            <w:hideMark/>
          </w:tcPr>
          <w:p w14:paraId="357A0D74"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2025-26</w:t>
            </w:r>
          </w:p>
        </w:tc>
        <w:tc>
          <w:tcPr>
            <w:tcW w:w="614" w:type="pct"/>
            <w:tcBorders>
              <w:top w:val="nil"/>
              <w:left w:val="nil"/>
              <w:bottom w:val="nil"/>
              <w:right w:val="nil"/>
            </w:tcBorders>
            <w:shd w:val="clear" w:color="000000" w:fill="FFFFFF"/>
            <w:noWrap/>
            <w:vAlign w:val="center"/>
            <w:hideMark/>
          </w:tcPr>
          <w:p w14:paraId="2662DDC1"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2025</w:t>
            </w:r>
          </w:p>
        </w:tc>
      </w:tr>
      <w:tr w:rsidR="001A4862" w:rsidRPr="004863F3" w14:paraId="20BF58F5"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2D64FAD8"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15F7FDA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2025-26</w:t>
            </w:r>
          </w:p>
        </w:tc>
        <w:tc>
          <w:tcPr>
            <w:tcW w:w="614" w:type="pct"/>
            <w:tcBorders>
              <w:top w:val="nil"/>
              <w:left w:val="nil"/>
              <w:bottom w:val="nil"/>
              <w:right w:val="nil"/>
            </w:tcBorders>
            <w:shd w:val="clear" w:color="000000" w:fill="FFFFFF"/>
            <w:noWrap/>
            <w:vAlign w:val="center"/>
            <w:hideMark/>
          </w:tcPr>
          <w:p w14:paraId="65CA803A"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2025</w:t>
            </w:r>
          </w:p>
        </w:tc>
        <w:tc>
          <w:tcPr>
            <w:tcW w:w="614" w:type="pct"/>
            <w:tcBorders>
              <w:top w:val="nil"/>
              <w:left w:val="nil"/>
              <w:bottom w:val="nil"/>
              <w:right w:val="nil"/>
            </w:tcBorders>
            <w:shd w:val="clear" w:color="000000" w:fill="E6F2FF"/>
            <w:noWrap/>
            <w:vAlign w:val="center"/>
            <w:hideMark/>
          </w:tcPr>
          <w:p w14:paraId="24A61062"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bottom"/>
            <w:hideMark/>
          </w:tcPr>
          <w:p w14:paraId="11CF34E1"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614" w:type="pct"/>
            <w:tcBorders>
              <w:top w:val="nil"/>
              <w:left w:val="nil"/>
              <w:bottom w:val="nil"/>
              <w:right w:val="nil"/>
            </w:tcBorders>
            <w:shd w:val="clear" w:color="000000" w:fill="FFFFFF"/>
            <w:noWrap/>
            <w:vAlign w:val="center"/>
            <w:hideMark/>
          </w:tcPr>
          <w:p w14:paraId="552C54D5"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PEFO</w:t>
            </w:r>
          </w:p>
        </w:tc>
      </w:tr>
      <w:tr w:rsidR="001A4862" w:rsidRPr="004863F3" w14:paraId="3EADF142"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67C45FDB"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739E3EE1"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Budget</w:t>
            </w:r>
          </w:p>
        </w:tc>
        <w:tc>
          <w:tcPr>
            <w:tcW w:w="614" w:type="pct"/>
            <w:tcBorders>
              <w:top w:val="nil"/>
              <w:left w:val="nil"/>
              <w:bottom w:val="nil"/>
              <w:right w:val="nil"/>
            </w:tcBorders>
            <w:shd w:val="clear" w:color="000000" w:fill="FFFFFF"/>
            <w:noWrap/>
            <w:vAlign w:val="center"/>
            <w:hideMark/>
          </w:tcPr>
          <w:p w14:paraId="18DF3447"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PEFO</w:t>
            </w:r>
          </w:p>
        </w:tc>
        <w:tc>
          <w:tcPr>
            <w:tcW w:w="614" w:type="pct"/>
            <w:tcBorders>
              <w:top w:val="nil"/>
              <w:left w:val="nil"/>
              <w:bottom w:val="nil"/>
              <w:right w:val="nil"/>
            </w:tcBorders>
            <w:shd w:val="clear" w:color="000000" w:fill="E6F2FF"/>
            <w:noWrap/>
            <w:vAlign w:val="center"/>
            <w:hideMark/>
          </w:tcPr>
          <w:p w14:paraId="45E5490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08307FF2" w14:textId="77777777" w:rsidR="001A4862" w:rsidRPr="004863F3" w:rsidRDefault="001A4862" w:rsidP="001A4862">
            <w:pPr>
              <w:spacing w:before="0" w:after="0" w:line="240" w:lineRule="auto"/>
              <w:jc w:val="center"/>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47A922E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4FCDF223"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320D40ED"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 </w:t>
            </w:r>
          </w:p>
        </w:tc>
        <w:tc>
          <w:tcPr>
            <w:tcW w:w="614" w:type="pct"/>
            <w:tcBorders>
              <w:top w:val="nil"/>
              <w:left w:val="nil"/>
              <w:bottom w:val="single" w:sz="4" w:space="0" w:color="000000"/>
              <w:right w:val="nil"/>
            </w:tcBorders>
            <w:shd w:val="clear" w:color="000000" w:fill="FFFFFF"/>
            <w:noWrap/>
            <w:vAlign w:val="center"/>
            <w:hideMark/>
          </w:tcPr>
          <w:p w14:paraId="418096AB"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$b</w:t>
            </w:r>
          </w:p>
        </w:tc>
        <w:tc>
          <w:tcPr>
            <w:tcW w:w="614" w:type="pct"/>
            <w:tcBorders>
              <w:top w:val="nil"/>
              <w:left w:val="nil"/>
              <w:bottom w:val="single" w:sz="4" w:space="0" w:color="000000"/>
              <w:right w:val="nil"/>
            </w:tcBorders>
            <w:shd w:val="clear" w:color="000000" w:fill="FFFFFF"/>
            <w:noWrap/>
            <w:vAlign w:val="center"/>
            <w:hideMark/>
          </w:tcPr>
          <w:p w14:paraId="7D20FE67"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$b</w:t>
            </w:r>
          </w:p>
        </w:tc>
        <w:tc>
          <w:tcPr>
            <w:tcW w:w="614" w:type="pct"/>
            <w:tcBorders>
              <w:top w:val="nil"/>
              <w:left w:val="nil"/>
              <w:bottom w:val="single" w:sz="4" w:space="0" w:color="000000"/>
              <w:right w:val="nil"/>
            </w:tcBorders>
            <w:shd w:val="clear" w:color="000000" w:fill="E6F2FF"/>
            <w:noWrap/>
            <w:vAlign w:val="center"/>
            <w:hideMark/>
          </w:tcPr>
          <w:p w14:paraId="75CC9EEA"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$b</w:t>
            </w:r>
          </w:p>
        </w:tc>
        <w:tc>
          <w:tcPr>
            <w:tcW w:w="614" w:type="pct"/>
            <w:tcBorders>
              <w:top w:val="nil"/>
              <w:left w:val="nil"/>
              <w:bottom w:val="single" w:sz="4" w:space="0" w:color="000000"/>
              <w:right w:val="nil"/>
            </w:tcBorders>
            <w:shd w:val="clear" w:color="000000" w:fill="FFFFFF"/>
            <w:vAlign w:val="center"/>
            <w:hideMark/>
          </w:tcPr>
          <w:p w14:paraId="45F96D9F" w14:textId="77777777" w:rsidR="001A4862" w:rsidRPr="004863F3" w:rsidRDefault="001A4862" w:rsidP="001A4862">
            <w:pPr>
              <w:spacing w:before="0" w:after="0" w:line="240" w:lineRule="auto"/>
              <w:jc w:val="right"/>
              <w:rPr>
                <w:rFonts w:ascii="Arial" w:hAnsi="Arial" w:cs="Arial"/>
                <w:sz w:val="15"/>
                <w:szCs w:val="15"/>
              </w:rPr>
            </w:pPr>
            <w:r w:rsidRPr="004863F3">
              <w:rPr>
                <w:rFonts w:ascii="Arial" w:hAnsi="Arial" w:cs="Arial"/>
                <w:sz w:val="15"/>
                <w:szCs w:val="15"/>
              </w:rPr>
              <w:t>$b</w:t>
            </w:r>
          </w:p>
        </w:tc>
        <w:tc>
          <w:tcPr>
            <w:tcW w:w="614" w:type="pct"/>
            <w:tcBorders>
              <w:top w:val="nil"/>
              <w:left w:val="nil"/>
              <w:bottom w:val="single" w:sz="4" w:space="0" w:color="000000"/>
              <w:right w:val="nil"/>
            </w:tcBorders>
            <w:shd w:val="clear" w:color="000000" w:fill="FFFFFF"/>
            <w:noWrap/>
            <w:vAlign w:val="center"/>
            <w:hideMark/>
          </w:tcPr>
          <w:p w14:paraId="0CEF34EC"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$b</w:t>
            </w:r>
          </w:p>
        </w:tc>
      </w:tr>
      <w:tr w:rsidR="001A4862" w:rsidRPr="004863F3" w14:paraId="2FFE42FD"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2ACF0F98"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Financial assets</w:t>
            </w:r>
          </w:p>
        </w:tc>
        <w:tc>
          <w:tcPr>
            <w:tcW w:w="614" w:type="pct"/>
            <w:tcBorders>
              <w:top w:val="nil"/>
              <w:left w:val="nil"/>
              <w:bottom w:val="nil"/>
              <w:right w:val="nil"/>
            </w:tcBorders>
            <w:shd w:val="clear" w:color="000000" w:fill="FFFFFF"/>
            <w:noWrap/>
            <w:vAlign w:val="center"/>
            <w:hideMark/>
          </w:tcPr>
          <w:p w14:paraId="6495FCC1"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637.0</w:t>
            </w:r>
          </w:p>
        </w:tc>
        <w:tc>
          <w:tcPr>
            <w:tcW w:w="614" w:type="pct"/>
            <w:tcBorders>
              <w:top w:val="nil"/>
              <w:left w:val="nil"/>
              <w:bottom w:val="nil"/>
              <w:right w:val="nil"/>
            </w:tcBorders>
            <w:shd w:val="clear" w:color="000000" w:fill="FFFFFF"/>
            <w:noWrap/>
            <w:vAlign w:val="center"/>
            <w:hideMark/>
          </w:tcPr>
          <w:p w14:paraId="690E5D57"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636.7</w:t>
            </w:r>
          </w:p>
        </w:tc>
        <w:tc>
          <w:tcPr>
            <w:tcW w:w="614" w:type="pct"/>
            <w:tcBorders>
              <w:top w:val="nil"/>
              <w:left w:val="nil"/>
              <w:bottom w:val="nil"/>
              <w:right w:val="nil"/>
            </w:tcBorders>
            <w:shd w:val="clear" w:color="000000" w:fill="E6F2FF"/>
            <w:noWrap/>
            <w:vAlign w:val="center"/>
            <w:hideMark/>
          </w:tcPr>
          <w:p w14:paraId="671FBBA7"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665.4</w:t>
            </w:r>
          </w:p>
        </w:tc>
        <w:tc>
          <w:tcPr>
            <w:tcW w:w="614" w:type="pct"/>
            <w:tcBorders>
              <w:top w:val="nil"/>
              <w:left w:val="nil"/>
              <w:bottom w:val="nil"/>
              <w:right w:val="nil"/>
            </w:tcBorders>
            <w:shd w:val="clear" w:color="000000" w:fill="FFFFFF"/>
            <w:noWrap/>
            <w:vAlign w:val="center"/>
            <w:hideMark/>
          </w:tcPr>
          <w:p w14:paraId="476EE8D5"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28.4</w:t>
            </w:r>
          </w:p>
        </w:tc>
        <w:tc>
          <w:tcPr>
            <w:tcW w:w="614" w:type="pct"/>
            <w:tcBorders>
              <w:top w:val="nil"/>
              <w:left w:val="nil"/>
              <w:bottom w:val="nil"/>
              <w:right w:val="nil"/>
            </w:tcBorders>
            <w:shd w:val="clear" w:color="000000" w:fill="FFFFFF"/>
            <w:noWrap/>
            <w:vAlign w:val="center"/>
            <w:hideMark/>
          </w:tcPr>
          <w:p w14:paraId="04E71431"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28.7</w:t>
            </w:r>
          </w:p>
        </w:tc>
      </w:tr>
      <w:tr w:rsidR="001A4862" w:rsidRPr="004863F3" w14:paraId="342B4824"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485CBDAD"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nil"/>
              <w:right w:val="nil"/>
            </w:tcBorders>
            <w:shd w:val="clear" w:color="000000" w:fill="FFFFFF"/>
            <w:noWrap/>
            <w:vAlign w:val="center"/>
            <w:hideMark/>
          </w:tcPr>
          <w:p w14:paraId="28E5608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22.9</w:t>
            </w:r>
          </w:p>
        </w:tc>
        <w:tc>
          <w:tcPr>
            <w:tcW w:w="614" w:type="pct"/>
            <w:tcBorders>
              <w:top w:val="nil"/>
              <w:left w:val="nil"/>
              <w:bottom w:val="nil"/>
              <w:right w:val="nil"/>
            </w:tcBorders>
            <w:shd w:val="clear" w:color="000000" w:fill="FFFFFF"/>
            <w:noWrap/>
            <w:vAlign w:val="center"/>
            <w:hideMark/>
          </w:tcPr>
          <w:p w14:paraId="02B5DEBD"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22.8</w:t>
            </w:r>
          </w:p>
        </w:tc>
        <w:tc>
          <w:tcPr>
            <w:tcW w:w="614" w:type="pct"/>
            <w:tcBorders>
              <w:top w:val="nil"/>
              <w:left w:val="nil"/>
              <w:bottom w:val="nil"/>
              <w:right w:val="nil"/>
            </w:tcBorders>
            <w:shd w:val="clear" w:color="000000" w:fill="E6F2FF"/>
            <w:noWrap/>
            <w:vAlign w:val="center"/>
            <w:hideMark/>
          </w:tcPr>
          <w:p w14:paraId="162EA02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24.0</w:t>
            </w:r>
          </w:p>
        </w:tc>
        <w:tc>
          <w:tcPr>
            <w:tcW w:w="614" w:type="pct"/>
            <w:tcBorders>
              <w:top w:val="nil"/>
              <w:left w:val="nil"/>
              <w:bottom w:val="nil"/>
              <w:right w:val="nil"/>
            </w:tcBorders>
            <w:shd w:val="clear" w:color="000000" w:fill="FFFFFF"/>
            <w:noWrap/>
            <w:vAlign w:val="center"/>
            <w:hideMark/>
          </w:tcPr>
          <w:p w14:paraId="15C2A11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66AA73D9"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3AE5E883" w14:textId="77777777" w:rsidTr="00FD09E1">
        <w:trPr>
          <w:trHeight w:hRule="exact" w:val="60"/>
        </w:trPr>
        <w:tc>
          <w:tcPr>
            <w:tcW w:w="1932" w:type="pct"/>
            <w:tcBorders>
              <w:top w:val="nil"/>
              <w:left w:val="nil"/>
              <w:bottom w:val="nil"/>
              <w:right w:val="nil"/>
            </w:tcBorders>
            <w:shd w:val="clear" w:color="000000" w:fill="FFFFFF"/>
            <w:noWrap/>
            <w:vAlign w:val="center"/>
            <w:hideMark/>
          </w:tcPr>
          <w:p w14:paraId="7B7B4DAA"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445F62A0"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1A57754F"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E6F2FF"/>
            <w:noWrap/>
            <w:vAlign w:val="center"/>
            <w:hideMark/>
          </w:tcPr>
          <w:p w14:paraId="283C21BB"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25E6C818"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21970D4C"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40F73E24"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2115C382"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Non-financial assets</w:t>
            </w:r>
          </w:p>
        </w:tc>
        <w:tc>
          <w:tcPr>
            <w:tcW w:w="614" w:type="pct"/>
            <w:tcBorders>
              <w:top w:val="nil"/>
              <w:left w:val="nil"/>
              <w:bottom w:val="nil"/>
              <w:right w:val="nil"/>
            </w:tcBorders>
            <w:shd w:val="clear" w:color="000000" w:fill="FFFFFF"/>
            <w:noWrap/>
            <w:vAlign w:val="center"/>
            <w:hideMark/>
          </w:tcPr>
          <w:p w14:paraId="5AFA0481"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220.6</w:t>
            </w:r>
          </w:p>
        </w:tc>
        <w:tc>
          <w:tcPr>
            <w:tcW w:w="614" w:type="pct"/>
            <w:tcBorders>
              <w:top w:val="nil"/>
              <w:left w:val="nil"/>
              <w:bottom w:val="nil"/>
              <w:right w:val="nil"/>
            </w:tcBorders>
            <w:shd w:val="clear" w:color="000000" w:fill="FFFFFF"/>
            <w:noWrap/>
            <w:vAlign w:val="center"/>
            <w:hideMark/>
          </w:tcPr>
          <w:p w14:paraId="448B9E22"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220.6</w:t>
            </w:r>
          </w:p>
        </w:tc>
        <w:tc>
          <w:tcPr>
            <w:tcW w:w="614" w:type="pct"/>
            <w:tcBorders>
              <w:top w:val="nil"/>
              <w:left w:val="nil"/>
              <w:bottom w:val="nil"/>
              <w:right w:val="nil"/>
            </w:tcBorders>
            <w:shd w:val="clear" w:color="000000" w:fill="E6F2FF"/>
            <w:noWrap/>
            <w:vAlign w:val="center"/>
            <w:hideMark/>
          </w:tcPr>
          <w:p w14:paraId="3B3E4CF4"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227.4</w:t>
            </w:r>
          </w:p>
        </w:tc>
        <w:tc>
          <w:tcPr>
            <w:tcW w:w="614" w:type="pct"/>
            <w:tcBorders>
              <w:top w:val="nil"/>
              <w:left w:val="nil"/>
              <w:bottom w:val="nil"/>
              <w:right w:val="nil"/>
            </w:tcBorders>
            <w:shd w:val="clear" w:color="000000" w:fill="FFFFFF"/>
            <w:noWrap/>
            <w:vAlign w:val="center"/>
            <w:hideMark/>
          </w:tcPr>
          <w:p w14:paraId="601AF4DF"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6.8</w:t>
            </w:r>
          </w:p>
        </w:tc>
        <w:tc>
          <w:tcPr>
            <w:tcW w:w="614" w:type="pct"/>
            <w:tcBorders>
              <w:top w:val="nil"/>
              <w:left w:val="nil"/>
              <w:bottom w:val="nil"/>
              <w:right w:val="nil"/>
            </w:tcBorders>
            <w:shd w:val="clear" w:color="000000" w:fill="FFFFFF"/>
            <w:noWrap/>
            <w:vAlign w:val="center"/>
            <w:hideMark/>
          </w:tcPr>
          <w:p w14:paraId="0530ECC0"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6.8</w:t>
            </w:r>
          </w:p>
        </w:tc>
      </w:tr>
      <w:tr w:rsidR="001A4862" w:rsidRPr="004863F3" w14:paraId="463A2337"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6817D45A"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nil"/>
              <w:right w:val="nil"/>
            </w:tcBorders>
            <w:shd w:val="clear" w:color="000000" w:fill="FFFFFF"/>
            <w:noWrap/>
            <w:vAlign w:val="center"/>
            <w:hideMark/>
          </w:tcPr>
          <w:p w14:paraId="753A626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7.9</w:t>
            </w:r>
          </w:p>
        </w:tc>
        <w:tc>
          <w:tcPr>
            <w:tcW w:w="614" w:type="pct"/>
            <w:tcBorders>
              <w:top w:val="nil"/>
              <w:left w:val="nil"/>
              <w:bottom w:val="nil"/>
              <w:right w:val="nil"/>
            </w:tcBorders>
            <w:shd w:val="clear" w:color="000000" w:fill="FFFFFF"/>
            <w:noWrap/>
            <w:vAlign w:val="center"/>
            <w:hideMark/>
          </w:tcPr>
          <w:p w14:paraId="5BDDDDDC"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7.9</w:t>
            </w:r>
          </w:p>
        </w:tc>
        <w:tc>
          <w:tcPr>
            <w:tcW w:w="614" w:type="pct"/>
            <w:tcBorders>
              <w:top w:val="nil"/>
              <w:left w:val="nil"/>
              <w:bottom w:val="nil"/>
              <w:right w:val="nil"/>
            </w:tcBorders>
            <w:shd w:val="clear" w:color="000000" w:fill="E6F2FF"/>
            <w:noWrap/>
            <w:vAlign w:val="center"/>
            <w:hideMark/>
          </w:tcPr>
          <w:p w14:paraId="69953608"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8.2</w:t>
            </w:r>
          </w:p>
        </w:tc>
        <w:tc>
          <w:tcPr>
            <w:tcW w:w="614" w:type="pct"/>
            <w:tcBorders>
              <w:top w:val="nil"/>
              <w:left w:val="nil"/>
              <w:bottom w:val="nil"/>
              <w:right w:val="nil"/>
            </w:tcBorders>
            <w:shd w:val="clear" w:color="000000" w:fill="FFFFFF"/>
            <w:noWrap/>
            <w:vAlign w:val="center"/>
            <w:hideMark/>
          </w:tcPr>
          <w:p w14:paraId="1C46CD71"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6344172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38FCEC0E" w14:textId="77777777" w:rsidTr="00FD09E1">
        <w:trPr>
          <w:trHeight w:hRule="exact" w:val="60"/>
        </w:trPr>
        <w:tc>
          <w:tcPr>
            <w:tcW w:w="1932" w:type="pct"/>
            <w:tcBorders>
              <w:top w:val="nil"/>
              <w:left w:val="nil"/>
              <w:bottom w:val="nil"/>
              <w:right w:val="nil"/>
            </w:tcBorders>
            <w:shd w:val="clear" w:color="000000" w:fill="FFFFFF"/>
            <w:noWrap/>
            <w:vAlign w:val="center"/>
            <w:hideMark/>
          </w:tcPr>
          <w:p w14:paraId="3F65D736"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40FE117A"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6DF14D82"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E6F2FF"/>
            <w:noWrap/>
            <w:vAlign w:val="center"/>
            <w:hideMark/>
          </w:tcPr>
          <w:p w14:paraId="5D376C69"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3246DF79"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63F7EAF0"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1CC04260"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59F89A05"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Total assets</w:t>
            </w:r>
          </w:p>
        </w:tc>
        <w:tc>
          <w:tcPr>
            <w:tcW w:w="614" w:type="pct"/>
            <w:tcBorders>
              <w:top w:val="nil"/>
              <w:left w:val="nil"/>
              <w:bottom w:val="nil"/>
              <w:right w:val="nil"/>
            </w:tcBorders>
            <w:shd w:val="clear" w:color="000000" w:fill="FFFFFF"/>
            <w:noWrap/>
            <w:vAlign w:val="center"/>
            <w:hideMark/>
          </w:tcPr>
          <w:p w14:paraId="31398FDA"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857.6</w:t>
            </w:r>
          </w:p>
        </w:tc>
        <w:tc>
          <w:tcPr>
            <w:tcW w:w="614" w:type="pct"/>
            <w:tcBorders>
              <w:top w:val="nil"/>
              <w:left w:val="nil"/>
              <w:bottom w:val="nil"/>
              <w:right w:val="nil"/>
            </w:tcBorders>
            <w:shd w:val="clear" w:color="000000" w:fill="FFFFFF"/>
            <w:noWrap/>
            <w:vAlign w:val="center"/>
            <w:hideMark/>
          </w:tcPr>
          <w:p w14:paraId="08507677"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857.3</w:t>
            </w:r>
          </w:p>
        </w:tc>
        <w:tc>
          <w:tcPr>
            <w:tcW w:w="614" w:type="pct"/>
            <w:tcBorders>
              <w:top w:val="nil"/>
              <w:left w:val="nil"/>
              <w:bottom w:val="nil"/>
              <w:right w:val="nil"/>
            </w:tcBorders>
            <w:shd w:val="clear" w:color="000000" w:fill="E6F2FF"/>
            <w:noWrap/>
            <w:vAlign w:val="center"/>
            <w:hideMark/>
          </w:tcPr>
          <w:p w14:paraId="11DD65A9"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892.8</w:t>
            </w:r>
          </w:p>
        </w:tc>
        <w:tc>
          <w:tcPr>
            <w:tcW w:w="614" w:type="pct"/>
            <w:tcBorders>
              <w:top w:val="nil"/>
              <w:left w:val="nil"/>
              <w:bottom w:val="nil"/>
              <w:right w:val="nil"/>
            </w:tcBorders>
            <w:shd w:val="clear" w:color="000000" w:fill="FFFFFF"/>
            <w:noWrap/>
            <w:vAlign w:val="center"/>
            <w:hideMark/>
          </w:tcPr>
          <w:p w14:paraId="7591C13C"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35.2</w:t>
            </w:r>
          </w:p>
        </w:tc>
        <w:tc>
          <w:tcPr>
            <w:tcW w:w="614" w:type="pct"/>
            <w:tcBorders>
              <w:top w:val="nil"/>
              <w:left w:val="nil"/>
              <w:bottom w:val="nil"/>
              <w:right w:val="nil"/>
            </w:tcBorders>
            <w:shd w:val="clear" w:color="000000" w:fill="FFFFFF"/>
            <w:noWrap/>
            <w:vAlign w:val="center"/>
            <w:hideMark/>
          </w:tcPr>
          <w:p w14:paraId="73AF0784"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35.5</w:t>
            </w:r>
          </w:p>
        </w:tc>
      </w:tr>
      <w:tr w:rsidR="001A4862" w:rsidRPr="004863F3" w14:paraId="58BDC911"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16BF1440"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nil"/>
              <w:right w:val="nil"/>
            </w:tcBorders>
            <w:shd w:val="clear" w:color="000000" w:fill="FFFFFF"/>
            <w:noWrap/>
            <w:vAlign w:val="center"/>
            <w:hideMark/>
          </w:tcPr>
          <w:p w14:paraId="3B7897A5"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30.8</w:t>
            </w:r>
          </w:p>
        </w:tc>
        <w:tc>
          <w:tcPr>
            <w:tcW w:w="614" w:type="pct"/>
            <w:tcBorders>
              <w:top w:val="nil"/>
              <w:left w:val="nil"/>
              <w:bottom w:val="nil"/>
              <w:right w:val="nil"/>
            </w:tcBorders>
            <w:shd w:val="clear" w:color="000000" w:fill="FFFFFF"/>
            <w:noWrap/>
            <w:vAlign w:val="center"/>
            <w:hideMark/>
          </w:tcPr>
          <w:p w14:paraId="1C5E57DB"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30.8</w:t>
            </w:r>
          </w:p>
        </w:tc>
        <w:tc>
          <w:tcPr>
            <w:tcW w:w="614" w:type="pct"/>
            <w:tcBorders>
              <w:top w:val="nil"/>
              <w:left w:val="nil"/>
              <w:bottom w:val="nil"/>
              <w:right w:val="nil"/>
            </w:tcBorders>
            <w:shd w:val="clear" w:color="000000" w:fill="E6F2FF"/>
            <w:noWrap/>
            <w:vAlign w:val="center"/>
            <w:hideMark/>
          </w:tcPr>
          <w:p w14:paraId="6A5D27E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32.2</w:t>
            </w:r>
          </w:p>
        </w:tc>
        <w:tc>
          <w:tcPr>
            <w:tcW w:w="614" w:type="pct"/>
            <w:tcBorders>
              <w:top w:val="nil"/>
              <w:left w:val="nil"/>
              <w:bottom w:val="nil"/>
              <w:right w:val="nil"/>
            </w:tcBorders>
            <w:shd w:val="clear" w:color="000000" w:fill="FFFFFF"/>
            <w:noWrap/>
            <w:vAlign w:val="center"/>
            <w:hideMark/>
          </w:tcPr>
          <w:p w14:paraId="12D09D5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6831C775"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713E1B93" w14:textId="77777777" w:rsidTr="00FD09E1">
        <w:trPr>
          <w:trHeight w:hRule="exact" w:val="60"/>
        </w:trPr>
        <w:tc>
          <w:tcPr>
            <w:tcW w:w="1932" w:type="pct"/>
            <w:tcBorders>
              <w:top w:val="nil"/>
              <w:left w:val="nil"/>
              <w:bottom w:val="nil"/>
              <w:right w:val="nil"/>
            </w:tcBorders>
            <w:shd w:val="clear" w:color="000000" w:fill="FFFFFF"/>
            <w:noWrap/>
            <w:vAlign w:val="center"/>
            <w:hideMark/>
          </w:tcPr>
          <w:p w14:paraId="03D76ACB"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7A28AA82"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05224959"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E6F2FF"/>
            <w:noWrap/>
            <w:vAlign w:val="center"/>
            <w:hideMark/>
          </w:tcPr>
          <w:p w14:paraId="0F648239"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1DE4829A"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627302C5"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r>
      <w:tr w:rsidR="001A4862" w:rsidRPr="004863F3" w14:paraId="79AD0BFB"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76B4D8B3"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Total liabilities</w:t>
            </w:r>
          </w:p>
        </w:tc>
        <w:tc>
          <w:tcPr>
            <w:tcW w:w="614" w:type="pct"/>
            <w:tcBorders>
              <w:top w:val="nil"/>
              <w:left w:val="nil"/>
              <w:bottom w:val="nil"/>
              <w:right w:val="nil"/>
            </w:tcBorders>
            <w:shd w:val="clear" w:color="000000" w:fill="FFFFFF"/>
            <w:noWrap/>
            <w:vAlign w:val="center"/>
            <w:hideMark/>
          </w:tcPr>
          <w:p w14:paraId="12EA4670"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1,428.1</w:t>
            </w:r>
          </w:p>
        </w:tc>
        <w:tc>
          <w:tcPr>
            <w:tcW w:w="614" w:type="pct"/>
            <w:tcBorders>
              <w:top w:val="nil"/>
              <w:left w:val="nil"/>
              <w:bottom w:val="nil"/>
              <w:right w:val="nil"/>
            </w:tcBorders>
            <w:shd w:val="clear" w:color="000000" w:fill="FFFFFF"/>
            <w:noWrap/>
            <w:vAlign w:val="center"/>
            <w:hideMark/>
          </w:tcPr>
          <w:p w14:paraId="409CF075"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1,427.8</w:t>
            </w:r>
          </w:p>
        </w:tc>
        <w:tc>
          <w:tcPr>
            <w:tcW w:w="614" w:type="pct"/>
            <w:tcBorders>
              <w:top w:val="nil"/>
              <w:left w:val="nil"/>
              <w:bottom w:val="nil"/>
              <w:right w:val="nil"/>
            </w:tcBorders>
            <w:shd w:val="clear" w:color="000000" w:fill="E6F2FF"/>
            <w:noWrap/>
            <w:vAlign w:val="center"/>
            <w:hideMark/>
          </w:tcPr>
          <w:p w14:paraId="5FC19411"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1,507.4</w:t>
            </w:r>
          </w:p>
        </w:tc>
        <w:tc>
          <w:tcPr>
            <w:tcW w:w="614" w:type="pct"/>
            <w:tcBorders>
              <w:top w:val="nil"/>
              <w:left w:val="nil"/>
              <w:bottom w:val="nil"/>
              <w:right w:val="nil"/>
            </w:tcBorders>
            <w:shd w:val="clear" w:color="000000" w:fill="FFFFFF"/>
            <w:noWrap/>
            <w:vAlign w:val="center"/>
            <w:hideMark/>
          </w:tcPr>
          <w:p w14:paraId="205A28AB"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79.2</w:t>
            </w:r>
          </w:p>
        </w:tc>
        <w:tc>
          <w:tcPr>
            <w:tcW w:w="614" w:type="pct"/>
            <w:tcBorders>
              <w:top w:val="nil"/>
              <w:left w:val="nil"/>
              <w:bottom w:val="nil"/>
              <w:right w:val="nil"/>
            </w:tcBorders>
            <w:shd w:val="clear" w:color="000000" w:fill="FFFFFF"/>
            <w:noWrap/>
            <w:vAlign w:val="center"/>
            <w:hideMark/>
          </w:tcPr>
          <w:p w14:paraId="3DD6EF74"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79.5</w:t>
            </w:r>
          </w:p>
        </w:tc>
      </w:tr>
      <w:tr w:rsidR="001A4862" w:rsidRPr="004863F3" w14:paraId="50FAFDC1"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7EB18A06"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nil"/>
              <w:right w:val="nil"/>
            </w:tcBorders>
            <w:shd w:val="clear" w:color="000000" w:fill="FFFFFF"/>
            <w:noWrap/>
            <w:vAlign w:val="center"/>
            <w:hideMark/>
          </w:tcPr>
          <w:p w14:paraId="7C091378"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51.2</w:t>
            </w:r>
          </w:p>
        </w:tc>
        <w:tc>
          <w:tcPr>
            <w:tcW w:w="614" w:type="pct"/>
            <w:tcBorders>
              <w:top w:val="nil"/>
              <w:left w:val="nil"/>
              <w:bottom w:val="nil"/>
              <w:right w:val="nil"/>
            </w:tcBorders>
            <w:shd w:val="clear" w:color="000000" w:fill="FFFFFF"/>
            <w:noWrap/>
            <w:vAlign w:val="center"/>
            <w:hideMark/>
          </w:tcPr>
          <w:p w14:paraId="033CD63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51.2</w:t>
            </w:r>
          </w:p>
        </w:tc>
        <w:tc>
          <w:tcPr>
            <w:tcW w:w="614" w:type="pct"/>
            <w:tcBorders>
              <w:top w:val="nil"/>
              <w:left w:val="nil"/>
              <w:bottom w:val="nil"/>
              <w:right w:val="nil"/>
            </w:tcBorders>
            <w:shd w:val="clear" w:color="000000" w:fill="E6F2FF"/>
            <w:noWrap/>
            <w:vAlign w:val="center"/>
            <w:hideMark/>
          </w:tcPr>
          <w:p w14:paraId="4FF29395"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54.4</w:t>
            </w:r>
          </w:p>
        </w:tc>
        <w:tc>
          <w:tcPr>
            <w:tcW w:w="614" w:type="pct"/>
            <w:tcBorders>
              <w:top w:val="nil"/>
              <w:left w:val="nil"/>
              <w:bottom w:val="nil"/>
              <w:right w:val="nil"/>
            </w:tcBorders>
            <w:shd w:val="clear" w:color="000000" w:fill="FFFFFF"/>
            <w:noWrap/>
            <w:vAlign w:val="center"/>
            <w:hideMark/>
          </w:tcPr>
          <w:p w14:paraId="28149D4A"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39E2E86A"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14FB8E7A" w14:textId="77777777" w:rsidTr="00FD09E1">
        <w:trPr>
          <w:trHeight w:hRule="exact" w:val="60"/>
        </w:trPr>
        <w:tc>
          <w:tcPr>
            <w:tcW w:w="1932" w:type="pct"/>
            <w:tcBorders>
              <w:top w:val="nil"/>
              <w:left w:val="nil"/>
              <w:bottom w:val="nil"/>
              <w:right w:val="nil"/>
            </w:tcBorders>
            <w:shd w:val="clear" w:color="000000" w:fill="FFFFFF"/>
            <w:noWrap/>
            <w:vAlign w:val="center"/>
            <w:hideMark/>
          </w:tcPr>
          <w:p w14:paraId="47E5A762"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50534560"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2599477F"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E6F2FF"/>
            <w:noWrap/>
            <w:vAlign w:val="center"/>
            <w:hideMark/>
          </w:tcPr>
          <w:p w14:paraId="0458A1E4"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574757A2"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66F9B758"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r>
      <w:tr w:rsidR="001A4862" w:rsidRPr="004863F3" w14:paraId="11F41678"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11959A31"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Net worth</w:t>
            </w:r>
          </w:p>
        </w:tc>
        <w:tc>
          <w:tcPr>
            <w:tcW w:w="614" w:type="pct"/>
            <w:tcBorders>
              <w:top w:val="nil"/>
              <w:left w:val="nil"/>
              <w:bottom w:val="nil"/>
              <w:right w:val="nil"/>
            </w:tcBorders>
            <w:shd w:val="clear" w:color="000000" w:fill="FFFFFF"/>
            <w:noWrap/>
            <w:vAlign w:val="center"/>
            <w:hideMark/>
          </w:tcPr>
          <w:p w14:paraId="3349024C"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-570.5</w:t>
            </w:r>
          </w:p>
        </w:tc>
        <w:tc>
          <w:tcPr>
            <w:tcW w:w="614" w:type="pct"/>
            <w:tcBorders>
              <w:top w:val="nil"/>
              <w:left w:val="nil"/>
              <w:bottom w:val="nil"/>
              <w:right w:val="nil"/>
            </w:tcBorders>
            <w:shd w:val="clear" w:color="000000" w:fill="FFFFFF"/>
            <w:noWrap/>
            <w:vAlign w:val="center"/>
            <w:hideMark/>
          </w:tcPr>
          <w:p w14:paraId="12E9F5CE"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-570.5</w:t>
            </w:r>
          </w:p>
        </w:tc>
        <w:tc>
          <w:tcPr>
            <w:tcW w:w="614" w:type="pct"/>
            <w:tcBorders>
              <w:top w:val="nil"/>
              <w:left w:val="nil"/>
              <w:bottom w:val="nil"/>
              <w:right w:val="nil"/>
            </w:tcBorders>
            <w:shd w:val="clear" w:color="000000" w:fill="E6F2FF"/>
            <w:noWrap/>
            <w:vAlign w:val="center"/>
            <w:hideMark/>
          </w:tcPr>
          <w:p w14:paraId="34878B4C"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-614.5</w:t>
            </w:r>
          </w:p>
        </w:tc>
        <w:tc>
          <w:tcPr>
            <w:tcW w:w="614" w:type="pct"/>
            <w:tcBorders>
              <w:top w:val="nil"/>
              <w:left w:val="nil"/>
              <w:bottom w:val="nil"/>
              <w:right w:val="nil"/>
            </w:tcBorders>
            <w:shd w:val="clear" w:color="000000" w:fill="FFFFFF"/>
            <w:noWrap/>
            <w:vAlign w:val="center"/>
            <w:hideMark/>
          </w:tcPr>
          <w:p w14:paraId="4EF7A392"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-44.0</w:t>
            </w:r>
          </w:p>
        </w:tc>
        <w:tc>
          <w:tcPr>
            <w:tcW w:w="614" w:type="pct"/>
            <w:tcBorders>
              <w:top w:val="nil"/>
              <w:left w:val="nil"/>
              <w:bottom w:val="nil"/>
              <w:right w:val="nil"/>
            </w:tcBorders>
            <w:shd w:val="clear" w:color="000000" w:fill="FFFFFF"/>
            <w:noWrap/>
            <w:vAlign w:val="center"/>
            <w:hideMark/>
          </w:tcPr>
          <w:p w14:paraId="0D4B0464"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-44.0</w:t>
            </w:r>
          </w:p>
        </w:tc>
      </w:tr>
      <w:tr w:rsidR="001A4862" w:rsidRPr="004863F3" w14:paraId="5E1D72FE"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5C0EBE87"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nil"/>
              <w:right w:val="nil"/>
            </w:tcBorders>
            <w:shd w:val="clear" w:color="000000" w:fill="FFFFFF"/>
            <w:noWrap/>
            <w:vAlign w:val="center"/>
            <w:hideMark/>
          </w:tcPr>
          <w:p w14:paraId="3CB01F14"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-20.5</w:t>
            </w:r>
          </w:p>
        </w:tc>
        <w:tc>
          <w:tcPr>
            <w:tcW w:w="614" w:type="pct"/>
            <w:tcBorders>
              <w:top w:val="nil"/>
              <w:left w:val="nil"/>
              <w:bottom w:val="nil"/>
              <w:right w:val="nil"/>
            </w:tcBorders>
            <w:shd w:val="clear" w:color="000000" w:fill="FFFFFF"/>
            <w:noWrap/>
            <w:vAlign w:val="center"/>
            <w:hideMark/>
          </w:tcPr>
          <w:p w14:paraId="4BA51A88"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-20.5</w:t>
            </w:r>
          </w:p>
        </w:tc>
        <w:tc>
          <w:tcPr>
            <w:tcW w:w="614" w:type="pct"/>
            <w:tcBorders>
              <w:top w:val="nil"/>
              <w:left w:val="nil"/>
              <w:bottom w:val="nil"/>
              <w:right w:val="nil"/>
            </w:tcBorders>
            <w:shd w:val="clear" w:color="000000" w:fill="E6F2FF"/>
            <w:noWrap/>
            <w:vAlign w:val="center"/>
            <w:hideMark/>
          </w:tcPr>
          <w:p w14:paraId="17F7AC33"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-22.2</w:t>
            </w:r>
          </w:p>
        </w:tc>
        <w:tc>
          <w:tcPr>
            <w:tcW w:w="614" w:type="pct"/>
            <w:tcBorders>
              <w:top w:val="nil"/>
              <w:left w:val="nil"/>
              <w:bottom w:val="nil"/>
              <w:right w:val="nil"/>
            </w:tcBorders>
            <w:shd w:val="clear" w:color="000000" w:fill="FFFFFF"/>
            <w:noWrap/>
            <w:vAlign w:val="center"/>
            <w:hideMark/>
          </w:tcPr>
          <w:p w14:paraId="1395DD5F"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775A4BD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026EC8E7" w14:textId="77777777" w:rsidTr="00FD09E1">
        <w:trPr>
          <w:trHeight w:hRule="exact" w:val="60"/>
        </w:trPr>
        <w:tc>
          <w:tcPr>
            <w:tcW w:w="1932" w:type="pct"/>
            <w:tcBorders>
              <w:top w:val="nil"/>
              <w:left w:val="nil"/>
              <w:bottom w:val="nil"/>
              <w:right w:val="nil"/>
            </w:tcBorders>
            <w:shd w:val="clear" w:color="000000" w:fill="FFFFFF"/>
            <w:noWrap/>
            <w:vAlign w:val="center"/>
            <w:hideMark/>
          </w:tcPr>
          <w:p w14:paraId="2AD1511E"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3B21B361"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16EB7505"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E6F2FF"/>
            <w:noWrap/>
            <w:vAlign w:val="center"/>
            <w:hideMark/>
          </w:tcPr>
          <w:p w14:paraId="61F5000E"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0F0FFE9E"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73A7AB98"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r>
      <w:tr w:rsidR="001A4862" w:rsidRPr="004863F3" w14:paraId="39E87292"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6F1E01EF"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 xml:space="preserve">Net financial worth(b) </w:t>
            </w:r>
          </w:p>
        </w:tc>
        <w:tc>
          <w:tcPr>
            <w:tcW w:w="614" w:type="pct"/>
            <w:tcBorders>
              <w:top w:val="nil"/>
              <w:left w:val="nil"/>
              <w:bottom w:val="nil"/>
              <w:right w:val="nil"/>
            </w:tcBorders>
            <w:shd w:val="clear" w:color="000000" w:fill="FFFFFF"/>
            <w:noWrap/>
            <w:vAlign w:val="center"/>
            <w:hideMark/>
          </w:tcPr>
          <w:p w14:paraId="6D3D1A9F"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-791.1</w:t>
            </w:r>
          </w:p>
        </w:tc>
        <w:tc>
          <w:tcPr>
            <w:tcW w:w="614" w:type="pct"/>
            <w:tcBorders>
              <w:top w:val="nil"/>
              <w:left w:val="nil"/>
              <w:bottom w:val="nil"/>
              <w:right w:val="nil"/>
            </w:tcBorders>
            <w:shd w:val="clear" w:color="000000" w:fill="FFFFFF"/>
            <w:noWrap/>
            <w:vAlign w:val="center"/>
            <w:hideMark/>
          </w:tcPr>
          <w:p w14:paraId="5C332CC9"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-791.1</w:t>
            </w:r>
          </w:p>
        </w:tc>
        <w:tc>
          <w:tcPr>
            <w:tcW w:w="614" w:type="pct"/>
            <w:tcBorders>
              <w:top w:val="nil"/>
              <w:left w:val="nil"/>
              <w:bottom w:val="nil"/>
              <w:right w:val="nil"/>
            </w:tcBorders>
            <w:shd w:val="clear" w:color="000000" w:fill="E6F2FF"/>
            <w:noWrap/>
            <w:vAlign w:val="center"/>
            <w:hideMark/>
          </w:tcPr>
          <w:p w14:paraId="324A11EF"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-841.9</w:t>
            </w:r>
          </w:p>
        </w:tc>
        <w:tc>
          <w:tcPr>
            <w:tcW w:w="614" w:type="pct"/>
            <w:tcBorders>
              <w:top w:val="nil"/>
              <w:left w:val="nil"/>
              <w:bottom w:val="nil"/>
              <w:right w:val="nil"/>
            </w:tcBorders>
            <w:shd w:val="clear" w:color="000000" w:fill="FFFFFF"/>
            <w:noWrap/>
            <w:vAlign w:val="center"/>
            <w:hideMark/>
          </w:tcPr>
          <w:p w14:paraId="5E9EBB6A"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-50.8</w:t>
            </w:r>
          </w:p>
        </w:tc>
        <w:tc>
          <w:tcPr>
            <w:tcW w:w="614" w:type="pct"/>
            <w:tcBorders>
              <w:top w:val="nil"/>
              <w:left w:val="nil"/>
              <w:bottom w:val="nil"/>
              <w:right w:val="nil"/>
            </w:tcBorders>
            <w:shd w:val="clear" w:color="000000" w:fill="FFFFFF"/>
            <w:noWrap/>
            <w:vAlign w:val="center"/>
            <w:hideMark/>
          </w:tcPr>
          <w:p w14:paraId="0A88B730"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-50.8</w:t>
            </w:r>
          </w:p>
        </w:tc>
      </w:tr>
      <w:tr w:rsidR="001A4862" w:rsidRPr="004863F3" w14:paraId="40D87374"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2580257B"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nil"/>
              <w:right w:val="nil"/>
            </w:tcBorders>
            <w:shd w:val="clear" w:color="000000" w:fill="FFFFFF"/>
            <w:noWrap/>
            <w:vAlign w:val="center"/>
            <w:hideMark/>
          </w:tcPr>
          <w:p w14:paraId="402A9C60"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-28.4</w:t>
            </w:r>
          </w:p>
        </w:tc>
        <w:tc>
          <w:tcPr>
            <w:tcW w:w="614" w:type="pct"/>
            <w:tcBorders>
              <w:top w:val="nil"/>
              <w:left w:val="nil"/>
              <w:bottom w:val="nil"/>
              <w:right w:val="nil"/>
            </w:tcBorders>
            <w:shd w:val="clear" w:color="000000" w:fill="FFFFFF"/>
            <w:noWrap/>
            <w:vAlign w:val="center"/>
            <w:hideMark/>
          </w:tcPr>
          <w:p w14:paraId="3DBDEDA9"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-28.4</w:t>
            </w:r>
          </w:p>
        </w:tc>
        <w:tc>
          <w:tcPr>
            <w:tcW w:w="614" w:type="pct"/>
            <w:tcBorders>
              <w:top w:val="nil"/>
              <w:left w:val="nil"/>
              <w:bottom w:val="nil"/>
              <w:right w:val="nil"/>
            </w:tcBorders>
            <w:shd w:val="clear" w:color="000000" w:fill="E6F2FF"/>
            <w:noWrap/>
            <w:vAlign w:val="center"/>
            <w:hideMark/>
          </w:tcPr>
          <w:p w14:paraId="3A533D9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-30.4</w:t>
            </w:r>
          </w:p>
        </w:tc>
        <w:tc>
          <w:tcPr>
            <w:tcW w:w="614" w:type="pct"/>
            <w:tcBorders>
              <w:top w:val="nil"/>
              <w:left w:val="nil"/>
              <w:bottom w:val="nil"/>
              <w:right w:val="nil"/>
            </w:tcBorders>
            <w:shd w:val="clear" w:color="000000" w:fill="FFFFFF"/>
            <w:noWrap/>
            <w:vAlign w:val="center"/>
            <w:hideMark/>
          </w:tcPr>
          <w:p w14:paraId="266FAC58"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25336C8F"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569DB225" w14:textId="77777777" w:rsidTr="00FD09E1">
        <w:trPr>
          <w:trHeight w:hRule="exact" w:val="60"/>
        </w:trPr>
        <w:tc>
          <w:tcPr>
            <w:tcW w:w="1932" w:type="pct"/>
            <w:tcBorders>
              <w:top w:val="nil"/>
              <w:left w:val="nil"/>
              <w:bottom w:val="nil"/>
              <w:right w:val="nil"/>
            </w:tcBorders>
            <w:shd w:val="clear" w:color="000000" w:fill="FFFFFF"/>
            <w:noWrap/>
            <w:vAlign w:val="center"/>
            <w:hideMark/>
          </w:tcPr>
          <w:p w14:paraId="4AD20A3F"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76DFFC4F"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09DF5259"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E6F2FF"/>
            <w:noWrap/>
            <w:vAlign w:val="center"/>
            <w:hideMark/>
          </w:tcPr>
          <w:p w14:paraId="5766C652"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1CD31527"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c>
          <w:tcPr>
            <w:tcW w:w="614" w:type="pct"/>
            <w:tcBorders>
              <w:top w:val="nil"/>
              <w:left w:val="nil"/>
              <w:bottom w:val="nil"/>
              <w:right w:val="nil"/>
            </w:tcBorders>
            <w:shd w:val="clear" w:color="000000" w:fill="FFFFFF"/>
            <w:noWrap/>
            <w:vAlign w:val="center"/>
            <w:hideMark/>
          </w:tcPr>
          <w:p w14:paraId="68DF3914"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 </w:t>
            </w:r>
          </w:p>
        </w:tc>
      </w:tr>
      <w:tr w:rsidR="001A4862" w:rsidRPr="004863F3" w14:paraId="09ECC160"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7AC81545"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Gross debt(c)</w:t>
            </w:r>
          </w:p>
        </w:tc>
        <w:tc>
          <w:tcPr>
            <w:tcW w:w="614" w:type="pct"/>
            <w:tcBorders>
              <w:top w:val="nil"/>
              <w:left w:val="nil"/>
              <w:bottom w:val="nil"/>
              <w:right w:val="nil"/>
            </w:tcBorders>
            <w:shd w:val="clear" w:color="000000" w:fill="FFFFFF"/>
            <w:noWrap/>
            <w:vAlign w:val="center"/>
            <w:hideMark/>
          </w:tcPr>
          <w:p w14:paraId="68E5047B"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940.0</w:t>
            </w:r>
          </w:p>
        </w:tc>
        <w:tc>
          <w:tcPr>
            <w:tcW w:w="614" w:type="pct"/>
            <w:tcBorders>
              <w:top w:val="nil"/>
              <w:left w:val="nil"/>
              <w:bottom w:val="nil"/>
              <w:right w:val="nil"/>
            </w:tcBorders>
            <w:shd w:val="clear" w:color="000000" w:fill="FFFFFF"/>
            <w:noWrap/>
            <w:vAlign w:val="center"/>
            <w:hideMark/>
          </w:tcPr>
          <w:p w14:paraId="34E9CBCF"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940.0</w:t>
            </w:r>
          </w:p>
        </w:tc>
        <w:tc>
          <w:tcPr>
            <w:tcW w:w="614" w:type="pct"/>
            <w:tcBorders>
              <w:top w:val="nil"/>
              <w:left w:val="nil"/>
              <w:bottom w:val="nil"/>
              <w:right w:val="nil"/>
            </w:tcBorders>
            <w:shd w:val="clear" w:color="000000" w:fill="E6F2FF"/>
            <w:noWrap/>
            <w:vAlign w:val="center"/>
            <w:hideMark/>
          </w:tcPr>
          <w:p w14:paraId="083C97F9"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928.6</w:t>
            </w:r>
          </w:p>
        </w:tc>
        <w:tc>
          <w:tcPr>
            <w:tcW w:w="614" w:type="pct"/>
            <w:tcBorders>
              <w:top w:val="nil"/>
              <w:left w:val="nil"/>
              <w:bottom w:val="nil"/>
              <w:right w:val="nil"/>
            </w:tcBorders>
            <w:shd w:val="clear" w:color="000000" w:fill="FFFFFF"/>
            <w:noWrap/>
            <w:vAlign w:val="center"/>
            <w:hideMark/>
          </w:tcPr>
          <w:p w14:paraId="179EE1C8"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-11.4</w:t>
            </w:r>
          </w:p>
        </w:tc>
        <w:tc>
          <w:tcPr>
            <w:tcW w:w="614" w:type="pct"/>
            <w:tcBorders>
              <w:top w:val="nil"/>
              <w:left w:val="nil"/>
              <w:bottom w:val="nil"/>
              <w:right w:val="nil"/>
            </w:tcBorders>
            <w:shd w:val="clear" w:color="000000" w:fill="FFFFFF"/>
            <w:noWrap/>
            <w:vAlign w:val="center"/>
            <w:hideMark/>
          </w:tcPr>
          <w:p w14:paraId="45488395"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-11.4</w:t>
            </w:r>
          </w:p>
        </w:tc>
      </w:tr>
      <w:tr w:rsidR="001A4862" w:rsidRPr="004863F3" w14:paraId="5C347170"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5AC335F9"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nil"/>
              <w:right w:val="nil"/>
            </w:tcBorders>
            <w:shd w:val="clear" w:color="000000" w:fill="FFFFFF"/>
            <w:noWrap/>
            <w:vAlign w:val="center"/>
            <w:hideMark/>
          </w:tcPr>
          <w:p w14:paraId="0DFA70D8"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33.7</w:t>
            </w:r>
          </w:p>
        </w:tc>
        <w:tc>
          <w:tcPr>
            <w:tcW w:w="614" w:type="pct"/>
            <w:tcBorders>
              <w:top w:val="nil"/>
              <w:left w:val="nil"/>
              <w:bottom w:val="nil"/>
              <w:right w:val="nil"/>
            </w:tcBorders>
            <w:shd w:val="clear" w:color="000000" w:fill="FFFFFF"/>
            <w:noWrap/>
            <w:vAlign w:val="center"/>
            <w:hideMark/>
          </w:tcPr>
          <w:p w14:paraId="5BC7CAB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33.7</w:t>
            </w:r>
          </w:p>
        </w:tc>
        <w:tc>
          <w:tcPr>
            <w:tcW w:w="614" w:type="pct"/>
            <w:tcBorders>
              <w:top w:val="nil"/>
              <w:left w:val="nil"/>
              <w:bottom w:val="nil"/>
              <w:right w:val="nil"/>
            </w:tcBorders>
            <w:shd w:val="clear" w:color="000000" w:fill="E6F2FF"/>
            <w:noWrap/>
            <w:vAlign w:val="center"/>
            <w:hideMark/>
          </w:tcPr>
          <w:p w14:paraId="1AB88375"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33.5</w:t>
            </w:r>
          </w:p>
        </w:tc>
        <w:tc>
          <w:tcPr>
            <w:tcW w:w="614" w:type="pct"/>
            <w:tcBorders>
              <w:top w:val="nil"/>
              <w:left w:val="nil"/>
              <w:bottom w:val="nil"/>
              <w:right w:val="nil"/>
            </w:tcBorders>
            <w:shd w:val="clear" w:color="000000" w:fill="FFFFFF"/>
            <w:noWrap/>
            <w:vAlign w:val="center"/>
            <w:hideMark/>
          </w:tcPr>
          <w:p w14:paraId="3397E317"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64EFBD0C"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52271B72" w14:textId="77777777" w:rsidTr="00FD09E1">
        <w:trPr>
          <w:trHeight w:hRule="exact" w:val="60"/>
        </w:trPr>
        <w:tc>
          <w:tcPr>
            <w:tcW w:w="1932" w:type="pct"/>
            <w:tcBorders>
              <w:top w:val="nil"/>
              <w:left w:val="nil"/>
              <w:bottom w:val="nil"/>
              <w:right w:val="nil"/>
            </w:tcBorders>
            <w:shd w:val="clear" w:color="000000" w:fill="FFFFFF"/>
            <w:noWrap/>
            <w:vAlign w:val="center"/>
            <w:hideMark/>
          </w:tcPr>
          <w:p w14:paraId="62F0CE18" w14:textId="77777777" w:rsidR="001A4862" w:rsidRPr="004863F3" w:rsidRDefault="001A4862" w:rsidP="001A4862">
            <w:pPr>
              <w:spacing w:before="0" w:after="0" w:line="240" w:lineRule="auto"/>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4B1F6AF3"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0F56CC44"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E6F2FF"/>
            <w:noWrap/>
            <w:vAlign w:val="center"/>
            <w:hideMark/>
          </w:tcPr>
          <w:p w14:paraId="0FE6F3F8"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2A2A2B77"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2ED23AD0"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r>
      <w:tr w:rsidR="001A4862" w:rsidRPr="004863F3" w14:paraId="35C4FC2F"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4154D51B"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Net debt(d)</w:t>
            </w:r>
          </w:p>
        </w:tc>
        <w:tc>
          <w:tcPr>
            <w:tcW w:w="614" w:type="pct"/>
            <w:tcBorders>
              <w:top w:val="nil"/>
              <w:left w:val="nil"/>
              <w:bottom w:val="nil"/>
              <w:right w:val="nil"/>
            </w:tcBorders>
            <w:shd w:val="clear" w:color="000000" w:fill="FFFFFF"/>
            <w:noWrap/>
            <w:vAlign w:val="center"/>
            <w:hideMark/>
          </w:tcPr>
          <w:p w14:paraId="6E804DD7"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556.0</w:t>
            </w:r>
          </w:p>
        </w:tc>
        <w:tc>
          <w:tcPr>
            <w:tcW w:w="614" w:type="pct"/>
            <w:tcBorders>
              <w:top w:val="nil"/>
              <w:left w:val="nil"/>
              <w:bottom w:val="nil"/>
              <w:right w:val="nil"/>
            </w:tcBorders>
            <w:shd w:val="clear" w:color="000000" w:fill="FFFFFF"/>
            <w:noWrap/>
            <w:vAlign w:val="center"/>
            <w:hideMark/>
          </w:tcPr>
          <w:p w14:paraId="4B371390"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556.3</w:t>
            </w:r>
          </w:p>
        </w:tc>
        <w:tc>
          <w:tcPr>
            <w:tcW w:w="614" w:type="pct"/>
            <w:tcBorders>
              <w:top w:val="nil"/>
              <w:left w:val="nil"/>
              <w:bottom w:val="nil"/>
              <w:right w:val="nil"/>
            </w:tcBorders>
            <w:shd w:val="clear" w:color="000000" w:fill="E6F2FF"/>
            <w:noWrap/>
            <w:vAlign w:val="center"/>
            <w:hideMark/>
          </w:tcPr>
          <w:p w14:paraId="1AF648DE"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532.3</w:t>
            </w:r>
          </w:p>
        </w:tc>
        <w:tc>
          <w:tcPr>
            <w:tcW w:w="614" w:type="pct"/>
            <w:tcBorders>
              <w:top w:val="nil"/>
              <w:left w:val="nil"/>
              <w:bottom w:val="nil"/>
              <w:right w:val="nil"/>
            </w:tcBorders>
            <w:shd w:val="clear" w:color="000000" w:fill="FFFFFF"/>
            <w:noWrap/>
            <w:vAlign w:val="center"/>
            <w:hideMark/>
          </w:tcPr>
          <w:p w14:paraId="7556200C"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-23.6</w:t>
            </w:r>
          </w:p>
        </w:tc>
        <w:tc>
          <w:tcPr>
            <w:tcW w:w="614" w:type="pct"/>
            <w:tcBorders>
              <w:top w:val="nil"/>
              <w:left w:val="nil"/>
              <w:bottom w:val="nil"/>
              <w:right w:val="nil"/>
            </w:tcBorders>
            <w:shd w:val="clear" w:color="000000" w:fill="FFFFFF"/>
            <w:noWrap/>
            <w:vAlign w:val="center"/>
            <w:hideMark/>
          </w:tcPr>
          <w:p w14:paraId="04185D6E"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-23.9</w:t>
            </w:r>
          </w:p>
        </w:tc>
      </w:tr>
      <w:tr w:rsidR="001A4862" w:rsidRPr="004863F3" w14:paraId="4B194EA4"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610B6BE4"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nil"/>
              <w:right w:val="nil"/>
            </w:tcBorders>
            <w:shd w:val="clear" w:color="000000" w:fill="FFFFFF"/>
            <w:noWrap/>
            <w:vAlign w:val="center"/>
            <w:hideMark/>
          </w:tcPr>
          <w:p w14:paraId="0E36FB59"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19.9</w:t>
            </w:r>
          </w:p>
        </w:tc>
        <w:tc>
          <w:tcPr>
            <w:tcW w:w="614" w:type="pct"/>
            <w:tcBorders>
              <w:top w:val="nil"/>
              <w:left w:val="nil"/>
              <w:bottom w:val="nil"/>
              <w:right w:val="nil"/>
            </w:tcBorders>
            <w:shd w:val="clear" w:color="000000" w:fill="FFFFFF"/>
            <w:noWrap/>
            <w:vAlign w:val="center"/>
            <w:hideMark/>
          </w:tcPr>
          <w:p w14:paraId="6E553FEC"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20.0</w:t>
            </w:r>
          </w:p>
        </w:tc>
        <w:tc>
          <w:tcPr>
            <w:tcW w:w="614" w:type="pct"/>
            <w:tcBorders>
              <w:top w:val="nil"/>
              <w:left w:val="nil"/>
              <w:bottom w:val="nil"/>
              <w:right w:val="nil"/>
            </w:tcBorders>
            <w:shd w:val="clear" w:color="000000" w:fill="E6F2FF"/>
            <w:noWrap/>
            <w:vAlign w:val="center"/>
            <w:hideMark/>
          </w:tcPr>
          <w:p w14:paraId="5782429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19.2</w:t>
            </w:r>
          </w:p>
        </w:tc>
        <w:tc>
          <w:tcPr>
            <w:tcW w:w="614" w:type="pct"/>
            <w:tcBorders>
              <w:top w:val="nil"/>
              <w:left w:val="nil"/>
              <w:bottom w:val="nil"/>
              <w:right w:val="nil"/>
            </w:tcBorders>
            <w:shd w:val="clear" w:color="000000" w:fill="FFFFFF"/>
            <w:noWrap/>
            <w:vAlign w:val="center"/>
            <w:hideMark/>
          </w:tcPr>
          <w:p w14:paraId="3B414617"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522AB2C7"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05792FE3" w14:textId="77777777" w:rsidTr="00FD09E1">
        <w:trPr>
          <w:trHeight w:hRule="exact" w:val="60"/>
        </w:trPr>
        <w:tc>
          <w:tcPr>
            <w:tcW w:w="1932" w:type="pct"/>
            <w:tcBorders>
              <w:top w:val="nil"/>
              <w:left w:val="nil"/>
              <w:bottom w:val="nil"/>
              <w:right w:val="nil"/>
            </w:tcBorders>
            <w:shd w:val="clear" w:color="000000" w:fill="FFFFFF"/>
            <w:noWrap/>
            <w:vAlign w:val="center"/>
            <w:hideMark/>
          </w:tcPr>
          <w:p w14:paraId="24EAB4F5" w14:textId="77777777" w:rsidR="001A4862" w:rsidRPr="004863F3" w:rsidRDefault="001A4862" w:rsidP="001A4862">
            <w:pPr>
              <w:spacing w:before="0" w:after="0" w:line="240" w:lineRule="auto"/>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5B2CEA80"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652D25FC"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E6F2FF"/>
            <w:noWrap/>
            <w:vAlign w:val="center"/>
            <w:hideMark/>
          </w:tcPr>
          <w:p w14:paraId="10172D8F"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643B87D6"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5AD7021E"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r>
      <w:tr w:rsidR="001A4862" w:rsidRPr="004863F3" w14:paraId="5BF8CCFF"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152EDC07"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Total interest payments</w:t>
            </w:r>
          </w:p>
        </w:tc>
        <w:tc>
          <w:tcPr>
            <w:tcW w:w="614" w:type="pct"/>
            <w:tcBorders>
              <w:top w:val="nil"/>
              <w:left w:val="nil"/>
              <w:bottom w:val="nil"/>
              <w:right w:val="nil"/>
            </w:tcBorders>
            <w:shd w:val="clear" w:color="000000" w:fill="FFFFFF"/>
            <w:noWrap/>
            <w:vAlign w:val="center"/>
            <w:hideMark/>
          </w:tcPr>
          <w:p w14:paraId="41BBB3BD"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24.4</w:t>
            </w:r>
          </w:p>
        </w:tc>
        <w:tc>
          <w:tcPr>
            <w:tcW w:w="614" w:type="pct"/>
            <w:tcBorders>
              <w:top w:val="nil"/>
              <w:left w:val="nil"/>
              <w:bottom w:val="nil"/>
              <w:right w:val="nil"/>
            </w:tcBorders>
            <w:shd w:val="clear" w:color="000000" w:fill="FFFFFF"/>
            <w:noWrap/>
            <w:vAlign w:val="center"/>
            <w:hideMark/>
          </w:tcPr>
          <w:p w14:paraId="58EB202B"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24.4</w:t>
            </w:r>
          </w:p>
        </w:tc>
        <w:tc>
          <w:tcPr>
            <w:tcW w:w="614" w:type="pct"/>
            <w:tcBorders>
              <w:top w:val="nil"/>
              <w:left w:val="nil"/>
              <w:bottom w:val="nil"/>
              <w:right w:val="nil"/>
            </w:tcBorders>
            <w:shd w:val="clear" w:color="000000" w:fill="E6F2FF"/>
            <w:noWrap/>
            <w:vAlign w:val="center"/>
            <w:hideMark/>
          </w:tcPr>
          <w:p w14:paraId="4F3DE88A"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24.3</w:t>
            </w:r>
          </w:p>
        </w:tc>
        <w:tc>
          <w:tcPr>
            <w:tcW w:w="614" w:type="pct"/>
            <w:tcBorders>
              <w:top w:val="nil"/>
              <w:left w:val="nil"/>
              <w:bottom w:val="nil"/>
              <w:right w:val="nil"/>
            </w:tcBorders>
            <w:shd w:val="clear" w:color="000000" w:fill="FFFFFF"/>
            <w:noWrap/>
            <w:vAlign w:val="center"/>
            <w:hideMark/>
          </w:tcPr>
          <w:p w14:paraId="150EC496"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-0.1</w:t>
            </w:r>
          </w:p>
        </w:tc>
        <w:tc>
          <w:tcPr>
            <w:tcW w:w="614" w:type="pct"/>
            <w:tcBorders>
              <w:top w:val="nil"/>
              <w:left w:val="nil"/>
              <w:bottom w:val="nil"/>
              <w:right w:val="nil"/>
            </w:tcBorders>
            <w:shd w:val="clear" w:color="000000" w:fill="FFFFFF"/>
            <w:noWrap/>
            <w:vAlign w:val="center"/>
            <w:hideMark/>
          </w:tcPr>
          <w:p w14:paraId="729868C9"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-0.1</w:t>
            </w:r>
          </w:p>
        </w:tc>
      </w:tr>
      <w:tr w:rsidR="001A4862" w:rsidRPr="004863F3" w14:paraId="4DDC1126"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72DD34B7"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nil"/>
              <w:right w:val="nil"/>
            </w:tcBorders>
            <w:shd w:val="clear" w:color="000000" w:fill="FFFFFF"/>
            <w:noWrap/>
            <w:vAlign w:val="center"/>
            <w:hideMark/>
          </w:tcPr>
          <w:p w14:paraId="2B3C47C5"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0.9</w:t>
            </w:r>
          </w:p>
        </w:tc>
        <w:tc>
          <w:tcPr>
            <w:tcW w:w="614" w:type="pct"/>
            <w:tcBorders>
              <w:top w:val="nil"/>
              <w:left w:val="nil"/>
              <w:bottom w:val="nil"/>
              <w:right w:val="nil"/>
            </w:tcBorders>
            <w:shd w:val="clear" w:color="000000" w:fill="FFFFFF"/>
            <w:noWrap/>
            <w:vAlign w:val="center"/>
            <w:hideMark/>
          </w:tcPr>
          <w:p w14:paraId="429A0AA3"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0.9</w:t>
            </w:r>
          </w:p>
        </w:tc>
        <w:tc>
          <w:tcPr>
            <w:tcW w:w="614" w:type="pct"/>
            <w:tcBorders>
              <w:top w:val="nil"/>
              <w:left w:val="nil"/>
              <w:bottom w:val="nil"/>
              <w:right w:val="nil"/>
            </w:tcBorders>
            <w:shd w:val="clear" w:color="000000" w:fill="E6F2FF"/>
            <w:noWrap/>
            <w:vAlign w:val="center"/>
            <w:hideMark/>
          </w:tcPr>
          <w:p w14:paraId="2A96E04A"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0.9</w:t>
            </w:r>
          </w:p>
        </w:tc>
        <w:tc>
          <w:tcPr>
            <w:tcW w:w="614" w:type="pct"/>
            <w:tcBorders>
              <w:top w:val="nil"/>
              <w:left w:val="nil"/>
              <w:bottom w:val="nil"/>
              <w:right w:val="nil"/>
            </w:tcBorders>
            <w:shd w:val="clear" w:color="000000" w:fill="FFFFFF"/>
            <w:noWrap/>
            <w:vAlign w:val="center"/>
            <w:hideMark/>
          </w:tcPr>
          <w:p w14:paraId="79273EE3"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nil"/>
              <w:right w:val="nil"/>
            </w:tcBorders>
            <w:shd w:val="clear" w:color="000000" w:fill="FFFFFF"/>
            <w:noWrap/>
            <w:vAlign w:val="center"/>
            <w:hideMark/>
          </w:tcPr>
          <w:p w14:paraId="71A479A8"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r w:rsidR="001A4862" w:rsidRPr="004863F3" w14:paraId="09FA8E39" w14:textId="77777777" w:rsidTr="00FD09E1">
        <w:trPr>
          <w:trHeight w:hRule="exact" w:val="60"/>
        </w:trPr>
        <w:tc>
          <w:tcPr>
            <w:tcW w:w="1932" w:type="pct"/>
            <w:tcBorders>
              <w:top w:val="nil"/>
              <w:left w:val="nil"/>
              <w:bottom w:val="nil"/>
              <w:right w:val="nil"/>
            </w:tcBorders>
            <w:shd w:val="clear" w:color="000000" w:fill="FFFFFF"/>
            <w:noWrap/>
            <w:vAlign w:val="center"/>
            <w:hideMark/>
          </w:tcPr>
          <w:p w14:paraId="0E8AC709" w14:textId="77777777" w:rsidR="001A4862" w:rsidRPr="004863F3" w:rsidRDefault="001A4862" w:rsidP="001A4862">
            <w:pPr>
              <w:spacing w:before="0" w:after="0" w:line="240" w:lineRule="auto"/>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7D024AC7"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5BFBC26E"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E6F2FF"/>
            <w:noWrap/>
            <w:vAlign w:val="center"/>
            <w:hideMark/>
          </w:tcPr>
          <w:p w14:paraId="645EE5D4"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27A3D720"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c>
          <w:tcPr>
            <w:tcW w:w="614" w:type="pct"/>
            <w:tcBorders>
              <w:top w:val="nil"/>
              <w:left w:val="nil"/>
              <w:bottom w:val="nil"/>
              <w:right w:val="nil"/>
            </w:tcBorders>
            <w:shd w:val="clear" w:color="000000" w:fill="FFFFFF"/>
            <w:noWrap/>
            <w:vAlign w:val="center"/>
            <w:hideMark/>
          </w:tcPr>
          <w:p w14:paraId="5380A9AF" w14:textId="77777777" w:rsidR="001A4862" w:rsidRPr="004863F3" w:rsidRDefault="001A4862" w:rsidP="001A4862">
            <w:pPr>
              <w:spacing w:before="0" w:after="0" w:line="240" w:lineRule="auto"/>
              <w:jc w:val="right"/>
              <w:rPr>
                <w:rFonts w:ascii="Arial" w:hAnsi="Arial" w:cs="Arial"/>
                <w:color w:val="0000FF"/>
                <w:sz w:val="16"/>
                <w:szCs w:val="16"/>
              </w:rPr>
            </w:pPr>
            <w:r w:rsidRPr="004863F3">
              <w:rPr>
                <w:rFonts w:ascii="Arial" w:hAnsi="Arial" w:cs="Arial"/>
                <w:color w:val="0000FF"/>
                <w:sz w:val="16"/>
                <w:szCs w:val="16"/>
              </w:rPr>
              <w:t> </w:t>
            </w:r>
          </w:p>
        </w:tc>
      </w:tr>
      <w:tr w:rsidR="001A4862" w:rsidRPr="004863F3" w14:paraId="787654B9" w14:textId="77777777" w:rsidTr="00FD09E1">
        <w:trPr>
          <w:trHeight w:hRule="exact" w:val="225"/>
        </w:trPr>
        <w:tc>
          <w:tcPr>
            <w:tcW w:w="1932" w:type="pct"/>
            <w:tcBorders>
              <w:top w:val="nil"/>
              <w:left w:val="nil"/>
              <w:bottom w:val="nil"/>
              <w:right w:val="nil"/>
            </w:tcBorders>
            <w:shd w:val="clear" w:color="000000" w:fill="FFFFFF"/>
            <w:noWrap/>
            <w:vAlign w:val="center"/>
            <w:hideMark/>
          </w:tcPr>
          <w:p w14:paraId="6C2EC68B" w14:textId="77777777" w:rsidR="001A4862" w:rsidRPr="004863F3" w:rsidRDefault="001A4862" w:rsidP="001A4862">
            <w:pPr>
              <w:spacing w:before="0" w:after="0" w:line="240" w:lineRule="auto"/>
              <w:rPr>
                <w:rFonts w:ascii="Arial" w:hAnsi="Arial" w:cs="Arial"/>
                <w:b/>
                <w:bCs/>
                <w:sz w:val="16"/>
                <w:szCs w:val="16"/>
              </w:rPr>
            </w:pPr>
            <w:r w:rsidRPr="004863F3">
              <w:rPr>
                <w:rFonts w:ascii="Arial" w:hAnsi="Arial" w:cs="Arial"/>
                <w:b/>
                <w:bCs/>
                <w:sz w:val="16"/>
                <w:szCs w:val="16"/>
              </w:rPr>
              <w:t>Net interest payments(e)</w:t>
            </w:r>
          </w:p>
        </w:tc>
        <w:tc>
          <w:tcPr>
            <w:tcW w:w="614" w:type="pct"/>
            <w:tcBorders>
              <w:top w:val="nil"/>
              <w:left w:val="nil"/>
              <w:bottom w:val="nil"/>
              <w:right w:val="nil"/>
            </w:tcBorders>
            <w:shd w:val="clear" w:color="000000" w:fill="FFFFFF"/>
            <w:noWrap/>
            <w:vAlign w:val="center"/>
            <w:hideMark/>
          </w:tcPr>
          <w:p w14:paraId="5983B848"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14.9</w:t>
            </w:r>
          </w:p>
        </w:tc>
        <w:tc>
          <w:tcPr>
            <w:tcW w:w="614" w:type="pct"/>
            <w:tcBorders>
              <w:top w:val="nil"/>
              <w:left w:val="nil"/>
              <w:bottom w:val="nil"/>
              <w:right w:val="nil"/>
            </w:tcBorders>
            <w:shd w:val="clear" w:color="000000" w:fill="FFFFFF"/>
            <w:noWrap/>
            <w:vAlign w:val="center"/>
            <w:hideMark/>
          </w:tcPr>
          <w:p w14:paraId="2D4190AD"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14.9</w:t>
            </w:r>
          </w:p>
        </w:tc>
        <w:tc>
          <w:tcPr>
            <w:tcW w:w="614" w:type="pct"/>
            <w:tcBorders>
              <w:top w:val="nil"/>
              <w:left w:val="nil"/>
              <w:bottom w:val="nil"/>
              <w:right w:val="nil"/>
            </w:tcBorders>
            <w:shd w:val="clear" w:color="000000" w:fill="E6F2FF"/>
            <w:noWrap/>
            <w:vAlign w:val="center"/>
            <w:hideMark/>
          </w:tcPr>
          <w:p w14:paraId="4758139D"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13.7</w:t>
            </w:r>
          </w:p>
        </w:tc>
        <w:tc>
          <w:tcPr>
            <w:tcW w:w="614" w:type="pct"/>
            <w:tcBorders>
              <w:top w:val="nil"/>
              <w:left w:val="nil"/>
              <w:bottom w:val="nil"/>
              <w:right w:val="nil"/>
            </w:tcBorders>
            <w:shd w:val="clear" w:color="000000" w:fill="FFFFFF"/>
            <w:noWrap/>
            <w:vAlign w:val="center"/>
            <w:hideMark/>
          </w:tcPr>
          <w:p w14:paraId="18F554EA"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-1.2</w:t>
            </w:r>
          </w:p>
        </w:tc>
        <w:tc>
          <w:tcPr>
            <w:tcW w:w="614" w:type="pct"/>
            <w:tcBorders>
              <w:top w:val="nil"/>
              <w:left w:val="nil"/>
              <w:bottom w:val="nil"/>
              <w:right w:val="nil"/>
            </w:tcBorders>
            <w:shd w:val="clear" w:color="000000" w:fill="FFFFFF"/>
            <w:noWrap/>
            <w:vAlign w:val="center"/>
            <w:hideMark/>
          </w:tcPr>
          <w:p w14:paraId="16C7578C" w14:textId="77777777" w:rsidR="001A4862" w:rsidRPr="004863F3" w:rsidRDefault="001A4862" w:rsidP="001A4862">
            <w:pPr>
              <w:spacing w:before="0" w:after="0" w:line="240" w:lineRule="auto"/>
              <w:jc w:val="right"/>
              <w:rPr>
                <w:rFonts w:ascii="Arial" w:hAnsi="Arial" w:cs="Arial"/>
                <w:b/>
                <w:bCs/>
                <w:sz w:val="16"/>
                <w:szCs w:val="16"/>
              </w:rPr>
            </w:pPr>
            <w:r w:rsidRPr="004863F3">
              <w:rPr>
                <w:rFonts w:ascii="Arial" w:hAnsi="Arial" w:cs="Arial"/>
                <w:b/>
                <w:bCs/>
                <w:sz w:val="16"/>
                <w:szCs w:val="16"/>
              </w:rPr>
              <w:t>-1.2</w:t>
            </w:r>
          </w:p>
        </w:tc>
      </w:tr>
      <w:tr w:rsidR="001A4862" w:rsidRPr="004863F3" w14:paraId="5601C4F4" w14:textId="77777777" w:rsidTr="00FD09E1">
        <w:trPr>
          <w:trHeight w:hRule="exact" w:val="225"/>
        </w:trPr>
        <w:tc>
          <w:tcPr>
            <w:tcW w:w="1932" w:type="pct"/>
            <w:tcBorders>
              <w:top w:val="nil"/>
              <w:left w:val="nil"/>
              <w:bottom w:val="single" w:sz="4" w:space="0" w:color="293F5B"/>
              <w:right w:val="nil"/>
            </w:tcBorders>
            <w:shd w:val="clear" w:color="000000" w:fill="FFFFFF"/>
            <w:noWrap/>
            <w:vAlign w:val="center"/>
            <w:hideMark/>
          </w:tcPr>
          <w:p w14:paraId="6E9D2641" w14:textId="77777777" w:rsidR="001A4862" w:rsidRPr="004863F3" w:rsidRDefault="001A4862" w:rsidP="001A4862">
            <w:pPr>
              <w:spacing w:before="0" w:after="0" w:line="240" w:lineRule="auto"/>
              <w:rPr>
                <w:rFonts w:ascii="Arial" w:hAnsi="Arial" w:cs="Arial"/>
                <w:sz w:val="16"/>
                <w:szCs w:val="16"/>
              </w:rPr>
            </w:pPr>
            <w:r w:rsidRPr="004863F3">
              <w:rPr>
                <w:rFonts w:ascii="Arial" w:hAnsi="Arial" w:cs="Arial"/>
                <w:sz w:val="16"/>
                <w:szCs w:val="16"/>
              </w:rPr>
              <w:t>Per cent of GDP</w:t>
            </w:r>
          </w:p>
        </w:tc>
        <w:tc>
          <w:tcPr>
            <w:tcW w:w="614" w:type="pct"/>
            <w:tcBorders>
              <w:top w:val="nil"/>
              <w:left w:val="nil"/>
              <w:bottom w:val="single" w:sz="4" w:space="0" w:color="293F5B"/>
              <w:right w:val="nil"/>
            </w:tcBorders>
            <w:shd w:val="clear" w:color="000000" w:fill="FFFFFF"/>
            <w:noWrap/>
            <w:vAlign w:val="center"/>
            <w:hideMark/>
          </w:tcPr>
          <w:p w14:paraId="1DD17EEE"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0.5</w:t>
            </w:r>
          </w:p>
        </w:tc>
        <w:tc>
          <w:tcPr>
            <w:tcW w:w="614" w:type="pct"/>
            <w:tcBorders>
              <w:top w:val="nil"/>
              <w:left w:val="nil"/>
              <w:bottom w:val="single" w:sz="4" w:space="0" w:color="293F5B"/>
              <w:right w:val="nil"/>
            </w:tcBorders>
            <w:shd w:val="clear" w:color="000000" w:fill="FFFFFF"/>
            <w:noWrap/>
            <w:vAlign w:val="center"/>
            <w:hideMark/>
          </w:tcPr>
          <w:p w14:paraId="08FF38EC"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0.5</w:t>
            </w:r>
          </w:p>
        </w:tc>
        <w:tc>
          <w:tcPr>
            <w:tcW w:w="614" w:type="pct"/>
            <w:tcBorders>
              <w:top w:val="nil"/>
              <w:left w:val="nil"/>
              <w:bottom w:val="single" w:sz="4" w:space="0" w:color="293F5B"/>
              <w:right w:val="nil"/>
            </w:tcBorders>
            <w:shd w:val="clear" w:color="000000" w:fill="E6F2FF"/>
            <w:noWrap/>
            <w:vAlign w:val="center"/>
            <w:hideMark/>
          </w:tcPr>
          <w:p w14:paraId="42375BA6"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0.5</w:t>
            </w:r>
          </w:p>
        </w:tc>
        <w:tc>
          <w:tcPr>
            <w:tcW w:w="614" w:type="pct"/>
            <w:tcBorders>
              <w:top w:val="nil"/>
              <w:left w:val="nil"/>
              <w:bottom w:val="single" w:sz="4" w:space="0" w:color="293F5B"/>
              <w:right w:val="nil"/>
            </w:tcBorders>
            <w:shd w:val="clear" w:color="000000" w:fill="FFFFFF"/>
            <w:noWrap/>
            <w:vAlign w:val="center"/>
            <w:hideMark/>
          </w:tcPr>
          <w:p w14:paraId="60C3C5B2"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c>
          <w:tcPr>
            <w:tcW w:w="614" w:type="pct"/>
            <w:tcBorders>
              <w:top w:val="nil"/>
              <w:left w:val="nil"/>
              <w:bottom w:val="single" w:sz="4" w:space="0" w:color="293F5B"/>
              <w:right w:val="nil"/>
            </w:tcBorders>
            <w:shd w:val="clear" w:color="000000" w:fill="FFFFFF"/>
            <w:noWrap/>
            <w:vAlign w:val="center"/>
            <w:hideMark/>
          </w:tcPr>
          <w:p w14:paraId="51842810" w14:textId="77777777" w:rsidR="001A4862" w:rsidRPr="004863F3" w:rsidRDefault="001A4862" w:rsidP="001A4862">
            <w:pPr>
              <w:spacing w:before="0" w:after="0" w:line="240" w:lineRule="auto"/>
              <w:jc w:val="right"/>
              <w:rPr>
                <w:rFonts w:ascii="Arial" w:hAnsi="Arial" w:cs="Arial"/>
                <w:sz w:val="16"/>
                <w:szCs w:val="16"/>
              </w:rPr>
            </w:pPr>
            <w:r w:rsidRPr="004863F3">
              <w:rPr>
                <w:rFonts w:ascii="Arial" w:hAnsi="Arial" w:cs="Arial"/>
                <w:sz w:val="16"/>
                <w:szCs w:val="16"/>
              </w:rPr>
              <w:t> </w:t>
            </w:r>
          </w:p>
        </w:tc>
      </w:tr>
    </w:tbl>
    <w:p w14:paraId="276F23F6" w14:textId="6059101E" w:rsidR="00EE79AC" w:rsidRPr="004863F3" w:rsidRDefault="00EE79AC" w:rsidP="00EE79AC">
      <w:pPr>
        <w:pStyle w:val="ChartandTableFootnoteAlpha"/>
        <w:numPr>
          <w:ilvl w:val="0"/>
          <w:numId w:val="28"/>
        </w:numPr>
      </w:pPr>
      <w:r w:rsidRPr="004863F3">
        <w:t>Assets, liabilities, net worth, net financial worth, gross debt and net debt are presented as at the end of the financial year.</w:t>
      </w:r>
    </w:p>
    <w:p w14:paraId="17166C3D" w14:textId="77777777" w:rsidR="00EE79AC" w:rsidRPr="004863F3" w:rsidRDefault="00EE79AC" w:rsidP="00EE79AC">
      <w:pPr>
        <w:pStyle w:val="ChartandTableFootnoteAlpha"/>
      </w:pPr>
      <w:r w:rsidRPr="004863F3">
        <w:t xml:space="preserve">Net financial worth equals total financial assets minus total liabilities. </w:t>
      </w:r>
    </w:p>
    <w:p w14:paraId="4303B396" w14:textId="2B9F28C3" w:rsidR="00EE79AC" w:rsidRPr="004863F3" w:rsidRDefault="00EE79AC" w:rsidP="00EE79AC">
      <w:pPr>
        <w:pStyle w:val="ChartandTableFootnoteAlpha"/>
      </w:pPr>
      <w:r w:rsidRPr="004863F3">
        <w:t>Gross debt measures the face value of Australian Government Securities (AGS) on issue.</w:t>
      </w:r>
    </w:p>
    <w:p w14:paraId="64DCBE65" w14:textId="58D830E7" w:rsidR="00EE79AC" w:rsidRPr="004863F3" w:rsidRDefault="00EE79AC" w:rsidP="00EE79AC">
      <w:pPr>
        <w:pStyle w:val="ChartandTableFootnoteAlpha"/>
      </w:pPr>
      <w:r w:rsidRPr="004863F3">
        <w:t xml:space="preserve">Net debt is the sum of </w:t>
      </w:r>
      <w:proofErr w:type="gramStart"/>
      <w:r w:rsidRPr="004863F3">
        <w:t>interest bearing</w:t>
      </w:r>
      <w:proofErr w:type="gramEnd"/>
      <w:r w:rsidRPr="004863F3">
        <w:t xml:space="preserve"> liabilities (which includes AGS on issue measured at market value) less the sum of selected financial assets (cash and deposits, advances paid and investments, loans and placements).</w:t>
      </w:r>
    </w:p>
    <w:p w14:paraId="7FFB5412" w14:textId="2C4188E8" w:rsidR="00E93031" w:rsidRPr="004863F3" w:rsidRDefault="00EE79AC" w:rsidP="00EE79AC">
      <w:pPr>
        <w:pStyle w:val="ChartandTableFootnoteAlpha"/>
      </w:pPr>
      <w:r w:rsidRPr="004863F3">
        <w:t>Net interest payments are equal to the difference between interest payments and interest receipts.</w:t>
      </w:r>
      <w:r w:rsidR="0016533C" w:rsidRPr="004863F3">
        <w:t xml:space="preserve"> </w:t>
      </w:r>
    </w:p>
    <w:p w14:paraId="67D5370A" w14:textId="77777777" w:rsidR="00E93031" w:rsidRPr="00BA1EA0" w:rsidRDefault="00E93031" w:rsidP="002E1AE9">
      <w:pPr>
        <w:pStyle w:val="TableLine"/>
      </w:pPr>
    </w:p>
    <w:sectPr w:rsidR="00E93031" w:rsidRPr="00BA1EA0" w:rsidSect="00D46611">
      <w:headerReference w:type="even" r:id="rId8"/>
      <w:headerReference w:type="default" r:id="rId9"/>
      <w:footerReference w:type="even" r:id="rId10"/>
      <w:footerReference w:type="default" r:id="rId11"/>
      <w:footerReference w:type="first" r:id="rId12"/>
      <w:type w:val="oddPage"/>
      <w:pgSz w:w="11906" w:h="16838" w:code="9"/>
      <w:pgMar w:top="2835" w:right="2098" w:bottom="2466" w:left="2098" w:header="1814" w:footer="18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C256" w14:textId="77777777" w:rsidR="00610EC4" w:rsidRDefault="00610EC4" w:rsidP="00E40261">
      <w:pPr>
        <w:spacing w:after="0" w:line="240" w:lineRule="auto"/>
      </w:pPr>
      <w:r>
        <w:separator/>
      </w:r>
    </w:p>
  </w:endnote>
  <w:endnote w:type="continuationSeparator" w:id="0">
    <w:p w14:paraId="227854B4" w14:textId="77777777" w:rsidR="00610EC4" w:rsidRDefault="00610EC4" w:rsidP="00E40261">
      <w:pPr>
        <w:spacing w:after="0" w:line="240" w:lineRule="auto"/>
      </w:pPr>
      <w:r>
        <w:continuationSeparator/>
      </w:r>
    </w:p>
  </w:endnote>
  <w:endnote w:type="continuationNotice" w:id="1">
    <w:p w14:paraId="71D96112" w14:textId="77777777" w:rsidR="00610EC4" w:rsidRDefault="00610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1504C" w14:textId="2444B82A" w:rsidR="002A6575" w:rsidRDefault="002A6575"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SUBJECT   \* MERGEFORMAT">
      <w:r w:rsidR="004F5618">
        <w:t>Part 1: Australian Government Budget Outcome 2024–25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EFE5" w14:textId="45F93DA2" w:rsidR="002A6575" w:rsidRDefault="004F5618" w:rsidP="002A6A16">
    <w:pPr>
      <w:pStyle w:val="FooterOdd"/>
    </w:pPr>
    <w:fldSimple w:instr="SUBJECT   \* MERGEFORMAT">
      <w:r>
        <w:t>Part 1: Australian Government Budget Outcome 2024–25</w:t>
      </w:r>
    </w:fldSimple>
    <w:r w:rsidR="002A6575" w:rsidRPr="00B3705D">
      <w:t xml:space="preserve">  |  </w:t>
    </w:r>
    <w:r w:rsidR="002A6575" w:rsidRPr="00B3705D">
      <w:rPr>
        <w:b/>
        <w:bCs/>
      </w:rPr>
      <w:t xml:space="preserve">Page </w:t>
    </w:r>
    <w:r w:rsidR="002A6575" w:rsidRPr="00B3705D">
      <w:rPr>
        <w:b/>
        <w:bCs/>
      </w:rPr>
      <w:fldChar w:fldCharType="begin"/>
    </w:r>
    <w:r w:rsidR="002A6575" w:rsidRPr="00B3705D">
      <w:rPr>
        <w:b/>
        <w:bCs/>
      </w:rPr>
      <w:instrText xml:space="preserve"> PAGE  \* Arabic  \* MERGEFORMAT </w:instrText>
    </w:r>
    <w:r w:rsidR="002A6575" w:rsidRPr="00B3705D">
      <w:rPr>
        <w:b/>
        <w:bCs/>
      </w:rPr>
      <w:fldChar w:fldCharType="separate"/>
    </w:r>
    <w:r w:rsidR="002A6575">
      <w:rPr>
        <w:b/>
        <w:bCs/>
      </w:rPr>
      <w:t>1</w:t>
    </w:r>
    <w:r w:rsidR="002A6575"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CC4A" w14:textId="71544F01" w:rsidR="002A6575" w:rsidRDefault="004F5618" w:rsidP="00360947">
    <w:pPr>
      <w:pStyle w:val="FooterOdd"/>
    </w:pPr>
    <w:fldSimple w:instr="SUBJECT   \* MERGEFORMAT">
      <w:r>
        <w:t>Part 1: Australian Government Budget Outcome 2024–25</w:t>
      </w:r>
    </w:fldSimple>
    <w:r w:rsidR="002A6575" w:rsidRPr="00B3705D">
      <w:t xml:space="preserve">  |  </w:t>
    </w:r>
    <w:r w:rsidR="002A6575" w:rsidRPr="00B3705D">
      <w:rPr>
        <w:b/>
        <w:bCs/>
      </w:rPr>
      <w:t xml:space="preserve">Page </w:t>
    </w:r>
    <w:r w:rsidR="002A6575" w:rsidRPr="00B3705D">
      <w:rPr>
        <w:b/>
        <w:bCs/>
      </w:rPr>
      <w:fldChar w:fldCharType="begin"/>
    </w:r>
    <w:r w:rsidR="002A6575" w:rsidRPr="00B3705D">
      <w:rPr>
        <w:b/>
        <w:bCs/>
      </w:rPr>
      <w:instrText xml:space="preserve"> PAGE  \* Arabic  \* MERGEFORMAT </w:instrText>
    </w:r>
    <w:r w:rsidR="002A6575" w:rsidRPr="00B3705D">
      <w:rPr>
        <w:b/>
        <w:bCs/>
      </w:rPr>
      <w:fldChar w:fldCharType="separate"/>
    </w:r>
    <w:r w:rsidR="002A6575">
      <w:rPr>
        <w:b/>
        <w:bCs/>
      </w:rPr>
      <w:t>1</w:t>
    </w:r>
    <w:r w:rsidR="002A6575"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E407" w14:textId="77777777" w:rsidR="00610EC4" w:rsidRPr="003C1CA4" w:rsidRDefault="00610EC4"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0A3B2D33" w14:textId="77777777" w:rsidR="00610EC4" w:rsidRDefault="00610EC4" w:rsidP="00E40261">
      <w:pPr>
        <w:spacing w:after="0" w:line="240" w:lineRule="auto"/>
      </w:pPr>
      <w:r>
        <w:continuationSeparator/>
      </w:r>
    </w:p>
  </w:footnote>
  <w:footnote w:type="continuationNotice" w:id="1">
    <w:p w14:paraId="41D7290B" w14:textId="77777777" w:rsidR="00610EC4" w:rsidRDefault="00610E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A6575" w14:paraId="4765FF6F" w14:textId="77777777" w:rsidTr="008C56E1">
      <w:trPr>
        <w:trHeight w:hRule="exact" w:val="340"/>
      </w:trPr>
      <w:tc>
        <w:tcPr>
          <w:tcW w:w="7797" w:type="dxa"/>
        </w:tcPr>
        <w:p w14:paraId="69003108" w14:textId="1F32CA65" w:rsidR="002A6575" w:rsidRPr="008C56E1" w:rsidRDefault="00641874" w:rsidP="008C56E1">
          <w:pPr>
            <w:pStyle w:val="HeaderEven"/>
          </w:pPr>
          <w:r w:rsidRPr="008C56E1">
            <w:rPr>
              <w:noProof/>
              <w:position w:val="-8"/>
            </w:rPr>
            <w:drawing>
              <wp:inline distT="0" distB="0" distL="0" distR="0" wp14:anchorId="15FF6116" wp14:editId="16536C1E">
                <wp:extent cx="875030" cy="198738"/>
                <wp:effectExtent l="0" t="0" r="1270" b="0"/>
                <wp:docPr id="43516070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60706"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r w:rsidR="002A6575" w:rsidRPr="008C56E1">
            <w:t xml:space="preserve">  |  </w:t>
          </w:r>
          <w:fldSimple w:instr="TITLE   \* MERGEFORMAT">
            <w:r w:rsidR="004F5618">
              <w:t>Final Budget Outcome</w:t>
            </w:r>
          </w:fldSimple>
        </w:p>
      </w:tc>
    </w:tr>
  </w:tbl>
  <w:p w14:paraId="2F052502" w14:textId="1322F799" w:rsidR="002A6575" w:rsidRPr="00AA5439" w:rsidRDefault="002A6575" w:rsidP="00AA5439">
    <w:pPr>
      <w:pStyle w:val="HeaderEven"/>
      <w:rPr>
        <w:sz w:val="2"/>
        <w:szCs w:val="4"/>
      </w:rPr>
    </w:pPr>
  </w:p>
  <w:p w14:paraId="736995D7" w14:textId="77777777" w:rsidR="002A6575" w:rsidRPr="007703C7" w:rsidRDefault="002A6575"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A6575" w14:paraId="025124A5" w14:textId="77777777" w:rsidTr="002A6A16">
      <w:trPr>
        <w:trHeight w:hRule="exact" w:val="340"/>
      </w:trPr>
      <w:tc>
        <w:tcPr>
          <w:tcW w:w="7797" w:type="dxa"/>
        </w:tcPr>
        <w:p w14:paraId="6A7E174F" w14:textId="4F0CC0B5" w:rsidR="002A6575" w:rsidRDefault="004F5618" w:rsidP="000635BE">
          <w:pPr>
            <w:pStyle w:val="HeaderOdd"/>
          </w:pPr>
          <w:fldSimple w:instr="TITLE   \* MERGEFORMAT">
            <w:r>
              <w:t>Final Budget Outcome</w:t>
            </w:r>
          </w:fldSimple>
          <w:r w:rsidR="002A6575">
            <w:t xml:space="preserve">  |  </w:t>
          </w:r>
          <w:r w:rsidR="004826AD" w:rsidRPr="008C56E1">
            <w:rPr>
              <w:noProof/>
              <w:position w:val="-8"/>
            </w:rPr>
            <w:drawing>
              <wp:inline distT="0" distB="0" distL="0" distR="0" wp14:anchorId="4F2B5378" wp14:editId="4C2E1295">
                <wp:extent cx="878400" cy="199503"/>
                <wp:effectExtent l="0" t="0" r="0" b="0"/>
                <wp:docPr id="58795510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55108"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44975" r="-539" b="-12180"/>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DF7737A" w14:textId="013F1EE1" w:rsidR="002A6575" w:rsidRPr="00AA5439" w:rsidRDefault="002A6575" w:rsidP="00AA543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A0B1A72"/>
    <w:multiLevelType w:val="hybridMultilevel"/>
    <w:tmpl w:val="9B2C4FA4"/>
    <w:lvl w:ilvl="0" w:tplc="B364B382">
      <w:start w:val="1"/>
      <w:numFmt w:val="bullet"/>
      <w:lvlText w:val=""/>
      <w:lvlJc w:val="left"/>
      <w:pPr>
        <w:ind w:left="1020" w:hanging="360"/>
      </w:pPr>
      <w:rPr>
        <w:rFonts w:ascii="Symbol" w:hAnsi="Symbol"/>
      </w:rPr>
    </w:lvl>
    <w:lvl w:ilvl="1" w:tplc="02DABAA2">
      <w:start w:val="1"/>
      <w:numFmt w:val="bullet"/>
      <w:lvlText w:val=""/>
      <w:lvlJc w:val="left"/>
      <w:pPr>
        <w:ind w:left="1020" w:hanging="360"/>
      </w:pPr>
      <w:rPr>
        <w:rFonts w:ascii="Symbol" w:hAnsi="Symbol"/>
      </w:rPr>
    </w:lvl>
    <w:lvl w:ilvl="2" w:tplc="8CA6611A">
      <w:start w:val="1"/>
      <w:numFmt w:val="bullet"/>
      <w:lvlText w:val=""/>
      <w:lvlJc w:val="left"/>
      <w:pPr>
        <w:ind w:left="1020" w:hanging="360"/>
      </w:pPr>
      <w:rPr>
        <w:rFonts w:ascii="Symbol" w:hAnsi="Symbol"/>
      </w:rPr>
    </w:lvl>
    <w:lvl w:ilvl="3" w:tplc="C2523B8A">
      <w:start w:val="1"/>
      <w:numFmt w:val="bullet"/>
      <w:lvlText w:val=""/>
      <w:lvlJc w:val="left"/>
      <w:pPr>
        <w:ind w:left="1020" w:hanging="360"/>
      </w:pPr>
      <w:rPr>
        <w:rFonts w:ascii="Symbol" w:hAnsi="Symbol"/>
      </w:rPr>
    </w:lvl>
    <w:lvl w:ilvl="4" w:tplc="8D928A96">
      <w:start w:val="1"/>
      <w:numFmt w:val="bullet"/>
      <w:lvlText w:val=""/>
      <w:lvlJc w:val="left"/>
      <w:pPr>
        <w:ind w:left="1020" w:hanging="360"/>
      </w:pPr>
      <w:rPr>
        <w:rFonts w:ascii="Symbol" w:hAnsi="Symbol"/>
      </w:rPr>
    </w:lvl>
    <w:lvl w:ilvl="5" w:tplc="18DE61A0">
      <w:start w:val="1"/>
      <w:numFmt w:val="bullet"/>
      <w:lvlText w:val=""/>
      <w:lvlJc w:val="left"/>
      <w:pPr>
        <w:ind w:left="1020" w:hanging="360"/>
      </w:pPr>
      <w:rPr>
        <w:rFonts w:ascii="Symbol" w:hAnsi="Symbol"/>
      </w:rPr>
    </w:lvl>
    <w:lvl w:ilvl="6" w:tplc="9BAC9FAC">
      <w:start w:val="1"/>
      <w:numFmt w:val="bullet"/>
      <w:lvlText w:val=""/>
      <w:lvlJc w:val="left"/>
      <w:pPr>
        <w:ind w:left="1020" w:hanging="360"/>
      </w:pPr>
      <w:rPr>
        <w:rFonts w:ascii="Symbol" w:hAnsi="Symbol"/>
      </w:rPr>
    </w:lvl>
    <w:lvl w:ilvl="7" w:tplc="FD44C99A">
      <w:start w:val="1"/>
      <w:numFmt w:val="bullet"/>
      <w:lvlText w:val=""/>
      <w:lvlJc w:val="left"/>
      <w:pPr>
        <w:ind w:left="1020" w:hanging="360"/>
      </w:pPr>
      <w:rPr>
        <w:rFonts w:ascii="Symbol" w:hAnsi="Symbol"/>
      </w:rPr>
    </w:lvl>
    <w:lvl w:ilvl="8" w:tplc="9CE6D3FE">
      <w:start w:val="1"/>
      <w:numFmt w:val="bullet"/>
      <w:lvlText w:val=""/>
      <w:lvlJc w:val="left"/>
      <w:pPr>
        <w:ind w:left="1020" w:hanging="360"/>
      </w:pPr>
      <w:rPr>
        <w:rFonts w:ascii="Symbol" w:hAnsi="Symbol"/>
      </w:rPr>
    </w:lvl>
  </w:abstractNum>
  <w:abstractNum w:abstractNumId="15" w15:restartNumberingAfterBreak="0">
    <w:nsid w:val="5FAC1892"/>
    <w:multiLevelType w:val="hybridMultilevel"/>
    <w:tmpl w:val="7A84BD26"/>
    <w:lvl w:ilvl="0" w:tplc="995CDC34">
      <w:numFmt w:val="bullet"/>
      <w:lvlText w:val="-"/>
      <w:lvlJc w:val="left"/>
      <w:pPr>
        <w:ind w:left="405" w:hanging="360"/>
      </w:pPr>
      <w:rPr>
        <w:rFonts w:ascii="Book Antiqua" w:eastAsia="Times New Roman" w:hAnsi="Book Antiqua"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6"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1403410866">
    <w:abstractNumId w:val="13"/>
  </w:num>
  <w:num w:numId="2" w16cid:durableId="70975900">
    <w:abstractNumId w:val="11"/>
  </w:num>
  <w:num w:numId="3" w16cid:durableId="1903564601">
    <w:abstractNumId w:val="10"/>
  </w:num>
  <w:num w:numId="4" w16cid:durableId="778522229">
    <w:abstractNumId w:val="12"/>
  </w:num>
  <w:num w:numId="5" w16cid:durableId="308556280">
    <w:abstractNumId w:val="16"/>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num>
  <w:num w:numId="20" w16cid:durableId="1584413565">
    <w:abstractNumId w:val="12"/>
  </w:num>
  <w:num w:numId="21" w16cid:durableId="745689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5008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44109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4747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17536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3342130">
    <w:abstractNumId w:val="14"/>
  </w:num>
  <w:num w:numId="27" w16cid:durableId="21167538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9895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9644460">
    <w:abstractNumId w:val="15"/>
  </w:num>
  <w:num w:numId="30" w16cid:durableId="1583173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533C35"/>
    <w:rsid w:val="000000C0"/>
    <w:rsid w:val="000002F1"/>
    <w:rsid w:val="000003BE"/>
    <w:rsid w:val="000004EA"/>
    <w:rsid w:val="00000F9C"/>
    <w:rsid w:val="0000135B"/>
    <w:rsid w:val="00001F96"/>
    <w:rsid w:val="0000240C"/>
    <w:rsid w:val="00002795"/>
    <w:rsid w:val="0000294A"/>
    <w:rsid w:val="00002E00"/>
    <w:rsid w:val="0000358C"/>
    <w:rsid w:val="0000359B"/>
    <w:rsid w:val="000040F4"/>
    <w:rsid w:val="000051DF"/>
    <w:rsid w:val="00005B90"/>
    <w:rsid w:val="00006261"/>
    <w:rsid w:val="00006A1C"/>
    <w:rsid w:val="00006A50"/>
    <w:rsid w:val="00006C56"/>
    <w:rsid w:val="00006FD9"/>
    <w:rsid w:val="0001054A"/>
    <w:rsid w:val="0001100C"/>
    <w:rsid w:val="0001173C"/>
    <w:rsid w:val="00011A3E"/>
    <w:rsid w:val="00011C04"/>
    <w:rsid w:val="00011DBB"/>
    <w:rsid w:val="00012529"/>
    <w:rsid w:val="0001377E"/>
    <w:rsid w:val="00013D1C"/>
    <w:rsid w:val="00013EA8"/>
    <w:rsid w:val="00014E5F"/>
    <w:rsid w:val="00014F1B"/>
    <w:rsid w:val="00016094"/>
    <w:rsid w:val="000161C5"/>
    <w:rsid w:val="000170C2"/>
    <w:rsid w:val="000175B6"/>
    <w:rsid w:val="0001774D"/>
    <w:rsid w:val="00017945"/>
    <w:rsid w:val="00017C59"/>
    <w:rsid w:val="00020093"/>
    <w:rsid w:val="000204E3"/>
    <w:rsid w:val="000209ED"/>
    <w:rsid w:val="00020B40"/>
    <w:rsid w:val="00021456"/>
    <w:rsid w:val="00021A01"/>
    <w:rsid w:val="00022C7F"/>
    <w:rsid w:val="000233B8"/>
    <w:rsid w:val="00023497"/>
    <w:rsid w:val="00023522"/>
    <w:rsid w:val="00023AD5"/>
    <w:rsid w:val="00023F4D"/>
    <w:rsid w:val="000240D4"/>
    <w:rsid w:val="000241B9"/>
    <w:rsid w:val="000243C1"/>
    <w:rsid w:val="000244E1"/>
    <w:rsid w:val="0002489C"/>
    <w:rsid w:val="00024AF6"/>
    <w:rsid w:val="00025370"/>
    <w:rsid w:val="00025B67"/>
    <w:rsid w:val="00025DE9"/>
    <w:rsid w:val="00026775"/>
    <w:rsid w:val="00026FF8"/>
    <w:rsid w:val="000272FB"/>
    <w:rsid w:val="00027646"/>
    <w:rsid w:val="0002771E"/>
    <w:rsid w:val="000300C8"/>
    <w:rsid w:val="000315E5"/>
    <w:rsid w:val="0003197C"/>
    <w:rsid w:val="00031D1B"/>
    <w:rsid w:val="00032117"/>
    <w:rsid w:val="00032125"/>
    <w:rsid w:val="0003248B"/>
    <w:rsid w:val="00033820"/>
    <w:rsid w:val="00033AB2"/>
    <w:rsid w:val="00033E75"/>
    <w:rsid w:val="0003496F"/>
    <w:rsid w:val="000349B6"/>
    <w:rsid w:val="000358C5"/>
    <w:rsid w:val="00035B56"/>
    <w:rsid w:val="00035D8D"/>
    <w:rsid w:val="0003656E"/>
    <w:rsid w:val="00036A77"/>
    <w:rsid w:val="00036B99"/>
    <w:rsid w:val="00037089"/>
    <w:rsid w:val="00037323"/>
    <w:rsid w:val="0003761A"/>
    <w:rsid w:val="000379CB"/>
    <w:rsid w:val="00037ECC"/>
    <w:rsid w:val="0004046F"/>
    <w:rsid w:val="000415BA"/>
    <w:rsid w:val="00042434"/>
    <w:rsid w:val="00042B74"/>
    <w:rsid w:val="00042D5A"/>
    <w:rsid w:val="000430D7"/>
    <w:rsid w:val="00043161"/>
    <w:rsid w:val="000431FF"/>
    <w:rsid w:val="000439D9"/>
    <w:rsid w:val="00043C87"/>
    <w:rsid w:val="00044873"/>
    <w:rsid w:val="00044E07"/>
    <w:rsid w:val="00045534"/>
    <w:rsid w:val="0004580B"/>
    <w:rsid w:val="000459CB"/>
    <w:rsid w:val="00046066"/>
    <w:rsid w:val="000461A7"/>
    <w:rsid w:val="000461CF"/>
    <w:rsid w:val="00046512"/>
    <w:rsid w:val="0004765E"/>
    <w:rsid w:val="00047C74"/>
    <w:rsid w:val="00050276"/>
    <w:rsid w:val="00050AEC"/>
    <w:rsid w:val="00050F05"/>
    <w:rsid w:val="0005278F"/>
    <w:rsid w:val="00052B51"/>
    <w:rsid w:val="00052BC6"/>
    <w:rsid w:val="0005352F"/>
    <w:rsid w:val="00053897"/>
    <w:rsid w:val="00053D64"/>
    <w:rsid w:val="00053DC1"/>
    <w:rsid w:val="000543CE"/>
    <w:rsid w:val="000543E0"/>
    <w:rsid w:val="000546EB"/>
    <w:rsid w:val="00055243"/>
    <w:rsid w:val="0005549A"/>
    <w:rsid w:val="00055504"/>
    <w:rsid w:val="000557BF"/>
    <w:rsid w:val="00055A2C"/>
    <w:rsid w:val="00055FBE"/>
    <w:rsid w:val="0005655D"/>
    <w:rsid w:val="00056C90"/>
    <w:rsid w:val="00056CCE"/>
    <w:rsid w:val="000570D0"/>
    <w:rsid w:val="00057841"/>
    <w:rsid w:val="00057882"/>
    <w:rsid w:val="00060403"/>
    <w:rsid w:val="00060778"/>
    <w:rsid w:val="00060B72"/>
    <w:rsid w:val="00060E5A"/>
    <w:rsid w:val="00061919"/>
    <w:rsid w:val="0006193A"/>
    <w:rsid w:val="00061D8D"/>
    <w:rsid w:val="00062128"/>
    <w:rsid w:val="000622DA"/>
    <w:rsid w:val="00062431"/>
    <w:rsid w:val="0006273B"/>
    <w:rsid w:val="00062CE2"/>
    <w:rsid w:val="00062DE3"/>
    <w:rsid w:val="000635BE"/>
    <w:rsid w:val="00063658"/>
    <w:rsid w:val="0006384B"/>
    <w:rsid w:val="00064ADF"/>
    <w:rsid w:val="000652B9"/>
    <w:rsid w:val="0006552A"/>
    <w:rsid w:val="00065588"/>
    <w:rsid w:val="0006570C"/>
    <w:rsid w:val="0006587D"/>
    <w:rsid w:val="00065A59"/>
    <w:rsid w:val="00065FAE"/>
    <w:rsid w:val="000663BF"/>
    <w:rsid w:val="00066A22"/>
    <w:rsid w:val="00066AAF"/>
    <w:rsid w:val="00067464"/>
    <w:rsid w:val="00067C49"/>
    <w:rsid w:val="00067C75"/>
    <w:rsid w:val="000702B6"/>
    <w:rsid w:val="00070500"/>
    <w:rsid w:val="000706BC"/>
    <w:rsid w:val="000710FD"/>
    <w:rsid w:val="000715F3"/>
    <w:rsid w:val="000717E2"/>
    <w:rsid w:val="00071920"/>
    <w:rsid w:val="00071F99"/>
    <w:rsid w:val="00072915"/>
    <w:rsid w:val="00072A5E"/>
    <w:rsid w:val="00073136"/>
    <w:rsid w:val="000731FE"/>
    <w:rsid w:val="00073722"/>
    <w:rsid w:val="00073983"/>
    <w:rsid w:val="00073CEE"/>
    <w:rsid w:val="00073E29"/>
    <w:rsid w:val="0007443C"/>
    <w:rsid w:val="000747B3"/>
    <w:rsid w:val="00074A80"/>
    <w:rsid w:val="00074C58"/>
    <w:rsid w:val="00074E18"/>
    <w:rsid w:val="00075443"/>
    <w:rsid w:val="00075B45"/>
    <w:rsid w:val="00075EBC"/>
    <w:rsid w:val="00076601"/>
    <w:rsid w:val="0007666C"/>
    <w:rsid w:val="00077876"/>
    <w:rsid w:val="00077AB0"/>
    <w:rsid w:val="00077B2D"/>
    <w:rsid w:val="00077D22"/>
    <w:rsid w:val="00080331"/>
    <w:rsid w:val="00080452"/>
    <w:rsid w:val="00080462"/>
    <w:rsid w:val="00080E85"/>
    <w:rsid w:val="00081154"/>
    <w:rsid w:val="000811E0"/>
    <w:rsid w:val="000813BE"/>
    <w:rsid w:val="000825FC"/>
    <w:rsid w:val="000827AC"/>
    <w:rsid w:val="00083288"/>
    <w:rsid w:val="00083337"/>
    <w:rsid w:val="0008397D"/>
    <w:rsid w:val="0008399A"/>
    <w:rsid w:val="000839C1"/>
    <w:rsid w:val="000845EB"/>
    <w:rsid w:val="00084B44"/>
    <w:rsid w:val="00085064"/>
    <w:rsid w:val="00087335"/>
    <w:rsid w:val="000873F2"/>
    <w:rsid w:val="00087EAC"/>
    <w:rsid w:val="000909BF"/>
    <w:rsid w:val="00090A4C"/>
    <w:rsid w:val="00091092"/>
    <w:rsid w:val="000918E2"/>
    <w:rsid w:val="00091B82"/>
    <w:rsid w:val="00091F09"/>
    <w:rsid w:val="00092064"/>
    <w:rsid w:val="00092758"/>
    <w:rsid w:val="000927BE"/>
    <w:rsid w:val="00092B94"/>
    <w:rsid w:val="00092BFB"/>
    <w:rsid w:val="00093617"/>
    <w:rsid w:val="00093C8D"/>
    <w:rsid w:val="00093FB6"/>
    <w:rsid w:val="00094136"/>
    <w:rsid w:val="000944C6"/>
    <w:rsid w:val="000951D3"/>
    <w:rsid w:val="00095627"/>
    <w:rsid w:val="0009580F"/>
    <w:rsid w:val="000959BF"/>
    <w:rsid w:val="00097941"/>
    <w:rsid w:val="000A0256"/>
    <w:rsid w:val="000A02B8"/>
    <w:rsid w:val="000A0ACA"/>
    <w:rsid w:val="000A0F9E"/>
    <w:rsid w:val="000A1615"/>
    <w:rsid w:val="000A1639"/>
    <w:rsid w:val="000A1E25"/>
    <w:rsid w:val="000A23C0"/>
    <w:rsid w:val="000A27B3"/>
    <w:rsid w:val="000A27C5"/>
    <w:rsid w:val="000A336F"/>
    <w:rsid w:val="000A3445"/>
    <w:rsid w:val="000A3891"/>
    <w:rsid w:val="000A4CBF"/>
    <w:rsid w:val="000A4E7D"/>
    <w:rsid w:val="000A558A"/>
    <w:rsid w:val="000A685B"/>
    <w:rsid w:val="000A7477"/>
    <w:rsid w:val="000A74A6"/>
    <w:rsid w:val="000A7739"/>
    <w:rsid w:val="000A7CBB"/>
    <w:rsid w:val="000B1069"/>
    <w:rsid w:val="000B11E1"/>
    <w:rsid w:val="000B1385"/>
    <w:rsid w:val="000B150A"/>
    <w:rsid w:val="000B1980"/>
    <w:rsid w:val="000B1F1A"/>
    <w:rsid w:val="000B23DB"/>
    <w:rsid w:val="000B345B"/>
    <w:rsid w:val="000B38A8"/>
    <w:rsid w:val="000B3C70"/>
    <w:rsid w:val="000B43C8"/>
    <w:rsid w:val="000B48ED"/>
    <w:rsid w:val="000B5327"/>
    <w:rsid w:val="000B5CF5"/>
    <w:rsid w:val="000B6134"/>
    <w:rsid w:val="000B624F"/>
    <w:rsid w:val="000B6882"/>
    <w:rsid w:val="000B6899"/>
    <w:rsid w:val="000B68BD"/>
    <w:rsid w:val="000B6A47"/>
    <w:rsid w:val="000B6BAC"/>
    <w:rsid w:val="000B7847"/>
    <w:rsid w:val="000C09FA"/>
    <w:rsid w:val="000C1933"/>
    <w:rsid w:val="000C1D1F"/>
    <w:rsid w:val="000C24EA"/>
    <w:rsid w:val="000C2699"/>
    <w:rsid w:val="000C2A27"/>
    <w:rsid w:val="000C2E7A"/>
    <w:rsid w:val="000C3E18"/>
    <w:rsid w:val="000C4AF2"/>
    <w:rsid w:val="000C4C55"/>
    <w:rsid w:val="000C5601"/>
    <w:rsid w:val="000C6929"/>
    <w:rsid w:val="000C6950"/>
    <w:rsid w:val="000C77F7"/>
    <w:rsid w:val="000C7AA8"/>
    <w:rsid w:val="000D0F50"/>
    <w:rsid w:val="000D1635"/>
    <w:rsid w:val="000D3030"/>
    <w:rsid w:val="000D326B"/>
    <w:rsid w:val="000D3361"/>
    <w:rsid w:val="000D369C"/>
    <w:rsid w:val="000D4202"/>
    <w:rsid w:val="000D4494"/>
    <w:rsid w:val="000D5CBE"/>
    <w:rsid w:val="000D619A"/>
    <w:rsid w:val="000D622F"/>
    <w:rsid w:val="000D63E1"/>
    <w:rsid w:val="000D67D6"/>
    <w:rsid w:val="000D698D"/>
    <w:rsid w:val="000D6FAD"/>
    <w:rsid w:val="000D741E"/>
    <w:rsid w:val="000D78F4"/>
    <w:rsid w:val="000D7E00"/>
    <w:rsid w:val="000E0AF7"/>
    <w:rsid w:val="000E0D97"/>
    <w:rsid w:val="000E105B"/>
    <w:rsid w:val="000E1125"/>
    <w:rsid w:val="000E149B"/>
    <w:rsid w:val="000E1AE7"/>
    <w:rsid w:val="000E1D54"/>
    <w:rsid w:val="000E2BC0"/>
    <w:rsid w:val="000E352E"/>
    <w:rsid w:val="000E3CEF"/>
    <w:rsid w:val="000E3E50"/>
    <w:rsid w:val="000E41F8"/>
    <w:rsid w:val="000E4300"/>
    <w:rsid w:val="000E4AE8"/>
    <w:rsid w:val="000E4E42"/>
    <w:rsid w:val="000E51A5"/>
    <w:rsid w:val="000E549B"/>
    <w:rsid w:val="000E5A3C"/>
    <w:rsid w:val="000E64E7"/>
    <w:rsid w:val="000E6A4F"/>
    <w:rsid w:val="000E7259"/>
    <w:rsid w:val="000F01BC"/>
    <w:rsid w:val="000F01C8"/>
    <w:rsid w:val="000F07E8"/>
    <w:rsid w:val="000F09EA"/>
    <w:rsid w:val="000F0AB4"/>
    <w:rsid w:val="000F0B48"/>
    <w:rsid w:val="000F0EC5"/>
    <w:rsid w:val="000F0EEE"/>
    <w:rsid w:val="000F13BE"/>
    <w:rsid w:val="000F1625"/>
    <w:rsid w:val="000F3138"/>
    <w:rsid w:val="000F3670"/>
    <w:rsid w:val="000F3BB8"/>
    <w:rsid w:val="000F3E1F"/>
    <w:rsid w:val="000F4EC0"/>
    <w:rsid w:val="000F53C5"/>
    <w:rsid w:val="000F553D"/>
    <w:rsid w:val="000F56C3"/>
    <w:rsid w:val="000F5832"/>
    <w:rsid w:val="000F6563"/>
    <w:rsid w:val="000F69C4"/>
    <w:rsid w:val="000F6A15"/>
    <w:rsid w:val="000F6A9C"/>
    <w:rsid w:val="000F6B9C"/>
    <w:rsid w:val="000F7596"/>
    <w:rsid w:val="000F78B5"/>
    <w:rsid w:val="000F7F76"/>
    <w:rsid w:val="000F7FE1"/>
    <w:rsid w:val="001000DF"/>
    <w:rsid w:val="001002A9"/>
    <w:rsid w:val="00100873"/>
    <w:rsid w:val="00100BFA"/>
    <w:rsid w:val="00100C48"/>
    <w:rsid w:val="00101FC6"/>
    <w:rsid w:val="00102803"/>
    <w:rsid w:val="00102C78"/>
    <w:rsid w:val="00103809"/>
    <w:rsid w:val="00103F65"/>
    <w:rsid w:val="0010482C"/>
    <w:rsid w:val="001051B8"/>
    <w:rsid w:val="001054A1"/>
    <w:rsid w:val="00105E38"/>
    <w:rsid w:val="00105F57"/>
    <w:rsid w:val="00107DE3"/>
    <w:rsid w:val="00110605"/>
    <w:rsid w:val="00110BD5"/>
    <w:rsid w:val="00110E42"/>
    <w:rsid w:val="00111413"/>
    <w:rsid w:val="0011175D"/>
    <w:rsid w:val="001118FA"/>
    <w:rsid w:val="001119D9"/>
    <w:rsid w:val="00111E2F"/>
    <w:rsid w:val="001127DD"/>
    <w:rsid w:val="001127F6"/>
    <w:rsid w:val="0011405D"/>
    <w:rsid w:val="00114079"/>
    <w:rsid w:val="0011460E"/>
    <w:rsid w:val="001146DA"/>
    <w:rsid w:val="00115A21"/>
    <w:rsid w:val="00115D9B"/>
    <w:rsid w:val="00116077"/>
    <w:rsid w:val="00116578"/>
    <w:rsid w:val="00117060"/>
    <w:rsid w:val="001172F7"/>
    <w:rsid w:val="00117A85"/>
    <w:rsid w:val="0012114E"/>
    <w:rsid w:val="001211DB"/>
    <w:rsid w:val="00121886"/>
    <w:rsid w:val="00121E36"/>
    <w:rsid w:val="00121EE8"/>
    <w:rsid w:val="001220F9"/>
    <w:rsid w:val="00123538"/>
    <w:rsid w:val="001239F0"/>
    <w:rsid w:val="0012525F"/>
    <w:rsid w:val="00126077"/>
    <w:rsid w:val="001262BB"/>
    <w:rsid w:val="00126AA6"/>
    <w:rsid w:val="0012737E"/>
    <w:rsid w:val="001273E9"/>
    <w:rsid w:val="00127582"/>
    <w:rsid w:val="0013068D"/>
    <w:rsid w:val="00130929"/>
    <w:rsid w:val="00130A57"/>
    <w:rsid w:val="00131084"/>
    <w:rsid w:val="001318FD"/>
    <w:rsid w:val="001319F3"/>
    <w:rsid w:val="00131DC0"/>
    <w:rsid w:val="00132169"/>
    <w:rsid w:val="00132C75"/>
    <w:rsid w:val="00132F72"/>
    <w:rsid w:val="00133454"/>
    <w:rsid w:val="0013351A"/>
    <w:rsid w:val="001338C2"/>
    <w:rsid w:val="00133B57"/>
    <w:rsid w:val="001347C2"/>
    <w:rsid w:val="001347C9"/>
    <w:rsid w:val="00134BA4"/>
    <w:rsid w:val="0013568A"/>
    <w:rsid w:val="00135F6B"/>
    <w:rsid w:val="001362A0"/>
    <w:rsid w:val="0013671D"/>
    <w:rsid w:val="0013683D"/>
    <w:rsid w:val="00136864"/>
    <w:rsid w:val="00136EFF"/>
    <w:rsid w:val="0013718B"/>
    <w:rsid w:val="00137D91"/>
    <w:rsid w:val="001401AD"/>
    <w:rsid w:val="00140342"/>
    <w:rsid w:val="00140DEF"/>
    <w:rsid w:val="00141155"/>
    <w:rsid w:val="001417DB"/>
    <w:rsid w:val="00141990"/>
    <w:rsid w:val="00141D46"/>
    <w:rsid w:val="0014240F"/>
    <w:rsid w:val="00142A19"/>
    <w:rsid w:val="00142B8E"/>
    <w:rsid w:val="00142FC6"/>
    <w:rsid w:val="00143235"/>
    <w:rsid w:val="0014390E"/>
    <w:rsid w:val="0014432A"/>
    <w:rsid w:val="00144389"/>
    <w:rsid w:val="001446D5"/>
    <w:rsid w:val="00144E84"/>
    <w:rsid w:val="00145059"/>
    <w:rsid w:val="001450FC"/>
    <w:rsid w:val="00145169"/>
    <w:rsid w:val="001459E8"/>
    <w:rsid w:val="00146204"/>
    <w:rsid w:val="00146380"/>
    <w:rsid w:val="001466F2"/>
    <w:rsid w:val="001472CA"/>
    <w:rsid w:val="00147483"/>
    <w:rsid w:val="00150070"/>
    <w:rsid w:val="001509DB"/>
    <w:rsid w:val="00150BF1"/>
    <w:rsid w:val="00150C87"/>
    <w:rsid w:val="00150D94"/>
    <w:rsid w:val="00151A61"/>
    <w:rsid w:val="00151E15"/>
    <w:rsid w:val="00152035"/>
    <w:rsid w:val="001531A5"/>
    <w:rsid w:val="00153424"/>
    <w:rsid w:val="00153F40"/>
    <w:rsid w:val="00153FE8"/>
    <w:rsid w:val="001540B7"/>
    <w:rsid w:val="00155456"/>
    <w:rsid w:val="0015561C"/>
    <w:rsid w:val="001559C6"/>
    <w:rsid w:val="00156752"/>
    <w:rsid w:val="001572EA"/>
    <w:rsid w:val="00157EC7"/>
    <w:rsid w:val="00160395"/>
    <w:rsid w:val="00160854"/>
    <w:rsid w:val="00160928"/>
    <w:rsid w:val="001609A4"/>
    <w:rsid w:val="00160E33"/>
    <w:rsid w:val="00161F4D"/>
    <w:rsid w:val="0016263C"/>
    <w:rsid w:val="00163192"/>
    <w:rsid w:val="001632C2"/>
    <w:rsid w:val="0016385A"/>
    <w:rsid w:val="001639B0"/>
    <w:rsid w:val="00163A5B"/>
    <w:rsid w:val="00163E0A"/>
    <w:rsid w:val="00164315"/>
    <w:rsid w:val="001648D1"/>
    <w:rsid w:val="00164F7D"/>
    <w:rsid w:val="001652B6"/>
    <w:rsid w:val="0016533C"/>
    <w:rsid w:val="00165346"/>
    <w:rsid w:val="00165967"/>
    <w:rsid w:val="00165CE2"/>
    <w:rsid w:val="00165E35"/>
    <w:rsid w:val="001662DF"/>
    <w:rsid w:val="00166468"/>
    <w:rsid w:val="00166721"/>
    <w:rsid w:val="00166B69"/>
    <w:rsid w:val="00166EBF"/>
    <w:rsid w:val="00167021"/>
    <w:rsid w:val="0016708E"/>
    <w:rsid w:val="00167ECE"/>
    <w:rsid w:val="0017000D"/>
    <w:rsid w:val="0017026C"/>
    <w:rsid w:val="0017056C"/>
    <w:rsid w:val="001706CD"/>
    <w:rsid w:val="00170BA4"/>
    <w:rsid w:val="00170E99"/>
    <w:rsid w:val="00171222"/>
    <w:rsid w:val="001714FE"/>
    <w:rsid w:val="0017155F"/>
    <w:rsid w:val="001716B0"/>
    <w:rsid w:val="001717A8"/>
    <w:rsid w:val="00172BD9"/>
    <w:rsid w:val="00172CFE"/>
    <w:rsid w:val="001737EF"/>
    <w:rsid w:val="00173C0F"/>
    <w:rsid w:val="00173E1D"/>
    <w:rsid w:val="00173E78"/>
    <w:rsid w:val="00173ECA"/>
    <w:rsid w:val="001742FD"/>
    <w:rsid w:val="00174BAD"/>
    <w:rsid w:val="001753A1"/>
    <w:rsid w:val="00175F09"/>
    <w:rsid w:val="0017606D"/>
    <w:rsid w:val="00176620"/>
    <w:rsid w:val="001767C9"/>
    <w:rsid w:val="00176A83"/>
    <w:rsid w:val="001772AE"/>
    <w:rsid w:val="00180119"/>
    <w:rsid w:val="0018064D"/>
    <w:rsid w:val="00180FF3"/>
    <w:rsid w:val="001821E9"/>
    <w:rsid w:val="00183154"/>
    <w:rsid w:val="001846CE"/>
    <w:rsid w:val="001857FC"/>
    <w:rsid w:val="001858D0"/>
    <w:rsid w:val="00185A2D"/>
    <w:rsid w:val="00185C35"/>
    <w:rsid w:val="00186694"/>
    <w:rsid w:val="001869AE"/>
    <w:rsid w:val="001870D2"/>
    <w:rsid w:val="0018733E"/>
    <w:rsid w:val="00187679"/>
    <w:rsid w:val="0018791C"/>
    <w:rsid w:val="00187ED0"/>
    <w:rsid w:val="00190E0F"/>
    <w:rsid w:val="00191135"/>
    <w:rsid w:val="0019115B"/>
    <w:rsid w:val="00191C1B"/>
    <w:rsid w:val="00194188"/>
    <w:rsid w:val="001943EC"/>
    <w:rsid w:val="00194F42"/>
    <w:rsid w:val="0019578B"/>
    <w:rsid w:val="001965B7"/>
    <w:rsid w:val="00196CD2"/>
    <w:rsid w:val="00196F6A"/>
    <w:rsid w:val="001970E6"/>
    <w:rsid w:val="001970E9"/>
    <w:rsid w:val="0019721D"/>
    <w:rsid w:val="00197B81"/>
    <w:rsid w:val="00197DDB"/>
    <w:rsid w:val="001A07DC"/>
    <w:rsid w:val="001A0832"/>
    <w:rsid w:val="001A1643"/>
    <w:rsid w:val="001A16B4"/>
    <w:rsid w:val="001A17F8"/>
    <w:rsid w:val="001A186D"/>
    <w:rsid w:val="001A20B3"/>
    <w:rsid w:val="001A27CF"/>
    <w:rsid w:val="001A2AE0"/>
    <w:rsid w:val="001A3A88"/>
    <w:rsid w:val="001A3C43"/>
    <w:rsid w:val="001A3DCC"/>
    <w:rsid w:val="001A422F"/>
    <w:rsid w:val="001A45FF"/>
    <w:rsid w:val="001A4862"/>
    <w:rsid w:val="001A4B78"/>
    <w:rsid w:val="001A4D5A"/>
    <w:rsid w:val="001A5367"/>
    <w:rsid w:val="001A5542"/>
    <w:rsid w:val="001A57E3"/>
    <w:rsid w:val="001A59AB"/>
    <w:rsid w:val="001A5A92"/>
    <w:rsid w:val="001A5D09"/>
    <w:rsid w:val="001A6362"/>
    <w:rsid w:val="001A6E32"/>
    <w:rsid w:val="001A6E87"/>
    <w:rsid w:val="001A757C"/>
    <w:rsid w:val="001A75A0"/>
    <w:rsid w:val="001A7712"/>
    <w:rsid w:val="001A78F0"/>
    <w:rsid w:val="001A7A1E"/>
    <w:rsid w:val="001A7D9F"/>
    <w:rsid w:val="001B0008"/>
    <w:rsid w:val="001B0266"/>
    <w:rsid w:val="001B1F0D"/>
    <w:rsid w:val="001B25C6"/>
    <w:rsid w:val="001B2ADE"/>
    <w:rsid w:val="001B335C"/>
    <w:rsid w:val="001B35AC"/>
    <w:rsid w:val="001B3D8B"/>
    <w:rsid w:val="001B3D8F"/>
    <w:rsid w:val="001B43F1"/>
    <w:rsid w:val="001B463F"/>
    <w:rsid w:val="001B4738"/>
    <w:rsid w:val="001B495A"/>
    <w:rsid w:val="001B5044"/>
    <w:rsid w:val="001B52D6"/>
    <w:rsid w:val="001B5C06"/>
    <w:rsid w:val="001B5FF8"/>
    <w:rsid w:val="001B67D4"/>
    <w:rsid w:val="001B7176"/>
    <w:rsid w:val="001B79DA"/>
    <w:rsid w:val="001C087C"/>
    <w:rsid w:val="001C08FB"/>
    <w:rsid w:val="001C096B"/>
    <w:rsid w:val="001C0C87"/>
    <w:rsid w:val="001C0D8B"/>
    <w:rsid w:val="001C1315"/>
    <w:rsid w:val="001C14FA"/>
    <w:rsid w:val="001C29BA"/>
    <w:rsid w:val="001C2BB9"/>
    <w:rsid w:val="001C34DA"/>
    <w:rsid w:val="001C3BD3"/>
    <w:rsid w:val="001C3FA1"/>
    <w:rsid w:val="001C4899"/>
    <w:rsid w:val="001C4B9B"/>
    <w:rsid w:val="001C4CFA"/>
    <w:rsid w:val="001C5150"/>
    <w:rsid w:val="001C5502"/>
    <w:rsid w:val="001C5B68"/>
    <w:rsid w:val="001C5E21"/>
    <w:rsid w:val="001C6520"/>
    <w:rsid w:val="001C659D"/>
    <w:rsid w:val="001C7A96"/>
    <w:rsid w:val="001C7B0A"/>
    <w:rsid w:val="001C7BF9"/>
    <w:rsid w:val="001C7D50"/>
    <w:rsid w:val="001D05AA"/>
    <w:rsid w:val="001D0D36"/>
    <w:rsid w:val="001D0DED"/>
    <w:rsid w:val="001D0E87"/>
    <w:rsid w:val="001D0EA1"/>
    <w:rsid w:val="001D0F28"/>
    <w:rsid w:val="001D11BD"/>
    <w:rsid w:val="001D1347"/>
    <w:rsid w:val="001D1392"/>
    <w:rsid w:val="001D1F07"/>
    <w:rsid w:val="001D2372"/>
    <w:rsid w:val="001D23AE"/>
    <w:rsid w:val="001D2C3B"/>
    <w:rsid w:val="001D30A9"/>
    <w:rsid w:val="001D33D6"/>
    <w:rsid w:val="001D3550"/>
    <w:rsid w:val="001D3DFE"/>
    <w:rsid w:val="001D3E60"/>
    <w:rsid w:val="001D457C"/>
    <w:rsid w:val="001D4D4A"/>
    <w:rsid w:val="001D4FDF"/>
    <w:rsid w:val="001D5D71"/>
    <w:rsid w:val="001D5EDD"/>
    <w:rsid w:val="001D5FFB"/>
    <w:rsid w:val="001D6355"/>
    <w:rsid w:val="001D6C61"/>
    <w:rsid w:val="001D6EE3"/>
    <w:rsid w:val="001D6F33"/>
    <w:rsid w:val="001D6FA5"/>
    <w:rsid w:val="001D7663"/>
    <w:rsid w:val="001D7812"/>
    <w:rsid w:val="001D7B68"/>
    <w:rsid w:val="001E0133"/>
    <w:rsid w:val="001E0204"/>
    <w:rsid w:val="001E0509"/>
    <w:rsid w:val="001E0880"/>
    <w:rsid w:val="001E1284"/>
    <w:rsid w:val="001E1466"/>
    <w:rsid w:val="001E171F"/>
    <w:rsid w:val="001E1B37"/>
    <w:rsid w:val="001E1BDF"/>
    <w:rsid w:val="001E287E"/>
    <w:rsid w:val="001E317C"/>
    <w:rsid w:val="001E36E8"/>
    <w:rsid w:val="001E36EB"/>
    <w:rsid w:val="001E39F4"/>
    <w:rsid w:val="001E427A"/>
    <w:rsid w:val="001E4CC5"/>
    <w:rsid w:val="001E5224"/>
    <w:rsid w:val="001E5C48"/>
    <w:rsid w:val="001E5EBF"/>
    <w:rsid w:val="001E6339"/>
    <w:rsid w:val="001E6E8B"/>
    <w:rsid w:val="001E6FD3"/>
    <w:rsid w:val="001E73E2"/>
    <w:rsid w:val="001E7C69"/>
    <w:rsid w:val="001E7CAF"/>
    <w:rsid w:val="001E7E72"/>
    <w:rsid w:val="001F02AB"/>
    <w:rsid w:val="001F08E1"/>
    <w:rsid w:val="001F10AD"/>
    <w:rsid w:val="001F1336"/>
    <w:rsid w:val="001F20DE"/>
    <w:rsid w:val="001F2302"/>
    <w:rsid w:val="001F2DDA"/>
    <w:rsid w:val="001F319E"/>
    <w:rsid w:val="001F3A4D"/>
    <w:rsid w:val="001F3C7B"/>
    <w:rsid w:val="001F41D7"/>
    <w:rsid w:val="001F4A02"/>
    <w:rsid w:val="001F4A1F"/>
    <w:rsid w:val="001F4CDF"/>
    <w:rsid w:val="001F5AB9"/>
    <w:rsid w:val="001F5AEE"/>
    <w:rsid w:val="001F6C67"/>
    <w:rsid w:val="001F7AA5"/>
    <w:rsid w:val="002000CB"/>
    <w:rsid w:val="002002CF"/>
    <w:rsid w:val="002009FC"/>
    <w:rsid w:val="00201099"/>
    <w:rsid w:val="00201214"/>
    <w:rsid w:val="0020134D"/>
    <w:rsid w:val="002015A8"/>
    <w:rsid w:val="00202561"/>
    <w:rsid w:val="0020264C"/>
    <w:rsid w:val="00202692"/>
    <w:rsid w:val="00202CEF"/>
    <w:rsid w:val="0020318C"/>
    <w:rsid w:val="00203520"/>
    <w:rsid w:val="002038EA"/>
    <w:rsid w:val="00204178"/>
    <w:rsid w:val="002047CB"/>
    <w:rsid w:val="00204A3A"/>
    <w:rsid w:val="00205207"/>
    <w:rsid w:val="002055EB"/>
    <w:rsid w:val="002057CD"/>
    <w:rsid w:val="00205E02"/>
    <w:rsid w:val="00206032"/>
    <w:rsid w:val="002065BE"/>
    <w:rsid w:val="002066A2"/>
    <w:rsid w:val="002067CF"/>
    <w:rsid w:val="00206A05"/>
    <w:rsid w:val="00206B01"/>
    <w:rsid w:val="00206F08"/>
    <w:rsid w:val="002079F5"/>
    <w:rsid w:val="00207E81"/>
    <w:rsid w:val="002101BE"/>
    <w:rsid w:val="0021023D"/>
    <w:rsid w:val="00210677"/>
    <w:rsid w:val="00210D48"/>
    <w:rsid w:val="002113EC"/>
    <w:rsid w:val="002118C3"/>
    <w:rsid w:val="00211E97"/>
    <w:rsid w:val="00212943"/>
    <w:rsid w:val="002129CB"/>
    <w:rsid w:val="00213302"/>
    <w:rsid w:val="002137E7"/>
    <w:rsid w:val="00213800"/>
    <w:rsid w:val="002139C2"/>
    <w:rsid w:val="002139D4"/>
    <w:rsid w:val="0021409A"/>
    <w:rsid w:val="002141ED"/>
    <w:rsid w:val="00214359"/>
    <w:rsid w:val="0021515C"/>
    <w:rsid w:val="00215672"/>
    <w:rsid w:val="002157D0"/>
    <w:rsid w:val="00216E58"/>
    <w:rsid w:val="00217659"/>
    <w:rsid w:val="00217D07"/>
    <w:rsid w:val="00217D0B"/>
    <w:rsid w:val="00217FC7"/>
    <w:rsid w:val="00220136"/>
    <w:rsid w:val="002203D4"/>
    <w:rsid w:val="00220A6E"/>
    <w:rsid w:val="00220CB8"/>
    <w:rsid w:val="00220F02"/>
    <w:rsid w:val="0022117B"/>
    <w:rsid w:val="0022134D"/>
    <w:rsid w:val="00221449"/>
    <w:rsid w:val="002218D7"/>
    <w:rsid w:val="00221AD7"/>
    <w:rsid w:val="002227A6"/>
    <w:rsid w:val="00225277"/>
    <w:rsid w:val="00225853"/>
    <w:rsid w:val="00226351"/>
    <w:rsid w:val="002266B7"/>
    <w:rsid w:val="00226ADE"/>
    <w:rsid w:val="002270C9"/>
    <w:rsid w:val="00227967"/>
    <w:rsid w:val="00227BA9"/>
    <w:rsid w:val="00227FE9"/>
    <w:rsid w:val="0023005B"/>
    <w:rsid w:val="00230507"/>
    <w:rsid w:val="00230E0E"/>
    <w:rsid w:val="00231846"/>
    <w:rsid w:val="00231DD4"/>
    <w:rsid w:val="002320AD"/>
    <w:rsid w:val="002325AD"/>
    <w:rsid w:val="0023283B"/>
    <w:rsid w:val="00232CEC"/>
    <w:rsid w:val="00233455"/>
    <w:rsid w:val="00233D00"/>
    <w:rsid w:val="00234A24"/>
    <w:rsid w:val="00235136"/>
    <w:rsid w:val="00235306"/>
    <w:rsid w:val="0023548D"/>
    <w:rsid w:val="00235547"/>
    <w:rsid w:val="00235F8A"/>
    <w:rsid w:val="0023603B"/>
    <w:rsid w:val="002361A1"/>
    <w:rsid w:val="00236293"/>
    <w:rsid w:val="0023721F"/>
    <w:rsid w:val="002373B3"/>
    <w:rsid w:val="00237B35"/>
    <w:rsid w:val="00237B5E"/>
    <w:rsid w:val="00237C95"/>
    <w:rsid w:val="00237F04"/>
    <w:rsid w:val="00241EAC"/>
    <w:rsid w:val="00242462"/>
    <w:rsid w:val="00242479"/>
    <w:rsid w:val="002426FC"/>
    <w:rsid w:val="0024273C"/>
    <w:rsid w:val="0024331E"/>
    <w:rsid w:val="00243F7C"/>
    <w:rsid w:val="00243FB2"/>
    <w:rsid w:val="002442CF"/>
    <w:rsid w:val="00244F06"/>
    <w:rsid w:val="0024521A"/>
    <w:rsid w:val="00245329"/>
    <w:rsid w:val="002453DF"/>
    <w:rsid w:val="00245B8D"/>
    <w:rsid w:val="00246261"/>
    <w:rsid w:val="002468F0"/>
    <w:rsid w:val="0024758C"/>
    <w:rsid w:val="002476F6"/>
    <w:rsid w:val="0024781F"/>
    <w:rsid w:val="00247898"/>
    <w:rsid w:val="00247A62"/>
    <w:rsid w:val="00250208"/>
    <w:rsid w:val="00250501"/>
    <w:rsid w:val="002509EE"/>
    <w:rsid w:val="00251019"/>
    <w:rsid w:val="00251299"/>
    <w:rsid w:val="00251937"/>
    <w:rsid w:val="002522CF"/>
    <w:rsid w:val="00252730"/>
    <w:rsid w:val="00253119"/>
    <w:rsid w:val="002531EB"/>
    <w:rsid w:val="00253D8B"/>
    <w:rsid w:val="00253E21"/>
    <w:rsid w:val="002540B8"/>
    <w:rsid w:val="0025449A"/>
    <w:rsid w:val="002547A7"/>
    <w:rsid w:val="00254DCA"/>
    <w:rsid w:val="002555C0"/>
    <w:rsid w:val="00255A03"/>
    <w:rsid w:val="00255AA6"/>
    <w:rsid w:val="00256486"/>
    <w:rsid w:val="00256CF5"/>
    <w:rsid w:val="002570BF"/>
    <w:rsid w:val="002605E0"/>
    <w:rsid w:val="00261286"/>
    <w:rsid w:val="0026153D"/>
    <w:rsid w:val="00261714"/>
    <w:rsid w:val="00261943"/>
    <w:rsid w:val="00262073"/>
    <w:rsid w:val="00262377"/>
    <w:rsid w:val="002624F9"/>
    <w:rsid w:val="002625F9"/>
    <w:rsid w:val="00262874"/>
    <w:rsid w:val="00263D2D"/>
    <w:rsid w:val="00263DC7"/>
    <w:rsid w:val="00264439"/>
    <w:rsid w:val="002645DC"/>
    <w:rsid w:val="0026494B"/>
    <w:rsid w:val="00264BB8"/>
    <w:rsid w:val="00264BEF"/>
    <w:rsid w:val="002659F7"/>
    <w:rsid w:val="00265BC0"/>
    <w:rsid w:val="00265C9A"/>
    <w:rsid w:val="00266102"/>
    <w:rsid w:val="0026655D"/>
    <w:rsid w:val="00266A1D"/>
    <w:rsid w:val="00266B4B"/>
    <w:rsid w:val="00266C66"/>
    <w:rsid w:val="00266E19"/>
    <w:rsid w:val="00267200"/>
    <w:rsid w:val="002679B1"/>
    <w:rsid w:val="002700AB"/>
    <w:rsid w:val="0027021F"/>
    <w:rsid w:val="0027054D"/>
    <w:rsid w:val="0027056D"/>
    <w:rsid w:val="0027171B"/>
    <w:rsid w:val="0027247F"/>
    <w:rsid w:val="00272838"/>
    <w:rsid w:val="00272E5A"/>
    <w:rsid w:val="00272F5F"/>
    <w:rsid w:val="002743D6"/>
    <w:rsid w:val="0027440A"/>
    <w:rsid w:val="0027451B"/>
    <w:rsid w:val="00274F92"/>
    <w:rsid w:val="0027577C"/>
    <w:rsid w:val="00275C81"/>
    <w:rsid w:val="00275E31"/>
    <w:rsid w:val="002761A2"/>
    <w:rsid w:val="002767B5"/>
    <w:rsid w:val="002768F7"/>
    <w:rsid w:val="00276B0B"/>
    <w:rsid w:val="00276E88"/>
    <w:rsid w:val="00277039"/>
    <w:rsid w:val="002775B2"/>
    <w:rsid w:val="002807B3"/>
    <w:rsid w:val="002816D4"/>
    <w:rsid w:val="00281716"/>
    <w:rsid w:val="00281B9E"/>
    <w:rsid w:val="00282299"/>
    <w:rsid w:val="00282C47"/>
    <w:rsid w:val="002831D3"/>
    <w:rsid w:val="00283204"/>
    <w:rsid w:val="0028381A"/>
    <w:rsid w:val="00283830"/>
    <w:rsid w:val="00283F6B"/>
    <w:rsid w:val="0028480B"/>
    <w:rsid w:val="00284B94"/>
    <w:rsid w:val="00284DA7"/>
    <w:rsid w:val="002861AA"/>
    <w:rsid w:val="0028695F"/>
    <w:rsid w:val="00287092"/>
    <w:rsid w:val="00287D26"/>
    <w:rsid w:val="00287DBB"/>
    <w:rsid w:val="00290344"/>
    <w:rsid w:val="002903AD"/>
    <w:rsid w:val="002906E4"/>
    <w:rsid w:val="0029138A"/>
    <w:rsid w:val="00292204"/>
    <w:rsid w:val="00292541"/>
    <w:rsid w:val="00292596"/>
    <w:rsid w:val="00292597"/>
    <w:rsid w:val="0029365F"/>
    <w:rsid w:val="00293B88"/>
    <w:rsid w:val="00293CFB"/>
    <w:rsid w:val="00293FDF"/>
    <w:rsid w:val="00294341"/>
    <w:rsid w:val="002946D1"/>
    <w:rsid w:val="002958CB"/>
    <w:rsid w:val="00295D26"/>
    <w:rsid w:val="0029602F"/>
    <w:rsid w:val="0029647D"/>
    <w:rsid w:val="00296595"/>
    <w:rsid w:val="00296930"/>
    <w:rsid w:val="00296C41"/>
    <w:rsid w:val="002974FF"/>
    <w:rsid w:val="00297FD8"/>
    <w:rsid w:val="002A0245"/>
    <w:rsid w:val="002A03DF"/>
    <w:rsid w:val="002A08AC"/>
    <w:rsid w:val="002A0AAB"/>
    <w:rsid w:val="002A1174"/>
    <w:rsid w:val="002A12A3"/>
    <w:rsid w:val="002A1BFE"/>
    <w:rsid w:val="002A1D08"/>
    <w:rsid w:val="002A1E57"/>
    <w:rsid w:val="002A1E8F"/>
    <w:rsid w:val="002A258D"/>
    <w:rsid w:val="002A2622"/>
    <w:rsid w:val="002A31DF"/>
    <w:rsid w:val="002A3EE0"/>
    <w:rsid w:val="002A40B2"/>
    <w:rsid w:val="002A49CC"/>
    <w:rsid w:val="002A4A14"/>
    <w:rsid w:val="002A4A79"/>
    <w:rsid w:val="002A55BC"/>
    <w:rsid w:val="002A5AF0"/>
    <w:rsid w:val="002A5CE9"/>
    <w:rsid w:val="002A6575"/>
    <w:rsid w:val="002A6A16"/>
    <w:rsid w:val="002A77FB"/>
    <w:rsid w:val="002B01B4"/>
    <w:rsid w:val="002B07A0"/>
    <w:rsid w:val="002B1427"/>
    <w:rsid w:val="002B1589"/>
    <w:rsid w:val="002B1959"/>
    <w:rsid w:val="002B20D0"/>
    <w:rsid w:val="002B2941"/>
    <w:rsid w:val="002B2AFA"/>
    <w:rsid w:val="002B2EF9"/>
    <w:rsid w:val="002B328B"/>
    <w:rsid w:val="002B3854"/>
    <w:rsid w:val="002B3F14"/>
    <w:rsid w:val="002B450F"/>
    <w:rsid w:val="002B4757"/>
    <w:rsid w:val="002B5022"/>
    <w:rsid w:val="002B5776"/>
    <w:rsid w:val="002B6106"/>
    <w:rsid w:val="002B618F"/>
    <w:rsid w:val="002B63C2"/>
    <w:rsid w:val="002B6A14"/>
    <w:rsid w:val="002B7726"/>
    <w:rsid w:val="002B7AA8"/>
    <w:rsid w:val="002B7F64"/>
    <w:rsid w:val="002C071D"/>
    <w:rsid w:val="002C14B5"/>
    <w:rsid w:val="002C196E"/>
    <w:rsid w:val="002C1CE3"/>
    <w:rsid w:val="002C1F5F"/>
    <w:rsid w:val="002C2097"/>
    <w:rsid w:val="002C20A7"/>
    <w:rsid w:val="002C2227"/>
    <w:rsid w:val="002C3901"/>
    <w:rsid w:val="002C3D01"/>
    <w:rsid w:val="002C3DEB"/>
    <w:rsid w:val="002C47B1"/>
    <w:rsid w:val="002C4AA4"/>
    <w:rsid w:val="002C4C40"/>
    <w:rsid w:val="002C5418"/>
    <w:rsid w:val="002C596C"/>
    <w:rsid w:val="002C5E95"/>
    <w:rsid w:val="002C654B"/>
    <w:rsid w:val="002C67E6"/>
    <w:rsid w:val="002C7635"/>
    <w:rsid w:val="002C79F7"/>
    <w:rsid w:val="002D108A"/>
    <w:rsid w:val="002D170B"/>
    <w:rsid w:val="002D17C5"/>
    <w:rsid w:val="002D1A1A"/>
    <w:rsid w:val="002D1BF5"/>
    <w:rsid w:val="002D2240"/>
    <w:rsid w:val="002D24C9"/>
    <w:rsid w:val="002D2B55"/>
    <w:rsid w:val="002D2CD7"/>
    <w:rsid w:val="002D2E78"/>
    <w:rsid w:val="002D3638"/>
    <w:rsid w:val="002D3733"/>
    <w:rsid w:val="002D3751"/>
    <w:rsid w:val="002D3863"/>
    <w:rsid w:val="002D430C"/>
    <w:rsid w:val="002D4860"/>
    <w:rsid w:val="002D4EE8"/>
    <w:rsid w:val="002D4F74"/>
    <w:rsid w:val="002D545B"/>
    <w:rsid w:val="002D6219"/>
    <w:rsid w:val="002D6744"/>
    <w:rsid w:val="002D6A9A"/>
    <w:rsid w:val="002D6E4D"/>
    <w:rsid w:val="002D736D"/>
    <w:rsid w:val="002D789E"/>
    <w:rsid w:val="002D7D3E"/>
    <w:rsid w:val="002D7D99"/>
    <w:rsid w:val="002E0A0C"/>
    <w:rsid w:val="002E1AE9"/>
    <w:rsid w:val="002E1C07"/>
    <w:rsid w:val="002E1CC3"/>
    <w:rsid w:val="002E2806"/>
    <w:rsid w:val="002E2853"/>
    <w:rsid w:val="002E2896"/>
    <w:rsid w:val="002E2E12"/>
    <w:rsid w:val="002E3500"/>
    <w:rsid w:val="002E445B"/>
    <w:rsid w:val="002E4499"/>
    <w:rsid w:val="002E51D8"/>
    <w:rsid w:val="002E59B3"/>
    <w:rsid w:val="002E5EA9"/>
    <w:rsid w:val="002E6068"/>
    <w:rsid w:val="002E631E"/>
    <w:rsid w:val="002E638A"/>
    <w:rsid w:val="002E640A"/>
    <w:rsid w:val="002E68A3"/>
    <w:rsid w:val="002E754A"/>
    <w:rsid w:val="002E782F"/>
    <w:rsid w:val="002E7B71"/>
    <w:rsid w:val="002F068C"/>
    <w:rsid w:val="002F0A09"/>
    <w:rsid w:val="002F1A98"/>
    <w:rsid w:val="002F2433"/>
    <w:rsid w:val="002F27D2"/>
    <w:rsid w:val="002F2E92"/>
    <w:rsid w:val="002F3E8E"/>
    <w:rsid w:val="002F40F3"/>
    <w:rsid w:val="002F4F7E"/>
    <w:rsid w:val="002F511D"/>
    <w:rsid w:val="002F5425"/>
    <w:rsid w:val="002F5825"/>
    <w:rsid w:val="002F59F9"/>
    <w:rsid w:val="002F5F1C"/>
    <w:rsid w:val="002F6322"/>
    <w:rsid w:val="002F6612"/>
    <w:rsid w:val="002F72B5"/>
    <w:rsid w:val="002F74C3"/>
    <w:rsid w:val="002F784F"/>
    <w:rsid w:val="0030066D"/>
    <w:rsid w:val="00300EAC"/>
    <w:rsid w:val="00300F26"/>
    <w:rsid w:val="00300FE3"/>
    <w:rsid w:val="0030155E"/>
    <w:rsid w:val="0030199E"/>
    <w:rsid w:val="00301C5C"/>
    <w:rsid w:val="00301C97"/>
    <w:rsid w:val="00301CAD"/>
    <w:rsid w:val="003026D7"/>
    <w:rsid w:val="00302EF0"/>
    <w:rsid w:val="00303054"/>
    <w:rsid w:val="003031B2"/>
    <w:rsid w:val="00303BD4"/>
    <w:rsid w:val="00305105"/>
    <w:rsid w:val="0030573D"/>
    <w:rsid w:val="00305E20"/>
    <w:rsid w:val="00305EE0"/>
    <w:rsid w:val="00306340"/>
    <w:rsid w:val="00307973"/>
    <w:rsid w:val="003079E3"/>
    <w:rsid w:val="00307AB4"/>
    <w:rsid w:val="00307BC1"/>
    <w:rsid w:val="00307CCD"/>
    <w:rsid w:val="00310757"/>
    <w:rsid w:val="0031087A"/>
    <w:rsid w:val="00310937"/>
    <w:rsid w:val="00310985"/>
    <w:rsid w:val="00310F1B"/>
    <w:rsid w:val="00310F3C"/>
    <w:rsid w:val="00313BF4"/>
    <w:rsid w:val="00314723"/>
    <w:rsid w:val="00314C5B"/>
    <w:rsid w:val="00315271"/>
    <w:rsid w:val="0031573B"/>
    <w:rsid w:val="00315C0A"/>
    <w:rsid w:val="0031652B"/>
    <w:rsid w:val="0031676A"/>
    <w:rsid w:val="0031693B"/>
    <w:rsid w:val="0031697A"/>
    <w:rsid w:val="00316A8D"/>
    <w:rsid w:val="00317615"/>
    <w:rsid w:val="00317F29"/>
    <w:rsid w:val="00320442"/>
    <w:rsid w:val="00320579"/>
    <w:rsid w:val="00320967"/>
    <w:rsid w:val="003213A6"/>
    <w:rsid w:val="003215D8"/>
    <w:rsid w:val="00321794"/>
    <w:rsid w:val="0032201A"/>
    <w:rsid w:val="00322527"/>
    <w:rsid w:val="00322863"/>
    <w:rsid w:val="00322DBF"/>
    <w:rsid w:val="0032330E"/>
    <w:rsid w:val="003237BB"/>
    <w:rsid w:val="00324B38"/>
    <w:rsid w:val="003251CB"/>
    <w:rsid w:val="00325396"/>
    <w:rsid w:val="003264D8"/>
    <w:rsid w:val="003267E5"/>
    <w:rsid w:val="00326937"/>
    <w:rsid w:val="003269E9"/>
    <w:rsid w:val="00327F33"/>
    <w:rsid w:val="003303B0"/>
    <w:rsid w:val="00330417"/>
    <w:rsid w:val="00330D93"/>
    <w:rsid w:val="00331D0E"/>
    <w:rsid w:val="00332594"/>
    <w:rsid w:val="0033281A"/>
    <w:rsid w:val="00332B80"/>
    <w:rsid w:val="00332BFA"/>
    <w:rsid w:val="00332DC5"/>
    <w:rsid w:val="003331D2"/>
    <w:rsid w:val="0033348F"/>
    <w:rsid w:val="003335C8"/>
    <w:rsid w:val="00334272"/>
    <w:rsid w:val="00334515"/>
    <w:rsid w:val="00335FCC"/>
    <w:rsid w:val="003363CA"/>
    <w:rsid w:val="00336675"/>
    <w:rsid w:val="003375A8"/>
    <w:rsid w:val="00337A29"/>
    <w:rsid w:val="00337D3A"/>
    <w:rsid w:val="00337EFA"/>
    <w:rsid w:val="00337F79"/>
    <w:rsid w:val="00337FFA"/>
    <w:rsid w:val="00340959"/>
    <w:rsid w:val="00340EFF"/>
    <w:rsid w:val="00340FCB"/>
    <w:rsid w:val="003416D6"/>
    <w:rsid w:val="003421CD"/>
    <w:rsid w:val="00342321"/>
    <w:rsid w:val="0034232E"/>
    <w:rsid w:val="00343EDD"/>
    <w:rsid w:val="00344CE3"/>
    <w:rsid w:val="00344E7F"/>
    <w:rsid w:val="003451F5"/>
    <w:rsid w:val="00345A27"/>
    <w:rsid w:val="00345A97"/>
    <w:rsid w:val="00345C4A"/>
    <w:rsid w:val="00345E06"/>
    <w:rsid w:val="00346077"/>
    <w:rsid w:val="003467ED"/>
    <w:rsid w:val="00346C08"/>
    <w:rsid w:val="00346CA8"/>
    <w:rsid w:val="00347143"/>
    <w:rsid w:val="003478ED"/>
    <w:rsid w:val="00347965"/>
    <w:rsid w:val="00347EF3"/>
    <w:rsid w:val="00347F2D"/>
    <w:rsid w:val="003506C0"/>
    <w:rsid w:val="003507C1"/>
    <w:rsid w:val="00350934"/>
    <w:rsid w:val="00351D69"/>
    <w:rsid w:val="00351E21"/>
    <w:rsid w:val="00353417"/>
    <w:rsid w:val="003539F1"/>
    <w:rsid w:val="00354E89"/>
    <w:rsid w:val="00355E65"/>
    <w:rsid w:val="00356095"/>
    <w:rsid w:val="0035647B"/>
    <w:rsid w:val="003564CB"/>
    <w:rsid w:val="0035697F"/>
    <w:rsid w:val="00356B25"/>
    <w:rsid w:val="00356CD5"/>
    <w:rsid w:val="0035710A"/>
    <w:rsid w:val="00357740"/>
    <w:rsid w:val="00357B2E"/>
    <w:rsid w:val="00357E3B"/>
    <w:rsid w:val="00360423"/>
    <w:rsid w:val="00360947"/>
    <w:rsid w:val="0036127D"/>
    <w:rsid w:val="003614F3"/>
    <w:rsid w:val="003616A8"/>
    <w:rsid w:val="0036188B"/>
    <w:rsid w:val="00361A6F"/>
    <w:rsid w:val="00361E8E"/>
    <w:rsid w:val="00361E9F"/>
    <w:rsid w:val="003622F1"/>
    <w:rsid w:val="00362DF2"/>
    <w:rsid w:val="00362DFE"/>
    <w:rsid w:val="00362FD1"/>
    <w:rsid w:val="0036314E"/>
    <w:rsid w:val="0036321D"/>
    <w:rsid w:val="00363612"/>
    <w:rsid w:val="003637F5"/>
    <w:rsid w:val="00364322"/>
    <w:rsid w:val="00364F3D"/>
    <w:rsid w:val="00365E0C"/>
    <w:rsid w:val="00365FBC"/>
    <w:rsid w:val="00366499"/>
    <w:rsid w:val="0036652F"/>
    <w:rsid w:val="00366ED7"/>
    <w:rsid w:val="00367BC6"/>
    <w:rsid w:val="00367EB2"/>
    <w:rsid w:val="00370A4D"/>
    <w:rsid w:val="00371C12"/>
    <w:rsid w:val="00371EAC"/>
    <w:rsid w:val="00371F8F"/>
    <w:rsid w:val="00372665"/>
    <w:rsid w:val="003727A0"/>
    <w:rsid w:val="003727E0"/>
    <w:rsid w:val="003739E2"/>
    <w:rsid w:val="00374288"/>
    <w:rsid w:val="0037469A"/>
    <w:rsid w:val="003746FD"/>
    <w:rsid w:val="00374903"/>
    <w:rsid w:val="0037498D"/>
    <w:rsid w:val="00374CF1"/>
    <w:rsid w:val="00374F28"/>
    <w:rsid w:val="00374F9B"/>
    <w:rsid w:val="003756F9"/>
    <w:rsid w:val="00375F40"/>
    <w:rsid w:val="00376330"/>
    <w:rsid w:val="00376AEE"/>
    <w:rsid w:val="00376D01"/>
    <w:rsid w:val="00376D0C"/>
    <w:rsid w:val="003773F6"/>
    <w:rsid w:val="00377513"/>
    <w:rsid w:val="003775D7"/>
    <w:rsid w:val="00377733"/>
    <w:rsid w:val="00377927"/>
    <w:rsid w:val="00377A46"/>
    <w:rsid w:val="003803A7"/>
    <w:rsid w:val="00380DCC"/>
    <w:rsid w:val="00381D29"/>
    <w:rsid w:val="00381DCA"/>
    <w:rsid w:val="00382720"/>
    <w:rsid w:val="00382912"/>
    <w:rsid w:val="00382D8D"/>
    <w:rsid w:val="00382D9B"/>
    <w:rsid w:val="00382E3D"/>
    <w:rsid w:val="00383CB2"/>
    <w:rsid w:val="00383EE5"/>
    <w:rsid w:val="003849E9"/>
    <w:rsid w:val="003849FD"/>
    <w:rsid w:val="00384B8F"/>
    <w:rsid w:val="00384F92"/>
    <w:rsid w:val="0038523D"/>
    <w:rsid w:val="0038549F"/>
    <w:rsid w:val="00385582"/>
    <w:rsid w:val="00385654"/>
    <w:rsid w:val="003856AE"/>
    <w:rsid w:val="00385809"/>
    <w:rsid w:val="00385AC1"/>
    <w:rsid w:val="00385C81"/>
    <w:rsid w:val="00385D6D"/>
    <w:rsid w:val="00386D21"/>
    <w:rsid w:val="00387976"/>
    <w:rsid w:val="00390207"/>
    <w:rsid w:val="00390344"/>
    <w:rsid w:val="003906F4"/>
    <w:rsid w:val="00390755"/>
    <w:rsid w:val="003913FD"/>
    <w:rsid w:val="0039170D"/>
    <w:rsid w:val="00391BFA"/>
    <w:rsid w:val="00391CE0"/>
    <w:rsid w:val="00392386"/>
    <w:rsid w:val="003924E9"/>
    <w:rsid w:val="00392B78"/>
    <w:rsid w:val="00393034"/>
    <w:rsid w:val="00393DF5"/>
    <w:rsid w:val="0039429B"/>
    <w:rsid w:val="003949CC"/>
    <w:rsid w:val="00395B0A"/>
    <w:rsid w:val="00395DBC"/>
    <w:rsid w:val="00395E2F"/>
    <w:rsid w:val="00395F09"/>
    <w:rsid w:val="00396698"/>
    <w:rsid w:val="00397916"/>
    <w:rsid w:val="00397AD3"/>
    <w:rsid w:val="00397B09"/>
    <w:rsid w:val="00397FBF"/>
    <w:rsid w:val="003A034C"/>
    <w:rsid w:val="003A0783"/>
    <w:rsid w:val="003A1078"/>
    <w:rsid w:val="003A115B"/>
    <w:rsid w:val="003A1657"/>
    <w:rsid w:val="003A1B43"/>
    <w:rsid w:val="003A1BE6"/>
    <w:rsid w:val="003A1FE5"/>
    <w:rsid w:val="003A24E8"/>
    <w:rsid w:val="003A2F53"/>
    <w:rsid w:val="003A318D"/>
    <w:rsid w:val="003A351D"/>
    <w:rsid w:val="003A3719"/>
    <w:rsid w:val="003A3AA8"/>
    <w:rsid w:val="003A3AC2"/>
    <w:rsid w:val="003A3C26"/>
    <w:rsid w:val="003A3CBD"/>
    <w:rsid w:val="003A3E5C"/>
    <w:rsid w:val="003A40E0"/>
    <w:rsid w:val="003A4234"/>
    <w:rsid w:val="003A4506"/>
    <w:rsid w:val="003A532B"/>
    <w:rsid w:val="003A53A0"/>
    <w:rsid w:val="003A616D"/>
    <w:rsid w:val="003A628E"/>
    <w:rsid w:val="003A69D4"/>
    <w:rsid w:val="003A6B28"/>
    <w:rsid w:val="003A6F55"/>
    <w:rsid w:val="003A72B7"/>
    <w:rsid w:val="003A7BE8"/>
    <w:rsid w:val="003B04DA"/>
    <w:rsid w:val="003B05F3"/>
    <w:rsid w:val="003B0EBC"/>
    <w:rsid w:val="003B1076"/>
    <w:rsid w:val="003B1C2D"/>
    <w:rsid w:val="003B30AC"/>
    <w:rsid w:val="003B3670"/>
    <w:rsid w:val="003B3CEB"/>
    <w:rsid w:val="003B3D2E"/>
    <w:rsid w:val="003B4F39"/>
    <w:rsid w:val="003B6C4B"/>
    <w:rsid w:val="003B6E37"/>
    <w:rsid w:val="003B78D8"/>
    <w:rsid w:val="003B7B71"/>
    <w:rsid w:val="003B7C3C"/>
    <w:rsid w:val="003B7EA2"/>
    <w:rsid w:val="003B7F6D"/>
    <w:rsid w:val="003C046F"/>
    <w:rsid w:val="003C0A17"/>
    <w:rsid w:val="003C0AC7"/>
    <w:rsid w:val="003C0B71"/>
    <w:rsid w:val="003C0C09"/>
    <w:rsid w:val="003C1326"/>
    <w:rsid w:val="003C1580"/>
    <w:rsid w:val="003C1BA3"/>
    <w:rsid w:val="003C1C5E"/>
    <w:rsid w:val="003C1CA4"/>
    <w:rsid w:val="003C1F8C"/>
    <w:rsid w:val="003C2825"/>
    <w:rsid w:val="003C35AD"/>
    <w:rsid w:val="003C4451"/>
    <w:rsid w:val="003C4F76"/>
    <w:rsid w:val="003C4FB9"/>
    <w:rsid w:val="003C52FB"/>
    <w:rsid w:val="003C5539"/>
    <w:rsid w:val="003C61E0"/>
    <w:rsid w:val="003C62C8"/>
    <w:rsid w:val="003C6D88"/>
    <w:rsid w:val="003C6E2B"/>
    <w:rsid w:val="003C6FAC"/>
    <w:rsid w:val="003C735C"/>
    <w:rsid w:val="003D0265"/>
    <w:rsid w:val="003D02D5"/>
    <w:rsid w:val="003D1195"/>
    <w:rsid w:val="003D22AD"/>
    <w:rsid w:val="003D2526"/>
    <w:rsid w:val="003D2A0E"/>
    <w:rsid w:val="003D3B18"/>
    <w:rsid w:val="003D43F5"/>
    <w:rsid w:val="003D4715"/>
    <w:rsid w:val="003D474B"/>
    <w:rsid w:val="003D5496"/>
    <w:rsid w:val="003D5577"/>
    <w:rsid w:val="003D5584"/>
    <w:rsid w:val="003D5BF6"/>
    <w:rsid w:val="003D63BD"/>
    <w:rsid w:val="003D6B3E"/>
    <w:rsid w:val="003D72B7"/>
    <w:rsid w:val="003D7466"/>
    <w:rsid w:val="003D7B80"/>
    <w:rsid w:val="003E0169"/>
    <w:rsid w:val="003E04B6"/>
    <w:rsid w:val="003E0C60"/>
    <w:rsid w:val="003E21E7"/>
    <w:rsid w:val="003E2216"/>
    <w:rsid w:val="003E226C"/>
    <w:rsid w:val="003E2806"/>
    <w:rsid w:val="003E2BD1"/>
    <w:rsid w:val="003E3323"/>
    <w:rsid w:val="003E3EA0"/>
    <w:rsid w:val="003E7141"/>
    <w:rsid w:val="003E7DEB"/>
    <w:rsid w:val="003E7E5E"/>
    <w:rsid w:val="003F062A"/>
    <w:rsid w:val="003F18EA"/>
    <w:rsid w:val="003F1DC0"/>
    <w:rsid w:val="003F1F93"/>
    <w:rsid w:val="003F20FC"/>
    <w:rsid w:val="003F2134"/>
    <w:rsid w:val="003F2260"/>
    <w:rsid w:val="003F2ADA"/>
    <w:rsid w:val="003F38CC"/>
    <w:rsid w:val="003F3993"/>
    <w:rsid w:val="003F42F4"/>
    <w:rsid w:val="003F49D9"/>
    <w:rsid w:val="003F533B"/>
    <w:rsid w:val="003F6577"/>
    <w:rsid w:val="003F682F"/>
    <w:rsid w:val="003F6A76"/>
    <w:rsid w:val="003F77B4"/>
    <w:rsid w:val="003F7F0A"/>
    <w:rsid w:val="003F7F59"/>
    <w:rsid w:val="004000BC"/>
    <w:rsid w:val="004001A0"/>
    <w:rsid w:val="00400BDA"/>
    <w:rsid w:val="00401170"/>
    <w:rsid w:val="004011B3"/>
    <w:rsid w:val="004018B7"/>
    <w:rsid w:val="00401A12"/>
    <w:rsid w:val="00401D58"/>
    <w:rsid w:val="00401E2A"/>
    <w:rsid w:val="00401EE4"/>
    <w:rsid w:val="00402544"/>
    <w:rsid w:val="00402563"/>
    <w:rsid w:val="004029D5"/>
    <w:rsid w:val="00402C2B"/>
    <w:rsid w:val="00403738"/>
    <w:rsid w:val="00403DB1"/>
    <w:rsid w:val="00403F94"/>
    <w:rsid w:val="0040436B"/>
    <w:rsid w:val="0040476A"/>
    <w:rsid w:val="00404A12"/>
    <w:rsid w:val="00404EEB"/>
    <w:rsid w:val="00405066"/>
    <w:rsid w:val="00406522"/>
    <w:rsid w:val="0040653C"/>
    <w:rsid w:val="004071AE"/>
    <w:rsid w:val="00407522"/>
    <w:rsid w:val="00407918"/>
    <w:rsid w:val="00407C26"/>
    <w:rsid w:val="0041031D"/>
    <w:rsid w:val="00410AC2"/>
    <w:rsid w:val="00411664"/>
    <w:rsid w:val="00411B0D"/>
    <w:rsid w:val="0041264B"/>
    <w:rsid w:val="00412941"/>
    <w:rsid w:val="00412FB0"/>
    <w:rsid w:val="004130B9"/>
    <w:rsid w:val="004131F5"/>
    <w:rsid w:val="0041363E"/>
    <w:rsid w:val="00413B66"/>
    <w:rsid w:val="00413FB4"/>
    <w:rsid w:val="004140CA"/>
    <w:rsid w:val="0041420B"/>
    <w:rsid w:val="00414C52"/>
    <w:rsid w:val="00414D61"/>
    <w:rsid w:val="00414D7D"/>
    <w:rsid w:val="00414F17"/>
    <w:rsid w:val="0041596A"/>
    <w:rsid w:val="00415F86"/>
    <w:rsid w:val="00416103"/>
    <w:rsid w:val="004167A9"/>
    <w:rsid w:val="0041699C"/>
    <w:rsid w:val="00416A5B"/>
    <w:rsid w:val="0041726B"/>
    <w:rsid w:val="004205FA"/>
    <w:rsid w:val="00420A7D"/>
    <w:rsid w:val="00420C5B"/>
    <w:rsid w:val="00420F71"/>
    <w:rsid w:val="00420FCA"/>
    <w:rsid w:val="00420FEE"/>
    <w:rsid w:val="0042163F"/>
    <w:rsid w:val="00421734"/>
    <w:rsid w:val="00421823"/>
    <w:rsid w:val="00421824"/>
    <w:rsid w:val="0042231F"/>
    <w:rsid w:val="00422381"/>
    <w:rsid w:val="0042240F"/>
    <w:rsid w:val="004230D9"/>
    <w:rsid w:val="004233DE"/>
    <w:rsid w:val="00423C4B"/>
    <w:rsid w:val="00424967"/>
    <w:rsid w:val="00424B05"/>
    <w:rsid w:val="0042533D"/>
    <w:rsid w:val="00425BA9"/>
    <w:rsid w:val="00425FB1"/>
    <w:rsid w:val="004263CB"/>
    <w:rsid w:val="00426818"/>
    <w:rsid w:val="00427057"/>
    <w:rsid w:val="004271F1"/>
    <w:rsid w:val="00427D08"/>
    <w:rsid w:val="00427E9A"/>
    <w:rsid w:val="00430B20"/>
    <w:rsid w:val="00430C52"/>
    <w:rsid w:val="00431370"/>
    <w:rsid w:val="0043163B"/>
    <w:rsid w:val="00431A10"/>
    <w:rsid w:val="00432306"/>
    <w:rsid w:val="004330FF"/>
    <w:rsid w:val="00433EEB"/>
    <w:rsid w:val="00434243"/>
    <w:rsid w:val="0043427D"/>
    <w:rsid w:val="004345BE"/>
    <w:rsid w:val="00434ACF"/>
    <w:rsid w:val="004357EF"/>
    <w:rsid w:val="00435853"/>
    <w:rsid w:val="004360B4"/>
    <w:rsid w:val="004373C0"/>
    <w:rsid w:val="004378EB"/>
    <w:rsid w:val="00437B60"/>
    <w:rsid w:val="00437E49"/>
    <w:rsid w:val="0044104C"/>
    <w:rsid w:val="00441402"/>
    <w:rsid w:val="004416F6"/>
    <w:rsid w:val="00442931"/>
    <w:rsid w:val="0044309E"/>
    <w:rsid w:val="00443683"/>
    <w:rsid w:val="004439F7"/>
    <w:rsid w:val="004440F9"/>
    <w:rsid w:val="00444201"/>
    <w:rsid w:val="0044432E"/>
    <w:rsid w:val="00444C8F"/>
    <w:rsid w:val="0044566B"/>
    <w:rsid w:val="00445C9A"/>
    <w:rsid w:val="00445E4A"/>
    <w:rsid w:val="004471E5"/>
    <w:rsid w:val="0044720E"/>
    <w:rsid w:val="00447355"/>
    <w:rsid w:val="00447A1C"/>
    <w:rsid w:val="00447E2C"/>
    <w:rsid w:val="00447F2B"/>
    <w:rsid w:val="00450F39"/>
    <w:rsid w:val="0045144E"/>
    <w:rsid w:val="004517DD"/>
    <w:rsid w:val="004518B9"/>
    <w:rsid w:val="00451C2A"/>
    <w:rsid w:val="004521E6"/>
    <w:rsid w:val="004527B6"/>
    <w:rsid w:val="004532C8"/>
    <w:rsid w:val="00453F9A"/>
    <w:rsid w:val="004557F4"/>
    <w:rsid w:val="0045584F"/>
    <w:rsid w:val="004559EA"/>
    <w:rsid w:val="00455A32"/>
    <w:rsid w:val="00456075"/>
    <w:rsid w:val="00456CEE"/>
    <w:rsid w:val="00460083"/>
    <w:rsid w:val="004601CA"/>
    <w:rsid w:val="00460FCF"/>
    <w:rsid w:val="00462AD1"/>
    <w:rsid w:val="00462C86"/>
    <w:rsid w:val="00462D54"/>
    <w:rsid w:val="00463338"/>
    <w:rsid w:val="0046379E"/>
    <w:rsid w:val="0046391C"/>
    <w:rsid w:val="00463FCD"/>
    <w:rsid w:val="00464051"/>
    <w:rsid w:val="004644A5"/>
    <w:rsid w:val="00465924"/>
    <w:rsid w:val="004663B4"/>
    <w:rsid w:val="00466CFE"/>
    <w:rsid w:val="00466F25"/>
    <w:rsid w:val="00467730"/>
    <w:rsid w:val="00467854"/>
    <w:rsid w:val="004702E1"/>
    <w:rsid w:val="004708AD"/>
    <w:rsid w:val="004712E3"/>
    <w:rsid w:val="00471B10"/>
    <w:rsid w:val="00471BDD"/>
    <w:rsid w:val="00471F64"/>
    <w:rsid w:val="00473146"/>
    <w:rsid w:val="00473447"/>
    <w:rsid w:val="00473FFF"/>
    <w:rsid w:val="00474488"/>
    <w:rsid w:val="00474FA9"/>
    <w:rsid w:val="004759B3"/>
    <w:rsid w:val="00475B00"/>
    <w:rsid w:val="00475C9C"/>
    <w:rsid w:val="00475D3C"/>
    <w:rsid w:val="00476E26"/>
    <w:rsid w:val="00476F54"/>
    <w:rsid w:val="004773A7"/>
    <w:rsid w:val="00477A6B"/>
    <w:rsid w:val="00477B70"/>
    <w:rsid w:val="00477B9F"/>
    <w:rsid w:val="00477DC2"/>
    <w:rsid w:val="004806FC"/>
    <w:rsid w:val="00480751"/>
    <w:rsid w:val="00480F18"/>
    <w:rsid w:val="004813F8"/>
    <w:rsid w:val="0048244C"/>
    <w:rsid w:val="004826AD"/>
    <w:rsid w:val="004828E5"/>
    <w:rsid w:val="004837EF"/>
    <w:rsid w:val="0048437D"/>
    <w:rsid w:val="0048489A"/>
    <w:rsid w:val="00484BC2"/>
    <w:rsid w:val="004851AB"/>
    <w:rsid w:val="004851E1"/>
    <w:rsid w:val="0048561B"/>
    <w:rsid w:val="0048563A"/>
    <w:rsid w:val="00485966"/>
    <w:rsid w:val="004860DA"/>
    <w:rsid w:val="004863F3"/>
    <w:rsid w:val="00486D7F"/>
    <w:rsid w:val="00486EB1"/>
    <w:rsid w:val="00487000"/>
    <w:rsid w:val="00487478"/>
    <w:rsid w:val="00487C66"/>
    <w:rsid w:val="00487DE0"/>
    <w:rsid w:val="00490538"/>
    <w:rsid w:val="004907BA"/>
    <w:rsid w:val="00490A9F"/>
    <w:rsid w:val="00490E7E"/>
    <w:rsid w:val="00490FA9"/>
    <w:rsid w:val="00491C26"/>
    <w:rsid w:val="00491FCF"/>
    <w:rsid w:val="00493A42"/>
    <w:rsid w:val="00494206"/>
    <w:rsid w:val="004948EB"/>
    <w:rsid w:val="00494B08"/>
    <w:rsid w:val="00494B32"/>
    <w:rsid w:val="00494C94"/>
    <w:rsid w:val="00494E9A"/>
    <w:rsid w:val="00495756"/>
    <w:rsid w:val="00496072"/>
    <w:rsid w:val="00496A0F"/>
    <w:rsid w:val="00496E9D"/>
    <w:rsid w:val="0049757B"/>
    <w:rsid w:val="00497A31"/>
    <w:rsid w:val="00497FD4"/>
    <w:rsid w:val="004A00DA"/>
    <w:rsid w:val="004A04A6"/>
    <w:rsid w:val="004A053D"/>
    <w:rsid w:val="004A055C"/>
    <w:rsid w:val="004A09C1"/>
    <w:rsid w:val="004A10F7"/>
    <w:rsid w:val="004A19BA"/>
    <w:rsid w:val="004A1E1C"/>
    <w:rsid w:val="004A213E"/>
    <w:rsid w:val="004A2192"/>
    <w:rsid w:val="004A2289"/>
    <w:rsid w:val="004A2680"/>
    <w:rsid w:val="004A28C8"/>
    <w:rsid w:val="004A296A"/>
    <w:rsid w:val="004A2983"/>
    <w:rsid w:val="004A2A34"/>
    <w:rsid w:val="004A2E94"/>
    <w:rsid w:val="004A373A"/>
    <w:rsid w:val="004A38D0"/>
    <w:rsid w:val="004A3EA4"/>
    <w:rsid w:val="004A3EB0"/>
    <w:rsid w:val="004A4339"/>
    <w:rsid w:val="004A5393"/>
    <w:rsid w:val="004A5578"/>
    <w:rsid w:val="004A5C7B"/>
    <w:rsid w:val="004A6206"/>
    <w:rsid w:val="004A62D2"/>
    <w:rsid w:val="004A6886"/>
    <w:rsid w:val="004A6AB1"/>
    <w:rsid w:val="004A72B9"/>
    <w:rsid w:val="004A75FF"/>
    <w:rsid w:val="004A7A53"/>
    <w:rsid w:val="004B14FE"/>
    <w:rsid w:val="004B20A8"/>
    <w:rsid w:val="004B22B7"/>
    <w:rsid w:val="004B23EF"/>
    <w:rsid w:val="004B2E66"/>
    <w:rsid w:val="004B3755"/>
    <w:rsid w:val="004B3858"/>
    <w:rsid w:val="004B3993"/>
    <w:rsid w:val="004B3A4D"/>
    <w:rsid w:val="004B3DC9"/>
    <w:rsid w:val="004B3DD9"/>
    <w:rsid w:val="004B3E28"/>
    <w:rsid w:val="004B4518"/>
    <w:rsid w:val="004B475B"/>
    <w:rsid w:val="004B49DE"/>
    <w:rsid w:val="004B4DF3"/>
    <w:rsid w:val="004B4E63"/>
    <w:rsid w:val="004B5081"/>
    <w:rsid w:val="004B684C"/>
    <w:rsid w:val="004B74C2"/>
    <w:rsid w:val="004B7CE0"/>
    <w:rsid w:val="004B7D08"/>
    <w:rsid w:val="004C0752"/>
    <w:rsid w:val="004C1B2A"/>
    <w:rsid w:val="004C1C10"/>
    <w:rsid w:val="004C1C26"/>
    <w:rsid w:val="004C24B3"/>
    <w:rsid w:val="004C2F07"/>
    <w:rsid w:val="004C3657"/>
    <w:rsid w:val="004C3C6F"/>
    <w:rsid w:val="004C3F27"/>
    <w:rsid w:val="004C4113"/>
    <w:rsid w:val="004C464B"/>
    <w:rsid w:val="004C49E3"/>
    <w:rsid w:val="004C4A83"/>
    <w:rsid w:val="004C569A"/>
    <w:rsid w:val="004C5926"/>
    <w:rsid w:val="004C5BE1"/>
    <w:rsid w:val="004C5CE3"/>
    <w:rsid w:val="004C5DB6"/>
    <w:rsid w:val="004C6E31"/>
    <w:rsid w:val="004C6FB9"/>
    <w:rsid w:val="004C7DC4"/>
    <w:rsid w:val="004D08B6"/>
    <w:rsid w:val="004D0C6E"/>
    <w:rsid w:val="004D0FA4"/>
    <w:rsid w:val="004D1352"/>
    <w:rsid w:val="004D212E"/>
    <w:rsid w:val="004D2337"/>
    <w:rsid w:val="004D266D"/>
    <w:rsid w:val="004D2E63"/>
    <w:rsid w:val="004D2ED4"/>
    <w:rsid w:val="004D3701"/>
    <w:rsid w:val="004D419C"/>
    <w:rsid w:val="004D4273"/>
    <w:rsid w:val="004D5607"/>
    <w:rsid w:val="004D5938"/>
    <w:rsid w:val="004D5C13"/>
    <w:rsid w:val="004D5C49"/>
    <w:rsid w:val="004D6849"/>
    <w:rsid w:val="004D6B5A"/>
    <w:rsid w:val="004D71EF"/>
    <w:rsid w:val="004D7244"/>
    <w:rsid w:val="004D7752"/>
    <w:rsid w:val="004D7BCF"/>
    <w:rsid w:val="004E02F6"/>
    <w:rsid w:val="004E1346"/>
    <w:rsid w:val="004E1476"/>
    <w:rsid w:val="004E1F77"/>
    <w:rsid w:val="004E2970"/>
    <w:rsid w:val="004E2C8F"/>
    <w:rsid w:val="004E2CF5"/>
    <w:rsid w:val="004E333D"/>
    <w:rsid w:val="004E367A"/>
    <w:rsid w:val="004E380B"/>
    <w:rsid w:val="004E3A8D"/>
    <w:rsid w:val="004E3E80"/>
    <w:rsid w:val="004E4DCF"/>
    <w:rsid w:val="004E5267"/>
    <w:rsid w:val="004E5433"/>
    <w:rsid w:val="004E59F3"/>
    <w:rsid w:val="004E678D"/>
    <w:rsid w:val="004E7CD8"/>
    <w:rsid w:val="004E7E0F"/>
    <w:rsid w:val="004F00A7"/>
    <w:rsid w:val="004F064E"/>
    <w:rsid w:val="004F0AA5"/>
    <w:rsid w:val="004F114E"/>
    <w:rsid w:val="004F18D3"/>
    <w:rsid w:val="004F22A2"/>
    <w:rsid w:val="004F3FD9"/>
    <w:rsid w:val="004F3FFB"/>
    <w:rsid w:val="004F52FB"/>
    <w:rsid w:val="004F5618"/>
    <w:rsid w:val="004F5A6D"/>
    <w:rsid w:val="004F5D62"/>
    <w:rsid w:val="004F5DC8"/>
    <w:rsid w:val="004F5E98"/>
    <w:rsid w:val="004F5F78"/>
    <w:rsid w:val="004F60DD"/>
    <w:rsid w:val="004F6139"/>
    <w:rsid w:val="004F65C9"/>
    <w:rsid w:val="004F69C7"/>
    <w:rsid w:val="004F70E9"/>
    <w:rsid w:val="004F720C"/>
    <w:rsid w:val="004F7B75"/>
    <w:rsid w:val="005004E7"/>
    <w:rsid w:val="00500903"/>
    <w:rsid w:val="00500A23"/>
    <w:rsid w:val="00500D4D"/>
    <w:rsid w:val="00501146"/>
    <w:rsid w:val="005026FC"/>
    <w:rsid w:val="00502747"/>
    <w:rsid w:val="00502B8A"/>
    <w:rsid w:val="005032D2"/>
    <w:rsid w:val="00503886"/>
    <w:rsid w:val="00503A1E"/>
    <w:rsid w:val="00503C1E"/>
    <w:rsid w:val="00504024"/>
    <w:rsid w:val="005047A6"/>
    <w:rsid w:val="0050484C"/>
    <w:rsid w:val="00504BFF"/>
    <w:rsid w:val="0050537A"/>
    <w:rsid w:val="005056F7"/>
    <w:rsid w:val="005058C1"/>
    <w:rsid w:val="00505A35"/>
    <w:rsid w:val="00506251"/>
    <w:rsid w:val="005066C5"/>
    <w:rsid w:val="005066FF"/>
    <w:rsid w:val="00506A62"/>
    <w:rsid w:val="005071FF"/>
    <w:rsid w:val="00507353"/>
    <w:rsid w:val="0050741C"/>
    <w:rsid w:val="005078FE"/>
    <w:rsid w:val="005079A9"/>
    <w:rsid w:val="00507C59"/>
    <w:rsid w:val="00507C94"/>
    <w:rsid w:val="00507FE1"/>
    <w:rsid w:val="00510644"/>
    <w:rsid w:val="00510C7F"/>
    <w:rsid w:val="00510F3B"/>
    <w:rsid w:val="00511B99"/>
    <w:rsid w:val="005122AB"/>
    <w:rsid w:val="00512694"/>
    <w:rsid w:val="00512EB4"/>
    <w:rsid w:val="00512F19"/>
    <w:rsid w:val="0051335D"/>
    <w:rsid w:val="005138F1"/>
    <w:rsid w:val="00513F91"/>
    <w:rsid w:val="00513F95"/>
    <w:rsid w:val="00513FCE"/>
    <w:rsid w:val="00515099"/>
    <w:rsid w:val="005151D9"/>
    <w:rsid w:val="00515498"/>
    <w:rsid w:val="00515704"/>
    <w:rsid w:val="0051573C"/>
    <w:rsid w:val="00515956"/>
    <w:rsid w:val="0051610E"/>
    <w:rsid w:val="00516694"/>
    <w:rsid w:val="00516EDC"/>
    <w:rsid w:val="00517BCE"/>
    <w:rsid w:val="00520118"/>
    <w:rsid w:val="00520177"/>
    <w:rsid w:val="0052052D"/>
    <w:rsid w:val="00521140"/>
    <w:rsid w:val="00521438"/>
    <w:rsid w:val="00521870"/>
    <w:rsid w:val="00522060"/>
    <w:rsid w:val="00522211"/>
    <w:rsid w:val="00522252"/>
    <w:rsid w:val="00523817"/>
    <w:rsid w:val="00523B7D"/>
    <w:rsid w:val="00523DC1"/>
    <w:rsid w:val="00524B36"/>
    <w:rsid w:val="00524C28"/>
    <w:rsid w:val="00524FB8"/>
    <w:rsid w:val="00525F65"/>
    <w:rsid w:val="005262ED"/>
    <w:rsid w:val="00526965"/>
    <w:rsid w:val="00526A44"/>
    <w:rsid w:val="005271E7"/>
    <w:rsid w:val="00527268"/>
    <w:rsid w:val="005273A4"/>
    <w:rsid w:val="00527C17"/>
    <w:rsid w:val="0053101F"/>
    <w:rsid w:val="00531B43"/>
    <w:rsid w:val="00531BF1"/>
    <w:rsid w:val="00532259"/>
    <w:rsid w:val="005324CA"/>
    <w:rsid w:val="00532583"/>
    <w:rsid w:val="0053290E"/>
    <w:rsid w:val="00532A65"/>
    <w:rsid w:val="00533C35"/>
    <w:rsid w:val="00533EFA"/>
    <w:rsid w:val="0053465A"/>
    <w:rsid w:val="00534C18"/>
    <w:rsid w:val="00534D7E"/>
    <w:rsid w:val="00535EA8"/>
    <w:rsid w:val="0053625C"/>
    <w:rsid w:val="005363AF"/>
    <w:rsid w:val="00536B4E"/>
    <w:rsid w:val="0053794A"/>
    <w:rsid w:val="00537FCD"/>
    <w:rsid w:val="005407BB"/>
    <w:rsid w:val="00540938"/>
    <w:rsid w:val="00540C43"/>
    <w:rsid w:val="00540C6A"/>
    <w:rsid w:val="0054210E"/>
    <w:rsid w:val="00542B7C"/>
    <w:rsid w:val="005432A9"/>
    <w:rsid w:val="0054341A"/>
    <w:rsid w:val="005434B8"/>
    <w:rsid w:val="00543CCE"/>
    <w:rsid w:val="005442D3"/>
    <w:rsid w:val="005443CC"/>
    <w:rsid w:val="005445DF"/>
    <w:rsid w:val="00544657"/>
    <w:rsid w:val="00545C9B"/>
    <w:rsid w:val="00545EB5"/>
    <w:rsid w:val="00546280"/>
    <w:rsid w:val="0054680C"/>
    <w:rsid w:val="005469BE"/>
    <w:rsid w:val="00547276"/>
    <w:rsid w:val="00547342"/>
    <w:rsid w:val="00547447"/>
    <w:rsid w:val="005476BD"/>
    <w:rsid w:val="00547C40"/>
    <w:rsid w:val="005503CA"/>
    <w:rsid w:val="0055054D"/>
    <w:rsid w:val="00550A33"/>
    <w:rsid w:val="0055103D"/>
    <w:rsid w:val="00551D12"/>
    <w:rsid w:val="00551E91"/>
    <w:rsid w:val="00551FC2"/>
    <w:rsid w:val="00552130"/>
    <w:rsid w:val="005526E4"/>
    <w:rsid w:val="005528C9"/>
    <w:rsid w:val="00552C72"/>
    <w:rsid w:val="00552F58"/>
    <w:rsid w:val="005531B2"/>
    <w:rsid w:val="0055374F"/>
    <w:rsid w:val="00553D25"/>
    <w:rsid w:val="00553F3D"/>
    <w:rsid w:val="0055451E"/>
    <w:rsid w:val="00554B80"/>
    <w:rsid w:val="0055593F"/>
    <w:rsid w:val="00555B82"/>
    <w:rsid w:val="0055630E"/>
    <w:rsid w:val="00556689"/>
    <w:rsid w:val="005567D5"/>
    <w:rsid w:val="00556D13"/>
    <w:rsid w:val="00556DF1"/>
    <w:rsid w:val="00556E71"/>
    <w:rsid w:val="00557610"/>
    <w:rsid w:val="00557A96"/>
    <w:rsid w:val="00557AAD"/>
    <w:rsid w:val="00557B35"/>
    <w:rsid w:val="00557BDB"/>
    <w:rsid w:val="0056055A"/>
    <w:rsid w:val="00561BB0"/>
    <w:rsid w:val="00562603"/>
    <w:rsid w:val="005626EB"/>
    <w:rsid w:val="00562F2F"/>
    <w:rsid w:val="00562F7B"/>
    <w:rsid w:val="00563434"/>
    <w:rsid w:val="00563568"/>
    <w:rsid w:val="005638A5"/>
    <w:rsid w:val="00563966"/>
    <w:rsid w:val="005642C7"/>
    <w:rsid w:val="00564D66"/>
    <w:rsid w:val="00565346"/>
    <w:rsid w:val="005657B1"/>
    <w:rsid w:val="00565D6C"/>
    <w:rsid w:val="00565DF5"/>
    <w:rsid w:val="00565E6F"/>
    <w:rsid w:val="00566FCC"/>
    <w:rsid w:val="005671DB"/>
    <w:rsid w:val="005673FA"/>
    <w:rsid w:val="0056774A"/>
    <w:rsid w:val="00567877"/>
    <w:rsid w:val="00567B7A"/>
    <w:rsid w:val="00567D18"/>
    <w:rsid w:val="0057047D"/>
    <w:rsid w:val="00570705"/>
    <w:rsid w:val="00570C5E"/>
    <w:rsid w:val="00571797"/>
    <w:rsid w:val="00571B7F"/>
    <w:rsid w:val="00572857"/>
    <w:rsid w:val="005728B9"/>
    <w:rsid w:val="00573AC1"/>
    <w:rsid w:val="00574275"/>
    <w:rsid w:val="00574BB4"/>
    <w:rsid w:val="005757B7"/>
    <w:rsid w:val="005762C0"/>
    <w:rsid w:val="00576578"/>
    <w:rsid w:val="005765B9"/>
    <w:rsid w:val="005770A7"/>
    <w:rsid w:val="005775CC"/>
    <w:rsid w:val="00577802"/>
    <w:rsid w:val="00577C1A"/>
    <w:rsid w:val="00580067"/>
    <w:rsid w:val="0058085F"/>
    <w:rsid w:val="00580984"/>
    <w:rsid w:val="00580A7F"/>
    <w:rsid w:val="00580BFE"/>
    <w:rsid w:val="00580FCD"/>
    <w:rsid w:val="00581488"/>
    <w:rsid w:val="00581DB7"/>
    <w:rsid w:val="00581F1E"/>
    <w:rsid w:val="005831B9"/>
    <w:rsid w:val="0058343A"/>
    <w:rsid w:val="0058373D"/>
    <w:rsid w:val="0058375C"/>
    <w:rsid w:val="005840BC"/>
    <w:rsid w:val="00584313"/>
    <w:rsid w:val="00584428"/>
    <w:rsid w:val="00584F88"/>
    <w:rsid w:val="0058533A"/>
    <w:rsid w:val="00585465"/>
    <w:rsid w:val="00585611"/>
    <w:rsid w:val="00586824"/>
    <w:rsid w:val="00586CAC"/>
    <w:rsid w:val="00586D39"/>
    <w:rsid w:val="00586F12"/>
    <w:rsid w:val="00586F49"/>
    <w:rsid w:val="00587773"/>
    <w:rsid w:val="0059074E"/>
    <w:rsid w:val="005907F2"/>
    <w:rsid w:val="00590DE0"/>
    <w:rsid w:val="00590E78"/>
    <w:rsid w:val="00590F10"/>
    <w:rsid w:val="00591013"/>
    <w:rsid w:val="005911D6"/>
    <w:rsid w:val="00591A9C"/>
    <w:rsid w:val="00592C9D"/>
    <w:rsid w:val="0059332A"/>
    <w:rsid w:val="00593D17"/>
    <w:rsid w:val="00593DC9"/>
    <w:rsid w:val="0059580E"/>
    <w:rsid w:val="005958BF"/>
    <w:rsid w:val="00595A61"/>
    <w:rsid w:val="00595B60"/>
    <w:rsid w:val="005963FA"/>
    <w:rsid w:val="005974F4"/>
    <w:rsid w:val="00597779"/>
    <w:rsid w:val="00597F98"/>
    <w:rsid w:val="005A0510"/>
    <w:rsid w:val="005A05DA"/>
    <w:rsid w:val="005A076E"/>
    <w:rsid w:val="005A0851"/>
    <w:rsid w:val="005A1732"/>
    <w:rsid w:val="005A1A99"/>
    <w:rsid w:val="005A1D33"/>
    <w:rsid w:val="005A25B1"/>
    <w:rsid w:val="005A27A3"/>
    <w:rsid w:val="005A2B30"/>
    <w:rsid w:val="005A2DD6"/>
    <w:rsid w:val="005A2FD2"/>
    <w:rsid w:val="005A3B57"/>
    <w:rsid w:val="005A3D6F"/>
    <w:rsid w:val="005A406A"/>
    <w:rsid w:val="005A4193"/>
    <w:rsid w:val="005A43A4"/>
    <w:rsid w:val="005A4A48"/>
    <w:rsid w:val="005A4CA0"/>
    <w:rsid w:val="005A5441"/>
    <w:rsid w:val="005A6543"/>
    <w:rsid w:val="005A6A4C"/>
    <w:rsid w:val="005A6E1D"/>
    <w:rsid w:val="005A6F5F"/>
    <w:rsid w:val="005A726B"/>
    <w:rsid w:val="005A7B81"/>
    <w:rsid w:val="005A7CB6"/>
    <w:rsid w:val="005A7CBB"/>
    <w:rsid w:val="005A7DEF"/>
    <w:rsid w:val="005B0180"/>
    <w:rsid w:val="005B02C5"/>
    <w:rsid w:val="005B03ED"/>
    <w:rsid w:val="005B041B"/>
    <w:rsid w:val="005B15BC"/>
    <w:rsid w:val="005B19C0"/>
    <w:rsid w:val="005B2099"/>
    <w:rsid w:val="005B2AD3"/>
    <w:rsid w:val="005B2F30"/>
    <w:rsid w:val="005B3010"/>
    <w:rsid w:val="005B3830"/>
    <w:rsid w:val="005B409D"/>
    <w:rsid w:val="005B4C6D"/>
    <w:rsid w:val="005B5C0D"/>
    <w:rsid w:val="005B5F94"/>
    <w:rsid w:val="005B6443"/>
    <w:rsid w:val="005B6CB3"/>
    <w:rsid w:val="005B7844"/>
    <w:rsid w:val="005B79B6"/>
    <w:rsid w:val="005C045C"/>
    <w:rsid w:val="005C077E"/>
    <w:rsid w:val="005C0D2F"/>
    <w:rsid w:val="005C121C"/>
    <w:rsid w:val="005C186E"/>
    <w:rsid w:val="005C1D4B"/>
    <w:rsid w:val="005C1E54"/>
    <w:rsid w:val="005C1EF2"/>
    <w:rsid w:val="005C2064"/>
    <w:rsid w:val="005C20BE"/>
    <w:rsid w:val="005C2B4F"/>
    <w:rsid w:val="005C416F"/>
    <w:rsid w:val="005C4286"/>
    <w:rsid w:val="005C430D"/>
    <w:rsid w:val="005C4F9A"/>
    <w:rsid w:val="005C5860"/>
    <w:rsid w:val="005C5DE2"/>
    <w:rsid w:val="005C5E94"/>
    <w:rsid w:val="005C773C"/>
    <w:rsid w:val="005C7AA3"/>
    <w:rsid w:val="005C7BA2"/>
    <w:rsid w:val="005D03CE"/>
    <w:rsid w:val="005D0587"/>
    <w:rsid w:val="005D05E6"/>
    <w:rsid w:val="005D0669"/>
    <w:rsid w:val="005D09F5"/>
    <w:rsid w:val="005D10B6"/>
    <w:rsid w:val="005D1395"/>
    <w:rsid w:val="005D13BE"/>
    <w:rsid w:val="005D171D"/>
    <w:rsid w:val="005D1990"/>
    <w:rsid w:val="005D1BB0"/>
    <w:rsid w:val="005D23CB"/>
    <w:rsid w:val="005D3C85"/>
    <w:rsid w:val="005D3DA3"/>
    <w:rsid w:val="005D3DFA"/>
    <w:rsid w:val="005D4A27"/>
    <w:rsid w:val="005D5BF4"/>
    <w:rsid w:val="005D5C0F"/>
    <w:rsid w:val="005D646F"/>
    <w:rsid w:val="005D6AC2"/>
    <w:rsid w:val="005D6ADA"/>
    <w:rsid w:val="005D77D1"/>
    <w:rsid w:val="005E03C2"/>
    <w:rsid w:val="005E0538"/>
    <w:rsid w:val="005E09FB"/>
    <w:rsid w:val="005E0A02"/>
    <w:rsid w:val="005E1AE4"/>
    <w:rsid w:val="005E1F96"/>
    <w:rsid w:val="005E265F"/>
    <w:rsid w:val="005E274D"/>
    <w:rsid w:val="005E2BCE"/>
    <w:rsid w:val="005E36D1"/>
    <w:rsid w:val="005E3917"/>
    <w:rsid w:val="005E4384"/>
    <w:rsid w:val="005E43AE"/>
    <w:rsid w:val="005E4CC2"/>
    <w:rsid w:val="005E4DC2"/>
    <w:rsid w:val="005E4F3F"/>
    <w:rsid w:val="005E4F85"/>
    <w:rsid w:val="005E6386"/>
    <w:rsid w:val="005E6415"/>
    <w:rsid w:val="005E6D6B"/>
    <w:rsid w:val="005E6FBD"/>
    <w:rsid w:val="005E72E5"/>
    <w:rsid w:val="005E7667"/>
    <w:rsid w:val="005E792C"/>
    <w:rsid w:val="005E7D6B"/>
    <w:rsid w:val="005F0026"/>
    <w:rsid w:val="005F00DD"/>
    <w:rsid w:val="005F01C4"/>
    <w:rsid w:val="005F02F4"/>
    <w:rsid w:val="005F0477"/>
    <w:rsid w:val="005F0608"/>
    <w:rsid w:val="005F0F2E"/>
    <w:rsid w:val="005F0FAC"/>
    <w:rsid w:val="005F1514"/>
    <w:rsid w:val="005F1934"/>
    <w:rsid w:val="005F1936"/>
    <w:rsid w:val="005F1F7E"/>
    <w:rsid w:val="005F34E1"/>
    <w:rsid w:val="005F3BBD"/>
    <w:rsid w:val="005F473D"/>
    <w:rsid w:val="005F4B74"/>
    <w:rsid w:val="005F5857"/>
    <w:rsid w:val="005F65F5"/>
    <w:rsid w:val="005F6914"/>
    <w:rsid w:val="005F6D2D"/>
    <w:rsid w:val="005F7A04"/>
    <w:rsid w:val="005F7CCA"/>
    <w:rsid w:val="005F7ECA"/>
    <w:rsid w:val="0060010A"/>
    <w:rsid w:val="00600192"/>
    <w:rsid w:val="006001A7"/>
    <w:rsid w:val="0060033F"/>
    <w:rsid w:val="006005F4"/>
    <w:rsid w:val="0060065C"/>
    <w:rsid w:val="00600CEA"/>
    <w:rsid w:val="006016AA"/>
    <w:rsid w:val="00601883"/>
    <w:rsid w:val="0060305C"/>
    <w:rsid w:val="0060344E"/>
    <w:rsid w:val="00603BC3"/>
    <w:rsid w:val="0060419F"/>
    <w:rsid w:val="00604931"/>
    <w:rsid w:val="00605555"/>
    <w:rsid w:val="00605A25"/>
    <w:rsid w:val="00605D6E"/>
    <w:rsid w:val="006064A0"/>
    <w:rsid w:val="00606C44"/>
    <w:rsid w:val="006076F3"/>
    <w:rsid w:val="006077F1"/>
    <w:rsid w:val="00607C65"/>
    <w:rsid w:val="00610428"/>
    <w:rsid w:val="00610A36"/>
    <w:rsid w:val="00610EC4"/>
    <w:rsid w:val="00611924"/>
    <w:rsid w:val="00611A67"/>
    <w:rsid w:val="00612D79"/>
    <w:rsid w:val="0061385F"/>
    <w:rsid w:val="0061419D"/>
    <w:rsid w:val="006143E0"/>
    <w:rsid w:val="00614554"/>
    <w:rsid w:val="00614898"/>
    <w:rsid w:val="00614FC4"/>
    <w:rsid w:val="006155B0"/>
    <w:rsid w:val="006159F7"/>
    <w:rsid w:val="00615C9A"/>
    <w:rsid w:val="0061611F"/>
    <w:rsid w:val="006174E2"/>
    <w:rsid w:val="00617B3E"/>
    <w:rsid w:val="00620094"/>
    <w:rsid w:val="00620279"/>
    <w:rsid w:val="00620EEB"/>
    <w:rsid w:val="00621EA1"/>
    <w:rsid w:val="00621F08"/>
    <w:rsid w:val="00621F9E"/>
    <w:rsid w:val="00622287"/>
    <w:rsid w:val="00622B45"/>
    <w:rsid w:val="00622C37"/>
    <w:rsid w:val="00622CDB"/>
    <w:rsid w:val="006235BD"/>
    <w:rsid w:val="00623DB1"/>
    <w:rsid w:val="00624746"/>
    <w:rsid w:val="00624BCD"/>
    <w:rsid w:val="00624E34"/>
    <w:rsid w:val="0062534D"/>
    <w:rsid w:val="006257EF"/>
    <w:rsid w:val="00625A6A"/>
    <w:rsid w:val="00625EEB"/>
    <w:rsid w:val="006261B9"/>
    <w:rsid w:val="006261D7"/>
    <w:rsid w:val="0062755A"/>
    <w:rsid w:val="00627C5E"/>
    <w:rsid w:val="00627F42"/>
    <w:rsid w:val="00630015"/>
    <w:rsid w:val="0063041F"/>
    <w:rsid w:val="00630789"/>
    <w:rsid w:val="0063080E"/>
    <w:rsid w:val="0063202D"/>
    <w:rsid w:val="00632449"/>
    <w:rsid w:val="00632DFA"/>
    <w:rsid w:val="00633078"/>
    <w:rsid w:val="006333A3"/>
    <w:rsid w:val="00633E27"/>
    <w:rsid w:val="00634600"/>
    <w:rsid w:val="00634719"/>
    <w:rsid w:val="00634893"/>
    <w:rsid w:val="00634BFD"/>
    <w:rsid w:val="00634F9D"/>
    <w:rsid w:val="006355BD"/>
    <w:rsid w:val="00635868"/>
    <w:rsid w:val="006361A7"/>
    <w:rsid w:val="006365FD"/>
    <w:rsid w:val="0063681C"/>
    <w:rsid w:val="00636BBD"/>
    <w:rsid w:val="00636EB2"/>
    <w:rsid w:val="00636FA4"/>
    <w:rsid w:val="00637E47"/>
    <w:rsid w:val="00637F7C"/>
    <w:rsid w:val="006407F8"/>
    <w:rsid w:val="006408A9"/>
    <w:rsid w:val="00640F6B"/>
    <w:rsid w:val="006412CE"/>
    <w:rsid w:val="00641874"/>
    <w:rsid w:val="00641EAD"/>
    <w:rsid w:val="00641EB7"/>
    <w:rsid w:val="00642C69"/>
    <w:rsid w:val="00642E23"/>
    <w:rsid w:val="00643106"/>
    <w:rsid w:val="00643298"/>
    <w:rsid w:val="00643348"/>
    <w:rsid w:val="00644059"/>
    <w:rsid w:val="00644731"/>
    <w:rsid w:val="00644A96"/>
    <w:rsid w:val="00645558"/>
    <w:rsid w:val="006456D1"/>
    <w:rsid w:val="006456FE"/>
    <w:rsid w:val="00645D09"/>
    <w:rsid w:val="00645D73"/>
    <w:rsid w:val="00645FC1"/>
    <w:rsid w:val="0064626E"/>
    <w:rsid w:val="00646D6C"/>
    <w:rsid w:val="006472DC"/>
    <w:rsid w:val="006475FF"/>
    <w:rsid w:val="00647D30"/>
    <w:rsid w:val="0065059B"/>
    <w:rsid w:val="00650A9E"/>
    <w:rsid w:val="00650CE2"/>
    <w:rsid w:val="00651574"/>
    <w:rsid w:val="00651589"/>
    <w:rsid w:val="00652280"/>
    <w:rsid w:val="0065258E"/>
    <w:rsid w:val="006527B7"/>
    <w:rsid w:val="00652879"/>
    <w:rsid w:val="006533A3"/>
    <w:rsid w:val="00653695"/>
    <w:rsid w:val="00653875"/>
    <w:rsid w:val="00653C3B"/>
    <w:rsid w:val="00653D2B"/>
    <w:rsid w:val="00653F25"/>
    <w:rsid w:val="0065480E"/>
    <w:rsid w:val="00654A2D"/>
    <w:rsid w:val="00654F06"/>
    <w:rsid w:val="006554D7"/>
    <w:rsid w:val="00655EBC"/>
    <w:rsid w:val="006563FA"/>
    <w:rsid w:val="00656669"/>
    <w:rsid w:val="006568AA"/>
    <w:rsid w:val="006568D8"/>
    <w:rsid w:val="00656D7A"/>
    <w:rsid w:val="00656F80"/>
    <w:rsid w:val="00657B5F"/>
    <w:rsid w:val="00657C16"/>
    <w:rsid w:val="00657CBB"/>
    <w:rsid w:val="006601A5"/>
    <w:rsid w:val="00660BFE"/>
    <w:rsid w:val="00660C91"/>
    <w:rsid w:val="006615F6"/>
    <w:rsid w:val="006617D7"/>
    <w:rsid w:val="00662927"/>
    <w:rsid w:val="006632EE"/>
    <w:rsid w:val="00663799"/>
    <w:rsid w:val="006639BA"/>
    <w:rsid w:val="00663BA9"/>
    <w:rsid w:val="00663D86"/>
    <w:rsid w:val="00663D8A"/>
    <w:rsid w:val="00663F23"/>
    <w:rsid w:val="006643E0"/>
    <w:rsid w:val="00664B7D"/>
    <w:rsid w:val="00664E17"/>
    <w:rsid w:val="00664F1B"/>
    <w:rsid w:val="00665411"/>
    <w:rsid w:val="00665963"/>
    <w:rsid w:val="00665A4E"/>
    <w:rsid w:val="00665B60"/>
    <w:rsid w:val="00666F92"/>
    <w:rsid w:val="00667795"/>
    <w:rsid w:val="006679CA"/>
    <w:rsid w:val="00667E03"/>
    <w:rsid w:val="00667EBD"/>
    <w:rsid w:val="00671024"/>
    <w:rsid w:val="00671A90"/>
    <w:rsid w:val="006737C8"/>
    <w:rsid w:val="00673AB8"/>
    <w:rsid w:val="006747BE"/>
    <w:rsid w:val="006751B0"/>
    <w:rsid w:val="0067521E"/>
    <w:rsid w:val="0067578A"/>
    <w:rsid w:val="00676529"/>
    <w:rsid w:val="0067679B"/>
    <w:rsid w:val="006769F7"/>
    <w:rsid w:val="00676AC6"/>
    <w:rsid w:val="00677258"/>
    <w:rsid w:val="0067788F"/>
    <w:rsid w:val="00677D7C"/>
    <w:rsid w:val="00677EBB"/>
    <w:rsid w:val="00680434"/>
    <w:rsid w:val="00680768"/>
    <w:rsid w:val="00680957"/>
    <w:rsid w:val="00681ABF"/>
    <w:rsid w:val="00681AF0"/>
    <w:rsid w:val="00681D1C"/>
    <w:rsid w:val="00681E91"/>
    <w:rsid w:val="00682C4E"/>
    <w:rsid w:val="00682CB8"/>
    <w:rsid w:val="00682D05"/>
    <w:rsid w:val="0068358A"/>
    <w:rsid w:val="00683B9B"/>
    <w:rsid w:val="00683FFE"/>
    <w:rsid w:val="00684163"/>
    <w:rsid w:val="006845F6"/>
    <w:rsid w:val="0068478C"/>
    <w:rsid w:val="00684E9B"/>
    <w:rsid w:val="0068502C"/>
    <w:rsid w:val="006856AF"/>
    <w:rsid w:val="006857BB"/>
    <w:rsid w:val="0068650F"/>
    <w:rsid w:val="006870B7"/>
    <w:rsid w:val="0069037D"/>
    <w:rsid w:val="00690A46"/>
    <w:rsid w:val="00690F94"/>
    <w:rsid w:val="006912DA"/>
    <w:rsid w:val="00691AEB"/>
    <w:rsid w:val="00691B4A"/>
    <w:rsid w:val="00691FC4"/>
    <w:rsid w:val="0069201B"/>
    <w:rsid w:val="00692105"/>
    <w:rsid w:val="006924A5"/>
    <w:rsid w:val="0069263D"/>
    <w:rsid w:val="00692C31"/>
    <w:rsid w:val="00692CAD"/>
    <w:rsid w:val="00693104"/>
    <w:rsid w:val="006934AE"/>
    <w:rsid w:val="006934CA"/>
    <w:rsid w:val="00693852"/>
    <w:rsid w:val="00694006"/>
    <w:rsid w:val="00694030"/>
    <w:rsid w:val="0069436D"/>
    <w:rsid w:val="0069454B"/>
    <w:rsid w:val="00694785"/>
    <w:rsid w:val="00694F00"/>
    <w:rsid w:val="00695778"/>
    <w:rsid w:val="00695870"/>
    <w:rsid w:val="00695971"/>
    <w:rsid w:val="00696A5E"/>
    <w:rsid w:val="00696B78"/>
    <w:rsid w:val="00696EAA"/>
    <w:rsid w:val="0069753A"/>
    <w:rsid w:val="00697B4C"/>
    <w:rsid w:val="006A0C4B"/>
    <w:rsid w:val="006A0F97"/>
    <w:rsid w:val="006A0FC2"/>
    <w:rsid w:val="006A121E"/>
    <w:rsid w:val="006A1223"/>
    <w:rsid w:val="006A179B"/>
    <w:rsid w:val="006A1FB8"/>
    <w:rsid w:val="006A287A"/>
    <w:rsid w:val="006A2B22"/>
    <w:rsid w:val="006A2C5F"/>
    <w:rsid w:val="006A3102"/>
    <w:rsid w:val="006A3156"/>
    <w:rsid w:val="006A3292"/>
    <w:rsid w:val="006A32A8"/>
    <w:rsid w:val="006A3533"/>
    <w:rsid w:val="006A3A2D"/>
    <w:rsid w:val="006A4671"/>
    <w:rsid w:val="006A480B"/>
    <w:rsid w:val="006A4815"/>
    <w:rsid w:val="006A4AE9"/>
    <w:rsid w:val="006A58FB"/>
    <w:rsid w:val="006A6278"/>
    <w:rsid w:val="006A74A8"/>
    <w:rsid w:val="006A769A"/>
    <w:rsid w:val="006B0589"/>
    <w:rsid w:val="006B12F6"/>
    <w:rsid w:val="006B1580"/>
    <w:rsid w:val="006B2206"/>
    <w:rsid w:val="006B2240"/>
    <w:rsid w:val="006B2662"/>
    <w:rsid w:val="006B32A1"/>
    <w:rsid w:val="006B34D9"/>
    <w:rsid w:val="006B3592"/>
    <w:rsid w:val="006B35B8"/>
    <w:rsid w:val="006B36DF"/>
    <w:rsid w:val="006B4499"/>
    <w:rsid w:val="006B46CB"/>
    <w:rsid w:val="006B5999"/>
    <w:rsid w:val="006B5ED7"/>
    <w:rsid w:val="006B606D"/>
    <w:rsid w:val="006B6BA4"/>
    <w:rsid w:val="006B6F53"/>
    <w:rsid w:val="006B7168"/>
    <w:rsid w:val="006B7712"/>
    <w:rsid w:val="006C0112"/>
    <w:rsid w:val="006C0357"/>
    <w:rsid w:val="006C0452"/>
    <w:rsid w:val="006C0813"/>
    <w:rsid w:val="006C114A"/>
    <w:rsid w:val="006C1197"/>
    <w:rsid w:val="006C1494"/>
    <w:rsid w:val="006C1675"/>
    <w:rsid w:val="006C1DD2"/>
    <w:rsid w:val="006C1FC1"/>
    <w:rsid w:val="006C254A"/>
    <w:rsid w:val="006C280C"/>
    <w:rsid w:val="006C287E"/>
    <w:rsid w:val="006C2942"/>
    <w:rsid w:val="006C353C"/>
    <w:rsid w:val="006C393D"/>
    <w:rsid w:val="006C3E1F"/>
    <w:rsid w:val="006C4261"/>
    <w:rsid w:val="006C4809"/>
    <w:rsid w:val="006C4A90"/>
    <w:rsid w:val="006C5A07"/>
    <w:rsid w:val="006C6937"/>
    <w:rsid w:val="006C6B6F"/>
    <w:rsid w:val="006C6DDC"/>
    <w:rsid w:val="006C6E2C"/>
    <w:rsid w:val="006C78D7"/>
    <w:rsid w:val="006C7990"/>
    <w:rsid w:val="006D0128"/>
    <w:rsid w:val="006D05BF"/>
    <w:rsid w:val="006D0B8B"/>
    <w:rsid w:val="006D1990"/>
    <w:rsid w:val="006D1B7A"/>
    <w:rsid w:val="006D1C1C"/>
    <w:rsid w:val="006D1DC6"/>
    <w:rsid w:val="006D2A65"/>
    <w:rsid w:val="006D2E37"/>
    <w:rsid w:val="006D2E8F"/>
    <w:rsid w:val="006D33A9"/>
    <w:rsid w:val="006D35B2"/>
    <w:rsid w:val="006D38F9"/>
    <w:rsid w:val="006D3DCE"/>
    <w:rsid w:val="006D3E30"/>
    <w:rsid w:val="006D4217"/>
    <w:rsid w:val="006D440A"/>
    <w:rsid w:val="006D4546"/>
    <w:rsid w:val="006D4A4D"/>
    <w:rsid w:val="006D4C4D"/>
    <w:rsid w:val="006D5C88"/>
    <w:rsid w:val="006D62B6"/>
    <w:rsid w:val="006D6548"/>
    <w:rsid w:val="006D6F4C"/>
    <w:rsid w:val="006D70B8"/>
    <w:rsid w:val="006D77D9"/>
    <w:rsid w:val="006D7B97"/>
    <w:rsid w:val="006D7CF5"/>
    <w:rsid w:val="006E0E39"/>
    <w:rsid w:val="006E0E7D"/>
    <w:rsid w:val="006E0FC8"/>
    <w:rsid w:val="006E3193"/>
    <w:rsid w:val="006E3E42"/>
    <w:rsid w:val="006E41DC"/>
    <w:rsid w:val="006E42FB"/>
    <w:rsid w:val="006E49BF"/>
    <w:rsid w:val="006E4E5D"/>
    <w:rsid w:val="006E4EE2"/>
    <w:rsid w:val="006E4F41"/>
    <w:rsid w:val="006E5311"/>
    <w:rsid w:val="006E53AA"/>
    <w:rsid w:val="006E5EEB"/>
    <w:rsid w:val="006E6A6F"/>
    <w:rsid w:val="006E7DD4"/>
    <w:rsid w:val="006E7F46"/>
    <w:rsid w:val="006F00AF"/>
    <w:rsid w:val="006F0632"/>
    <w:rsid w:val="006F1425"/>
    <w:rsid w:val="006F14C6"/>
    <w:rsid w:val="006F1CDA"/>
    <w:rsid w:val="006F3400"/>
    <w:rsid w:val="006F43E2"/>
    <w:rsid w:val="006F4DE5"/>
    <w:rsid w:val="006F5761"/>
    <w:rsid w:val="006F67ED"/>
    <w:rsid w:val="006F7180"/>
    <w:rsid w:val="006F73CD"/>
    <w:rsid w:val="006F74D8"/>
    <w:rsid w:val="006F79B7"/>
    <w:rsid w:val="006F7AA5"/>
    <w:rsid w:val="006F7E53"/>
    <w:rsid w:val="007000F8"/>
    <w:rsid w:val="00700920"/>
    <w:rsid w:val="00700C3F"/>
    <w:rsid w:val="00700C87"/>
    <w:rsid w:val="0070111C"/>
    <w:rsid w:val="007015FA"/>
    <w:rsid w:val="00701B2B"/>
    <w:rsid w:val="00701D55"/>
    <w:rsid w:val="00702304"/>
    <w:rsid w:val="00702C6C"/>
    <w:rsid w:val="00702DF8"/>
    <w:rsid w:val="00703119"/>
    <w:rsid w:val="007034F4"/>
    <w:rsid w:val="00704427"/>
    <w:rsid w:val="00704535"/>
    <w:rsid w:val="007047DC"/>
    <w:rsid w:val="00704D72"/>
    <w:rsid w:val="00705263"/>
    <w:rsid w:val="00705482"/>
    <w:rsid w:val="0070581C"/>
    <w:rsid w:val="00705F78"/>
    <w:rsid w:val="0070685C"/>
    <w:rsid w:val="007068F5"/>
    <w:rsid w:val="00707378"/>
    <w:rsid w:val="00707441"/>
    <w:rsid w:val="00707B37"/>
    <w:rsid w:val="00710BF8"/>
    <w:rsid w:val="00711C29"/>
    <w:rsid w:val="00711DC6"/>
    <w:rsid w:val="007122E0"/>
    <w:rsid w:val="00713A07"/>
    <w:rsid w:val="00713BD9"/>
    <w:rsid w:val="0071414A"/>
    <w:rsid w:val="00714AD4"/>
    <w:rsid w:val="00715055"/>
    <w:rsid w:val="00715649"/>
    <w:rsid w:val="007167F3"/>
    <w:rsid w:val="00716C06"/>
    <w:rsid w:val="007171BC"/>
    <w:rsid w:val="00717A14"/>
    <w:rsid w:val="00717D8B"/>
    <w:rsid w:val="007209BD"/>
    <w:rsid w:val="00721480"/>
    <w:rsid w:val="007217C0"/>
    <w:rsid w:val="0072192D"/>
    <w:rsid w:val="00721BC7"/>
    <w:rsid w:val="00722E39"/>
    <w:rsid w:val="0072305B"/>
    <w:rsid w:val="0072341E"/>
    <w:rsid w:val="0072405A"/>
    <w:rsid w:val="00724425"/>
    <w:rsid w:val="0072449F"/>
    <w:rsid w:val="00724507"/>
    <w:rsid w:val="00724816"/>
    <w:rsid w:val="00724A3C"/>
    <w:rsid w:val="00724C3A"/>
    <w:rsid w:val="007252BC"/>
    <w:rsid w:val="00725570"/>
    <w:rsid w:val="00726254"/>
    <w:rsid w:val="007267D5"/>
    <w:rsid w:val="00726AF2"/>
    <w:rsid w:val="0072737A"/>
    <w:rsid w:val="00727D3F"/>
    <w:rsid w:val="00730375"/>
    <w:rsid w:val="00730A53"/>
    <w:rsid w:val="0073163F"/>
    <w:rsid w:val="0073266A"/>
    <w:rsid w:val="007327F7"/>
    <w:rsid w:val="007327FA"/>
    <w:rsid w:val="00732F3E"/>
    <w:rsid w:val="00733FCF"/>
    <w:rsid w:val="007342A5"/>
    <w:rsid w:val="0073701D"/>
    <w:rsid w:val="0073708F"/>
    <w:rsid w:val="0073795D"/>
    <w:rsid w:val="0074004B"/>
    <w:rsid w:val="0074131F"/>
    <w:rsid w:val="00741A5E"/>
    <w:rsid w:val="00741C1A"/>
    <w:rsid w:val="00741CC0"/>
    <w:rsid w:val="00741E1E"/>
    <w:rsid w:val="00741F48"/>
    <w:rsid w:val="007432A9"/>
    <w:rsid w:val="00743461"/>
    <w:rsid w:val="00743559"/>
    <w:rsid w:val="00743D5C"/>
    <w:rsid w:val="007447D5"/>
    <w:rsid w:val="00744DD9"/>
    <w:rsid w:val="00745068"/>
    <w:rsid w:val="0074527D"/>
    <w:rsid w:val="0074588A"/>
    <w:rsid w:val="007458AE"/>
    <w:rsid w:val="00745E9E"/>
    <w:rsid w:val="00745F50"/>
    <w:rsid w:val="00746511"/>
    <w:rsid w:val="00746BED"/>
    <w:rsid w:val="00747677"/>
    <w:rsid w:val="007510EF"/>
    <w:rsid w:val="00751503"/>
    <w:rsid w:val="00751A8D"/>
    <w:rsid w:val="00751AC0"/>
    <w:rsid w:val="00751CAF"/>
    <w:rsid w:val="00752E55"/>
    <w:rsid w:val="00753019"/>
    <w:rsid w:val="007531B4"/>
    <w:rsid w:val="00753603"/>
    <w:rsid w:val="00753894"/>
    <w:rsid w:val="00753B08"/>
    <w:rsid w:val="00753C0A"/>
    <w:rsid w:val="0075400C"/>
    <w:rsid w:val="007547E9"/>
    <w:rsid w:val="007548C7"/>
    <w:rsid w:val="00754C07"/>
    <w:rsid w:val="00754CF2"/>
    <w:rsid w:val="00754E9C"/>
    <w:rsid w:val="00755153"/>
    <w:rsid w:val="007554EF"/>
    <w:rsid w:val="00755F34"/>
    <w:rsid w:val="007565A7"/>
    <w:rsid w:val="007566FD"/>
    <w:rsid w:val="00756C3C"/>
    <w:rsid w:val="00756E5A"/>
    <w:rsid w:val="00756EBC"/>
    <w:rsid w:val="00756F47"/>
    <w:rsid w:val="00760CE2"/>
    <w:rsid w:val="007614AB"/>
    <w:rsid w:val="0076164C"/>
    <w:rsid w:val="0076173A"/>
    <w:rsid w:val="007618C1"/>
    <w:rsid w:val="00762406"/>
    <w:rsid w:val="007624D2"/>
    <w:rsid w:val="007627A6"/>
    <w:rsid w:val="00762832"/>
    <w:rsid w:val="00762E8E"/>
    <w:rsid w:val="00762F42"/>
    <w:rsid w:val="00763148"/>
    <w:rsid w:val="00764371"/>
    <w:rsid w:val="00764916"/>
    <w:rsid w:val="0076507A"/>
    <w:rsid w:val="007651A9"/>
    <w:rsid w:val="007657FD"/>
    <w:rsid w:val="0076646E"/>
    <w:rsid w:val="007668AC"/>
    <w:rsid w:val="00766AD5"/>
    <w:rsid w:val="00766FEC"/>
    <w:rsid w:val="0076784D"/>
    <w:rsid w:val="007678FA"/>
    <w:rsid w:val="007678FC"/>
    <w:rsid w:val="00767C37"/>
    <w:rsid w:val="007702E0"/>
    <w:rsid w:val="0077034D"/>
    <w:rsid w:val="007703C7"/>
    <w:rsid w:val="007705BB"/>
    <w:rsid w:val="007705F6"/>
    <w:rsid w:val="007711AE"/>
    <w:rsid w:val="00773183"/>
    <w:rsid w:val="00773B72"/>
    <w:rsid w:val="00773BFE"/>
    <w:rsid w:val="00774760"/>
    <w:rsid w:val="00774D69"/>
    <w:rsid w:val="00775E22"/>
    <w:rsid w:val="00781730"/>
    <w:rsid w:val="00781C8A"/>
    <w:rsid w:val="00782049"/>
    <w:rsid w:val="00782AC2"/>
    <w:rsid w:val="0078350E"/>
    <w:rsid w:val="00783C92"/>
    <w:rsid w:val="00783E23"/>
    <w:rsid w:val="007847E2"/>
    <w:rsid w:val="00784A16"/>
    <w:rsid w:val="00784ABD"/>
    <w:rsid w:val="00784F92"/>
    <w:rsid w:val="00785109"/>
    <w:rsid w:val="00786250"/>
    <w:rsid w:val="0078646B"/>
    <w:rsid w:val="00786AD9"/>
    <w:rsid w:val="00786BB6"/>
    <w:rsid w:val="00787257"/>
    <w:rsid w:val="00787539"/>
    <w:rsid w:val="00787DEE"/>
    <w:rsid w:val="00787FB3"/>
    <w:rsid w:val="00790196"/>
    <w:rsid w:val="007907FE"/>
    <w:rsid w:val="00790BB1"/>
    <w:rsid w:val="00790DA5"/>
    <w:rsid w:val="00790F92"/>
    <w:rsid w:val="00791275"/>
    <w:rsid w:val="007913DD"/>
    <w:rsid w:val="007915B5"/>
    <w:rsid w:val="0079161E"/>
    <w:rsid w:val="007919CF"/>
    <w:rsid w:val="00791C48"/>
    <w:rsid w:val="00792371"/>
    <w:rsid w:val="00792F0C"/>
    <w:rsid w:val="0079332A"/>
    <w:rsid w:val="00793BE1"/>
    <w:rsid w:val="00793CD0"/>
    <w:rsid w:val="00794D76"/>
    <w:rsid w:val="00794EB2"/>
    <w:rsid w:val="00794FB9"/>
    <w:rsid w:val="00795427"/>
    <w:rsid w:val="00795687"/>
    <w:rsid w:val="007956D2"/>
    <w:rsid w:val="00795759"/>
    <w:rsid w:val="007957F0"/>
    <w:rsid w:val="007959F2"/>
    <w:rsid w:val="00795D31"/>
    <w:rsid w:val="007962BB"/>
    <w:rsid w:val="007965B7"/>
    <w:rsid w:val="0079677F"/>
    <w:rsid w:val="007971A3"/>
    <w:rsid w:val="007975E8"/>
    <w:rsid w:val="0079776F"/>
    <w:rsid w:val="007979E5"/>
    <w:rsid w:val="00797F27"/>
    <w:rsid w:val="007A11DE"/>
    <w:rsid w:val="007A142F"/>
    <w:rsid w:val="007A1F04"/>
    <w:rsid w:val="007A20C1"/>
    <w:rsid w:val="007A2180"/>
    <w:rsid w:val="007A227B"/>
    <w:rsid w:val="007A2FB3"/>
    <w:rsid w:val="007A3654"/>
    <w:rsid w:val="007A408F"/>
    <w:rsid w:val="007A5EFE"/>
    <w:rsid w:val="007A644C"/>
    <w:rsid w:val="007A6F51"/>
    <w:rsid w:val="007B0208"/>
    <w:rsid w:val="007B145D"/>
    <w:rsid w:val="007B2849"/>
    <w:rsid w:val="007B2B2A"/>
    <w:rsid w:val="007B3566"/>
    <w:rsid w:val="007B3B6C"/>
    <w:rsid w:val="007B433B"/>
    <w:rsid w:val="007B44D7"/>
    <w:rsid w:val="007B4972"/>
    <w:rsid w:val="007B598A"/>
    <w:rsid w:val="007B6142"/>
    <w:rsid w:val="007B636F"/>
    <w:rsid w:val="007B63B1"/>
    <w:rsid w:val="007B6464"/>
    <w:rsid w:val="007B66E9"/>
    <w:rsid w:val="007B6DCB"/>
    <w:rsid w:val="007B72F1"/>
    <w:rsid w:val="007B7432"/>
    <w:rsid w:val="007B7617"/>
    <w:rsid w:val="007C0066"/>
    <w:rsid w:val="007C019E"/>
    <w:rsid w:val="007C03F1"/>
    <w:rsid w:val="007C07DC"/>
    <w:rsid w:val="007C0824"/>
    <w:rsid w:val="007C0CBB"/>
    <w:rsid w:val="007C0EC1"/>
    <w:rsid w:val="007C0F2E"/>
    <w:rsid w:val="007C12FD"/>
    <w:rsid w:val="007C1C94"/>
    <w:rsid w:val="007C1CBD"/>
    <w:rsid w:val="007C1F7C"/>
    <w:rsid w:val="007C3BF7"/>
    <w:rsid w:val="007C3FC9"/>
    <w:rsid w:val="007C4186"/>
    <w:rsid w:val="007C4836"/>
    <w:rsid w:val="007C4E17"/>
    <w:rsid w:val="007C4E9F"/>
    <w:rsid w:val="007C61D5"/>
    <w:rsid w:val="007C6C94"/>
    <w:rsid w:val="007C6EC3"/>
    <w:rsid w:val="007C723A"/>
    <w:rsid w:val="007D0679"/>
    <w:rsid w:val="007D083E"/>
    <w:rsid w:val="007D0A92"/>
    <w:rsid w:val="007D17A5"/>
    <w:rsid w:val="007D1926"/>
    <w:rsid w:val="007D1D14"/>
    <w:rsid w:val="007D1DEE"/>
    <w:rsid w:val="007D26E7"/>
    <w:rsid w:val="007D2A90"/>
    <w:rsid w:val="007D2FEE"/>
    <w:rsid w:val="007D3CD7"/>
    <w:rsid w:val="007D4678"/>
    <w:rsid w:val="007D5998"/>
    <w:rsid w:val="007D5AEF"/>
    <w:rsid w:val="007D6C24"/>
    <w:rsid w:val="007D7B86"/>
    <w:rsid w:val="007D7C8A"/>
    <w:rsid w:val="007E03DE"/>
    <w:rsid w:val="007E07F0"/>
    <w:rsid w:val="007E109D"/>
    <w:rsid w:val="007E155A"/>
    <w:rsid w:val="007E1A51"/>
    <w:rsid w:val="007E1EE6"/>
    <w:rsid w:val="007E1F49"/>
    <w:rsid w:val="007E2223"/>
    <w:rsid w:val="007E2232"/>
    <w:rsid w:val="007E2A32"/>
    <w:rsid w:val="007E2EED"/>
    <w:rsid w:val="007E2F8C"/>
    <w:rsid w:val="007E301F"/>
    <w:rsid w:val="007E4093"/>
    <w:rsid w:val="007E44BE"/>
    <w:rsid w:val="007E46F8"/>
    <w:rsid w:val="007E4841"/>
    <w:rsid w:val="007E5499"/>
    <w:rsid w:val="007E5F3F"/>
    <w:rsid w:val="007E639F"/>
    <w:rsid w:val="007E673E"/>
    <w:rsid w:val="007E6A3C"/>
    <w:rsid w:val="007E7A72"/>
    <w:rsid w:val="007E7F4F"/>
    <w:rsid w:val="007F0008"/>
    <w:rsid w:val="007F00E7"/>
    <w:rsid w:val="007F063C"/>
    <w:rsid w:val="007F0BE6"/>
    <w:rsid w:val="007F1984"/>
    <w:rsid w:val="007F1F21"/>
    <w:rsid w:val="007F2890"/>
    <w:rsid w:val="007F295C"/>
    <w:rsid w:val="007F328F"/>
    <w:rsid w:val="007F3BC3"/>
    <w:rsid w:val="007F3D2A"/>
    <w:rsid w:val="007F3E31"/>
    <w:rsid w:val="007F3ED1"/>
    <w:rsid w:val="007F43CA"/>
    <w:rsid w:val="007F4D05"/>
    <w:rsid w:val="007F55A4"/>
    <w:rsid w:val="007F55CC"/>
    <w:rsid w:val="007F6702"/>
    <w:rsid w:val="007F7140"/>
    <w:rsid w:val="007F79C9"/>
    <w:rsid w:val="007F7BCB"/>
    <w:rsid w:val="00800ABD"/>
    <w:rsid w:val="00801046"/>
    <w:rsid w:val="008026C4"/>
    <w:rsid w:val="008028F2"/>
    <w:rsid w:val="008032E9"/>
    <w:rsid w:val="008035FD"/>
    <w:rsid w:val="00803727"/>
    <w:rsid w:val="00803D81"/>
    <w:rsid w:val="008041BA"/>
    <w:rsid w:val="00804CCE"/>
    <w:rsid w:val="00804DDE"/>
    <w:rsid w:val="00805147"/>
    <w:rsid w:val="0080542B"/>
    <w:rsid w:val="0080590A"/>
    <w:rsid w:val="00805A85"/>
    <w:rsid w:val="008062D6"/>
    <w:rsid w:val="00806728"/>
    <w:rsid w:val="00807402"/>
    <w:rsid w:val="00810594"/>
    <w:rsid w:val="00811499"/>
    <w:rsid w:val="00811A2E"/>
    <w:rsid w:val="00811F0C"/>
    <w:rsid w:val="00811F9F"/>
    <w:rsid w:val="008121F8"/>
    <w:rsid w:val="008127D9"/>
    <w:rsid w:val="00812CE7"/>
    <w:rsid w:val="0081317B"/>
    <w:rsid w:val="008137FA"/>
    <w:rsid w:val="00813E6E"/>
    <w:rsid w:val="0081402F"/>
    <w:rsid w:val="00814646"/>
    <w:rsid w:val="0081518C"/>
    <w:rsid w:val="008155CE"/>
    <w:rsid w:val="00815C3E"/>
    <w:rsid w:val="00815DEF"/>
    <w:rsid w:val="008165C6"/>
    <w:rsid w:val="00816C1A"/>
    <w:rsid w:val="00816F68"/>
    <w:rsid w:val="008172AE"/>
    <w:rsid w:val="008179C3"/>
    <w:rsid w:val="00817EF8"/>
    <w:rsid w:val="00820891"/>
    <w:rsid w:val="00820A80"/>
    <w:rsid w:val="00820B3B"/>
    <w:rsid w:val="00820BC2"/>
    <w:rsid w:val="00820F5D"/>
    <w:rsid w:val="00821A17"/>
    <w:rsid w:val="00822161"/>
    <w:rsid w:val="00822FA0"/>
    <w:rsid w:val="00822FB4"/>
    <w:rsid w:val="00823456"/>
    <w:rsid w:val="00823A3C"/>
    <w:rsid w:val="00824454"/>
    <w:rsid w:val="008244A5"/>
    <w:rsid w:val="00824C83"/>
    <w:rsid w:val="00824E07"/>
    <w:rsid w:val="008253FB"/>
    <w:rsid w:val="008259EC"/>
    <w:rsid w:val="008260A6"/>
    <w:rsid w:val="00826786"/>
    <w:rsid w:val="0082680B"/>
    <w:rsid w:val="0082711B"/>
    <w:rsid w:val="00827405"/>
    <w:rsid w:val="008276B5"/>
    <w:rsid w:val="00827855"/>
    <w:rsid w:val="00827C0F"/>
    <w:rsid w:val="00827CFC"/>
    <w:rsid w:val="00827D30"/>
    <w:rsid w:val="008301F3"/>
    <w:rsid w:val="00830784"/>
    <w:rsid w:val="008309B6"/>
    <w:rsid w:val="00831184"/>
    <w:rsid w:val="0083231E"/>
    <w:rsid w:val="00832A8C"/>
    <w:rsid w:val="00832BD2"/>
    <w:rsid w:val="0083368F"/>
    <w:rsid w:val="00833A82"/>
    <w:rsid w:val="008340AC"/>
    <w:rsid w:val="00834195"/>
    <w:rsid w:val="0083438D"/>
    <w:rsid w:val="00834C30"/>
    <w:rsid w:val="00835076"/>
    <w:rsid w:val="00835280"/>
    <w:rsid w:val="008355C1"/>
    <w:rsid w:val="008378C8"/>
    <w:rsid w:val="0083794D"/>
    <w:rsid w:val="00837E21"/>
    <w:rsid w:val="00837F0D"/>
    <w:rsid w:val="0084028E"/>
    <w:rsid w:val="00840358"/>
    <w:rsid w:val="008403B8"/>
    <w:rsid w:val="0084078E"/>
    <w:rsid w:val="00840DE9"/>
    <w:rsid w:val="0084154B"/>
    <w:rsid w:val="0084170C"/>
    <w:rsid w:val="00841C46"/>
    <w:rsid w:val="00842B9B"/>
    <w:rsid w:val="00842CD4"/>
    <w:rsid w:val="00843852"/>
    <w:rsid w:val="00843C9F"/>
    <w:rsid w:val="00844EC4"/>
    <w:rsid w:val="00845148"/>
    <w:rsid w:val="00845CC1"/>
    <w:rsid w:val="0084605F"/>
    <w:rsid w:val="00846409"/>
    <w:rsid w:val="00847186"/>
    <w:rsid w:val="00847316"/>
    <w:rsid w:val="008505D7"/>
    <w:rsid w:val="00850D66"/>
    <w:rsid w:val="0085114E"/>
    <w:rsid w:val="0085130D"/>
    <w:rsid w:val="008517B1"/>
    <w:rsid w:val="00851D06"/>
    <w:rsid w:val="00852669"/>
    <w:rsid w:val="00852ABB"/>
    <w:rsid w:val="00852B4A"/>
    <w:rsid w:val="00852CB8"/>
    <w:rsid w:val="00853057"/>
    <w:rsid w:val="008530B9"/>
    <w:rsid w:val="00853C63"/>
    <w:rsid w:val="00853F60"/>
    <w:rsid w:val="00854496"/>
    <w:rsid w:val="00855478"/>
    <w:rsid w:val="0085550F"/>
    <w:rsid w:val="00855D31"/>
    <w:rsid w:val="0085614E"/>
    <w:rsid w:val="00856AD9"/>
    <w:rsid w:val="0085718E"/>
    <w:rsid w:val="00857461"/>
    <w:rsid w:val="00857F98"/>
    <w:rsid w:val="00860052"/>
    <w:rsid w:val="00860D35"/>
    <w:rsid w:val="0086179C"/>
    <w:rsid w:val="00861D65"/>
    <w:rsid w:val="008621F2"/>
    <w:rsid w:val="00862616"/>
    <w:rsid w:val="00862FC0"/>
    <w:rsid w:val="008646DE"/>
    <w:rsid w:val="008655CE"/>
    <w:rsid w:val="008656A0"/>
    <w:rsid w:val="008658C4"/>
    <w:rsid w:val="008658F4"/>
    <w:rsid w:val="00866487"/>
    <w:rsid w:val="008664D4"/>
    <w:rsid w:val="008664E8"/>
    <w:rsid w:val="00866CF5"/>
    <w:rsid w:val="00866E00"/>
    <w:rsid w:val="00866E12"/>
    <w:rsid w:val="00867958"/>
    <w:rsid w:val="00867C9E"/>
    <w:rsid w:val="0087040D"/>
    <w:rsid w:val="00870FD3"/>
    <w:rsid w:val="0087112B"/>
    <w:rsid w:val="0087135D"/>
    <w:rsid w:val="00871B2D"/>
    <w:rsid w:val="00871DCB"/>
    <w:rsid w:val="00871EDC"/>
    <w:rsid w:val="008723F3"/>
    <w:rsid w:val="00872425"/>
    <w:rsid w:val="00872577"/>
    <w:rsid w:val="00872783"/>
    <w:rsid w:val="00873384"/>
    <w:rsid w:val="008738E5"/>
    <w:rsid w:val="00873B03"/>
    <w:rsid w:val="00874646"/>
    <w:rsid w:val="00874696"/>
    <w:rsid w:val="0087475F"/>
    <w:rsid w:val="008748B6"/>
    <w:rsid w:val="00875164"/>
    <w:rsid w:val="008754C7"/>
    <w:rsid w:val="0087594B"/>
    <w:rsid w:val="00875F13"/>
    <w:rsid w:val="0087712A"/>
    <w:rsid w:val="008771DB"/>
    <w:rsid w:val="008778A2"/>
    <w:rsid w:val="0088076E"/>
    <w:rsid w:val="00880BA4"/>
    <w:rsid w:val="00880ED0"/>
    <w:rsid w:val="008815B1"/>
    <w:rsid w:val="008816F4"/>
    <w:rsid w:val="00881D59"/>
    <w:rsid w:val="00881FAD"/>
    <w:rsid w:val="0088210C"/>
    <w:rsid w:val="008822D6"/>
    <w:rsid w:val="00882CF3"/>
    <w:rsid w:val="00883061"/>
    <w:rsid w:val="0088350C"/>
    <w:rsid w:val="00883784"/>
    <w:rsid w:val="008849DF"/>
    <w:rsid w:val="00884DCA"/>
    <w:rsid w:val="00885106"/>
    <w:rsid w:val="00885288"/>
    <w:rsid w:val="00885620"/>
    <w:rsid w:val="00885747"/>
    <w:rsid w:val="00885954"/>
    <w:rsid w:val="00885A30"/>
    <w:rsid w:val="00886B24"/>
    <w:rsid w:val="00886BB5"/>
    <w:rsid w:val="00886E86"/>
    <w:rsid w:val="00887677"/>
    <w:rsid w:val="00887992"/>
    <w:rsid w:val="00887A6A"/>
    <w:rsid w:val="00890C41"/>
    <w:rsid w:val="00890E52"/>
    <w:rsid w:val="00891512"/>
    <w:rsid w:val="00891A0E"/>
    <w:rsid w:val="00891A1C"/>
    <w:rsid w:val="00892483"/>
    <w:rsid w:val="00892DB2"/>
    <w:rsid w:val="00893090"/>
    <w:rsid w:val="00893430"/>
    <w:rsid w:val="008934C8"/>
    <w:rsid w:val="00893FD4"/>
    <w:rsid w:val="008941C9"/>
    <w:rsid w:val="008949C6"/>
    <w:rsid w:val="00894A65"/>
    <w:rsid w:val="00894CD4"/>
    <w:rsid w:val="0089543F"/>
    <w:rsid w:val="0089548F"/>
    <w:rsid w:val="00895497"/>
    <w:rsid w:val="00895676"/>
    <w:rsid w:val="0089582F"/>
    <w:rsid w:val="00895B56"/>
    <w:rsid w:val="00896215"/>
    <w:rsid w:val="00896619"/>
    <w:rsid w:val="0089727A"/>
    <w:rsid w:val="00897815"/>
    <w:rsid w:val="00897B5C"/>
    <w:rsid w:val="008A01E7"/>
    <w:rsid w:val="008A04E9"/>
    <w:rsid w:val="008A08F6"/>
    <w:rsid w:val="008A0C37"/>
    <w:rsid w:val="008A1843"/>
    <w:rsid w:val="008A1DBC"/>
    <w:rsid w:val="008A22BE"/>
    <w:rsid w:val="008A2606"/>
    <w:rsid w:val="008A285A"/>
    <w:rsid w:val="008A299D"/>
    <w:rsid w:val="008A2C6B"/>
    <w:rsid w:val="008A3A97"/>
    <w:rsid w:val="008A3CC3"/>
    <w:rsid w:val="008A4692"/>
    <w:rsid w:val="008A487F"/>
    <w:rsid w:val="008A4AE3"/>
    <w:rsid w:val="008A4B09"/>
    <w:rsid w:val="008A4C25"/>
    <w:rsid w:val="008A5109"/>
    <w:rsid w:val="008A54BD"/>
    <w:rsid w:val="008A5799"/>
    <w:rsid w:val="008A5B53"/>
    <w:rsid w:val="008A5F4B"/>
    <w:rsid w:val="008A6956"/>
    <w:rsid w:val="008A69DF"/>
    <w:rsid w:val="008A6EA7"/>
    <w:rsid w:val="008A75CB"/>
    <w:rsid w:val="008A76E5"/>
    <w:rsid w:val="008A7AF8"/>
    <w:rsid w:val="008A7E59"/>
    <w:rsid w:val="008A7E8F"/>
    <w:rsid w:val="008B0E7C"/>
    <w:rsid w:val="008B0FF9"/>
    <w:rsid w:val="008B1514"/>
    <w:rsid w:val="008B1BE7"/>
    <w:rsid w:val="008B1F53"/>
    <w:rsid w:val="008B2593"/>
    <w:rsid w:val="008B3748"/>
    <w:rsid w:val="008B3898"/>
    <w:rsid w:val="008B3993"/>
    <w:rsid w:val="008B4311"/>
    <w:rsid w:val="008B4338"/>
    <w:rsid w:val="008B497D"/>
    <w:rsid w:val="008B4C2D"/>
    <w:rsid w:val="008B4D23"/>
    <w:rsid w:val="008B5028"/>
    <w:rsid w:val="008B6067"/>
    <w:rsid w:val="008B660C"/>
    <w:rsid w:val="008B6786"/>
    <w:rsid w:val="008B72C5"/>
    <w:rsid w:val="008B7307"/>
    <w:rsid w:val="008B76E3"/>
    <w:rsid w:val="008B79BE"/>
    <w:rsid w:val="008C0850"/>
    <w:rsid w:val="008C0BA3"/>
    <w:rsid w:val="008C126A"/>
    <w:rsid w:val="008C1DC0"/>
    <w:rsid w:val="008C23A9"/>
    <w:rsid w:val="008C2AAD"/>
    <w:rsid w:val="008C2B8E"/>
    <w:rsid w:val="008C2D6F"/>
    <w:rsid w:val="008C3258"/>
    <w:rsid w:val="008C4064"/>
    <w:rsid w:val="008C4095"/>
    <w:rsid w:val="008C480E"/>
    <w:rsid w:val="008C56E1"/>
    <w:rsid w:val="008C5E5D"/>
    <w:rsid w:val="008C6BBB"/>
    <w:rsid w:val="008C6D7F"/>
    <w:rsid w:val="008C77D8"/>
    <w:rsid w:val="008C7A08"/>
    <w:rsid w:val="008D0027"/>
    <w:rsid w:val="008D01F4"/>
    <w:rsid w:val="008D02E9"/>
    <w:rsid w:val="008D034C"/>
    <w:rsid w:val="008D0785"/>
    <w:rsid w:val="008D0BF6"/>
    <w:rsid w:val="008D1786"/>
    <w:rsid w:val="008D17A5"/>
    <w:rsid w:val="008D1BF3"/>
    <w:rsid w:val="008D1D1C"/>
    <w:rsid w:val="008D22C6"/>
    <w:rsid w:val="008D26D2"/>
    <w:rsid w:val="008D2ED3"/>
    <w:rsid w:val="008D3416"/>
    <w:rsid w:val="008D366B"/>
    <w:rsid w:val="008D3AEB"/>
    <w:rsid w:val="008D3CA1"/>
    <w:rsid w:val="008D3EF8"/>
    <w:rsid w:val="008D434A"/>
    <w:rsid w:val="008D45DE"/>
    <w:rsid w:val="008D492F"/>
    <w:rsid w:val="008D59BD"/>
    <w:rsid w:val="008D5BB6"/>
    <w:rsid w:val="008D6C4B"/>
    <w:rsid w:val="008D6F22"/>
    <w:rsid w:val="008D6F75"/>
    <w:rsid w:val="008D71E5"/>
    <w:rsid w:val="008E06F6"/>
    <w:rsid w:val="008E0940"/>
    <w:rsid w:val="008E0D60"/>
    <w:rsid w:val="008E0E04"/>
    <w:rsid w:val="008E1241"/>
    <w:rsid w:val="008E1300"/>
    <w:rsid w:val="008E176C"/>
    <w:rsid w:val="008E21F2"/>
    <w:rsid w:val="008E2A90"/>
    <w:rsid w:val="008E2A9C"/>
    <w:rsid w:val="008E3709"/>
    <w:rsid w:val="008E37E4"/>
    <w:rsid w:val="008E3E1C"/>
    <w:rsid w:val="008E3EB1"/>
    <w:rsid w:val="008E3EBA"/>
    <w:rsid w:val="008E3F08"/>
    <w:rsid w:val="008E3F85"/>
    <w:rsid w:val="008E41AE"/>
    <w:rsid w:val="008E485C"/>
    <w:rsid w:val="008E5063"/>
    <w:rsid w:val="008E52E7"/>
    <w:rsid w:val="008E545C"/>
    <w:rsid w:val="008E5C80"/>
    <w:rsid w:val="008E5F31"/>
    <w:rsid w:val="008E5F4A"/>
    <w:rsid w:val="008E64A2"/>
    <w:rsid w:val="008E666F"/>
    <w:rsid w:val="008E709C"/>
    <w:rsid w:val="008E7225"/>
    <w:rsid w:val="008E7B59"/>
    <w:rsid w:val="008E7CA4"/>
    <w:rsid w:val="008E7D6D"/>
    <w:rsid w:val="008E7FB4"/>
    <w:rsid w:val="008F0549"/>
    <w:rsid w:val="008F11CD"/>
    <w:rsid w:val="008F1927"/>
    <w:rsid w:val="008F2422"/>
    <w:rsid w:val="008F29E3"/>
    <w:rsid w:val="008F2CFF"/>
    <w:rsid w:val="008F32AA"/>
    <w:rsid w:val="008F348E"/>
    <w:rsid w:val="008F4062"/>
    <w:rsid w:val="008F40E2"/>
    <w:rsid w:val="008F4616"/>
    <w:rsid w:val="008F5322"/>
    <w:rsid w:val="008F5461"/>
    <w:rsid w:val="008F55C0"/>
    <w:rsid w:val="008F55F8"/>
    <w:rsid w:val="008F63F1"/>
    <w:rsid w:val="008F7143"/>
    <w:rsid w:val="008F76BC"/>
    <w:rsid w:val="008F7945"/>
    <w:rsid w:val="008F7968"/>
    <w:rsid w:val="008F79BB"/>
    <w:rsid w:val="00900721"/>
    <w:rsid w:val="00901543"/>
    <w:rsid w:val="00902598"/>
    <w:rsid w:val="00902C89"/>
    <w:rsid w:val="00902F31"/>
    <w:rsid w:val="00903045"/>
    <w:rsid w:val="0090394F"/>
    <w:rsid w:val="00904010"/>
    <w:rsid w:val="0090481C"/>
    <w:rsid w:val="00904B53"/>
    <w:rsid w:val="00904C91"/>
    <w:rsid w:val="0090536D"/>
    <w:rsid w:val="00905BD8"/>
    <w:rsid w:val="00906358"/>
    <w:rsid w:val="00906E92"/>
    <w:rsid w:val="0090774C"/>
    <w:rsid w:val="00910594"/>
    <w:rsid w:val="00910E2F"/>
    <w:rsid w:val="00911237"/>
    <w:rsid w:val="009114ED"/>
    <w:rsid w:val="00911AC8"/>
    <w:rsid w:val="00912C3E"/>
    <w:rsid w:val="00912C63"/>
    <w:rsid w:val="00912FD6"/>
    <w:rsid w:val="0091489E"/>
    <w:rsid w:val="00914A32"/>
    <w:rsid w:val="00915158"/>
    <w:rsid w:val="009160EB"/>
    <w:rsid w:val="0091661A"/>
    <w:rsid w:val="0091669F"/>
    <w:rsid w:val="00917A40"/>
    <w:rsid w:val="0092002A"/>
    <w:rsid w:val="009201D1"/>
    <w:rsid w:val="00920226"/>
    <w:rsid w:val="009204FD"/>
    <w:rsid w:val="0092110E"/>
    <w:rsid w:val="009216E4"/>
    <w:rsid w:val="00921858"/>
    <w:rsid w:val="00921C47"/>
    <w:rsid w:val="009221FA"/>
    <w:rsid w:val="00922ED0"/>
    <w:rsid w:val="0092341D"/>
    <w:rsid w:val="00923D3B"/>
    <w:rsid w:val="00923EE6"/>
    <w:rsid w:val="00924C2B"/>
    <w:rsid w:val="00925386"/>
    <w:rsid w:val="009258CA"/>
    <w:rsid w:val="0092602F"/>
    <w:rsid w:val="009262CF"/>
    <w:rsid w:val="00926380"/>
    <w:rsid w:val="00926AFC"/>
    <w:rsid w:val="00926BEA"/>
    <w:rsid w:val="00926C1A"/>
    <w:rsid w:val="00926CDF"/>
    <w:rsid w:val="00926EA5"/>
    <w:rsid w:val="00927111"/>
    <w:rsid w:val="00927431"/>
    <w:rsid w:val="00927C5B"/>
    <w:rsid w:val="00927CE4"/>
    <w:rsid w:val="00927DB9"/>
    <w:rsid w:val="00930147"/>
    <w:rsid w:val="00930434"/>
    <w:rsid w:val="00930444"/>
    <w:rsid w:val="00930EB5"/>
    <w:rsid w:val="009312F3"/>
    <w:rsid w:val="00931FD1"/>
    <w:rsid w:val="009321E9"/>
    <w:rsid w:val="009322C4"/>
    <w:rsid w:val="009325B1"/>
    <w:rsid w:val="0093285C"/>
    <w:rsid w:val="00932FF9"/>
    <w:rsid w:val="009331E6"/>
    <w:rsid w:val="00933236"/>
    <w:rsid w:val="0093363A"/>
    <w:rsid w:val="00933F83"/>
    <w:rsid w:val="00934262"/>
    <w:rsid w:val="00934405"/>
    <w:rsid w:val="009345C5"/>
    <w:rsid w:val="00935251"/>
    <w:rsid w:val="009352C4"/>
    <w:rsid w:val="00937447"/>
    <w:rsid w:val="0093748F"/>
    <w:rsid w:val="00937770"/>
    <w:rsid w:val="0093794F"/>
    <w:rsid w:val="009403EA"/>
    <w:rsid w:val="00940625"/>
    <w:rsid w:val="00940A24"/>
    <w:rsid w:val="009412DB"/>
    <w:rsid w:val="00941391"/>
    <w:rsid w:val="0094169B"/>
    <w:rsid w:val="00941814"/>
    <w:rsid w:val="00941D84"/>
    <w:rsid w:val="0094286F"/>
    <w:rsid w:val="00942954"/>
    <w:rsid w:val="0094345F"/>
    <w:rsid w:val="009434BD"/>
    <w:rsid w:val="0094361B"/>
    <w:rsid w:val="00943C8B"/>
    <w:rsid w:val="00943E60"/>
    <w:rsid w:val="00943EEE"/>
    <w:rsid w:val="00945543"/>
    <w:rsid w:val="00945991"/>
    <w:rsid w:val="00945B24"/>
    <w:rsid w:val="00945C29"/>
    <w:rsid w:val="00945F37"/>
    <w:rsid w:val="0094633D"/>
    <w:rsid w:val="00946515"/>
    <w:rsid w:val="0094661F"/>
    <w:rsid w:val="00946653"/>
    <w:rsid w:val="00946D87"/>
    <w:rsid w:val="00946EBB"/>
    <w:rsid w:val="0095125F"/>
    <w:rsid w:val="009516EC"/>
    <w:rsid w:val="009519E4"/>
    <w:rsid w:val="009526DA"/>
    <w:rsid w:val="0095276E"/>
    <w:rsid w:val="00952CDA"/>
    <w:rsid w:val="0095445B"/>
    <w:rsid w:val="009544EF"/>
    <w:rsid w:val="00954BB7"/>
    <w:rsid w:val="00954BCA"/>
    <w:rsid w:val="00954D97"/>
    <w:rsid w:val="00955B15"/>
    <w:rsid w:val="00955F3F"/>
    <w:rsid w:val="009562E7"/>
    <w:rsid w:val="009565F5"/>
    <w:rsid w:val="00956844"/>
    <w:rsid w:val="009569FB"/>
    <w:rsid w:val="00956D24"/>
    <w:rsid w:val="0095705E"/>
    <w:rsid w:val="009571FE"/>
    <w:rsid w:val="00957209"/>
    <w:rsid w:val="00957C5B"/>
    <w:rsid w:val="0096090A"/>
    <w:rsid w:val="00960B3D"/>
    <w:rsid w:val="00960C2B"/>
    <w:rsid w:val="00961143"/>
    <w:rsid w:val="009613BD"/>
    <w:rsid w:val="009616CB"/>
    <w:rsid w:val="00961FB7"/>
    <w:rsid w:val="009633E9"/>
    <w:rsid w:val="009638E0"/>
    <w:rsid w:val="00963F12"/>
    <w:rsid w:val="0096494B"/>
    <w:rsid w:val="00964C31"/>
    <w:rsid w:val="00964D99"/>
    <w:rsid w:val="009654D8"/>
    <w:rsid w:val="00965B6C"/>
    <w:rsid w:val="00965D6B"/>
    <w:rsid w:val="00966269"/>
    <w:rsid w:val="00966DAA"/>
    <w:rsid w:val="00966E72"/>
    <w:rsid w:val="00966FFE"/>
    <w:rsid w:val="009672DF"/>
    <w:rsid w:val="00967D0A"/>
    <w:rsid w:val="009702B0"/>
    <w:rsid w:val="00970F73"/>
    <w:rsid w:val="0097114D"/>
    <w:rsid w:val="00971764"/>
    <w:rsid w:val="009719E0"/>
    <w:rsid w:val="00971C16"/>
    <w:rsid w:val="0097297A"/>
    <w:rsid w:val="00972CD3"/>
    <w:rsid w:val="00972F38"/>
    <w:rsid w:val="009738B1"/>
    <w:rsid w:val="00973C40"/>
    <w:rsid w:val="00973EEB"/>
    <w:rsid w:val="00974751"/>
    <w:rsid w:val="00974B54"/>
    <w:rsid w:val="009758FF"/>
    <w:rsid w:val="009768BF"/>
    <w:rsid w:val="0097706C"/>
    <w:rsid w:val="009778CD"/>
    <w:rsid w:val="00977F61"/>
    <w:rsid w:val="00977FF7"/>
    <w:rsid w:val="00980250"/>
    <w:rsid w:val="00980277"/>
    <w:rsid w:val="00980290"/>
    <w:rsid w:val="009804F5"/>
    <w:rsid w:val="009806D9"/>
    <w:rsid w:val="00980722"/>
    <w:rsid w:val="009813D3"/>
    <w:rsid w:val="009814C4"/>
    <w:rsid w:val="009814FE"/>
    <w:rsid w:val="00981C9E"/>
    <w:rsid w:val="00981EB3"/>
    <w:rsid w:val="00982488"/>
    <w:rsid w:val="009827B2"/>
    <w:rsid w:val="00982831"/>
    <w:rsid w:val="00982941"/>
    <w:rsid w:val="00982BF9"/>
    <w:rsid w:val="00983402"/>
    <w:rsid w:val="009837F5"/>
    <w:rsid w:val="0098510E"/>
    <w:rsid w:val="00985C4A"/>
    <w:rsid w:val="00985C54"/>
    <w:rsid w:val="00986052"/>
    <w:rsid w:val="0098625E"/>
    <w:rsid w:val="0098629D"/>
    <w:rsid w:val="0098663D"/>
    <w:rsid w:val="00986BD4"/>
    <w:rsid w:val="00987478"/>
    <w:rsid w:val="0098777E"/>
    <w:rsid w:val="00987C70"/>
    <w:rsid w:val="00990C98"/>
    <w:rsid w:val="0099174B"/>
    <w:rsid w:val="00991839"/>
    <w:rsid w:val="00991FF0"/>
    <w:rsid w:val="0099298F"/>
    <w:rsid w:val="00993404"/>
    <w:rsid w:val="00993672"/>
    <w:rsid w:val="00993A60"/>
    <w:rsid w:val="00993D0D"/>
    <w:rsid w:val="009940BE"/>
    <w:rsid w:val="00994684"/>
    <w:rsid w:val="009946F4"/>
    <w:rsid w:val="00994D57"/>
    <w:rsid w:val="00994D85"/>
    <w:rsid w:val="00995B42"/>
    <w:rsid w:val="00995EF2"/>
    <w:rsid w:val="00996203"/>
    <w:rsid w:val="00996244"/>
    <w:rsid w:val="009967CF"/>
    <w:rsid w:val="00996EF5"/>
    <w:rsid w:val="00997029"/>
    <w:rsid w:val="00997353"/>
    <w:rsid w:val="00997C9B"/>
    <w:rsid w:val="00997ED5"/>
    <w:rsid w:val="009A05AF"/>
    <w:rsid w:val="009A0991"/>
    <w:rsid w:val="009A0DEF"/>
    <w:rsid w:val="009A0F4B"/>
    <w:rsid w:val="009A1033"/>
    <w:rsid w:val="009A12CC"/>
    <w:rsid w:val="009A1516"/>
    <w:rsid w:val="009A1D74"/>
    <w:rsid w:val="009A1DD7"/>
    <w:rsid w:val="009A1F85"/>
    <w:rsid w:val="009A20BF"/>
    <w:rsid w:val="009A30C5"/>
    <w:rsid w:val="009A39CA"/>
    <w:rsid w:val="009A3A8A"/>
    <w:rsid w:val="009A3D1A"/>
    <w:rsid w:val="009A42E7"/>
    <w:rsid w:val="009A553C"/>
    <w:rsid w:val="009A60B5"/>
    <w:rsid w:val="009A64D3"/>
    <w:rsid w:val="009A683C"/>
    <w:rsid w:val="009A6891"/>
    <w:rsid w:val="009A6B1E"/>
    <w:rsid w:val="009A6E13"/>
    <w:rsid w:val="009A74CF"/>
    <w:rsid w:val="009A7752"/>
    <w:rsid w:val="009A7DCC"/>
    <w:rsid w:val="009B06F9"/>
    <w:rsid w:val="009B0856"/>
    <w:rsid w:val="009B0A24"/>
    <w:rsid w:val="009B0DC9"/>
    <w:rsid w:val="009B11B5"/>
    <w:rsid w:val="009B1259"/>
    <w:rsid w:val="009B213C"/>
    <w:rsid w:val="009B25E5"/>
    <w:rsid w:val="009B2CFA"/>
    <w:rsid w:val="009B2D1C"/>
    <w:rsid w:val="009B31F4"/>
    <w:rsid w:val="009B374E"/>
    <w:rsid w:val="009B38D7"/>
    <w:rsid w:val="009B3B81"/>
    <w:rsid w:val="009B3DA9"/>
    <w:rsid w:val="009B4AD1"/>
    <w:rsid w:val="009B506D"/>
    <w:rsid w:val="009B5882"/>
    <w:rsid w:val="009B59C2"/>
    <w:rsid w:val="009B5DE1"/>
    <w:rsid w:val="009B624C"/>
    <w:rsid w:val="009B698E"/>
    <w:rsid w:val="009C0066"/>
    <w:rsid w:val="009C03CB"/>
    <w:rsid w:val="009C087C"/>
    <w:rsid w:val="009C0A90"/>
    <w:rsid w:val="009C1D81"/>
    <w:rsid w:val="009C1E75"/>
    <w:rsid w:val="009C2D9A"/>
    <w:rsid w:val="009C37E9"/>
    <w:rsid w:val="009C3A40"/>
    <w:rsid w:val="009C435F"/>
    <w:rsid w:val="009C4362"/>
    <w:rsid w:val="009C4905"/>
    <w:rsid w:val="009C4A80"/>
    <w:rsid w:val="009C4DB3"/>
    <w:rsid w:val="009C5D8B"/>
    <w:rsid w:val="009C61B8"/>
    <w:rsid w:val="009C6A69"/>
    <w:rsid w:val="009C777D"/>
    <w:rsid w:val="009D02A6"/>
    <w:rsid w:val="009D07C8"/>
    <w:rsid w:val="009D07E6"/>
    <w:rsid w:val="009D08A7"/>
    <w:rsid w:val="009D0D33"/>
    <w:rsid w:val="009D1899"/>
    <w:rsid w:val="009D1903"/>
    <w:rsid w:val="009D1926"/>
    <w:rsid w:val="009D2035"/>
    <w:rsid w:val="009D2517"/>
    <w:rsid w:val="009D3861"/>
    <w:rsid w:val="009D44CF"/>
    <w:rsid w:val="009D52E0"/>
    <w:rsid w:val="009D5423"/>
    <w:rsid w:val="009D5D26"/>
    <w:rsid w:val="009D6FFA"/>
    <w:rsid w:val="009D7157"/>
    <w:rsid w:val="009D7662"/>
    <w:rsid w:val="009D7975"/>
    <w:rsid w:val="009D7E06"/>
    <w:rsid w:val="009D7F57"/>
    <w:rsid w:val="009D7F88"/>
    <w:rsid w:val="009E05A5"/>
    <w:rsid w:val="009E0916"/>
    <w:rsid w:val="009E1349"/>
    <w:rsid w:val="009E276F"/>
    <w:rsid w:val="009E2C0C"/>
    <w:rsid w:val="009E396F"/>
    <w:rsid w:val="009E3A50"/>
    <w:rsid w:val="009E3ED7"/>
    <w:rsid w:val="009E4149"/>
    <w:rsid w:val="009E4E68"/>
    <w:rsid w:val="009E536D"/>
    <w:rsid w:val="009E57BE"/>
    <w:rsid w:val="009E59B6"/>
    <w:rsid w:val="009E6034"/>
    <w:rsid w:val="009E6570"/>
    <w:rsid w:val="009E6662"/>
    <w:rsid w:val="009E6BE5"/>
    <w:rsid w:val="009E7396"/>
    <w:rsid w:val="009E766A"/>
    <w:rsid w:val="009E7C47"/>
    <w:rsid w:val="009F09A5"/>
    <w:rsid w:val="009F12EA"/>
    <w:rsid w:val="009F1D0F"/>
    <w:rsid w:val="009F2050"/>
    <w:rsid w:val="009F20B8"/>
    <w:rsid w:val="009F21D3"/>
    <w:rsid w:val="009F26CD"/>
    <w:rsid w:val="009F2B96"/>
    <w:rsid w:val="009F3B55"/>
    <w:rsid w:val="009F3E96"/>
    <w:rsid w:val="009F4B8C"/>
    <w:rsid w:val="009F50FC"/>
    <w:rsid w:val="009F59E5"/>
    <w:rsid w:val="009F5E2C"/>
    <w:rsid w:val="009F5F18"/>
    <w:rsid w:val="009F6914"/>
    <w:rsid w:val="009F7546"/>
    <w:rsid w:val="009F7C83"/>
    <w:rsid w:val="009F7DF1"/>
    <w:rsid w:val="009F7E0A"/>
    <w:rsid w:val="00A00597"/>
    <w:rsid w:val="00A00BD7"/>
    <w:rsid w:val="00A012F8"/>
    <w:rsid w:val="00A013BD"/>
    <w:rsid w:val="00A01DA6"/>
    <w:rsid w:val="00A01E9F"/>
    <w:rsid w:val="00A01F80"/>
    <w:rsid w:val="00A0297E"/>
    <w:rsid w:val="00A02FEE"/>
    <w:rsid w:val="00A03438"/>
    <w:rsid w:val="00A03B50"/>
    <w:rsid w:val="00A04475"/>
    <w:rsid w:val="00A04781"/>
    <w:rsid w:val="00A04A81"/>
    <w:rsid w:val="00A04F99"/>
    <w:rsid w:val="00A050C5"/>
    <w:rsid w:val="00A050E5"/>
    <w:rsid w:val="00A05C39"/>
    <w:rsid w:val="00A0614F"/>
    <w:rsid w:val="00A07ADC"/>
    <w:rsid w:val="00A10492"/>
    <w:rsid w:val="00A104AA"/>
    <w:rsid w:val="00A107BF"/>
    <w:rsid w:val="00A108AA"/>
    <w:rsid w:val="00A10B40"/>
    <w:rsid w:val="00A11653"/>
    <w:rsid w:val="00A117D9"/>
    <w:rsid w:val="00A11AE1"/>
    <w:rsid w:val="00A11DEE"/>
    <w:rsid w:val="00A11ECC"/>
    <w:rsid w:val="00A12318"/>
    <w:rsid w:val="00A12394"/>
    <w:rsid w:val="00A1247D"/>
    <w:rsid w:val="00A126D9"/>
    <w:rsid w:val="00A1376B"/>
    <w:rsid w:val="00A13E8D"/>
    <w:rsid w:val="00A13F23"/>
    <w:rsid w:val="00A14545"/>
    <w:rsid w:val="00A155A1"/>
    <w:rsid w:val="00A156D9"/>
    <w:rsid w:val="00A166A1"/>
    <w:rsid w:val="00A16806"/>
    <w:rsid w:val="00A16C5C"/>
    <w:rsid w:val="00A1763A"/>
    <w:rsid w:val="00A202F2"/>
    <w:rsid w:val="00A208F6"/>
    <w:rsid w:val="00A20B0A"/>
    <w:rsid w:val="00A20E24"/>
    <w:rsid w:val="00A2130F"/>
    <w:rsid w:val="00A21B4F"/>
    <w:rsid w:val="00A21C3A"/>
    <w:rsid w:val="00A22666"/>
    <w:rsid w:val="00A22E58"/>
    <w:rsid w:val="00A232F2"/>
    <w:rsid w:val="00A237FE"/>
    <w:rsid w:val="00A2396C"/>
    <w:rsid w:val="00A24115"/>
    <w:rsid w:val="00A24D0A"/>
    <w:rsid w:val="00A24E21"/>
    <w:rsid w:val="00A250CD"/>
    <w:rsid w:val="00A260CB"/>
    <w:rsid w:val="00A266C1"/>
    <w:rsid w:val="00A268AC"/>
    <w:rsid w:val="00A27537"/>
    <w:rsid w:val="00A27DCA"/>
    <w:rsid w:val="00A30F1F"/>
    <w:rsid w:val="00A31043"/>
    <w:rsid w:val="00A31428"/>
    <w:rsid w:val="00A31680"/>
    <w:rsid w:val="00A317BF"/>
    <w:rsid w:val="00A31B14"/>
    <w:rsid w:val="00A329B7"/>
    <w:rsid w:val="00A3389E"/>
    <w:rsid w:val="00A33908"/>
    <w:rsid w:val="00A33CA8"/>
    <w:rsid w:val="00A34377"/>
    <w:rsid w:val="00A35346"/>
    <w:rsid w:val="00A35CCF"/>
    <w:rsid w:val="00A36880"/>
    <w:rsid w:val="00A36C09"/>
    <w:rsid w:val="00A37243"/>
    <w:rsid w:val="00A37809"/>
    <w:rsid w:val="00A379F8"/>
    <w:rsid w:val="00A37FB9"/>
    <w:rsid w:val="00A40438"/>
    <w:rsid w:val="00A40696"/>
    <w:rsid w:val="00A407DA"/>
    <w:rsid w:val="00A4181E"/>
    <w:rsid w:val="00A41C2C"/>
    <w:rsid w:val="00A41C90"/>
    <w:rsid w:val="00A41C9F"/>
    <w:rsid w:val="00A41F57"/>
    <w:rsid w:val="00A42CF8"/>
    <w:rsid w:val="00A436E0"/>
    <w:rsid w:val="00A44006"/>
    <w:rsid w:val="00A4454F"/>
    <w:rsid w:val="00A4463B"/>
    <w:rsid w:val="00A45182"/>
    <w:rsid w:val="00A451D4"/>
    <w:rsid w:val="00A45389"/>
    <w:rsid w:val="00A45D03"/>
    <w:rsid w:val="00A467B6"/>
    <w:rsid w:val="00A46850"/>
    <w:rsid w:val="00A468AE"/>
    <w:rsid w:val="00A46CBB"/>
    <w:rsid w:val="00A4740B"/>
    <w:rsid w:val="00A47468"/>
    <w:rsid w:val="00A47EEF"/>
    <w:rsid w:val="00A50608"/>
    <w:rsid w:val="00A51A75"/>
    <w:rsid w:val="00A51D0C"/>
    <w:rsid w:val="00A51F6B"/>
    <w:rsid w:val="00A5214A"/>
    <w:rsid w:val="00A52AFA"/>
    <w:rsid w:val="00A52EE4"/>
    <w:rsid w:val="00A539A1"/>
    <w:rsid w:val="00A53B19"/>
    <w:rsid w:val="00A540DA"/>
    <w:rsid w:val="00A54656"/>
    <w:rsid w:val="00A548EA"/>
    <w:rsid w:val="00A55072"/>
    <w:rsid w:val="00A55398"/>
    <w:rsid w:val="00A5561D"/>
    <w:rsid w:val="00A55CBB"/>
    <w:rsid w:val="00A56186"/>
    <w:rsid w:val="00A56922"/>
    <w:rsid w:val="00A56B50"/>
    <w:rsid w:val="00A56E06"/>
    <w:rsid w:val="00A57AC9"/>
    <w:rsid w:val="00A60033"/>
    <w:rsid w:val="00A60911"/>
    <w:rsid w:val="00A60BEB"/>
    <w:rsid w:val="00A61E47"/>
    <w:rsid w:val="00A6242A"/>
    <w:rsid w:val="00A62718"/>
    <w:rsid w:val="00A62BAA"/>
    <w:rsid w:val="00A631C7"/>
    <w:rsid w:val="00A636B4"/>
    <w:rsid w:val="00A639B4"/>
    <w:rsid w:val="00A63B4A"/>
    <w:rsid w:val="00A63E95"/>
    <w:rsid w:val="00A6407A"/>
    <w:rsid w:val="00A6495A"/>
    <w:rsid w:val="00A64DD5"/>
    <w:rsid w:val="00A6530F"/>
    <w:rsid w:val="00A65CD3"/>
    <w:rsid w:val="00A65CED"/>
    <w:rsid w:val="00A6704B"/>
    <w:rsid w:val="00A6733D"/>
    <w:rsid w:val="00A67383"/>
    <w:rsid w:val="00A6752F"/>
    <w:rsid w:val="00A678EB"/>
    <w:rsid w:val="00A70591"/>
    <w:rsid w:val="00A70B5D"/>
    <w:rsid w:val="00A712BB"/>
    <w:rsid w:val="00A715A5"/>
    <w:rsid w:val="00A71A8E"/>
    <w:rsid w:val="00A72824"/>
    <w:rsid w:val="00A734EF"/>
    <w:rsid w:val="00A73685"/>
    <w:rsid w:val="00A73693"/>
    <w:rsid w:val="00A73724"/>
    <w:rsid w:val="00A74935"/>
    <w:rsid w:val="00A74982"/>
    <w:rsid w:val="00A74F76"/>
    <w:rsid w:val="00A76D7C"/>
    <w:rsid w:val="00A76E2D"/>
    <w:rsid w:val="00A775B1"/>
    <w:rsid w:val="00A8142C"/>
    <w:rsid w:val="00A818B2"/>
    <w:rsid w:val="00A819BF"/>
    <w:rsid w:val="00A8202E"/>
    <w:rsid w:val="00A82901"/>
    <w:rsid w:val="00A82CAD"/>
    <w:rsid w:val="00A836A6"/>
    <w:rsid w:val="00A838D4"/>
    <w:rsid w:val="00A83C77"/>
    <w:rsid w:val="00A83C92"/>
    <w:rsid w:val="00A83D14"/>
    <w:rsid w:val="00A8523A"/>
    <w:rsid w:val="00A85845"/>
    <w:rsid w:val="00A861DA"/>
    <w:rsid w:val="00A86602"/>
    <w:rsid w:val="00A8675B"/>
    <w:rsid w:val="00A869F0"/>
    <w:rsid w:val="00A86B76"/>
    <w:rsid w:val="00A87772"/>
    <w:rsid w:val="00A879B8"/>
    <w:rsid w:val="00A87DD6"/>
    <w:rsid w:val="00A9095D"/>
    <w:rsid w:val="00A90F5C"/>
    <w:rsid w:val="00A916D8"/>
    <w:rsid w:val="00A919CE"/>
    <w:rsid w:val="00A92744"/>
    <w:rsid w:val="00A9293F"/>
    <w:rsid w:val="00A92ED3"/>
    <w:rsid w:val="00A9328B"/>
    <w:rsid w:val="00A94038"/>
    <w:rsid w:val="00A94ACD"/>
    <w:rsid w:val="00A94E8D"/>
    <w:rsid w:val="00A94FE0"/>
    <w:rsid w:val="00A95330"/>
    <w:rsid w:val="00A96AD3"/>
    <w:rsid w:val="00A97E0B"/>
    <w:rsid w:val="00AA0205"/>
    <w:rsid w:val="00AA166A"/>
    <w:rsid w:val="00AA17BA"/>
    <w:rsid w:val="00AA2246"/>
    <w:rsid w:val="00AA228C"/>
    <w:rsid w:val="00AA262E"/>
    <w:rsid w:val="00AA27E3"/>
    <w:rsid w:val="00AA30C4"/>
    <w:rsid w:val="00AA31BE"/>
    <w:rsid w:val="00AA33E9"/>
    <w:rsid w:val="00AA3E22"/>
    <w:rsid w:val="00AA3ED3"/>
    <w:rsid w:val="00AA44B0"/>
    <w:rsid w:val="00AA4F1E"/>
    <w:rsid w:val="00AA5439"/>
    <w:rsid w:val="00AA673C"/>
    <w:rsid w:val="00AA71F1"/>
    <w:rsid w:val="00AA76E8"/>
    <w:rsid w:val="00AA7873"/>
    <w:rsid w:val="00AA790F"/>
    <w:rsid w:val="00AA7A24"/>
    <w:rsid w:val="00AB0192"/>
    <w:rsid w:val="00AB0450"/>
    <w:rsid w:val="00AB0915"/>
    <w:rsid w:val="00AB18C2"/>
    <w:rsid w:val="00AB1FF6"/>
    <w:rsid w:val="00AB236F"/>
    <w:rsid w:val="00AB3019"/>
    <w:rsid w:val="00AB3BC4"/>
    <w:rsid w:val="00AB40AA"/>
    <w:rsid w:val="00AB479C"/>
    <w:rsid w:val="00AB4A88"/>
    <w:rsid w:val="00AB53F1"/>
    <w:rsid w:val="00AB5476"/>
    <w:rsid w:val="00AB5E51"/>
    <w:rsid w:val="00AB60F9"/>
    <w:rsid w:val="00AB62E6"/>
    <w:rsid w:val="00AB63E5"/>
    <w:rsid w:val="00AB65A5"/>
    <w:rsid w:val="00AB6EB2"/>
    <w:rsid w:val="00AB71CF"/>
    <w:rsid w:val="00AC0260"/>
    <w:rsid w:val="00AC0B9C"/>
    <w:rsid w:val="00AC0FAF"/>
    <w:rsid w:val="00AC1178"/>
    <w:rsid w:val="00AC1E49"/>
    <w:rsid w:val="00AC23CD"/>
    <w:rsid w:val="00AC2BC9"/>
    <w:rsid w:val="00AC2C08"/>
    <w:rsid w:val="00AC2D0A"/>
    <w:rsid w:val="00AC2D89"/>
    <w:rsid w:val="00AC2FED"/>
    <w:rsid w:val="00AC341F"/>
    <w:rsid w:val="00AC399E"/>
    <w:rsid w:val="00AC6887"/>
    <w:rsid w:val="00AC7ECE"/>
    <w:rsid w:val="00AD0045"/>
    <w:rsid w:val="00AD01AD"/>
    <w:rsid w:val="00AD0F66"/>
    <w:rsid w:val="00AD1470"/>
    <w:rsid w:val="00AD1EBA"/>
    <w:rsid w:val="00AD21B8"/>
    <w:rsid w:val="00AD22CA"/>
    <w:rsid w:val="00AD2554"/>
    <w:rsid w:val="00AD25CA"/>
    <w:rsid w:val="00AD2AE5"/>
    <w:rsid w:val="00AD3BC6"/>
    <w:rsid w:val="00AD436C"/>
    <w:rsid w:val="00AD47A3"/>
    <w:rsid w:val="00AD514D"/>
    <w:rsid w:val="00AD53AB"/>
    <w:rsid w:val="00AD5413"/>
    <w:rsid w:val="00AD5942"/>
    <w:rsid w:val="00AD6025"/>
    <w:rsid w:val="00AD68DA"/>
    <w:rsid w:val="00AD6D30"/>
    <w:rsid w:val="00AD7609"/>
    <w:rsid w:val="00AD7E3A"/>
    <w:rsid w:val="00AD7EF5"/>
    <w:rsid w:val="00AE020C"/>
    <w:rsid w:val="00AE0AA8"/>
    <w:rsid w:val="00AE0AF0"/>
    <w:rsid w:val="00AE0B6F"/>
    <w:rsid w:val="00AE130F"/>
    <w:rsid w:val="00AE1646"/>
    <w:rsid w:val="00AE1ABC"/>
    <w:rsid w:val="00AE1E57"/>
    <w:rsid w:val="00AE2837"/>
    <w:rsid w:val="00AE29A0"/>
    <w:rsid w:val="00AE4144"/>
    <w:rsid w:val="00AE48C5"/>
    <w:rsid w:val="00AE4907"/>
    <w:rsid w:val="00AE49BB"/>
    <w:rsid w:val="00AE4B04"/>
    <w:rsid w:val="00AE4D1E"/>
    <w:rsid w:val="00AE547F"/>
    <w:rsid w:val="00AE5624"/>
    <w:rsid w:val="00AE6144"/>
    <w:rsid w:val="00AE6909"/>
    <w:rsid w:val="00AE6BE7"/>
    <w:rsid w:val="00AE75BE"/>
    <w:rsid w:val="00AF01C3"/>
    <w:rsid w:val="00AF03ED"/>
    <w:rsid w:val="00AF0AC4"/>
    <w:rsid w:val="00AF0C8C"/>
    <w:rsid w:val="00AF1702"/>
    <w:rsid w:val="00AF1A75"/>
    <w:rsid w:val="00AF1E32"/>
    <w:rsid w:val="00AF2A58"/>
    <w:rsid w:val="00AF36BF"/>
    <w:rsid w:val="00AF3774"/>
    <w:rsid w:val="00AF381E"/>
    <w:rsid w:val="00AF3B81"/>
    <w:rsid w:val="00AF3B95"/>
    <w:rsid w:val="00AF4504"/>
    <w:rsid w:val="00AF4992"/>
    <w:rsid w:val="00AF4C70"/>
    <w:rsid w:val="00AF4D45"/>
    <w:rsid w:val="00AF4E53"/>
    <w:rsid w:val="00AF5371"/>
    <w:rsid w:val="00AF53AC"/>
    <w:rsid w:val="00AF5431"/>
    <w:rsid w:val="00AF56A9"/>
    <w:rsid w:val="00AF5A79"/>
    <w:rsid w:val="00AF5D37"/>
    <w:rsid w:val="00AF6375"/>
    <w:rsid w:val="00AF6A94"/>
    <w:rsid w:val="00AF6DF1"/>
    <w:rsid w:val="00AF7E5B"/>
    <w:rsid w:val="00B00923"/>
    <w:rsid w:val="00B00C57"/>
    <w:rsid w:val="00B00D55"/>
    <w:rsid w:val="00B0188E"/>
    <w:rsid w:val="00B018F1"/>
    <w:rsid w:val="00B01C88"/>
    <w:rsid w:val="00B022E8"/>
    <w:rsid w:val="00B030B7"/>
    <w:rsid w:val="00B036E9"/>
    <w:rsid w:val="00B03972"/>
    <w:rsid w:val="00B0398E"/>
    <w:rsid w:val="00B03AC4"/>
    <w:rsid w:val="00B0446D"/>
    <w:rsid w:val="00B04877"/>
    <w:rsid w:val="00B04A62"/>
    <w:rsid w:val="00B04C83"/>
    <w:rsid w:val="00B051A6"/>
    <w:rsid w:val="00B05EAD"/>
    <w:rsid w:val="00B05EC0"/>
    <w:rsid w:val="00B05FD9"/>
    <w:rsid w:val="00B06040"/>
    <w:rsid w:val="00B06FB0"/>
    <w:rsid w:val="00B07043"/>
    <w:rsid w:val="00B072DA"/>
    <w:rsid w:val="00B07703"/>
    <w:rsid w:val="00B07A5B"/>
    <w:rsid w:val="00B103DD"/>
    <w:rsid w:val="00B106A7"/>
    <w:rsid w:val="00B107C5"/>
    <w:rsid w:val="00B10852"/>
    <w:rsid w:val="00B1098B"/>
    <w:rsid w:val="00B10B56"/>
    <w:rsid w:val="00B10E4A"/>
    <w:rsid w:val="00B11468"/>
    <w:rsid w:val="00B116B2"/>
    <w:rsid w:val="00B11AB1"/>
    <w:rsid w:val="00B12B82"/>
    <w:rsid w:val="00B13071"/>
    <w:rsid w:val="00B1368F"/>
    <w:rsid w:val="00B13952"/>
    <w:rsid w:val="00B1418B"/>
    <w:rsid w:val="00B14635"/>
    <w:rsid w:val="00B14E9C"/>
    <w:rsid w:val="00B14FE6"/>
    <w:rsid w:val="00B159BA"/>
    <w:rsid w:val="00B15F3A"/>
    <w:rsid w:val="00B161B3"/>
    <w:rsid w:val="00B164B4"/>
    <w:rsid w:val="00B16563"/>
    <w:rsid w:val="00B16593"/>
    <w:rsid w:val="00B16AFE"/>
    <w:rsid w:val="00B16E86"/>
    <w:rsid w:val="00B16E99"/>
    <w:rsid w:val="00B16EA3"/>
    <w:rsid w:val="00B17323"/>
    <w:rsid w:val="00B17449"/>
    <w:rsid w:val="00B174B8"/>
    <w:rsid w:val="00B2028B"/>
    <w:rsid w:val="00B202EE"/>
    <w:rsid w:val="00B20653"/>
    <w:rsid w:val="00B206E3"/>
    <w:rsid w:val="00B20842"/>
    <w:rsid w:val="00B21525"/>
    <w:rsid w:val="00B21C5E"/>
    <w:rsid w:val="00B220B4"/>
    <w:rsid w:val="00B222AA"/>
    <w:rsid w:val="00B22D3B"/>
    <w:rsid w:val="00B243E4"/>
    <w:rsid w:val="00B24556"/>
    <w:rsid w:val="00B24626"/>
    <w:rsid w:val="00B24693"/>
    <w:rsid w:val="00B257F5"/>
    <w:rsid w:val="00B26ADC"/>
    <w:rsid w:val="00B26C0C"/>
    <w:rsid w:val="00B27044"/>
    <w:rsid w:val="00B271C5"/>
    <w:rsid w:val="00B27250"/>
    <w:rsid w:val="00B2746B"/>
    <w:rsid w:val="00B27589"/>
    <w:rsid w:val="00B27C46"/>
    <w:rsid w:val="00B27CD2"/>
    <w:rsid w:val="00B27F31"/>
    <w:rsid w:val="00B30044"/>
    <w:rsid w:val="00B30511"/>
    <w:rsid w:val="00B3059C"/>
    <w:rsid w:val="00B3076F"/>
    <w:rsid w:val="00B310B1"/>
    <w:rsid w:val="00B311C2"/>
    <w:rsid w:val="00B31432"/>
    <w:rsid w:val="00B314F0"/>
    <w:rsid w:val="00B31B56"/>
    <w:rsid w:val="00B31EA0"/>
    <w:rsid w:val="00B32651"/>
    <w:rsid w:val="00B32831"/>
    <w:rsid w:val="00B3385F"/>
    <w:rsid w:val="00B33E13"/>
    <w:rsid w:val="00B3423C"/>
    <w:rsid w:val="00B342E0"/>
    <w:rsid w:val="00B343A5"/>
    <w:rsid w:val="00B34A0E"/>
    <w:rsid w:val="00B350C4"/>
    <w:rsid w:val="00B3553D"/>
    <w:rsid w:val="00B3560F"/>
    <w:rsid w:val="00B35C91"/>
    <w:rsid w:val="00B35E35"/>
    <w:rsid w:val="00B361D0"/>
    <w:rsid w:val="00B362D2"/>
    <w:rsid w:val="00B36369"/>
    <w:rsid w:val="00B36E03"/>
    <w:rsid w:val="00B373B3"/>
    <w:rsid w:val="00B37914"/>
    <w:rsid w:val="00B37A05"/>
    <w:rsid w:val="00B37C64"/>
    <w:rsid w:val="00B37CCD"/>
    <w:rsid w:val="00B40D00"/>
    <w:rsid w:val="00B40D23"/>
    <w:rsid w:val="00B40E8D"/>
    <w:rsid w:val="00B41838"/>
    <w:rsid w:val="00B41B01"/>
    <w:rsid w:val="00B41B39"/>
    <w:rsid w:val="00B41FBF"/>
    <w:rsid w:val="00B4208D"/>
    <w:rsid w:val="00B422D2"/>
    <w:rsid w:val="00B429FC"/>
    <w:rsid w:val="00B4310E"/>
    <w:rsid w:val="00B4399D"/>
    <w:rsid w:val="00B43FE5"/>
    <w:rsid w:val="00B4431F"/>
    <w:rsid w:val="00B44C76"/>
    <w:rsid w:val="00B44F26"/>
    <w:rsid w:val="00B4551A"/>
    <w:rsid w:val="00B455B0"/>
    <w:rsid w:val="00B45D77"/>
    <w:rsid w:val="00B46696"/>
    <w:rsid w:val="00B46AC1"/>
    <w:rsid w:val="00B46D4D"/>
    <w:rsid w:val="00B46DFD"/>
    <w:rsid w:val="00B46E7D"/>
    <w:rsid w:val="00B4705E"/>
    <w:rsid w:val="00B4718C"/>
    <w:rsid w:val="00B47883"/>
    <w:rsid w:val="00B503D8"/>
    <w:rsid w:val="00B50B75"/>
    <w:rsid w:val="00B50E8F"/>
    <w:rsid w:val="00B51265"/>
    <w:rsid w:val="00B51AED"/>
    <w:rsid w:val="00B51EAE"/>
    <w:rsid w:val="00B5234B"/>
    <w:rsid w:val="00B53D1F"/>
    <w:rsid w:val="00B54D2D"/>
    <w:rsid w:val="00B552C0"/>
    <w:rsid w:val="00B55479"/>
    <w:rsid w:val="00B55A72"/>
    <w:rsid w:val="00B56265"/>
    <w:rsid w:val="00B56847"/>
    <w:rsid w:val="00B568BE"/>
    <w:rsid w:val="00B57262"/>
    <w:rsid w:val="00B57314"/>
    <w:rsid w:val="00B57BDA"/>
    <w:rsid w:val="00B57CA6"/>
    <w:rsid w:val="00B57D21"/>
    <w:rsid w:val="00B57D94"/>
    <w:rsid w:val="00B57EEA"/>
    <w:rsid w:val="00B61497"/>
    <w:rsid w:val="00B6197B"/>
    <w:rsid w:val="00B61BBD"/>
    <w:rsid w:val="00B61E30"/>
    <w:rsid w:val="00B62199"/>
    <w:rsid w:val="00B62DCE"/>
    <w:rsid w:val="00B62ED2"/>
    <w:rsid w:val="00B62FDF"/>
    <w:rsid w:val="00B64023"/>
    <w:rsid w:val="00B653E5"/>
    <w:rsid w:val="00B656B4"/>
    <w:rsid w:val="00B65753"/>
    <w:rsid w:val="00B66287"/>
    <w:rsid w:val="00B671C6"/>
    <w:rsid w:val="00B67F47"/>
    <w:rsid w:val="00B67F50"/>
    <w:rsid w:val="00B709CF"/>
    <w:rsid w:val="00B70B9A"/>
    <w:rsid w:val="00B70C1F"/>
    <w:rsid w:val="00B714AB"/>
    <w:rsid w:val="00B7164B"/>
    <w:rsid w:val="00B71A05"/>
    <w:rsid w:val="00B71FF3"/>
    <w:rsid w:val="00B72BF0"/>
    <w:rsid w:val="00B73F23"/>
    <w:rsid w:val="00B742E3"/>
    <w:rsid w:val="00B7442B"/>
    <w:rsid w:val="00B74E2C"/>
    <w:rsid w:val="00B7532C"/>
    <w:rsid w:val="00B75873"/>
    <w:rsid w:val="00B75AC9"/>
    <w:rsid w:val="00B75C74"/>
    <w:rsid w:val="00B75EE4"/>
    <w:rsid w:val="00B76324"/>
    <w:rsid w:val="00B764C3"/>
    <w:rsid w:val="00B77152"/>
    <w:rsid w:val="00B779C6"/>
    <w:rsid w:val="00B77CD9"/>
    <w:rsid w:val="00B80A52"/>
    <w:rsid w:val="00B80AD5"/>
    <w:rsid w:val="00B80D49"/>
    <w:rsid w:val="00B80DE8"/>
    <w:rsid w:val="00B813DE"/>
    <w:rsid w:val="00B81CBE"/>
    <w:rsid w:val="00B82122"/>
    <w:rsid w:val="00B825FC"/>
    <w:rsid w:val="00B8459E"/>
    <w:rsid w:val="00B84699"/>
    <w:rsid w:val="00B8472C"/>
    <w:rsid w:val="00B85CD0"/>
    <w:rsid w:val="00B85DE6"/>
    <w:rsid w:val="00B8621F"/>
    <w:rsid w:val="00B86243"/>
    <w:rsid w:val="00B86296"/>
    <w:rsid w:val="00B863EC"/>
    <w:rsid w:val="00B868EA"/>
    <w:rsid w:val="00B874B3"/>
    <w:rsid w:val="00B87929"/>
    <w:rsid w:val="00B87A4C"/>
    <w:rsid w:val="00B87D39"/>
    <w:rsid w:val="00B87E5C"/>
    <w:rsid w:val="00B90854"/>
    <w:rsid w:val="00B90887"/>
    <w:rsid w:val="00B90EDD"/>
    <w:rsid w:val="00B91064"/>
    <w:rsid w:val="00B916E4"/>
    <w:rsid w:val="00B91A37"/>
    <w:rsid w:val="00B91AED"/>
    <w:rsid w:val="00B92069"/>
    <w:rsid w:val="00B924E4"/>
    <w:rsid w:val="00B92D2F"/>
    <w:rsid w:val="00B93081"/>
    <w:rsid w:val="00B9374E"/>
    <w:rsid w:val="00B9384E"/>
    <w:rsid w:val="00B942C6"/>
    <w:rsid w:val="00B947BB"/>
    <w:rsid w:val="00B94A7C"/>
    <w:rsid w:val="00B94C99"/>
    <w:rsid w:val="00B959C8"/>
    <w:rsid w:val="00B95CAC"/>
    <w:rsid w:val="00B96A23"/>
    <w:rsid w:val="00B97287"/>
    <w:rsid w:val="00BA02BC"/>
    <w:rsid w:val="00BA03FF"/>
    <w:rsid w:val="00BA0C0F"/>
    <w:rsid w:val="00BA0F3B"/>
    <w:rsid w:val="00BA0F85"/>
    <w:rsid w:val="00BA1562"/>
    <w:rsid w:val="00BA24FB"/>
    <w:rsid w:val="00BA251D"/>
    <w:rsid w:val="00BA26A0"/>
    <w:rsid w:val="00BA26E7"/>
    <w:rsid w:val="00BA2862"/>
    <w:rsid w:val="00BA35A6"/>
    <w:rsid w:val="00BA38B9"/>
    <w:rsid w:val="00BA3A7A"/>
    <w:rsid w:val="00BA3EB8"/>
    <w:rsid w:val="00BA44C6"/>
    <w:rsid w:val="00BA49CC"/>
    <w:rsid w:val="00BA517C"/>
    <w:rsid w:val="00BA5210"/>
    <w:rsid w:val="00BA5F0E"/>
    <w:rsid w:val="00BA61D0"/>
    <w:rsid w:val="00BA68C8"/>
    <w:rsid w:val="00BA6BD5"/>
    <w:rsid w:val="00BA6C84"/>
    <w:rsid w:val="00BA7167"/>
    <w:rsid w:val="00BA7246"/>
    <w:rsid w:val="00BA7BEA"/>
    <w:rsid w:val="00BB0072"/>
    <w:rsid w:val="00BB054F"/>
    <w:rsid w:val="00BB0D46"/>
    <w:rsid w:val="00BB118F"/>
    <w:rsid w:val="00BB194B"/>
    <w:rsid w:val="00BB207D"/>
    <w:rsid w:val="00BB2478"/>
    <w:rsid w:val="00BB2614"/>
    <w:rsid w:val="00BB3527"/>
    <w:rsid w:val="00BB38E6"/>
    <w:rsid w:val="00BB3F47"/>
    <w:rsid w:val="00BB41FA"/>
    <w:rsid w:val="00BB4741"/>
    <w:rsid w:val="00BB4D8D"/>
    <w:rsid w:val="00BB52EC"/>
    <w:rsid w:val="00BB558F"/>
    <w:rsid w:val="00BB56A0"/>
    <w:rsid w:val="00BB5F88"/>
    <w:rsid w:val="00BB64A0"/>
    <w:rsid w:val="00BB6DB5"/>
    <w:rsid w:val="00BB73A2"/>
    <w:rsid w:val="00BC0B81"/>
    <w:rsid w:val="00BC0DA6"/>
    <w:rsid w:val="00BC1DA0"/>
    <w:rsid w:val="00BC237C"/>
    <w:rsid w:val="00BC2C37"/>
    <w:rsid w:val="00BC2E63"/>
    <w:rsid w:val="00BC34E1"/>
    <w:rsid w:val="00BC356C"/>
    <w:rsid w:val="00BC363B"/>
    <w:rsid w:val="00BC3B9E"/>
    <w:rsid w:val="00BC4125"/>
    <w:rsid w:val="00BC41A3"/>
    <w:rsid w:val="00BC4C96"/>
    <w:rsid w:val="00BC4E72"/>
    <w:rsid w:val="00BC50A1"/>
    <w:rsid w:val="00BC53E9"/>
    <w:rsid w:val="00BC5635"/>
    <w:rsid w:val="00BC5B38"/>
    <w:rsid w:val="00BC5D1E"/>
    <w:rsid w:val="00BC6066"/>
    <w:rsid w:val="00BC64D2"/>
    <w:rsid w:val="00BC69DA"/>
    <w:rsid w:val="00BC6A9D"/>
    <w:rsid w:val="00BC6F1D"/>
    <w:rsid w:val="00BC7632"/>
    <w:rsid w:val="00BC78D0"/>
    <w:rsid w:val="00BC7D63"/>
    <w:rsid w:val="00BC7D85"/>
    <w:rsid w:val="00BC7F7A"/>
    <w:rsid w:val="00BD05A0"/>
    <w:rsid w:val="00BD0FE4"/>
    <w:rsid w:val="00BD1A99"/>
    <w:rsid w:val="00BD1AF2"/>
    <w:rsid w:val="00BD1C46"/>
    <w:rsid w:val="00BD1CB9"/>
    <w:rsid w:val="00BD1FC4"/>
    <w:rsid w:val="00BD271E"/>
    <w:rsid w:val="00BD3ACC"/>
    <w:rsid w:val="00BD44F9"/>
    <w:rsid w:val="00BD4744"/>
    <w:rsid w:val="00BD5133"/>
    <w:rsid w:val="00BD539A"/>
    <w:rsid w:val="00BD57A9"/>
    <w:rsid w:val="00BD5BB9"/>
    <w:rsid w:val="00BD6481"/>
    <w:rsid w:val="00BD6582"/>
    <w:rsid w:val="00BD684B"/>
    <w:rsid w:val="00BD7204"/>
    <w:rsid w:val="00BD7E78"/>
    <w:rsid w:val="00BE0607"/>
    <w:rsid w:val="00BE0CF5"/>
    <w:rsid w:val="00BE0D2F"/>
    <w:rsid w:val="00BE180D"/>
    <w:rsid w:val="00BE2420"/>
    <w:rsid w:val="00BE281B"/>
    <w:rsid w:val="00BE3C80"/>
    <w:rsid w:val="00BE51B5"/>
    <w:rsid w:val="00BE5294"/>
    <w:rsid w:val="00BE557A"/>
    <w:rsid w:val="00BE5C24"/>
    <w:rsid w:val="00BE655C"/>
    <w:rsid w:val="00BE697C"/>
    <w:rsid w:val="00BE712B"/>
    <w:rsid w:val="00BE7702"/>
    <w:rsid w:val="00BE7A54"/>
    <w:rsid w:val="00BE7C7D"/>
    <w:rsid w:val="00BF042F"/>
    <w:rsid w:val="00BF0C41"/>
    <w:rsid w:val="00BF0E3B"/>
    <w:rsid w:val="00BF17C4"/>
    <w:rsid w:val="00BF1CE7"/>
    <w:rsid w:val="00BF291D"/>
    <w:rsid w:val="00BF2DF3"/>
    <w:rsid w:val="00BF3191"/>
    <w:rsid w:val="00BF3195"/>
    <w:rsid w:val="00BF327D"/>
    <w:rsid w:val="00BF34EB"/>
    <w:rsid w:val="00BF3BA1"/>
    <w:rsid w:val="00BF3DDB"/>
    <w:rsid w:val="00BF414C"/>
    <w:rsid w:val="00BF428A"/>
    <w:rsid w:val="00BF4DD9"/>
    <w:rsid w:val="00BF5E88"/>
    <w:rsid w:val="00BF7060"/>
    <w:rsid w:val="00BF71B0"/>
    <w:rsid w:val="00BF7271"/>
    <w:rsid w:val="00BF7B47"/>
    <w:rsid w:val="00C00793"/>
    <w:rsid w:val="00C014D5"/>
    <w:rsid w:val="00C01805"/>
    <w:rsid w:val="00C01B7B"/>
    <w:rsid w:val="00C0222E"/>
    <w:rsid w:val="00C02779"/>
    <w:rsid w:val="00C02850"/>
    <w:rsid w:val="00C0363D"/>
    <w:rsid w:val="00C03F7A"/>
    <w:rsid w:val="00C04033"/>
    <w:rsid w:val="00C04AAB"/>
    <w:rsid w:val="00C04B20"/>
    <w:rsid w:val="00C04BD5"/>
    <w:rsid w:val="00C04CDE"/>
    <w:rsid w:val="00C057CF"/>
    <w:rsid w:val="00C06054"/>
    <w:rsid w:val="00C060D7"/>
    <w:rsid w:val="00C061E0"/>
    <w:rsid w:val="00C06785"/>
    <w:rsid w:val="00C06F11"/>
    <w:rsid w:val="00C0720D"/>
    <w:rsid w:val="00C07F31"/>
    <w:rsid w:val="00C10794"/>
    <w:rsid w:val="00C10BE4"/>
    <w:rsid w:val="00C10CAD"/>
    <w:rsid w:val="00C10F12"/>
    <w:rsid w:val="00C1152F"/>
    <w:rsid w:val="00C1211F"/>
    <w:rsid w:val="00C12288"/>
    <w:rsid w:val="00C124CD"/>
    <w:rsid w:val="00C1250C"/>
    <w:rsid w:val="00C12CBB"/>
    <w:rsid w:val="00C13253"/>
    <w:rsid w:val="00C13283"/>
    <w:rsid w:val="00C132BA"/>
    <w:rsid w:val="00C135CF"/>
    <w:rsid w:val="00C139D6"/>
    <w:rsid w:val="00C13BED"/>
    <w:rsid w:val="00C14042"/>
    <w:rsid w:val="00C14366"/>
    <w:rsid w:val="00C149C2"/>
    <w:rsid w:val="00C15094"/>
    <w:rsid w:val="00C1537A"/>
    <w:rsid w:val="00C1585D"/>
    <w:rsid w:val="00C1655C"/>
    <w:rsid w:val="00C16636"/>
    <w:rsid w:val="00C16AD5"/>
    <w:rsid w:val="00C16DF9"/>
    <w:rsid w:val="00C17503"/>
    <w:rsid w:val="00C17835"/>
    <w:rsid w:val="00C17C54"/>
    <w:rsid w:val="00C17D8D"/>
    <w:rsid w:val="00C17E5F"/>
    <w:rsid w:val="00C20B9F"/>
    <w:rsid w:val="00C21110"/>
    <w:rsid w:val="00C2118E"/>
    <w:rsid w:val="00C217F5"/>
    <w:rsid w:val="00C22537"/>
    <w:rsid w:val="00C2304F"/>
    <w:rsid w:val="00C23F81"/>
    <w:rsid w:val="00C24149"/>
    <w:rsid w:val="00C2456D"/>
    <w:rsid w:val="00C245CB"/>
    <w:rsid w:val="00C24A8F"/>
    <w:rsid w:val="00C2533D"/>
    <w:rsid w:val="00C25D6D"/>
    <w:rsid w:val="00C26404"/>
    <w:rsid w:val="00C26804"/>
    <w:rsid w:val="00C26D60"/>
    <w:rsid w:val="00C273DE"/>
    <w:rsid w:val="00C30014"/>
    <w:rsid w:val="00C30B26"/>
    <w:rsid w:val="00C31F6D"/>
    <w:rsid w:val="00C3202F"/>
    <w:rsid w:val="00C32191"/>
    <w:rsid w:val="00C32342"/>
    <w:rsid w:val="00C326B3"/>
    <w:rsid w:val="00C327B3"/>
    <w:rsid w:val="00C33033"/>
    <w:rsid w:val="00C33129"/>
    <w:rsid w:val="00C33A38"/>
    <w:rsid w:val="00C34481"/>
    <w:rsid w:val="00C34A2C"/>
    <w:rsid w:val="00C34B2A"/>
    <w:rsid w:val="00C34CBA"/>
    <w:rsid w:val="00C34F0E"/>
    <w:rsid w:val="00C355A4"/>
    <w:rsid w:val="00C3599A"/>
    <w:rsid w:val="00C35DC2"/>
    <w:rsid w:val="00C36BEA"/>
    <w:rsid w:val="00C36FA6"/>
    <w:rsid w:val="00C374EF"/>
    <w:rsid w:val="00C37FA1"/>
    <w:rsid w:val="00C402CA"/>
    <w:rsid w:val="00C406C4"/>
    <w:rsid w:val="00C40749"/>
    <w:rsid w:val="00C4078E"/>
    <w:rsid w:val="00C408D5"/>
    <w:rsid w:val="00C4093F"/>
    <w:rsid w:val="00C40C87"/>
    <w:rsid w:val="00C413ED"/>
    <w:rsid w:val="00C41A13"/>
    <w:rsid w:val="00C41A29"/>
    <w:rsid w:val="00C41A66"/>
    <w:rsid w:val="00C4293F"/>
    <w:rsid w:val="00C43EB7"/>
    <w:rsid w:val="00C44195"/>
    <w:rsid w:val="00C4426B"/>
    <w:rsid w:val="00C443ED"/>
    <w:rsid w:val="00C4461C"/>
    <w:rsid w:val="00C44CAC"/>
    <w:rsid w:val="00C44D16"/>
    <w:rsid w:val="00C4545E"/>
    <w:rsid w:val="00C455D8"/>
    <w:rsid w:val="00C45652"/>
    <w:rsid w:val="00C45731"/>
    <w:rsid w:val="00C45CF2"/>
    <w:rsid w:val="00C45D0D"/>
    <w:rsid w:val="00C461BE"/>
    <w:rsid w:val="00C46321"/>
    <w:rsid w:val="00C464CA"/>
    <w:rsid w:val="00C4659A"/>
    <w:rsid w:val="00C46E2C"/>
    <w:rsid w:val="00C473EB"/>
    <w:rsid w:val="00C477B6"/>
    <w:rsid w:val="00C47D16"/>
    <w:rsid w:val="00C50548"/>
    <w:rsid w:val="00C50772"/>
    <w:rsid w:val="00C508A4"/>
    <w:rsid w:val="00C512BB"/>
    <w:rsid w:val="00C51E5A"/>
    <w:rsid w:val="00C51FE7"/>
    <w:rsid w:val="00C522F9"/>
    <w:rsid w:val="00C527AE"/>
    <w:rsid w:val="00C52ABD"/>
    <w:rsid w:val="00C53292"/>
    <w:rsid w:val="00C53D1B"/>
    <w:rsid w:val="00C5407D"/>
    <w:rsid w:val="00C550E4"/>
    <w:rsid w:val="00C55143"/>
    <w:rsid w:val="00C55673"/>
    <w:rsid w:val="00C55D7F"/>
    <w:rsid w:val="00C562F8"/>
    <w:rsid w:val="00C56F66"/>
    <w:rsid w:val="00C56F8E"/>
    <w:rsid w:val="00C57C5E"/>
    <w:rsid w:val="00C57E85"/>
    <w:rsid w:val="00C601D0"/>
    <w:rsid w:val="00C60302"/>
    <w:rsid w:val="00C6065A"/>
    <w:rsid w:val="00C60BC6"/>
    <w:rsid w:val="00C61102"/>
    <w:rsid w:val="00C611CD"/>
    <w:rsid w:val="00C612E0"/>
    <w:rsid w:val="00C61F91"/>
    <w:rsid w:val="00C6297E"/>
    <w:rsid w:val="00C6312C"/>
    <w:rsid w:val="00C63519"/>
    <w:rsid w:val="00C63C2D"/>
    <w:rsid w:val="00C64962"/>
    <w:rsid w:val="00C64B41"/>
    <w:rsid w:val="00C64CC1"/>
    <w:rsid w:val="00C654FA"/>
    <w:rsid w:val="00C6569E"/>
    <w:rsid w:val="00C65A65"/>
    <w:rsid w:val="00C65FF7"/>
    <w:rsid w:val="00C669E4"/>
    <w:rsid w:val="00C66D23"/>
    <w:rsid w:val="00C67057"/>
    <w:rsid w:val="00C6706F"/>
    <w:rsid w:val="00C6781C"/>
    <w:rsid w:val="00C678AD"/>
    <w:rsid w:val="00C67A17"/>
    <w:rsid w:val="00C70049"/>
    <w:rsid w:val="00C70062"/>
    <w:rsid w:val="00C70A5D"/>
    <w:rsid w:val="00C70D98"/>
    <w:rsid w:val="00C70F28"/>
    <w:rsid w:val="00C714F4"/>
    <w:rsid w:val="00C719B5"/>
    <w:rsid w:val="00C71B2B"/>
    <w:rsid w:val="00C72021"/>
    <w:rsid w:val="00C726F5"/>
    <w:rsid w:val="00C7314D"/>
    <w:rsid w:val="00C73974"/>
    <w:rsid w:val="00C73D87"/>
    <w:rsid w:val="00C7472A"/>
    <w:rsid w:val="00C7498E"/>
    <w:rsid w:val="00C74DDA"/>
    <w:rsid w:val="00C7510C"/>
    <w:rsid w:val="00C759F4"/>
    <w:rsid w:val="00C75ABC"/>
    <w:rsid w:val="00C75B05"/>
    <w:rsid w:val="00C75D44"/>
    <w:rsid w:val="00C7610B"/>
    <w:rsid w:val="00C7669B"/>
    <w:rsid w:val="00C76FB7"/>
    <w:rsid w:val="00C7704C"/>
    <w:rsid w:val="00C772C6"/>
    <w:rsid w:val="00C8032B"/>
    <w:rsid w:val="00C80689"/>
    <w:rsid w:val="00C8070C"/>
    <w:rsid w:val="00C8080D"/>
    <w:rsid w:val="00C80DBF"/>
    <w:rsid w:val="00C81162"/>
    <w:rsid w:val="00C81189"/>
    <w:rsid w:val="00C81380"/>
    <w:rsid w:val="00C8227C"/>
    <w:rsid w:val="00C822E1"/>
    <w:rsid w:val="00C8271C"/>
    <w:rsid w:val="00C82B1A"/>
    <w:rsid w:val="00C82B2D"/>
    <w:rsid w:val="00C835DC"/>
    <w:rsid w:val="00C83757"/>
    <w:rsid w:val="00C83837"/>
    <w:rsid w:val="00C839E4"/>
    <w:rsid w:val="00C84279"/>
    <w:rsid w:val="00C8456C"/>
    <w:rsid w:val="00C846DC"/>
    <w:rsid w:val="00C84EBD"/>
    <w:rsid w:val="00C8532A"/>
    <w:rsid w:val="00C85838"/>
    <w:rsid w:val="00C85E25"/>
    <w:rsid w:val="00C86760"/>
    <w:rsid w:val="00C86EC8"/>
    <w:rsid w:val="00C87474"/>
    <w:rsid w:val="00C87F82"/>
    <w:rsid w:val="00C90206"/>
    <w:rsid w:val="00C9021F"/>
    <w:rsid w:val="00C90633"/>
    <w:rsid w:val="00C90D76"/>
    <w:rsid w:val="00C90FD7"/>
    <w:rsid w:val="00C91CD7"/>
    <w:rsid w:val="00C91E97"/>
    <w:rsid w:val="00C91FFB"/>
    <w:rsid w:val="00C9296C"/>
    <w:rsid w:val="00C92C3F"/>
    <w:rsid w:val="00C93398"/>
    <w:rsid w:val="00C933F0"/>
    <w:rsid w:val="00C937DD"/>
    <w:rsid w:val="00C9389A"/>
    <w:rsid w:val="00C93C5F"/>
    <w:rsid w:val="00C945EF"/>
    <w:rsid w:val="00C94AB7"/>
    <w:rsid w:val="00C94C0E"/>
    <w:rsid w:val="00C950D3"/>
    <w:rsid w:val="00C954BA"/>
    <w:rsid w:val="00C95A46"/>
    <w:rsid w:val="00C96C22"/>
    <w:rsid w:val="00C9792F"/>
    <w:rsid w:val="00CA02F0"/>
    <w:rsid w:val="00CA0760"/>
    <w:rsid w:val="00CA0946"/>
    <w:rsid w:val="00CA0ADC"/>
    <w:rsid w:val="00CA0CF2"/>
    <w:rsid w:val="00CA3064"/>
    <w:rsid w:val="00CA39E1"/>
    <w:rsid w:val="00CA3CFA"/>
    <w:rsid w:val="00CA4E62"/>
    <w:rsid w:val="00CA53D9"/>
    <w:rsid w:val="00CA58CD"/>
    <w:rsid w:val="00CA6798"/>
    <w:rsid w:val="00CA71C0"/>
    <w:rsid w:val="00CA7522"/>
    <w:rsid w:val="00CA7874"/>
    <w:rsid w:val="00CA78C2"/>
    <w:rsid w:val="00CB004F"/>
    <w:rsid w:val="00CB0593"/>
    <w:rsid w:val="00CB1032"/>
    <w:rsid w:val="00CB1160"/>
    <w:rsid w:val="00CB18DF"/>
    <w:rsid w:val="00CB1AFB"/>
    <w:rsid w:val="00CB1F00"/>
    <w:rsid w:val="00CB2227"/>
    <w:rsid w:val="00CB22EE"/>
    <w:rsid w:val="00CB25CE"/>
    <w:rsid w:val="00CB40F8"/>
    <w:rsid w:val="00CB4CDE"/>
    <w:rsid w:val="00CB50FE"/>
    <w:rsid w:val="00CB54FA"/>
    <w:rsid w:val="00CB5BCF"/>
    <w:rsid w:val="00CB5F6C"/>
    <w:rsid w:val="00CB6055"/>
    <w:rsid w:val="00CB659B"/>
    <w:rsid w:val="00CB67E3"/>
    <w:rsid w:val="00CB7628"/>
    <w:rsid w:val="00CB784F"/>
    <w:rsid w:val="00CC01FD"/>
    <w:rsid w:val="00CC148B"/>
    <w:rsid w:val="00CC18EA"/>
    <w:rsid w:val="00CC1B60"/>
    <w:rsid w:val="00CC1F41"/>
    <w:rsid w:val="00CC2ACB"/>
    <w:rsid w:val="00CC2DDB"/>
    <w:rsid w:val="00CC32CD"/>
    <w:rsid w:val="00CC40C6"/>
    <w:rsid w:val="00CC44E1"/>
    <w:rsid w:val="00CC492B"/>
    <w:rsid w:val="00CC49A9"/>
    <w:rsid w:val="00CC4E61"/>
    <w:rsid w:val="00CC4F00"/>
    <w:rsid w:val="00CC568B"/>
    <w:rsid w:val="00CC6004"/>
    <w:rsid w:val="00CC62F5"/>
    <w:rsid w:val="00CC6342"/>
    <w:rsid w:val="00CC6BBA"/>
    <w:rsid w:val="00CC6FF6"/>
    <w:rsid w:val="00CC7457"/>
    <w:rsid w:val="00CC7599"/>
    <w:rsid w:val="00CC7DB6"/>
    <w:rsid w:val="00CD04AE"/>
    <w:rsid w:val="00CD12A8"/>
    <w:rsid w:val="00CD1B6C"/>
    <w:rsid w:val="00CD34D0"/>
    <w:rsid w:val="00CD369D"/>
    <w:rsid w:val="00CD42F8"/>
    <w:rsid w:val="00CD4480"/>
    <w:rsid w:val="00CD4871"/>
    <w:rsid w:val="00CD50A7"/>
    <w:rsid w:val="00CD525C"/>
    <w:rsid w:val="00CD54D4"/>
    <w:rsid w:val="00CD5DC8"/>
    <w:rsid w:val="00CD608A"/>
    <w:rsid w:val="00CD7E3C"/>
    <w:rsid w:val="00CE0135"/>
    <w:rsid w:val="00CE0310"/>
    <w:rsid w:val="00CE0A9B"/>
    <w:rsid w:val="00CE0BCC"/>
    <w:rsid w:val="00CE13DE"/>
    <w:rsid w:val="00CE21CF"/>
    <w:rsid w:val="00CE3085"/>
    <w:rsid w:val="00CE3577"/>
    <w:rsid w:val="00CE35D1"/>
    <w:rsid w:val="00CE36D1"/>
    <w:rsid w:val="00CE3ABA"/>
    <w:rsid w:val="00CE3F09"/>
    <w:rsid w:val="00CE3F42"/>
    <w:rsid w:val="00CE3FD2"/>
    <w:rsid w:val="00CE441B"/>
    <w:rsid w:val="00CE4C4A"/>
    <w:rsid w:val="00CE4E5E"/>
    <w:rsid w:val="00CE620D"/>
    <w:rsid w:val="00CE626A"/>
    <w:rsid w:val="00CE668D"/>
    <w:rsid w:val="00CE6742"/>
    <w:rsid w:val="00CE693B"/>
    <w:rsid w:val="00CE6CAA"/>
    <w:rsid w:val="00CE6D6E"/>
    <w:rsid w:val="00CE7A62"/>
    <w:rsid w:val="00CF05F6"/>
    <w:rsid w:val="00CF1A4D"/>
    <w:rsid w:val="00CF20BC"/>
    <w:rsid w:val="00CF21D0"/>
    <w:rsid w:val="00CF25BD"/>
    <w:rsid w:val="00CF2C07"/>
    <w:rsid w:val="00CF2D87"/>
    <w:rsid w:val="00CF3043"/>
    <w:rsid w:val="00CF3394"/>
    <w:rsid w:val="00CF3441"/>
    <w:rsid w:val="00CF34C5"/>
    <w:rsid w:val="00CF39DC"/>
    <w:rsid w:val="00CF49AE"/>
    <w:rsid w:val="00CF5187"/>
    <w:rsid w:val="00CF56C4"/>
    <w:rsid w:val="00CF58C7"/>
    <w:rsid w:val="00CF5D16"/>
    <w:rsid w:val="00CF5ECF"/>
    <w:rsid w:val="00CF61A4"/>
    <w:rsid w:val="00CF6ACE"/>
    <w:rsid w:val="00CF6C7A"/>
    <w:rsid w:val="00D00053"/>
    <w:rsid w:val="00D000BE"/>
    <w:rsid w:val="00D0014F"/>
    <w:rsid w:val="00D008C7"/>
    <w:rsid w:val="00D017E9"/>
    <w:rsid w:val="00D01848"/>
    <w:rsid w:val="00D01CE4"/>
    <w:rsid w:val="00D02166"/>
    <w:rsid w:val="00D0232C"/>
    <w:rsid w:val="00D02868"/>
    <w:rsid w:val="00D02D4E"/>
    <w:rsid w:val="00D033F6"/>
    <w:rsid w:val="00D0441F"/>
    <w:rsid w:val="00D045F9"/>
    <w:rsid w:val="00D04E1A"/>
    <w:rsid w:val="00D05152"/>
    <w:rsid w:val="00D051E6"/>
    <w:rsid w:val="00D05499"/>
    <w:rsid w:val="00D05C46"/>
    <w:rsid w:val="00D06401"/>
    <w:rsid w:val="00D06B8D"/>
    <w:rsid w:val="00D06F37"/>
    <w:rsid w:val="00D073EE"/>
    <w:rsid w:val="00D10959"/>
    <w:rsid w:val="00D10AE4"/>
    <w:rsid w:val="00D10F78"/>
    <w:rsid w:val="00D112EF"/>
    <w:rsid w:val="00D1151E"/>
    <w:rsid w:val="00D11741"/>
    <w:rsid w:val="00D117C3"/>
    <w:rsid w:val="00D11AFD"/>
    <w:rsid w:val="00D12D6F"/>
    <w:rsid w:val="00D1307B"/>
    <w:rsid w:val="00D13559"/>
    <w:rsid w:val="00D136B3"/>
    <w:rsid w:val="00D137CF"/>
    <w:rsid w:val="00D13A6E"/>
    <w:rsid w:val="00D13B7F"/>
    <w:rsid w:val="00D13BF9"/>
    <w:rsid w:val="00D13F4D"/>
    <w:rsid w:val="00D13F9F"/>
    <w:rsid w:val="00D14323"/>
    <w:rsid w:val="00D14496"/>
    <w:rsid w:val="00D14A0B"/>
    <w:rsid w:val="00D15037"/>
    <w:rsid w:val="00D15652"/>
    <w:rsid w:val="00D15D56"/>
    <w:rsid w:val="00D1656D"/>
    <w:rsid w:val="00D1685E"/>
    <w:rsid w:val="00D16B10"/>
    <w:rsid w:val="00D1744E"/>
    <w:rsid w:val="00D177B7"/>
    <w:rsid w:val="00D177F6"/>
    <w:rsid w:val="00D20D09"/>
    <w:rsid w:val="00D20F49"/>
    <w:rsid w:val="00D23264"/>
    <w:rsid w:val="00D23A3D"/>
    <w:rsid w:val="00D240DB"/>
    <w:rsid w:val="00D245D3"/>
    <w:rsid w:val="00D247C5"/>
    <w:rsid w:val="00D2512B"/>
    <w:rsid w:val="00D259FF"/>
    <w:rsid w:val="00D26004"/>
    <w:rsid w:val="00D26F21"/>
    <w:rsid w:val="00D27078"/>
    <w:rsid w:val="00D270F4"/>
    <w:rsid w:val="00D277F7"/>
    <w:rsid w:val="00D27BAB"/>
    <w:rsid w:val="00D300AE"/>
    <w:rsid w:val="00D300B8"/>
    <w:rsid w:val="00D31456"/>
    <w:rsid w:val="00D316C5"/>
    <w:rsid w:val="00D31B17"/>
    <w:rsid w:val="00D31C45"/>
    <w:rsid w:val="00D32D36"/>
    <w:rsid w:val="00D32E67"/>
    <w:rsid w:val="00D3307C"/>
    <w:rsid w:val="00D33446"/>
    <w:rsid w:val="00D33914"/>
    <w:rsid w:val="00D33B0A"/>
    <w:rsid w:val="00D33E4A"/>
    <w:rsid w:val="00D340D1"/>
    <w:rsid w:val="00D347FE"/>
    <w:rsid w:val="00D35B4F"/>
    <w:rsid w:val="00D35D32"/>
    <w:rsid w:val="00D36046"/>
    <w:rsid w:val="00D36FA0"/>
    <w:rsid w:val="00D37507"/>
    <w:rsid w:val="00D378E7"/>
    <w:rsid w:val="00D37B9C"/>
    <w:rsid w:val="00D37CC6"/>
    <w:rsid w:val="00D37EE2"/>
    <w:rsid w:val="00D401B9"/>
    <w:rsid w:val="00D40AF3"/>
    <w:rsid w:val="00D4136B"/>
    <w:rsid w:val="00D41F60"/>
    <w:rsid w:val="00D42159"/>
    <w:rsid w:val="00D42315"/>
    <w:rsid w:val="00D423C0"/>
    <w:rsid w:val="00D42ED2"/>
    <w:rsid w:val="00D42F78"/>
    <w:rsid w:val="00D434A6"/>
    <w:rsid w:val="00D43535"/>
    <w:rsid w:val="00D43545"/>
    <w:rsid w:val="00D43A4B"/>
    <w:rsid w:val="00D44987"/>
    <w:rsid w:val="00D44D6D"/>
    <w:rsid w:val="00D44F1A"/>
    <w:rsid w:val="00D458A4"/>
    <w:rsid w:val="00D45C12"/>
    <w:rsid w:val="00D45D36"/>
    <w:rsid w:val="00D46223"/>
    <w:rsid w:val="00D46611"/>
    <w:rsid w:val="00D47C6E"/>
    <w:rsid w:val="00D47FB3"/>
    <w:rsid w:val="00D50359"/>
    <w:rsid w:val="00D50867"/>
    <w:rsid w:val="00D5097B"/>
    <w:rsid w:val="00D50B7E"/>
    <w:rsid w:val="00D514C6"/>
    <w:rsid w:val="00D51B3D"/>
    <w:rsid w:val="00D51D99"/>
    <w:rsid w:val="00D52114"/>
    <w:rsid w:val="00D525DD"/>
    <w:rsid w:val="00D5296B"/>
    <w:rsid w:val="00D531E9"/>
    <w:rsid w:val="00D53C0E"/>
    <w:rsid w:val="00D5438B"/>
    <w:rsid w:val="00D54483"/>
    <w:rsid w:val="00D549A6"/>
    <w:rsid w:val="00D54EB9"/>
    <w:rsid w:val="00D553B4"/>
    <w:rsid w:val="00D55439"/>
    <w:rsid w:val="00D5569F"/>
    <w:rsid w:val="00D559C2"/>
    <w:rsid w:val="00D559F6"/>
    <w:rsid w:val="00D55CF1"/>
    <w:rsid w:val="00D56080"/>
    <w:rsid w:val="00D5610D"/>
    <w:rsid w:val="00D56669"/>
    <w:rsid w:val="00D56CF1"/>
    <w:rsid w:val="00D56F9D"/>
    <w:rsid w:val="00D57116"/>
    <w:rsid w:val="00D57370"/>
    <w:rsid w:val="00D57A21"/>
    <w:rsid w:val="00D60451"/>
    <w:rsid w:val="00D60DDB"/>
    <w:rsid w:val="00D60F09"/>
    <w:rsid w:val="00D6151C"/>
    <w:rsid w:val="00D61F53"/>
    <w:rsid w:val="00D623F0"/>
    <w:rsid w:val="00D6286C"/>
    <w:rsid w:val="00D62A51"/>
    <w:rsid w:val="00D62C80"/>
    <w:rsid w:val="00D6354A"/>
    <w:rsid w:val="00D6360F"/>
    <w:rsid w:val="00D63B7A"/>
    <w:rsid w:val="00D63C45"/>
    <w:rsid w:val="00D63FAE"/>
    <w:rsid w:val="00D644FD"/>
    <w:rsid w:val="00D648F4"/>
    <w:rsid w:val="00D64A8E"/>
    <w:rsid w:val="00D64C87"/>
    <w:rsid w:val="00D65D58"/>
    <w:rsid w:val="00D65E2E"/>
    <w:rsid w:val="00D6716A"/>
    <w:rsid w:val="00D67AB3"/>
    <w:rsid w:val="00D67C46"/>
    <w:rsid w:val="00D67D2E"/>
    <w:rsid w:val="00D70073"/>
    <w:rsid w:val="00D70A3F"/>
    <w:rsid w:val="00D70C69"/>
    <w:rsid w:val="00D71C2D"/>
    <w:rsid w:val="00D72532"/>
    <w:rsid w:val="00D7274A"/>
    <w:rsid w:val="00D72B13"/>
    <w:rsid w:val="00D733D7"/>
    <w:rsid w:val="00D73725"/>
    <w:rsid w:val="00D73763"/>
    <w:rsid w:val="00D738D8"/>
    <w:rsid w:val="00D748BE"/>
    <w:rsid w:val="00D74FDE"/>
    <w:rsid w:val="00D75380"/>
    <w:rsid w:val="00D75C16"/>
    <w:rsid w:val="00D7611D"/>
    <w:rsid w:val="00D761E8"/>
    <w:rsid w:val="00D76BC6"/>
    <w:rsid w:val="00D76E0D"/>
    <w:rsid w:val="00D777E9"/>
    <w:rsid w:val="00D806CD"/>
    <w:rsid w:val="00D80A71"/>
    <w:rsid w:val="00D80BD7"/>
    <w:rsid w:val="00D80E8D"/>
    <w:rsid w:val="00D8172D"/>
    <w:rsid w:val="00D81A31"/>
    <w:rsid w:val="00D82B0F"/>
    <w:rsid w:val="00D831CF"/>
    <w:rsid w:val="00D832AA"/>
    <w:rsid w:val="00D832FF"/>
    <w:rsid w:val="00D83485"/>
    <w:rsid w:val="00D8361D"/>
    <w:rsid w:val="00D8491E"/>
    <w:rsid w:val="00D84C56"/>
    <w:rsid w:val="00D84CEF"/>
    <w:rsid w:val="00D84ED1"/>
    <w:rsid w:val="00D84EED"/>
    <w:rsid w:val="00D85C6C"/>
    <w:rsid w:val="00D85E51"/>
    <w:rsid w:val="00D86041"/>
    <w:rsid w:val="00D869DF"/>
    <w:rsid w:val="00D86B8D"/>
    <w:rsid w:val="00D86E2F"/>
    <w:rsid w:val="00D878C6"/>
    <w:rsid w:val="00D87AC0"/>
    <w:rsid w:val="00D87D45"/>
    <w:rsid w:val="00D90B80"/>
    <w:rsid w:val="00D91777"/>
    <w:rsid w:val="00D91C58"/>
    <w:rsid w:val="00D91E9C"/>
    <w:rsid w:val="00D920D8"/>
    <w:rsid w:val="00D92266"/>
    <w:rsid w:val="00D92473"/>
    <w:rsid w:val="00D93087"/>
    <w:rsid w:val="00D93796"/>
    <w:rsid w:val="00D93DAB"/>
    <w:rsid w:val="00D9400B"/>
    <w:rsid w:val="00D94A0C"/>
    <w:rsid w:val="00D94EDA"/>
    <w:rsid w:val="00D95039"/>
    <w:rsid w:val="00D96309"/>
    <w:rsid w:val="00D9652A"/>
    <w:rsid w:val="00D96796"/>
    <w:rsid w:val="00D9740D"/>
    <w:rsid w:val="00D975E8"/>
    <w:rsid w:val="00D976BD"/>
    <w:rsid w:val="00DA08A2"/>
    <w:rsid w:val="00DA0CA1"/>
    <w:rsid w:val="00DA12C5"/>
    <w:rsid w:val="00DA12D1"/>
    <w:rsid w:val="00DA1DFB"/>
    <w:rsid w:val="00DA1F05"/>
    <w:rsid w:val="00DA1FF5"/>
    <w:rsid w:val="00DA2356"/>
    <w:rsid w:val="00DA2465"/>
    <w:rsid w:val="00DA2BBF"/>
    <w:rsid w:val="00DA35A8"/>
    <w:rsid w:val="00DA3A54"/>
    <w:rsid w:val="00DA3C63"/>
    <w:rsid w:val="00DA4048"/>
    <w:rsid w:val="00DA42A3"/>
    <w:rsid w:val="00DA581B"/>
    <w:rsid w:val="00DA58C6"/>
    <w:rsid w:val="00DA5B83"/>
    <w:rsid w:val="00DA5D07"/>
    <w:rsid w:val="00DA67B4"/>
    <w:rsid w:val="00DA69F7"/>
    <w:rsid w:val="00DA6B11"/>
    <w:rsid w:val="00DA747C"/>
    <w:rsid w:val="00DA7F99"/>
    <w:rsid w:val="00DB0025"/>
    <w:rsid w:val="00DB0920"/>
    <w:rsid w:val="00DB0B25"/>
    <w:rsid w:val="00DB12AF"/>
    <w:rsid w:val="00DB12F1"/>
    <w:rsid w:val="00DB284F"/>
    <w:rsid w:val="00DB2876"/>
    <w:rsid w:val="00DB31F9"/>
    <w:rsid w:val="00DB33C4"/>
    <w:rsid w:val="00DB34EC"/>
    <w:rsid w:val="00DB382E"/>
    <w:rsid w:val="00DB3898"/>
    <w:rsid w:val="00DB3D63"/>
    <w:rsid w:val="00DB4C73"/>
    <w:rsid w:val="00DB513A"/>
    <w:rsid w:val="00DB5407"/>
    <w:rsid w:val="00DB5955"/>
    <w:rsid w:val="00DB5A88"/>
    <w:rsid w:val="00DB5C39"/>
    <w:rsid w:val="00DB646F"/>
    <w:rsid w:val="00DB68CB"/>
    <w:rsid w:val="00DB70AB"/>
    <w:rsid w:val="00DB7FAE"/>
    <w:rsid w:val="00DC0BE0"/>
    <w:rsid w:val="00DC0D85"/>
    <w:rsid w:val="00DC10AC"/>
    <w:rsid w:val="00DC147D"/>
    <w:rsid w:val="00DC1B1B"/>
    <w:rsid w:val="00DC1F07"/>
    <w:rsid w:val="00DC38E4"/>
    <w:rsid w:val="00DC3BBE"/>
    <w:rsid w:val="00DC3C71"/>
    <w:rsid w:val="00DC5543"/>
    <w:rsid w:val="00DC557F"/>
    <w:rsid w:val="00DC5FFC"/>
    <w:rsid w:val="00DC6808"/>
    <w:rsid w:val="00DC709A"/>
    <w:rsid w:val="00DC7366"/>
    <w:rsid w:val="00DC7832"/>
    <w:rsid w:val="00DC7B93"/>
    <w:rsid w:val="00DC7BBD"/>
    <w:rsid w:val="00DC7CDE"/>
    <w:rsid w:val="00DD0871"/>
    <w:rsid w:val="00DD0DC7"/>
    <w:rsid w:val="00DD16C2"/>
    <w:rsid w:val="00DD2111"/>
    <w:rsid w:val="00DD2988"/>
    <w:rsid w:val="00DD2CF0"/>
    <w:rsid w:val="00DD34D1"/>
    <w:rsid w:val="00DD38CB"/>
    <w:rsid w:val="00DD39E6"/>
    <w:rsid w:val="00DD3D55"/>
    <w:rsid w:val="00DD42D9"/>
    <w:rsid w:val="00DD4687"/>
    <w:rsid w:val="00DD4EC2"/>
    <w:rsid w:val="00DD4FE1"/>
    <w:rsid w:val="00DD543A"/>
    <w:rsid w:val="00DD57C6"/>
    <w:rsid w:val="00DD59DC"/>
    <w:rsid w:val="00DD5B41"/>
    <w:rsid w:val="00DD5DD2"/>
    <w:rsid w:val="00DD610B"/>
    <w:rsid w:val="00DD6F99"/>
    <w:rsid w:val="00DD72A7"/>
    <w:rsid w:val="00DD742C"/>
    <w:rsid w:val="00DD790B"/>
    <w:rsid w:val="00DE0904"/>
    <w:rsid w:val="00DE0D84"/>
    <w:rsid w:val="00DE1711"/>
    <w:rsid w:val="00DE1840"/>
    <w:rsid w:val="00DE1844"/>
    <w:rsid w:val="00DE3607"/>
    <w:rsid w:val="00DE4CBF"/>
    <w:rsid w:val="00DE4CD6"/>
    <w:rsid w:val="00DE5019"/>
    <w:rsid w:val="00DE504B"/>
    <w:rsid w:val="00DE53F5"/>
    <w:rsid w:val="00DE5F9A"/>
    <w:rsid w:val="00DE6194"/>
    <w:rsid w:val="00DE6BAB"/>
    <w:rsid w:val="00DE6E13"/>
    <w:rsid w:val="00DE6EDA"/>
    <w:rsid w:val="00DE71D2"/>
    <w:rsid w:val="00DE7522"/>
    <w:rsid w:val="00DE7594"/>
    <w:rsid w:val="00DE7D17"/>
    <w:rsid w:val="00DF11DC"/>
    <w:rsid w:val="00DF163C"/>
    <w:rsid w:val="00DF1AC4"/>
    <w:rsid w:val="00DF1D75"/>
    <w:rsid w:val="00DF224C"/>
    <w:rsid w:val="00DF24C1"/>
    <w:rsid w:val="00DF25E9"/>
    <w:rsid w:val="00DF2AF4"/>
    <w:rsid w:val="00DF31AE"/>
    <w:rsid w:val="00DF36B8"/>
    <w:rsid w:val="00DF3772"/>
    <w:rsid w:val="00DF40BF"/>
    <w:rsid w:val="00DF4305"/>
    <w:rsid w:val="00DF4A55"/>
    <w:rsid w:val="00DF5A91"/>
    <w:rsid w:val="00DF60FE"/>
    <w:rsid w:val="00DF618D"/>
    <w:rsid w:val="00DF6931"/>
    <w:rsid w:val="00DF6D48"/>
    <w:rsid w:val="00DF795C"/>
    <w:rsid w:val="00DF7F9A"/>
    <w:rsid w:val="00E00317"/>
    <w:rsid w:val="00E00340"/>
    <w:rsid w:val="00E005A7"/>
    <w:rsid w:val="00E00DCB"/>
    <w:rsid w:val="00E0104C"/>
    <w:rsid w:val="00E0167D"/>
    <w:rsid w:val="00E01C2B"/>
    <w:rsid w:val="00E01F35"/>
    <w:rsid w:val="00E02600"/>
    <w:rsid w:val="00E02D37"/>
    <w:rsid w:val="00E02E64"/>
    <w:rsid w:val="00E03484"/>
    <w:rsid w:val="00E04168"/>
    <w:rsid w:val="00E0420C"/>
    <w:rsid w:val="00E04632"/>
    <w:rsid w:val="00E04AD7"/>
    <w:rsid w:val="00E04B6E"/>
    <w:rsid w:val="00E04FB5"/>
    <w:rsid w:val="00E0577D"/>
    <w:rsid w:val="00E05CDC"/>
    <w:rsid w:val="00E05D9E"/>
    <w:rsid w:val="00E06699"/>
    <w:rsid w:val="00E067D0"/>
    <w:rsid w:val="00E07FC4"/>
    <w:rsid w:val="00E109EA"/>
    <w:rsid w:val="00E10B64"/>
    <w:rsid w:val="00E10BF9"/>
    <w:rsid w:val="00E10C4D"/>
    <w:rsid w:val="00E10F81"/>
    <w:rsid w:val="00E112EA"/>
    <w:rsid w:val="00E11565"/>
    <w:rsid w:val="00E11D07"/>
    <w:rsid w:val="00E11FAE"/>
    <w:rsid w:val="00E12289"/>
    <w:rsid w:val="00E128D7"/>
    <w:rsid w:val="00E12959"/>
    <w:rsid w:val="00E12CC8"/>
    <w:rsid w:val="00E1335A"/>
    <w:rsid w:val="00E13A7D"/>
    <w:rsid w:val="00E13BFE"/>
    <w:rsid w:val="00E13DA3"/>
    <w:rsid w:val="00E13E71"/>
    <w:rsid w:val="00E13EA7"/>
    <w:rsid w:val="00E14A36"/>
    <w:rsid w:val="00E14AFC"/>
    <w:rsid w:val="00E14E47"/>
    <w:rsid w:val="00E156E2"/>
    <w:rsid w:val="00E16063"/>
    <w:rsid w:val="00E166F0"/>
    <w:rsid w:val="00E16F23"/>
    <w:rsid w:val="00E17278"/>
    <w:rsid w:val="00E17512"/>
    <w:rsid w:val="00E175D3"/>
    <w:rsid w:val="00E201C1"/>
    <w:rsid w:val="00E2049C"/>
    <w:rsid w:val="00E20587"/>
    <w:rsid w:val="00E20958"/>
    <w:rsid w:val="00E20B98"/>
    <w:rsid w:val="00E20DBE"/>
    <w:rsid w:val="00E211F4"/>
    <w:rsid w:val="00E2147C"/>
    <w:rsid w:val="00E21665"/>
    <w:rsid w:val="00E21F40"/>
    <w:rsid w:val="00E22033"/>
    <w:rsid w:val="00E22AB7"/>
    <w:rsid w:val="00E22B27"/>
    <w:rsid w:val="00E22E46"/>
    <w:rsid w:val="00E23680"/>
    <w:rsid w:val="00E251E9"/>
    <w:rsid w:val="00E2574B"/>
    <w:rsid w:val="00E25AEB"/>
    <w:rsid w:val="00E25C42"/>
    <w:rsid w:val="00E25FF6"/>
    <w:rsid w:val="00E260C6"/>
    <w:rsid w:val="00E26D2E"/>
    <w:rsid w:val="00E274DD"/>
    <w:rsid w:val="00E27699"/>
    <w:rsid w:val="00E278FB"/>
    <w:rsid w:val="00E302DB"/>
    <w:rsid w:val="00E30526"/>
    <w:rsid w:val="00E31329"/>
    <w:rsid w:val="00E313C9"/>
    <w:rsid w:val="00E31584"/>
    <w:rsid w:val="00E317DE"/>
    <w:rsid w:val="00E32302"/>
    <w:rsid w:val="00E32B62"/>
    <w:rsid w:val="00E32EA9"/>
    <w:rsid w:val="00E332EC"/>
    <w:rsid w:val="00E348A3"/>
    <w:rsid w:val="00E34D7A"/>
    <w:rsid w:val="00E35A20"/>
    <w:rsid w:val="00E35BB9"/>
    <w:rsid w:val="00E35FF3"/>
    <w:rsid w:val="00E361AB"/>
    <w:rsid w:val="00E36234"/>
    <w:rsid w:val="00E36276"/>
    <w:rsid w:val="00E36EB8"/>
    <w:rsid w:val="00E40261"/>
    <w:rsid w:val="00E404C5"/>
    <w:rsid w:val="00E40D28"/>
    <w:rsid w:val="00E40DF8"/>
    <w:rsid w:val="00E41344"/>
    <w:rsid w:val="00E41838"/>
    <w:rsid w:val="00E432BB"/>
    <w:rsid w:val="00E43314"/>
    <w:rsid w:val="00E4405D"/>
    <w:rsid w:val="00E4409C"/>
    <w:rsid w:val="00E44878"/>
    <w:rsid w:val="00E44938"/>
    <w:rsid w:val="00E44BBC"/>
    <w:rsid w:val="00E455BB"/>
    <w:rsid w:val="00E457BE"/>
    <w:rsid w:val="00E45903"/>
    <w:rsid w:val="00E45F5E"/>
    <w:rsid w:val="00E4654E"/>
    <w:rsid w:val="00E4685E"/>
    <w:rsid w:val="00E47279"/>
    <w:rsid w:val="00E47D4D"/>
    <w:rsid w:val="00E50166"/>
    <w:rsid w:val="00E50C6C"/>
    <w:rsid w:val="00E513E6"/>
    <w:rsid w:val="00E51AF6"/>
    <w:rsid w:val="00E51FB1"/>
    <w:rsid w:val="00E521DE"/>
    <w:rsid w:val="00E525E6"/>
    <w:rsid w:val="00E52EF2"/>
    <w:rsid w:val="00E53372"/>
    <w:rsid w:val="00E53436"/>
    <w:rsid w:val="00E53BC8"/>
    <w:rsid w:val="00E53CCD"/>
    <w:rsid w:val="00E53E7A"/>
    <w:rsid w:val="00E53FBB"/>
    <w:rsid w:val="00E54172"/>
    <w:rsid w:val="00E5417D"/>
    <w:rsid w:val="00E5447B"/>
    <w:rsid w:val="00E54686"/>
    <w:rsid w:val="00E54726"/>
    <w:rsid w:val="00E5479F"/>
    <w:rsid w:val="00E549F9"/>
    <w:rsid w:val="00E5528B"/>
    <w:rsid w:val="00E5586C"/>
    <w:rsid w:val="00E55B02"/>
    <w:rsid w:val="00E55EC6"/>
    <w:rsid w:val="00E5603D"/>
    <w:rsid w:val="00E56526"/>
    <w:rsid w:val="00E566AA"/>
    <w:rsid w:val="00E57C06"/>
    <w:rsid w:val="00E57ED7"/>
    <w:rsid w:val="00E60167"/>
    <w:rsid w:val="00E6078E"/>
    <w:rsid w:val="00E6098C"/>
    <w:rsid w:val="00E60F26"/>
    <w:rsid w:val="00E60FBD"/>
    <w:rsid w:val="00E61D27"/>
    <w:rsid w:val="00E61DC3"/>
    <w:rsid w:val="00E623DD"/>
    <w:rsid w:val="00E63679"/>
    <w:rsid w:val="00E63ECB"/>
    <w:rsid w:val="00E63F35"/>
    <w:rsid w:val="00E64245"/>
    <w:rsid w:val="00E64E40"/>
    <w:rsid w:val="00E64ED4"/>
    <w:rsid w:val="00E65075"/>
    <w:rsid w:val="00E651A5"/>
    <w:rsid w:val="00E656E2"/>
    <w:rsid w:val="00E65AD2"/>
    <w:rsid w:val="00E66180"/>
    <w:rsid w:val="00E66609"/>
    <w:rsid w:val="00E6675F"/>
    <w:rsid w:val="00E66821"/>
    <w:rsid w:val="00E66B53"/>
    <w:rsid w:val="00E66C67"/>
    <w:rsid w:val="00E6717C"/>
    <w:rsid w:val="00E675BE"/>
    <w:rsid w:val="00E70057"/>
    <w:rsid w:val="00E70282"/>
    <w:rsid w:val="00E70CDC"/>
    <w:rsid w:val="00E70D92"/>
    <w:rsid w:val="00E70E46"/>
    <w:rsid w:val="00E71045"/>
    <w:rsid w:val="00E710FA"/>
    <w:rsid w:val="00E71831"/>
    <w:rsid w:val="00E71933"/>
    <w:rsid w:val="00E71BAE"/>
    <w:rsid w:val="00E72E1B"/>
    <w:rsid w:val="00E72F83"/>
    <w:rsid w:val="00E7347A"/>
    <w:rsid w:val="00E73A62"/>
    <w:rsid w:val="00E73B83"/>
    <w:rsid w:val="00E73CB1"/>
    <w:rsid w:val="00E7417A"/>
    <w:rsid w:val="00E741F9"/>
    <w:rsid w:val="00E74391"/>
    <w:rsid w:val="00E74493"/>
    <w:rsid w:val="00E7588D"/>
    <w:rsid w:val="00E75979"/>
    <w:rsid w:val="00E76580"/>
    <w:rsid w:val="00E7684B"/>
    <w:rsid w:val="00E76C80"/>
    <w:rsid w:val="00E774B7"/>
    <w:rsid w:val="00E774E0"/>
    <w:rsid w:val="00E77C56"/>
    <w:rsid w:val="00E80210"/>
    <w:rsid w:val="00E808CB"/>
    <w:rsid w:val="00E81030"/>
    <w:rsid w:val="00E817ED"/>
    <w:rsid w:val="00E81CD8"/>
    <w:rsid w:val="00E821FA"/>
    <w:rsid w:val="00E83AF9"/>
    <w:rsid w:val="00E83BAA"/>
    <w:rsid w:val="00E83F8F"/>
    <w:rsid w:val="00E84220"/>
    <w:rsid w:val="00E8444F"/>
    <w:rsid w:val="00E845BA"/>
    <w:rsid w:val="00E8463A"/>
    <w:rsid w:val="00E84EF2"/>
    <w:rsid w:val="00E85029"/>
    <w:rsid w:val="00E85995"/>
    <w:rsid w:val="00E85CD2"/>
    <w:rsid w:val="00E86C5D"/>
    <w:rsid w:val="00E86E8A"/>
    <w:rsid w:val="00E87A37"/>
    <w:rsid w:val="00E87FFC"/>
    <w:rsid w:val="00E90236"/>
    <w:rsid w:val="00E91061"/>
    <w:rsid w:val="00E92A58"/>
    <w:rsid w:val="00E93031"/>
    <w:rsid w:val="00E93168"/>
    <w:rsid w:val="00E951F1"/>
    <w:rsid w:val="00E954B7"/>
    <w:rsid w:val="00E95905"/>
    <w:rsid w:val="00E95D43"/>
    <w:rsid w:val="00E9634F"/>
    <w:rsid w:val="00E96EF0"/>
    <w:rsid w:val="00E9753A"/>
    <w:rsid w:val="00E978E7"/>
    <w:rsid w:val="00E97A96"/>
    <w:rsid w:val="00E97B24"/>
    <w:rsid w:val="00EA00C3"/>
    <w:rsid w:val="00EA0A08"/>
    <w:rsid w:val="00EA123D"/>
    <w:rsid w:val="00EA1A54"/>
    <w:rsid w:val="00EA1B92"/>
    <w:rsid w:val="00EA27E1"/>
    <w:rsid w:val="00EA291D"/>
    <w:rsid w:val="00EA29E2"/>
    <w:rsid w:val="00EA2BB1"/>
    <w:rsid w:val="00EA38FF"/>
    <w:rsid w:val="00EA427A"/>
    <w:rsid w:val="00EA52E4"/>
    <w:rsid w:val="00EA586D"/>
    <w:rsid w:val="00EA625E"/>
    <w:rsid w:val="00EA62F5"/>
    <w:rsid w:val="00EA6958"/>
    <w:rsid w:val="00EA6E23"/>
    <w:rsid w:val="00EA7255"/>
    <w:rsid w:val="00EA7591"/>
    <w:rsid w:val="00EB0010"/>
    <w:rsid w:val="00EB00B4"/>
    <w:rsid w:val="00EB024A"/>
    <w:rsid w:val="00EB09D9"/>
    <w:rsid w:val="00EB0E2F"/>
    <w:rsid w:val="00EB0E30"/>
    <w:rsid w:val="00EB1F3D"/>
    <w:rsid w:val="00EB2235"/>
    <w:rsid w:val="00EB22F7"/>
    <w:rsid w:val="00EB3F9C"/>
    <w:rsid w:val="00EB3FA1"/>
    <w:rsid w:val="00EB40D4"/>
    <w:rsid w:val="00EB4A8D"/>
    <w:rsid w:val="00EB5321"/>
    <w:rsid w:val="00EB53E3"/>
    <w:rsid w:val="00EB56BC"/>
    <w:rsid w:val="00EB5823"/>
    <w:rsid w:val="00EB5861"/>
    <w:rsid w:val="00EB608C"/>
    <w:rsid w:val="00EB6597"/>
    <w:rsid w:val="00EB6849"/>
    <w:rsid w:val="00EB6F65"/>
    <w:rsid w:val="00EB726A"/>
    <w:rsid w:val="00EB72D8"/>
    <w:rsid w:val="00EB72DF"/>
    <w:rsid w:val="00EB76C1"/>
    <w:rsid w:val="00EB7A6E"/>
    <w:rsid w:val="00EB7D07"/>
    <w:rsid w:val="00EB7EC6"/>
    <w:rsid w:val="00EB7F91"/>
    <w:rsid w:val="00EC030F"/>
    <w:rsid w:val="00EC09DD"/>
    <w:rsid w:val="00EC15C9"/>
    <w:rsid w:val="00EC2207"/>
    <w:rsid w:val="00EC26D8"/>
    <w:rsid w:val="00EC2711"/>
    <w:rsid w:val="00EC2AB6"/>
    <w:rsid w:val="00EC2CC1"/>
    <w:rsid w:val="00EC2F46"/>
    <w:rsid w:val="00EC312D"/>
    <w:rsid w:val="00EC34E9"/>
    <w:rsid w:val="00EC359B"/>
    <w:rsid w:val="00EC3F0A"/>
    <w:rsid w:val="00EC4A9D"/>
    <w:rsid w:val="00EC4C2A"/>
    <w:rsid w:val="00EC51E4"/>
    <w:rsid w:val="00EC538B"/>
    <w:rsid w:val="00EC58AE"/>
    <w:rsid w:val="00EC5A13"/>
    <w:rsid w:val="00EC5E54"/>
    <w:rsid w:val="00EC60ED"/>
    <w:rsid w:val="00EC6210"/>
    <w:rsid w:val="00EC647A"/>
    <w:rsid w:val="00EC65E8"/>
    <w:rsid w:val="00EC674D"/>
    <w:rsid w:val="00EC727C"/>
    <w:rsid w:val="00EC7739"/>
    <w:rsid w:val="00EC7CD0"/>
    <w:rsid w:val="00ED0A44"/>
    <w:rsid w:val="00ED0D4C"/>
    <w:rsid w:val="00ED1104"/>
    <w:rsid w:val="00ED13DC"/>
    <w:rsid w:val="00ED1D73"/>
    <w:rsid w:val="00ED2351"/>
    <w:rsid w:val="00ED260D"/>
    <w:rsid w:val="00ED2614"/>
    <w:rsid w:val="00ED2E78"/>
    <w:rsid w:val="00ED34A0"/>
    <w:rsid w:val="00ED3674"/>
    <w:rsid w:val="00ED3D3C"/>
    <w:rsid w:val="00ED3E29"/>
    <w:rsid w:val="00ED40C8"/>
    <w:rsid w:val="00ED4F53"/>
    <w:rsid w:val="00ED501A"/>
    <w:rsid w:val="00ED5521"/>
    <w:rsid w:val="00ED5749"/>
    <w:rsid w:val="00ED5B6B"/>
    <w:rsid w:val="00ED623C"/>
    <w:rsid w:val="00ED6CE5"/>
    <w:rsid w:val="00ED725F"/>
    <w:rsid w:val="00ED72CA"/>
    <w:rsid w:val="00ED7694"/>
    <w:rsid w:val="00ED78A4"/>
    <w:rsid w:val="00ED7E9D"/>
    <w:rsid w:val="00ED7F80"/>
    <w:rsid w:val="00EE036A"/>
    <w:rsid w:val="00EE0CE4"/>
    <w:rsid w:val="00EE1412"/>
    <w:rsid w:val="00EE1573"/>
    <w:rsid w:val="00EE19C8"/>
    <w:rsid w:val="00EE1C89"/>
    <w:rsid w:val="00EE372B"/>
    <w:rsid w:val="00EE3732"/>
    <w:rsid w:val="00EE3736"/>
    <w:rsid w:val="00EE4269"/>
    <w:rsid w:val="00EE441D"/>
    <w:rsid w:val="00EE4527"/>
    <w:rsid w:val="00EE4DD3"/>
    <w:rsid w:val="00EE57FF"/>
    <w:rsid w:val="00EE5BDE"/>
    <w:rsid w:val="00EE7194"/>
    <w:rsid w:val="00EE7713"/>
    <w:rsid w:val="00EE78DD"/>
    <w:rsid w:val="00EE79AC"/>
    <w:rsid w:val="00EE7D56"/>
    <w:rsid w:val="00EF02FB"/>
    <w:rsid w:val="00EF0587"/>
    <w:rsid w:val="00EF0F83"/>
    <w:rsid w:val="00EF11B0"/>
    <w:rsid w:val="00EF14E9"/>
    <w:rsid w:val="00EF1B7E"/>
    <w:rsid w:val="00EF20A5"/>
    <w:rsid w:val="00EF2356"/>
    <w:rsid w:val="00EF2D7D"/>
    <w:rsid w:val="00EF2EFF"/>
    <w:rsid w:val="00EF338C"/>
    <w:rsid w:val="00EF371A"/>
    <w:rsid w:val="00EF4223"/>
    <w:rsid w:val="00EF4591"/>
    <w:rsid w:val="00EF4990"/>
    <w:rsid w:val="00EF4C8A"/>
    <w:rsid w:val="00EF4F0D"/>
    <w:rsid w:val="00EF5674"/>
    <w:rsid w:val="00EF5952"/>
    <w:rsid w:val="00EF5A81"/>
    <w:rsid w:val="00EF5DC3"/>
    <w:rsid w:val="00EF679F"/>
    <w:rsid w:val="00EF6892"/>
    <w:rsid w:val="00EF6942"/>
    <w:rsid w:val="00EF6DE7"/>
    <w:rsid w:val="00EF6DFF"/>
    <w:rsid w:val="00EF7162"/>
    <w:rsid w:val="00EF7DB9"/>
    <w:rsid w:val="00EF7ED1"/>
    <w:rsid w:val="00F0048A"/>
    <w:rsid w:val="00F00547"/>
    <w:rsid w:val="00F00B2E"/>
    <w:rsid w:val="00F012DC"/>
    <w:rsid w:val="00F01A4E"/>
    <w:rsid w:val="00F01A98"/>
    <w:rsid w:val="00F01D6C"/>
    <w:rsid w:val="00F020DA"/>
    <w:rsid w:val="00F02DB5"/>
    <w:rsid w:val="00F02E57"/>
    <w:rsid w:val="00F0304E"/>
    <w:rsid w:val="00F03984"/>
    <w:rsid w:val="00F03A80"/>
    <w:rsid w:val="00F04198"/>
    <w:rsid w:val="00F043C6"/>
    <w:rsid w:val="00F05B87"/>
    <w:rsid w:val="00F05C65"/>
    <w:rsid w:val="00F05DD9"/>
    <w:rsid w:val="00F05F38"/>
    <w:rsid w:val="00F062B5"/>
    <w:rsid w:val="00F074BD"/>
    <w:rsid w:val="00F1039A"/>
    <w:rsid w:val="00F11039"/>
    <w:rsid w:val="00F11117"/>
    <w:rsid w:val="00F11365"/>
    <w:rsid w:val="00F1250D"/>
    <w:rsid w:val="00F12BEF"/>
    <w:rsid w:val="00F12E01"/>
    <w:rsid w:val="00F12FEC"/>
    <w:rsid w:val="00F134A6"/>
    <w:rsid w:val="00F13803"/>
    <w:rsid w:val="00F14D40"/>
    <w:rsid w:val="00F14E90"/>
    <w:rsid w:val="00F14FE0"/>
    <w:rsid w:val="00F1519C"/>
    <w:rsid w:val="00F151EC"/>
    <w:rsid w:val="00F15255"/>
    <w:rsid w:val="00F15467"/>
    <w:rsid w:val="00F1645B"/>
    <w:rsid w:val="00F169F5"/>
    <w:rsid w:val="00F16F52"/>
    <w:rsid w:val="00F17324"/>
    <w:rsid w:val="00F173AC"/>
    <w:rsid w:val="00F17EAF"/>
    <w:rsid w:val="00F20746"/>
    <w:rsid w:val="00F20771"/>
    <w:rsid w:val="00F20783"/>
    <w:rsid w:val="00F20FF0"/>
    <w:rsid w:val="00F2103A"/>
    <w:rsid w:val="00F2123B"/>
    <w:rsid w:val="00F21264"/>
    <w:rsid w:val="00F21464"/>
    <w:rsid w:val="00F216DC"/>
    <w:rsid w:val="00F21DD3"/>
    <w:rsid w:val="00F22E26"/>
    <w:rsid w:val="00F22F3C"/>
    <w:rsid w:val="00F2322E"/>
    <w:rsid w:val="00F236B0"/>
    <w:rsid w:val="00F239A5"/>
    <w:rsid w:val="00F23AAA"/>
    <w:rsid w:val="00F23BCD"/>
    <w:rsid w:val="00F24067"/>
    <w:rsid w:val="00F24192"/>
    <w:rsid w:val="00F24575"/>
    <w:rsid w:val="00F253EA"/>
    <w:rsid w:val="00F258E9"/>
    <w:rsid w:val="00F25D1F"/>
    <w:rsid w:val="00F25F6C"/>
    <w:rsid w:val="00F2653C"/>
    <w:rsid w:val="00F26F45"/>
    <w:rsid w:val="00F27086"/>
    <w:rsid w:val="00F271AF"/>
    <w:rsid w:val="00F27653"/>
    <w:rsid w:val="00F27B0B"/>
    <w:rsid w:val="00F27F56"/>
    <w:rsid w:val="00F3015D"/>
    <w:rsid w:val="00F30798"/>
    <w:rsid w:val="00F30B3A"/>
    <w:rsid w:val="00F30C7C"/>
    <w:rsid w:val="00F30E6C"/>
    <w:rsid w:val="00F310C1"/>
    <w:rsid w:val="00F31261"/>
    <w:rsid w:val="00F3139C"/>
    <w:rsid w:val="00F31A50"/>
    <w:rsid w:val="00F31ECB"/>
    <w:rsid w:val="00F322A8"/>
    <w:rsid w:val="00F32992"/>
    <w:rsid w:val="00F33136"/>
    <w:rsid w:val="00F334DE"/>
    <w:rsid w:val="00F334EA"/>
    <w:rsid w:val="00F33EF7"/>
    <w:rsid w:val="00F34188"/>
    <w:rsid w:val="00F3426C"/>
    <w:rsid w:val="00F34A89"/>
    <w:rsid w:val="00F34C61"/>
    <w:rsid w:val="00F34E66"/>
    <w:rsid w:val="00F35686"/>
    <w:rsid w:val="00F3611F"/>
    <w:rsid w:val="00F362DE"/>
    <w:rsid w:val="00F36475"/>
    <w:rsid w:val="00F36948"/>
    <w:rsid w:val="00F36AB3"/>
    <w:rsid w:val="00F37011"/>
    <w:rsid w:val="00F371FD"/>
    <w:rsid w:val="00F37491"/>
    <w:rsid w:val="00F376CE"/>
    <w:rsid w:val="00F37A06"/>
    <w:rsid w:val="00F37C4F"/>
    <w:rsid w:val="00F40704"/>
    <w:rsid w:val="00F4099C"/>
    <w:rsid w:val="00F412AE"/>
    <w:rsid w:val="00F413E0"/>
    <w:rsid w:val="00F422A9"/>
    <w:rsid w:val="00F4266F"/>
    <w:rsid w:val="00F42FDF"/>
    <w:rsid w:val="00F43F6B"/>
    <w:rsid w:val="00F44848"/>
    <w:rsid w:val="00F450FC"/>
    <w:rsid w:val="00F4620D"/>
    <w:rsid w:val="00F463C0"/>
    <w:rsid w:val="00F466E7"/>
    <w:rsid w:val="00F471EA"/>
    <w:rsid w:val="00F473A1"/>
    <w:rsid w:val="00F479C4"/>
    <w:rsid w:val="00F50C47"/>
    <w:rsid w:val="00F51B4B"/>
    <w:rsid w:val="00F51DA2"/>
    <w:rsid w:val="00F5251A"/>
    <w:rsid w:val="00F52962"/>
    <w:rsid w:val="00F532B3"/>
    <w:rsid w:val="00F534CE"/>
    <w:rsid w:val="00F55384"/>
    <w:rsid w:val="00F55764"/>
    <w:rsid w:val="00F5727B"/>
    <w:rsid w:val="00F577A7"/>
    <w:rsid w:val="00F603F8"/>
    <w:rsid w:val="00F6105F"/>
    <w:rsid w:val="00F6117E"/>
    <w:rsid w:val="00F6128C"/>
    <w:rsid w:val="00F6133D"/>
    <w:rsid w:val="00F61C1A"/>
    <w:rsid w:val="00F61CCF"/>
    <w:rsid w:val="00F61E6C"/>
    <w:rsid w:val="00F62522"/>
    <w:rsid w:val="00F62D4E"/>
    <w:rsid w:val="00F62FC1"/>
    <w:rsid w:val="00F630A8"/>
    <w:rsid w:val="00F632CD"/>
    <w:rsid w:val="00F6391D"/>
    <w:rsid w:val="00F63C5F"/>
    <w:rsid w:val="00F6408A"/>
    <w:rsid w:val="00F6466A"/>
    <w:rsid w:val="00F64A6E"/>
    <w:rsid w:val="00F64ACB"/>
    <w:rsid w:val="00F64CB4"/>
    <w:rsid w:val="00F64CCE"/>
    <w:rsid w:val="00F659F9"/>
    <w:rsid w:val="00F664B3"/>
    <w:rsid w:val="00F66D18"/>
    <w:rsid w:val="00F6751D"/>
    <w:rsid w:val="00F67826"/>
    <w:rsid w:val="00F708FD"/>
    <w:rsid w:val="00F70F4B"/>
    <w:rsid w:val="00F722C3"/>
    <w:rsid w:val="00F731B7"/>
    <w:rsid w:val="00F73B3A"/>
    <w:rsid w:val="00F73D8A"/>
    <w:rsid w:val="00F7417C"/>
    <w:rsid w:val="00F741DB"/>
    <w:rsid w:val="00F7485A"/>
    <w:rsid w:val="00F7490D"/>
    <w:rsid w:val="00F75327"/>
    <w:rsid w:val="00F758B2"/>
    <w:rsid w:val="00F75AA6"/>
    <w:rsid w:val="00F75CFF"/>
    <w:rsid w:val="00F75DAE"/>
    <w:rsid w:val="00F7613F"/>
    <w:rsid w:val="00F76BDE"/>
    <w:rsid w:val="00F776F0"/>
    <w:rsid w:val="00F77855"/>
    <w:rsid w:val="00F806AF"/>
    <w:rsid w:val="00F807F1"/>
    <w:rsid w:val="00F8096C"/>
    <w:rsid w:val="00F81A47"/>
    <w:rsid w:val="00F81F00"/>
    <w:rsid w:val="00F81F18"/>
    <w:rsid w:val="00F81FCA"/>
    <w:rsid w:val="00F8235A"/>
    <w:rsid w:val="00F82F20"/>
    <w:rsid w:val="00F83362"/>
    <w:rsid w:val="00F84038"/>
    <w:rsid w:val="00F8491A"/>
    <w:rsid w:val="00F84D1B"/>
    <w:rsid w:val="00F84E5A"/>
    <w:rsid w:val="00F84F40"/>
    <w:rsid w:val="00F8553C"/>
    <w:rsid w:val="00F85594"/>
    <w:rsid w:val="00F85C44"/>
    <w:rsid w:val="00F86138"/>
    <w:rsid w:val="00F8795A"/>
    <w:rsid w:val="00F87DE5"/>
    <w:rsid w:val="00F87FBB"/>
    <w:rsid w:val="00F900EF"/>
    <w:rsid w:val="00F9013D"/>
    <w:rsid w:val="00F9022D"/>
    <w:rsid w:val="00F909D4"/>
    <w:rsid w:val="00F90AB1"/>
    <w:rsid w:val="00F90CE7"/>
    <w:rsid w:val="00F91162"/>
    <w:rsid w:val="00F911BA"/>
    <w:rsid w:val="00F9129B"/>
    <w:rsid w:val="00F91FC3"/>
    <w:rsid w:val="00F92682"/>
    <w:rsid w:val="00F92F37"/>
    <w:rsid w:val="00F92F61"/>
    <w:rsid w:val="00F930F6"/>
    <w:rsid w:val="00F9338D"/>
    <w:rsid w:val="00F93B1E"/>
    <w:rsid w:val="00F93BC7"/>
    <w:rsid w:val="00F94623"/>
    <w:rsid w:val="00F946BA"/>
    <w:rsid w:val="00F94B9A"/>
    <w:rsid w:val="00F94E3C"/>
    <w:rsid w:val="00F9505C"/>
    <w:rsid w:val="00F95102"/>
    <w:rsid w:val="00F95AF3"/>
    <w:rsid w:val="00F95CBE"/>
    <w:rsid w:val="00F95E75"/>
    <w:rsid w:val="00F96101"/>
    <w:rsid w:val="00F9632E"/>
    <w:rsid w:val="00F9633D"/>
    <w:rsid w:val="00F96CB4"/>
    <w:rsid w:val="00F96D80"/>
    <w:rsid w:val="00F97095"/>
    <w:rsid w:val="00F97CC5"/>
    <w:rsid w:val="00FA01EB"/>
    <w:rsid w:val="00FA07BB"/>
    <w:rsid w:val="00FA0EE0"/>
    <w:rsid w:val="00FA129E"/>
    <w:rsid w:val="00FA1BA0"/>
    <w:rsid w:val="00FA2B6E"/>
    <w:rsid w:val="00FA2BF2"/>
    <w:rsid w:val="00FA2D6C"/>
    <w:rsid w:val="00FA31C9"/>
    <w:rsid w:val="00FA355D"/>
    <w:rsid w:val="00FA3582"/>
    <w:rsid w:val="00FA3CD3"/>
    <w:rsid w:val="00FA4648"/>
    <w:rsid w:val="00FA51E7"/>
    <w:rsid w:val="00FA5559"/>
    <w:rsid w:val="00FA5D10"/>
    <w:rsid w:val="00FA5F66"/>
    <w:rsid w:val="00FA63B2"/>
    <w:rsid w:val="00FA66EF"/>
    <w:rsid w:val="00FA6C86"/>
    <w:rsid w:val="00FA758E"/>
    <w:rsid w:val="00FA7D31"/>
    <w:rsid w:val="00FB09C5"/>
    <w:rsid w:val="00FB0E1A"/>
    <w:rsid w:val="00FB0FF0"/>
    <w:rsid w:val="00FB14E0"/>
    <w:rsid w:val="00FB1FC4"/>
    <w:rsid w:val="00FB2069"/>
    <w:rsid w:val="00FB241B"/>
    <w:rsid w:val="00FB2501"/>
    <w:rsid w:val="00FB39CD"/>
    <w:rsid w:val="00FB4F3F"/>
    <w:rsid w:val="00FB53AA"/>
    <w:rsid w:val="00FB55B6"/>
    <w:rsid w:val="00FB585D"/>
    <w:rsid w:val="00FB7552"/>
    <w:rsid w:val="00FC0511"/>
    <w:rsid w:val="00FC180C"/>
    <w:rsid w:val="00FC1B99"/>
    <w:rsid w:val="00FC20DD"/>
    <w:rsid w:val="00FC248A"/>
    <w:rsid w:val="00FC2624"/>
    <w:rsid w:val="00FC2DA6"/>
    <w:rsid w:val="00FC2F44"/>
    <w:rsid w:val="00FC3010"/>
    <w:rsid w:val="00FC3BED"/>
    <w:rsid w:val="00FC3D10"/>
    <w:rsid w:val="00FC3E57"/>
    <w:rsid w:val="00FC4E0B"/>
    <w:rsid w:val="00FC62B8"/>
    <w:rsid w:val="00FC65B3"/>
    <w:rsid w:val="00FC65E8"/>
    <w:rsid w:val="00FC66C3"/>
    <w:rsid w:val="00FC69F8"/>
    <w:rsid w:val="00FC7371"/>
    <w:rsid w:val="00FC74C5"/>
    <w:rsid w:val="00FC76D4"/>
    <w:rsid w:val="00FC794E"/>
    <w:rsid w:val="00FD048F"/>
    <w:rsid w:val="00FD060C"/>
    <w:rsid w:val="00FD0663"/>
    <w:rsid w:val="00FD09E1"/>
    <w:rsid w:val="00FD0A4F"/>
    <w:rsid w:val="00FD0E07"/>
    <w:rsid w:val="00FD1056"/>
    <w:rsid w:val="00FD113B"/>
    <w:rsid w:val="00FD18DC"/>
    <w:rsid w:val="00FD22CD"/>
    <w:rsid w:val="00FD24A0"/>
    <w:rsid w:val="00FD2B28"/>
    <w:rsid w:val="00FD2B31"/>
    <w:rsid w:val="00FD346F"/>
    <w:rsid w:val="00FD3C89"/>
    <w:rsid w:val="00FD4315"/>
    <w:rsid w:val="00FD4352"/>
    <w:rsid w:val="00FD4ADB"/>
    <w:rsid w:val="00FD4BC8"/>
    <w:rsid w:val="00FD4D44"/>
    <w:rsid w:val="00FD4E5C"/>
    <w:rsid w:val="00FD5585"/>
    <w:rsid w:val="00FD5DBF"/>
    <w:rsid w:val="00FD5FD1"/>
    <w:rsid w:val="00FD6368"/>
    <w:rsid w:val="00FD641D"/>
    <w:rsid w:val="00FD66B8"/>
    <w:rsid w:val="00FD6796"/>
    <w:rsid w:val="00FD6CC8"/>
    <w:rsid w:val="00FD75B9"/>
    <w:rsid w:val="00FD7AA3"/>
    <w:rsid w:val="00FE032A"/>
    <w:rsid w:val="00FE0640"/>
    <w:rsid w:val="00FE089E"/>
    <w:rsid w:val="00FE1024"/>
    <w:rsid w:val="00FE10DE"/>
    <w:rsid w:val="00FE1308"/>
    <w:rsid w:val="00FE1958"/>
    <w:rsid w:val="00FE1A78"/>
    <w:rsid w:val="00FE1FAE"/>
    <w:rsid w:val="00FE24BC"/>
    <w:rsid w:val="00FE28EE"/>
    <w:rsid w:val="00FE2C35"/>
    <w:rsid w:val="00FE355F"/>
    <w:rsid w:val="00FE3689"/>
    <w:rsid w:val="00FE373C"/>
    <w:rsid w:val="00FE3B34"/>
    <w:rsid w:val="00FE41C2"/>
    <w:rsid w:val="00FE4582"/>
    <w:rsid w:val="00FE4857"/>
    <w:rsid w:val="00FE48A3"/>
    <w:rsid w:val="00FE5202"/>
    <w:rsid w:val="00FE61CE"/>
    <w:rsid w:val="00FE639B"/>
    <w:rsid w:val="00FE6A22"/>
    <w:rsid w:val="00FE6DE3"/>
    <w:rsid w:val="00FE7CD1"/>
    <w:rsid w:val="00FEDC3A"/>
    <w:rsid w:val="00FF01BB"/>
    <w:rsid w:val="00FF04CB"/>
    <w:rsid w:val="00FF0C9F"/>
    <w:rsid w:val="00FF15DC"/>
    <w:rsid w:val="00FF187D"/>
    <w:rsid w:val="00FF1E0D"/>
    <w:rsid w:val="00FF1F0B"/>
    <w:rsid w:val="00FF349D"/>
    <w:rsid w:val="00FF38ED"/>
    <w:rsid w:val="00FF3CDB"/>
    <w:rsid w:val="00FF4A13"/>
    <w:rsid w:val="00FF4BE0"/>
    <w:rsid w:val="00FF4DB3"/>
    <w:rsid w:val="00FF572A"/>
    <w:rsid w:val="00FF580B"/>
    <w:rsid w:val="00FF5AD6"/>
    <w:rsid w:val="00FF5CEF"/>
    <w:rsid w:val="00FF5E25"/>
    <w:rsid w:val="00FF5EF0"/>
    <w:rsid w:val="00FF6354"/>
    <w:rsid w:val="010FA2A9"/>
    <w:rsid w:val="0121CAC7"/>
    <w:rsid w:val="01BFD56E"/>
    <w:rsid w:val="062B2003"/>
    <w:rsid w:val="064681BC"/>
    <w:rsid w:val="09A61F6E"/>
    <w:rsid w:val="0A7935B8"/>
    <w:rsid w:val="0D963AC2"/>
    <w:rsid w:val="0F3A1CD5"/>
    <w:rsid w:val="0F83286C"/>
    <w:rsid w:val="0FFF679B"/>
    <w:rsid w:val="115D41A3"/>
    <w:rsid w:val="11A2FC79"/>
    <w:rsid w:val="11D828D6"/>
    <w:rsid w:val="1246F124"/>
    <w:rsid w:val="12A53A27"/>
    <w:rsid w:val="1345C3F6"/>
    <w:rsid w:val="14AEF0C6"/>
    <w:rsid w:val="17C7CADE"/>
    <w:rsid w:val="18CBCEAC"/>
    <w:rsid w:val="18D545A0"/>
    <w:rsid w:val="1C36C82B"/>
    <w:rsid w:val="1C7AB717"/>
    <w:rsid w:val="1DE34E31"/>
    <w:rsid w:val="1E6E6F50"/>
    <w:rsid w:val="21D803E3"/>
    <w:rsid w:val="22AF89D2"/>
    <w:rsid w:val="23EDF6E0"/>
    <w:rsid w:val="258165C7"/>
    <w:rsid w:val="262EA089"/>
    <w:rsid w:val="26E0EF90"/>
    <w:rsid w:val="276F245D"/>
    <w:rsid w:val="29132484"/>
    <w:rsid w:val="29B00E28"/>
    <w:rsid w:val="2CE62E4E"/>
    <w:rsid w:val="2D3BBD16"/>
    <w:rsid w:val="312BB475"/>
    <w:rsid w:val="312FA75E"/>
    <w:rsid w:val="31570283"/>
    <w:rsid w:val="337D656F"/>
    <w:rsid w:val="33AEDB96"/>
    <w:rsid w:val="33DB9F4E"/>
    <w:rsid w:val="34D6326E"/>
    <w:rsid w:val="35139084"/>
    <w:rsid w:val="37614BD8"/>
    <w:rsid w:val="3A9FC71F"/>
    <w:rsid w:val="41FA1B92"/>
    <w:rsid w:val="424177CA"/>
    <w:rsid w:val="4264280E"/>
    <w:rsid w:val="43724C9F"/>
    <w:rsid w:val="4645386C"/>
    <w:rsid w:val="4ACA1FDA"/>
    <w:rsid w:val="4B678C90"/>
    <w:rsid w:val="4B9B7882"/>
    <w:rsid w:val="4F26A426"/>
    <w:rsid w:val="56975861"/>
    <w:rsid w:val="57DA19D2"/>
    <w:rsid w:val="5D3E7FB0"/>
    <w:rsid w:val="5DF02937"/>
    <w:rsid w:val="5FD3122F"/>
    <w:rsid w:val="6237438C"/>
    <w:rsid w:val="6262BB6A"/>
    <w:rsid w:val="62F21363"/>
    <w:rsid w:val="64CC5025"/>
    <w:rsid w:val="658491CD"/>
    <w:rsid w:val="67727DB2"/>
    <w:rsid w:val="6ADEF800"/>
    <w:rsid w:val="6D3266F6"/>
    <w:rsid w:val="6F1B2B5F"/>
    <w:rsid w:val="6FAD31D5"/>
    <w:rsid w:val="744C6C4E"/>
    <w:rsid w:val="750F51C7"/>
    <w:rsid w:val="793D1415"/>
    <w:rsid w:val="79C67B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F1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685"/>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A73685"/>
    <w:pPr>
      <w:spacing w:after="240"/>
      <w:outlineLvl w:val="0"/>
    </w:pPr>
    <w:rPr>
      <w:rFonts w:ascii="Arial Bold" w:hAnsi="Arial Bold"/>
      <w:b/>
      <w:kern w:val="34"/>
      <w:sz w:val="36"/>
    </w:rPr>
  </w:style>
  <w:style w:type="paragraph" w:styleId="Heading2">
    <w:name w:val="heading 2"/>
    <w:basedOn w:val="HeadingBase"/>
    <w:next w:val="Normal"/>
    <w:link w:val="Heading2Char"/>
    <w:qFormat/>
    <w:rsid w:val="00A73685"/>
    <w:pPr>
      <w:spacing w:before="240" w:after="240"/>
      <w:outlineLvl w:val="1"/>
    </w:pPr>
    <w:rPr>
      <w:rFonts w:ascii="Arial Bold" w:hAnsi="Arial Bold"/>
      <w:b/>
      <w:sz w:val="26"/>
    </w:rPr>
  </w:style>
  <w:style w:type="paragraph" w:styleId="Heading3">
    <w:name w:val="heading 3"/>
    <w:basedOn w:val="HeadingBase"/>
    <w:next w:val="Normal"/>
    <w:link w:val="Heading3Char"/>
    <w:qFormat/>
    <w:rsid w:val="00A73685"/>
    <w:pPr>
      <w:spacing w:before="120" w:after="120"/>
      <w:outlineLvl w:val="2"/>
    </w:pPr>
    <w:rPr>
      <w:rFonts w:ascii="Arial Bold" w:hAnsi="Arial Bold"/>
      <w:b/>
      <w:sz w:val="22"/>
    </w:rPr>
  </w:style>
  <w:style w:type="paragraph" w:styleId="Heading4">
    <w:name w:val="heading 4"/>
    <w:basedOn w:val="HeadingBase"/>
    <w:next w:val="Normal"/>
    <w:link w:val="Heading4Char"/>
    <w:qFormat/>
    <w:rsid w:val="00A73685"/>
    <w:pPr>
      <w:spacing w:after="120"/>
      <w:outlineLvl w:val="3"/>
    </w:pPr>
    <w:rPr>
      <w:rFonts w:ascii="Arial Bold" w:hAnsi="Arial Bold"/>
      <w:b/>
      <w:sz w:val="20"/>
    </w:rPr>
  </w:style>
  <w:style w:type="paragraph" w:styleId="Heading5">
    <w:name w:val="heading 5"/>
    <w:basedOn w:val="HeadingBase"/>
    <w:next w:val="Normal"/>
    <w:link w:val="Heading5Char"/>
    <w:semiHidden/>
    <w:qFormat/>
    <w:rsid w:val="00A73685"/>
    <w:pPr>
      <w:spacing w:after="120"/>
      <w:outlineLvl w:val="4"/>
    </w:pPr>
    <w:rPr>
      <w:bCs/>
      <w:i/>
      <w:iCs/>
      <w:sz w:val="20"/>
      <w:szCs w:val="26"/>
    </w:rPr>
  </w:style>
  <w:style w:type="paragraph" w:styleId="Heading6">
    <w:name w:val="heading 6"/>
    <w:basedOn w:val="HeadingBase"/>
    <w:next w:val="Normal"/>
    <w:link w:val="Heading6Char"/>
    <w:semiHidden/>
    <w:rsid w:val="00A73685"/>
    <w:pPr>
      <w:spacing w:after="120"/>
      <w:outlineLvl w:val="5"/>
    </w:pPr>
    <w:rPr>
      <w:bCs/>
      <w:sz w:val="20"/>
      <w:szCs w:val="22"/>
    </w:rPr>
  </w:style>
  <w:style w:type="paragraph" w:styleId="Heading7">
    <w:name w:val="heading 7"/>
    <w:next w:val="Normal"/>
    <w:link w:val="Heading7Char"/>
    <w:semiHidden/>
    <w:rsid w:val="00A73685"/>
    <w:pPr>
      <w:spacing w:before="120"/>
      <w:outlineLvl w:val="6"/>
    </w:pPr>
    <w:rPr>
      <w:rFonts w:ascii="Arial" w:eastAsia="Times New Roman" w:hAnsi="Arial" w:cs="Times New Roman"/>
      <w:sz w:val="20"/>
      <w:szCs w:val="24"/>
      <w:lang w:eastAsia="en-AU"/>
    </w:rPr>
  </w:style>
  <w:style w:type="paragraph" w:styleId="Heading8">
    <w:name w:val="heading 8"/>
    <w:next w:val="Normal"/>
    <w:link w:val="Heading8Char"/>
    <w:semiHidden/>
    <w:rsid w:val="00A73685"/>
    <w:pPr>
      <w:spacing w:before="240" w:after="60"/>
      <w:outlineLvl w:val="7"/>
    </w:pPr>
    <w:rPr>
      <w:rFonts w:ascii="Times New Roman" w:eastAsia="Times New Roman" w:hAnsi="Times New Roman" w:cs="Times New Roman"/>
      <w:i/>
      <w:iCs/>
      <w:sz w:val="21"/>
      <w:szCs w:val="24"/>
      <w:lang w:eastAsia="en-AU"/>
    </w:rPr>
  </w:style>
  <w:style w:type="paragraph" w:styleId="Heading9">
    <w:name w:val="heading 9"/>
    <w:next w:val="Normal"/>
    <w:link w:val="Heading9Char"/>
    <w:uiPriority w:val="9"/>
    <w:semiHidden/>
    <w:rsid w:val="00A73685"/>
    <w:pPr>
      <w:spacing w:after="60"/>
      <w:outlineLvl w:val="8"/>
    </w:pPr>
    <w:rPr>
      <w:rFonts w:ascii="Cambria" w:eastAsia="Times New Roman" w:hAnsi="Cambr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A73685"/>
    <w:pPr>
      <w:tabs>
        <w:tab w:val="center" w:pos="4153"/>
        <w:tab w:val="right" w:pos="8306"/>
      </w:tabs>
    </w:pPr>
  </w:style>
  <w:style w:type="character" w:customStyle="1" w:styleId="HeaderChar">
    <w:name w:val="Header Char"/>
    <w:basedOn w:val="DefaultParagraphFont"/>
    <w:link w:val="Header"/>
    <w:rsid w:val="00A73685"/>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A73685"/>
    <w:pPr>
      <w:tabs>
        <w:tab w:val="center" w:pos="4153"/>
        <w:tab w:val="right" w:pos="8306"/>
      </w:tabs>
    </w:pPr>
  </w:style>
  <w:style w:type="character" w:customStyle="1" w:styleId="FooterChar">
    <w:name w:val="Footer Char"/>
    <w:basedOn w:val="DefaultParagraphFont"/>
    <w:link w:val="Footer"/>
    <w:rsid w:val="00A73685"/>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A73685"/>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A73685"/>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A73685"/>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A73685"/>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A73685"/>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A73685"/>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A73685"/>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A73685"/>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A73685"/>
    <w:pPr>
      <w:jc w:val="center"/>
    </w:pPr>
    <w:rPr>
      <w:rFonts w:ascii="Arial Bold" w:hAnsi="Arial Bold"/>
      <w:b/>
      <w:caps/>
      <w:sz w:val="22"/>
    </w:rPr>
  </w:style>
  <w:style w:type="paragraph" w:customStyle="1" w:styleId="FileProperties">
    <w:name w:val="File Properties"/>
    <w:basedOn w:val="Normal"/>
    <w:rsid w:val="00A73685"/>
    <w:pPr>
      <w:spacing w:before="0"/>
    </w:pPr>
    <w:rPr>
      <w:i/>
    </w:rPr>
  </w:style>
  <w:style w:type="paragraph" w:customStyle="1" w:styleId="AlphaParagraph">
    <w:name w:val="Alpha Paragraph"/>
    <w:basedOn w:val="Normal"/>
    <w:rsid w:val="00A73685"/>
    <w:pPr>
      <w:numPr>
        <w:numId w:val="1"/>
      </w:numPr>
      <w:tabs>
        <w:tab w:val="clear" w:pos="567"/>
        <w:tab w:val="num" w:pos="360"/>
      </w:tabs>
      <w:ind w:left="0" w:firstLine="0"/>
    </w:pPr>
  </w:style>
  <w:style w:type="paragraph" w:customStyle="1" w:styleId="HeadingBase">
    <w:name w:val="Heading Base"/>
    <w:rsid w:val="00A73685"/>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A73685"/>
    <w:rPr>
      <w:bCs/>
      <w:color w:val="002B54"/>
      <w:szCs w:val="52"/>
    </w:rPr>
  </w:style>
  <w:style w:type="paragraph" w:customStyle="1" w:styleId="BoxText">
    <w:name w:val="Box Text"/>
    <w:basedOn w:val="Normal"/>
    <w:qFormat/>
    <w:rsid w:val="00A73685"/>
    <w:pPr>
      <w:spacing w:before="120" w:after="120" w:line="240" w:lineRule="auto"/>
    </w:pPr>
  </w:style>
  <w:style w:type="paragraph" w:customStyle="1" w:styleId="BoxBullet">
    <w:name w:val="Box Bullet"/>
    <w:basedOn w:val="BoxText"/>
    <w:rsid w:val="00A73685"/>
    <w:pPr>
      <w:numPr>
        <w:numId w:val="2"/>
      </w:numPr>
    </w:pPr>
  </w:style>
  <w:style w:type="paragraph" w:customStyle="1" w:styleId="BoxHeading">
    <w:name w:val="Box Heading"/>
    <w:basedOn w:val="HeadingBase"/>
    <w:next w:val="BoxText"/>
    <w:rsid w:val="00A73685"/>
    <w:pPr>
      <w:spacing w:before="120" w:after="120"/>
    </w:pPr>
    <w:rPr>
      <w:b/>
      <w:sz w:val="20"/>
    </w:rPr>
  </w:style>
  <w:style w:type="character" w:customStyle="1" w:styleId="Heading6Char">
    <w:name w:val="Heading 6 Char"/>
    <w:basedOn w:val="DefaultParagraphFont"/>
    <w:link w:val="Heading6"/>
    <w:semiHidden/>
    <w:rsid w:val="00A73685"/>
    <w:rPr>
      <w:rFonts w:ascii="Arial" w:eastAsia="Times New Roman" w:hAnsi="Arial" w:cs="Times New Roman"/>
      <w:bCs/>
      <w:sz w:val="20"/>
      <w:lang w:eastAsia="en-AU"/>
    </w:rPr>
  </w:style>
  <w:style w:type="paragraph" w:customStyle="1" w:styleId="Bullet">
    <w:name w:val="Bullet"/>
    <w:basedOn w:val="Normal"/>
    <w:link w:val="BulletChar"/>
    <w:qFormat/>
    <w:rsid w:val="00A73685"/>
    <w:pPr>
      <w:numPr>
        <w:numId w:val="7"/>
      </w:numPr>
      <w:spacing w:after="160"/>
      <w:ind w:left="284" w:hanging="284"/>
    </w:pPr>
  </w:style>
  <w:style w:type="paragraph" w:styleId="Caption">
    <w:name w:val="caption"/>
    <w:basedOn w:val="Normal"/>
    <w:next w:val="Normal"/>
    <w:rsid w:val="00A73685"/>
    <w:rPr>
      <w:b/>
      <w:bCs/>
    </w:rPr>
  </w:style>
  <w:style w:type="paragraph" w:customStyle="1" w:styleId="ChartandTableFootnote">
    <w:name w:val="Chart and Table Footnote"/>
    <w:basedOn w:val="HeadingBase"/>
    <w:next w:val="Normal"/>
    <w:rsid w:val="00A73685"/>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A73685"/>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A73685"/>
    <w:pPr>
      <w:keepNext w:val="0"/>
      <w:tabs>
        <w:tab w:val="left" w:pos="284"/>
      </w:tabs>
      <w:jc w:val="both"/>
    </w:pPr>
    <w:rPr>
      <w:color w:val="000000"/>
      <w:sz w:val="15"/>
    </w:rPr>
  </w:style>
  <w:style w:type="paragraph" w:customStyle="1" w:styleId="ChartGraphic">
    <w:name w:val="Chart Graphic"/>
    <w:basedOn w:val="HeadingBase"/>
    <w:rsid w:val="00A73685"/>
    <w:rPr>
      <w:sz w:val="20"/>
    </w:rPr>
  </w:style>
  <w:style w:type="paragraph" w:customStyle="1" w:styleId="TableLine">
    <w:name w:val="Table Line"/>
    <w:basedOn w:val="Normal"/>
    <w:next w:val="Normal"/>
    <w:autoRedefine/>
    <w:rsid w:val="00A73685"/>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A73685"/>
    <w:pPr>
      <w:spacing w:after="60"/>
    </w:pPr>
    <w:rPr>
      <w:sz w:val="19"/>
    </w:rPr>
  </w:style>
  <w:style w:type="character" w:styleId="CommentReference">
    <w:name w:val="annotation reference"/>
    <w:basedOn w:val="DefaultParagraphFont"/>
    <w:semiHidden/>
    <w:rsid w:val="00A73685"/>
    <w:rPr>
      <w:sz w:val="16"/>
      <w:szCs w:val="16"/>
    </w:rPr>
  </w:style>
  <w:style w:type="paragraph" w:styleId="CommentText">
    <w:name w:val="annotation text"/>
    <w:basedOn w:val="Normal"/>
    <w:link w:val="CommentTextChar"/>
    <w:semiHidden/>
    <w:rsid w:val="00A73685"/>
  </w:style>
  <w:style w:type="character" w:customStyle="1" w:styleId="CommentTextChar">
    <w:name w:val="Comment Text Char"/>
    <w:basedOn w:val="DefaultParagraphFont"/>
    <w:link w:val="CommentText"/>
    <w:semiHidden/>
    <w:rsid w:val="00A73685"/>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A73685"/>
    <w:rPr>
      <w:b/>
      <w:bCs/>
    </w:rPr>
  </w:style>
  <w:style w:type="character" w:customStyle="1" w:styleId="CommentSubjectChar">
    <w:name w:val="Comment Subject Char"/>
    <w:basedOn w:val="CommentTextChar"/>
    <w:link w:val="CommentSubject"/>
    <w:semiHidden/>
    <w:rsid w:val="00A73685"/>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A73685"/>
    <w:pPr>
      <w:spacing w:after="720"/>
      <w:outlineLvl w:val="9"/>
    </w:pPr>
  </w:style>
  <w:style w:type="character" w:styleId="Strong">
    <w:name w:val="Strong"/>
    <w:basedOn w:val="DefaultParagraphFont"/>
    <w:uiPriority w:val="22"/>
    <w:qFormat/>
    <w:rsid w:val="00A73685"/>
    <w:rPr>
      <w:b/>
      <w:bCs/>
      <w:color w:val="auto"/>
    </w:rPr>
  </w:style>
  <w:style w:type="paragraph" w:customStyle="1" w:styleId="Dash">
    <w:name w:val="Dash"/>
    <w:basedOn w:val="Normal"/>
    <w:qFormat/>
    <w:rsid w:val="00A73685"/>
    <w:pPr>
      <w:numPr>
        <w:ilvl w:val="1"/>
        <w:numId w:val="7"/>
      </w:numPr>
      <w:tabs>
        <w:tab w:val="left" w:pos="567"/>
      </w:tabs>
    </w:pPr>
  </w:style>
  <w:style w:type="paragraph" w:styleId="DocumentMap">
    <w:name w:val="Document Map"/>
    <w:basedOn w:val="Normal"/>
    <w:link w:val="DocumentMapChar"/>
    <w:semiHidden/>
    <w:rsid w:val="00A73685"/>
    <w:pPr>
      <w:shd w:val="clear" w:color="auto" w:fill="000080"/>
    </w:pPr>
    <w:rPr>
      <w:rFonts w:ascii="Tahoma" w:hAnsi="Tahoma" w:cs="Tahoma"/>
    </w:rPr>
  </w:style>
  <w:style w:type="character" w:customStyle="1" w:styleId="DocumentMapChar">
    <w:name w:val="Document Map Char"/>
    <w:basedOn w:val="DefaultParagraphFont"/>
    <w:link w:val="DocumentMap"/>
    <w:semiHidden/>
    <w:rsid w:val="00A73685"/>
    <w:rPr>
      <w:rFonts w:ascii="Tahoma" w:eastAsia="Times New Roman" w:hAnsi="Tahoma" w:cs="Tahoma"/>
      <w:sz w:val="19"/>
      <w:szCs w:val="20"/>
      <w:shd w:val="clear" w:color="auto" w:fill="000080"/>
      <w:lang w:eastAsia="en-AU"/>
    </w:rPr>
  </w:style>
  <w:style w:type="paragraph" w:customStyle="1" w:styleId="DoubleDot">
    <w:name w:val="Double Dot"/>
    <w:basedOn w:val="Normal"/>
    <w:rsid w:val="00A73685"/>
    <w:pPr>
      <w:numPr>
        <w:ilvl w:val="2"/>
        <w:numId w:val="7"/>
      </w:numPr>
      <w:tabs>
        <w:tab w:val="clear" w:pos="850"/>
        <w:tab w:val="num" w:pos="360"/>
        <w:tab w:val="left" w:pos="851"/>
      </w:tabs>
    </w:pPr>
  </w:style>
  <w:style w:type="paragraph" w:customStyle="1" w:styleId="FigureHeading">
    <w:name w:val="Figure Heading"/>
    <w:basedOn w:val="HeadingBase"/>
    <w:next w:val="ChartGraphic"/>
    <w:rsid w:val="00A73685"/>
    <w:pPr>
      <w:spacing w:before="120" w:after="20"/>
    </w:pPr>
    <w:rPr>
      <w:b/>
      <w:sz w:val="20"/>
    </w:rPr>
  </w:style>
  <w:style w:type="paragraph" w:customStyle="1" w:styleId="FooterBase">
    <w:name w:val="Footer Base"/>
    <w:rsid w:val="00A73685"/>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A73685"/>
    <w:pPr>
      <w:pBdr>
        <w:top w:val="single" w:sz="4" w:space="10" w:color="002A54" w:themeColor="text2"/>
      </w:pBdr>
      <w:jc w:val="left"/>
    </w:pPr>
    <w:rPr>
      <w:sz w:val="18"/>
    </w:rPr>
  </w:style>
  <w:style w:type="paragraph" w:customStyle="1" w:styleId="FooterOdd">
    <w:name w:val="Footer Odd"/>
    <w:basedOn w:val="Footer"/>
    <w:qFormat/>
    <w:rsid w:val="00A73685"/>
    <w:pPr>
      <w:pBdr>
        <w:top w:val="single" w:sz="4" w:space="10" w:color="002A54" w:themeColor="text2"/>
      </w:pBdr>
      <w:jc w:val="right"/>
    </w:pPr>
    <w:rPr>
      <w:sz w:val="18"/>
    </w:rPr>
  </w:style>
  <w:style w:type="character" w:styleId="FootnoteReference">
    <w:name w:val="footnote reference"/>
    <w:basedOn w:val="DefaultParagraphFont"/>
    <w:rsid w:val="00A73685"/>
    <w:rPr>
      <w:vertAlign w:val="superscript"/>
    </w:rPr>
  </w:style>
  <w:style w:type="paragraph" w:styleId="FootnoteText">
    <w:name w:val="footnote text"/>
    <w:basedOn w:val="Normal"/>
    <w:link w:val="FootnoteTextChar"/>
    <w:rsid w:val="00A73685"/>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A73685"/>
    <w:rPr>
      <w:rFonts w:ascii="Book Antiqua" w:eastAsia="Times New Roman" w:hAnsi="Book Antiqua" w:cs="Times New Roman"/>
      <w:sz w:val="18"/>
      <w:szCs w:val="20"/>
      <w:lang w:eastAsia="en-AU"/>
    </w:rPr>
  </w:style>
  <w:style w:type="character" w:customStyle="1" w:styleId="FramedHeader">
    <w:name w:val="Framed Header"/>
    <w:basedOn w:val="DefaultParagraphFont"/>
    <w:rsid w:val="00A73685"/>
    <w:rPr>
      <w:rFonts w:ascii="Book Antiqua" w:hAnsi="Book Antiqua"/>
      <w:i/>
      <w:dstrike w:val="0"/>
      <w:color w:val="auto"/>
      <w:sz w:val="20"/>
      <w:vertAlign w:val="baseline"/>
    </w:rPr>
  </w:style>
  <w:style w:type="paragraph" w:customStyle="1" w:styleId="HeaderBase">
    <w:name w:val="Header Base"/>
    <w:rsid w:val="00A73685"/>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A73685"/>
  </w:style>
  <w:style w:type="paragraph" w:customStyle="1" w:styleId="HeaderOdd">
    <w:name w:val="Header Odd"/>
    <w:basedOn w:val="HeaderBase"/>
    <w:rsid w:val="00A73685"/>
    <w:pPr>
      <w:jc w:val="right"/>
    </w:pPr>
  </w:style>
  <w:style w:type="character" w:customStyle="1" w:styleId="Heading1Char">
    <w:name w:val="Heading 1 Char"/>
    <w:basedOn w:val="DefaultParagraphFont"/>
    <w:link w:val="Heading1"/>
    <w:rsid w:val="00A73685"/>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A73685"/>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A73685"/>
    <w:rPr>
      <w:rFonts w:ascii="Arial Bold" w:eastAsia="Times New Roman" w:hAnsi="Arial Bold" w:cs="Times New Roman"/>
      <w:b/>
      <w:szCs w:val="20"/>
      <w:lang w:eastAsia="en-AU"/>
    </w:rPr>
  </w:style>
  <w:style w:type="paragraph" w:customStyle="1" w:styleId="Heading3noTOC">
    <w:name w:val="Heading 3 no TOC"/>
    <w:basedOn w:val="Heading3"/>
    <w:rsid w:val="00A73685"/>
    <w:pPr>
      <w:outlineLvl w:val="9"/>
    </w:pPr>
  </w:style>
  <w:style w:type="character" w:customStyle="1" w:styleId="Heading4Char">
    <w:name w:val="Heading 4 Char"/>
    <w:basedOn w:val="DefaultParagraphFont"/>
    <w:link w:val="Heading4"/>
    <w:rsid w:val="00A73685"/>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semiHidden/>
    <w:rsid w:val="00A73685"/>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semiHidden/>
    <w:rsid w:val="00A73685"/>
    <w:rPr>
      <w:rFonts w:ascii="Arial" w:eastAsia="Times New Roman" w:hAnsi="Arial" w:cs="Times New Roman"/>
      <w:sz w:val="20"/>
      <w:szCs w:val="24"/>
      <w:lang w:eastAsia="en-AU"/>
    </w:rPr>
  </w:style>
  <w:style w:type="character" w:customStyle="1" w:styleId="Heading8Char">
    <w:name w:val="Heading 8 Char"/>
    <w:basedOn w:val="DefaultParagraphFont"/>
    <w:link w:val="Heading8"/>
    <w:semiHidden/>
    <w:rsid w:val="00A73685"/>
    <w:rPr>
      <w:rFonts w:ascii="Times New Roman" w:eastAsia="Times New Roman" w:hAnsi="Times New Roman" w:cs="Times New Roman"/>
      <w:i/>
      <w:iCs/>
      <w:sz w:val="21"/>
      <w:szCs w:val="24"/>
      <w:lang w:eastAsia="en-AU"/>
    </w:rPr>
  </w:style>
  <w:style w:type="character" w:customStyle="1" w:styleId="HiddenSequenceCode">
    <w:name w:val="Hidden Sequence Code"/>
    <w:basedOn w:val="DefaultParagraphFont"/>
    <w:rsid w:val="00A73685"/>
    <w:rPr>
      <w:rFonts w:ascii="Times New Roman" w:hAnsi="Times New Roman"/>
      <w:vanish/>
      <w:sz w:val="16"/>
    </w:rPr>
  </w:style>
  <w:style w:type="character" w:styleId="Hyperlink">
    <w:name w:val="Hyperlink"/>
    <w:basedOn w:val="DefaultParagraphFont"/>
    <w:uiPriority w:val="99"/>
    <w:unhideWhenUsed/>
    <w:rsid w:val="00A73685"/>
    <w:rPr>
      <w:color w:val="auto"/>
      <w:u w:val="single"/>
    </w:rPr>
  </w:style>
  <w:style w:type="paragraph" w:styleId="Index4">
    <w:name w:val="index 4"/>
    <w:basedOn w:val="Normal"/>
    <w:next w:val="Normal"/>
    <w:autoRedefine/>
    <w:semiHidden/>
    <w:rsid w:val="00A73685"/>
    <w:pPr>
      <w:ind w:left="800" w:hanging="200"/>
    </w:pPr>
  </w:style>
  <w:style w:type="paragraph" w:styleId="Index5">
    <w:name w:val="index 5"/>
    <w:basedOn w:val="Normal"/>
    <w:next w:val="Normal"/>
    <w:autoRedefine/>
    <w:semiHidden/>
    <w:rsid w:val="00A73685"/>
    <w:pPr>
      <w:ind w:left="1000" w:hanging="200"/>
    </w:pPr>
  </w:style>
  <w:style w:type="paragraph" w:styleId="Index6">
    <w:name w:val="index 6"/>
    <w:basedOn w:val="Normal"/>
    <w:next w:val="Normal"/>
    <w:autoRedefine/>
    <w:semiHidden/>
    <w:rsid w:val="00A73685"/>
    <w:pPr>
      <w:ind w:left="1200" w:hanging="200"/>
    </w:pPr>
  </w:style>
  <w:style w:type="paragraph" w:styleId="Index7">
    <w:name w:val="index 7"/>
    <w:basedOn w:val="Normal"/>
    <w:next w:val="Normal"/>
    <w:autoRedefine/>
    <w:semiHidden/>
    <w:rsid w:val="00A73685"/>
    <w:pPr>
      <w:ind w:left="1400" w:hanging="200"/>
    </w:pPr>
  </w:style>
  <w:style w:type="paragraph" w:styleId="Index8">
    <w:name w:val="index 8"/>
    <w:basedOn w:val="Normal"/>
    <w:next w:val="Normal"/>
    <w:autoRedefine/>
    <w:semiHidden/>
    <w:rsid w:val="00A73685"/>
    <w:pPr>
      <w:ind w:left="1600" w:hanging="200"/>
    </w:pPr>
  </w:style>
  <w:style w:type="paragraph" w:styleId="Index9">
    <w:name w:val="index 9"/>
    <w:basedOn w:val="Normal"/>
    <w:next w:val="Normal"/>
    <w:autoRedefine/>
    <w:semiHidden/>
    <w:rsid w:val="00A73685"/>
    <w:pPr>
      <w:ind w:left="1800" w:hanging="200"/>
    </w:pPr>
  </w:style>
  <w:style w:type="paragraph" w:styleId="MacroText">
    <w:name w:val="macro"/>
    <w:link w:val="MacroTextChar"/>
    <w:unhideWhenUsed/>
    <w:rsid w:val="00A73685"/>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A73685"/>
    <w:rPr>
      <w:rFonts w:ascii="Courier New" w:eastAsia="Times New Roman" w:hAnsi="Courier New" w:cs="Courier New"/>
      <w:sz w:val="20"/>
      <w:szCs w:val="20"/>
      <w:lang w:eastAsia="en-AU"/>
    </w:rPr>
  </w:style>
  <w:style w:type="paragraph" w:styleId="NormalIndent">
    <w:name w:val="Normal Indent"/>
    <w:basedOn w:val="Normal"/>
    <w:rsid w:val="00A73685"/>
    <w:pPr>
      <w:ind w:left="567"/>
    </w:pPr>
  </w:style>
  <w:style w:type="paragraph" w:customStyle="1" w:styleId="NoteTableHeading">
    <w:name w:val="Note Table Heading"/>
    <w:basedOn w:val="HeadingBase"/>
    <w:next w:val="Normal"/>
    <w:rsid w:val="00A73685"/>
    <w:pPr>
      <w:spacing w:before="240"/>
    </w:pPr>
    <w:rPr>
      <w:b/>
      <w:sz w:val="20"/>
    </w:rPr>
  </w:style>
  <w:style w:type="paragraph" w:customStyle="1" w:styleId="OverviewParagraph">
    <w:name w:val="Overview Paragraph"/>
    <w:basedOn w:val="Normal"/>
    <w:rsid w:val="00A73685"/>
    <w:pPr>
      <w:spacing w:before="120" w:after="120" w:line="240" w:lineRule="auto"/>
    </w:pPr>
  </w:style>
  <w:style w:type="character" w:styleId="PageNumber">
    <w:name w:val="page number"/>
    <w:basedOn w:val="DefaultParagraphFont"/>
    <w:rsid w:val="00A73685"/>
    <w:rPr>
      <w:rFonts w:ascii="Arial" w:hAnsi="Arial" w:cs="Arial"/>
    </w:rPr>
  </w:style>
  <w:style w:type="paragraph" w:customStyle="1" w:styleId="SingleParagraph">
    <w:name w:val="Single Paragraph"/>
    <w:basedOn w:val="Normal"/>
    <w:rsid w:val="00A73685"/>
    <w:pPr>
      <w:spacing w:before="0" w:after="0"/>
    </w:pPr>
  </w:style>
  <w:style w:type="paragraph" w:customStyle="1" w:styleId="Source">
    <w:name w:val="Source"/>
    <w:basedOn w:val="Normal"/>
    <w:rsid w:val="00A73685"/>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A73685"/>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A73685"/>
    <w:pPr>
      <w:jc w:val="center"/>
    </w:pPr>
  </w:style>
  <w:style w:type="paragraph" w:customStyle="1" w:styleId="TableColumnHeadingLeft">
    <w:name w:val="Table Column Heading Left"/>
    <w:basedOn w:val="TableColumnHeadingBase"/>
    <w:next w:val="Normal"/>
    <w:rsid w:val="00A73685"/>
  </w:style>
  <w:style w:type="paragraph" w:customStyle="1" w:styleId="TableColumnHeadingRight">
    <w:name w:val="Table Column Heading Right"/>
    <w:basedOn w:val="TableColumnHeadingBase"/>
    <w:next w:val="Normal"/>
    <w:rsid w:val="00A73685"/>
    <w:pPr>
      <w:jc w:val="right"/>
    </w:pPr>
  </w:style>
  <w:style w:type="paragraph" w:customStyle="1" w:styleId="TableGraphic">
    <w:name w:val="Table Graphic"/>
    <w:basedOn w:val="Normal"/>
    <w:next w:val="Normal"/>
    <w:rsid w:val="00A73685"/>
    <w:pPr>
      <w:spacing w:after="0" w:line="240" w:lineRule="auto"/>
      <w:ind w:right="-113"/>
    </w:pPr>
  </w:style>
  <w:style w:type="table" w:styleId="TableGrid">
    <w:name w:val="Table Grid"/>
    <w:basedOn w:val="TableNormal"/>
    <w:rsid w:val="00A73685"/>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link w:val="TableHeadingChar"/>
    <w:qFormat/>
    <w:rsid w:val="00A73685"/>
    <w:pPr>
      <w:spacing w:before="120" w:after="20"/>
    </w:pPr>
    <w:rPr>
      <w:b/>
      <w:sz w:val="20"/>
    </w:rPr>
  </w:style>
  <w:style w:type="paragraph" w:customStyle="1" w:styleId="TableHeadingcontinued">
    <w:name w:val="Table Heading continued"/>
    <w:basedOn w:val="HeadingBase"/>
    <w:next w:val="TableGraphic"/>
    <w:rsid w:val="00A73685"/>
    <w:pPr>
      <w:spacing w:before="120" w:after="20"/>
    </w:pPr>
    <w:rPr>
      <w:rFonts w:ascii="Arial Bold" w:hAnsi="Arial Bold"/>
      <w:b/>
      <w:sz w:val="20"/>
    </w:rPr>
  </w:style>
  <w:style w:type="paragraph" w:styleId="TableofFigures">
    <w:name w:val="table of figures"/>
    <w:basedOn w:val="Normal"/>
    <w:next w:val="Normal"/>
    <w:rsid w:val="00A73685"/>
  </w:style>
  <w:style w:type="paragraph" w:customStyle="1" w:styleId="TableTextBase">
    <w:name w:val="Table Text Base"/>
    <w:basedOn w:val="Normal"/>
    <w:rsid w:val="00A73685"/>
    <w:pPr>
      <w:spacing w:before="20" w:after="20" w:line="240" w:lineRule="auto"/>
    </w:pPr>
    <w:rPr>
      <w:rFonts w:ascii="Arial" w:hAnsi="Arial"/>
      <w:sz w:val="16"/>
    </w:rPr>
  </w:style>
  <w:style w:type="paragraph" w:customStyle="1" w:styleId="TableTextCentred">
    <w:name w:val="Table Text Centred"/>
    <w:basedOn w:val="TableTextBase"/>
    <w:rsid w:val="00A73685"/>
    <w:pPr>
      <w:jc w:val="center"/>
    </w:pPr>
  </w:style>
  <w:style w:type="paragraph" w:customStyle="1" w:styleId="TableTextIndented">
    <w:name w:val="Table Text Indented"/>
    <w:basedOn w:val="TableTextBase"/>
    <w:rsid w:val="00A73685"/>
    <w:pPr>
      <w:ind w:left="284"/>
    </w:pPr>
  </w:style>
  <w:style w:type="paragraph" w:customStyle="1" w:styleId="TableTextLeft">
    <w:name w:val="Table Text Left"/>
    <w:basedOn w:val="TableTextBase"/>
    <w:rsid w:val="00A73685"/>
  </w:style>
  <w:style w:type="paragraph" w:customStyle="1" w:styleId="TableTextRight">
    <w:name w:val="Table Text Right"/>
    <w:basedOn w:val="TableTextBase"/>
    <w:rsid w:val="00A73685"/>
    <w:pPr>
      <w:jc w:val="right"/>
    </w:pPr>
  </w:style>
  <w:style w:type="paragraph" w:styleId="TOAHeading">
    <w:name w:val="toa heading"/>
    <w:basedOn w:val="Normal"/>
    <w:next w:val="Normal"/>
    <w:rsid w:val="00A73685"/>
    <w:pPr>
      <w:spacing w:before="120"/>
    </w:pPr>
    <w:rPr>
      <w:rFonts w:ascii="Arial" w:hAnsi="Arial" w:cs="Arial"/>
      <w:b/>
      <w:bCs/>
      <w:sz w:val="24"/>
      <w:szCs w:val="24"/>
    </w:rPr>
  </w:style>
  <w:style w:type="paragraph" w:styleId="TOC1">
    <w:name w:val="toc 1"/>
    <w:basedOn w:val="HeaderBase"/>
    <w:next w:val="Normal"/>
    <w:uiPriority w:val="2"/>
    <w:rsid w:val="00A73685"/>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A73685"/>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A73685"/>
    <w:pPr>
      <w:tabs>
        <w:tab w:val="right" w:leader="dot" w:pos="7700"/>
      </w:tabs>
      <w:spacing w:before="40"/>
      <w:ind w:right="851"/>
    </w:pPr>
    <w:rPr>
      <w:sz w:val="20"/>
    </w:rPr>
  </w:style>
  <w:style w:type="paragraph" w:styleId="TOC4">
    <w:name w:val="toc 4"/>
    <w:basedOn w:val="HeadingBase"/>
    <w:next w:val="Normal"/>
    <w:uiPriority w:val="2"/>
    <w:unhideWhenUsed/>
    <w:rsid w:val="00A73685"/>
    <w:pPr>
      <w:tabs>
        <w:tab w:val="right" w:leader="dot" w:pos="7700"/>
      </w:tabs>
      <w:spacing w:before="40"/>
      <w:ind w:right="851"/>
    </w:pPr>
    <w:rPr>
      <w:sz w:val="20"/>
    </w:rPr>
  </w:style>
  <w:style w:type="paragraph" w:styleId="TOC5">
    <w:name w:val="toc 5"/>
    <w:basedOn w:val="Normal"/>
    <w:next w:val="Normal"/>
    <w:autoRedefine/>
    <w:uiPriority w:val="2"/>
    <w:semiHidden/>
    <w:rsid w:val="00A73685"/>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A73685"/>
    <w:pPr>
      <w:tabs>
        <w:tab w:val="left" w:pos="851"/>
      </w:tabs>
      <w:ind w:left="851" w:hanging="851"/>
    </w:pPr>
    <w:rPr>
      <w:color w:val="000000"/>
    </w:rPr>
  </w:style>
  <w:style w:type="paragraph" w:styleId="TOC7">
    <w:name w:val="toc 7"/>
    <w:basedOn w:val="Normal"/>
    <w:next w:val="Normal"/>
    <w:autoRedefine/>
    <w:uiPriority w:val="2"/>
    <w:semiHidden/>
    <w:rsid w:val="00A73685"/>
    <w:pPr>
      <w:ind w:left="1200"/>
    </w:pPr>
  </w:style>
  <w:style w:type="paragraph" w:styleId="TOC8">
    <w:name w:val="toc 8"/>
    <w:basedOn w:val="Normal"/>
    <w:next w:val="Normal"/>
    <w:autoRedefine/>
    <w:uiPriority w:val="2"/>
    <w:semiHidden/>
    <w:rsid w:val="00A73685"/>
    <w:pPr>
      <w:ind w:left="1400"/>
    </w:pPr>
  </w:style>
  <w:style w:type="paragraph" w:styleId="TOC9">
    <w:name w:val="toc 9"/>
    <w:basedOn w:val="Normal"/>
    <w:next w:val="Normal"/>
    <w:autoRedefine/>
    <w:uiPriority w:val="2"/>
    <w:semiHidden/>
    <w:rsid w:val="00A73685"/>
    <w:pPr>
      <w:ind w:left="1600"/>
    </w:pPr>
  </w:style>
  <w:style w:type="paragraph" w:customStyle="1" w:styleId="TPHeading1">
    <w:name w:val="TP Heading 1"/>
    <w:basedOn w:val="HeadingBase"/>
    <w:semiHidden/>
    <w:rsid w:val="00A73685"/>
    <w:pPr>
      <w:spacing w:before="60" w:after="60"/>
      <w:ind w:left="1134"/>
    </w:pPr>
    <w:rPr>
      <w:rFonts w:ascii="Arial Bold" w:hAnsi="Arial Bold"/>
      <w:b/>
      <w:caps/>
      <w:spacing w:val="-10"/>
      <w:sz w:val="28"/>
    </w:rPr>
  </w:style>
  <w:style w:type="paragraph" w:customStyle="1" w:styleId="TPHeading2">
    <w:name w:val="TP Heading 2"/>
    <w:basedOn w:val="HeadingBase"/>
    <w:semiHidden/>
    <w:rsid w:val="00A73685"/>
    <w:pPr>
      <w:ind w:left="1134"/>
    </w:pPr>
    <w:rPr>
      <w:caps/>
      <w:spacing w:val="-10"/>
      <w:sz w:val="28"/>
    </w:rPr>
  </w:style>
  <w:style w:type="paragraph" w:customStyle="1" w:styleId="TPHeading3">
    <w:name w:val="TP Heading 3"/>
    <w:basedOn w:val="HeadingBase"/>
    <w:semiHidden/>
    <w:rsid w:val="00A73685"/>
    <w:pPr>
      <w:ind w:left="1134"/>
    </w:pPr>
    <w:rPr>
      <w:caps/>
      <w:spacing w:val="-10"/>
    </w:rPr>
  </w:style>
  <w:style w:type="paragraph" w:customStyle="1" w:styleId="TPHeading3bold">
    <w:name w:val="TP Heading 3 bold"/>
    <w:basedOn w:val="TPHeading3"/>
    <w:semiHidden/>
    <w:rsid w:val="00A73685"/>
    <w:rPr>
      <w:rFonts w:cs="Arial"/>
      <w:b/>
      <w:sz w:val="22"/>
      <w:szCs w:val="22"/>
    </w:rPr>
  </w:style>
  <w:style w:type="paragraph" w:customStyle="1" w:styleId="TPHEADING3boldspace">
    <w:name w:val="TP HEADING 3 bold space"/>
    <w:basedOn w:val="TPHeading3bold"/>
    <w:semiHidden/>
    <w:rsid w:val="00A73685"/>
    <w:pPr>
      <w:spacing w:after="120"/>
    </w:pPr>
  </w:style>
  <w:style w:type="paragraph" w:customStyle="1" w:styleId="TPHEADING3space">
    <w:name w:val="TP HEADING 3 space"/>
    <w:basedOn w:val="TPHeading3"/>
    <w:semiHidden/>
    <w:rsid w:val="00A73685"/>
    <w:pPr>
      <w:spacing w:before="120" w:after="120"/>
    </w:pPr>
    <w:rPr>
      <w:rFonts w:cs="Arial"/>
      <w:sz w:val="22"/>
      <w:szCs w:val="22"/>
    </w:rPr>
  </w:style>
  <w:style w:type="paragraph" w:customStyle="1" w:styleId="TPHeading4">
    <w:name w:val="TP Heading 4"/>
    <w:basedOn w:val="TPHeading3"/>
    <w:semiHidden/>
    <w:rsid w:val="00A73685"/>
    <w:rPr>
      <w:sz w:val="20"/>
    </w:rPr>
  </w:style>
  <w:style w:type="paragraph" w:customStyle="1" w:styleId="TPHEADING4space">
    <w:name w:val="TP HEADING 4 space"/>
    <w:basedOn w:val="TPHEADING3space"/>
    <w:semiHidden/>
    <w:rsid w:val="00A73685"/>
  </w:style>
  <w:style w:type="paragraph" w:customStyle="1" w:styleId="ChartLine">
    <w:name w:val="Chart Line"/>
    <w:basedOn w:val="Normal"/>
    <w:autoRedefine/>
    <w:qFormat/>
    <w:rsid w:val="00A73685"/>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A73685"/>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A73685"/>
    <w:rPr>
      <w:sz w:val="16"/>
    </w:rPr>
  </w:style>
  <w:style w:type="paragraph" w:customStyle="1" w:styleId="Box-continuedon">
    <w:name w:val="Box - continued on"/>
    <w:basedOn w:val="Normal"/>
    <w:qFormat/>
    <w:rsid w:val="00A73685"/>
    <w:pPr>
      <w:jc w:val="right"/>
    </w:pPr>
    <w:rPr>
      <w:rFonts w:asciiTheme="majorHAnsi" w:hAnsiTheme="majorHAnsi" w:cstheme="majorHAnsi"/>
      <w:i/>
      <w:iCs/>
      <w:sz w:val="18"/>
      <w:szCs w:val="24"/>
    </w:rPr>
  </w:style>
  <w:style w:type="paragraph" w:customStyle="1" w:styleId="BoxHeading2">
    <w:name w:val="Box Heading 2"/>
    <w:basedOn w:val="BoxHeading"/>
    <w:autoRedefine/>
    <w:rsid w:val="00A73685"/>
    <w:pPr>
      <w:spacing w:after="0"/>
    </w:pPr>
    <w:rPr>
      <w:b w:val="0"/>
      <w:bCs/>
      <w:szCs w:val="14"/>
    </w:rPr>
  </w:style>
  <w:style w:type="character" w:customStyle="1" w:styleId="Heading9Char">
    <w:name w:val="Heading 9 Char"/>
    <w:basedOn w:val="DefaultParagraphFont"/>
    <w:link w:val="Heading9"/>
    <w:uiPriority w:val="9"/>
    <w:semiHidden/>
    <w:rsid w:val="00A73685"/>
    <w:rPr>
      <w:rFonts w:ascii="Cambria" w:eastAsia="Times New Roman" w:hAnsi="Cambria" w:cs="Times New Roman"/>
      <w:lang w:eastAsia="en-AU"/>
    </w:rPr>
  </w:style>
  <w:style w:type="paragraph" w:customStyle="1" w:styleId="GhostLine">
    <w:name w:val="Ghost Line"/>
    <w:basedOn w:val="NoSpacing"/>
    <w:qFormat/>
    <w:rsid w:val="00A73685"/>
    <w:pPr>
      <w:jc w:val="both"/>
    </w:pPr>
    <w:rPr>
      <w:rFonts w:ascii="Book Antiqua" w:hAnsi="Book Antiqua"/>
      <w:sz w:val="2"/>
    </w:rPr>
  </w:style>
  <w:style w:type="paragraph" w:styleId="NoSpacing">
    <w:name w:val="No Spacing"/>
    <w:uiPriority w:val="1"/>
    <w:qFormat/>
    <w:rsid w:val="00A73685"/>
    <w:pPr>
      <w:spacing w:after="0" w:line="240" w:lineRule="auto"/>
    </w:pPr>
    <w:rPr>
      <w:rFonts w:eastAsia="Times New Roman" w:cs="Times New Roman"/>
      <w:sz w:val="19"/>
      <w:szCs w:val="20"/>
      <w:lang w:eastAsia="en-AU"/>
    </w:rPr>
  </w:style>
  <w:style w:type="character" w:customStyle="1" w:styleId="TableHeadingChar">
    <w:name w:val="Table Heading Char"/>
    <w:link w:val="TableHeading"/>
    <w:locked/>
    <w:rsid w:val="00775E22"/>
    <w:rPr>
      <w:rFonts w:ascii="Arial" w:eastAsia="Times New Roman" w:hAnsi="Arial" w:cs="Times New Roman"/>
      <w:b/>
      <w:sz w:val="20"/>
      <w:szCs w:val="20"/>
      <w:lang w:eastAsia="en-AU"/>
    </w:rPr>
  </w:style>
  <w:style w:type="character" w:customStyle="1" w:styleId="BulletChar">
    <w:name w:val="Bullet Char"/>
    <w:basedOn w:val="DefaultParagraphFont"/>
    <w:link w:val="Bullet"/>
    <w:rsid w:val="00775E22"/>
    <w:rPr>
      <w:rFonts w:ascii="Book Antiqua" w:eastAsia="Times New Roman" w:hAnsi="Book Antiqua" w:cs="Times New Roman"/>
      <w:sz w:val="19"/>
      <w:szCs w:val="20"/>
      <w:lang w:eastAsia="en-AU"/>
    </w:rPr>
  </w:style>
  <w:style w:type="character" w:customStyle="1" w:styleId="ui-provider">
    <w:name w:val="ui-provider"/>
    <w:basedOn w:val="DefaultParagraphFont"/>
    <w:rsid w:val="000F07E8"/>
  </w:style>
  <w:style w:type="paragraph" w:styleId="Revision">
    <w:name w:val="Revision"/>
    <w:hidden/>
    <w:uiPriority w:val="99"/>
    <w:semiHidden/>
    <w:rsid w:val="00EA6E23"/>
    <w:pPr>
      <w:spacing w:after="0" w:line="240" w:lineRule="auto"/>
    </w:pPr>
    <w:rPr>
      <w:rFonts w:ascii="Book Antiqua" w:eastAsia="Times New Roman" w:hAnsi="Book Antiqua" w:cs="Times New Roman"/>
      <w:sz w:val="19"/>
      <w:szCs w:val="20"/>
      <w:lang w:eastAsia="en-AU"/>
    </w:rPr>
  </w:style>
  <w:style w:type="character" w:styleId="Mention">
    <w:name w:val="Mention"/>
    <w:basedOn w:val="DefaultParagraphFont"/>
    <w:uiPriority w:val="99"/>
    <w:unhideWhenUsed/>
    <w:rsid w:val="00D6354A"/>
    <w:rPr>
      <w:color w:val="2B579A"/>
      <w:shd w:val="clear" w:color="auto" w:fill="E1DFDD"/>
    </w:rPr>
  </w:style>
  <w:style w:type="paragraph" w:styleId="NormalWeb">
    <w:name w:val="Normal (Web)"/>
    <w:basedOn w:val="Normal"/>
    <w:uiPriority w:val="99"/>
    <w:semiHidden/>
    <w:unhideWhenUsed/>
    <w:rsid w:val="00ED3E29"/>
    <w:rPr>
      <w:rFonts w:ascii="Times New Roman" w:hAnsi="Times New Roman"/>
      <w:sz w:val="24"/>
      <w:szCs w:val="24"/>
    </w:rPr>
  </w:style>
  <w:style w:type="character" w:styleId="UnresolvedMention">
    <w:name w:val="Unresolved Mention"/>
    <w:basedOn w:val="DefaultParagraphFont"/>
    <w:uiPriority w:val="99"/>
    <w:semiHidden/>
    <w:unhideWhenUsed/>
    <w:rsid w:val="005F1936"/>
    <w:rPr>
      <w:color w:val="605E5C"/>
      <w:shd w:val="clear" w:color="auto" w:fill="E1DFDD"/>
    </w:rPr>
  </w:style>
  <w:style w:type="paragraph" w:styleId="ListParagraph">
    <w:name w:val="List Paragraph"/>
    <w:basedOn w:val="Normal"/>
    <w:uiPriority w:val="34"/>
    <w:rsid w:val="006B71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331">
      <w:bodyDiv w:val="1"/>
      <w:marLeft w:val="0"/>
      <w:marRight w:val="0"/>
      <w:marTop w:val="0"/>
      <w:marBottom w:val="0"/>
      <w:divBdr>
        <w:top w:val="none" w:sz="0" w:space="0" w:color="auto"/>
        <w:left w:val="none" w:sz="0" w:space="0" w:color="auto"/>
        <w:bottom w:val="none" w:sz="0" w:space="0" w:color="auto"/>
        <w:right w:val="none" w:sz="0" w:space="0" w:color="auto"/>
      </w:divBdr>
    </w:div>
    <w:div w:id="8803685">
      <w:bodyDiv w:val="1"/>
      <w:marLeft w:val="0"/>
      <w:marRight w:val="0"/>
      <w:marTop w:val="0"/>
      <w:marBottom w:val="0"/>
      <w:divBdr>
        <w:top w:val="none" w:sz="0" w:space="0" w:color="auto"/>
        <w:left w:val="none" w:sz="0" w:space="0" w:color="auto"/>
        <w:bottom w:val="none" w:sz="0" w:space="0" w:color="auto"/>
        <w:right w:val="none" w:sz="0" w:space="0" w:color="auto"/>
      </w:divBdr>
    </w:div>
    <w:div w:id="20474009">
      <w:bodyDiv w:val="1"/>
      <w:marLeft w:val="0"/>
      <w:marRight w:val="0"/>
      <w:marTop w:val="0"/>
      <w:marBottom w:val="0"/>
      <w:divBdr>
        <w:top w:val="none" w:sz="0" w:space="0" w:color="auto"/>
        <w:left w:val="none" w:sz="0" w:space="0" w:color="auto"/>
        <w:bottom w:val="none" w:sz="0" w:space="0" w:color="auto"/>
        <w:right w:val="none" w:sz="0" w:space="0" w:color="auto"/>
      </w:divBdr>
    </w:div>
    <w:div w:id="52699882">
      <w:bodyDiv w:val="1"/>
      <w:marLeft w:val="0"/>
      <w:marRight w:val="0"/>
      <w:marTop w:val="0"/>
      <w:marBottom w:val="0"/>
      <w:divBdr>
        <w:top w:val="none" w:sz="0" w:space="0" w:color="auto"/>
        <w:left w:val="none" w:sz="0" w:space="0" w:color="auto"/>
        <w:bottom w:val="none" w:sz="0" w:space="0" w:color="auto"/>
        <w:right w:val="none" w:sz="0" w:space="0" w:color="auto"/>
      </w:divBdr>
    </w:div>
    <w:div w:id="55906683">
      <w:bodyDiv w:val="1"/>
      <w:marLeft w:val="0"/>
      <w:marRight w:val="0"/>
      <w:marTop w:val="0"/>
      <w:marBottom w:val="0"/>
      <w:divBdr>
        <w:top w:val="none" w:sz="0" w:space="0" w:color="auto"/>
        <w:left w:val="none" w:sz="0" w:space="0" w:color="auto"/>
        <w:bottom w:val="none" w:sz="0" w:space="0" w:color="auto"/>
        <w:right w:val="none" w:sz="0" w:space="0" w:color="auto"/>
      </w:divBdr>
    </w:div>
    <w:div w:id="80882214">
      <w:bodyDiv w:val="1"/>
      <w:marLeft w:val="0"/>
      <w:marRight w:val="0"/>
      <w:marTop w:val="0"/>
      <w:marBottom w:val="0"/>
      <w:divBdr>
        <w:top w:val="none" w:sz="0" w:space="0" w:color="auto"/>
        <w:left w:val="none" w:sz="0" w:space="0" w:color="auto"/>
        <w:bottom w:val="none" w:sz="0" w:space="0" w:color="auto"/>
        <w:right w:val="none" w:sz="0" w:space="0" w:color="auto"/>
      </w:divBdr>
    </w:div>
    <w:div w:id="112134518">
      <w:bodyDiv w:val="1"/>
      <w:marLeft w:val="0"/>
      <w:marRight w:val="0"/>
      <w:marTop w:val="0"/>
      <w:marBottom w:val="0"/>
      <w:divBdr>
        <w:top w:val="none" w:sz="0" w:space="0" w:color="auto"/>
        <w:left w:val="none" w:sz="0" w:space="0" w:color="auto"/>
        <w:bottom w:val="none" w:sz="0" w:space="0" w:color="auto"/>
        <w:right w:val="none" w:sz="0" w:space="0" w:color="auto"/>
      </w:divBdr>
    </w:div>
    <w:div w:id="125467488">
      <w:bodyDiv w:val="1"/>
      <w:marLeft w:val="0"/>
      <w:marRight w:val="0"/>
      <w:marTop w:val="0"/>
      <w:marBottom w:val="0"/>
      <w:divBdr>
        <w:top w:val="none" w:sz="0" w:space="0" w:color="auto"/>
        <w:left w:val="none" w:sz="0" w:space="0" w:color="auto"/>
        <w:bottom w:val="none" w:sz="0" w:space="0" w:color="auto"/>
        <w:right w:val="none" w:sz="0" w:space="0" w:color="auto"/>
      </w:divBdr>
    </w:div>
    <w:div w:id="127358953">
      <w:bodyDiv w:val="1"/>
      <w:marLeft w:val="0"/>
      <w:marRight w:val="0"/>
      <w:marTop w:val="0"/>
      <w:marBottom w:val="0"/>
      <w:divBdr>
        <w:top w:val="none" w:sz="0" w:space="0" w:color="auto"/>
        <w:left w:val="none" w:sz="0" w:space="0" w:color="auto"/>
        <w:bottom w:val="none" w:sz="0" w:space="0" w:color="auto"/>
        <w:right w:val="none" w:sz="0" w:space="0" w:color="auto"/>
      </w:divBdr>
    </w:div>
    <w:div w:id="197353247">
      <w:bodyDiv w:val="1"/>
      <w:marLeft w:val="0"/>
      <w:marRight w:val="0"/>
      <w:marTop w:val="0"/>
      <w:marBottom w:val="0"/>
      <w:divBdr>
        <w:top w:val="none" w:sz="0" w:space="0" w:color="auto"/>
        <w:left w:val="none" w:sz="0" w:space="0" w:color="auto"/>
        <w:bottom w:val="none" w:sz="0" w:space="0" w:color="auto"/>
        <w:right w:val="none" w:sz="0" w:space="0" w:color="auto"/>
      </w:divBdr>
    </w:div>
    <w:div w:id="209147999">
      <w:bodyDiv w:val="1"/>
      <w:marLeft w:val="0"/>
      <w:marRight w:val="0"/>
      <w:marTop w:val="0"/>
      <w:marBottom w:val="0"/>
      <w:divBdr>
        <w:top w:val="none" w:sz="0" w:space="0" w:color="auto"/>
        <w:left w:val="none" w:sz="0" w:space="0" w:color="auto"/>
        <w:bottom w:val="none" w:sz="0" w:space="0" w:color="auto"/>
        <w:right w:val="none" w:sz="0" w:space="0" w:color="auto"/>
      </w:divBdr>
    </w:div>
    <w:div w:id="215894599">
      <w:bodyDiv w:val="1"/>
      <w:marLeft w:val="0"/>
      <w:marRight w:val="0"/>
      <w:marTop w:val="0"/>
      <w:marBottom w:val="0"/>
      <w:divBdr>
        <w:top w:val="none" w:sz="0" w:space="0" w:color="auto"/>
        <w:left w:val="none" w:sz="0" w:space="0" w:color="auto"/>
        <w:bottom w:val="none" w:sz="0" w:space="0" w:color="auto"/>
        <w:right w:val="none" w:sz="0" w:space="0" w:color="auto"/>
      </w:divBdr>
    </w:div>
    <w:div w:id="261644905">
      <w:bodyDiv w:val="1"/>
      <w:marLeft w:val="0"/>
      <w:marRight w:val="0"/>
      <w:marTop w:val="0"/>
      <w:marBottom w:val="0"/>
      <w:divBdr>
        <w:top w:val="none" w:sz="0" w:space="0" w:color="auto"/>
        <w:left w:val="none" w:sz="0" w:space="0" w:color="auto"/>
        <w:bottom w:val="none" w:sz="0" w:space="0" w:color="auto"/>
        <w:right w:val="none" w:sz="0" w:space="0" w:color="auto"/>
      </w:divBdr>
    </w:div>
    <w:div w:id="293408413">
      <w:bodyDiv w:val="1"/>
      <w:marLeft w:val="0"/>
      <w:marRight w:val="0"/>
      <w:marTop w:val="0"/>
      <w:marBottom w:val="0"/>
      <w:divBdr>
        <w:top w:val="none" w:sz="0" w:space="0" w:color="auto"/>
        <w:left w:val="none" w:sz="0" w:space="0" w:color="auto"/>
        <w:bottom w:val="none" w:sz="0" w:space="0" w:color="auto"/>
        <w:right w:val="none" w:sz="0" w:space="0" w:color="auto"/>
      </w:divBdr>
    </w:div>
    <w:div w:id="308707172">
      <w:bodyDiv w:val="1"/>
      <w:marLeft w:val="0"/>
      <w:marRight w:val="0"/>
      <w:marTop w:val="0"/>
      <w:marBottom w:val="0"/>
      <w:divBdr>
        <w:top w:val="none" w:sz="0" w:space="0" w:color="auto"/>
        <w:left w:val="none" w:sz="0" w:space="0" w:color="auto"/>
        <w:bottom w:val="none" w:sz="0" w:space="0" w:color="auto"/>
        <w:right w:val="none" w:sz="0" w:space="0" w:color="auto"/>
      </w:divBdr>
    </w:div>
    <w:div w:id="321589600">
      <w:bodyDiv w:val="1"/>
      <w:marLeft w:val="0"/>
      <w:marRight w:val="0"/>
      <w:marTop w:val="0"/>
      <w:marBottom w:val="0"/>
      <w:divBdr>
        <w:top w:val="none" w:sz="0" w:space="0" w:color="auto"/>
        <w:left w:val="none" w:sz="0" w:space="0" w:color="auto"/>
        <w:bottom w:val="none" w:sz="0" w:space="0" w:color="auto"/>
        <w:right w:val="none" w:sz="0" w:space="0" w:color="auto"/>
      </w:divBdr>
    </w:div>
    <w:div w:id="328753638">
      <w:bodyDiv w:val="1"/>
      <w:marLeft w:val="0"/>
      <w:marRight w:val="0"/>
      <w:marTop w:val="0"/>
      <w:marBottom w:val="0"/>
      <w:divBdr>
        <w:top w:val="none" w:sz="0" w:space="0" w:color="auto"/>
        <w:left w:val="none" w:sz="0" w:space="0" w:color="auto"/>
        <w:bottom w:val="none" w:sz="0" w:space="0" w:color="auto"/>
        <w:right w:val="none" w:sz="0" w:space="0" w:color="auto"/>
      </w:divBdr>
    </w:div>
    <w:div w:id="354498395">
      <w:bodyDiv w:val="1"/>
      <w:marLeft w:val="0"/>
      <w:marRight w:val="0"/>
      <w:marTop w:val="0"/>
      <w:marBottom w:val="0"/>
      <w:divBdr>
        <w:top w:val="none" w:sz="0" w:space="0" w:color="auto"/>
        <w:left w:val="none" w:sz="0" w:space="0" w:color="auto"/>
        <w:bottom w:val="none" w:sz="0" w:space="0" w:color="auto"/>
        <w:right w:val="none" w:sz="0" w:space="0" w:color="auto"/>
      </w:divBdr>
    </w:div>
    <w:div w:id="357387964">
      <w:bodyDiv w:val="1"/>
      <w:marLeft w:val="0"/>
      <w:marRight w:val="0"/>
      <w:marTop w:val="0"/>
      <w:marBottom w:val="0"/>
      <w:divBdr>
        <w:top w:val="none" w:sz="0" w:space="0" w:color="auto"/>
        <w:left w:val="none" w:sz="0" w:space="0" w:color="auto"/>
        <w:bottom w:val="none" w:sz="0" w:space="0" w:color="auto"/>
        <w:right w:val="none" w:sz="0" w:space="0" w:color="auto"/>
      </w:divBdr>
    </w:div>
    <w:div w:id="379670235">
      <w:bodyDiv w:val="1"/>
      <w:marLeft w:val="0"/>
      <w:marRight w:val="0"/>
      <w:marTop w:val="0"/>
      <w:marBottom w:val="0"/>
      <w:divBdr>
        <w:top w:val="none" w:sz="0" w:space="0" w:color="auto"/>
        <w:left w:val="none" w:sz="0" w:space="0" w:color="auto"/>
        <w:bottom w:val="none" w:sz="0" w:space="0" w:color="auto"/>
        <w:right w:val="none" w:sz="0" w:space="0" w:color="auto"/>
      </w:divBdr>
    </w:div>
    <w:div w:id="426658264">
      <w:bodyDiv w:val="1"/>
      <w:marLeft w:val="0"/>
      <w:marRight w:val="0"/>
      <w:marTop w:val="0"/>
      <w:marBottom w:val="0"/>
      <w:divBdr>
        <w:top w:val="none" w:sz="0" w:space="0" w:color="auto"/>
        <w:left w:val="none" w:sz="0" w:space="0" w:color="auto"/>
        <w:bottom w:val="none" w:sz="0" w:space="0" w:color="auto"/>
        <w:right w:val="none" w:sz="0" w:space="0" w:color="auto"/>
      </w:divBdr>
    </w:div>
    <w:div w:id="436566007">
      <w:bodyDiv w:val="1"/>
      <w:marLeft w:val="0"/>
      <w:marRight w:val="0"/>
      <w:marTop w:val="0"/>
      <w:marBottom w:val="0"/>
      <w:divBdr>
        <w:top w:val="none" w:sz="0" w:space="0" w:color="auto"/>
        <w:left w:val="none" w:sz="0" w:space="0" w:color="auto"/>
        <w:bottom w:val="none" w:sz="0" w:space="0" w:color="auto"/>
        <w:right w:val="none" w:sz="0" w:space="0" w:color="auto"/>
      </w:divBdr>
    </w:div>
    <w:div w:id="455225093">
      <w:bodyDiv w:val="1"/>
      <w:marLeft w:val="0"/>
      <w:marRight w:val="0"/>
      <w:marTop w:val="0"/>
      <w:marBottom w:val="0"/>
      <w:divBdr>
        <w:top w:val="none" w:sz="0" w:space="0" w:color="auto"/>
        <w:left w:val="none" w:sz="0" w:space="0" w:color="auto"/>
        <w:bottom w:val="none" w:sz="0" w:space="0" w:color="auto"/>
        <w:right w:val="none" w:sz="0" w:space="0" w:color="auto"/>
      </w:divBdr>
    </w:div>
    <w:div w:id="468059430">
      <w:bodyDiv w:val="1"/>
      <w:marLeft w:val="0"/>
      <w:marRight w:val="0"/>
      <w:marTop w:val="0"/>
      <w:marBottom w:val="0"/>
      <w:divBdr>
        <w:top w:val="none" w:sz="0" w:space="0" w:color="auto"/>
        <w:left w:val="none" w:sz="0" w:space="0" w:color="auto"/>
        <w:bottom w:val="none" w:sz="0" w:space="0" w:color="auto"/>
        <w:right w:val="none" w:sz="0" w:space="0" w:color="auto"/>
      </w:divBdr>
    </w:div>
    <w:div w:id="503906627">
      <w:bodyDiv w:val="1"/>
      <w:marLeft w:val="0"/>
      <w:marRight w:val="0"/>
      <w:marTop w:val="0"/>
      <w:marBottom w:val="0"/>
      <w:divBdr>
        <w:top w:val="none" w:sz="0" w:space="0" w:color="auto"/>
        <w:left w:val="none" w:sz="0" w:space="0" w:color="auto"/>
        <w:bottom w:val="none" w:sz="0" w:space="0" w:color="auto"/>
        <w:right w:val="none" w:sz="0" w:space="0" w:color="auto"/>
      </w:divBdr>
    </w:div>
    <w:div w:id="570235921">
      <w:bodyDiv w:val="1"/>
      <w:marLeft w:val="0"/>
      <w:marRight w:val="0"/>
      <w:marTop w:val="0"/>
      <w:marBottom w:val="0"/>
      <w:divBdr>
        <w:top w:val="none" w:sz="0" w:space="0" w:color="auto"/>
        <w:left w:val="none" w:sz="0" w:space="0" w:color="auto"/>
        <w:bottom w:val="none" w:sz="0" w:space="0" w:color="auto"/>
        <w:right w:val="none" w:sz="0" w:space="0" w:color="auto"/>
      </w:divBdr>
    </w:div>
    <w:div w:id="634991579">
      <w:bodyDiv w:val="1"/>
      <w:marLeft w:val="0"/>
      <w:marRight w:val="0"/>
      <w:marTop w:val="0"/>
      <w:marBottom w:val="0"/>
      <w:divBdr>
        <w:top w:val="none" w:sz="0" w:space="0" w:color="auto"/>
        <w:left w:val="none" w:sz="0" w:space="0" w:color="auto"/>
        <w:bottom w:val="none" w:sz="0" w:space="0" w:color="auto"/>
        <w:right w:val="none" w:sz="0" w:space="0" w:color="auto"/>
      </w:divBdr>
    </w:div>
    <w:div w:id="639112785">
      <w:bodyDiv w:val="1"/>
      <w:marLeft w:val="0"/>
      <w:marRight w:val="0"/>
      <w:marTop w:val="0"/>
      <w:marBottom w:val="0"/>
      <w:divBdr>
        <w:top w:val="none" w:sz="0" w:space="0" w:color="auto"/>
        <w:left w:val="none" w:sz="0" w:space="0" w:color="auto"/>
        <w:bottom w:val="none" w:sz="0" w:space="0" w:color="auto"/>
        <w:right w:val="none" w:sz="0" w:space="0" w:color="auto"/>
      </w:divBdr>
    </w:div>
    <w:div w:id="651952583">
      <w:bodyDiv w:val="1"/>
      <w:marLeft w:val="0"/>
      <w:marRight w:val="0"/>
      <w:marTop w:val="0"/>
      <w:marBottom w:val="0"/>
      <w:divBdr>
        <w:top w:val="none" w:sz="0" w:space="0" w:color="auto"/>
        <w:left w:val="none" w:sz="0" w:space="0" w:color="auto"/>
        <w:bottom w:val="none" w:sz="0" w:space="0" w:color="auto"/>
        <w:right w:val="none" w:sz="0" w:space="0" w:color="auto"/>
      </w:divBdr>
    </w:div>
    <w:div w:id="662666582">
      <w:bodyDiv w:val="1"/>
      <w:marLeft w:val="0"/>
      <w:marRight w:val="0"/>
      <w:marTop w:val="0"/>
      <w:marBottom w:val="0"/>
      <w:divBdr>
        <w:top w:val="none" w:sz="0" w:space="0" w:color="auto"/>
        <w:left w:val="none" w:sz="0" w:space="0" w:color="auto"/>
        <w:bottom w:val="none" w:sz="0" w:space="0" w:color="auto"/>
        <w:right w:val="none" w:sz="0" w:space="0" w:color="auto"/>
      </w:divBdr>
    </w:div>
    <w:div w:id="714309593">
      <w:bodyDiv w:val="1"/>
      <w:marLeft w:val="0"/>
      <w:marRight w:val="0"/>
      <w:marTop w:val="0"/>
      <w:marBottom w:val="0"/>
      <w:divBdr>
        <w:top w:val="none" w:sz="0" w:space="0" w:color="auto"/>
        <w:left w:val="none" w:sz="0" w:space="0" w:color="auto"/>
        <w:bottom w:val="none" w:sz="0" w:space="0" w:color="auto"/>
        <w:right w:val="none" w:sz="0" w:space="0" w:color="auto"/>
      </w:divBdr>
    </w:div>
    <w:div w:id="718357027">
      <w:bodyDiv w:val="1"/>
      <w:marLeft w:val="0"/>
      <w:marRight w:val="0"/>
      <w:marTop w:val="0"/>
      <w:marBottom w:val="0"/>
      <w:divBdr>
        <w:top w:val="none" w:sz="0" w:space="0" w:color="auto"/>
        <w:left w:val="none" w:sz="0" w:space="0" w:color="auto"/>
        <w:bottom w:val="none" w:sz="0" w:space="0" w:color="auto"/>
        <w:right w:val="none" w:sz="0" w:space="0" w:color="auto"/>
      </w:divBdr>
    </w:div>
    <w:div w:id="719864705">
      <w:bodyDiv w:val="1"/>
      <w:marLeft w:val="0"/>
      <w:marRight w:val="0"/>
      <w:marTop w:val="0"/>
      <w:marBottom w:val="0"/>
      <w:divBdr>
        <w:top w:val="none" w:sz="0" w:space="0" w:color="auto"/>
        <w:left w:val="none" w:sz="0" w:space="0" w:color="auto"/>
        <w:bottom w:val="none" w:sz="0" w:space="0" w:color="auto"/>
        <w:right w:val="none" w:sz="0" w:space="0" w:color="auto"/>
      </w:divBdr>
    </w:div>
    <w:div w:id="722213997">
      <w:bodyDiv w:val="1"/>
      <w:marLeft w:val="0"/>
      <w:marRight w:val="0"/>
      <w:marTop w:val="0"/>
      <w:marBottom w:val="0"/>
      <w:divBdr>
        <w:top w:val="none" w:sz="0" w:space="0" w:color="auto"/>
        <w:left w:val="none" w:sz="0" w:space="0" w:color="auto"/>
        <w:bottom w:val="none" w:sz="0" w:space="0" w:color="auto"/>
        <w:right w:val="none" w:sz="0" w:space="0" w:color="auto"/>
      </w:divBdr>
    </w:div>
    <w:div w:id="728963564">
      <w:bodyDiv w:val="1"/>
      <w:marLeft w:val="0"/>
      <w:marRight w:val="0"/>
      <w:marTop w:val="0"/>
      <w:marBottom w:val="0"/>
      <w:divBdr>
        <w:top w:val="none" w:sz="0" w:space="0" w:color="auto"/>
        <w:left w:val="none" w:sz="0" w:space="0" w:color="auto"/>
        <w:bottom w:val="none" w:sz="0" w:space="0" w:color="auto"/>
        <w:right w:val="none" w:sz="0" w:space="0" w:color="auto"/>
      </w:divBdr>
    </w:div>
    <w:div w:id="732966415">
      <w:bodyDiv w:val="1"/>
      <w:marLeft w:val="0"/>
      <w:marRight w:val="0"/>
      <w:marTop w:val="0"/>
      <w:marBottom w:val="0"/>
      <w:divBdr>
        <w:top w:val="none" w:sz="0" w:space="0" w:color="auto"/>
        <w:left w:val="none" w:sz="0" w:space="0" w:color="auto"/>
        <w:bottom w:val="none" w:sz="0" w:space="0" w:color="auto"/>
        <w:right w:val="none" w:sz="0" w:space="0" w:color="auto"/>
      </w:divBdr>
    </w:div>
    <w:div w:id="764109331">
      <w:bodyDiv w:val="1"/>
      <w:marLeft w:val="0"/>
      <w:marRight w:val="0"/>
      <w:marTop w:val="0"/>
      <w:marBottom w:val="0"/>
      <w:divBdr>
        <w:top w:val="none" w:sz="0" w:space="0" w:color="auto"/>
        <w:left w:val="none" w:sz="0" w:space="0" w:color="auto"/>
        <w:bottom w:val="none" w:sz="0" w:space="0" w:color="auto"/>
        <w:right w:val="none" w:sz="0" w:space="0" w:color="auto"/>
      </w:divBdr>
    </w:div>
    <w:div w:id="769474547">
      <w:bodyDiv w:val="1"/>
      <w:marLeft w:val="0"/>
      <w:marRight w:val="0"/>
      <w:marTop w:val="0"/>
      <w:marBottom w:val="0"/>
      <w:divBdr>
        <w:top w:val="none" w:sz="0" w:space="0" w:color="auto"/>
        <w:left w:val="none" w:sz="0" w:space="0" w:color="auto"/>
        <w:bottom w:val="none" w:sz="0" w:space="0" w:color="auto"/>
        <w:right w:val="none" w:sz="0" w:space="0" w:color="auto"/>
      </w:divBdr>
    </w:div>
    <w:div w:id="780029760">
      <w:bodyDiv w:val="1"/>
      <w:marLeft w:val="0"/>
      <w:marRight w:val="0"/>
      <w:marTop w:val="0"/>
      <w:marBottom w:val="0"/>
      <w:divBdr>
        <w:top w:val="none" w:sz="0" w:space="0" w:color="auto"/>
        <w:left w:val="none" w:sz="0" w:space="0" w:color="auto"/>
        <w:bottom w:val="none" w:sz="0" w:space="0" w:color="auto"/>
        <w:right w:val="none" w:sz="0" w:space="0" w:color="auto"/>
      </w:divBdr>
    </w:div>
    <w:div w:id="839810682">
      <w:bodyDiv w:val="1"/>
      <w:marLeft w:val="0"/>
      <w:marRight w:val="0"/>
      <w:marTop w:val="0"/>
      <w:marBottom w:val="0"/>
      <w:divBdr>
        <w:top w:val="none" w:sz="0" w:space="0" w:color="auto"/>
        <w:left w:val="none" w:sz="0" w:space="0" w:color="auto"/>
        <w:bottom w:val="none" w:sz="0" w:space="0" w:color="auto"/>
        <w:right w:val="none" w:sz="0" w:space="0" w:color="auto"/>
      </w:divBdr>
    </w:div>
    <w:div w:id="847256592">
      <w:bodyDiv w:val="1"/>
      <w:marLeft w:val="0"/>
      <w:marRight w:val="0"/>
      <w:marTop w:val="0"/>
      <w:marBottom w:val="0"/>
      <w:divBdr>
        <w:top w:val="none" w:sz="0" w:space="0" w:color="auto"/>
        <w:left w:val="none" w:sz="0" w:space="0" w:color="auto"/>
        <w:bottom w:val="none" w:sz="0" w:space="0" w:color="auto"/>
        <w:right w:val="none" w:sz="0" w:space="0" w:color="auto"/>
      </w:divBdr>
    </w:div>
    <w:div w:id="849876515">
      <w:bodyDiv w:val="1"/>
      <w:marLeft w:val="0"/>
      <w:marRight w:val="0"/>
      <w:marTop w:val="0"/>
      <w:marBottom w:val="0"/>
      <w:divBdr>
        <w:top w:val="none" w:sz="0" w:space="0" w:color="auto"/>
        <w:left w:val="none" w:sz="0" w:space="0" w:color="auto"/>
        <w:bottom w:val="none" w:sz="0" w:space="0" w:color="auto"/>
        <w:right w:val="none" w:sz="0" w:space="0" w:color="auto"/>
      </w:divBdr>
    </w:div>
    <w:div w:id="863711924">
      <w:bodyDiv w:val="1"/>
      <w:marLeft w:val="0"/>
      <w:marRight w:val="0"/>
      <w:marTop w:val="0"/>
      <w:marBottom w:val="0"/>
      <w:divBdr>
        <w:top w:val="none" w:sz="0" w:space="0" w:color="auto"/>
        <w:left w:val="none" w:sz="0" w:space="0" w:color="auto"/>
        <w:bottom w:val="none" w:sz="0" w:space="0" w:color="auto"/>
        <w:right w:val="none" w:sz="0" w:space="0" w:color="auto"/>
      </w:divBdr>
    </w:div>
    <w:div w:id="866144645">
      <w:bodyDiv w:val="1"/>
      <w:marLeft w:val="0"/>
      <w:marRight w:val="0"/>
      <w:marTop w:val="0"/>
      <w:marBottom w:val="0"/>
      <w:divBdr>
        <w:top w:val="none" w:sz="0" w:space="0" w:color="auto"/>
        <w:left w:val="none" w:sz="0" w:space="0" w:color="auto"/>
        <w:bottom w:val="none" w:sz="0" w:space="0" w:color="auto"/>
        <w:right w:val="none" w:sz="0" w:space="0" w:color="auto"/>
      </w:divBdr>
    </w:div>
    <w:div w:id="870529619">
      <w:bodyDiv w:val="1"/>
      <w:marLeft w:val="0"/>
      <w:marRight w:val="0"/>
      <w:marTop w:val="0"/>
      <w:marBottom w:val="0"/>
      <w:divBdr>
        <w:top w:val="none" w:sz="0" w:space="0" w:color="auto"/>
        <w:left w:val="none" w:sz="0" w:space="0" w:color="auto"/>
        <w:bottom w:val="none" w:sz="0" w:space="0" w:color="auto"/>
        <w:right w:val="none" w:sz="0" w:space="0" w:color="auto"/>
      </w:divBdr>
    </w:div>
    <w:div w:id="871261121">
      <w:bodyDiv w:val="1"/>
      <w:marLeft w:val="0"/>
      <w:marRight w:val="0"/>
      <w:marTop w:val="0"/>
      <w:marBottom w:val="0"/>
      <w:divBdr>
        <w:top w:val="none" w:sz="0" w:space="0" w:color="auto"/>
        <w:left w:val="none" w:sz="0" w:space="0" w:color="auto"/>
        <w:bottom w:val="none" w:sz="0" w:space="0" w:color="auto"/>
        <w:right w:val="none" w:sz="0" w:space="0" w:color="auto"/>
      </w:divBdr>
    </w:div>
    <w:div w:id="881595275">
      <w:bodyDiv w:val="1"/>
      <w:marLeft w:val="0"/>
      <w:marRight w:val="0"/>
      <w:marTop w:val="0"/>
      <w:marBottom w:val="0"/>
      <w:divBdr>
        <w:top w:val="none" w:sz="0" w:space="0" w:color="auto"/>
        <w:left w:val="none" w:sz="0" w:space="0" w:color="auto"/>
        <w:bottom w:val="none" w:sz="0" w:space="0" w:color="auto"/>
        <w:right w:val="none" w:sz="0" w:space="0" w:color="auto"/>
      </w:divBdr>
    </w:div>
    <w:div w:id="931816206">
      <w:bodyDiv w:val="1"/>
      <w:marLeft w:val="0"/>
      <w:marRight w:val="0"/>
      <w:marTop w:val="0"/>
      <w:marBottom w:val="0"/>
      <w:divBdr>
        <w:top w:val="none" w:sz="0" w:space="0" w:color="auto"/>
        <w:left w:val="none" w:sz="0" w:space="0" w:color="auto"/>
        <w:bottom w:val="none" w:sz="0" w:space="0" w:color="auto"/>
        <w:right w:val="none" w:sz="0" w:space="0" w:color="auto"/>
      </w:divBdr>
    </w:div>
    <w:div w:id="970090384">
      <w:bodyDiv w:val="1"/>
      <w:marLeft w:val="0"/>
      <w:marRight w:val="0"/>
      <w:marTop w:val="0"/>
      <w:marBottom w:val="0"/>
      <w:divBdr>
        <w:top w:val="none" w:sz="0" w:space="0" w:color="auto"/>
        <w:left w:val="none" w:sz="0" w:space="0" w:color="auto"/>
        <w:bottom w:val="none" w:sz="0" w:space="0" w:color="auto"/>
        <w:right w:val="none" w:sz="0" w:space="0" w:color="auto"/>
      </w:divBdr>
    </w:div>
    <w:div w:id="982848919">
      <w:bodyDiv w:val="1"/>
      <w:marLeft w:val="0"/>
      <w:marRight w:val="0"/>
      <w:marTop w:val="0"/>
      <w:marBottom w:val="0"/>
      <w:divBdr>
        <w:top w:val="none" w:sz="0" w:space="0" w:color="auto"/>
        <w:left w:val="none" w:sz="0" w:space="0" w:color="auto"/>
        <w:bottom w:val="none" w:sz="0" w:space="0" w:color="auto"/>
        <w:right w:val="none" w:sz="0" w:space="0" w:color="auto"/>
      </w:divBdr>
    </w:div>
    <w:div w:id="994336347">
      <w:bodyDiv w:val="1"/>
      <w:marLeft w:val="0"/>
      <w:marRight w:val="0"/>
      <w:marTop w:val="0"/>
      <w:marBottom w:val="0"/>
      <w:divBdr>
        <w:top w:val="none" w:sz="0" w:space="0" w:color="auto"/>
        <w:left w:val="none" w:sz="0" w:space="0" w:color="auto"/>
        <w:bottom w:val="none" w:sz="0" w:space="0" w:color="auto"/>
        <w:right w:val="none" w:sz="0" w:space="0" w:color="auto"/>
      </w:divBdr>
    </w:div>
    <w:div w:id="1025979650">
      <w:bodyDiv w:val="1"/>
      <w:marLeft w:val="0"/>
      <w:marRight w:val="0"/>
      <w:marTop w:val="0"/>
      <w:marBottom w:val="0"/>
      <w:divBdr>
        <w:top w:val="none" w:sz="0" w:space="0" w:color="auto"/>
        <w:left w:val="none" w:sz="0" w:space="0" w:color="auto"/>
        <w:bottom w:val="none" w:sz="0" w:space="0" w:color="auto"/>
        <w:right w:val="none" w:sz="0" w:space="0" w:color="auto"/>
      </w:divBdr>
    </w:div>
    <w:div w:id="1030454545">
      <w:bodyDiv w:val="1"/>
      <w:marLeft w:val="0"/>
      <w:marRight w:val="0"/>
      <w:marTop w:val="0"/>
      <w:marBottom w:val="0"/>
      <w:divBdr>
        <w:top w:val="none" w:sz="0" w:space="0" w:color="auto"/>
        <w:left w:val="none" w:sz="0" w:space="0" w:color="auto"/>
        <w:bottom w:val="none" w:sz="0" w:space="0" w:color="auto"/>
        <w:right w:val="none" w:sz="0" w:space="0" w:color="auto"/>
      </w:divBdr>
    </w:div>
    <w:div w:id="1048383076">
      <w:bodyDiv w:val="1"/>
      <w:marLeft w:val="0"/>
      <w:marRight w:val="0"/>
      <w:marTop w:val="0"/>
      <w:marBottom w:val="0"/>
      <w:divBdr>
        <w:top w:val="none" w:sz="0" w:space="0" w:color="auto"/>
        <w:left w:val="none" w:sz="0" w:space="0" w:color="auto"/>
        <w:bottom w:val="none" w:sz="0" w:space="0" w:color="auto"/>
        <w:right w:val="none" w:sz="0" w:space="0" w:color="auto"/>
      </w:divBdr>
    </w:div>
    <w:div w:id="1067536666">
      <w:bodyDiv w:val="1"/>
      <w:marLeft w:val="0"/>
      <w:marRight w:val="0"/>
      <w:marTop w:val="0"/>
      <w:marBottom w:val="0"/>
      <w:divBdr>
        <w:top w:val="none" w:sz="0" w:space="0" w:color="auto"/>
        <w:left w:val="none" w:sz="0" w:space="0" w:color="auto"/>
        <w:bottom w:val="none" w:sz="0" w:space="0" w:color="auto"/>
        <w:right w:val="none" w:sz="0" w:space="0" w:color="auto"/>
      </w:divBdr>
    </w:div>
    <w:div w:id="1099108001">
      <w:bodyDiv w:val="1"/>
      <w:marLeft w:val="0"/>
      <w:marRight w:val="0"/>
      <w:marTop w:val="0"/>
      <w:marBottom w:val="0"/>
      <w:divBdr>
        <w:top w:val="none" w:sz="0" w:space="0" w:color="auto"/>
        <w:left w:val="none" w:sz="0" w:space="0" w:color="auto"/>
        <w:bottom w:val="none" w:sz="0" w:space="0" w:color="auto"/>
        <w:right w:val="none" w:sz="0" w:space="0" w:color="auto"/>
      </w:divBdr>
    </w:div>
    <w:div w:id="1121222413">
      <w:bodyDiv w:val="1"/>
      <w:marLeft w:val="0"/>
      <w:marRight w:val="0"/>
      <w:marTop w:val="0"/>
      <w:marBottom w:val="0"/>
      <w:divBdr>
        <w:top w:val="none" w:sz="0" w:space="0" w:color="auto"/>
        <w:left w:val="none" w:sz="0" w:space="0" w:color="auto"/>
        <w:bottom w:val="none" w:sz="0" w:space="0" w:color="auto"/>
        <w:right w:val="none" w:sz="0" w:space="0" w:color="auto"/>
      </w:divBdr>
    </w:div>
    <w:div w:id="1165820042">
      <w:bodyDiv w:val="1"/>
      <w:marLeft w:val="0"/>
      <w:marRight w:val="0"/>
      <w:marTop w:val="0"/>
      <w:marBottom w:val="0"/>
      <w:divBdr>
        <w:top w:val="none" w:sz="0" w:space="0" w:color="auto"/>
        <w:left w:val="none" w:sz="0" w:space="0" w:color="auto"/>
        <w:bottom w:val="none" w:sz="0" w:space="0" w:color="auto"/>
        <w:right w:val="none" w:sz="0" w:space="0" w:color="auto"/>
      </w:divBdr>
    </w:div>
    <w:div w:id="1167404299">
      <w:bodyDiv w:val="1"/>
      <w:marLeft w:val="0"/>
      <w:marRight w:val="0"/>
      <w:marTop w:val="0"/>
      <w:marBottom w:val="0"/>
      <w:divBdr>
        <w:top w:val="none" w:sz="0" w:space="0" w:color="auto"/>
        <w:left w:val="none" w:sz="0" w:space="0" w:color="auto"/>
        <w:bottom w:val="none" w:sz="0" w:space="0" w:color="auto"/>
        <w:right w:val="none" w:sz="0" w:space="0" w:color="auto"/>
      </w:divBdr>
    </w:div>
    <w:div w:id="1178928604">
      <w:bodyDiv w:val="1"/>
      <w:marLeft w:val="0"/>
      <w:marRight w:val="0"/>
      <w:marTop w:val="0"/>
      <w:marBottom w:val="0"/>
      <w:divBdr>
        <w:top w:val="none" w:sz="0" w:space="0" w:color="auto"/>
        <w:left w:val="none" w:sz="0" w:space="0" w:color="auto"/>
        <w:bottom w:val="none" w:sz="0" w:space="0" w:color="auto"/>
        <w:right w:val="none" w:sz="0" w:space="0" w:color="auto"/>
      </w:divBdr>
    </w:div>
    <w:div w:id="1187213603">
      <w:bodyDiv w:val="1"/>
      <w:marLeft w:val="0"/>
      <w:marRight w:val="0"/>
      <w:marTop w:val="0"/>
      <w:marBottom w:val="0"/>
      <w:divBdr>
        <w:top w:val="none" w:sz="0" w:space="0" w:color="auto"/>
        <w:left w:val="none" w:sz="0" w:space="0" w:color="auto"/>
        <w:bottom w:val="none" w:sz="0" w:space="0" w:color="auto"/>
        <w:right w:val="none" w:sz="0" w:space="0" w:color="auto"/>
      </w:divBdr>
    </w:div>
    <w:div w:id="1193155752">
      <w:bodyDiv w:val="1"/>
      <w:marLeft w:val="0"/>
      <w:marRight w:val="0"/>
      <w:marTop w:val="0"/>
      <w:marBottom w:val="0"/>
      <w:divBdr>
        <w:top w:val="none" w:sz="0" w:space="0" w:color="auto"/>
        <w:left w:val="none" w:sz="0" w:space="0" w:color="auto"/>
        <w:bottom w:val="none" w:sz="0" w:space="0" w:color="auto"/>
        <w:right w:val="none" w:sz="0" w:space="0" w:color="auto"/>
      </w:divBdr>
    </w:div>
    <w:div w:id="1225599677">
      <w:bodyDiv w:val="1"/>
      <w:marLeft w:val="0"/>
      <w:marRight w:val="0"/>
      <w:marTop w:val="0"/>
      <w:marBottom w:val="0"/>
      <w:divBdr>
        <w:top w:val="none" w:sz="0" w:space="0" w:color="auto"/>
        <w:left w:val="none" w:sz="0" w:space="0" w:color="auto"/>
        <w:bottom w:val="none" w:sz="0" w:space="0" w:color="auto"/>
        <w:right w:val="none" w:sz="0" w:space="0" w:color="auto"/>
      </w:divBdr>
    </w:div>
    <w:div w:id="1230847218">
      <w:bodyDiv w:val="1"/>
      <w:marLeft w:val="0"/>
      <w:marRight w:val="0"/>
      <w:marTop w:val="0"/>
      <w:marBottom w:val="0"/>
      <w:divBdr>
        <w:top w:val="none" w:sz="0" w:space="0" w:color="auto"/>
        <w:left w:val="none" w:sz="0" w:space="0" w:color="auto"/>
        <w:bottom w:val="none" w:sz="0" w:space="0" w:color="auto"/>
        <w:right w:val="none" w:sz="0" w:space="0" w:color="auto"/>
      </w:divBdr>
    </w:div>
    <w:div w:id="1233198318">
      <w:bodyDiv w:val="1"/>
      <w:marLeft w:val="0"/>
      <w:marRight w:val="0"/>
      <w:marTop w:val="0"/>
      <w:marBottom w:val="0"/>
      <w:divBdr>
        <w:top w:val="none" w:sz="0" w:space="0" w:color="auto"/>
        <w:left w:val="none" w:sz="0" w:space="0" w:color="auto"/>
        <w:bottom w:val="none" w:sz="0" w:space="0" w:color="auto"/>
        <w:right w:val="none" w:sz="0" w:space="0" w:color="auto"/>
      </w:divBdr>
    </w:div>
    <w:div w:id="1238784647">
      <w:bodyDiv w:val="1"/>
      <w:marLeft w:val="0"/>
      <w:marRight w:val="0"/>
      <w:marTop w:val="0"/>
      <w:marBottom w:val="0"/>
      <w:divBdr>
        <w:top w:val="none" w:sz="0" w:space="0" w:color="auto"/>
        <w:left w:val="none" w:sz="0" w:space="0" w:color="auto"/>
        <w:bottom w:val="none" w:sz="0" w:space="0" w:color="auto"/>
        <w:right w:val="none" w:sz="0" w:space="0" w:color="auto"/>
      </w:divBdr>
    </w:div>
    <w:div w:id="1239168266">
      <w:bodyDiv w:val="1"/>
      <w:marLeft w:val="0"/>
      <w:marRight w:val="0"/>
      <w:marTop w:val="0"/>
      <w:marBottom w:val="0"/>
      <w:divBdr>
        <w:top w:val="none" w:sz="0" w:space="0" w:color="auto"/>
        <w:left w:val="none" w:sz="0" w:space="0" w:color="auto"/>
        <w:bottom w:val="none" w:sz="0" w:space="0" w:color="auto"/>
        <w:right w:val="none" w:sz="0" w:space="0" w:color="auto"/>
      </w:divBdr>
    </w:div>
    <w:div w:id="1259871755">
      <w:bodyDiv w:val="1"/>
      <w:marLeft w:val="0"/>
      <w:marRight w:val="0"/>
      <w:marTop w:val="0"/>
      <w:marBottom w:val="0"/>
      <w:divBdr>
        <w:top w:val="none" w:sz="0" w:space="0" w:color="auto"/>
        <w:left w:val="none" w:sz="0" w:space="0" w:color="auto"/>
        <w:bottom w:val="none" w:sz="0" w:space="0" w:color="auto"/>
        <w:right w:val="none" w:sz="0" w:space="0" w:color="auto"/>
      </w:divBdr>
    </w:div>
    <w:div w:id="1263031561">
      <w:bodyDiv w:val="1"/>
      <w:marLeft w:val="0"/>
      <w:marRight w:val="0"/>
      <w:marTop w:val="0"/>
      <w:marBottom w:val="0"/>
      <w:divBdr>
        <w:top w:val="none" w:sz="0" w:space="0" w:color="auto"/>
        <w:left w:val="none" w:sz="0" w:space="0" w:color="auto"/>
        <w:bottom w:val="none" w:sz="0" w:space="0" w:color="auto"/>
        <w:right w:val="none" w:sz="0" w:space="0" w:color="auto"/>
      </w:divBdr>
    </w:div>
    <w:div w:id="1284308993">
      <w:bodyDiv w:val="1"/>
      <w:marLeft w:val="0"/>
      <w:marRight w:val="0"/>
      <w:marTop w:val="0"/>
      <w:marBottom w:val="0"/>
      <w:divBdr>
        <w:top w:val="none" w:sz="0" w:space="0" w:color="auto"/>
        <w:left w:val="none" w:sz="0" w:space="0" w:color="auto"/>
        <w:bottom w:val="none" w:sz="0" w:space="0" w:color="auto"/>
        <w:right w:val="none" w:sz="0" w:space="0" w:color="auto"/>
      </w:divBdr>
    </w:div>
    <w:div w:id="1288311984">
      <w:bodyDiv w:val="1"/>
      <w:marLeft w:val="0"/>
      <w:marRight w:val="0"/>
      <w:marTop w:val="0"/>
      <w:marBottom w:val="0"/>
      <w:divBdr>
        <w:top w:val="none" w:sz="0" w:space="0" w:color="auto"/>
        <w:left w:val="none" w:sz="0" w:space="0" w:color="auto"/>
        <w:bottom w:val="none" w:sz="0" w:space="0" w:color="auto"/>
        <w:right w:val="none" w:sz="0" w:space="0" w:color="auto"/>
      </w:divBdr>
    </w:div>
    <w:div w:id="1295058994">
      <w:bodyDiv w:val="1"/>
      <w:marLeft w:val="0"/>
      <w:marRight w:val="0"/>
      <w:marTop w:val="0"/>
      <w:marBottom w:val="0"/>
      <w:divBdr>
        <w:top w:val="none" w:sz="0" w:space="0" w:color="auto"/>
        <w:left w:val="none" w:sz="0" w:space="0" w:color="auto"/>
        <w:bottom w:val="none" w:sz="0" w:space="0" w:color="auto"/>
        <w:right w:val="none" w:sz="0" w:space="0" w:color="auto"/>
      </w:divBdr>
    </w:div>
    <w:div w:id="1296326007">
      <w:bodyDiv w:val="1"/>
      <w:marLeft w:val="0"/>
      <w:marRight w:val="0"/>
      <w:marTop w:val="0"/>
      <w:marBottom w:val="0"/>
      <w:divBdr>
        <w:top w:val="none" w:sz="0" w:space="0" w:color="auto"/>
        <w:left w:val="none" w:sz="0" w:space="0" w:color="auto"/>
        <w:bottom w:val="none" w:sz="0" w:space="0" w:color="auto"/>
        <w:right w:val="none" w:sz="0" w:space="0" w:color="auto"/>
      </w:divBdr>
    </w:div>
    <w:div w:id="1319652645">
      <w:bodyDiv w:val="1"/>
      <w:marLeft w:val="0"/>
      <w:marRight w:val="0"/>
      <w:marTop w:val="0"/>
      <w:marBottom w:val="0"/>
      <w:divBdr>
        <w:top w:val="none" w:sz="0" w:space="0" w:color="auto"/>
        <w:left w:val="none" w:sz="0" w:space="0" w:color="auto"/>
        <w:bottom w:val="none" w:sz="0" w:space="0" w:color="auto"/>
        <w:right w:val="none" w:sz="0" w:space="0" w:color="auto"/>
      </w:divBdr>
    </w:div>
    <w:div w:id="1323387805">
      <w:bodyDiv w:val="1"/>
      <w:marLeft w:val="0"/>
      <w:marRight w:val="0"/>
      <w:marTop w:val="0"/>
      <w:marBottom w:val="0"/>
      <w:divBdr>
        <w:top w:val="none" w:sz="0" w:space="0" w:color="auto"/>
        <w:left w:val="none" w:sz="0" w:space="0" w:color="auto"/>
        <w:bottom w:val="none" w:sz="0" w:space="0" w:color="auto"/>
        <w:right w:val="none" w:sz="0" w:space="0" w:color="auto"/>
      </w:divBdr>
    </w:div>
    <w:div w:id="1323773314">
      <w:bodyDiv w:val="1"/>
      <w:marLeft w:val="0"/>
      <w:marRight w:val="0"/>
      <w:marTop w:val="0"/>
      <w:marBottom w:val="0"/>
      <w:divBdr>
        <w:top w:val="none" w:sz="0" w:space="0" w:color="auto"/>
        <w:left w:val="none" w:sz="0" w:space="0" w:color="auto"/>
        <w:bottom w:val="none" w:sz="0" w:space="0" w:color="auto"/>
        <w:right w:val="none" w:sz="0" w:space="0" w:color="auto"/>
      </w:divBdr>
    </w:div>
    <w:div w:id="1325551876">
      <w:bodyDiv w:val="1"/>
      <w:marLeft w:val="0"/>
      <w:marRight w:val="0"/>
      <w:marTop w:val="0"/>
      <w:marBottom w:val="0"/>
      <w:divBdr>
        <w:top w:val="none" w:sz="0" w:space="0" w:color="auto"/>
        <w:left w:val="none" w:sz="0" w:space="0" w:color="auto"/>
        <w:bottom w:val="none" w:sz="0" w:space="0" w:color="auto"/>
        <w:right w:val="none" w:sz="0" w:space="0" w:color="auto"/>
      </w:divBdr>
    </w:div>
    <w:div w:id="1344744606">
      <w:bodyDiv w:val="1"/>
      <w:marLeft w:val="0"/>
      <w:marRight w:val="0"/>
      <w:marTop w:val="0"/>
      <w:marBottom w:val="0"/>
      <w:divBdr>
        <w:top w:val="none" w:sz="0" w:space="0" w:color="auto"/>
        <w:left w:val="none" w:sz="0" w:space="0" w:color="auto"/>
        <w:bottom w:val="none" w:sz="0" w:space="0" w:color="auto"/>
        <w:right w:val="none" w:sz="0" w:space="0" w:color="auto"/>
      </w:divBdr>
    </w:div>
    <w:div w:id="1376270449">
      <w:bodyDiv w:val="1"/>
      <w:marLeft w:val="0"/>
      <w:marRight w:val="0"/>
      <w:marTop w:val="0"/>
      <w:marBottom w:val="0"/>
      <w:divBdr>
        <w:top w:val="none" w:sz="0" w:space="0" w:color="auto"/>
        <w:left w:val="none" w:sz="0" w:space="0" w:color="auto"/>
        <w:bottom w:val="none" w:sz="0" w:space="0" w:color="auto"/>
        <w:right w:val="none" w:sz="0" w:space="0" w:color="auto"/>
      </w:divBdr>
    </w:div>
    <w:div w:id="1389453291">
      <w:bodyDiv w:val="1"/>
      <w:marLeft w:val="0"/>
      <w:marRight w:val="0"/>
      <w:marTop w:val="0"/>
      <w:marBottom w:val="0"/>
      <w:divBdr>
        <w:top w:val="none" w:sz="0" w:space="0" w:color="auto"/>
        <w:left w:val="none" w:sz="0" w:space="0" w:color="auto"/>
        <w:bottom w:val="none" w:sz="0" w:space="0" w:color="auto"/>
        <w:right w:val="none" w:sz="0" w:space="0" w:color="auto"/>
      </w:divBdr>
    </w:div>
    <w:div w:id="1417478341">
      <w:bodyDiv w:val="1"/>
      <w:marLeft w:val="0"/>
      <w:marRight w:val="0"/>
      <w:marTop w:val="0"/>
      <w:marBottom w:val="0"/>
      <w:divBdr>
        <w:top w:val="none" w:sz="0" w:space="0" w:color="auto"/>
        <w:left w:val="none" w:sz="0" w:space="0" w:color="auto"/>
        <w:bottom w:val="none" w:sz="0" w:space="0" w:color="auto"/>
        <w:right w:val="none" w:sz="0" w:space="0" w:color="auto"/>
      </w:divBdr>
    </w:div>
    <w:div w:id="1422726609">
      <w:bodyDiv w:val="1"/>
      <w:marLeft w:val="0"/>
      <w:marRight w:val="0"/>
      <w:marTop w:val="0"/>
      <w:marBottom w:val="0"/>
      <w:divBdr>
        <w:top w:val="none" w:sz="0" w:space="0" w:color="auto"/>
        <w:left w:val="none" w:sz="0" w:space="0" w:color="auto"/>
        <w:bottom w:val="none" w:sz="0" w:space="0" w:color="auto"/>
        <w:right w:val="none" w:sz="0" w:space="0" w:color="auto"/>
      </w:divBdr>
    </w:div>
    <w:div w:id="1440683137">
      <w:bodyDiv w:val="1"/>
      <w:marLeft w:val="0"/>
      <w:marRight w:val="0"/>
      <w:marTop w:val="0"/>
      <w:marBottom w:val="0"/>
      <w:divBdr>
        <w:top w:val="none" w:sz="0" w:space="0" w:color="auto"/>
        <w:left w:val="none" w:sz="0" w:space="0" w:color="auto"/>
        <w:bottom w:val="none" w:sz="0" w:space="0" w:color="auto"/>
        <w:right w:val="none" w:sz="0" w:space="0" w:color="auto"/>
      </w:divBdr>
    </w:div>
    <w:div w:id="1480220504">
      <w:bodyDiv w:val="1"/>
      <w:marLeft w:val="0"/>
      <w:marRight w:val="0"/>
      <w:marTop w:val="0"/>
      <w:marBottom w:val="0"/>
      <w:divBdr>
        <w:top w:val="none" w:sz="0" w:space="0" w:color="auto"/>
        <w:left w:val="none" w:sz="0" w:space="0" w:color="auto"/>
        <w:bottom w:val="none" w:sz="0" w:space="0" w:color="auto"/>
        <w:right w:val="none" w:sz="0" w:space="0" w:color="auto"/>
      </w:divBdr>
    </w:div>
    <w:div w:id="1510408522">
      <w:bodyDiv w:val="1"/>
      <w:marLeft w:val="0"/>
      <w:marRight w:val="0"/>
      <w:marTop w:val="0"/>
      <w:marBottom w:val="0"/>
      <w:divBdr>
        <w:top w:val="none" w:sz="0" w:space="0" w:color="auto"/>
        <w:left w:val="none" w:sz="0" w:space="0" w:color="auto"/>
        <w:bottom w:val="none" w:sz="0" w:space="0" w:color="auto"/>
        <w:right w:val="none" w:sz="0" w:space="0" w:color="auto"/>
      </w:divBdr>
    </w:div>
    <w:div w:id="1514344184">
      <w:bodyDiv w:val="1"/>
      <w:marLeft w:val="0"/>
      <w:marRight w:val="0"/>
      <w:marTop w:val="0"/>
      <w:marBottom w:val="0"/>
      <w:divBdr>
        <w:top w:val="none" w:sz="0" w:space="0" w:color="auto"/>
        <w:left w:val="none" w:sz="0" w:space="0" w:color="auto"/>
        <w:bottom w:val="none" w:sz="0" w:space="0" w:color="auto"/>
        <w:right w:val="none" w:sz="0" w:space="0" w:color="auto"/>
      </w:divBdr>
    </w:div>
    <w:div w:id="1518617153">
      <w:bodyDiv w:val="1"/>
      <w:marLeft w:val="0"/>
      <w:marRight w:val="0"/>
      <w:marTop w:val="0"/>
      <w:marBottom w:val="0"/>
      <w:divBdr>
        <w:top w:val="none" w:sz="0" w:space="0" w:color="auto"/>
        <w:left w:val="none" w:sz="0" w:space="0" w:color="auto"/>
        <w:bottom w:val="none" w:sz="0" w:space="0" w:color="auto"/>
        <w:right w:val="none" w:sz="0" w:space="0" w:color="auto"/>
      </w:divBdr>
    </w:div>
    <w:div w:id="1528177594">
      <w:bodyDiv w:val="1"/>
      <w:marLeft w:val="0"/>
      <w:marRight w:val="0"/>
      <w:marTop w:val="0"/>
      <w:marBottom w:val="0"/>
      <w:divBdr>
        <w:top w:val="none" w:sz="0" w:space="0" w:color="auto"/>
        <w:left w:val="none" w:sz="0" w:space="0" w:color="auto"/>
        <w:bottom w:val="none" w:sz="0" w:space="0" w:color="auto"/>
        <w:right w:val="none" w:sz="0" w:space="0" w:color="auto"/>
      </w:divBdr>
    </w:div>
    <w:div w:id="1544947613">
      <w:bodyDiv w:val="1"/>
      <w:marLeft w:val="0"/>
      <w:marRight w:val="0"/>
      <w:marTop w:val="0"/>
      <w:marBottom w:val="0"/>
      <w:divBdr>
        <w:top w:val="none" w:sz="0" w:space="0" w:color="auto"/>
        <w:left w:val="none" w:sz="0" w:space="0" w:color="auto"/>
        <w:bottom w:val="none" w:sz="0" w:space="0" w:color="auto"/>
        <w:right w:val="none" w:sz="0" w:space="0" w:color="auto"/>
      </w:divBdr>
    </w:div>
    <w:div w:id="1576477700">
      <w:bodyDiv w:val="1"/>
      <w:marLeft w:val="0"/>
      <w:marRight w:val="0"/>
      <w:marTop w:val="0"/>
      <w:marBottom w:val="0"/>
      <w:divBdr>
        <w:top w:val="none" w:sz="0" w:space="0" w:color="auto"/>
        <w:left w:val="none" w:sz="0" w:space="0" w:color="auto"/>
        <w:bottom w:val="none" w:sz="0" w:space="0" w:color="auto"/>
        <w:right w:val="none" w:sz="0" w:space="0" w:color="auto"/>
      </w:divBdr>
    </w:div>
    <w:div w:id="1581523085">
      <w:bodyDiv w:val="1"/>
      <w:marLeft w:val="0"/>
      <w:marRight w:val="0"/>
      <w:marTop w:val="0"/>
      <w:marBottom w:val="0"/>
      <w:divBdr>
        <w:top w:val="none" w:sz="0" w:space="0" w:color="auto"/>
        <w:left w:val="none" w:sz="0" w:space="0" w:color="auto"/>
        <w:bottom w:val="none" w:sz="0" w:space="0" w:color="auto"/>
        <w:right w:val="none" w:sz="0" w:space="0" w:color="auto"/>
      </w:divBdr>
    </w:div>
    <w:div w:id="1595824562">
      <w:bodyDiv w:val="1"/>
      <w:marLeft w:val="0"/>
      <w:marRight w:val="0"/>
      <w:marTop w:val="0"/>
      <w:marBottom w:val="0"/>
      <w:divBdr>
        <w:top w:val="none" w:sz="0" w:space="0" w:color="auto"/>
        <w:left w:val="none" w:sz="0" w:space="0" w:color="auto"/>
        <w:bottom w:val="none" w:sz="0" w:space="0" w:color="auto"/>
        <w:right w:val="none" w:sz="0" w:space="0" w:color="auto"/>
      </w:divBdr>
    </w:div>
    <w:div w:id="1611082697">
      <w:bodyDiv w:val="1"/>
      <w:marLeft w:val="0"/>
      <w:marRight w:val="0"/>
      <w:marTop w:val="0"/>
      <w:marBottom w:val="0"/>
      <w:divBdr>
        <w:top w:val="none" w:sz="0" w:space="0" w:color="auto"/>
        <w:left w:val="none" w:sz="0" w:space="0" w:color="auto"/>
        <w:bottom w:val="none" w:sz="0" w:space="0" w:color="auto"/>
        <w:right w:val="none" w:sz="0" w:space="0" w:color="auto"/>
      </w:divBdr>
    </w:div>
    <w:div w:id="1657565856">
      <w:bodyDiv w:val="1"/>
      <w:marLeft w:val="0"/>
      <w:marRight w:val="0"/>
      <w:marTop w:val="0"/>
      <w:marBottom w:val="0"/>
      <w:divBdr>
        <w:top w:val="none" w:sz="0" w:space="0" w:color="auto"/>
        <w:left w:val="none" w:sz="0" w:space="0" w:color="auto"/>
        <w:bottom w:val="none" w:sz="0" w:space="0" w:color="auto"/>
        <w:right w:val="none" w:sz="0" w:space="0" w:color="auto"/>
      </w:divBdr>
    </w:div>
    <w:div w:id="1702634022">
      <w:bodyDiv w:val="1"/>
      <w:marLeft w:val="0"/>
      <w:marRight w:val="0"/>
      <w:marTop w:val="0"/>
      <w:marBottom w:val="0"/>
      <w:divBdr>
        <w:top w:val="none" w:sz="0" w:space="0" w:color="auto"/>
        <w:left w:val="none" w:sz="0" w:space="0" w:color="auto"/>
        <w:bottom w:val="none" w:sz="0" w:space="0" w:color="auto"/>
        <w:right w:val="none" w:sz="0" w:space="0" w:color="auto"/>
      </w:divBdr>
    </w:div>
    <w:div w:id="1707099128">
      <w:bodyDiv w:val="1"/>
      <w:marLeft w:val="0"/>
      <w:marRight w:val="0"/>
      <w:marTop w:val="0"/>
      <w:marBottom w:val="0"/>
      <w:divBdr>
        <w:top w:val="none" w:sz="0" w:space="0" w:color="auto"/>
        <w:left w:val="none" w:sz="0" w:space="0" w:color="auto"/>
        <w:bottom w:val="none" w:sz="0" w:space="0" w:color="auto"/>
        <w:right w:val="none" w:sz="0" w:space="0" w:color="auto"/>
      </w:divBdr>
    </w:div>
    <w:div w:id="1721250160">
      <w:bodyDiv w:val="1"/>
      <w:marLeft w:val="0"/>
      <w:marRight w:val="0"/>
      <w:marTop w:val="0"/>
      <w:marBottom w:val="0"/>
      <w:divBdr>
        <w:top w:val="none" w:sz="0" w:space="0" w:color="auto"/>
        <w:left w:val="none" w:sz="0" w:space="0" w:color="auto"/>
        <w:bottom w:val="none" w:sz="0" w:space="0" w:color="auto"/>
        <w:right w:val="none" w:sz="0" w:space="0" w:color="auto"/>
      </w:divBdr>
    </w:div>
    <w:div w:id="1745641967">
      <w:bodyDiv w:val="1"/>
      <w:marLeft w:val="0"/>
      <w:marRight w:val="0"/>
      <w:marTop w:val="0"/>
      <w:marBottom w:val="0"/>
      <w:divBdr>
        <w:top w:val="none" w:sz="0" w:space="0" w:color="auto"/>
        <w:left w:val="none" w:sz="0" w:space="0" w:color="auto"/>
        <w:bottom w:val="none" w:sz="0" w:space="0" w:color="auto"/>
        <w:right w:val="none" w:sz="0" w:space="0" w:color="auto"/>
      </w:divBdr>
    </w:div>
    <w:div w:id="1760179437">
      <w:bodyDiv w:val="1"/>
      <w:marLeft w:val="0"/>
      <w:marRight w:val="0"/>
      <w:marTop w:val="0"/>
      <w:marBottom w:val="0"/>
      <w:divBdr>
        <w:top w:val="none" w:sz="0" w:space="0" w:color="auto"/>
        <w:left w:val="none" w:sz="0" w:space="0" w:color="auto"/>
        <w:bottom w:val="none" w:sz="0" w:space="0" w:color="auto"/>
        <w:right w:val="none" w:sz="0" w:space="0" w:color="auto"/>
      </w:divBdr>
    </w:div>
    <w:div w:id="1798841415">
      <w:bodyDiv w:val="1"/>
      <w:marLeft w:val="0"/>
      <w:marRight w:val="0"/>
      <w:marTop w:val="0"/>
      <w:marBottom w:val="0"/>
      <w:divBdr>
        <w:top w:val="none" w:sz="0" w:space="0" w:color="auto"/>
        <w:left w:val="none" w:sz="0" w:space="0" w:color="auto"/>
        <w:bottom w:val="none" w:sz="0" w:space="0" w:color="auto"/>
        <w:right w:val="none" w:sz="0" w:space="0" w:color="auto"/>
      </w:divBdr>
    </w:div>
    <w:div w:id="1806502857">
      <w:bodyDiv w:val="1"/>
      <w:marLeft w:val="0"/>
      <w:marRight w:val="0"/>
      <w:marTop w:val="0"/>
      <w:marBottom w:val="0"/>
      <w:divBdr>
        <w:top w:val="none" w:sz="0" w:space="0" w:color="auto"/>
        <w:left w:val="none" w:sz="0" w:space="0" w:color="auto"/>
        <w:bottom w:val="none" w:sz="0" w:space="0" w:color="auto"/>
        <w:right w:val="none" w:sz="0" w:space="0" w:color="auto"/>
      </w:divBdr>
    </w:div>
    <w:div w:id="1810588902">
      <w:bodyDiv w:val="1"/>
      <w:marLeft w:val="0"/>
      <w:marRight w:val="0"/>
      <w:marTop w:val="0"/>
      <w:marBottom w:val="0"/>
      <w:divBdr>
        <w:top w:val="none" w:sz="0" w:space="0" w:color="auto"/>
        <w:left w:val="none" w:sz="0" w:space="0" w:color="auto"/>
        <w:bottom w:val="none" w:sz="0" w:space="0" w:color="auto"/>
        <w:right w:val="none" w:sz="0" w:space="0" w:color="auto"/>
      </w:divBdr>
    </w:div>
    <w:div w:id="1815100182">
      <w:bodyDiv w:val="1"/>
      <w:marLeft w:val="0"/>
      <w:marRight w:val="0"/>
      <w:marTop w:val="0"/>
      <w:marBottom w:val="0"/>
      <w:divBdr>
        <w:top w:val="none" w:sz="0" w:space="0" w:color="auto"/>
        <w:left w:val="none" w:sz="0" w:space="0" w:color="auto"/>
        <w:bottom w:val="none" w:sz="0" w:space="0" w:color="auto"/>
        <w:right w:val="none" w:sz="0" w:space="0" w:color="auto"/>
      </w:divBdr>
    </w:div>
    <w:div w:id="1817144228">
      <w:bodyDiv w:val="1"/>
      <w:marLeft w:val="0"/>
      <w:marRight w:val="0"/>
      <w:marTop w:val="0"/>
      <w:marBottom w:val="0"/>
      <w:divBdr>
        <w:top w:val="none" w:sz="0" w:space="0" w:color="auto"/>
        <w:left w:val="none" w:sz="0" w:space="0" w:color="auto"/>
        <w:bottom w:val="none" w:sz="0" w:space="0" w:color="auto"/>
        <w:right w:val="none" w:sz="0" w:space="0" w:color="auto"/>
      </w:divBdr>
    </w:div>
    <w:div w:id="1878154713">
      <w:bodyDiv w:val="1"/>
      <w:marLeft w:val="0"/>
      <w:marRight w:val="0"/>
      <w:marTop w:val="0"/>
      <w:marBottom w:val="0"/>
      <w:divBdr>
        <w:top w:val="none" w:sz="0" w:space="0" w:color="auto"/>
        <w:left w:val="none" w:sz="0" w:space="0" w:color="auto"/>
        <w:bottom w:val="none" w:sz="0" w:space="0" w:color="auto"/>
        <w:right w:val="none" w:sz="0" w:space="0" w:color="auto"/>
      </w:divBdr>
    </w:div>
    <w:div w:id="1889560523">
      <w:bodyDiv w:val="1"/>
      <w:marLeft w:val="0"/>
      <w:marRight w:val="0"/>
      <w:marTop w:val="0"/>
      <w:marBottom w:val="0"/>
      <w:divBdr>
        <w:top w:val="none" w:sz="0" w:space="0" w:color="auto"/>
        <w:left w:val="none" w:sz="0" w:space="0" w:color="auto"/>
        <w:bottom w:val="none" w:sz="0" w:space="0" w:color="auto"/>
        <w:right w:val="none" w:sz="0" w:space="0" w:color="auto"/>
      </w:divBdr>
    </w:div>
    <w:div w:id="1903785738">
      <w:bodyDiv w:val="1"/>
      <w:marLeft w:val="0"/>
      <w:marRight w:val="0"/>
      <w:marTop w:val="0"/>
      <w:marBottom w:val="0"/>
      <w:divBdr>
        <w:top w:val="none" w:sz="0" w:space="0" w:color="auto"/>
        <w:left w:val="none" w:sz="0" w:space="0" w:color="auto"/>
        <w:bottom w:val="none" w:sz="0" w:space="0" w:color="auto"/>
        <w:right w:val="none" w:sz="0" w:space="0" w:color="auto"/>
      </w:divBdr>
    </w:div>
    <w:div w:id="1912815368">
      <w:bodyDiv w:val="1"/>
      <w:marLeft w:val="0"/>
      <w:marRight w:val="0"/>
      <w:marTop w:val="0"/>
      <w:marBottom w:val="0"/>
      <w:divBdr>
        <w:top w:val="none" w:sz="0" w:space="0" w:color="auto"/>
        <w:left w:val="none" w:sz="0" w:space="0" w:color="auto"/>
        <w:bottom w:val="none" w:sz="0" w:space="0" w:color="auto"/>
        <w:right w:val="none" w:sz="0" w:space="0" w:color="auto"/>
      </w:divBdr>
    </w:div>
    <w:div w:id="1920941528">
      <w:bodyDiv w:val="1"/>
      <w:marLeft w:val="0"/>
      <w:marRight w:val="0"/>
      <w:marTop w:val="0"/>
      <w:marBottom w:val="0"/>
      <w:divBdr>
        <w:top w:val="none" w:sz="0" w:space="0" w:color="auto"/>
        <w:left w:val="none" w:sz="0" w:space="0" w:color="auto"/>
        <w:bottom w:val="none" w:sz="0" w:space="0" w:color="auto"/>
        <w:right w:val="none" w:sz="0" w:space="0" w:color="auto"/>
      </w:divBdr>
    </w:div>
    <w:div w:id="1959068513">
      <w:bodyDiv w:val="1"/>
      <w:marLeft w:val="0"/>
      <w:marRight w:val="0"/>
      <w:marTop w:val="0"/>
      <w:marBottom w:val="0"/>
      <w:divBdr>
        <w:top w:val="none" w:sz="0" w:space="0" w:color="auto"/>
        <w:left w:val="none" w:sz="0" w:space="0" w:color="auto"/>
        <w:bottom w:val="none" w:sz="0" w:space="0" w:color="auto"/>
        <w:right w:val="none" w:sz="0" w:space="0" w:color="auto"/>
      </w:divBdr>
    </w:div>
    <w:div w:id="1975913181">
      <w:bodyDiv w:val="1"/>
      <w:marLeft w:val="0"/>
      <w:marRight w:val="0"/>
      <w:marTop w:val="0"/>
      <w:marBottom w:val="0"/>
      <w:divBdr>
        <w:top w:val="none" w:sz="0" w:space="0" w:color="auto"/>
        <w:left w:val="none" w:sz="0" w:space="0" w:color="auto"/>
        <w:bottom w:val="none" w:sz="0" w:space="0" w:color="auto"/>
        <w:right w:val="none" w:sz="0" w:space="0" w:color="auto"/>
      </w:divBdr>
    </w:div>
    <w:div w:id="1990818255">
      <w:bodyDiv w:val="1"/>
      <w:marLeft w:val="0"/>
      <w:marRight w:val="0"/>
      <w:marTop w:val="0"/>
      <w:marBottom w:val="0"/>
      <w:divBdr>
        <w:top w:val="none" w:sz="0" w:space="0" w:color="auto"/>
        <w:left w:val="none" w:sz="0" w:space="0" w:color="auto"/>
        <w:bottom w:val="none" w:sz="0" w:space="0" w:color="auto"/>
        <w:right w:val="none" w:sz="0" w:space="0" w:color="auto"/>
      </w:divBdr>
    </w:div>
    <w:div w:id="2016879956">
      <w:bodyDiv w:val="1"/>
      <w:marLeft w:val="0"/>
      <w:marRight w:val="0"/>
      <w:marTop w:val="0"/>
      <w:marBottom w:val="0"/>
      <w:divBdr>
        <w:top w:val="none" w:sz="0" w:space="0" w:color="auto"/>
        <w:left w:val="none" w:sz="0" w:space="0" w:color="auto"/>
        <w:bottom w:val="none" w:sz="0" w:space="0" w:color="auto"/>
        <w:right w:val="none" w:sz="0" w:space="0" w:color="auto"/>
      </w:divBdr>
    </w:div>
    <w:div w:id="2042123122">
      <w:bodyDiv w:val="1"/>
      <w:marLeft w:val="0"/>
      <w:marRight w:val="0"/>
      <w:marTop w:val="0"/>
      <w:marBottom w:val="0"/>
      <w:divBdr>
        <w:top w:val="none" w:sz="0" w:space="0" w:color="auto"/>
        <w:left w:val="none" w:sz="0" w:space="0" w:color="auto"/>
        <w:bottom w:val="none" w:sz="0" w:space="0" w:color="auto"/>
        <w:right w:val="none" w:sz="0" w:space="0" w:color="auto"/>
      </w:divBdr>
    </w:div>
    <w:div w:id="2071684745">
      <w:bodyDiv w:val="1"/>
      <w:marLeft w:val="0"/>
      <w:marRight w:val="0"/>
      <w:marTop w:val="0"/>
      <w:marBottom w:val="0"/>
      <w:divBdr>
        <w:top w:val="none" w:sz="0" w:space="0" w:color="auto"/>
        <w:left w:val="none" w:sz="0" w:space="0" w:color="auto"/>
        <w:bottom w:val="none" w:sz="0" w:space="0" w:color="auto"/>
        <w:right w:val="none" w:sz="0" w:space="0" w:color="auto"/>
      </w:divBdr>
    </w:div>
    <w:div w:id="2096632184">
      <w:bodyDiv w:val="1"/>
      <w:marLeft w:val="0"/>
      <w:marRight w:val="0"/>
      <w:marTop w:val="0"/>
      <w:marBottom w:val="0"/>
      <w:divBdr>
        <w:top w:val="none" w:sz="0" w:space="0" w:color="auto"/>
        <w:left w:val="none" w:sz="0" w:space="0" w:color="auto"/>
        <w:bottom w:val="none" w:sz="0" w:space="0" w:color="auto"/>
        <w:right w:val="none" w:sz="0" w:space="0" w:color="auto"/>
      </w:divBdr>
    </w:div>
    <w:div w:id="2098164192">
      <w:bodyDiv w:val="1"/>
      <w:marLeft w:val="0"/>
      <w:marRight w:val="0"/>
      <w:marTop w:val="0"/>
      <w:marBottom w:val="0"/>
      <w:divBdr>
        <w:top w:val="none" w:sz="0" w:space="0" w:color="auto"/>
        <w:left w:val="none" w:sz="0" w:space="0" w:color="auto"/>
        <w:bottom w:val="none" w:sz="0" w:space="0" w:color="auto"/>
        <w:right w:val="none" w:sz="0" w:space="0" w:color="auto"/>
      </w:divBdr>
    </w:div>
    <w:div w:id="2118090560">
      <w:bodyDiv w:val="1"/>
      <w:marLeft w:val="0"/>
      <w:marRight w:val="0"/>
      <w:marTop w:val="0"/>
      <w:marBottom w:val="0"/>
      <w:divBdr>
        <w:top w:val="none" w:sz="0" w:space="0" w:color="auto"/>
        <w:left w:val="none" w:sz="0" w:space="0" w:color="auto"/>
        <w:bottom w:val="none" w:sz="0" w:space="0" w:color="auto"/>
        <w:right w:val="none" w:sz="0" w:space="0" w:color="auto"/>
      </w:divBdr>
    </w:div>
    <w:div w:id="2128305613">
      <w:bodyDiv w:val="1"/>
      <w:marLeft w:val="0"/>
      <w:marRight w:val="0"/>
      <w:marTop w:val="0"/>
      <w:marBottom w:val="0"/>
      <w:divBdr>
        <w:top w:val="none" w:sz="0" w:space="0" w:color="auto"/>
        <w:left w:val="none" w:sz="0" w:space="0" w:color="auto"/>
        <w:bottom w:val="none" w:sz="0" w:space="0" w:color="auto"/>
        <w:right w:val="none" w:sz="0" w:space="0" w:color="auto"/>
      </w:divBdr>
    </w:div>
    <w:div w:id="213694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35C4C-EFB7-4CBA-AE2E-D67DD67D4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4777</Words>
  <Characters>27230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Final Budget Outcome 2024–25</vt:lpstr>
    </vt:vector>
  </TitlesOfParts>
  <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Budget Outcome 2024–25</dc:title>
  <dc:subject>Part 1: Australian Government Budget Outcome 2024–25</dc:subject>
  <dc:creator>Australian Government</dc:creator>
  <cp:keywords/>
  <dc:description/>
  <cp:lastModifiedBy/>
  <cp:revision>1</cp:revision>
  <dcterms:created xsi:type="dcterms:W3CDTF">2025-09-25T06:23:00Z</dcterms:created>
  <dcterms:modified xsi:type="dcterms:W3CDTF">2025-09-25T06:24:00Z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2025-09-25T06:24:09Z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453ba4f9-9da6-4443-86ba-f41db954e03a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