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9AB16" w14:textId="5E691C81" w:rsidR="00B2621F" w:rsidRPr="00D165A3" w:rsidRDefault="00B2621F" w:rsidP="00B2621F">
      <w:pPr>
        <w:pStyle w:val="Heading1-Statement"/>
        <w:rPr>
          <w:color w:val="008000"/>
          <w:sz w:val="16"/>
          <w:szCs w:val="16"/>
        </w:rPr>
      </w:pPr>
      <w:r w:rsidRPr="0051768A">
        <w:t>Statement 3:</w:t>
      </w:r>
      <w:r w:rsidRPr="0051768A">
        <w:br/>
        <w:t>Fiscal Strategy and Outlook</w:t>
      </w:r>
    </w:p>
    <w:p w14:paraId="0CBA3440" w14:textId="02830F9E" w:rsidR="00F4456E" w:rsidRPr="002C7A98" w:rsidRDefault="00940EF4" w:rsidP="00DD447D">
      <w:r w:rsidRPr="00576DC7">
        <w:t>This Budget continues the Government</w:t>
      </w:r>
      <w:r w:rsidR="00404C26">
        <w:t>’</w:t>
      </w:r>
      <w:r w:rsidRPr="00576DC7">
        <w:t>s record of responsible economic and fiscal management.</w:t>
      </w:r>
      <w:r>
        <w:t xml:space="preserve"> </w:t>
      </w:r>
      <w:r w:rsidR="009665AE" w:rsidRPr="00576DC7">
        <w:t xml:space="preserve">The </w:t>
      </w:r>
      <w:r w:rsidR="00D5553F" w:rsidRPr="00576DC7">
        <w:t>underlying cash balance has improved by a cumulative $</w:t>
      </w:r>
      <w:r w:rsidR="00C05781" w:rsidRPr="00576DC7">
        <w:t>207</w:t>
      </w:r>
      <w:r w:rsidR="004259B9" w:rsidRPr="00576DC7">
        <w:t> billion</w:t>
      </w:r>
      <w:r w:rsidR="00D5553F" w:rsidRPr="00576DC7">
        <w:t xml:space="preserve"> over the s</w:t>
      </w:r>
      <w:r w:rsidR="008316CA" w:rsidRPr="00576DC7">
        <w:t>even</w:t>
      </w:r>
      <w:r w:rsidR="00962912" w:rsidRPr="00576DC7">
        <w:t> </w:t>
      </w:r>
      <w:r w:rsidR="00D5553F" w:rsidRPr="00576DC7">
        <w:t>years to 202</w:t>
      </w:r>
      <w:r w:rsidR="008316CA" w:rsidRPr="00576DC7">
        <w:t>8</w:t>
      </w:r>
      <w:r w:rsidR="00D5553F" w:rsidRPr="00576DC7">
        <w:t>–2</w:t>
      </w:r>
      <w:r w:rsidR="008316CA" w:rsidRPr="00576DC7">
        <w:t>9</w:t>
      </w:r>
      <w:r w:rsidR="00D5553F" w:rsidRPr="00576DC7">
        <w:t>, compared to the 2022</w:t>
      </w:r>
      <w:r w:rsidR="00962912" w:rsidRPr="00576DC7">
        <w:t> </w:t>
      </w:r>
      <w:r w:rsidR="00D5553F" w:rsidRPr="00576DC7">
        <w:t>Pre</w:t>
      </w:r>
      <w:r w:rsidR="00404C26">
        <w:noBreakHyphen/>
      </w:r>
      <w:r w:rsidR="00D5553F" w:rsidRPr="00576DC7">
        <w:t>election Economic</w:t>
      </w:r>
      <w:r w:rsidR="009665AE" w:rsidRPr="00576DC7">
        <w:t xml:space="preserve"> and </w:t>
      </w:r>
      <w:r w:rsidR="00D5553F" w:rsidRPr="00576DC7">
        <w:t>Fiscal Outlook (PEFO). This is</w:t>
      </w:r>
      <w:r w:rsidR="00752024" w:rsidRPr="00576DC7">
        <w:t xml:space="preserve"> the largest nominal budget improvement in a parliamentary term.</w:t>
      </w:r>
      <w:r w:rsidR="009665AE" w:rsidRPr="00576DC7">
        <w:t xml:space="preserve"> </w:t>
      </w:r>
      <w:r w:rsidR="00D5553F" w:rsidRPr="00576DC7">
        <w:t>After delivering the first back</w:t>
      </w:r>
      <w:r w:rsidR="00404C26">
        <w:noBreakHyphen/>
      </w:r>
      <w:r w:rsidR="00D5553F" w:rsidRPr="00576DC7">
        <w:t>to</w:t>
      </w:r>
      <w:r w:rsidR="00404C26">
        <w:noBreakHyphen/>
      </w:r>
      <w:r w:rsidR="00D5553F" w:rsidRPr="00576DC7">
        <w:t>back surpluses in nearly two decades</w:t>
      </w:r>
      <w:r w:rsidR="0094426B" w:rsidRPr="00576DC7">
        <w:t xml:space="preserve">, the underlying cash </w:t>
      </w:r>
      <w:r w:rsidR="000E6C18" w:rsidRPr="00576DC7">
        <w:t xml:space="preserve">deficit </w:t>
      </w:r>
      <w:r w:rsidR="00D64588" w:rsidRPr="00576DC7">
        <w:t>in 2024</w:t>
      </w:r>
      <w:r w:rsidR="004A2CED" w:rsidRPr="00576DC7">
        <w:t>–</w:t>
      </w:r>
      <w:r w:rsidR="00D64588" w:rsidRPr="00576DC7">
        <w:t xml:space="preserve">25 </w:t>
      </w:r>
      <w:r w:rsidR="00EC5DA1" w:rsidRPr="00576DC7">
        <w:t>is</w:t>
      </w:r>
      <w:r w:rsidR="00D64588" w:rsidRPr="00576DC7">
        <w:t xml:space="preserve"> almost half what was forecast at the PEFO</w:t>
      </w:r>
      <w:r w:rsidR="00463A96" w:rsidRPr="00576DC7">
        <w:t>.</w:t>
      </w:r>
      <w:r w:rsidR="000E6C18" w:rsidRPr="00576DC7">
        <w:t xml:space="preserve"> </w:t>
      </w:r>
    </w:p>
    <w:p w14:paraId="45B834DC" w14:textId="2D368B7C" w:rsidR="00DD66AB" w:rsidRPr="00F425C7" w:rsidRDefault="00DD66AB" w:rsidP="00DD66AB">
      <w:r w:rsidRPr="00576DC7">
        <w:t>Gross debt is $</w:t>
      </w:r>
      <w:r w:rsidR="00C61500" w:rsidRPr="00576DC7">
        <w:t>177</w:t>
      </w:r>
      <w:r w:rsidR="004259B9" w:rsidRPr="00576DC7">
        <w:t> billion</w:t>
      </w:r>
      <w:r w:rsidR="00C61500" w:rsidRPr="00576DC7">
        <w:t xml:space="preserve"> lower in 2024</w:t>
      </w:r>
      <w:r w:rsidR="00E542F7" w:rsidRPr="00576DC7">
        <w:t>–</w:t>
      </w:r>
      <w:r w:rsidR="00C61500" w:rsidRPr="00576DC7">
        <w:t>25</w:t>
      </w:r>
      <w:r w:rsidR="004B7278" w:rsidRPr="00576DC7">
        <w:t xml:space="preserve"> </w:t>
      </w:r>
      <w:r w:rsidR="00C9708D" w:rsidRPr="00576DC7">
        <w:t>than forecast at the PEFO.</w:t>
      </w:r>
      <w:r w:rsidR="00C9708D" w:rsidRPr="00F425C7">
        <w:t xml:space="preserve"> </w:t>
      </w:r>
      <w:r w:rsidR="00C9708D" w:rsidRPr="00576DC7">
        <w:t xml:space="preserve">This will help avoid </w:t>
      </w:r>
      <w:r w:rsidR="005660E2" w:rsidRPr="00576DC7">
        <w:t xml:space="preserve">more than </w:t>
      </w:r>
      <w:r w:rsidR="00C9708D" w:rsidRPr="00576DC7">
        <w:t>$</w:t>
      </w:r>
      <w:r w:rsidR="005660E2" w:rsidRPr="00576DC7">
        <w:t>60</w:t>
      </w:r>
      <w:r w:rsidR="004259B9" w:rsidRPr="00576DC7">
        <w:t> billion</w:t>
      </w:r>
      <w:r w:rsidR="00C9708D" w:rsidRPr="00576DC7">
        <w:t xml:space="preserve"> in interest costs </w:t>
      </w:r>
      <w:r w:rsidR="002822CF" w:rsidRPr="00576DC7">
        <w:t>over the eleven years to</w:t>
      </w:r>
      <w:r w:rsidR="00C9708D" w:rsidRPr="00576DC7">
        <w:t xml:space="preserve"> 20</w:t>
      </w:r>
      <w:r w:rsidR="00DB23E9" w:rsidRPr="00576DC7">
        <w:t>32</w:t>
      </w:r>
      <w:r w:rsidR="00C9708D" w:rsidRPr="00576DC7">
        <w:t>–</w:t>
      </w:r>
      <w:r w:rsidR="00DB23E9" w:rsidRPr="00576DC7">
        <w:t>33</w:t>
      </w:r>
      <w:r w:rsidR="00C9708D" w:rsidRPr="00576DC7">
        <w:t xml:space="preserve">. Gross debt is expected to peak at </w:t>
      </w:r>
      <w:r w:rsidR="00BF7774" w:rsidRPr="00576DC7">
        <w:t>37.0</w:t>
      </w:r>
      <w:r w:rsidR="004B7278" w:rsidRPr="00576DC7">
        <w:t> </w:t>
      </w:r>
      <w:r w:rsidR="00880502" w:rsidRPr="00576DC7">
        <w:t>per</w:t>
      </w:r>
      <w:r w:rsidR="004B7278" w:rsidRPr="00576DC7">
        <w:t> </w:t>
      </w:r>
      <w:r w:rsidR="00880502" w:rsidRPr="00576DC7">
        <w:t>cent of GDP</w:t>
      </w:r>
      <w:r w:rsidR="001A6A2A" w:rsidRPr="00576DC7">
        <w:t xml:space="preserve"> in </w:t>
      </w:r>
      <w:r w:rsidR="002E12F9" w:rsidRPr="00576DC7">
        <w:t>2029</w:t>
      </w:r>
      <w:r w:rsidR="005A5FA9" w:rsidRPr="00576DC7">
        <w:t>–30</w:t>
      </w:r>
      <w:r w:rsidR="00880502" w:rsidRPr="00576DC7">
        <w:t xml:space="preserve">, </w:t>
      </w:r>
      <w:r w:rsidR="00C52764" w:rsidRPr="00576DC7">
        <w:t>7.9</w:t>
      </w:r>
      <w:r w:rsidR="004B7278" w:rsidRPr="00576DC7">
        <w:t> </w:t>
      </w:r>
      <w:r w:rsidR="00880502" w:rsidRPr="00576DC7">
        <w:t xml:space="preserve">percentage points lower than the </w:t>
      </w:r>
      <w:r w:rsidRPr="00576DC7">
        <w:t xml:space="preserve">peak in the PEFO, before declining to </w:t>
      </w:r>
      <w:r w:rsidR="0067037A" w:rsidRPr="00576DC7">
        <w:t>31.9</w:t>
      </w:r>
      <w:r w:rsidR="004B7278" w:rsidRPr="00576DC7">
        <w:t> </w:t>
      </w:r>
      <w:r w:rsidRPr="00576DC7">
        <w:t>per cent of GDP by 2035</w:t>
      </w:r>
      <w:r w:rsidR="003927DF" w:rsidRPr="00576DC7">
        <w:t>–</w:t>
      </w:r>
      <w:r w:rsidRPr="00576DC7">
        <w:t>36.</w:t>
      </w:r>
      <w:r w:rsidR="00F841CC" w:rsidRPr="00576DC7">
        <w:t xml:space="preserve"> </w:t>
      </w:r>
    </w:p>
    <w:p w14:paraId="768607A1" w14:textId="52D99A4B" w:rsidR="004E163E" w:rsidRDefault="0057337C" w:rsidP="0057337C">
      <w:r w:rsidRPr="00576DC7">
        <w:t>The Government</w:t>
      </w:r>
      <w:r w:rsidR="00404C26">
        <w:t>’</w:t>
      </w:r>
      <w:r w:rsidRPr="00576DC7">
        <w:t xml:space="preserve">s record of </w:t>
      </w:r>
      <w:r w:rsidR="007F29D1" w:rsidRPr="00576DC7">
        <w:t>finding savings</w:t>
      </w:r>
      <w:r w:rsidRPr="00576DC7">
        <w:t>, limiting spending growth</w:t>
      </w:r>
      <w:r w:rsidR="00EA775F" w:rsidRPr="00576DC7">
        <w:t>,</w:t>
      </w:r>
      <w:r w:rsidRPr="00576DC7">
        <w:t xml:space="preserve"> and banking </w:t>
      </w:r>
      <w:proofErr w:type="gramStart"/>
      <w:r w:rsidRPr="00576DC7">
        <w:t>the majority of</w:t>
      </w:r>
      <w:proofErr w:type="gramEnd"/>
      <w:r w:rsidRPr="00576DC7">
        <w:t xml:space="preserve"> tax receipt upgrades has helped to deliver a stronger fiscal outlook. The Government has delivered $</w:t>
      </w:r>
      <w:r w:rsidR="00451899" w:rsidRPr="00576DC7">
        <w:t>94.</w:t>
      </w:r>
      <w:r w:rsidR="00AB6E27" w:rsidRPr="00576DC7">
        <w:t>1</w:t>
      </w:r>
      <w:r w:rsidR="004259B9" w:rsidRPr="00576DC7">
        <w:t> billion</w:t>
      </w:r>
      <w:r w:rsidRPr="00576DC7">
        <w:t xml:space="preserve"> in savings and reprioritisations since the PEFO.</w:t>
      </w:r>
      <w:r w:rsidRPr="00FE7F2E">
        <w:t xml:space="preserve"> </w:t>
      </w:r>
      <w:r w:rsidRPr="00576DC7">
        <w:t>Over the seven</w:t>
      </w:r>
      <w:r w:rsidR="004B7278" w:rsidRPr="00576DC7">
        <w:t> </w:t>
      </w:r>
      <w:r w:rsidRPr="00576DC7">
        <w:t>years to 2028</w:t>
      </w:r>
      <w:r w:rsidR="00927183" w:rsidRPr="00576DC7">
        <w:t>–29</w:t>
      </w:r>
      <w:r w:rsidRPr="00576DC7">
        <w:t xml:space="preserve">, real payments growth is estimated to average </w:t>
      </w:r>
      <w:r w:rsidR="00564BE5" w:rsidRPr="00576DC7">
        <w:t>1.7</w:t>
      </w:r>
      <w:r w:rsidR="004B7278" w:rsidRPr="00576DC7">
        <w:t> </w:t>
      </w:r>
      <w:r w:rsidRPr="00576DC7">
        <w:t>per</w:t>
      </w:r>
      <w:r w:rsidR="004B7278" w:rsidRPr="00576DC7">
        <w:t> </w:t>
      </w:r>
      <w:r w:rsidRPr="00576DC7">
        <w:t xml:space="preserve">cent per year, </w:t>
      </w:r>
      <w:r w:rsidR="00060E81" w:rsidRPr="00576DC7">
        <w:t>around</w:t>
      </w:r>
      <w:r w:rsidRPr="00576DC7">
        <w:t xml:space="preserve"> half the average of 3.2 per cent over the past 30 years. The Government has also returned</w:t>
      </w:r>
      <w:r w:rsidR="00927183" w:rsidRPr="00576DC7">
        <w:t xml:space="preserve"> </w:t>
      </w:r>
      <w:r w:rsidR="004E3186" w:rsidRPr="00576DC7">
        <w:t>69</w:t>
      </w:r>
      <w:r w:rsidR="00AC3225" w:rsidRPr="00576DC7">
        <w:t xml:space="preserve"> </w:t>
      </w:r>
      <w:r w:rsidRPr="00576DC7">
        <w:t xml:space="preserve">per cent of tax receipt upgrades to the budget since the PEFO. </w:t>
      </w:r>
    </w:p>
    <w:p w14:paraId="0EDFAFF7" w14:textId="74F39378" w:rsidR="004E163E" w:rsidRPr="00F425C7" w:rsidRDefault="004E163E" w:rsidP="004E163E">
      <w:r w:rsidRPr="00576DC7">
        <w:t xml:space="preserve">Fiscal policy </w:t>
      </w:r>
      <w:r w:rsidR="006E72C4" w:rsidRPr="00576DC7">
        <w:t xml:space="preserve">has </w:t>
      </w:r>
      <w:r w:rsidRPr="00576DC7">
        <w:t>worked with monetary policy to return inflation to the Reserve Bank of Australia</w:t>
      </w:r>
      <w:r w:rsidR="00404C26">
        <w:t>’</w:t>
      </w:r>
      <w:r w:rsidRPr="00576DC7">
        <w:t>s (RBA</w:t>
      </w:r>
      <w:r w:rsidR="00404C26">
        <w:t>’</w:t>
      </w:r>
      <w:r w:rsidRPr="00576DC7">
        <w:t>s) target band in the second half of 2024</w:t>
      </w:r>
      <w:r>
        <w:t>.</w:t>
      </w:r>
      <w:r w:rsidR="00BA7F46">
        <w:t xml:space="preserve"> </w:t>
      </w:r>
      <w:r w:rsidRPr="00576DC7">
        <w:t>The Government</w:t>
      </w:r>
      <w:r w:rsidR="00404C26">
        <w:t>’</w:t>
      </w:r>
      <w:r w:rsidRPr="00576DC7">
        <w:t>s fiscal settings are consistent with inflation sustainably returning to the target band</w:t>
      </w:r>
      <w:r w:rsidR="0329AF14" w:rsidRPr="00576DC7">
        <w:t xml:space="preserve"> around </w:t>
      </w:r>
      <w:r w:rsidR="007D2344" w:rsidRPr="00576DC7">
        <w:t>the middle of 2025.</w:t>
      </w:r>
    </w:p>
    <w:p w14:paraId="0CB42D53" w14:textId="5E189417" w:rsidR="00CA4AEC" w:rsidRDefault="00187864" w:rsidP="00CA4AEC">
      <w:r w:rsidRPr="00576DC7">
        <w:t xml:space="preserve">The Budget position is stronger in every year of the forward estimates than </w:t>
      </w:r>
      <w:r w:rsidR="00ED3514" w:rsidRPr="00576DC7">
        <w:t xml:space="preserve">the </w:t>
      </w:r>
      <w:r w:rsidRPr="00576DC7">
        <w:t xml:space="preserve">PEFO and cumulatively stronger over the forward estimates than MYEFO. </w:t>
      </w:r>
      <w:r w:rsidR="00CA4AEC" w:rsidRPr="00576DC7">
        <w:t xml:space="preserve">A deficit of </w:t>
      </w:r>
      <w:r w:rsidR="22A291E0" w:rsidRPr="00576DC7">
        <w:t>$42.</w:t>
      </w:r>
      <w:r w:rsidR="00507ABF" w:rsidRPr="00576DC7">
        <w:t>1</w:t>
      </w:r>
      <w:r w:rsidR="004259B9" w:rsidRPr="00576DC7">
        <w:t> billion</w:t>
      </w:r>
      <w:r w:rsidR="006D64D2" w:rsidRPr="00576DC7">
        <w:t xml:space="preserve"> </w:t>
      </w:r>
      <w:r w:rsidR="00CA4AEC" w:rsidRPr="00576DC7">
        <w:t xml:space="preserve">is forecast in </w:t>
      </w:r>
      <w:r w:rsidR="000E28D3" w:rsidRPr="00576DC7">
        <w:t>2025–26</w:t>
      </w:r>
      <w:r w:rsidRPr="00576DC7">
        <w:t>,</w:t>
      </w:r>
      <w:r w:rsidR="00CA4AEC" w:rsidRPr="00576DC7">
        <w:t xml:space="preserve"> </w:t>
      </w:r>
      <w:r w:rsidR="009722E1" w:rsidRPr="00576DC7">
        <w:t>an improvement</w:t>
      </w:r>
      <w:r w:rsidR="00A603F0" w:rsidRPr="00576DC7">
        <w:t xml:space="preserve"> of</w:t>
      </w:r>
      <w:r w:rsidR="009722E1" w:rsidRPr="00576DC7">
        <w:t xml:space="preserve"> </w:t>
      </w:r>
      <w:r w:rsidR="0C1B70F5" w:rsidRPr="00576DC7">
        <w:t>$4.8</w:t>
      </w:r>
      <w:r w:rsidR="004259B9" w:rsidRPr="00576DC7">
        <w:t> billion</w:t>
      </w:r>
      <w:r w:rsidR="009722E1" w:rsidRPr="00576DC7">
        <w:t xml:space="preserve"> since </w:t>
      </w:r>
      <w:r w:rsidR="00CA4AEC" w:rsidRPr="00576DC7">
        <w:t>MYEFO.</w:t>
      </w:r>
      <w:r w:rsidR="00B1668B" w:rsidRPr="00576DC7">
        <w:t xml:space="preserve"> </w:t>
      </w:r>
    </w:p>
    <w:p w14:paraId="6C3D3794" w14:textId="49711136" w:rsidR="0045487D" w:rsidRDefault="0045487D" w:rsidP="0045487D">
      <w:r w:rsidRPr="00576DC7">
        <w:t xml:space="preserve">The Government has </w:t>
      </w:r>
      <w:r w:rsidR="00B15447" w:rsidRPr="00576DC7">
        <w:t xml:space="preserve">also </w:t>
      </w:r>
      <w:r w:rsidRPr="00576DC7">
        <w:t xml:space="preserve">made significant progress in addressing longer term structural spending pressures including interest costs on debt, the National Disability Insurance Scheme (NDIS) and aged care. </w:t>
      </w:r>
    </w:p>
    <w:p w14:paraId="038A2B98" w14:textId="5219621C" w:rsidR="0045487D" w:rsidRDefault="0045487D" w:rsidP="0045487D">
      <w:r w:rsidRPr="00576DC7">
        <w:t>These improvements have been achieved at the same time as the Government has taken pressure off Australians by delivering responsible cost</w:t>
      </w:r>
      <w:r w:rsidR="00404C26">
        <w:noBreakHyphen/>
      </w:r>
      <w:r w:rsidRPr="00576DC7">
        <w:t>of</w:t>
      </w:r>
      <w:r w:rsidR="00404C26">
        <w:noBreakHyphen/>
      </w:r>
      <w:r w:rsidRPr="00576DC7">
        <w:t xml:space="preserve">living relief and invested in strengthening Medicare and building a more competitive and dynamic economy. </w:t>
      </w:r>
    </w:p>
    <w:p w14:paraId="63D8222C" w14:textId="355E4691" w:rsidR="00B2621F" w:rsidRPr="00712254" w:rsidRDefault="0045487D" w:rsidP="008335E7">
      <w:r w:rsidRPr="00576DC7">
        <w:t>The Government</w:t>
      </w:r>
      <w:r w:rsidR="00404C26">
        <w:t>’</w:t>
      </w:r>
      <w:r w:rsidRPr="00576DC7">
        <w:t>s responsible approach is recognised by ratings agencies. Australia remains one of only nine countries with a AAA sovereign credit rating from all three major ratings agencies. This year, Australia</w:t>
      </w:r>
      <w:r w:rsidR="00404C26">
        <w:t>’</w:t>
      </w:r>
      <w:r w:rsidRPr="00576DC7">
        <w:t>s gross debt</w:t>
      </w:r>
      <w:r w:rsidR="00404C26">
        <w:noBreakHyphen/>
      </w:r>
      <w:r w:rsidRPr="00576DC7">
        <w:t>to</w:t>
      </w:r>
      <w:r w:rsidR="00404C26">
        <w:noBreakHyphen/>
      </w:r>
      <w:r w:rsidRPr="00576DC7">
        <w:t>GDP (including all levels of government) is expected to be around half the advanced</w:t>
      </w:r>
      <w:r w:rsidR="00511178" w:rsidRPr="00576DC7">
        <w:t xml:space="preserve"> </w:t>
      </w:r>
      <w:r w:rsidRPr="00576DC7">
        <w:t>economy average, more than 50</w:t>
      </w:r>
      <w:r w:rsidR="00BF6282" w:rsidRPr="00576DC7">
        <w:t> </w:t>
      </w:r>
      <w:r w:rsidRPr="00576DC7">
        <w:t>percentage points below the United Kingdom, and more than 70</w:t>
      </w:r>
      <w:r w:rsidR="00733AB3" w:rsidRPr="00576DC7">
        <w:t> </w:t>
      </w:r>
      <w:r w:rsidRPr="00576DC7">
        <w:t>percentage points below the United States.</w:t>
      </w:r>
      <w:r w:rsidR="00D10759">
        <w:br w:type="page"/>
      </w:r>
      <w:r w:rsidRPr="00576754">
        <w:lastRenderedPageBreak/>
        <w:t xml:space="preserve"> </w:t>
      </w:r>
    </w:p>
    <w:p w14:paraId="75A3DF27" w14:textId="77777777" w:rsidR="00B2621F" w:rsidRPr="00712254" w:rsidRDefault="00B2621F" w:rsidP="00B2621F">
      <w:pPr>
        <w:spacing w:before="0" w:after="160" w:line="256" w:lineRule="auto"/>
        <w:sectPr w:rsidR="00B2621F" w:rsidRPr="00712254" w:rsidSect="00135008">
          <w:headerReference w:type="even" r:id="rId7"/>
          <w:headerReference w:type="default" r:id="rId8"/>
          <w:footerReference w:type="even" r:id="rId9"/>
          <w:footerReference w:type="default" r:id="rId10"/>
          <w:headerReference w:type="first" r:id="rId11"/>
          <w:footerReference w:type="first" r:id="rId12"/>
          <w:type w:val="oddPage"/>
          <w:pgSz w:w="11906" w:h="16838" w:code="9"/>
          <w:pgMar w:top="2835" w:right="2098" w:bottom="2466" w:left="2098" w:header="1814" w:footer="1814" w:gutter="0"/>
          <w:pgNumType w:start="53"/>
          <w:cols w:space="708"/>
          <w:titlePg/>
          <w:docGrid w:linePitch="360"/>
        </w:sectPr>
      </w:pPr>
    </w:p>
    <w:p w14:paraId="2AB4CDF6" w14:textId="77777777" w:rsidR="00B2621F" w:rsidRPr="00712254" w:rsidRDefault="00B2621F" w:rsidP="00B20B45">
      <w:pPr>
        <w:pStyle w:val="Heading1"/>
      </w:pPr>
      <w:r w:rsidRPr="00712254">
        <w:lastRenderedPageBreak/>
        <w:t>Statement contents</w:t>
      </w:r>
    </w:p>
    <w:p w14:paraId="0EA269C4" w14:textId="77777777" w:rsidR="00387DD0" w:rsidRPr="00387DD0" w:rsidRDefault="00387DD0" w:rsidP="00593DA3">
      <w:pPr>
        <w:pStyle w:val="TOC1"/>
        <w:rPr>
          <w:lang w:val="en-US"/>
        </w:rPr>
      </w:pPr>
      <w:r w:rsidRPr="00387DD0">
        <w:rPr>
          <w:lang w:val="en-US"/>
        </w:rPr>
        <w:t>Economic and Fiscal Strategy</w:t>
      </w:r>
      <w:r w:rsidRPr="00387DD0">
        <w:rPr>
          <w:lang w:val="en-US"/>
        </w:rPr>
        <w:tab/>
        <w:t>58</w:t>
      </w:r>
    </w:p>
    <w:p w14:paraId="07C02CD1" w14:textId="77777777" w:rsidR="00387DD0" w:rsidRPr="00387DD0" w:rsidRDefault="00387DD0" w:rsidP="00593DA3">
      <w:pPr>
        <w:pStyle w:val="TOC2"/>
        <w:rPr>
          <w:lang w:val="en-US"/>
        </w:rPr>
      </w:pPr>
      <w:r w:rsidRPr="00387DD0">
        <w:rPr>
          <w:lang w:val="en-US"/>
        </w:rPr>
        <w:t>Delivering on the Economic and Fiscal Strategy</w:t>
      </w:r>
      <w:r w:rsidRPr="00387DD0">
        <w:rPr>
          <w:lang w:val="en-US"/>
        </w:rPr>
        <w:tab/>
        <w:t>59</w:t>
      </w:r>
    </w:p>
    <w:p w14:paraId="728412A2" w14:textId="77777777" w:rsidR="00387DD0" w:rsidRPr="00387DD0" w:rsidRDefault="00387DD0" w:rsidP="00593DA3">
      <w:pPr>
        <w:pStyle w:val="TOC2"/>
        <w:rPr>
          <w:lang w:val="en-US"/>
        </w:rPr>
      </w:pPr>
      <w:r w:rsidRPr="00387DD0">
        <w:rPr>
          <w:lang w:val="en-US"/>
        </w:rPr>
        <w:t>Addressing unavoidable issues</w:t>
      </w:r>
      <w:r w:rsidRPr="00387DD0">
        <w:rPr>
          <w:lang w:val="en-US"/>
        </w:rPr>
        <w:tab/>
        <w:t>60</w:t>
      </w:r>
    </w:p>
    <w:p w14:paraId="4FCBC058" w14:textId="77777777" w:rsidR="00387DD0" w:rsidRPr="00387DD0" w:rsidRDefault="00387DD0" w:rsidP="00593DA3">
      <w:pPr>
        <w:pStyle w:val="TOC1"/>
        <w:rPr>
          <w:lang w:val="en-US"/>
        </w:rPr>
      </w:pPr>
      <w:r w:rsidRPr="00387DD0">
        <w:rPr>
          <w:lang w:val="en-US"/>
        </w:rPr>
        <w:t>Fiscal outlook</w:t>
      </w:r>
      <w:r w:rsidRPr="00387DD0">
        <w:rPr>
          <w:lang w:val="en-US"/>
        </w:rPr>
        <w:tab/>
        <w:t>62</w:t>
      </w:r>
    </w:p>
    <w:p w14:paraId="569ED499" w14:textId="77777777" w:rsidR="00387DD0" w:rsidRPr="00387DD0" w:rsidRDefault="00387DD0" w:rsidP="00593DA3">
      <w:pPr>
        <w:pStyle w:val="TOC2"/>
        <w:rPr>
          <w:lang w:val="en-US"/>
        </w:rPr>
      </w:pPr>
      <w:r w:rsidRPr="00387DD0">
        <w:rPr>
          <w:lang w:val="en-US"/>
        </w:rPr>
        <w:t>Underlying cash balance estimates</w:t>
      </w:r>
      <w:r w:rsidRPr="00387DD0">
        <w:rPr>
          <w:lang w:val="en-US"/>
        </w:rPr>
        <w:tab/>
        <w:t>62</w:t>
      </w:r>
    </w:p>
    <w:p w14:paraId="264EC940" w14:textId="77777777" w:rsidR="00387DD0" w:rsidRPr="00387DD0" w:rsidRDefault="00387DD0" w:rsidP="00593DA3">
      <w:pPr>
        <w:pStyle w:val="TOC2"/>
        <w:rPr>
          <w:lang w:val="en-US"/>
        </w:rPr>
      </w:pPr>
      <w:r w:rsidRPr="00387DD0">
        <w:rPr>
          <w:lang w:val="en-US"/>
        </w:rPr>
        <w:t>Receipts estimates</w:t>
      </w:r>
      <w:r w:rsidRPr="00387DD0">
        <w:rPr>
          <w:lang w:val="en-US"/>
        </w:rPr>
        <w:tab/>
        <w:t>64</w:t>
      </w:r>
    </w:p>
    <w:p w14:paraId="378B63A8" w14:textId="77777777" w:rsidR="00387DD0" w:rsidRPr="00387DD0" w:rsidRDefault="00387DD0" w:rsidP="00593DA3">
      <w:pPr>
        <w:pStyle w:val="TOC2"/>
        <w:rPr>
          <w:lang w:val="en-US"/>
        </w:rPr>
      </w:pPr>
      <w:r w:rsidRPr="00387DD0">
        <w:rPr>
          <w:lang w:val="en-US"/>
        </w:rPr>
        <w:t>Payments estimates</w:t>
      </w:r>
      <w:r w:rsidRPr="00387DD0">
        <w:rPr>
          <w:lang w:val="en-US"/>
        </w:rPr>
        <w:tab/>
        <w:t>65</w:t>
      </w:r>
    </w:p>
    <w:p w14:paraId="797B01D7" w14:textId="77777777" w:rsidR="00387DD0" w:rsidRPr="00387DD0" w:rsidRDefault="00387DD0" w:rsidP="00593DA3">
      <w:pPr>
        <w:pStyle w:val="TOC2"/>
        <w:rPr>
          <w:lang w:val="en-US"/>
        </w:rPr>
      </w:pPr>
      <w:r w:rsidRPr="00387DD0">
        <w:rPr>
          <w:lang w:val="en-US"/>
        </w:rPr>
        <w:t>Headline cash balance</w:t>
      </w:r>
      <w:r w:rsidRPr="00387DD0">
        <w:rPr>
          <w:lang w:val="en-US"/>
        </w:rPr>
        <w:tab/>
        <w:t>69</w:t>
      </w:r>
    </w:p>
    <w:p w14:paraId="7F027ED3" w14:textId="77777777" w:rsidR="00387DD0" w:rsidRPr="00387DD0" w:rsidRDefault="00387DD0" w:rsidP="00593DA3">
      <w:pPr>
        <w:pStyle w:val="TOC2"/>
        <w:rPr>
          <w:lang w:val="en-US"/>
        </w:rPr>
      </w:pPr>
      <w:r w:rsidRPr="00387DD0">
        <w:rPr>
          <w:lang w:val="en-US"/>
        </w:rPr>
        <w:t>Medium term projections</w:t>
      </w:r>
      <w:r w:rsidRPr="00387DD0">
        <w:rPr>
          <w:lang w:val="en-US"/>
        </w:rPr>
        <w:tab/>
        <w:t>72</w:t>
      </w:r>
    </w:p>
    <w:p w14:paraId="1DC8703F" w14:textId="77777777" w:rsidR="00387DD0" w:rsidRPr="00387DD0" w:rsidRDefault="00387DD0" w:rsidP="00593DA3">
      <w:pPr>
        <w:pStyle w:val="TOC1"/>
        <w:rPr>
          <w:lang w:val="en-US"/>
        </w:rPr>
      </w:pPr>
      <w:r w:rsidRPr="00387DD0">
        <w:rPr>
          <w:lang w:val="en-US"/>
        </w:rPr>
        <w:t>The Government’s balance sheet</w:t>
      </w:r>
      <w:r w:rsidRPr="00387DD0">
        <w:rPr>
          <w:lang w:val="en-US"/>
        </w:rPr>
        <w:tab/>
        <w:t>76</w:t>
      </w:r>
    </w:p>
    <w:p w14:paraId="2D86E3A6" w14:textId="77777777" w:rsidR="00387DD0" w:rsidRPr="00387DD0" w:rsidRDefault="00387DD0" w:rsidP="00593DA3">
      <w:pPr>
        <w:pStyle w:val="TOC2"/>
        <w:rPr>
          <w:lang w:val="en-US"/>
        </w:rPr>
      </w:pPr>
      <w:r w:rsidRPr="00387DD0">
        <w:rPr>
          <w:lang w:val="en-US"/>
        </w:rPr>
        <w:t>Gross debt estimates and projections</w:t>
      </w:r>
      <w:r w:rsidRPr="00387DD0">
        <w:rPr>
          <w:lang w:val="en-US"/>
        </w:rPr>
        <w:tab/>
        <w:t>76</w:t>
      </w:r>
    </w:p>
    <w:p w14:paraId="2AD82B13" w14:textId="77777777" w:rsidR="00387DD0" w:rsidRPr="00387DD0" w:rsidRDefault="00387DD0" w:rsidP="00593DA3">
      <w:pPr>
        <w:pStyle w:val="TOC2"/>
        <w:rPr>
          <w:lang w:val="en-US"/>
        </w:rPr>
      </w:pPr>
      <w:r w:rsidRPr="00387DD0">
        <w:rPr>
          <w:lang w:val="en-US"/>
        </w:rPr>
        <w:t>Interest payments</w:t>
      </w:r>
      <w:r w:rsidRPr="00387DD0">
        <w:rPr>
          <w:lang w:val="en-US"/>
        </w:rPr>
        <w:tab/>
        <w:t>78</w:t>
      </w:r>
    </w:p>
    <w:p w14:paraId="41F95497" w14:textId="77777777" w:rsidR="00387DD0" w:rsidRPr="00387DD0" w:rsidRDefault="00387DD0" w:rsidP="00593DA3">
      <w:pPr>
        <w:pStyle w:val="TOC2"/>
        <w:rPr>
          <w:lang w:val="en-US"/>
        </w:rPr>
      </w:pPr>
      <w:r w:rsidRPr="00387DD0">
        <w:rPr>
          <w:lang w:val="en-US"/>
        </w:rPr>
        <w:t>Net debt estimates and projections</w:t>
      </w:r>
      <w:r w:rsidRPr="00387DD0">
        <w:rPr>
          <w:lang w:val="en-US"/>
        </w:rPr>
        <w:tab/>
        <w:t>78</w:t>
      </w:r>
    </w:p>
    <w:p w14:paraId="152EF2C9" w14:textId="77777777" w:rsidR="00387DD0" w:rsidRPr="00387DD0" w:rsidRDefault="00387DD0" w:rsidP="00593DA3">
      <w:pPr>
        <w:pStyle w:val="TOC2"/>
        <w:rPr>
          <w:lang w:val="en-US"/>
        </w:rPr>
      </w:pPr>
      <w:r w:rsidRPr="00387DD0">
        <w:rPr>
          <w:lang w:val="en-US"/>
        </w:rPr>
        <w:t>Net financial worth and net worth estimates and projections</w:t>
      </w:r>
      <w:r w:rsidRPr="00387DD0">
        <w:rPr>
          <w:lang w:val="en-US"/>
        </w:rPr>
        <w:tab/>
        <w:t>79</w:t>
      </w:r>
    </w:p>
    <w:p w14:paraId="4524B8E6" w14:textId="77777777" w:rsidR="00387DD0" w:rsidRPr="00387DD0" w:rsidRDefault="00387DD0" w:rsidP="00593DA3">
      <w:pPr>
        <w:pStyle w:val="TOC1"/>
        <w:rPr>
          <w:lang w:val="en-US"/>
        </w:rPr>
      </w:pPr>
      <w:r w:rsidRPr="00387DD0">
        <w:rPr>
          <w:lang w:val="en-US"/>
        </w:rPr>
        <w:t>Fiscal impacts of the net zero transformation</w:t>
      </w:r>
      <w:r w:rsidRPr="00387DD0">
        <w:rPr>
          <w:lang w:val="en-US"/>
        </w:rPr>
        <w:tab/>
        <w:t>80</w:t>
      </w:r>
    </w:p>
    <w:p w14:paraId="2CD62C05" w14:textId="77777777" w:rsidR="00387DD0" w:rsidRPr="00387DD0" w:rsidRDefault="00387DD0" w:rsidP="00593DA3">
      <w:pPr>
        <w:pStyle w:val="TOC2"/>
        <w:rPr>
          <w:lang w:val="en-US"/>
        </w:rPr>
      </w:pPr>
      <w:r w:rsidRPr="00387DD0">
        <w:rPr>
          <w:lang w:val="en-US"/>
        </w:rPr>
        <w:t>Australia’s classification approach</w:t>
      </w:r>
      <w:r w:rsidRPr="00387DD0">
        <w:rPr>
          <w:lang w:val="en-US"/>
        </w:rPr>
        <w:tab/>
        <w:t>80</w:t>
      </w:r>
    </w:p>
    <w:p w14:paraId="2F6374D7" w14:textId="77777777" w:rsidR="00387DD0" w:rsidRPr="00387DD0" w:rsidRDefault="00387DD0" w:rsidP="00593DA3">
      <w:pPr>
        <w:pStyle w:val="TOC2"/>
        <w:rPr>
          <w:lang w:val="en-US"/>
        </w:rPr>
      </w:pPr>
      <w:r w:rsidRPr="00387DD0">
        <w:rPr>
          <w:lang w:val="en-US"/>
        </w:rPr>
        <w:t>New net zero spending measures</w:t>
      </w:r>
      <w:r w:rsidRPr="00387DD0">
        <w:rPr>
          <w:lang w:val="en-US"/>
        </w:rPr>
        <w:tab/>
        <w:t>83</w:t>
      </w:r>
    </w:p>
    <w:p w14:paraId="1586185A" w14:textId="77777777" w:rsidR="00387DD0" w:rsidRPr="00387DD0" w:rsidRDefault="00387DD0" w:rsidP="00593DA3">
      <w:pPr>
        <w:pStyle w:val="TOC1"/>
        <w:rPr>
          <w:lang w:val="en-US"/>
        </w:rPr>
      </w:pPr>
      <w:r w:rsidRPr="00387DD0">
        <w:rPr>
          <w:lang w:val="en-US"/>
        </w:rPr>
        <w:t>Appendix A: Other fiscal aggregates</w:t>
      </w:r>
      <w:r w:rsidRPr="00387DD0">
        <w:rPr>
          <w:lang w:val="en-US"/>
        </w:rPr>
        <w:tab/>
        <w:t>85</w:t>
      </w:r>
    </w:p>
    <w:p w14:paraId="5460E9AB" w14:textId="77777777" w:rsidR="00387DD0" w:rsidRPr="00387DD0" w:rsidRDefault="00387DD0" w:rsidP="00593DA3">
      <w:pPr>
        <w:pStyle w:val="TOC2"/>
        <w:rPr>
          <w:lang w:val="en-US"/>
        </w:rPr>
      </w:pPr>
      <w:r w:rsidRPr="00387DD0">
        <w:rPr>
          <w:lang w:val="en-US"/>
        </w:rPr>
        <w:t>Accrual aggregates</w:t>
      </w:r>
      <w:r w:rsidRPr="00387DD0">
        <w:rPr>
          <w:lang w:val="en-US"/>
        </w:rPr>
        <w:tab/>
        <w:t>85</w:t>
      </w:r>
    </w:p>
    <w:p w14:paraId="24F12F12" w14:textId="3930C4AB" w:rsidR="00387DD0" w:rsidRDefault="00387DD0" w:rsidP="00593DA3">
      <w:pPr>
        <w:pStyle w:val="TOC2"/>
        <w:rPr>
          <w:lang w:val="en-US"/>
        </w:rPr>
      </w:pPr>
      <w:r w:rsidRPr="00387DD0">
        <w:rPr>
          <w:lang w:val="en-US"/>
        </w:rPr>
        <w:t>Structural budget balance</w:t>
      </w:r>
      <w:r w:rsidRPr="00387DD0">
        <w:rPr>
          <w:lang w:val="en-US"/>
        </w:rPr>
        <w:tab/>
        <w:t>88</w:t>
      </w:r>
    </w:p>
    <w:p w14:paraId="189E8A65" w14:textId="77777777" w:rsidR="00593DA3" w:rsidRPr="00387DD0" w:rsidRDefault="00593DA3" w:rsidP="00387DD0">
      <w:pPr>
        <w:rPr>
          <w:rFonts w:cstheme="minorHAnsi"/>
          <w:b/>
          <w:lang w:val="en-US"/>
        </w:rPr>
      </w:pPr>
    </w:p>
    <w:p w14:paraId="20C747F4" w14:textId="262D32B5" w:rsidR="00387DD0" w:rsidRPr="00712254" w:rsidRDefault="00387DD0" w:rsidP="00985372">
      <w:pPr>
        <w:rPr>
          <w:rFonts w:cstheme="minorHAnsi"/>
          <w:b/>
          <w:lang w:val="en-US"/>
        </w:rPr>
        <w:sectPr w:rsidR="00387DD0" w:rsidRPr="00712254" w:rsidSect="008118E6">
          <w:headerReference w:type="even" r:id="rId13"/>
          <w:headerReference w:type="default" r:id="rId14"/>
          <w:footerReference w:type="even" r:id="rId15"/>
          <w:footerReference w:type="default" r:id="rId16"/>
          <w:headerReference w:type="first" r:id="rId17"/>
          <w:footerReference w:type="first" r:id="rId18"/>
          <w:pgSz w:w="11906" w:h="16838" w:code="9"/>
          <w:pgMar w:top="2835" w:right="2098" w:bottom="2466" w:left="2098" w:header="1814" w:footer="1814" w:gutter="0"/>
          <w:cols w:space="708"/>
          <w:titlePg/>
          <w:docGrid w:linePitch="360"/>
        </w:sectPr>
      </w:pPr>
    </w:p>
    <w:p w14:paraId="2B659A9B" w14:textId="3C8E71A8" w:rsidR="00B2621F" w:rsidRPr="00712254" w:rsidRDefault="00B2621F" w:rsidP="00985372">
      <w:pPr>
        <w:pStyle w:val="Heading1"/>
      </w:pPr>
      <w:r w:rsidRPr="00712254">
        <w:lastRenderedPageBreak/>
        <w:t>Statement 3: Fiscal Strategy and Outlook</w:t>
      </w:r>
    </w:p>
    <w:p w14:paraId="12176F2A" w14:textId="2AFAB385" w:rsidR="00732DFD" w:rsidRDefault="006030BC" w:rsidP="004D0F37">
      <w:r w:rsidRPr="00576DC7">
        <w:t>A</w:t>
      </w:r>
      <w:r w:rsidR="00631B49" w:rsidRPr="00576DC7">
        <w:t xml:space="preserve"> deficit of </w:t>
      </w:r>
      <w:r w:rsidR="009D04DF" w:rsidRPr="00576DC7">
        <w:t>1.0</w:t>
      </w:r>
      <w:r w:rsidR="009068F1" w:rsidRPr="00576DC7">
        <w:t xml:space="preserve"> per cent of GDP </w:t>
      </w:r>
      <w:r w:rsidR="00393924" w:rsidRPr="00576DC7">
        <w:t>(</w:t>
      </w:r>
      <w:r w:rsidR="00631B49" w:rsidRPr="00576DC7">
        <w:t>$</w:t>
      </w:r>
      <w:r w:rsidR="006B3383" w:rsidRPr="00576DC7">
        <w:t>27.6</w:t>
      </w:r>
      <w:r w:rsidR="004259B9" w:rsidRPr="00576DC7">
        <w:t> billion</w:t>
      </w:r>
      <w:r w:rsidR="002B5EE5" w:rsidRPr="00576DC7">
        <w:t>)</w:t>
      </w:r>
      <w:r w:rsidR="00631B49" w:rsidRPr="00576DC7">
        <w:t xml:space="preserve"> is forecast for 2024–25</w:t>
      </w:r>
      <w:r w:rsidR="002B5EE5" w:rsidRPr="00576DC7">
        <w:t xml:space="preserve"> (Table</w:t>
      </w:r>
      <w:r w:rsidR="00F13DFE" w:rsidRPr="00576DC7">
        <w:t> </w:t>
      </w:r>
      <w:r w:rsidR="002B5EE5" w:rsidRPr="00576DC7">
        <w:t>3.</w:t>
      </w:r>
      <w:r w:rsidR="00636FA5" w:rsidRPr="00576DC7">
        <w:t>1</w:t>
      </w:r>
      <w:r w:rsidR="002B5EE5" w:rsidRPr="00576DC7">
        <w:t>).</w:t>
      </w:r>
      <w:r w:rsidR="00631B49" w:rsidRPr="00576DC7">
        <w:t xml:space="preserve"> </w:t>
      </w:r>
      <w:r w:rsidR="002B5EE5" w:rsidRPr="00576DC7">
        <w:t>This is</w:t>
      </w:r>
      <w:r w:rsidR="00005E3B" w:rsidRPr="00576DC7">
        <w:t xml:space="preserve"> in line</w:t>
      </w:r>
      <w:r w:rsidR="00EA5BE5" w:rsidRPr="00576DC7" w:rsidDel="00434DFD">
        <w:t xml:space="preserve"> </w:t>
      </w:r>
      <w:r w:rsidR="00434DFD" w:rsidRPr="00576DC7">
        <w:t xml:space="preserve">with </w:t>
      </w:r>
      <w:r w:rsidR="002B5EE5" w:rsidRPr="00576DC7">
        <w:t>MYEFO</w:t>
      </w:r>
      <w:r w:rsidR="006A10B8" w:rsidRPr="008D283E">
        <w:t xml:space="preserve"> </w:t>
      </w:r>
      <w:r w:rsidR="002B5EE5" w:rsidRPr="00576DC7">
        <w:t xml:space="preserve">and </w:t>
      </w:r>
      <w:r w:rsidR="00192B59" w:rsidRPr="00576DC7">
        <w:t>almost half what was forecast at</w:t>
      </w:r>
      <w:r w:rsidR="002B5EE5" w:rsidRPr="00576DC7">
        <w:t xml:space="preserve"> the PEFO</w:t>
      </w:r>
      <w:r w:rsidR="00192B59" w:rsidRPr="00576DC7">
        <w:t>.</w:t>
      </w:r>
      <w:r w:rsidR="00870DE2">
        <w:rPr>
          <w:color w:val="FF0000"/>
        </w:rPr>
        <w:t xml:space="preserve"> </w:t>
      </w:r>
      <w:r w:rsidR="00732DFD" w:rsidRPr="00576DC7">
        <w:t xml:space="preserve">A deficit of </w:t>
      </w:r>
      <w:r w:rsidR="006B3383" w:rsidRPr="00576DC7">
        <w:t>1.5</w:t>
      </w:r>
      <w:r w:rsidR="00F13DFE" w:rsidRPr="00576DC7">
        <w:t> </w:t>
      </w:r>
      <w:r w:rsidR="00732DFD" w:rsidRPr="00576DC7">
        <w:t>per</w:t>
      </w:r>
      <w:r w:rsidR="00F13DFE" w:rsidRPr="00576DC7">
        <w:t> </w:t>
      </w:r>
      <w:r w:rsidR="00732DFD" w:rsidRPr="00576DC7">
        <w:t xml:space="preserve">cent of GDP </w:t>
      </w:r>
      <w:r w:rsidR="00375238" w:rsidRPr="00576DC7">
        <w:t>(</w:t>
      </w:r>
      <w:r w:rsidR="00732DFD" w:rsidRPr="00576DC7">
        <w:t>$</w:t>
      </w:r>
      <w:r w:rsidR="00437F84" w:rsidRPr="00576DC7">
        <w:t>42.1</w:t>
      </w:r>
      <w:r w:rsidR="004259B9" w:rsidRPr="00576DC7">
        <w:t> billion</w:t>
      </w:r>
      <w:r w:rsidR="00732DFD" w:rsidRPr="00576DC7">
        <w:t>) is forecast in 2025–26</w:t>
      </w:r>
      <w:r w:rsidR="00ED0515" w:rsidRPr="00576DC7">
        <w:t>,</w:t>
      </w:r>
      <w:r w:rsidR="0093070D" w:rsidRPr="00576DC7">
        <w:t xml:space="preserve"> an</w:t>
      </w:r>
      <w:r w:rsidR="00FD0A51" w:rsidRPr="00576DC7">
        <w:t xml:space="preserve"> improvement of </w:t>
      </w:r>
      <w:r w:rsidR="0010416D" w:rsidRPr="00576DC7">
        <w:t>0.2</w:t>
      </w:r>
      <w:r w:rsidR="00F13DFE" w:rsidRPr="00576DC7">
        <w:t> </w:t>
      </w:r>
      <w:r w:rsidR="00BF604F" w:rsidRPr="00576DC7">
        <w:t xml:space="preserve">percentage </w:t>
      </w:r>
      <w:r w:rsidR="00C9708D" w:rsidRPr="00576DC7">
        <w:t xml:space="preserve">points </w:t>
      </w:r>
      <w:r w:rsidR="00FD0A51" w:rsidRPr="00576DC7">
        <w:t xml:space="preserve">since </w:t>
      </w:r>
      <w:r w:rsidR="00FD5DBA" w:rsidRPr="00576DC7">
        <w:t>MYEFO</w:t>
      </w:r>
      <w:r w:rsidR="00E01A9E" w:rsidRPr="00576DC7">
        <w:t xml:space="preserve">. </w:t>
      </w:r>
    </w:p>
    <w:p w14:paraId="4FAC6D0D" w14:textId="3EB18EC4" w:rsidR="00E524DF" w:rsidRPr="00712254" w:rsidRDefault="00E524DF" w:rsidP="005447D5">
      <w:r w:rsidRPr="00576DC7">
        <w:t xml:space="preserve">Since MYEFO, </w:t>
      </w:r>
      <w:r w:rsidR="00407354" w:rsidRPr="00576DC7">
        <w:t>2024–25</w:t>
      </w:r>
      <w:r w:rsidR="004028C0" w:rsidRPr="00576DC7">
        <w:t xml:space="preserve"> </w:t>
      </w:r>
      <w:r w:rsidR="00C35199" w:rsidRPr="00576DC7">
        <w:t>forecast</w:t>
      </w:r>
      <w:r w:rsidR="00C60612" w:rsidRPr="00576DC7">
        <w:t xml:space="preserve"> </w:t>
      </w:r>
      <w:r w:rsidR="00333C65" w:rsidRPr="00576DC7">
        <w:t xml:space="preserve">payments and receipts </w:t>
      </w:r>
      <w:r w:rsidR="00C60612" w:rsidRPr="00576DC7">
        <w:t xml:space="preserve">have </w:t>
      </w:r>
      <w:r w:rsidR="00333C65" w:rsidRPr="00576DC7">
        <w:t>decrease</w:t>
      </w:r>
      <w:r w:rsidR="00C60612" w:rsidRPr="00576DC7">
        <w:t>d</w:t>
      </w:r>
      <w:r w:rsidR="00333C65" w:rsidRPr="00576DC7">
        <w:t xml:space="preserve"> </w:t>
      </w:r>
      <w:r w:rsidRPr="00576DC7">
        <w:t xml:space="preserve">by </w:t>
      </w:r>
      <w:r w:rsidR="001712AD" w:rsidRPr="00576DC7">
        <w:t>0.2</w:t>
      </w:r>
      <w:r w:rsidR="00F13DFE" w:rsidRPr="00576DC7">
        <w:t> </w:t>
      </w:r>
      <w:r w:rsidR="0033265A" w:rsidRPr="00576DC7">
        <w:t>percentage points of GDP</w:t>
      </w:r>
      <w:r w:rsidR="004D59FB" w:rsidRPr="00576DC7">
        <w:t>.</w:t>
      </w:r>
      <w:r w:rsidR="00AF2720" w:rsidRPr="00576DC7">
        <w:t xml:space="preserve"> </w:t>
      </w:r>
      <w:r w:rsidR="00D63CE0" w:rsidRPr="00576DC7">
        <w:t xml:space="preserve">In </w:t>
      </w:r>
      <w:r w:rsidR="0033265A" w:rsidRPr="00576DC7">
        <w:t>2025–26</w:t>
      </w:r>
      <w:r w:rsidR="00D63CE0" w:rsidRPr="00576DC7">
        <w:t>,</w:t>
      </w:r>
      <w:r w:rsidR="0088023F" w:rsidRPr="00576DC7">
        <w:t xml:space="preserve"> </w:t>
      </w:r>
      <w:r w:rsidR="00AF2720" w:rsidRPr="00576DC7">
        <w:t xml:space="preserve">payments </w:t>
      </w:r>
      <w:r w:rsidR="00D63CE0" w:rsidRPr="00576DC7">
        <w:t>are</w:t>
      </w:r>
      <w:r w:rsidR="008C6208" w:rsidRPr="00576DC7">
        <w:t xml:space="preserve"> </w:t>
      </w:r>
      <w:r w:rsidR="00894B6F" w:rsidRPr="00576DC7">
        <w:t xml:space="preserve">expected to </w:t>
      </w:r>
      <w:r w:rsidR="00E14C4E" w:rsidRPr="00576DC7">
        <w:t xml:space="preserve">be </w:t>
      </w:r>
      <w:r w:rsidR="0003373A" w:rsidRPr="00576DC7">
        <w:t>0.2</w:t>
      </w:r>
      <w:r w:rsidR="00852ADE" w:rsidRPr="00576DC7">
        <w:t> </w:t>
      </w:r>
      <w:r w:rsidR="0003373A" w:rsidRPr="00576DC7">
        <w:t>percentage</w:t>
      </w:r>
      <w:r w:rsidR="0005107A" w:rsidRPr="00576DC7">
        <w:t xml:space="preserve"> points </w:t>
      </w:r>
      <w:r w:rsidR="00E14C4E" w:rsidRPr="00576DC7">
        <w:t xml:space="preserve">lower compared to the </w:t>
      </w:r>
      <w:r w:rsidR="0088023F" w:rsidRPr="00576DC7">
        <w:t>MYEFO</w:t>
      </w:r>
      <w:r w:rsidR="00473098" w:rsidRPr="00576DC7">
        <w:t xml:space="preserve">, with receipts </w:t>
      </w:r>
      <w:r w:rsidR="00BB20C4" w:rsidRPr="00576DC7">
        <w:t xml:space="preserve">forecast to remain </w:t>
      </w:r>
      <w:r w:rsidR="00473098" w:rsidRPr="00576DC7">
        <w:t>broadly unchanged</w:t>
      </w:r>
      <w:r w:rsidRPr="00576DC7">
        <w:t xml:space="preserve">. </w:t>
      </w:r>
    </w:p>
    <w:p w14:paraId="5FDA2A1D" w14:textId="75DBF813" w:rsidR="00D52AD3" w:rsidRDefault="004023D7" w:rsidP="00710AE1">
      <w:pPr>
        <w:rPr>
          <w:b/>
        </w:rPr>
      </w:pPr>
      <w:r w:rsidRPr="00576DC7">
        <w:t>Since the PEFO, the Government has had to commit $</w:t>
      </w:r>
      <w:r w:rsidR="001314D3" w:rsidRPr="00576DC7">
        <w:t>51.1</w:t>
      </w:r>
      <w:r w:rsidR="004259B9" w:rsidRPr="00576DC7">
        <w:t> billion</w:t>
      </w:r>
      <w:r w:rsidRPr="00576DC7">
        <w:t xml:space="preserve"> in legacy and unavoidable spending to resolve issues inherited from the former Government, extend terminating measures to ensure Australians do not see cuts to the essential services they rely on, and respond to urgent and unforeseen issues</w:t>
      </w:r>
      <w:r w:rsidRPr="00576DC7" w:rsidDel="000A2387">
        <w:t>.</w:t>
      </w:r>
      <w:r w:rsidR="00B93229" w:rsidRPr="00576DC7">
        <w:t xml:space="preserve"> </w:t>
      </w:r>
      <w:r w:rsidR="00710AE1">
        <w:rPr>
          <w:b/>
        </w:rPr>
        <w:t xml:space="preserve"> </w:t>
      </w:r>
    </w:p>
    <w:p w14:paraId="3CF32361" w14:textId="610188D8" w:rsidR="008728E8" w:rsidRPr="00576DC7" w:rsidRDefault="00D52AD3" w:rsidP="00F66D61">
      <w:pPr>
        <w:pStyle w:val="TableHeading"/>
        <w:rPr>
          <w:rFonts w:asciiTheme="minorHAnsi" w:eastAsiaTheme="minorHAnsi" w:hAnsiTheme="minorHAnsi" w:cstheme="minorBidi"/>
          <w:b w:val="0"/>
          <w:sz w:val="22"/>
          <w:szCs w:val="22"/>
          <w:lang w:eastAsia="en-US"/>
        </w:rPr>
      </w:pPr>
      <w:r w:rsidRPr="00576DC7">
        <w:t xml:space="preserve">Table 3.1: Australian Government general government sector budget aggregates </w:t>
      </w:r>
      <w:bookmarkStart w:id="0" w:name="_1804087844"/>
      <w:bookmarkStart w:id="1" w:name="_1804079193"/>
      <w:bookmarkStart w:id="2" w:name="_1804081566"/>
      <w:bookmarkStart w:id="3" w:name="_1804081241"/>
      <w:bookmarkStart w:id="4" w:name="_1804082926"/>
      <w:bookmarkStart w:id="5" w:name="_1804087520"/>
      <w:bookmarkStart w:id="6" w:name="_1804083583"/>
      <w:bookmarkStart w:id="7" w:name="_1804083505"/>
      <w:bookmarkStart w:id="8" w:name="_1804084282"/>
      <w:bookmarkEnd w:id="0"/>
      <w:bookmarkEnd w:id="1"/>
      <w:bookmarkEnd w:id="2"/>
      <w:bookmarkEnd w:id="3"/>
      <w:bookmarkEnd w:id="4"/>
      <w:bookmarkEnd w:id="5"/>
      <w:bookmarkEnd w:id="6"/>
      <w:bookmarkEnd w:id="7"/>
      <w:bookmarkEnd w:id="8"/>
    </w:p>
    <w:tbl>
      <w:tblPr>
        <w:tblW w:w="5000" w:type="pct"/>
        <w:tblCellMar>
          <w:left w:w="0" w:type="dxa"/>
          <w:right w:w="28" w:type="dxa"/>
        </w:tblCellMar>
        <w:tblLook w:val="04A0" w:firstRow="1" w:lastRow="0" w:firstColumn="1" w:lastColumn="0" w:noHBand="0" w:noVBand="1"/>
      </w:tblPr>
      <w:tblGrid>
        <w:gridCol w:w="2160"/>
        <w:gridCol w:w="642"/>
        <w:gridCol w:w="93"/>
        <w:gridCol w:w="631"/>
        <w:gridCol w:w="629"/>
        <w:gridCol w:w="629"/>
        <w:gridCol w:w="629"/>
        <w:gridCol w:w="629"/>
        <w:gridCol w:w="93"/>
        <w:gridCol w:w="643"/>
        <w:gridCol w:w="112"/>
        <w:gridCol w:w="820"/>
      </w:tblGrid>
      <w:tr w:rsidR="008728E8" w:rsidRPr="00576DC7" w14:paraId="75C0E611" w14:textId="77777777" w:rsidTr="008728E8">
        <w:trPr>
          <w:trHeight w:hRule="exact" w:val="225"/>
        </w:trPr>
        <w:tc>
          <w:tcPr>
            <w:tcW w:w="1403" w:type="pct"/>
            <w:tcBorders>
              <w:top w:val="single" w:sz="4" w:space="0" w:color="293F5B"/>
              <w:left w:val="nil"/>
              <w:bottom w:val="nil"/>
              <w:right w:val="nil"/>
            </w:tcBorders>
            <w:shd w:val="clear" w:color="000000" w:fill="FFFFFF"/>
            <w:noWrap/>
            <w:vAlign w:val="center"/>
            <w:hideMark/>
          </w:tcPr>
          <w:p w14:paraId="6329CDAA" w14:textId="4D72820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418" w:type="pct"/>
            <w:tcBorders>
              <w:top w:val="single" w:sz="4" w:space="0" w:color="293F5B"/>
              <w:left w:val="nil"/>
              <w:bottom w:val="single" w:sz="4" w:space="0" w:color="auto"/>
              <w:right w:val="nil"/>
            </w:tcBorders>
            <w:shd w:val="clear" w:color="000000" w:fill="FFFFFF"/>
            <w:noWrap/>
            <w:vAlign w:val="center"/>
            <w:hideMark/>
          </w:tcPr>
          <w:p w14:paraId="55C3E7A5" w14:textId="77777777" w:rsidR="008728E8" w:rsidRPr="00576DC7" w:rsidRDefault="008728E8" w:rsidP="008728E8">
            <w:pPr>
              <w:spacing w:before="0" w:after="0" w:line="240" w:lineRule="auto"/>
              <w:jc w:val="center"/>
              <w:rPr>
                <w:rFonts w:ascii="Arial" w:hAnsi="Arial" w:cs="Arial"/>
                <w:sz w:val="16"/>
                <w:szCs w:val="16"/>
              </w:rPr>
            </w:pPr>
            <w:r w:rsidRPr="00576DC7">
              <w:rPr>
                <w:rFonts w:ascii="Arial" w:hAnsi="Arial" w:cs="Arial"/>
                <w:sz w:val="16"/>
                <w:szCs w:val="16"/>
              </w:rPr>
              <w:t>Actual</w:t>
            </w:r>
          </w:p>
        </w:tc>
        <w:tc>
          <w:tcPr>
            <w:tcW w:w="62" w:type="pct"/>
            <w:tcBorders>
              <w:top w:val="single" w:sz="4" w:space="0" w:color="293F5B"/>
              <w:left w:val="nil"/>
              <w:bottom w:val="nil"/>
              <w:right w:val="nil"/>
            </w:tcBorders>
            <w:shd w:val="clear" w:color="000000" w:fill="FFFFFF"/>
            <w:noWrap/>
            <w:vAlign w:val="center"/>
            <w:hideMark/>
          </w:tcPr>
          <w:p w14:paraId="579A8C91" w14:textId="77777777" w:rsidR="008728E8" w:rsidRPr="00576DC7" w:rsidRDefault="008728E8" w:rsidP="008728E8">
            <w:pPr>
              <w:spacing w:before="0" w:after="0" w:line="240" w:lineRule="auto"/>
              <w:jc w:val="center"/>
              <w:rPr>
                <w:rFonts w:ascii="Arial" w:hAnsi="Arial" w:cs="Arial"/>
                <w:sz w:val="16"/>
                <w:szCs w:val="16"/>
              </w:rPr>
            </w:pPr>
            <w:r w:rsidRPr="00576DC7">
              <w:rPr>
                <w:rFonts w:ascii="Arial" w:hAnsi="Arial" w:cs="Arial"/>
                <w:sz w:val="16"/>
                <w:szCs w:val="16"/>
              </w:rPr>
              <w:t> </w:t>
            </w:r>
          </w:p>
        </w:tc>
        <w:tc>
          <w:tcPr>
            <w:tcW w:w="2051" w:type="pct"/>
            <w:gridSpan w:val="5"/>
            <w:tcBorders>
              <w:top w:val="single" w:sz="4" w:space="0" w:color="293F5B"/>
              <w:left w:val="nil"/>
              <w:bottom w:val="single" w:sz="4" w:space="0" w:color="293F5B"/>
              <w:right w:val="nil"/>
            </w:tcBorders>
            <w:shd w:val="clear" w:color="000000" w:fill="FFFFFF"/>
            <w:noWrap/>
            <w:vAlign w:val="center"/>
            <w:hideMark/>
          </w:tcPr>
          <w:p w14:paraId="5F0F7888" w14:textId="77777777" w:rsidR="008728E8" w:rsidRPr="00576DC7" w:rsidRDefault="008728E8" w:rsidP="008728E8">
            <w:pPr>
              <w:spacing w:before="0" w:after="0" w:line="240" w:lineRule="auto"/>
              <w:jc w:val="center"/>
              <w:rPr>
                <w:rFonts w:ascii="Arial" w:hAnsi="Arial" w:cs="Arial"/>
                <w:sz w:val="16"/>
                <w:szCs w:val="16"/>
              </w:rPr>
            </w:pPr>
            <w:r w:rsidRPr="00576DC7">
              <w:rPr>
                <w:rFonts w:ascii="Arial" w:hAnsi="Arial" w:cs="Arial"/>
                <w:sz w:val="16"/>
                <w:szCs w:val="16"/>
              </w:rPr>
              <w:t>Estimates</w:t>
            </w:r>
          </w:p>
        </w:tc>
        <w:tc>
          <w:tcPr>
            <w:tcW w:w="62" w:type="pct"/>
            <w:tcBorders>
              <w:top w:val="single" w:sz="4" w:space="0" w:color="293F5B"/>
              <w:left w:val="nil"/>
              <w:bottom w:val="nil"/>
              <w:right w:val="nil"/>
            </w:tcBorders>
            <w:shd w:val="clear" w:color="000000" w:fill="FFFFFF"/>
            <w:noWrap/>
            <w:vAlign w:val="center"/>
            <w:hideMark/>
          </w:tcPr>
          <w:p w14:paraId="6F8FDBC9"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418" w:type="pct"/>
            <w:tcBorders>
              <w:top w:val="single" w:sz="4" w:space="0" w:color="293F5B"/>
              <w:left w:val="nil"/>
              <w:bottom w:val="nil"/>
              <w:right w:val="nil"/>
            </w:tcBorders>
            <w:shd w:val="clear" w:color="000000" w:fill="FFFFFF"/>
            <w:noWrap/>
            <w:vAlign w:val="center"/>
            <w:hideMark/>
          </w:tcPr>
          <w:p w14:paraId="7CEF9AD0"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74" w:type="pct"/>
            <w:tcBorders>
              <w:top w:val="single" w:sz="4" w:space="0" w:color="293F5B"/>
              <w:left w:val="nil"/>
              <w:bottom w:val="nil"/>
              <w:right w:val="nil"/>
            </w:tcBorders>
            <w:shd w:val="clear" w:color="000000" w:fill="FFFFFF"/>
            <w:noWrap/>
            <w:vAlign w:val="center"/>
            <w:hideMark/>
          </w:tcPr>
          <w:p w14:paraId="0F1313E1"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513" w:type="pct"/>
            <w:tcBorders>
              <w:top w:val="single" w:sz="4" w:space="0" w:color="293F5B"/>
              <w:left w:val="nil"/>
              <w:bottom w:val="nil"/>
              <w:right w:val="nil"/>
            </w:tcBorders>
            <w:shd w:val="clear" w:color="000000" w:fill="FFFFFF"/>
            <w:noWrap/>
            <w:vAlign w:val="center"/>
            <w:hideMark/>
          </w:tcPr>
          <w:p w14:paraId="69EE4B05"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Projections</w:t>
            </w:r>
          </w:p>
        </w:tc>
      </w:tr>
      <w:tr w:rsidR="008728E8" w:rsidRPr="00576DC7" w14:paraId="6AB53D78"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0446FF8F"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418" w:type="pct"/>
            <w:tcBorders>
              <w:top w:val="single" w:sz="4" w:space="0" w:color="293F5B"/>
              <w:left w:val="nil"/>
              <w:bottom w:val="nil"/>
              <w:right w:val="nil"/>
            </w:tcBorders>
            <w:shd w:val="clear" w:color="000000" w:fill="FFFFFF"/>
            <w:noWrap/>
            <w:vAlign w:val="center"/>
            <w:hideMark/>
          </w:tcPr>
          <w:p w14:paraId="32C6BB49" w14:textId="5C15045A"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2023</w:t>
            </w:r>
            <w:r w:rsidR="00404C26">
              <w:rPr>
                <w:rFonts w:ascii="Arial" w:hAnsi="Arial" w:cs="Arial"/>
                <w:sz w:val="16"/>
                <w:szCs w:val="16"/>
              </w:rPr>
              <w:noBreakHyphen/>
            </w:r>
            <w:r w:rsidRPr="00576DC7">
              <w:rPr>
                <w:rFonts w:ascii="Arial" w:hAnsi="Arial" w:cs="Arial"/>
                <w:sz w:val="16"/>
                <w:szCs w:val="16"/>
              </w:rPr>
              <w:t>24</w:t>
            </w:r>
          </w:p>
        </w:tc>
        <w:tc>
          <w:tcPr>
            <w:tcW w:w="62" w:type="pct"/>
            <w:tcBorders>
              <w:top w:val="nil"/>
              <w:left w:val="nil"/>
              <w:bottom w:val="nil"/>
              <w:right w:val="nil"/>
            </w:tcBorders>
            <w:shd w:val="clear" w:color="000000" w:fill="FFFFFF"/>
            <w:noWrap/>
            <w:vAlign w:val="center"/>
            <w:hideMark/>
          </w:tcPr>
          <w:p w14:paraId="0D0BAB0D"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13ADC8CC" w14:textId="299173F1"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2024</w:t>
            </w:r>
            <w:r w:rsidR="00404C26">
              <w:rPr>
                <w:rFonts w:ascii="Arial" w:hAnsi="Arial" w:cs="Arial"/>
                <w:sz w:val="16"/>
                <w:szCs w:val="16"/>
              </w:rPr>
              <w:noBreakHyphen/>
            </w:r>
            <w:r w:rsidRPr="00576DC7">
              <w:rPr>
                <w:rFonts w:ascii="Arial" w:hAnsi="Arial" w:cs="Arial"/>
                <w:sz w:val="16"/>
                <w:szCs w:val="16"/>
              </w:rPr>
              <w:t>25</w:t>
            </w:r>
          </w:p>
        </w:tc>
        <w:tc>
          <w:tcPr>
            <w:tcW w:w="410" w:type="pct"/>
            <w:tcBorders>
              <w:top w:val="nil"/>
              <w:left w:val="nil"/>
              <w:bottom w:val="nil"/>
              <w:right w:val="nil"/>
            </w:tcBorders>
            <w:shd w:val="clear" w:color="000000" w:fill="E6F2FF"/>
            <w:noWrap/>
            <w:vAlign w:val="center"/>
            <w:hideMark/>
          </w:tcPr>
          <w:p w14:paraId="0CFD00FF" w14:textId="1145640A"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2025</w:t>
            </w:r>
            <w:r w:rsidR="00404C26">
              <w:rPr>
                <w:rFonts w:ascii="Arial" w:hAnsi="Arial" w:cs="Arial"/>
                <w:sz w:val="16"/>
                <w:szCs w:val="16"/>
              </w:rPr>
              <w:noBreakHyphen/>
            </w:r>
            <w:r w:rsidRPr="00576DC7">
              <w:rPr>
                <w:rFonts w:ascii="Arial" w:hAnsi="Arial" w:cs="Arial"/>
                <w:sz w:val="16"/>
                <w:szCs w:val="16"/>
              </w:rPr>
              <w:t>26</w:t>
            </w:r>
          </w:p>
        </w:tc>
        <w:tc>
          <w:tcPr>
            <w:tcW w:w="410" w:type="pct"/>
            <w:tcBorders>
              <w:top w:val="nil"/>
              <w:left w:val="nil"/>
              <w:bottom w:val="nil"/>
              <w:right w:val="nil"/>
            </w:tcBorders>
            <w:shd w:val="clear" w:color="000000" w:fill="FFFFFF"/>
            <w:noWrap/>
            <w:vAlign w:val="center"/>
            <w:hideMark/>
          </w:tcPr>
          <w:p w14:paraId="611BE3AB" w14:textId="72E13A68"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2026</w:t>
            </w:r>
            <w:r w:rsidR="00404C26">
              <w:rPr>
                <w:rFonts w:ascii="Arial" w:hAnsi="Arial" w:cs="Arial"/>
                <w:sz w:val="16"/>
                <w:szCs w:val="16"/>
              </w:rPr>
              <w:noBreakHyphen/>
            </w:r>
            <w:r w:rsidRPr="00576DC7">
              <w:rPr>
                <w:rFonts w:ascii="Arial" w:hAnsi="Arial" w:cs="Arial"/>
                <w:sz w:val="16"/>
                <w:szCs w:val="16"/>
              </w:rPr>
              <w:t>27</w:t>
            </w:r>
          </w:p>
        </w:tc>
        <w:tc>
          <w:tcPr>
            <w:tcW w:w="410" w:type="pct"/>
            <w:tcBorders>
              <w:top w:val="nil"/>
              <w:left w:val="nil"/>
              <w:bottom w:val="nil"/>
              <w:right w:val="nil"/>
            </w:tcBorders>
            <w:shd w:val="clear" w:color="000000" w:fill="FFFFFF"/>
            <w:noWrap/>
            <w:vAlign w:val="center"/>
            <w:hideMark/>
          </w:tcPr>
          <w:p w14:paraId="05F9F755" w14:textId="73723F42"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2027</w:t>
            </w:r>
            <w:r w:rsidR="00404C26">
              <w:rPr>
                <w:rFonts w:ascii="Arial" w:hAnsi="Arial" w:cs="Arial"/>
                <w:sz w:val="16"/>
                <w:szCs w:val="16"/>
              </w:rPr>
              <w:noBreakHyphen/>
            </w:r>
            <w:r w:rsidRPr="00576DC7">
              <w:rPr>
                <w:rFonts w:ascii="Arial" w:hAnsi="Arial" w:cs="Arial"/>
                <w:sz w:val="16"/>
                <w:szCs w:val="16"/>
              </w:rPr>
              <w:t>28</w:t>
            </w:r>
          </w:p>
        </w:tc>
        <w:tc>
          <w:tcPr>
            <w:tcW w:w="410" w:type="pct"/>
            <w:tcBorders>
              <w:top w:val="nil"/>
              <w:left w:val="nil"/>
              <w:bottom w:val="nil"/>
              <w:right w:val="nil"/>
            </w:tcBorders>
            <w:shd w:val="clear" w:color="000000" w:fill="FFFFFF"/>
            <w:noWrap/>
            <w:vAlign w:val="center"/>
            <w:hideMark/>
          </w:tcPr>
          <w:p w14:paraId="6192340B" w14:textId="527C4F2F"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2028</w:t>
            </w:r>
            <w:r w:rsidR="00404C26">
              <w:rPr>
                <w:rFonts w:ascii="Arial" w:hAnsi="Arial" w:cs="Arial"/>
                <w:sz w:val="16"/>
                <w:szCs w:val="16"/>
              </w:rPr>
              <w:noBreakHyphen/>
            </w:r>
            <w:r w:rsidRPr="00576DC7">
              <w:rPr>
                <w:rFonts w:ascii="Arial" w:hAnsi="Arial" w:cs="Arial"/>
                <w:sz w:val="16"/>
                <w:szCs w:val="16"/>
              </w:rPr>
              <w:t>29</w:t>
            </w:r>
          </w:p>
        </w:tc>
        <w:tc>
          <w:tcPr>
            <w:tcW w:w="62" w:type="pct"/>
            <w:tcBorders>
              <w:top w:val="nil"/>
              <w:left w:val="nil"/>
              <w:bottom w:val="nil"/>
              <w:right w:val="nil"/>
            </w:tcBorders>
            <w:shd w:val="clear" w:color="000000" w:fill="FFFFFF"/>
            <w:noWrap/>
            <w:vAlign w:val="center"/>
            <w:hideMark/>
          </w:tcPr>
          <w:p w14:paraId="40E384BB"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8" w:type="pct"/>
            <w:tcBorders>
              <w:top w:val="single" w:sz="4" w:space="0" w:color="293F5B"/>
              <w:left w:val="nil"/>
              <w:bottom w:val="nil"/>
              <w:right w:val="nil"/>
            </w:tcBorders>
            <w:shd w:val="clear" w:color="000000" w:fill="FFFFFF"/>
            <w:noWrap/>
            <w:vAlign w:val="center"/>
            <w:hideMark/>
          </w:tcPr>
          <w:p w14:paraId="7367C1A3"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Total(a)</w:t>
            </w:r>
          </w:p>
        </w:tc>
        <w:tc>
          <w:tcPr>
            <w:tcW w:w="74" w:type="pct"/>
            <w:tcBorders>
              <w:top w:val="nil"/>
              <w:left w:val="nil"/>
              <w:bottom w:val="nil"/>
              <w:right w:val="nil"/>
            </w:tcBorders>
            <w:shd w:val="clear" w:color="000000" w:fill="FFFFFF"/>
            <w:noWrap/>
            <w:vAlign w:val="center"/>
            <w:hideMark/>
          </w:tcPr>
          <w:p w14:paraId="6E7C83E5"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513" w:type="pct"/>
            <w:tcBorders>
              <w:top w:val="single" w:sz="4" w:space="0" w:color="293F5B"/>
              <w:left w:val="nil"/>
              <w:bottom w:val="nil"/>
              <w:right w:val="nil"/>
            </w:tcBorders>
            <w:shd w:val="clear" w:color="000000" w:fill="FFFFFF"/>
            <w:noWrap/>
            <w:vAlign w:val="center"/>
            <w:hideMark/>
          </w:tcPr>
          <w:p w14:paraId="39DCE7CC" w14:textId="61BE572A"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2035</w:t>
            </w:r>
            <w:r w:rsidR="00404C26">
              <w:rPr>
                <w:rFonts w:ascii="Arial" w:hAnsi="Arial" w:cs="Arial"/>
                <w:sz w:val="16"/>
                <w:szCs w:val="16"/>
              </w:rPr>
              <w:noBreakHyphen/>
            </w:r>
            <w:r w:rsidRPr="00576DC7">
              <w:rPr>
                <w:rFonts w:ascii="Arial" w:hAnsi="Arial" w:cs="Arial"/>
                <w:sz w:val="16"/>
                <w:szCs w:val="16"/>
              </w:rPr>
              <w:t>36</w:t>
            </w:r>
          </w:p>
        </w:tc>
      </w:tr>
      <w:tr w:rsidR="008728E8" w:rsidRPr="00576DC7" w14:paraId="7042C06F"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460425EC"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418" w:type="pct"/>
            <w:tcBorders>
              <w:top w:val="nil"/>
              <w:left w:val="nil"/>
              <w:bottom w:val="single" w:sz="4" w:space="0" w:color="293F5B"/>
              <w:right w:val="nil"/>
            </w:tcBorders>
            <w:shd w:val="clear" w:color="000000" w:fill="FFFFFF"/>
            <w:noWrap/>
            <w:vAlign w:val="center"/>
            <w:hideMark/>
          </w:tcPr>
          <w:p w14:paraId="282F95D8"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$b</w:t>
            </w:r>
          </w:p>
        </w:tc>
        <w:tc>
          <w:tcPr>
            <w:tcW w:w="62" w:type="pct"/>
            <w:tcBorders>
              <w:top w:val="nil"/>
              <w:left w:val="nil"/>
              <w:bottom w:val="nil"/>
              <w:right w:val="nil"/>
            </w:tcBorders>
            <w:shd w:val="clear" w:color="000000" w:fill="FFFFFF"/>
            <w:noWrap/>
            <w:vAlign w:val="center"/>
            <w:hideMark/>
          </w:tcPr>
          <w:p w14:paraId="44944168"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single" w:sz="4" w:space="0" w:color="293F5B"/>
              <w:right w:val="nil"/>
            </w:tcBorders>
            <w:shd w:val="clear" w:color="000000" w:fill="FFFFFF"/>
            <w:noWrap/>
            <w:vAlign w:val="center"/>
            <w:hideMark/>
          </w:tcPr>
          <w:p w14:paraId="069E06A1"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$b</w:t>
            </w:r>
          </w:p>
        </w:tc>
        <w:tc>
          <w:tcPr>
            <w:tcW w:w="410" w:type="pct"/>
            <w:tcBorders>
              <w:top w:val="nil"/>
              <w:left w:val="nil"/>
              <w:bottom w:val="single" w:sz="4" w:space="0" w:color="293F5B"/>
              <w:right w:val="nil"/>
            </w:tcBorders>
            <w:shd w:val="clear" w:color="000000" w:fill="E6F2FF"/>
            <w:noWrap/>
            <w:vAlign w:val="center"/>
            <w:hideMark/>
          </w:tcPr>
          <w:p w14:paraId="77710BC7"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$b</w:t>
            </w:r>
          </w:p>
        </w:tc>
        <w:tc>
          <w:tcPr>
            <w:tcW w:w="410" w:type="pct"/>
            <w:tcBorders>
              <w:top w:val="nil"/>
              <w:left w:val="nil"/>
              <w:bottom w:val="single" w:sz="4" w:space="0" w:color="293F5B"/>
              <w:right w:val="nil"/>
            </w:tcBorders>
            <w:shd w:val="clear" w:color="000000" w:fill="FFFFFF"/>
            <w:noWrap/>
            <w:vAlign w:val="center"/>
            <w:hideMark/>
          </w:tcPr>
          <w:p w14:paraId="46DDC176"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$b</w:t>
            </w:r>
          </w:p>
        </w:tc>
        <w:tc>
          <w:tcPr>
            <w:tcW w:w="410" w:type="pct"/>
            <w:tcBorders>
              <w:top w:val="nil"/>
              <w:left w:val="nil"/>
              <w:bottom w:val="single" w:sz="4" w:space="0" w:color="293F5B"/>
              <w:right w:val="nil"/>
            </w:tcBorders>
            <w:shd w:val="clear" w:color="000000" w:fill="FFFFFF"/>
            <w:noWrap/>
            <w:vAlign w:val="center"/>
            <w:hideMark/>
          </w:tcPr>
          <w:p w14:paraId="4453A28F"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$b</w:t>
            </w:r>
          </w:p>
        </w:tc>
        <w:tc>
          <w:tcPr>
            <w:tcW w:w="410" w:type="pct"/>
            <w:tcBorders>
              <w:top w:val="nil"/>
              <w:left w:val="nil"/>
              <w:bottom w:val="single" w:sz="4" w:space="0" w:color="293F5B"/>
              <w:right w:val="nil"/>
            </w:tcBorders>
            <w:shd w:val="clear" w:color="000000" w:fill="FFFFFF"/>
            <w:noWrap/>
            <w:vAlign w:val="center"/>
            <w:hideMark/>
          </w:tcPr>
          <w:p w14:paraId="579027DB"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$b</w:t>
            </w:r>
          </w:p>
        </w:tc>
        <w:tc>
          <w:tcPr>
            <w:tcW w:w="62" w:type="pct"/>
            <w:tcBorders>
              <w:top w:val="nil"/>
              <w:left w:val="nil"/>
              <w:bottom w:val="nil"/>
              <w:right w:val="nil"/>
            </w:tcBorders>
            <w:shd w:val="clear" w:color="000000" w:fill="FFFFFF"/>
            <w:noWrap/>
            <w:vAlign w:val="center"/>
            <w:hideMark/>
          </w:tcPr>
          <w:p w14:paraId="5055E994"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8" w:type="pct"/>
            <w:tcBorders>
              <w:top w:val="nil"/>
              <w:left w:val="nil"/>
              <w:bottom w:val="single" w:sz="4" w:space="0" w:color="293F5B"/>
              <w:right w:val="nil"/>
            </w:tcBorders>
            <w:shd w:val="clear" w:color="000000" w:fill="FFFFFF"/>
            <w:noWrap/>
            <w:vAlign w:val="center"/>
            <w:hideMark/>
          </w:tcPr>
          <w:p w14:paraId="0AEEB79F"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$b</w:t>
            </w:r>
          </w:p>
        </w:tc>
        <w:tc>
          <w:tcPr>
            <w:tcW w:w="74" w:type="pct"/>
            <w:tcBorders>
              <w:top w:val="nil"/>
              <w:left w:val="nil"/>
              <w:bottom w:val="nil"/>
              <w:right w:val="nil"/>
            </w:tcBorders>
            <w:shd w:val="clear" w:color="000000" w:fill="FFFFFF"/>
            <w:noWrap/>
            <w:vAlign w:val="center"/>
            <w:hideMark/>
          </w:tcPr>
          <w:p w14:paraId="030714F9"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513" w:type="pct"/>
            <w:tcBorders>
              <w:top w:val="nil"/>
              <w:left w:val="nil"/>
              <w:bottom w:val="single" w:sz="4" w:space="0" w:color="293F5B"/>
              <w:right w:val="nil"/>
            </w:tcBorders>
            <w:shd w:val="clear" w:color="000000" w:fill="FFFFFF"/>
            <w:noWrap/>
            <w:vAlign w:val="center"/>
            <w:hideMark/>
          </w:tcPr>
          <w:p w14:paraId="41BC4F80"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of GDP</w:t>
            </w:r>
          </w:p>
        </w:tc>
      </w:tr>
      <w:tr w:rsidR="008728E8" w:rsidRPr="00576DC7" w14:paraId="09358A8A"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4BDD587C" w14:textId="77777777" w:rsidR="008728E8" w:rsidRPr="00576DC7" w:rsidRDefault="008728E8" w:rsidP="008728E8">
            <w:pPr>
              <w:spacing w:before="0" w:after="0" w:line="240" w:lineRule="auto"/>
              <w:rPr>
                <w:rFonts w:ascii="Arial" w:hAnsi="Arial" w:cs="Arial"/>
                <w:b/>
                <w:bCs/>
                <w:sz w:val="16"/>
                <w:szCs w:val="16"/>
              </w:rPr>
            </w:pPr>
            <w:r w:rsidRPr="00576DC7">
              <w:rPr>
                <w:rFonts w:ascii="Arial" w:hAnsi="Arial" w:cs="Arial"/>
                <w:b/>
                <w:bCs/>
                <w:sz w:val="16"/>
                <w:szCs w:val="16"/>
              </w:rPr>
              <w:t>Underlying cash balance</w:t>
            </w:r>
          </w:p>
        </w:tc>
        <w:tc>
          <w:tcPr>
            <w:tcW w:w="418" w:type="pct"/>
            <w:tcBorders>
              <w:top w:val="nil"/>
              <w:left w:val="nil"/>
              <w:bottom w:val="nil"/>
              <w:right w:val="nil"/>
            </w:tcBorders>
            <w:shd w:val="clear" w:color="000000" w:fill="FFFFFF"/>
            <w:noWrap/>
            <w:vAlign w:val="center"/>
            <w:hideMark/>
          </w:tcPr>
          <w:p w14:paraId="05987820"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15.8</w:t>
            </w:r>
          </w:p>
        </w:tc>
        <w:tc>
          <w:tcPr>
            <w:tcW w:w="62" w:type="pct"/>
            <w:tcBorders>
              <w:top w:val="nil"/>
              <w:left w:val="nil"/>
              <w:bottom w:val="nil"/>
              <w:right w:val="nil"/>
            </w:tcBorders>
            <w:shd w:val="clear" w:color="000000" w:fill="FFFFFF"/>
            <w:noWrap/>
            <w:vAlign w:val="center"/>
            <w:hideMark/>
          </w:tcPr>
          <w:p w14:paraId="45450664"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04130EF6" w14:textId="7B0FD8A0" w:rsidR="008728E8" w:rsidRPr="00576DC7" w:rsidRDefault="00404C26" w:rsidP="008728E8">
            <w:pPr>
              <w:spacing w:before="0" w:after="0" w:line="240" w:lineRule="auto"/>
              <w:jc w:val="right"/>
              <w:rPr>
                <w:rFonts w:ascii="Arial" w:hAnsi="Arial" w:cs="Arial"/>
                <w:b/>
                <w:bCs/>
                <w:sz w:val="16"/>
                <w:szCs w:val="16"/>
              </w:rPr>
            </w:pPr>
            <w:r>
              <w:rPr>
                <w:rFonts w:ascii="Arial" w:hAnsi="Arial" w:cs="Arial"/>
                <w:b/>
                <w:bCs/>
                <w:sz w:val="16"/>
                <w:szCs w:val="16"/>
              </w:rPr>
              <w:noBreakHyphen/>
            </w:r>
            <w:r w:rsidR="008728E8" w:rsidRPr="00576DC7">
              <w:rPr>
                <w:rFonts w:ascii="Arial" w:hAnsi="Arial" w:cs="Arial"/>
                <w:b/>
                <w:bCs/>
                <w:sz w:val="16"/>
                <w:szCs w:val="16"/>
              </w:rPr>
              <w:t>27.6</w:t>
            </w:r>
          </w:p>
        </w:tc>
        <w:tc>
          <w:tcPr>
            <w:tcW w:w="410" w:type="pct"/>
            <w:tcBorders>
              <w:top w:val="nil"/>
              <w:left w:val="nil"/>
              <w:bottom w:val="nil"/>
              <w:right w:val="nil"/>
            </w:tcBorders>
            <w:shd w:val="clear" w:color="000000" w:fill="E6F2FF"/>
            <w:noWrap/>
            <w:vAlign w:val="center"/>
            <w:hideMark/>
          </w:tcPr>
          <w:p w14:paraId="6A31A4AB" w14:textId="6AE97C29" w:rsidR="008728E8" w:rsidRPr="00576DC7" w:rsidRDefault="00404C26" w:rsidP="008728E8">
            <w:pPr>
              <w:spacing w:before="0" w:after="0" w:line="240" w:lineRule="auto"/>
              <w:jc w:val="right"/>
              <w:rPr>
                <w:rFonts w:ascii="Arial" w:hAnsi="Arial" w:cs="Arial"/>
                <w:b/>
                <w:bCs/>
                <w:sz w:val="16"/>
                <w:szCs w:val="16"/>
              </w:rPr>
            </w:pPr>
            <w:r>
              <w:rPr>
                <w:rFonts w:ascii="Arial" w:hAnsi="Arial" w:cs="Arial"/>
                <w:b/>
                <w:bCs/>
                <w:sz w:val="16"/>
                <w:szCs w:val="16"/>
              </w:rPr>
              <w:noBreakHyphen/>
            </w:r>
            <w:r w:rsidR="008728E8" w:rsidRPr="00576DC7">
              <w:rPr>
                <w:rFonts w:ascii="Arial" w:hAnsi="Arial" w:cs="Arial"/>
                <w:b/>
                <w:bCs/>
                <w:sz w:val="16"/>
                <w:szCs w:val="16"/>
              </w:rPr>
              <w:t>42.1</w:t>
            </w:r>
          </w:p>
        </w:tc>
        <w:tc>
          <w:tcPr>
            <w:tcW w:w="410" w:type="pct"/>
            <w:tcBorders>
              <w:top w:val="nil"/>
              <w:left w:val="nil"/>
              <w:bottom w:val="nil"/>
              <w:right w:val="nil"/>
            </w:tcBorders>
            <w:shd w:val="clear" w:color="000000" w:fill="FFFFFF"/>
            <w:noWrap/>
            <w:vAlign w:val="center"/>
            <w:hideMark/>
          </w:tcPr>
          <w:p w14:paraId="0D8721E5" w14:textId="1E3BFF96" w:rsidR="008728E8" w:rsidRPr="00576DC7" w:rsidRDefault="00404C26" w:rsidP="008728E8">
            <w:pPr>
              <w:spacing w:before="0" w:after="0" w:line="240" w:lineRule="auto"/>
              <w:jc w:val="right"/>
              <w:rPr>
                <w:rFonts w:ascii="Arial" w:hAnsi="Arial" w:cs="Arial"/>
                <w:b/>
                <w:bCs/>
                <w:sz w:val="16"/>
                <w:szCs w:val="16"/>
              </w:rPr>
            </w:pPr>
            <w:r>
              <w:rPr>
                <w:rFonts w:ascii="Arial" w:hAnsi="Arial" w:cs="Arial"/>
                <w:b/>
                <w:bCs/>
                <w:sz w:val="16"/>
                <w:szCs w:val="16"/>
              </w:rPr>
              <w:noBreakHyphen/>
            </w:r>
            <w:r w:rsidR="008728E8" w:rsidRPr="00576DC7">
              <w:rPr>
                <w:rFonts w:ascii="Arial" w:hAnsi="Arial" w:cs="Arial"/>
                <w:b/>
                <w:bCs/>
                <w:sz w:val="16"/>
                <w:szCs w:val="16"/>
              </w:rPr>
              <w:t>35.7</w:t>
            </w:r>
          </w:p>
        </w:tc>
        <w:tc>
          <w:tcPr>
            <w:tcW w:w="410" w:type="pct"/>
            <w:tcBorders>
              <w:top w:val="nil"/>
              <w:left w:val="nil"/>
              <w:bottom w:val="nil"/>
              <w:right w:val="nil"/>
            </w:tcBorders>
            <w:shd w:val="clear" w:color="000000" w:fill="FFFFFF"/>
            <w:noWrap/>
            <w:vAlign w:val="center"/>
            <w:hideMark/>
          </w:tcPr>
          <w:p w14:paraId="142C05A4" w14:textId="7D527A3B" w:rsidR="008728E8" w:rsidRPr="00576DC7" w:rsidRDefault="00404C26" w:rsidP="008728E8">
            <w:pPr>
              <w:spacing w:before="0" w:after="0" w:line="240" w:lineRule="auto"/>
              <w:jc w:val="right"/>
              <w:rPr>
                <w:rFonts w:ascii="Arial" w:hAnsi="Arial" w:cs="Arial"/>
                <w:b/>
                <w:bCs/>
                <w:sz w:val="16"/>
                <w:szCs w:val="16"/>
              </w:rPr>
            </w:pPr>
            <w:r>
              <w:rPr>
                <w:rFonts w:ascii="Arial" w:hAnsi="Arial" w:cs="Arial"/>
                <w:b/>
                <w:bCs/>
                <w:sz w:val="16"/>
                <w:szCs w:val="16"/>
              </w:rPr>
              <w:noBreakHyphen/>
            </w:r>
            <w:r w:rsidR="008728E8" w:rsidRPr="00576DC7">
              <w:rPr>
                <w:rFonts w:ascii="Arial" w:hAnsi="Arial" w:cs="Arial"/>
                <w:b/>
                <w:bCs/>
                <w:sz w:val="16"/>
                <w:szCs w:val="16"/>
              </w:rPr>
              <w:t>37.2</w:t>
            </w:r>
          </w:p>
        </w:tc>
        <w:tc>
          <w:tcPr>
            <w:tcW w:w="410" w:type="pct"/>
            <w:tcBorders>
              <w:top w:val="nil"/>
              <w:left w:val="nil"/>
              <w:bottom w:val="nil"/>
              <w:right w:val="nil"/>
            </w:tcBorders>
            <w:shd w:val="clear" w:color="000000" w:fill="FFFFFF"/>
            <w:noWrap/>
            <w:vAlign w:val="center"/>
            <w:hideMark/>
          </w:tcPr>
          <w:p w14:paraId="77E127F0" w14:textId="7EF1EE0C" w:rsidR="008728E8" w:rsidRPr="00576DC7" w:rsidRDefault="00404C26" w:rsidP="008728E8">
            <w:pPr>
              <w:spacing w:before="0" w:after="0" w:line="240" w:lineRule="auto"/>
              <w:jc w:val="right"/>
              <w:rPr>
                <w:rFonts w:ascii="Arial" w:hAnsi="Arial" w:cs="Arial"/>
                <w:b/>
                <w:bCs/>
                <w:sz w:val="16"/>
                <w:szCs w:val="16"/>
              </w:rPr>
            </w:pPr>
            <w:r>
              <w:rPr>
                <w:rFonts w:ascii="Arial" w:hAnsi="Arial" w:cs="Arial"/>
                <w:b/>
                <w:bCs/>
                <w:sz w:val="16"/>
                <w:szCs w:val="16"/>
              </w:rPr>
              <w:noBreakHyphen/>
            </w:r>
            <w:r w:rsidR="008728E8" w:rsidRPr="00576DC7">
              <w:rPr>
                <w:rFonts w:ascii="Arial" w:hAnsi="Arial" w:cs="Arial"/>
                <w:b/>
                <w:bCs/>
                <w:sz w:val="16"/>
                <w:szCs w:val="16"/>
              </w:rPr>
              <w:t>36.9</w:t>
            </w:r>
          </w:p>
        </w:tc>
        <w:tc>
          <w:tcPr>
            <w:tcW w:w="62" w:type="pct"/>
            <w:tcBorders>
              <w:top w:val="nil"/>
              <w:left w:val="nil"/>
              <w:bottom w:val="nil"/>
              <w:right w:val="nil"/>
            </w:tcBorders>
            <w:shd w:val="clear" w:color="000000" w:fill="FFFFFF"/>
            <w:noWrap/>
            <w:vAlign w:val="center"/>
            <w:hideMark/>
          </w:tcPr>
          <w:p w14:paraId="13C60758"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18" w:type="pct"/>
            <w:tcBorders>
              <w:top w:val="nil"/>
              <w:left w:val="nil"/>
              <w:bottom w:val="nil"/>
              <w:right w:val="nil"/>
            </w:tcBorders>
            <w:shd w:val="clear" w:color="000000" w:fill="FFFFFF"/>
            <w:noWrap/>
            <w:vAlign w:val="center"/>
            <w:hideMark/>
          </w:tcPr>
          <w:p w14:paraId="2F1476D6" w14:textId="79DC5DDB" w:rsidR="008728E8" w:rsidRPr="00576DC7" w:rsidRDefault="00404C26" w:rsidP="008728E8">
            <w:pPr>
              <w:spacing w:before="0" w:after="0" w:line="240" w:lineRule="auto"/>
              <w:jc w:val="right"/>
              <w:rPr>
                <w:rFonts w:ascii="Arial" w:hAnsi="Arial" w:cs="Arial"/>
                <w:b/>
                <w:bCs/>
                <w:sz w:val="16"/>
                <w:szCs w:val="16"/>
              </w:rPr>
            </w:pPr>
            <w:r>
              <w:rPr>
                <w:rFonts w:ascii="Arial" w:hAnsi="Arial" w:cs="Arial"/>
                <w:b/>
                <w:bCs/>
                <w:sz w:val="16"/>
                <w:szCs w:val="16"/>
              </w:rPr>
              <w:noBreakHyphen/>
            </w:r>
            <w:r w:rsidR="008728E8" w:rsidRPr="00576DC7">
              <w:rPr>
                <w:rFonts w:ascii="Arial" w:hAnsi="Arial" w:cs="Arial"/>
                <w:b/>
                <w:bCs/>
                <w:sz w:val="16"/>
                <w:szCs w:val="16"/>
              </w:rPr>
              <w:t>179.5</w:t>
            </w:r>
          </w:p>
        </w:tc>
        <w:tc>
          <w:tcPr>
            <w:tcW w:w="74" w:type="pct"/>
            <w:tcBorders>
              <w:top w:val="nil"/>
              <w:left w:val="nil"/>
              <w:bottom w:val="nil"/>
              <w:right w:val="nil"/>
            </w:tcBorders>
            <w:shd w:val="clear" w:color="000000" w:fill="FFFFFF"/>
            <w:noWrap/>
            <w:vAlign w:val="center"/>
            <w:hideMark/>
          </w:tcPr>
          <w:p w14:paraId="3F1FCE9A"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513" w:type="pct"/>
            <w:tcBorders>
              <w:top w:val="nil"/>
              <w:left w:val="nil"/>
              <w:bottom w:val="nil"/>
              <w:right w:val="nil"/>
            </w:tcBorders>
            <w:shd w:val="clear" w:color="000000" w:fill="FFFFFF"/>
            <w:noWrap/>
            <w:vAlign w:val="center"/>
            <w:hideMark/>
          </w:tcPr>
          <w:p w14:paraId="4245C223"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r>
      <w:tr w:rsidR="008728E8" w:rsidRPr="00576DC7" w14:paraId="68E0884A"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66109118"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Per cent of GDP</w:t>
            </w:r>
          </w:p>
        </w:tc>
        <w:tc>
          <w:tcPr>
            <w:tcW w:w="418" w:type="pct"/>
            <w:tcBorders>
              <w:top w:val="nil"/>
              <w:left w:val="nil"/>
              <w:bottom w:val="nil"/>
              <w:right w:val="nil"/>
            </w:tcBorders>
            <w:shd w:val="clear" w:color="000000" w:fill="FFFFFF"/>
            <w:noWrap/>
            <w:vAlign w:val="center"/>
            <w:hideMark/>
          </w:tcPr>
          <w:p w14:paraId="249B3211"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0.6</w:t>
            </w:r>
          </w:p>
        </w:tc>
        <w:tc>
          <w:tcPr>
            <w:tcW w:w="62" w:type="pct"/>
            <w:tcBorders>
              <w:top w:val="nil"/>
              <w:left w:val="nil"/>
              <w:bottom w:val="nil"/>
              <w:right w:val="nil"/>
            </w:tcBorders>
            <w:shd w:val="clear" w:color="000000" w:fill="FFFFFF"/>
            <w:noWrap/>
            <w:vAlign w:val="center"/>
            <w:hideMark/>
          </w:tcPr>
          <w:p w14:paraId="70DC82AD"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568E1225" w14:textId="0860A9BA" w:rsidR="008728E8" w:rsidRPr="00576DC7" w:rsidRDefault="00404C26" w:rsidP="008728E8">
            <w:pPr>
              <w:spacing w:before="0" w:after="0" w:line="240" w:lineRule="auto"/>
              <w:jc w:val="right"/>
              <w:rPr>
                <w:rFonts w:ascii="Arial" w:hAnsi="Arial" w:cs="Arial"/>
                <w:sz w:val="16"/>
                <w:szCs w:val="16"/>
              </w:rPr>
            </w:pPr>
            <w:r>
              <w:rPr>
                <w:rFonts w:ascii="Arial" w:hAnsi="Arial" w:cs="Arial"/>
                <w:sz w:val="16"/>
                <w:szCs w:val="16"/>
              </w:rPr>
              <w:noBreakHyphen/>
            </w:r>
            <w:r w:rsidR="008728E8" w:rsidRPr="00576DC7">
              <w:rPr>
                <w:rFonts w:ascii="Arial" w:hAnsi="Arial" w:cs="Arial"/>
                <w:sz w:val="16"/>
                <w:szCs w:val="16"/>
              </w:rPr>
              <w:t>1.0</w:t>
            </w:r>
          </w:p>
        </w:tc>
        <w:tc>
          <w:tcPr>
            <w:tcW w:w="410" w:type="pct"/>
            <w:tcBorders>
              <w:top w:val="nil"/>
              <w:left w:val="nil"/>
              <w:bottom w:val="nil"/>
              <w:right w:val="nil"/>
            </w:tcBorders>
            <w:shd w:val="clear" w:color="000000" w:fill="E6F2FF"/>
            <w:noWrap/>
            <w:vAlign w:val="center"/>
            <w:hideMark/>
          </w:tcPr>
          <w:p w14:paraId="235AF37A" w14:textId="076FC8B7" w:rsidR="008728E8" w:rsidRPr="00576DC7" w:rsidRDefault="00404C26" w:rsidP="008728E8">
            <w:pPr>
              <w:spacing w:before="0" w:after="0" w:line="240" w:lineRule="auto"/>
              <w:jc w:val="right"/>
              <w:rPr>
                <w:rFonts w:ascii="Arial" w:hAnsi="Arial" w:cs="Arial"/>
                <w:sz w:val="16"/>
                <w:szCs w:val="16"/>
              </w:rPr>
            </w:pPr>
            <w:r>
              <w:rPr>
                <w:rFonts w:ascii="Arial" w:hAnsi="Arial" w:cs="Arial"/>
                <w:sz w:val="16"/>
                <w:szCs w:val="16"/>
              </w:rPr>
              <w:noBreakHyphen/>
            </w:r>
            <w:r w:rsidR="008728E8" w:rsidRPr="00576DC7">
              <w:rPr>
                <w:rFonts w:ascii="Arial" w:hAnsi="Arial" w:cs="Arial"/>
                <w:sz w:val="16"/>
                <w:szCs w:val="16"/>
              </w:rPr>
              <w:t>1.5</w:t>
            </w:r>
          </w:p>
        </w:tc>
        <w:tc>
          <w:tcPr>
            <w:tcW w:w="410" w:type="pct"/>
            <w:tcBorders>
              <w:top w:val="nil"/>
              <w:left w:val="nil"/>
              <w:bottom w:val="nil"/>
              <w:right w:val="nil"/>
            </w:tcBorders>
            <w:shd w:val="clear" w:color="000000" w:fill="FFFFFF"/>
            <w:noWrap/>
            <w:vAlign w:val="center"/>
            <w:hideMark/>
          </w:tcPr>
          <w:p w14:paraId="733B6795" w14:textId="025D9898" w:rsidR="008728E8" w:rsidRPr="00576DC7" w:rsidRDefault="00404C26" w:rsidP="008728E8">
            <w:pPr>
              <w:spacing w:before="0" w:after="0" w:line="240" w:lineRule="auto"/>
              <w:jc w:val="right"/>
              <w:rPr>
                <w:rFonts w:ascii="Arial" w:hAnsi="Arial" w:cs="Arial"/>
                <w:sz w:val="16"/>
                <w:szCs w:val="16"/>
              </w:rPr>
            </w:pPr>
            <w:r>
              <w:rPr>
                <w:rFonts w:ascii="Arial" w:hAnsi="Arial" w:cs="Arial"/>
                <w:sz w:val="16"/>
                <w:szCs w:val="16"/>
              </w:rPr>
              <w:noBreakHyphen/>
            </w:r>
            <w:r w:rsidR="008728E8" w:rsidRPr="00576DC7">
              <w:rPr>
                <w:rFonts w:ascii="Arial" w:hAnsi="Arial" w:cs="Arial"/>
                <w:sz w:val="16"/>
                <w:szCs w:val="16"/>
              </w:rPr>
              <w:t>1.2</w:t>
            </w:r>
          </w:p>
        </w:tc>
        <w:tc>
          <w:tcPr>
            <w:tcW w:w="410" w:type="pct"/>
            <w:tcBorders>
              <w:top w:val="nil"/>
              <w:left w:val="nil"/>
              <w:bottom w:val="nil"/>
              <w:right w:val="nil"/>
            </w:tcBorders>
            <w:shd w:val="clear" w:color="000000" w:fill="FFFFFF"/>
            <w:noWrap/>
            <w:vAlign w:val="center"/>
            <w:hideMark/>
          </w:tcPr>
          <w:p w14:paraId="4901BE48" w14:textId="1842A3AF" w:rsidR="008728E8" w:rsidRPr="00576DC7" w:rsidRDefault="00404C26" w:rsidP="008728E8">
            <w:pPr>
              <w:spacing w:before="0" w:after="0" w:line="240" w:lineRule="auto"/>
              <w:jc w:val="right"/>
              <w:rPr>
                <w:rFonts w:ascii="Arial" w:hAnsi="Arial" w:cs="Arial"/>
                <w:sz w:val="16"/>
                <w:szCs w:val="16"/>
              </w:rPr>
            </w:pPr>
            <w:r>
              <w:rPr>
                <w:rFonts w:ascii="Arial" w:hAnsi="Arial" w:cs="Arial"/>
                <w:sz w:val="16"/>
                <w:szCs w:val="16"/>
              </w:rPr>
              <w:noBreakHyphen/>
            </w:r>
            <w:r w:rsidR="008728E8" w:rsidRPr="00576DC7">
              <w:rPr>
                <w:rFonts w:ascii="Arial" w:hAnsi="Arial" w:cs="Arial"/>
                <w:sz w:val="16"/>
                <w:szCs w:val="16"/>
              </w:rPr>
              <w:t>1.2</w:t>
            </w:r>
          </w:p>
        </w:tc>
        <w:tc>
          <w:tcPr>
            <w:tcW w:w="410" w:type="pct"/>
            <w:tcBorders>
              <w:top w:val="nil"/>
              <w:left w:val="nil"/>
              <w:bottom w:val="nil"/>
              <w:right w:val="nil"/>
            </w:tcBorders>
            <w:shd w:val="clear" w:color="000000" w:fill="FFFFFF"/>
            <w:noWrap/>
            <w:vAlign w:val="center"/>
            <w:hideMark/>
          </w:tcPr>
          <w:p w14:paraId="62EDB36F" w14:textId="1F2E88AD" w:rsidR="008728E8" w:rsidRPr="00576DC7" w:rsidRDefault="00404C26" w:rsidP="008728E8">
            <w:pPr>
              <w:spacing w:before="0" w:after="0" w:line="240" w:lineRule="auto"/>
              <w:jc w:val="right"/>
              <w:rPr>
                <w:rFonts w:ascii="Arial" w:hAnsi="Arial" w:cs="Arial"/>
                <w:sz w:val="16"/>
                <w:szCs w:val="16"/>
              </w:rPr>
            </w:pPr>
            <w:r>
              <w:rPr>
                <w:rFonts w:ascii="Arial" w:hAnsi="Arial" w:cs="Arial"/>
                <w:sz w:val="16"/>
                <w:szCs w:val="16"/>
              </w:rPr>
              <w:noBreakHyphen/>
            </w:r>
            <w:r w:rsidR="008728E8" w:rsidRPr="00576DC7">
              <w:rPr>
                <w:rFonts w:ascii="Arial" w:hAnsi="Arial" w:cs="Arial"/>
                <w:sz w:val="16"/>
                <w:szCs w:val="16"/>
              </w:rPr>
              <w:t>1.1</w:t>
            </w:r>
          </w:p>
        </w:tc>
        <w:tc>
          <w:tcPr>
            <w:tcW w:w="62" w:type="pct"/>
            <w:tcBorders>
              <w:top w:val="nil"/>
              <w:left w:val="nil"/>
              <w:bottom w:val="nil"/>
              <w:right w:val="nil"/>
            </w:tcBorders>
            <w:shd w:val="clear" w:color="000000" w:fill="FFFFFF"/>
            <w:noWrap/>
            <w:vAlign w:val="center"/>
            <w:hideMark/>
          </w:tcPr>
          <w:p w14:paraId="54099D03"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0FD96751"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74" w:type="pct"/>
            <w:tcBorders>
              <w:top w:val="nil"/>
              <w:left w:val="nil"/>
              <w:bottom w:val="nil"/>
              <w:right w:val="nil"/>
            </w:tcBorders>
            <w:shd w:val="clear" w:color="000000" w:fill="FFFFFF"/>
            <w:noWrap/>
            <w:vAlign w:val="center"/>
            <w:hideMark/>
          </w:tcPr>
          <w:p w14:paraId="225D3F22"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6E4BB15F"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0.0</w:t>
            </w:r>
          </w:p>
        </w:tc>
      </w:tr>
      <w:tr w:rsidR="008728E8" w:rsidRPr="00576DC7" w14:paraId="6AE4BDD3" w14:textId="77777777" w:rsidTr="008728E8">
        <w:trPr>
          <w:trHeight w:hRule="exact" w:val="60"/>
        </w:trPr>
        <w:tc>
          <w:tcPr>
            <w:tcW w:w="1403" w:type="pct"/>
            <w:tcBorders>
              <w:top w:val="nil"/>
              <w:left w:val="nil"/>
              <w:bottom w:val="nil"/>
              <w:right w:val="nil"/>
            </w:tcBorders>
            <w:shd w:val="clear" w:color="000000" w:fill="FFFFFF"/>
            <w:noWrap/>
            <w:vAlign w:val="center"/>
            <w:hideMark/>
          </w:tcPr>
          <w:p w14:paraId="08D9659D"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171BECA3"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2551F053"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537D6217"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E6F2FF"/>
            <w:noWrap/>
            <w:vAlign w:val="center"/>
            <w:hideMark/>
          </w:tcPr>
          <w:p w14:paraId="0C28E034"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FFFFFF"/>
            <w:noWrap/>
            <w:vAlign w:val="center"/>
            <w:hideMark/>
          </w:tcPr>
          <w:p w14:paraId="172DE82F"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FFFFFF"/>
            <w:noWrap/>
            <w:vAlign w:val="center"/>
            <w:hideMark/>
          </w:tcPr>
          <w:p w14:paraId="57311CE1"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FFFFFF"/>
            <w:noWrap/>
            <w:vAlign w:val="center"/>
            <w:hideMark/>
          </w:tcPr>
          <w:p w14:paraId="122DBA5C"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7F530DFF"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304CE0C8"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74" w:type="pct"/>
            <w:tcBorders>
              <w:top w:val="nil"/>
              <w:left w:val="nil"/>
              <w:bottom w:val="nil"/>
              <w:right w:val="nil"/>
            </w:tcBorders>
            <w:shd w:val="clear" w:color="000000" w:fill="FFFFFF"/>
            <w:noWrap/>
            <w:vAlign w:val="center"/>
            <w:hideMark/>
          </w:tcPr>
          <w:p w14:paraId="105816ED"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1E743367"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r>
      <w:tr w:rsidR="008728E8" w:rsidRPr="00576DC7" w14:paraId="29F260D9"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64532576" w14:textId="77777777" w:rsidR="008728E8" w:rsidRPr="00576DC7" w:rsidRDefault="008728E8" w:rsidP="008728E8">
            <w:pPr>
              <w:spacing w:before="0" w:after="0" w:line="240" w:lineRule="auto"/>
              <w:rPr>
                <w:rFonts w:ascii="Arial" w:hAnsi="Arial" w:cs="Arial"/>
                <w:b/>
                <w:bCs/>
                <w:sz w:val="16"/>
                <w:szCs w:val="16"/>
              </w:rPr>
            </w:pPr>
            <w:r w:rsidRPr="00576DC7">
              <w:rPr>
                <w:rFonts w:ascii="Arial" w:hAnsi="Arial" w:cs="Arial"/>
                <w:b/>
                <w:bCs/>
                <w:sz w:val="16"/>
                <w:szCs w:val="16"/>
              </w:rPr>
              <w:t>Receipts</w:t>
            </w:r>
          </w:p>
        </w:tc>
        <w:tc>
          <w:tcPr>
            <w:tcW w:w="418" w:type="pct"/>
            <w:tcBorders>
              <w:top w:val="nil"/>
              <w:left w:val="nil"/>
              <w:bottom w:val="nil"/>
              <w:right w:val="nil"/>
            </w:tcBorders>
            <w:shd w:val="clear" w:color="000000" w:fill="FFFFFF"/>
            <w:noWrap/>
            <w:vAlign w:val="center"/>
            <w:hideMark/>
          </w:tcPr>
          <w:p w14:paraId="64D10997"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688.6</w:t>
            </w:r>
          </w:p>
        </w:tc>
        <w:tc>
          <w:tcPr>
            <w:tcW w:w="62" w:type="pct"/>
            <w:tcBorders>
              <w:top w:val="nil"/>
              <w:left w:val="nil"/>
              <w:bottom w:val="nil"/>
              <w:right w:val="nil"/>
            </w:tcBorders>
            <w:shd w:val="clear" w:color="000000" w:fill="FFFFFF"/>
            <w:noWrap/>
            <w:vAlign w:val="center"/>
            <w:hideMark/>
          </w:tcPr>
          <w:p w14:paraId="4269CB02"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11" w:type="pct"/>
            <w:tcBorders>
              <w:top w:val="nil"/>
              <w:left w:val="nil"/>
              <w:bottom w:val="nil"/>
              <w:right w:val="nil"/>
            </w:tcBorders>
            <w:shd w:val="clear" w:color="000000" w:fill="FFFFFF"/>
            <w:noWrap/>
            <w:vAlign w:val="center"/>
            <w:hideMark/>
          </w:tcPr>
          <w:p w14:paraId="6F9DEDCE"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703.9</w:t>
            </w:r>
          </w:p>
        </w:tc>
        <w:tc>
          <w:tcPr>
            <w:tcW w:w="410" w:type="pct"/>
            <w:tcBorders>
              <w:top w:val="nil"/>
              <w:left w:val="nil"/>
              <w:bottom w:val="nil"/>
              <w:right w:val="nil"/>
            </w:tcBorders>
            <w:shd w:val="clear" w:color="000000" w:fill="E6F2FF"/>
            <w:noWrap/>
            <w:vAlign w:val="center"/>
            <w:hideMark/>
          </w:tcPr>
          <w:p w14:paraId="18B8EF20"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735.4</w:t>
            </w:r>
          </w:p>
        </w:tc>
        <w:tc>
          <w:tcPr>
            <w:tcW w:w="410" w:type="pct"/>
            <w:tcBorders>
              <w:top w:val="nil"/>
              <w:left w:val="nil"/>
              <w:bottom w:val="nil"/>
              <w:right w:val="nil"/>
            </w:tcBorders>
            <w:shd w:val="clear" w:color="000000" w:fill="FFFFFF"/>
            <w:noWrap/>
            <w:vAlign w:val="center"/>
            <w:hideMark/>
          </w:tcPr>
          <w:p w14:paraId="09BA58B3"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766.0</w:t>
            </w:r>
          </w:p>
        </w:tc>
        <w:tc>
          <w:tcPr>
            <w:tcW w:w="410" w:type="pct"/>
            <w:tcBorders>
              <w:top w:val="nil"/>
              <w:left w:val="nil"/>
              <w:bottom w:val="nil"/>
              <w:right w:val="nil"/>
            </w:tcBorders>
            <w:shd w:val="clear" w:color="000000" w:fill="FFFFFF"/>
            <w:noWrap/>
            <w:vAlign w:val="center"/>
            <w:hideMark/>
          </w:tcPr>
          <w:p w14:paraId="4CE975BC"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797.4</w:t>
            </w:r>
          </w:p>
        </w:tc>
        <w:tc>
          <w:tcPr>
            <w:tcW w:w="410" w:type="pct"/>
            <w:tcBorders>
              <w:top w:val="nil"/>
              <w:left w:val="nil"/>
              <w:bottom w:val="nil"/>
              <w:right w:val="nil"/>
            </w:tcBorders>
            <w:shd w:val="clear" w:color="000000" w:fill="FFFFFF"/>
            <w:noWrap/>
            <w:vAlign w:val="center"/>
            <w:hideMark/>
          </w:tcPr>
          <w:p w14:paraId="33569BAB"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840.8</w:t>
            </w:r>
          </w:p>
        </w:tc>
        <w:tc>
          <w:tcPr>
            <w:tcW w:w="62" w:type="pct"/>
            <w:tcBorders>
              <w:top w:val="nil"/>
              <w:left w:val="nil"/>
              <w:bottom w:val="nil"/>
              <w:right w:val="nil"/>
            </w:tcBorders>
            <w:shd w:val="clear" w:color="000000" w:fill="FFFFFF"/>
            <w:noWrap/>
            <w:vAlign w:val="center"/>
            <w:hideMark/>
          </w:tcPr>
          <w:p w14:paraId="1C9EB7F4"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18" w:type="pct"/>
            <w:tcBorders>
              <w:top w:val="nil"/>
              <w:left w:val="nil"/>
              <w:bottom w:val="nil"/>
              <w:right w:val="nil"/>
            </w:tcBorders>
            <w:shd w:val="clear" w:color="000000" w:fill="FFFFFF"/>
            <w:noWrap/>
            <w:vAlign w:val="center"/>
            <w:hideMark/>
          </w:tcPr>
          <w:p w14:paraId="1003D466"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3,843.5</w:t>
            </w:r>
          </w:p>
        </w:tc>
        <w:tc>
          <w:tcPr>
            <w:tcW w:w="74" w:type="pct"/>
            <w:tcBorders>
              <w:top w:val="nil"/>
              <w:left w:val="nil"/>
              <w:bottom w:val="nil"/>
              <w:right w:val="nil"/>
            </w:tcBorders>
            <w:shd w:val="clear" w:color="000000" w:fill="FFFFFF"/>
            <w:noWrap/>
            <w:vAlign w:val="center"/>
            <w:hideMark/>
          </w:tcPr>
          <w:p w14:paraId="7DF80ED7"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513" w:type="pct"/>
            <w:tcBorders>
              <w:top w:val="nil"/>
              <w:left w:val="nil"/>
              <w:bottom w:val="nil"/>
              <w:right w:val="nil"/>
            </w:tcBorders>
            <w:shd w:val="clear" w:color="000000" w:fill="FFFFFF"/>
            <w:noWrap/>
            <w:vAlign w:val="center"/>
            <w:hideMark/>
          </w:tcPr>
          <w:p w14:paraId="305E3A61"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r>
      <w:tr w:rsidR="008728E8" w:rsidRPr="00576DC7" w14:paraId="786579D2"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527A34DB"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Per cent of GDP</w:t>
            </w:r>
          </w:p>
        </w:tc>
        <w:tc>
          <w:tcPr>
            <w:tcW w:w="418" w:type="pct"/>
            <w:tcBorders>
              <w:top w:val="nil"/>
              <w:left w:val="nil"/>
              <w:bottom w:val="nil"/>
              <w:right w:val="nil"/>
            </w:tcBorders>
            <w:shd w:val="clear" w:color="000000" w:fill="FFFFFF"/>
            <w:noWrap/>
            <w:vAlign w:val="center"/>
            <w:hideMark/>
          </w:tcPr>
          <w:p w14:paraId="354A8F19"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25.8</w:t>
            </w:r>
          </w:p>
        </w:tc>
        <w:tc>
          <w:tcPr>
            <w:tcW w:w="62" w:type="pct"/>
            <w:tcBorders>
              <w:top w:val="nil"/>
              <w:left w:val="nil"/>
              <w:bottom w:val="nil"/>
              <w:right w:val="nil"/>
            </w:tcBorders>
            <w:shd w:val="clear" w:color="000000" w:fill="FFFFFF"/>
            <w:noWrap/>
            <w:vAlign w:val="center"/>
            <w:hideMark/>
          </w:tcPr>
          <w:p w14:paraId="08608E3F"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7B3DCA65"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25.3</w:t>
            </w:r>
          </w:p>
        </w:tc>
        <w:tc>
          <w:tcPr>
            <w:tcW w:w="410" w:type="pct"/>
            <w:tcBorders>
              <w:top w:val="nil"/>
              <w:left w:val="nil"/>
              <w:bottom w:val="nil"/>
              <w:right w:val="nil"/>
            </w:tcBorders>
            <w:shd w:val="clear" w:color="000000" w:fill="E6F2FF"/>
            <w:noWrap/>
            <w:vAlign w:val="center"/>
            <w:hideMark/>
          </w:tcPr>
          <w:p w14:paraId="0C8A77C9"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25.5</w:t>
            </w:r>
          </w:p>
        </w:tc>
        <w:tc>
          <w:tcPr>
            <w:tcW w:w="410" w:type="pct"/>
            <w:tcBorders>
              <w:top w:val="nil"/>
              <w:left w:val="nil"/>
              <w:bottom w:val="nil"/>
              <w:right w:val="nil"/>
            </w:tcBorders>
            <w:shd w:val="clear" w:color="000000" w:fill="FFFFFF"/>
            <w:noWrap/>
            <w:vAlign w:val="center"/>
            <w:hideMark/>
          </w:tcPr>
          <w:p w14:paraId="37220D7F"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25.6</w:t>
            </w:r>
          </w:p>
        </w:tc>
        <w:tc>
          <w:tcPr>
            <w:tcW w:w="410" w:type="pct"/>
            <w:tcBorders>
              <w:top w:val="nil"/>
              <w:left w:val="nil"/>
              <w:bottom w:val="nil"/>
              <w:right w:val="nil"/>
            </w:tcBorders>
            <w:shd w:val="clear" w:color="000000" w:fill="FFFFFF"/>
            <w:noWrap/>
            <w:vAlign w:val="center"/>
            <w:hideMark/>
          </w:tcPr>
          <w:p w14:paraId="306C92CF"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25.3</w:t>
            </w:r>
          </w:p>
        </w:tc>
        <w:tc>
          <w:tcPr>
            <w:tcW w:w="410" w:type="pct"/>
            <w:tcBorders>
              <w:top w:val="nil"/>
              <w:left w:val="nil"/>
              <w:bottom w:val="nil"/>
              <w:right w:val="nil"/>
            </w:tcBorders>
            <w:shd w:val="clear" w:color="000000" w:fill="FFFFFF"/>
            <w:noWrap/>
            <w:vAlign w:val="center"/>
            <w:hideMark/>
          </w:tcPr>
          <w:p w14:paraId="5048E897"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25.3</w:t>
            </w:r>
          </w:p>
        </w:tc>
        <w:tc>
          <w:tcPr>
            <w:tcW w:w="62" w:type="pct"/>
            <w:tcBorders>
              <w:top w:val="nil"/>
              <w:left w:val="nil"/>
              <w:bottom w:val="nil"/>
              <w:right w:val="nil"/>
            </w:tcBorders>
            <w:shd w:val="clear" w:color="000000" w:fill="FFFFFF"/>
            <w:noWrap/>
            <w:vAlign w:val="center"/>
            <w:hideMark/>
          </w:tcPr>
          <w:p w14:paraId="180FB715"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2DEF6C62"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74" w:type="pct"/>
            <w:tcBorders>
              <w:top w:val="nil"/>
              <w:left w:val="nil"/>
              <w:bottom w:val="nil"/>
              <w:right w:val="nil"/>
            </w:tcBorders>
            <w:shd w:val="clear" w:color="000000" w:fill="FFFFFF"/>
            <w:noWrap/>
            <w:vAlign w:val="center"/>
            <w:hideMark/>
          </w:tcPr>
          <w:p w14:paraId="551DB794"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701889A5"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26.8</w:t>
            </w:r>
          </w:p>
        </w:tc>
      </w:tr>
      <w:tr w:rsidR="008728E8" w:rsidRPr="00576DC7" w14:paraId="13BA530A" w14:textId="77777777" w:rsidTr="008728E8">
        <w:trPr>
          <w:trHeight w:hRule="exact" w:val="60"/>
        </w:trPr>
        <w:tc>
          <w:tcPr>
            <w:tcW w:w="1403" w:type="pct"/>
            <w:tcBorders>
              <w:top w:val="nil"/>
              <w:left w:val="nil"/>
              <w:bottom w:val="nil"/>
              <w:right w:val="nil"/>
            </w:tcBorders>
            <w:shd w:val="clear" w:color="000000" w:fill="FFFFFF"/>
            <w:noWrap/>
            <w:vAlign w:val="center"/>
            <w:hideMark/>
          </w:tcPr>
          <w:p w14:paraId="67FF694B"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4C7753C3"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18D540CD"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4823AD99"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E6F2FF"/>
            <w:noWrap/>
            <w:vAlign w:val="center"/>
            <w:hideMark/>
          </w:tcPr>
          <w:p w14:paraId="1BC7981B"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FFFFFF"/>
            <w:noWrap/>
            <w:vAlign w:val="center"/>
            <w:hideMark/>
          </w:tcPr>
          <w:p w14:paraId="53230F43"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FFFFFF"/>
            <w:noWrap/>
            <w:vAlign w:val="center"/>
            <w:hideMark/>
          </w:tcPr>
          <w:p w14:paraId="030D53D0"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FFFFFF"/>
            <w:noWrap/>
            <w:vAlign w:val="center"/>
            <w:hideMark/>
          </w:tcPr>
          <w:p w14:paraId="3154F734"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239C58EA"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400BDD61"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74" w:type="pct"/>
            <w:tcBorders>
              <w:top w:val="nil"/>
              <w:left w:val="nil"/>
              <w:bottom w:val="nil"/>
              <w:right w:val="nil"/>
            </w:tcBorders>
            <w:shd w:val="clear" w:color="000000" w:fill="FFFFFF"/>
            <w:noWrap/>
            <w:vAlign w:val="center"/>
            <w:hideMark/>
          </w:tcPr>
          <w:p w14:paraId="223899F2"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7076AC3B"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r>
      <w:tr w:rsidR="008728E8" w:rsidRPr="00576DC7" w14:paraId="4AA278B8"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6E1066FE" w14:textId="77777777" w:rsidR="008728E8" w:rsidRPr="00576DC7" w:rsidRDefault="008728E8" w:rsidP="008728E8">
            <w:pPr>
              <w:spacing w:before="0" w:after="0" w:line="240" w:lineRule="auto"/>
              <w:ind w:left="170"/>
              <w:rPr>
                <w:rFonts w:ascii="Arial" w:hAnsi="Arial" w:cs="Arial"/>
                <w:b/>
                <w:bCs/>
                <w:sz w:val="16"/>
                <w:szCs w:val="16"/>
              </w:rPr>
            </w:pPr>
            <w:r w:rsidRPr="00576DC7">
              <w:rPr>
                <w:rFonts w:ascii="Arial" w:hAnsi="Arial" w:cs="Arial"/>
                <w:b/>
                <w:bCs/>
                <w:sz w:val="16"/>
                <w:szCs w:val="16"/>
              </w:rPr>
              <w:t>Tax receipts</w:t>
            </w:r>
          </w:p>
        </w:tc>
        <w:tc>
          <w:tcPr>
            <w:tcW w:w="418" w:type="pct"/>
            <w:tcBorders>
              <w:top w:val="nil"/>
              <w:left w:val="nil"/>
              <w:bottom w:val="nil"/>
              <w:right w:val="nil"/>
            </w:tcBorders>
            <w:shd w:val="clear" w:color="000000" w:fill="FFFFFF"/>
            <w:noWrap/>
            <w:vAlign w:val="center"/>
            <w:hideMark/>
          </w:tcPr>
          <w:p w14:paraId="064C1F9B"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633.4</w:t>
            </w:r>
          </w:p>
        </w:tc>
        <w:tc>
          <w:tcPr>
            <w:tcW w:w="62" w:type="pct"/>
            <w:tcBorders>
              <w:top w:val="nil"/>
              <w:left w:val="nil"/>
              <w:bottom w:val="nil"/>
              <w:right w:val="nil"/>
            </w:tcBorders>
            <w:shd w:val="clear" w:color="000000" w:fill="FFFFFF"/>
            <w:noWrap/>
            <w:vAlign w:val="center"/>
            <w:hideMark/>
          </w:tcPr>
          <w:p w14:paraId="31651E34"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0F4480C4"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645.2</w:t>
            </w:r>
          </w:p>
        </w:tc>
        <w:tc>
          <w:tcPr>
            <w:tcW w:w="410" w:type="pct"/>
            <w:tcBorders>
              <w:top w:val="nil"/>
              <w:left w:val="nil"/>
              <w:bottom w:val="nil"/>
              <w:right w:val="nil"/>
            </w:tcBorders>
            <w:shd w:val="clear" w:color="000000" w:fill="E6F2FF"/>
            <w:noWrap/>
            <w:vAlign w:val="center"/>
            <w:hideMark/>
          </w:tcPr>
          <w:p w14:paraId="520CAACE"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676.1</w:t>
            </w:r>
          </w:p>
        </w:tc>
        <w:tc>
          <w:tcPr>
            <w:tcW w:w="410" w:type="pct"/>
            <w:tcBorders>
              <w:top w:val="nil"/>
              <w:left w:val="nil"/>
              <w:bottom w:val="nil"/>
              <w:right w:val="nil"/>
            </w:tcBorders>
            <w:shd w:val="clear" w:color="000000" w:fill="FFFFFF"/>
            <w:noWrap/>
            <w:vAlign w:val="center"/>
            <w:hideMark/>
          </w:tcPr>
          <w:p w14:paraId="4B01853D"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707.6</w:t>
            </w:r>
          </w:p>
        </w:tc>
        <w:tc>
          <w:tcPr>
            <w:tcW w:w="410" w:type="pct"/>
            <w:tcBorders>
              <w:top w:val="nil"/>
              <w:left w:val="nil"/>
              <w:bottom w:val="nil"/>
              <w:right w:val="nil"/>
            </w:tcBorders>
            <w:shd w:val="clear" w:color="000000" w:fill="FFFFFF"/>
            <w:noWrap/>
            <w:vAlign w:val="center"/>
            <w:hideMark/>
          </w:tcPr>
          <w:p w14:paraId="14615E4A"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735.9</w:t>
            </w:r>
          </w:p>
        </w:tc>
        <w:tc>
          <w:tcPr>
            <w:tcW w:w="410" w:type="pct"/>
            <w:tcBorders>
              <w:top w:val="nil"/>
              <w:left w:val="nil"/>
              <w:bottom w:val="nil"/>
              <w:right w:val="nil"/>
            </w:tcBorders>
            <w:shd w:val="clear" w:color="000000" w:fill="FFFFFF"/>
            <w:noWrap/>
            <w:vAlign w:val="center"/>
            <w:hideMark/>
          </w:tcPr>
          <w:p w14:paraId="766AEA49"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778.3</w:t>
            </w:r>
          </w:p>
        </w:tc>
        <w:tc>
          <w:tcPr>
            <w:tcW w:w="62" w:type="pct"/>
            <w:tcBorders>
              <w:top w:val="nil"/>
              <w:left w:val="nil"/>
              <w:bottom w:val="nil"/>
              <w:right w:val="nil"/>
            </w:tcBorders>
            <w:shd w:val="clear" w:color="000000" w:fill="FFFFFF"/>
            <w:noWrap/>
            <w:vAlign w:val="center"/>
            <w:hideMark/>
          </w:tcPr>
          <w:p w14:paraId="7EAAF591"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18" w:type="pct"/>
            <w:tcBorders>
              <w:top w:val="nil"/>
              <w:left w:val="nil"/>
              <w:bottom w:val="nil"/>
              <w:right w:val="nil"/>
            </w:tcBorders>
            <w:shd w:val="clear" w:color="000000" w:fill="FFFFFF"/>
            <w:noWrap/>
            <w:vAlign w:val="center"/>
            <w:hideMark/>
          </w:tcPr>
          <w:p w14:paraId="7F9BB009"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3,543.1</w:t>
            </w:r>
          </w:p>
        </w:tc>
        <w:tc>
          <w:tcPr>
            <w:tcW w:w="74" w:type="pct"/>
            <w:tcBorders>
              <w:top w:val="nil"/>
              <w:left w:val="nil"/>
              <w:bottom w:val="nil"/>
              <w:right w:val="nil"/>
            </w:tcBorders>
            <w:shd w:val="clear" w:color="000000" w:fill="FFFFFF"/>
            <w:noWrap/>
            <w:vAlign w:val="center"/>
            <w:hideMark/>
          </w:tcPr>
          <w:p w14:paraId="12BD4CEC"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513" w:type="pct"/>
            <w:tcBorders>
              <w:top w:val="nil"/>
              <w:left w:val="nil"/>
              <w:bottom w:val="nil"/>
              <w:right w:val="nil"/>
            </w:tcBorders>
            <w:shd w:val="clear" w:color="000000" w:fill="FFFFFF"/>
            <w:noWrap/>
            <w:vAlign w:val="center"/>
            <w:hideMark/>
          </w:tcPr>
          <w:p w14:paraId="033CB2C2"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r>
      <w:tr w:rsidR="008728E8" w:rsidRPr="00576DC7" w14:paraId="45B1C003"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55FE062F" w14:textId="77777777" w:rsidR="008728E8" w:rsidRPr="00576DC7" w:rsidRDefault="008728E8" w:rsidP="008728E8">
            <w:pPr>
              <w:spacing w:before="0" w:after="0" w:line="240" w:lineRule="auto"/>
              <w:ind w:left="170"/>
              <w:rPr>
                <w:rFonts w:ascii="Arial" w:hAnsi="Arial" w:cs="Arial"/>
                <w:sz w:val="16"/>
                <w:szCs w:val="16"/>
              </w:rPr>
            </w:pPr>
            <w:r w:rsidRPr="00576DC7">
              <w:rPr>
                <w:rFonts w:ascii="Arial" w:hAnsi="Arial" w:cs="Arial"/>
                <w:sz w:val="16"/>
                <w:szCs w:val="16"/>
              </w:rPr>
              <w:t>Per cent of GDP</w:t>
            </w:r>
          </w:p>
        </w:tc>
        <w:tc>
          <w:tcPr>
            <w:tcW w:w="418" w:type="pct"/>
            <w:tcBorders>
              <w:top w:val="nil"/>
              <w:left w:val="nil"/>
              <w:bottom w:val="nil"/>
              <w:right w:val="nil"/>
            </w:tcBorders>
            <w:shd w:val="clear" w:color="000000" w:fill="FFFFFF"/>
            <w:noWrap/>
            <w:vAlign w:val="center"/>
            <w:hideMark/>
          </w:tcPr>
          <w:p w14:paraId="0D4013AA"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23.7</w:t>
            </w:r>
          </w:p>
        </w:tc>
        <w:tc>
          <w:tcPr>
            <w:tcW w:w="62" w:type="pct"/>
            <w:tcBorders>
              <w:top w:val="nil"/>
              <w:left w:val="nil"/>
              <w:bottom w:val="nil"/>
              <w:right w:val="nil"/>
            </w:tcBorders>
            <w:shd w:val="clear" w:color="000000" w:fill="FFFFFF"/>
            <w:noWrap/>
            <w:vAlign w:val="center"/>
            <w:hideMark/>
          </w:tcPr>
          <w:p w14:paraId="6E3F2B62"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08704B83"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23.1</w:t>
            </w:r>
          </w:p>
        </w:tc>
        <w:tc>
          <w:tcPr>
            <w:tcW w:w="410" w:type="pct"/>
            <w:tcBorders>
              <w:top w:val="nil"/>
              <w:left w:val="nil"/>
              <w:bottom w:val="nil"/>
              <w:right w:val="nil"/>
            </w:tcBorders>
            <w:shd w:val="clear" w:color="000000" w:fill="E6F2FF"/>
            <w:noWrap/>
            <w:vAlign w:val="center"/>
            <w:hideMark/>
          </w:tcPr>
          <w:p w14:paraId="570D8C46"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23.5</w:t>
            </w:r>
          </w:p>
        </w:tc>
        <w:tc>
          <w:tcPr>
            <w:tcW w:w="410" w:type="pct"/>
            <w:tcBorders>
              <w:top w:val="nil"/>
              <w:left w:val="nil"/>
              <w:bottom w:val="nil"/>
              <w:right w:val="nil"/>
            </w:tcBorders>
            <w:shd w:val="clear" w:color="000000" w:fill="FFFFFF"/>
            <w:noWrap/>
            <w:vAlign w:val="center"/>
            <w:hideMark/>
          </w:tcPr>
          <w:p w14:paraId="3DCB2F4C"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23.6</w:t>
            </w:r>
          </w:p>
        </w:tc>
        <w:tc>
          <w:tcPr>
            <w:tcW w:w="410" w:type="pct"/>
            <w:tcBorders>
              <w:top w:val="nil"/>
              <w:left w:val="nil"/>
              <w:bottom w:val="nil"/>
              <w:right w:val="nil"/>
            </w:tcBorders>
            <w:shd w:val="clear" w:color="000000" w:fill="FFFFFF"/>
            <w:noWrap/>
            <w:vAlign w:val="center"/>
            <w:hideMark/>
          </w:tcPr>
          <w:p w14:paraId="36E25698"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23.4</w:t>
            </w:r>
          </w:p>
        </w:tc>
        <w:tc>
          <w:tcPr>
            <w:tcW w:w="410" w:type="pct"/>
            <w:tcBorders>
              <w:top w:val="nil"/>
              <w:left w:val="nil"/>
              <w:bottom w:val="nil"/>
              <w:right w:val="nil"/>
            </w:tcBorders>
            <w:shd w:val="clear" w:color="000000" w:fill="FFFFFF"/>
            <w:noWrap/>
            <w:vAlign w:val="center"/>
            <w:hideMark/>
          </w:tcPr>
          <w:p w14:paraId="2420D2D9"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23.4</w:t>
            </w:r>
          </w:p>
        </w:tc>
        <w:tc>
          <w:tcPr>
            <w:tcW w:w="62" w:type="pct"/>
            <w:tcBorders>
              <w:top w:val="nil"/>
              <w:left w:val="nil"/>
              <w:bottom w:val="nil"/>
              <w:right w:val="nil"/>
            </w:tcBorders>
            <w:shd w:val="clear" w:color="000000" w:fill="FFFFFF"/>
            <w:noWrap/>
            <w:vAlign w:val="center"/>
            <w:hideMark/>
          </w:tcPr>
          <w:p w14:paraId="1A458934"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18" w:type="pct"/>
            <w:tcBorders>
              <w:top w:val="nil"/>
              <w:left w:val="nil"/>
              <w:bottom w:val="nil"/>
              <w:right w:val="nil"/>
            </w:tcBorders>
            <w:shd w:val="clear" w:color="000000" w:fill="FFFFFF"/>
            <w:noWrap/>
            <w:vAlign w:val="center"/>
            <w:hideMark/>
          </w:tcPr>
          <w:p w14:paraId="78AD5678"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74" w:type="pct"/>
            <w:tcBorders>
              <w:top w:val="nil"/>
              <w:left w:val="nil"/>
              <w:bottom w:val="nil"/>
              <w:right w:val="nil"/>
            </w:tcBorders>
            <w:shd w:val="clear" w:color="000000" w:fill="FFFFFF"/>
            <w:noWrap/>
            <w:vAlign w:val="center"/>
            <w:hideMark/>
          </w:tcPr>
          <w:p w14:paraId="2CDB3DD8"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71E051DF"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24.9</w:t>
            </w:r>
          </w:p>
        </w:tc>
      </w:tr>
      <w:tr w:rsidR="008728E8" w:rsidRPr="00576DC7" w14:paraId="12E7D75E" w14:textId="77777777" w:rsidTr="008728E8">
        <w:trPr>
          <w:trHeight w:hRule="exact" w:val="60"/>
        </w:trPr>
        <w:tc>
          <w:tcPr>
            <w:tcW w:w="1403" w:type="pct"/>
            <w:tcBorders>
              <w:top w:val="nil"/>
              <w:left w:val="nil"/>
              <w:bottom w:val="nil"/>
              <w:right w:val="nil"/>
            </w:tcBorders>
            <w:shd w:val="clear" w:color="000000" w:fill="FFFFFF"/>
            <w:noWrap/>
            <w:vAlign w:val="center"/>
            <w:hideMark/>
          </w:tcPr>
          <w:p w14:paraId="4F20116D"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1C495060"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62" w:type="pct"/>
            <w:tcBorders>
              <w:top w:val="nil"/>
              <w:left w:val="nil"/>
              <w:bottom w:val="nil"/>
              <w:right w:val="nil"/>
            </w:tcBorders>
            <w:shd w:val="clear" w:color="000000" w:fill="FFFFFF"/>
            <w:noWrap/>
            <w:vAlign w:val="center"/>
            <w:hideMark/>
          </w:tcPr>
          <w:p w14:paraId="439D3B2E"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01F4386B"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10" w:type="pct"/>
            <w:tcBorders>
              <w:top w:val="nil"/>
              <w:left w:val="nil"/>
              <w:bottom w:val="nil"/>
              <w:right w:val="nil"/>
            </w:tcBorders>
            <w:shd w:val="clear" w:color="000000" w:fill="E6F2FF"/>
            <w:noWrap/>
            <w:vAlign w:val="center"/>
            <w:hideMark/>
          </w:tcPr>
          <w:p w14:paraId="11251925"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10" w:type="pct"/>
            <w:tcBorders>
              <w:top w:val="nil"/>
              <w:left w:val="nil"/>
              <w:bottom w:val="nil"/>
              <w:right w:val="nil"/>
            </w:tcBorders>
            <w:shd w:val="clear" w:color="000000" w:fill="FFFFFF"/>
            <w:noWrap/>
            <w:vAlign w:val="center"/>
            <w:hideMark/>
          </w:tcPr>
          <w:p w14:paraId="574263BA"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10" w:type="pct"/>
            <w:tcBorders>
              <w:top w:val="nil"/>
              <w:left w:val="nil"/>
              <w:bottom w:val="nil"/>
              <w:right w:val="nil"/>
            </w:tcBorders>
            <w:shd w:val="clear" w:color="000000" w:fill="FFFFFF"/>
            <w:noWrap/>
            <w:vAlign w:val="center"/>
            <w:hideMark/>
          </w:tcPr>
          <w:p w14:paraId="28F8CBC3"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10" w:type="pct"/>
            <w:tcBorders>
              <w:top w:val="nil"/>
              <w:left w:val="nil"/>
              <w:bottom w:val="nil"/>
              <w:right w:val="nil"/>
            </w:tcBorders>
            <w:shd w:val="clear" w:color="000000" w:fill="FFFFFF"/>
            <w:noWrap/>
            <w:vAlign w:val="center"/>
            <w:hideMark/>
          </w:tcPr>
          <w:p w14:paraId="6BADAE9C"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62" w:type="pct"/>
            <w:tcBorders>
              <w:top w:val="nil"/>
              <w:left w:val="nil"/>
              <w:bottom w:val="nil"/>
              <w:right w:val="nil"/>
            </w:tcBorders>
            <w:shd w:val="clear" w:color="000000" w:fill="FFFFFF"/>
            <w:noWrap/>
            <w:vAlign w:val="center"/>
            <w:hideMark/>
          </w:tcPr>
          <w:p w14:paraId="01108E69"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18" w:type="pct"/>
            <w:tcBorders>
              <w:top w:val="nil"/>
              <w:left w:val="nil"/>
              <w:bottom w:val="nil"/>
              <w:right w:val="nil"/>
            </w:tcBorders>
            <w:shd w:val="clear" w:color="000000" w:fill="FFFFFF"/>
            <w:noWrap/>
            <w:vAlign w:val="center"/>
            <w:hideMark/>
          </w:tcPr>
          <w:p w14:paraId="73340FCF"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74" w:type="pct"/>
            <w:tcBorders>
              <w:top w:val="nil"/>
              <w:left w:val="nil"/>
              <w:bottom w:val="nil"/>
              <w:right w:val="nil"/>
            </w:tcBorders>
            <w:shd w:val="clear" w:color="000000" w:fill="FFFFFF"/>
            <w:noWrap/>
            <w:vAlign w:val="center"/>
            <w:hideMark/>
          </w:tcPr>
          <w:p w14:paraId="2F4F64D9"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13DCA663"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r>
      <w:tr w:rsidR="008728E8" w:rsidRPr="00576DC7" w14:paraId="2E4F2D08"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633DFBDA" w14:textId="03D4B2AE" w:rsidR="008728E8" w:rsidRPr="00576DC7" w:rsidRDefault="008728E8" w:rsidP="008728E8">
            <w:pPr>
              <w:spacing w:before="0" w:after="0" w:line="240" w:lineRule="auto"/>
              <w:ind w:left="170"/>
              <w:rPr>
                <w:rFonts w:ascii="Arial" w:hAnsi="Arial" w:cs="Arial"/>
                <w:b/>
                <w:bCs/>
                <w:sz w:val="16"/>
                <w:szCs w:val="16"/>
              </w:rPr>
            </w:pPr>
            <w:r w:rsidRPr="00576DC7">
              <w:rPr>
                <w:rFonts w:ascii="Arial" w:hAnsi="Arial" w:cs="Arial"/>
                <w:b/>
                <w:bCs/>
                <w:sz w:val="16"/>
                <w:szCs w:val="16"/>
              </w:rPr>
              <w:t>Non</w:t>
            </w:r>
            <w:r w:rsidR="00404C26">
              <w:rPr>
                <w:rFonts w:ascii="Arial" w:hAnsi="Arial" w:cs="Arial"/>
                <w:b/>
                <w:bCs/>
                <w:sz w:val="16"/>
                <w:szCs w:val="16"/>
              </w:rPr>
              <w:noBreakHyphen/>
            </w:r>
            <w:r w:rsidRPr="00576DC7">
              <w:rPr>
                <w:rFonts w:ascii="Arial" w:hAnsi="Arial" w:cs="Arial"/>
                <w:b/>
                <w:bCs/>
                <w:sz w:val="16"/>
                <w:szCs w:val="16"/>
              </w:rPr>
              <w:t>tax receipts</w:t>
            </w:r>
          </w:p>
        </w:tc>
        <w:tc>
          <w:tcPr>
            <w:tcW w:w="418" w:type="pct"/>
            <w:tcBorders>
              <w:top w:val="nil"/>
              <w:left w:val="nil"/>
              <w:bottom w:val="nil"/>
              <w:right w:val="nil"/>
            </w:tcBorders>
            <w:shd w:val="clear" w:color="000000" w:fill="FFFFFF"/>
            <w:noWrap/>
            <w:vAlign w:val="center"/>
            <w:hideMark/>
          </w:tcPr>
          <w:p w14:paraId="5BF3B7B4"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55.2</w:t>
            </w:r>
          </w:p>
        </w:tc>
        <w:tc>
          <w:tcPr>
            <w:tcW w:w="62" w:type="pct"/>
            <w:tcBorders>
              <w:top w:val="nil"/>
              <w:left w:val="nil"/>
              <w:bottom w:val="nil"/>
              <w:right w:val="nil"/>
            </w:tcBorders>
            <w:shd w:val="clear" w:color="000000" w:fill="FFFFFF"/>
            <w:noWrap/>
            <w:vAlign w:val="center"/>
            <w:hideMark/>
          </w:tcPr>
          <w:p w14:paraId="2FDB689B"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0F48D196"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58.7</w:t>
            </w:r>
          </w:p>
        </w:tc>
        <w:tc>
          <w:tcPr>
            <w:tcW w:w="410" w:type="pct"/>
            <w:tcBorders>
              <w:top w:val="nil"/>
              <w:left w:val="nil"/>
              <w:bottom w:val="nil"/>
              <w:right w:val="nil"/>
            </w:tcBorders>
            <w:shd w:val="clear" w:color="000000" w:fill="E6F2FF"/>
            <w:noWrap/>
            <w:vAlign w:val="center"/>
            <w:hideMark/>
          </w:tcPr>
          <w:p w14:paraId="779D21B5"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59.3</w:t>
            </w:r>
          </w:p>
        </w:tc>
        <w:tc>
          <w:tcPr>
            <w:tcW w:w="410" w:type="pct"/>
            <w:tcBorders>
              <w:top w:val="nil"/>
              <w:left w:val="nil"/>
              <w:bottom w:val="nil"/>
              <w:right w:val="nil"/>
            </w:tcBorders>
            <w:shd w:val="clear" w:color="000000" w:fill="FFFFFF"/>
            <w:noWrap/>
            <w:vAlign w:val="center"/>
            <w:hideMark/>
          </w:tcPr>
          <w:p w14:paraId="62232220"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58.4</w:t>
            </w:r>
          </w:p>
        </w:tc>
        <w:tc>
          <w:tcPr>
            <w:tcW w:w="410" w:type="pct"/>
            <w:tcBorders>
              <w:top w:val="nil"/>
              <w:left w:val="nil"/>
              <w:bottom w:val="nil"/>
              <w:right w:val="nil"/>
            </w:tcBorders>
            <w:shd w:val="clear" w:color="000000" w:fill="FFFFFF"/>
            <w:noWrap/>
            <w:vAlign w:val="center"/>
            <w:hideMark/>
          </w:tcPr>
          <w:p w14:paraId="78E10BC0"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61.4</w:t>
            </w:r>
          </w:p>
        </w:tc>
        <w:tc>
          <w:tcPr>
            <w:tcW w:w="410" w:type="pct"/>
            <w:tcBorders>
              <w:top w:val="nil"/>
              <w:left w:val="nil"/>
              <w:bottom w:val="nil"/>
              <w:right w:val="nil"/>
            </w:tcBorders>
            <w:shd w:val="clear" w:color="000000" w:fill="FFFFFF"/>
            <w:noWrap/>
            <w:vAlign w:val="center"/>
            <w:hideMark/>
          </w:tcPr>
          <w:p w14:paraId="6C8CB4B1"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62.6</w:t>
            </w:r>
          </w:p>
        </w:tc>
        <w:tc>
          <w:tcPr>
            <w:tcW w:w="62" w:type="pct"/>
            <w:tcBorders>
              <w:top w:val="nil"/>
              <w:left w:val="nil"/>
              <w:bottom w:val="nil"/>
              <w:right w:val="nil"/>
            </w:tcBorders>
            <w:shd w:val="clear" w:color="000000" w:fill="FFFFFF"/>
            <w:noWrap/>
            <w:vAlign w:val="center"/>
            <w:hideMark/>
          </w:tcPr>
          <w:p w14:paraId="6CFCD286"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18" w:type="pct"/>
            <w:tcBorders>
              <w:top w:val="nil"/>
              <w:left w:val="nil"/>
              <w:bottom w:val="nil"/>
              <w:right w:val="nil"/>
            </w:tcBorders>
            <w:shd w:val="clear" w:color="000000" w:fill="FFFFFF"/>
            <w:noWrap/>
            <w:vAlign w:val="center"/>
            <w:hideMark/>
          </w:tcPr>
          <w:p w14:paraId="3A2551FF"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300.4</w:t>
            </w:r>
          </w:p>
        </w:tc>
        <w:tc>
          <w:tcPr>
            <w:tcW w:w="74" w:type="pct"/>
            <w:tcBorders>
              <w:top w:val="nil"/>
              <w:left w:val="nil"/>
              <w:bottom w:val="nil"/>
              <w:right w:val="nil"/>
            </w:tcBorders>
            <w:shd w:val="clear" w:color="000000" w:fill="FFFFFF"/>
            <w:noWrap/>
            <w:vAlign w:val="center"/>
            <w:hideMark/>
          </w:tcPr>
          <w:p w14:paraId="44C76C18"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513" w:type="pct"/>
            <w:tcBorders>
              <w:top w:val="nil"/>
              <w:left w:val="nil"/>
              <w:bottom w:val="nil"/>
              <w:right w:val="nil"/>
            </w:tcBorders>
            <w:shd w:val="clear" w:color="000000" w:fill="FFFFFF"/>
            <w:noWrap/>
            <w:vAlign w:val="center"/>
            <w:hideMark/>
          </w:tcPr>
          <w:p w14:paraId="318AA0FF"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r>
      <w:tr w:rsidR="008728E8" w:rsidRPr="00576DC7" w14:paraId="4F4D7A25"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2E7F4FF1" w14:textId="77777777" w:rsidR="008728E8" w:rsidRPr="00576DC7" w:rsidRDefault="008728E8" w:rsidP="008728E8">
            <w:pPr>
              <w:spacing w:before="0" w:after="0" w:line="240" w:lineRule="auto"/>
              <w:ind w:left="170"/>
              <w:rPr>
                <w:rFonts w:ascii="Arial" w:hAnsi="Arial" w:cs="Arial"/>
                <w:sz w:val="16"/>
                <w:szCs w:val="16"/>
              </w:rPr>
            </w:pPr>
            <w:r w:rsidRPr="00576DC7">
              <w:rPr>
                <w:rFonts w:ascii="Arial" w:hAnsi="Arial" w:cs="Arial"/>
                <w:sz w:val="16"/>
                <w:szCs w:val="16"/>
              </w:rPr>
              <w:t>Per cent of GDP</w:t>
            </w:r>
          </w:p>
        </w:tc>
        <w:tc>
          <w:tcPr>
            <w:tcW w:w="418" w:type="pct"/>
            <w:tcBorders>
              <w:top w:val="nil"/>
              <w:left w:val="nil"/>
              <w:bottom w:val="nil"/>
              <w:right w:val="nil"/>
            </w:tcBorders>
            <w:shd w:val="clear" w:color="000000" w:fill="FFFFFF"/>
            <w:noWrap/>
            <w:vAlign w:val="center"/>
            <w:hideMark/>
          </w:tcPr>
          <w:p w14:paraId="652AA7B1"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2.1</w:t>
            </w:r>
          </w:p>
        </w:tc>
        <w:tc>
          <w:tcPr>
            <w:tcW w:w="62" w:type="pct"/>
            <w:tcBorders>
              <w:top w:val="nil"/>
              <w:left w:val="nil"/>
              <w:bottom w:val="nil"/>
              <w:right w:val="nil"/>
            </w:tcBorders>
            <w:shd w:val="clear" w:color="000000" w:fill="FFFFFF"/>
            <w:noWrap/>
            <w:vAlign w:val="center"/>
            <w:hideMark/>
          </w:tcPr>
          <w:p w14:paraId="307014A8"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56D54553"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2.1</w:t>
            </w:r>
          </w:p>
        </w:tc>
        <w:tc>
          <w:tcPr>
            <w:tcW w:w="410" w:type="pct"/>
            <w:tcBorders>
              <w:top w:val="nil"/>
              <w:left w:val="nil"/>
              <w:bottom w:val="nil"/>
              <w:right w:val="nil"/>
            </w:tcBorders>
            <w:shd w:val="clear" w:color="000000" w:fill="E6F2FF"/>
            <w:noWrap/>
            <w:vAlign w:val="center"/>
            <w:hideMark/>
          </w:tcPr>
          <w:p w14:paraId="4ED16841"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2.1</w:t>
            </w:r>
          </w:p>
        </w:tc>
        <w:tc>
          <w:tcPr>
            <w:tcW w:w="410" w:type="pct"/>
            <w:tcBorders>
              <w:top w:val="nil"/>
              <w:left w:val="nil"/>
              <w:bottom w:val="nil"/>
              <w:right w:val="nil"/>
            </w:tcBorders>
            <w:shd w:val="clear" w:color="000000" w:fill="FFFFFF"/>
            <w:noWrap/>
            <w:vAlign w:val="center"/>
            <w:hideMark/>
          </w:tcPr>
          <w:p w14:paraId="52995D0E"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2.0</w:t>
            </w:r>
          </w:p>
        </w:tc>
        <w:tc>
          <w:tcPr>
            <w:tcW w:w="410" w:type="pct"/>
            <w:tcBorders>
              <w:top w:val="nil"/>
              <w:left w:val="nil"/>
              <w:bottom w:val="nil"/>
              <w:right w:val="nil"/>
            </w:tcBorders>
            <w:shd w:val="clear" w:color="000000" w:fill="FFFFFF"/>
            <w:noWrap/>
            <w:vAlign w:val="center"/>
            <w:hideMark/>
          </w:tcPr>
          <w:p w14:paraId="6093BAF3"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2.0</w:t>
            </w:r>
          </w:p>
        </w:tc>
        <w:tc>
          <w:tcPr>
            <w:tcW w:w="410" w:type="pct"/>
            <w:tcBorders>
              <w:top w:val="nil"/>
              <w:left w:val="nil"/>
              <w:bottom w:val="nil"/>
              <w:right w:val="nil"/>
            </w:tcBorders>
            <w:shd w:val="clear" w:color="000000" w:fill="FFFFFF"/>
            <w:noWrap/>
            <w:vAlign w:val="center"/>
            <w:hideMark/>
          </w:tcPr>
          <w:p w14:paraId="1E77E674"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1.9</w:t>
            </w:r>
          </w:p>
        </w:tc>
        <w:tc>
          <w:tcPr>
            <w:tcW w:w="62" w:type="pct"/>
            <w:tcBorders>
              <w:top w:val="nil"/>
              <w:left w:val="nil"/>
              <w:bottom w:val="nil"/>
              <w:right w:val="nil"/>
            </w:tcBorders>
            <w:shd w:val="clear" w:color="000000" w:fill="FFFFFF"/>
            <w:noWrap/>
            <w:vAlign w:val="center"/>
            <w:hideMark/>
          </w:tcPr>
          <w:p w14:paraId="78D0B260"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18" w:type="pct"/>
            <w:tcBorders>
              <w:top w:val="nil"/>
              <w:left w:val="nil"/>
              <w:bottom w:val="nil"/>
              <w:right w:val="nil"/>
            </w:tcBorders>
            <w:shd w:val="clear" w:color="000000" w:fill="FFFFFF"/>
            <w:noWrap/>
            <w:vAlign w:val="center"/>
            <w:hideMark/>
          </w:tcPr>
          <w:p w14:paraId="7957FC97"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74" w:type="pct"/>
            <w:tcBorders>
              <w:top w:val="nil"/>
              <w:left w:val="nil"/>
              <w:bottom w:val="nil"/>
              <w:right w:val="nil"/>
            </w:tcBorders>
            <w:shd w:val="clear" w:color="000000" w:fill="FFFFFF"/>
            <w:noWrap/>
            <w:vAlign w:val="center"/>
            <w:hideMark/>
          </w:tcPr>
          <w:p w14:paraId="3F822677"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7F0A7593"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1.9</w:t>
            </w:r>
          </w:p>
        </w:tc>
      </w:tr>
      <w:tr w:rsidR="008728E8" w:rsidRPr="00576DC7" w14:paraId="058609DB" w14:textId="77777777" w:rsidTr="008728E8">
        <w:trPr>
          <w:trHeight w:hRule="exact" w:val="60"/>
        </w:trPr>
        <w:tc>
          <w:tcPr>
            <w:tcW w:w="1403" w:type="pct"/>
            <w:tcBorders>
              <w:top w:val="nil"/>
              <w:left w:val="nil"/>
              <w:bottom w:val="nil"/>
              <w:right w:val="nil"/>
            </w:tcBorders>
            <w:shd w:val="clear" w:color="000000" w:fill="FFFFFF"/>
            <w:noWrap/>
            <w:vAlign w:val="center"/>
            <w:hideMark/>
          </w:tcPr>
          <w:p w14:paraId="6A53AD17"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2724286B"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62" w:type="pct"/>
            <w:tcBorders>
              <w:top w:val="nil"/>
              <w:left w:val="nil"/>
              <w:bottom w:val="nil"/>
              <w:right w:val="nil"/>
            </w:tcBorders>
            <w:shd w:val="clear" w:color="000000" w:fill="FFFFFF"/>
            <w:noWrap/>
            <w:vAlign w:val="center"/>
            <w:hideMark/>
          </w:tcPr>
          <w:p w14:paraId="312F5B47"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00CD746F"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10" w:type="pct"/>
            <w:tcBorders>
              <w:top w:val="nil"/>
              <w:left w:val="nil"/>
              <w:bottom w:val="nil"/>
              <w:right w:val="nil"/>
            </w:tcBorders>
            <w:shd w:val="clear" w:color="000000" w:fill="E6F2FF"/>
            <w:noWrap/>
            <w:vAlign w:val="center"/>
            <w:hideMark/>
          </w:tcPr>
          <w:p w14:paraId="64F87E4B"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10" w:type="pct"/>
            <w:tcBorders>
              <w:top w:val="nil"/>
              <w:left w:val="nil"/>
              <w:bottom w:val="nil"/>
              <w:right w:val="nil"/>
            </w:tcBorders>
            <w:shd w:val="clear" w:color="000000" w:fill="FFFFFF"/>
            <w:noWrap/>
            <w:vAlign w:val="center"/>
            <w:hideMark/>
          </w:tcPr>
          <w:p w14:paraId="2C11F763"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10" w:type="pct"/>
            <w:tcBorders>
              <w:top w:val="nil"/>
              <w:left w:val="nil"/>
              <w:bottom w:val="nil"/>
              <w:right w:val="nil"/>
            </w:tcBorders>
            <w:shd w:val="clear" w:color="000000" w:fill="FFFFFF"/>
            <w:noWrap/>
            <w:vAlign w:val="center"/>
            <w:hideMark/>
          </w:tcPr>
          <w:p w14:paraId="484C64BC"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10" w:type="pct"/>
            <w:tcBorders>
              <w:top w:val="nil"/>
              <w:left w:val="nil"/>
              <w:bottom w:val="nil"/>
              <w:right w:val="nil"/>
            </w:tcBorders>
            <w:shd w:val="clear" w:color="000000" w:fill="FFFFFF"/>
            <w:noWrap/>
            <w:vAlign w:val="center"/>
            <w:hideMark/>
          </w:tcPr>
          <w:p w14:paraId="35C15CFC"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62" w:type="pct"/>
            <w:tcBorders>
              <w:top w:val="nil"/>
              <w:left w:val="nil"/>
              <w:bottom w:val="nil"/>
              <w:right w:val="nil"/>
            </w:tcBorders>
            <w:shd w:val="clear" w:color="000000" w:fill="FFFFFF"/>
            <w:noWrap/>
            <w:vAlign w:val="center"/>
            <w:hideMark/>
          </w:tcPr>
          <w:p w14:paraId="5618FD79" w14:textId="77777777" w:rsidR="008728E8" w:rsidRPr="00576DC7" w:rsidRDefault="008728E8" w:rsidP="008728E8">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18" w:type="pct"/>
            <w:tcBorders>
              <w:top w:val="nil"/>
              <w:left w:val="nil"/>
              <w:bottom w:val="nil"/>
              <w:right w:val="nil"/>
            </w:tcBorders>
            <w:shd w:val="clear" w:color="000000" w:fill="FFFFFF"/>
            <w:noWrap/>
            <w:vAlign w:val="center"/>
            <w:hideMark/>
          </w:tcPr>
          <w:p w14:paraId="17C0E134"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74" w:type="pct"/>
            <w:tcBorders>
              <w:top w:val="nil"/>
              <w:left w:val="nil"/>
              <w:bottom w:val="nil"/>
              <w:right w:val="nil"/>
            </w:tcBorders>
            <w:shd w:val="clear" w:color="000000" w:fill="FFFFFF"/>
            <w:noWrap/>
            <w:vAlign w:val="center"/>
            <w:hideMark/>
          </w:tcPr>
          <w:p w14:paraId="5D8C3DFD"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6832F24B"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r>
      <w:tr w:rsidR="008728E8" w:rsidRPr="00576DC7" w14:paraId="77D7D3FC"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0234CB89" w14:textId="77777777" w:rsidR="008728E8" w:rsidRPr="00576DC7" w:rsidRDefault="008728E8" w:rsidP="008728E8">
            <w:pPr>
              <w:spacing w:before="0" w:after="0" w:line="240" w:lineRule="auto"/>
              <w:rPr>
                <w:rFonts w:ascii="Arial" w:hAnsi="Arial" w:cs="Arial"/>
                <w:b/>
                <w:bCs/>
                <w:sz w:val="16"/>
                <w:szCs w:val="16"/>
              </w:rPr>
            </w:pPr>
            <w:r w:rsidRPr="00576DC7">
              <w:rPr>
                <w:rFonts w:ascii="Arial" w:hAnsi="Arial" w:cs="Arial"/>
                <w:b/>
                <w:bCs/>
                <w:sz w:val="16"/>
                <w:szCs w:val="16"/>
              </w:rPr>
              <w:t>Payments(b)</w:t>
            </w:r>
          </w:p>
        </w:tc>
        <w:tc>
          <w:tcPr>
            <w:tcW w:w="418" w:type="pct"/>
            <w:tcBorders>
              <w:top w:val="nil"/>
              <w:left w:val="nil"/>
              <w:bottom w:val="nil"/>
              <w:right w:val="nil"/>
            </w:tcBorders>
            <w:shd w:val="clear" w:color="000000" w:fill="FFFFFF"/>
            <w:noWrap/>
            <w:vAlign w:val="center"/>
            <w:hideMark/>
          </w:tcPr>
          <w:p w14:paraId="3E710A5B"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672.8</w:t>
            </w:r>
          </w:p>
        </w:tc>
        <w:tc>
          <w:tcPr>
            <w:tcW w:w="62" w:type="pct"/>
            <w:tcBorders>
              <w:top w:val="nil"/>
              <w:left w:val="nil"/>
              <w:bottom w:val="nil"/>
              <w:right w:val="nil"/>
            </w:tcBorders>
            <w:shd w:val="clear" w:color="000000" w:fill="FFFFFF"/>
            <w:noWrap/>
            <w:vAlign w:val="center"/>
            <w:hideMark/>
          </w:tcPr>
          <w:p w14:paraId="11A718C2"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11" w:type="pct"/>
            <w:tcBorders>
              <w:top w:val="nil"/>
              <w:left w:val="nil"/>
              <w:bottom w:val="nil"/>
              <w:right w:val="nil"/>
            </w:tcBorders>
            <w:shd w:val="clear" w:color="000000" w:fill="FFFFFF"/>
            <w:noWrap/>
            <w:vAlign w:val="center"/>
            <w:hideMark/>
          </w:tcPr>
          <w:p w14:paraId="526D90D5"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731.5</w:t>
            </w:r>
          </w:p>
        </w:tc>
        <w:tc>
          <w:tcPr>
            <w:tcW w:w="410" w:type="pct"/>
            <w:tcBorders>
              <w:top w:val="nil"/>
              <w:left w:val="nil"/>
              <w:bottom w:val="nil"/>
              <w:right w:val="nil"/>
            </w:tcBorders>
            <w:shd w:val="clear" w:color="000000" w:fill="E6F2FF"/>
            <w:noWrap/>
            <w:vAlign w:val="center"/>
            <w:hideMark/>
          </w:tcPr>
          <w:p w14:paraId="505A2AB9"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777.5</w:t>
            </w:r>
          </w:p>
        </w:tc>
        <w:tc>
          <w:tcPr>
            <w:tcW w:w="410" w:type="pct"/>
            <w:tcBorders>
              <w:top w:val="nil"/>
              <w:left w:val="nil"/>
              <w:bottom w:val="nil"/>
              <w:right w:val="nil"/>
            </w:tcBorders>
            <w:shd w:val="clear" w:color="000000" w:fill="FFFFFF"/>
            <w:noWrap/>
            <w:vAlign w:val="center"/>
            <w:hideMark/>
          </w:tcPr>
          <w:p w14:paraId="2E25D1E7"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801.7</w:t>
            </w:r>
          </w:p>
        </w:tc>
        <w:tc>
          <w:tcPr>
            <w:tcW w:w="410" w:type="pct"/>
            <w:tcBorders>
              <w:top w:val="nil"/>
              <w:left w:val="nil"/>
              <w:bottom w:val="nil"/>
              <w:right w:val="nil"/>
            </w:tcBorders>
            <w:shd w:val="clear" w:color="000000" w:fill="FFFFFF"/>
            <w:noWrap/>
            <w:vAlign w:val="center"/>
            <w:hideMark/>
          </w:tcPr>
          <w:p w14:paraId="7BF24476"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834.6</w:t>
            </w:r>
          </w:p>
        </w:tc>
        <w:tc>
          <w:tcPr>
            <w:tcW w:w="410" w:type="pct"/>
            <w:tcBorders>
              <w:top w:val="nil"/>
              <w:left w:val="nil"/>
              <w:bottom w:val="nil"/>
              <w:right w:val="nil"/>
            </w:tcBorders>
            <w:shd w:val="clear" w:color="000000" w:fill="FFFFFF"/>
            <w:noWrap/>
            <w:vAlign w:val="center"/>
            <w:hideMark/>
          </w:tcPr>
          <w:p w14:paraId="18394FE4"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877.7</w:t>
            </w:r>
          </w:p>
        </w:tc>
        <w:tc>
          <w:tcPr>
            <w:tcW w:w="62" w:type="pct"/>
            <w:tcBorders>
              <w:top w:val="nil"/>
              <w:left w:val="nil"/>
              <w:bottom w:val="nil"/>
              <w:right w:val="nil"/>
            </w:tcBorders>
            <w:shd w:val="clear" w:color="000000" w:fill="FFFFFF"/>
            <w:noWrap/>
            <w:vAlign w:val="center"/>
            <w:hideMark/>
          </w:tcPr>
          <w:p w14:paraId="69BA9C64"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18" w:type="pct"/>
            <w:tcBorders>
              <w:top w:val="nil"/>
              <w:left w:val="nil"/>
              <w:bottom w:val="nil"/>
              <w:right w:val="nil"/>
            </w:tcBorders>
            <w:shd w:val="clear" w:color="000000" w:fill="FFFFFF"/>
            <w:noWrap/>
            <w:vAlign w:val="center"/>
            <w:hideMark/>
          </w:tcPr>
          <w:p w14:paraId="370E9BDE"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4,023.0</w:t>
            </w:r>
          </w:p>
        </w:tc>
        <w:tc>
          <w:tcPr>
            <w:tcW w:w="74" w:type="pct"/>
            <w:tcBorders>
              <w:top w:val="nil"/>
              <w:left w:val="nil"/>
              <w:bottom w:val="nil"/>
              <w:right w:val="nil"/>
            </w:tcBorders>
            <w:shd w:val="clear" w:color="000000" w:fill="FFFFFF"/>
            <w:noWrap/>
            <w:vAlign w:val="center"/>
            <w:hideMark/>
          </w:tcPr>
          <w:p w14:paraId="467E70EF"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513" w:type="pct"/>
            <w:tcBorders>
              <w:top w:val="nil"/>
              <w:left w:val="nil"/>
              <w:bottom w:val="nil"/>
              <w:right w:val="nil"/>
            </w:tcBorders>
            <w:shd w:val="clear" w:color="000000" w:fill="FFFFFF"/>
            <w:noWrap/>
            <w:vAlign w:val="center"/>
            <w:hideMark/>
          </w:tcPr>
          <w:p w14:paraId="7BBF6021"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r>
      <w:tr w:rsidR="008728E8" w:rsidRPr="00576DC7" w14:paraId="5466991C"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2DEC7072"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Per cent of GDP</w:t>
            </w:r>
          </w:p>
        </w:tc>
        <w:tc>
          <w:tcPr>
            <w:tcW w:w="418" w:type="pct"/>
            <w:tcBorders>
              <w:top w:val="nil"/>
              <w:left w:val="nil"/>
              <w:bottom w:val="nil"/>
              <w:right w:val="nil"/>
            </w:tcBorders>
            <w:shd w:val="clear" w:color="000000" w:fill="FFFFFF"/>
            <w:noWrap/>
            <w:vAlign w:val="center"/>
            <w:hideMark/>
          </w:tcPr>
          <w:p w14:paraId="62A28FAB"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25.2</w:t>
            </w:r>
          </w:p>
        </w:tc>
        <w:tc>
          <w:tcPr>
            <w:tcW w:w="62" w:type="pct"/>
            <w:tcBorders>
              <w:top w:val="nil"/>
              <w:left w:val="nil"/>
              <w:bottom w:val="nil"/>
              <w:right w:val="nil"/>
            </w:tcBorders>
            <w:shd w:val="clear" w:color="000000" w:fill="FFFFFF"/>
            <w:noWrap/>
            <w:vAlign w:val="center"/>
            <w:hideMark/>
          </w:tcPr>
          <w:p w14:paraId="116E6D30"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545F8AA6"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26.2</w:t>
            </w:r>
          </w:p>
        </w:tc>
        <w:tc>
          <w:tcPr>
            <w:tcW w:w="410" w:type="pct"/>
            <w:tcBorders>
              <w:top w:val="nil"/>
              <w:left w:val="nil"/>
              <w:bottom w:val="nil"/>
              <w:right w:val="nil"/>
            </w:tcBorders>
            <w:shd w:val="clear" w:color="000000" w:fill="E6F2FF"/>
            <w:noWrap/>
            <w:vAlign w:val="center"/>
            <w:hideMark/>
          </w:tcPr>
          <w:p w14:paraId="7056F5B1"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27.0</w:t>
            </w:r>
          </w:p>
        </w:tc>
        <w:tc>
          <w:tcPr>
            <w:tcW w:w="410" w:type="pct"/>
            <w:tcBorders>
              <w:top w:val="nil"/>
              <w:left w:val="nil"/>
              <w:bottom w:val="nil"/>
              <w:right w:val="nil"/>
            </w:tcBorders>
            <w:shd w:val="clear" w:color="000000" w:fill="FFFFFF"/>
            <w:noWrap/>
            <w:vAlign w:val="center"/>
            <w:hideMark/>
          </w:tcPr>
          <w:p w14:paraId="531C7D03"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26.8</w:t>
            </w:r>
          </w:p>
        </w:tc>
        <w:tc>
          <w:tcPr>
            <w:tcW w:w="410" w:type="pct"/>
            <w:tcBorders>
              <w:top w:val="nil"/>
              <w:left w:val="nil"/>
              <w:bottom w:val="nil"/>
              <w:right w:val="nil"/>
            </w:tcBorders>
            <w:shd w:val="clear" w:color="000000" w:fill="FFFFFF"/>
            <w:noWrap/>
            <w:vAlign w:val="center"/>
            <w:hideMark/>
          </w:tcPr>
          <w:p w14:paraId="06F4C3B8"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26.5</w:t>
            </w:r>
          </w:p>
        </w:tc>
        <w:tc>
          <w:tcPr>
            <w:tcW w:w="410" w:type="pct"/>
            <w:tcBorders>
              <w:top w:val="nil"/>
              <w:left w:val="nil"/>
              <w:bottom w:val="nil"/>
              <w:right w:val="nil"/>
            </w:tcBorders>
            <w:shd w:val="clear" w:color="000000" w:fill="FFFFFF"/>
            <w:noWrap/>
            <w:vAlign w:val="center"/>
            <w:hideMark/>
          </w:tcPr>
          <w:p w14:paraId="77052555"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26.4</w:t>
            </w:r>
          </w:p>
        </w:tc>
        <w:tc>
          <w:tcPr>
            <w:tcW w:w="62" w:type="pct"/>
            <w:tcBorders>
              <w:top w:val="nil"/>
              <w:left w:val="nil"/>
              <w:bottom w:val="nil"/>
              <w:right w:val="nil"/>
            </w:tcBorders>
            <w:shd w:val="clear" w:color="000000" w:fill="FFFFFF"/>
            <w:noWrap/>
            <w:vAlign w:val="center"/>
            <w:hideMark/>
          </w:tcPr>
          <w:p w14:paraId="1B7636A0"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211A5EA2"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74" w:type="pct"/>
            <w:tcBorders>
              <w:top w:val="nil"/>
              <w:left w:val="nil"/>
              <w:bottom w:val="nil"/>
              <w:right w:val="nil"/>
            </w:tcBorders>
            <w:shd w:val="clear" w:color="000000" w:fill="FFFFFF"/>
            <w:noWrap/>
            <w:vAlign w:val="center"/>
            <w:hideMark/>
          </w:tcPr>
          <w:p w14:paraId="0BAD43C6"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110DAB05"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26.8</w:t>
            </w:r>
          </w:p>
        </w:tc>
      </w:tr>
      <w:tr w:rsidR="008728E8" w:rsidRPr="00576DC7" w14:paraId="15EF2DC9" w14:textId="77777777" w:rsidTr="008728E8">
        <w:trPr>
          <w:trHeight w:hRule="exact" w:val="60"/>
        </w:trPr>
        <w:tc>
          <w:tcPr>
            <w:tcW w:w="1403" w:type="pct"/>
            <w:tcBorders>
              <w:top w:val="nil"/>
              <w:left w:val="nil"/>
              <w:bottom w:val="nil"/>
              <w:right w:val="nil"/>
            </w:tcBorders>
            <w:shd w:val="clear" w:color="000000" w:fill="FFFFFF"/>
            <w:noWrap/>
            <w:vAlign w:val="center"/>
            <w:hideMark/>
          </w:tcPr>
          <w:p w14:paraId="7F0CAD25"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245B6CD0"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626A3184"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1EFA7982"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E6F2FF"/>
            <w:noWrap/>
            <w:vAlign w:val="center"/>
            <w:hideMark/>
          </w:tcPr>
          <w:p w14:paraId="0A1440EE"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FFFFFF"/>
            <w:noWrap/>
            <w:vAlign w:val="center"/>
            <w:hideMark/>
          </w:tcPr>
          <w:p w14:paraId="460B8FA0"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FFFFFF"/>
            <w:noWrap/>
            <w:vAlign w:val="center"/>
            <w:hideMark/>
          </w:tcPr>
          <w:p w14:paraId="4491CA90"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FFFFFF"/>
            <w:noWrap/>
            <w:vAlign w:val="center"/>
            <w:hideMark/>
          </w:tcPr>
          <w:p w14:paraId="2814BD32"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3EAAFA8F"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405B2028"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74" w:type="pct"/>
            <w:tcBorders>
              <w:top w:val="nil"/>
              <w:left w:val="nil"/>
              <w:bottom w:val="nil"/>
              <w:right w:val="nil"/>
            </w:tcBorders>
            <w:shd w:val="clear" w:color="000000" w:fill="FFFFFF"/>
            <w:noWrap/>
            <w:vAlign w:val="center"/>
            <w:hideMark/>
          </w:tcPr>
          <w:p w14:paraId="02ED8111"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6C7D172E"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r>
      <w:tr w:rsidR="008728E8" w:rsidRPr="00576DC7" w14:paraId="091CEA4B"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13BC3BFC" w14:textId="77777777" w:rsidR="008728E8" w:rsidRPr="00576DC7" w:rsidRDefault="008728E8" w:rsidP="008728E8">
            <w:pPr>
              <w:spacing w:before="0" w:after="0" w:line="240" w:lineRule="auto"/>
              <w:rPr>
                <w:rFonts w:ascii="Arial" w:hAnsi="Arial" w:cs="Arial"/>
                <w:b/>
                <w:bCs/>
                <w:sz w:val="16"/>
                <w:szCs w:val="16"/>
              </w:rPr>
            </w:pPr>
            <w:r w:rsidRPr="00576DC7">
              <w:rPr>
                <w:rFonts w:ascii="Arial" w:hAnsi="Arial" w:cs="Arial"/>
                <w:b/>
                <w:bCs/>
                <w:sz w:val="16"/>
                <w:szCs w:val="16"/>
              </w:rPr>
              <w:t>Gross debt(c)</w:t>
            </w:r>
          </w:p>
        </w:tc>
        <w:tc>
          <w:tcPr>
            <w:tcW w:w="418" w:type="pct"/>
            <w:tcBorders>
              <w:top w:val="nil"/>
              <w:left w:val="nil"/>
              <w:bottom w:val="nil"/>
              <w:right w:val="nil"/>
            </w:tcBorders>
            <w:shd w:val="clear" w:color="000000" w:fill="FFFFFF"/>
            <w:noWrap/>
            <w:vAlign w:val="center"/>
            <w:hideMark/>
          </w:tcPr>
          <w:p w14:paraId="3755DC5C"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906.9</w:t>
            </w:r>
          </w:p>
        </w:tc>
        <w:tc>
          <w:tcPr>
            <w:tcW w:w="62" w:type="pct"/>
            <w:tcBorders>
              <w:top w:val="nil"/>
              <w:left w:val="nil"/>
              <w:bottom w:val="nil"/>
              <w:right w:val="nil"/>
            </w:tcBorders>
            <w:shd w:val="clear" w:color="000000" w:fill="FFFFFF"/>
            <w:noWrap/>
            <w:vAlign w:val="center"/>
            <w:hideMark/>
          </w:tcPr>
          <w:p w14:paraId="73F37688"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5E1739B0"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940.0</w:t>
            </w:r>
          </w:p>
        </w:tc>
        <w:tc>
          <w:tcPr>
            <w:tcW w:w="410" w:type="pct"/>
            <w:tcBorders>
              <w:top w:val="nil"/>
              <w:left w:val="nil"/>
              <w:bottom w:val="nil"/>
              <w:right w:val="nil"/>
            </w:tcBorders>
            <w:shd w:val="clear" w:color="000000" w:fill="E6F2FF"/>
            <w:noWrap/>
            <w:vAlign w:val="center"/>
            <w:hideMark/>
          </w:tcPr>
          <w:p w14:paraId="3C0CFF90"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1,022.0</w:t>
            </w:r>
          </w:p>
        </w:tc>
        <w:tc>
          <w:tcPr>
            <w:tcW w:w="410" w:type="pct"/>
            <w:tcBorders>
              <w:top w:val="nil"/>
              <w:left w:val="nil"/>
              <w:bottom w:val="nil"/>
              <w:right w:val="nil"/>
            </w:tcBorders>
            <w:shd w:val="clear" w:color="000000" w:fill="FFFFFF"/>
            <w:noWrap/>
            <w:vAlign w:val="center"/>
            <w:hideMark/>
          </w:tcPr>
          <w:p w14:paraId="59B4FCFF"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1,092.0</w:t>
            </w:r>
          </w:p>
        </w:tc>
        <w:tc>
          <w:tcPr>
            <w:tcW w:w="410" w:type="pct"/>
            <w:tcBorders>
              <w:top w:val="nil"/>
              <w:left w:val="nil"/>
              <w:bottom w:val="nil"/>
              <w:right w:val="nil"/>
            </w:tcBorders>
            <w:shd w:val="clear" w:color="000000" w:fill="FFFFFF"/>
            <w:noWrap/>
            <w:vAlign w:val="center"/>
            <w:hideMark/>
          </w:tcPr>
          <w:p w14:paraId="0F5A99A2"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1,161.0</w:t>
            </w:r>
          </w:p>
        </w:tc>
        <w:tc>
          <w:tcPr>
            <w:tcW w:w="410" w:type="pct"/>
            <w:tcBorders>
              <w:top w:val="nil"/>
              <w:left w:val="nil"/>
              <w:bottom w:val="nil"/>
              <w:right w:val="nil"/>
            </w:tcBorders>
            <w:shd w:val="clear" w:color="000000" w:fill="FFFFFF"/>
            <w:noWrap/>
            <w:vAlign w:val="center"/>
            <w:hideMark/>
          </w:tcPr>
          <w:p w14:paraId="21C48AE9"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1,223.0</w:t>
            </w:r>
          </w:p>
        </w:tc>
        <w:tc>
          <w:tcPr>
            <w:tcW w:w="62" w:type="pct"/>
            <w:tcBorders>
              <w:top w:val="nil"/>
              <w:left w:val="nil"/>
              <w:bottom w:val="nil"/>
              <w:right w:val="nil"/>
            </w:tcBorders>
            <w:shd w:val="clear" w:color="000000" w:fill="FFFFFF"/>
            <w:noWrap/>
            <w:vAlign w:val="center"/>
            <w:hideMark/>
          </w:tcPr>
          <w:p w14:paraId="0C11C2D2"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18" w:type="pct"/>
            <w:tcBorders>
              <w:top w:val="nil"/>
              <w:left w:val="nil"/>
              <w:bottom w:val="nil"/>
              <w:right w:val="nil"/>
            </w:tcBorders>
            <w:shd w:val="clear" w:color="000000" w:fill="FFFFFF"/>
            <w:noWrap/>
            <w:vAlign w:val="center"/>
            <w:hideMark/>
          </w:tcPr>
          <w:p w14:paraId="206BB248"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74" w:type="pct"/>
            <w:tcBorders>
              <w:top w:val="nil"/>
              <w:left w:val="nil"/>
              <w:bottom w:val="nil"/>
              <w:right w:val="nil"/>
            </w:tcBorders>
            <w:shd w:val="clear" w:color="000000" w:fill="FFFFFF"/>
            <w:noWrap/>
            <w:vAlign w:val="center"/>
            <w:hideMark/>
          </w:tcPr>
          <w:p w14:paraId="5EA32C47"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513" w:type="pct"/>
            <w:tcBorders>
              <w:top w:val="nil"/>
              <w:left w:val="nil"/>
              <w:bottom w:val="nil"/>
              <w:right w:val="nil"/>
            </w:tcBorders>
            <w:shd w:val="clear" w:color="000000" w:fill="FFFFFF"/>
            <w:noWrap/>
            <w:vAlign w:val="center"/>
            <w:hideMark/>
          </w:tcPr>
          <w:p w14:paraId="34E67B82" w14:textId="77777777" w:rsidR="008728E8" w:rsidRPr="00576DC7" w:rsidRDefault="008728E8" w:rsidP="008728E8">
            <w:pPr>
              <w:spacing w:before="0" w:after="0" w:line="240" w:lineRule="auto"/>
              <w:rPr>
                <w:rFonts w:ascii="Arial" w:hAnsi="Arial" w:cs="Arial"/>
                <w:b/>
                <w:bCs/>
                <w:sz w:val="16"/>
                <w:szCs w:val="16"/>
              </w:rPr>
            </w:pPr>
            <w:r w:rsidRPr="00576DC7">
              <w:rPr>
                <w:rFonts w:ascii="Arial" w:hAnsi="Arial" w:cs="Arial"/>
                <w:b/>
                <w:bCs/>
                <w:sz w:val="16"/>
                <w:szCs w:val="16"/>
              </w:rPr>
              <w:t> </w:t>
            </w:r>
          </w:p>
        </w:tc>
      </w:tr>
      <w:tr w:rsidR="008728E8" w:rsidRPr="00576DC7" w14:paraId="580DAE3B"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3554FE56"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Per cent of GDP</w:t>
            </w:r>
          </w:p>
        </w:tc>
        <w:tc>
          <w:tcPr>
            <w:tcW w:w="418" w:type="pct"/>
            <w:tcBorders>
              <w:top w:val="nil"/>
              <w:left w:val="nil"/>
              <w:bottom w:val="nil"/>
              <w:right w:val="nil"/>
            </w:tcBorders>
            <w:shd w:val="clear" w:color="000000" w:fill="FFFFFF"/>
            <w:noWrap/>
            <w:vAlign w:val="center"/>
            <w:hideMark/>
          </w:tcPr>
          <w:p w14:paraId="18AE00D6"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33.9</w:t>
            </w:r>
          </w:p>
        </w:tc>
        <w:tc>
          <w:tcPr>
            <w:tcW w:w="62" w:type="pct"/>
            <w:tcBorders>
              <w:top w:val="nil"/>
              <w:left w:val="nil"/>
              <w:bottom w:val="nil"/>
              <w:right w:val="nil"/>
            </w:tcBorders>
            <w:shd w:val="clear" w:color="000000" w:fill="FFFFFF"/>
            <w:noWrap/>
            <w:vAlign w:val="center"/>
            <w:hideMark/>
          </w:tcPr>
          <w:p w14:paraId="6662D22E"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782610A4"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33.7</w:t>
            </w:r>
          </w:p>
        </w:tc>
        <w:tc>
          <w:tcPr>
            <w:tcW w:w="410" w:type="pct"/>
            <w:tcBorders>
              <w:top w:val="nil"/>
              <w:left w:val="nil"/>
              <w:bottom w:val="nil"/>
              <w:right w:val="nil"/>
            </w:tcBorders>
            <w:shd w:val="clear" w:color="000000" w:fill="E6F2FF"/>
            <w:noWrap/>
            <w:vAlign w:val="center"/>
            <w:hideMark/>
          </w:tcPr>
          <w:p w14:paraId="67594CED"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35.5</w:t>
            </w:r>
          </w:p>
        </w:tc>
        <w:tc>
          <w:tcPr>
            <w:tcW w:w="410" w:type="pct"/>
            <w:tcBorders>
              <w:top w:val="nil"/>
              <w:left w:val="nil"/>
              <w:bottom w:val="nil"/>
              <w:right w:val="nil"/>
            </w:tcBorders>
            <w:shd w:val="clear" w:color="000000" w:fill="FFFFFF"/>
            <w:noWrap/>
            <w:vAlign w:val="center"/>
            <w:hideMark/>
          </w:tcPr>
          <w:p w14:paraId="67E908EC"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36.5</w:t>
            </w:r>
          </w:p>
        </w:tc>
        <w:tc>
          <w:tcPr>
            <w:tcW w:w="410" w:type="pct"/>
            <w:tcBorders>
              <w:top w:val="nil"/>
              <w:left w:val="nil"/>
              <w:bottom w:val="nil"/>
              <w:right w:val="nil"/>
            </w:tcBorders>
            <w:shd w:val="clear" w:color="000000" w:fill="FFFFFF"/>
            <w:noWrap/>
            <w:vAlign w:val="center"/>
            <w:hideMark/>
          </w:tcPr>
          <w:p w14:paraId="720823FE"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36.9</w:t>
            </w:r>
          </w:p>
        </w:tc>
        <w:tc>
          <w:tcPr>
            <w:tcW w:w="410" w:type="pct"/>
            <w:tcBorders>
              <w:top w:val="nil"/>
              <w:left w:val="nil"/>
              <w:bottom w:val="nil"/>
              <w:right w:val="nil"/>
            </w:tcBorders>
            <w:shd w:val="clear" w:color="000000" w:fill="FFFFFF"/>
            <w:noWrap/>
            <w:vAlign w:val="center"/>
            <w:hideMark/>
          </w:tcPr>
          <w:p w14:paraId="3D59B472"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36.8</w:t>
            </w:r>
          </w:p>
        </w:tc>
        <w:tc>
          <w:tcPr>
            <w:tcW w:w="62" w:type="pct"/>
            <w:tcBorders>
              <w:top w:val="nil"/>
              <w:left w:val="nil"/>
              <w:bottom w:val="nil"/>
              <w:right w:val="nil"/>
            </w:tcBorders>
            <w:shd w:val="clear" w:color="000000" w:fill="FFFFFF"/>
            <w:noWrap/>
            <w:vAlign w:val="center"/>
            <w:hideMark/>
          </w:tcPr>
          <w:p w14:paraId="356C45EB"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18" w:type="pct"/>
            <w:tcBorders>
              <w:top w:val="nil"/>
              <w:left w:val="nil"/>
              <w:bottom w:val="nil"/>
              <w:right w:val="nil"/>
            </w:tcBorders>
            <w:shd w:val="clear" w:color="000000" w:fill="FFFFFF"/>
            <w:noWrap/>
            <w:vAlign w:val="center"/>
            <w:hideMark/>
          </w:tcPr>
          <w:p w14:paraId="15C30D4F"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74" w:type="pct"/>
            <w:tcBorders>
              <w:top w:val="nil"/>
              <w:left w:val="nil"/>
              <w:bottom w:val="nil"/>
              <w:right w:val="nil"/>
            </w:tcBorders>
            <w:shd w:val="clear" w:color="000000" w:fill="FFFFFF"/>
            <w:noWrap/>
            <w:vAlign w:val="center"/>
            <w:hideMark/>
          </w:tcPr>
          <w:p w14:paraId="76E2475E"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61D8DFC7"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31.9</w:t>
            </w:r>
          </w:p>
        </w:tc>
      </w:tr>
      <w:tr w:rsidR="008728E8" w:rsidRPr="00576DC7" w14:paraId="79A8D45C" w14:textId="77777777" w:rsidTr="008728E8">
        <w:trPr>
          <w:trHeight w:hRule="exact" w:val="60"/>
        </w:trPr>
        <w:tc>
          <w:tcPr>
            <w:tcW w:w="1403" w:type="pct"/>
            <w:tcBorders>
              <w:top w:val="nil"/>
              <w:left w:val="nil"/>
              <w:bottom w:val="nil"/>
              <w:right w:val="nil"/>
            </w:tcBorders>
            <w:shd w:val="clear" w:color="000000" w:fill="FFFFFF"/>
            <w:noWrap/>
            <w:vAlign w:val="center"/>
            <w:hideMark/>
          </w:tcPr>
          <w:p w14:paraId="1FE1FE94"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3BF031E2"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08B674D6"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5AACDF07"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E6F2FF"/>
            <w:noWrap/>
            <w:vAlign w:val="center"/>
            <w:hideMark/>
          </w:tcPr>
          <w:p w14:paraId="34F4EC9B"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FFFFFF"/>
            <w:noWrap/>
            <w:vAlign w:val="center"/>
            <w:hideMark/>
          </w:tcPr>
          <w:p w14:paraId="3325C0B7"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FFFFFF"/>
            <w:noWrap/>
            <w:vAlign w:val="center"/>
            <w:hideMark/>
          </w:tcPr>
          <w:p w14:paraId="4A5EEE1E"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FFFFFF"/>
            <w:noWrap/>
            <w:vAlign w:val="center"/>
            <w:hideMark/>
          </w:tcPr>
          <w:p w14:paraId="36E1D33C"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10717293"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6B4539B5"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74" w:type="pct"/>
            <w:tcBorders>
              <w:top w:val="nil"/>
              <w:left w:val="nil"/>
              <w:bottom w:val="nil"/>
              <w:right w:val="nil"/>
            </w:tcBorders>
            <w:shd w:val="clear" w:color="000000" w:fill="FFFFFF"/>
            <w:noWrap/>
            <w:vAlign w:val="center"/>
            <w:hideMark/>
          </w:tcPr>
          <w:p w14:paraId="59C3B975"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44AE9C23"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r>
      <w:tr w:rsidR="008728E8" w:rsidRPr="00576DC7" w14:paraId="00C454CC"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5CE7D1F8" w14:textId="77777777" w:rsidR="008728E8" w:rsidRPr="00576DC7" w:rsidRDefault="008728E8" w:rsidP="008728E8">
            <w:pPr>
              <w:spacing w:before="0" w:after="0" w:line="240" w:lineRule="auto"/>
              <w:rPr>
                <w:rFonts w:ascii="Arial" w:hAnsi="Arial" w:cs="Arial"/>
                <w:b/>
                <w:bCs/>
                <w:sz w:val="16"/>
                <w:szCs w:val="16"/>
              </w:rPr>
            </w:pPr>
            <w:r w:rsidRPr="00576DC7">
              <w:rPr>
                <w:rFonts w:ascii="Arial" w:hAnsi="Arial" w:cs="Arial"/>
                <w:b/>
                <w:bCs/>
                <w:sz w:val="16"/>
                <w:szCs w:val="16"/>
              </w:rPr>
              <w:t xml:space="preserve">Net debt(d) </w:t>
            </w:r>
          </w:p>
        </w:tc>
        <w:tc>
          <w:tcPr>
            <w:tcW w:w="418" w:type="pct"/>
            <w:tcBorders>
              <w:top w:val="nil"/>
              <w:left w:val="nil"/>
              <w:bottom w:val="nil"/>
              <w:right w:val="nil"/>
            </w:tcBorders>
            <w:shd w:val="clear" w:color="000000" w:fill="FFFFFF"/>
            <w:noWrap/>
            <w:vAlign w:val="center"/>
            <w:hideMark/>
          </w:tcPr>
          <w:p w14:paraId="446EFD5F"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491.5</w:t>
            </w:r>
          </w:p>
        </w:tc>
        <w:tc>
          <w:tcPr>
            <w:tcW w:w="62" w:type="pct"/>
            <w:tcBorders>
              <w:top w:val="nil"/>
              <w:left w:val="nil"/>
              <w:bottom w:val="nil"/>
              <w:right w:val="nil"/>
            </w:tcBorders>
            <w:shd w:val="clear" w:color="000000" w:fill="FFFFFF"/>
            <w:noWrap/>
            <w:vAlign w:val="center"/>
            <w:hideMark/>
          </w:tcPr>
          <w:p w14:paraId="70FAFD06"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67C9D560"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556.0</w:t>
            </w:r>
          </w:p>
        </w:tc>
        <w:tc>
          <w:tcPr>
            <w:tcW w:w="410" w:type="pct"/>
            <w:tcBorders>
              <w:top w:val="nil"/>
              <w:left w:val="nil"/>
              <w:bottom w:val="nil"/>
              <w:right w:val="nil"/>
            </w:tcBorders>
            <w:shd w:val="clear" w:color="000000" w:fill="E6F2FF"/>
            <w:noWrap/>
            <w:vAlign w:val="center"/>
            <w:hideMark/>
          </w:tcPr>
          <w:p w14:paraId="450BAA01"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620.3</w:t>
            </w:r>
          </w:p>
        </w:tc>
        <w:tc>
          <w:tcPr>
            <w:tcW w:w="410" w:type="pct"/>
            <w:tcBorders>
              <w:top w:val="nil"/>
              <w:left w:val="nil"/>
              <w:bottom w:val="nil"/>
              <w:right w:val="nil"/>
            </w:tcBorders>
            <w:shd w:val="clear" w:color="000000" w:fill="FFFFFF"/>
            <w:noWrap/>
            <w:vAlign w:val="center"/>
            <w:hideMark/>
          </w:tcPr>
          <w:p w14:paraId="6B85B1F1"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676.3</w:t>
            </w:r>
          </w:p>
        </w:tc>
        <w:tc>
          <w:tcPr>
            <w:tcW w:w="410" w:type="pct"/>
            <w:tcBorders>
              <w:top w:val="nil"/>
              <w:left w:val="nil"/>
              <w:bottom w:val="nil"/>
              <w:right w:val="nil"/>
            </w:tcBorders>
            <w:shd w:val="clear" w:color="000000" w:fill="FFFFFF"/>
            <w:noWrap/>
            <w:vAlign w:val="center"/>
            <w:hideMark/>
          </w:tcPr>
          <w:p w14:paraId="030852A1"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714.1</w:t>
            </w:r>
          </w:p>
        </w:tc>
        <w:tc>
          <w:tcPr>
            <w:tcW w:w="410" w:type="pct"/>
            <w:tcBorders>
              <w:top w:val="nil"/>
              <w:left w:val="nil"/>
              <w:bottom w:val="nil"/>
              <w:right w:val="nil"/>
            </w:tcBorders>
            <w:shd w:val="clear" w:color="000000" w:fill="FFFFFF"/>
            <w:noWrap/>
            <w:vAlign w:val="center"/>
            <w:hideMark/>
          </w:tcPr>
          <w:p w14:paraId="7156A980"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768.2</w:t>
            </w:r>
          </w:p>
        </w:tc>
        <w:tc>
          <w:tcPr>
            <w:tcW w:w="62" w:type="pct"/>
            <w:tcBorders>
              <w:top w:val="nil"/>
              <w:left w:val="nil"/>
              <w:bottom w:val="nil"/>
              <w:right w:val="nil"/>
            </w:tcBorders>
            <w:shd w:val="clear" w:color="000000" w:fill="FFFFFF"/>
            <w:noWrap/>
            <w:vAlign w:val="center"/>
            <w:hideMark/>
          </w:tcPr>
          <w:p w14:paraId="24B18A7E"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4A1AB90C"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74" w:type="pct"/>
            <w:tcBorders>
              <w:top w:val="nil"/>
              <w:left w:val="nil"/>
              <w:bottom w:val="nil"/>
              <w:right w:val="nil"/>
            </w:tcBorders>
            <w:shd w:val="clear" w:color="000000" w:fill="FFFFFF"/>
            <w:noWrap/>
            <w:vAlign w:val="center"/>
            <w:hideMark/>
          </w:tcPr>
          <w:p w14:paraId="7E39E0D1"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513" w:type="pct"/>
            <w:tcBorders>
              <w:top w:val="nil"/>
              <w:left w:val="nil"/>
              <w:bottom w:val="nil"/>
              <w:right w:val="nil"/>
            </w:tcBorders>
            <w:shd w:val="clear" w:color="000000" w:fill="FFFFFF"/>
            <w:noWrap/>
            <w:vAlign w:val="center"/>
            <w:hideMark/>
          </w:tcPr>
          <w:p w14:paraId="0D729B81"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r>
      <w:tr w:rsidR="008728E8" w:rsidRPr="00576DC7" w14:paraId="3B2C93C1"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06F5BAAE"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xml:space="preserve">Per cent of GDP </w:t>
            </w:r>
          </w:p>
        </w:tc>
        <w:tc>
          <w:tcPr>
            <w:tcW w:w="418" w:type="pct"/>
            <w:tcBorders>
              <w:top w:val="nil"/>
              <w:left w:val="nil"/>
              <w:bottom w:val="nil"/>
              <w:right w:val="nil"/>
            </w:tcBorders>
            <w:shd w:val="clear" w:color="000000" w:fill="FFFFFF"/>
            <w:noWrap/>
            <w:vAlign w:val="center"/>
            <w:hideMark/>
          </w:tcPr>
          <w:p w14:paraId="1C074AE7"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18.4</w:t>
            </w:r>
          </w:p>
        </w:tc>
        <w:tc>
          <w:tcPr>
            <w:tcW w:w="62" w:type="pct"/>
            <w:tcBorders>
              <w:top w:val="nil"/>
              <w:left w:val="nil"/>
              <w:bottom w:val="nil"/>
              <w:right w:val="nil"/>
            </w:tcBorders>
            <w:shd w:val="clear" w:color="000000" w:fill="FFFFFF"/>
            <w:noWrap/>
            <w:vAlign w:val="center"/>
            <w:hideMark/>
          </w:tcPr>
          <w:p w14:paraId="5ED14CE8"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1E803F55"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19.9</w:t>
            </w:r>
          </w:p>
        </w:tc>
        <w:tc>
          <w:tcPr>
            <w:tcW w:w="410" w:type="pct"/>
            <w:tcBorders>
              <w:top w:val="nil"/>
              <w:left w:val="nil"/>
              <w:bottom w:val="nil"/>
              <w:right w:val="nil"/>
            </w:tcBorders>
            <w:shd w:val="clear" w:color="000000" w:fill="E6F2FF"/>
            <w:noWrap/>
            <w:vAlign w:val="center"/>
            <w:hideMark/>
          </w:tcPr>
          <w:p w14:paraId="390A4FFC"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21.5</w:t>
            </w:r>
          </w:p>
        </w:tc>
        <w:tc>
          <w:tcPr>
            <w:tcW w:w="410" w:type="pct"/>
            <w:tcBorders>
              <w:top w:val="nil"/>
              <w:left w:val="nil"/>
              <w:bottom w:val="nil"/>
              <w:right w:val="nil"/>
            </w:tcBorders>
            <w:shd w:val="clear" w:color="000000" w:fill="FFFFFF"/>
            <w:noWrap/>
            <w:vAlign w:val="center"/>
            <w:hideMark/>
          </w:tcPr>
          <w:p w14:paraId="5BAB418C"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22.6</w:t>
            </w:r>
          </w:p>
        </w:tc>
        <w:tc>
          <w:tcPr>
            <w:tcW w:w="410" w:type="pct"/>
            <w:tcBorders>
              <w:top w:val="nil"/>
              <w:left w:val="nil"/>
              <w:bottom w:val="nil"/>
              <w:right w:val="nil"/>
            </w:tcBorders>
            <w:shd w:val="clear" w:color="000000" w:fill="FFFFFF"/>
            <w:noWrap/>
            <w:vAlign w:val="center"/>
            <w:hideMark/>
          </w:tcPr>
          <w:p w14:paraId="53FE913E"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22.7</w:t>
            </w:r>
          </w:p>
        </w:tc>
        <w:tc>
          <w:tcPr>
            <w:tcW w:w="410" w:type="pct"/>
            <w:tcBorders>
              <w:top w:val="nil"/>
              <w:left w:val="nil"/>
              <w:bottom w:val="nil"/>
              <w:right w:val="nil"/>
            </w:tcBorders>
            <w:shd w:val="clear" w:color="000000" w:fill="FFFFFF"/>
            <w:noWrap/>
            <w:vAlign w:val="center"/>
            <w:hideMark/>
          </w:tcPr>
          <w:p w14:paraId="6816DB40"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23.1</w:t>
            </w:r>
          </w:p>
        </w:tc>
        <w:tc>
          <w:tcPr>
            <w:tcW w:w="62" w:type="pct"/>
            <w:tcBorders>
              <w:top w:val="nil"/>
              <w:left w:val="nil"/>
              <w:bottom w:val="nil"/>
              <w:right w:val="nil"/>
            </w:tcBorders>
            <w:shd w:val="clear" w:color="000000" w:fill="FFFFFF"/>
            <w:noWrap/>
            <w:vAlign w:val="center"/>
            <w:hideMark/>
          </w:tcPr>
          <w:p w14:paraId="4FE61D63"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4A023176"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74" w:type="pct"/>
            <w:tcBorders>
              <w:top w:val="nil"/>
              <w:left w:val="nil"/>
              <w:bottom w:val="nil"/>
              <w:right w:val="nil"/>
            </w:tcBorders>
            <w:shd w:val="clear" w:color="000000" w:fill="FFFFFF"/>
            <w:noWrap/>
            <w:vAlign w:val="center"/>
            <w:hideMark/>
          </w:tcPr>
          <w:p w14:paraId="5130552E"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4640B355"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20.2</w:t>
            </w:r>
          </w:p>
        </w:tc>
      </w:tr>
      <w:tr w:rsidR="008728E8" w:rsidRPr="00576DC7" w14:paraId="71133AEF" w14:textId="77777777" w:rsidTr="008728E8">
        <w:trPr>
          <w:trHeight w:hRule="exact" w:val="60"/>
        </w:trPr>
        <w:tc>
          <w:tcPr>
            <w:tcW w:w="1403" w:type="pct"/>
            <w:tcBorders>
              <w:top w:val="nil"/>
              <w:left w:val="nil"/>
              <w:bottom w:val="nil"/>
              <w:right w:val="nil"/>
            </w:tcBorders>
            <w:shd w:val="clear" w:color="000000" w:fill="FFFFFF"/>
            <w:noWrap/>
            <w:vAlign w:val="center"/>
            <w:hideMark/>
          </w:tcPr>
          <w:p w14:paraId="382D1EB7"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360036E3"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4146653A"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nil"/>
              <w:right w:val="nil"/>
            </w:tcBorders>
            <w:shd w:val="clear" w:color="000000" w:fill="FFFFFF"/>
            <w:noWrap/>
            <w:vAlign w:val="center"/>
            <w:hideMark/>
          </w:tcPr>
          <w:p w14:paraId="44A635D7"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E6F2FF"/>
            <w:noWrap/>
            <w:vAlign w:val="center"/>
            <w:hideMark/>
          </w:tcPr>
          <w:p w14:paraId="376C55CB"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FFFFFF"/>
            <w:noWrap/>
            <w:vAlign w:val="center"/>
            <w:hideMark/>
          </w:tcPr>
          <w:p w14:paraId="52241AAC"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FFFFFF"/>
            <w:noWrap/>
            <w:vAlign w:val="center"/>
            <w:hideMark/>
          </w:tcPr>
          <w:p w14:paraId="4E200EBA"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0" w:type="pct"/>
            <w:tcBorders>
              <w:top w:val="nil"/>
              <w:left w:val="nil"/>
              <w:bottom w:val="nil"/>
              <w:right w:val="nil"/>
            </w:tcBorders>
            <w:shd w:val="clear" w:color="000000" w:fill="FFFFFF"/>
            <w:noWrap/>
            <w:vAlign w:val="center"/>
            <w:hideMark/>
          </w:tcPr>
          <w:p w14:paraId="3EE1D208"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78435C49"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8" w:type="pct"/>
            <w:tcBorders>
              <w:top w:val="nil"/>
              <w:left w:val="nil"/>
              <w:bottom w:val="nil"/>
              <w:right w:val="nil"/>
            </w:tcBorders>
            <w:shd w:val="clear" w:color="000000" w:fill="FFFFFF"/>
            <w:noWrap/>
            <w:vAlign w:val="center"/>
            <w:hideMark/>
          </w:tcPr>
          <w:p w14:paraId="4B38657D"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74" w:type="pct"/>
            <w:tcBorders>
              <w:top w:val="nil"/>
              <w:left w:val="nil"/>
              <w:bottom w:val="nil"/>
              <w:right w:val="nil"/>
            </w:tcBorders>
            <w:shd w:val="clear" w:color="000000" w:fill="FFFFFF"/>
            <w:noWrap/>
            <w:vAlign w:val="center"/>
            <w:hideMark/>
          </w:tcPr>
          <w:p w14:paraId="4D9A47BF"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32BF5456"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r>
      <w:tr w:rsidR="008728E8" w:rsidRPr="00576DC7" w14:paraId="46407028" w14:textId="77777777" w:rsidTr="008728E8">
        <w:trPr>
          <w:trHeight w:hRule="exact" w:val="225"/>
        </w:trPr>
        <w:tc>
          <w:tcPr>
            <w:tcW w:w="1403" w:type="pct"/>
            <w:tcBorders>
              <w:top w:val="nil"/>
              <w:left w:val="nil"/>
              <w:bottom w:val="nil"/>
              <w:right w:val="nil"/>
            </w:tcBorders>
            <w:shd w:val="clear" w:color="000000" w:fill="FFFFFF"/>
            <w:noWrap/>
            <w:vAlign w:val="center"/>
            <w:hideMark/>
          </w:tcPr>
          <w:p w14:paraId="09C8DEE9" w14:textId="77777777" w:rsidR="008728E8" w:rsidRPr="00576DC7" w:rsidRDefault="008728E8" w:rsidP="008728E8">
            <w:pPr>
              <w:spacing w:before="0" w:after="0" w:line="240" w:lineRule="auto"/>
              <w:rPr>
                <w:rFonts w:ascii="Arial" w:hAnsi="Arial" w:cs="Arial"/>
                <w:b/>
                <w:bCs/>
                <w:sz w:val="16"/>
                <w:szCs w:val="16"/>
              </w:rPr>
            </w:pPr>
            <w:r w:rsidRPr="00576DC7">
              <w:rPr>
                <w:rFonts w:ascii="Arial" w:hAnsi="Arial" w:cs="Arial"/>
                <w:b/>
                <w:bCs/>
                <w:sz w:val="16"/>
                <w:szCs w:val="16"/>
              </w:rPr>
              <w:t>Net interest payments(e)</w:t>
            </w:r>
          </w:p>
        </w:tc>
        <w:tc>
          <w:tcPr>
            <w:tcW w:w="418" w:type="pct"/>
            <w:tcBorders>
              <w:top w:val="nil"/>
              <w:left w:val="nil"/>
              <w:bottom w:val="nil"/>
              <w:right w:val="nil"/>
            </w:tcBorders>
            <w:shd w:val="clear" w:color="000000" w:fill="FFFFFF"/>
            <w:noWrap/>
            <w:vAlign w:val="center"/>
            <w:hideMark/>
          </w:tcPr>
          <w:p w14:paraId="7A1C3C53"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12.3</w:t>
            </w:r>
          </w:p>
        </w:tc>
        <w:tc>
          <w:tcPr>
            <w:tcW w:w="62" w:type="pct"/>
            <w:tcBorders>
              <w:top w:val="nil"/>
              <w:left w:val="nil"/>
              <w:bottom w:val="nil"/>
              <w:right w:val="nil"/>
            </w:tcBorders>
            <w:shd w:val="clear" w:color="000000" w:fill="FFFFFF"/>
            <w:noWrap/>
            <w:vAlign w:val="center"/>
            <w:hideMark/>
          </w:tcPr>
          <w:p w14:paraId="28433863"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11" w:type="pct"/>
            <w:tcBorders>
              <w:top w:val="nil"/>
              <w:left w:val="nil"/>
              <w:bottom w:val="nil"/>
              <w:right w:val="nil"/>
            </w:tcBorders>
            <w:shd w:val="clear" w:color="000000" w:fill="FFFFFF"/>
            <w:noWrap/>
            <w:vAlign w:val="center"/>
            <w:hideMark/>
          </w:tcPr>
          <w:p w14:paraId="35D6E7BC"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14.9</w:t>
            </w:r>
          </w:p>
        </w:tc>
        <w:tc>
          <w:tcPr>
            <w:tcW w:w="410" w:type="pct"/>
            <w:tcBorders>
              <w:top w:val="nil"/>
              <w:left w:val="nil"/>
              <w:bottom w:val="nil"/>
              <w:right w:val="nil"/>
            </w:tcBorders>
            <w:shd w:val="clear" w:color="000000" w:fill="E6F2FF"/>
            <w:noWrap/>
            <w:vAlign w:val="center"/>
            <w:hideMark/>
          </w:tcPr>
          <w:p w14:paraId="1084F2DD"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18.5</w:t>
            </w:r>
          </w:p>
        </w:tc>
        <w:tc>
          <w:tcPr>
            <w:tcW w:w="410" w:type="pct"/>
            <w:tcBorders>
              <w:top w:val="nil"/>
              <w:left w:val="nil"/>
              <w:bottom w:val="nil"/>
              <w:right w:val="nil"/>
            </w:tcBorders>
            <w:shd w:val="clear" w:color="000000" w:fill="FFFFFF"/>
            <w:noWrap/>
            <w:vAlign w:val="center"/>
            <w:hideMark/>
          </w:tcPr>
          <w:p w14:paraId="5765BA69"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21.2</w:t>
            </w:r>
          </w:p>
        </w:tc>
        <w:tc>
          <w:tcPr>
            <w:tcW w:w="410" w:type="pct"/>
            <w:tcBorders>
              <w:top w:val="nil"/>
              <w:left w:val="nil"/>
              <w:bottom w:val="nil"/>
              <w:right w:val="nil"/>
            </w:tcBorders>
            <w:shd w:val="clear" w:color="000000" w:fill="FFFFFF"/>
            <w:noWrap/>
            <w:vAlign w:val="center"/>
            <w:hideMark/>
          </w:tcPr>
          <w:p w14:paraId="74AD3BD6"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26.9</w:t>
            </w:r>
          </w:p>
        </w:tc>
        <w:tc>
          <w:tcPr>
            <w:tcW w:w="410" w:type="pct"/>
            <w:tcBorders>
              <w:top w:val="nil"/>
              <w:left w:val="nil"/>
              <w:bottom w:val="nil"/>
              <w:right w:val="nil"/>
            </w:tcBorders>
            <w:shd w:val="clear" w:color="000000" w:fill="FFFFFF"/>
            <w:noWrap/>
            <w:vAlign w:val="center"/>
            <w:hideMark/>
          </w:tcPr>
          <w:p w14:paraId="34DD7DF3" w14:textId="77777777"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28.1</w:t>
            </w:r>
          </w:p>
        </w:tc>
        <w:tc>
          <w:tcPr>
            <w:tcW w:w="62" w:type="pct"/>
            <w:tcBorders>
              <w:top w:val="nil"/>
              <w:left w:val="nil"/>
              <w:bottom w:val="nil"/>
              <w:right w:val="nil"/>
            </w:tcBorders>
            <w:shd w:val="clear" w:color="auto" w:fill="auto"/>
            <w:noWrap/>
            <w:vAlign w:val="center"/>
            <w:hideMark/>
          </w:tcPr>
          <w:p w14:paraId="30359AD6" w14:textId="77777777" w:rsidR="008728E8" w:rsidRPr="00576DC7" w:rsidRDefault="008728E8" w:rsidP="008728E8">
            <w:pPr>
              <w:spacing w:before="0" w:after="0" w:line="240" w:lineRule="auto"/>
              <w:jc w:val="right"/>
              <w:rPr>
                <w:rFonts w:ascii="Arial" w:hAnsi="Arial" w:cs="Arial"/>
                <w:b/>
                <w:bCs/>
                <w:sz w:val="16"/>
                <w:szCs w:val="16"/>
              </w:rPr>
            </w:pPr>
          </w:p>
        </w:tc>
        <w:tc>
          <w:tcPr>
            <w:tcW w:w="418" w:type="pct"/>
            <w:tcBorders>
              <w:top w:val="nil"/>
              <w:left w:val="nil"/>
              <w:bottom w:val="nil"/>
              <w:right w:val="nil"/>
            </w:tcBorders>
            <w:shd w:val="clear" w:color="000000" w:fill="FFFFFF"/>
            <w:noWrap/>
            <w:vAlign w:val="center"/>
            <w:hideMark/>
          </w:tcPr>
          <w:p w14:paraId="1381C921" w14:textId="730A5429" w:rsidR="008728E8" w:rsidRPr="00576DC7" w:rsidRDefault="008728E8" w:rsidP="008728E8">
            <w:pPr>
              <w:spacing w:before="0" w:after="0" w:line="240" w:lineRule="auto"/>
              <w:jc w:val="right"/>
              <w:rPr>
                <w:rFonts w:ascii="Arial" w:hAnsi="Arial" w:cs="Arial"/>
                <w:b/>
                <w:bCs/>
                <w:sz w:val="16"/>
                <w:szCs w:val="16"/>
              </w:rPr>
            </w:pPr>
            <w:r w:rsidRPr="00576DC7">
              <w:rPr>
                <w:rFonts w:ascii="Arial" w:hAnsi="Arial" w:cs="Arial"/>
                <w:b/>
                <w:bCs/>
                <w:sz w:val="16"/>
                <w:szCs w:val="16"/>
              </w:rPr>
              <w:t xml:space="preserve">109.6 </w:t>
            </w:r>
          </w:p>
        </w:tc>
        <w:tc>
          <w:tcPr>
            <w:tcW w:w="74" w:type="pct"/>
            <w:tcBorders>
              <w:top w:val="nil"/>
              <w:left w:val="nil"/>
              <w:bottom w:val="nil"/>
              <w:right w:val="nil"/>
            </w:tcBorders>
            <w:shd w:val="clear" w:color="000000" w:fill="FFFFFF"/>
            <w:noWrap/>
            <w:vAlign w:val="center"/>
            <w:hideMark/>
          </w:tcPr>
          <w:p w14:paraId="750DB21B"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29769BB6"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r>
      <w:tr w:rsidR="008728E8" w:rsidRPr="00576DC7" w14:paraId="176440B4" w14:textId="77777777" w:rsidTr="008728E8">
        <w:trPr>
          <w:trHeight w:hRule="exact" w:val="225"/>
        </w:trPr>
        <w:tc>
          <w:tcPr>
            <w:tcW w:w="1403" w:type="pct"/>
            <w:tcBorders>
              <w:top w:val="nil"/>
              <w:left w:val="nil"/>
              <w:bottom w:val="single" w:sz="4" w:space="0" w:color="293F5B"/>
              <w:right w:val="nil"/>
            </w:tcBorders>
            <w:shd w:val="clear" w:color="000000" w:fill="FFFFFF"/>
            <w:noWrap/>
            <w:vAlign w:val="center"/>
            <w:hideMark/>
          </w:tcPr>
          <w:p w14:paraId="311B7C9C"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Per cent of GDP</w:t>
            </w:r>
          </w:p>
        </w:tc>
        <w:tc>
          <w:tcPr>
            <w:tcW w:w="418" w:type="pct"/>
            <w:tcBorders>
              <w:top w:val="nil"/>
              <w:left w:val="nil"/>
              <w:bottom w:val="single" w:sz="4" w:space="0" w:color="293F5B"/>
              <w:right w:val="nil"/>
            </w:tcBorders>
            <w:shd w:val="clear" w:color="000000" w:fill="FFFFFF"/>
            <w:noWrap/>
            <w:vAlign w:val="center"/>
            <w:hideMark/>
          </w:tcPr>
          <w:p w14:paraId="06882A7E"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0.5</w:t>
            </w:r>
          </w:p>
        </w:tc>
        <w:tc>
          <w:tcPr>
            <w:tcW w:w="62" w:type="pct"/>
            <w:tcBorders>
              <w:top w:val="nil"/>
              <w:left w:val="nil"/>
              <w:bottom w:val="single" w:sz="4" w:space="0" w:color="293F5B"/>
              <w:right w:val="nil"/>
            </w:tcBorders>
            <w:shd w:val="clear" w:color="000000" w:fill="FFFFFF"/>
            <w:noWrap/>
            <w:vAlign w:val="center"/>
            <w:hideMark/>
          </w:tcPr>
          <w:p w14:paraId="30D2D1A1"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 </w:t>
            </w:r>
          </w:p>
        </w:tc>
        <w:tc>
          <w:tcPr>
            <w:tcW w:w="411" w:type="pct"/>
            <w:tcBorders>
              <w:top w:val="nil"/>
              <w:left w:val="nil"/>
              <w:bottom w:val="single" w:sz="4" w:space="0" w:color="293F5B"/>
              <w:right w:val="nil"/>
            </w:tcBorders>
            <w:shd w:val="clear" w:color="000000" w:fill="FFFFFF"/>
            <w:noWrap/>
            <w:vAlign w:val="center"/>
            <w:hideMark/>
          </w:tcPr>
          <w:p w14:paraId="22C0EDA0"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0.5</w:t>
            </w:r>
          </w:p>
        </w:tc>
        <w:tc>
          <w:tcPr>
            <w:tcW w:w="410" w:type="pct"/>
            <w:tcBorders>
              <w:top w:val="nil"/>
              <w:left w:val="nil"/>
              <w:bottom w:val="single" w:sz="4" w:space="0" w:color="293F5B"/>
              <w:right w:val="nil"/>
            </w:tcBorders>
            <w:shd w:val="clear" w:color="000000" w:fill="E6F2FF"/>
            <w:noWrap/>
            <w:vAlign w:val="center"/>
            <w:hideMark/>
          </w:tcPr>
          <w:p w14:paraId="5E68C853"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0.6</w:t>
            </w:r>
          </w:p>
        </w:tc>
        <w:tc>
          <w:tcPr>
            <w:tcW w:w="410" w:type="pct"/>
            <w:tcBorders>
              <w:top w:val="nil"/>
              <w:left w:val="nil"/>
              <w:bottom w:val="single" w:sz="4" w:space="0" w:color="293F5B"/>
              <w:right w:val="nil"/>
            </w:tcBorders>
            <w:shd w:val="clear" w:color="000000" w:fill="FFFFFF"/>
            <w:noWrap/>
            <w:vAlign w:val="center"/>
            <w:hideMark/>
          </w:tcPr>
          <w:p w14:paraId="74D9F0A4"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0.7</w:t>
            </w:r>
          </w:p>
        </w:tc>
        <w:tc>
          <w:tcPr>
            <w:tcW w:w="410" w:type="pct"/>
            <w:tcBorders>
              <w:top w:val="nil"/>
              <w:left w:val="nil"/>
              <w:bottom w:val="single" w:sz="4" w:space="0" w:color="293F5B"/>
              <w:right w:val="nil"/>
            </w:tcBorders>
            <w:shd w:val="clear" w:color="000000" w:fill="FFFFFF"/>
            <w:noWrap/>
            <w:vAlign w:val="center"/>
            <w:hideMark/>
          </w:tcPr>
          <w:p w14:paraId="67F1B145"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0.9</w:t>
            </w:r>
          </w:p>
        </w:tc>
        <w:tc>
          <w:tcPr>
            <w:tcW w:w="410" w:type="pct"/>
            <w:tcBorders>
              <w:top w:val="nil"/>
              <w:left w:val="nil"/>
              <w:bottom w:val="single" w:sz="4" w:space="0" w:color="293F5B"/>
              <w:right w:val="nil"/>
            </w:tcBorders>
            <w:shd w:val="clear" w:color="000000" w:fill="FFFFFF"/>
            <w:noWrap/>
            <w:vAlign w:val="center"/>
            <w:hideMark/>
          </w:tcPr>
          <w:p w14:paraId="3E2AA146"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0.8</w:t>
            </w:r>
          </w:p>
        </w:tc>
        <w:tc>
          <w:tcPr>
            <w:tcW w:w="62" w:type="pct"/>
            <w:tcBorders>
              <w:top w:val="nil"/>
              <w:left w:val="nil"/>
              <w:bottom w:val="single" w:sz="4" w:space="0" w:color="293F5B"/>
              <w:right w:val="nil"/>
            </w:tcBorders>
            <w:shd w:val="clear" w:color="auto" w:fill="auto"/>
            <w:noWrap/>
            <w:vAlign w:val="center"/>
            <w:hideMark/>
          </w:tcPr>
          <w:p w14:paraId="0479C1EA"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418" w:type="pct"/>
            <w:tcBorders>
              <w:top w:val="nil"/>
              <w:left w:val="nil"/>
              <w:bottom w:val="single" w:sz="4" w:space="0" w:color="293F5B"/>
              <w:right w:val="nil"/>
            </w:tcBorders>
            <w:shd w:val="clear" w:color="000000" w:fill="FFFFFF"/>
            <w:noWrap/>
            <w:vAlign w:val="center"/>
            <w:hideMark/>
          </w:tcPr>
          <w:p w14:paraId="4E10EC6C"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74" w:type="pct"/>
            <w:tcBorders>
              <w:top w:val="nil"/>
              <w:left w:val="nil"/>
              <w:bottom w:val="single" w:sz="4" w:space="0" w:color="293F5B"/>
              <w:right w:val="nil"/>
            </w:tcBorders>
            <w:shd w:val="clear" w:color="000000" w:fill="FFFFFF"/>
            <w:noWrap/>
            <w:vAlign w:val="center"/>
            <w:hideMark/>
          </w:tcPr>
          <w:p w14:paraId="7A4AD0D5" w14:textId="77777777" w:rsidR="008728E8" w:rsidRPr="00576DC7" w:rsidRDefault="008728E8" w:rsidP="008728E8">
            <w:pPr>
              <w:spacing w:before="0" w:after="0" w:line="240" w:lineRule="auto"/>
              <w:rPr>
                <w:rFonts w:ascii="Arial" w:hAnsi="Arial" w:cs="Arial"/>
                <w:sz w:val="16"/>
                <w:szCs w:val="16"/>
              </w:rPr>
            </w:pPr>
            <w:r w:rsidRPr="00576DC7">
              <w:rPr>
                <w:rFonts w:ascii="Arial" w:hAnsi="Arial" w:cs="Arial"/>
                <w:sz w:val="16"/>
                <w:szCs w:val="16"/>
              </w:rPr>
              <w:t> </w:t>
            </w:r>
          </w:p>
        </w:tc>
        <w:tc>
          <w:tcPr>
            <w:tcW w:w="513" w:type="pct"/>
            <w:tcBorders>
              <w:top w:val="nil"/>
              <w:left w:val="nil"/>
              <w:bottom w:val="single" w:sz="4" w:space="0" w:color="293F5B"/>
              <w:right w:val="nil"/>
            </w:tcBorders>
            <w:shd w:val="clear" w:color="000000" w:fill="FFFFFF"/>
            <w:noWrap/>
            <w:vAlign w:val="center"/>
            <w:hideMark/>
          </w:tcPr>
          <w:p w14:paraId="233A8746" w14:textId="77777777" w:rsidR="008728E8" w:rsidRPr="00576DC7" w:rsidRDefault="008728E8" w:rsidP="008728E8">
            <w:pPr>
              <w:spacing w:before="0" w:after="0" w:line="240" w:lineRule="auto"/>
              <w:jc w:val="right"/>
              <w:rPr>
                <w:rFonts w:ascii="Arial" w:hAnsi="Arial" w:cs="Arial"/>
                <w:sz w:val="16"/>
                <w:szCs w:val="16"/>
              </w:rPr>
            </w:pPr>
            <w:r w:rsidRPr="00576DC7">
              <w:rPr>
                <w:rFonts w:ascii="Arial" w:hAnsi="Arial" w:cs="Arial"/>
                <w:sz w:val="16"/>
                <w:szCs w:val="16"/>
              </w:rPr>
              <w:t>1.1</w:t>
            </w:r>
          </w:p>
        </w:tc>
      </w:tr>
    </w:tbl>
    <w:p w14:paraId="36D8030A" w14:textId="75769365" w:rsidR="00D52AD3" w:rsidRPr="00576DC7" w:rsidRDefault="00411F6E" w:rsidP="008728E8">
      <w:pPr>
        <w:pStyle w:val="ChartandTableFootnoteAlpha"/>
        <w:rPr>
          <w:rFonts w:eastAsiaTheme="minorEastAsia"/>
          <w:color w:val="auto"/>
        </w:rPr>
      </w:pPr>
      <w:r w:rsidRPr="00576DC7">
        <w:rPr>
          <w:rFonts w:eastAsiaTheme="minorEastAsia"/>
          <w:color w:val="auto"/>
        </w:rPr>
        <w:t>Total is equal to the sum of amounts from 2024–25 to 2028–29.</w:t>
      </w:r>
      <w:r w:rsidR="00C05BED" w:rsidRPr="00712254">
        <w:t xml:space="preserve"> </w:t>
      </w:r>
    </w:p>
    <w:p w14:paraId="2B46D819" w14:textId="1E3B64E1" w:rsidR="00B2621F" w:rsidRPr="00712254" w:rsidRDefault="00B2621F" w:rsidP="00F66D61">
      <w:pPr>
        <w:pStyle w:val="ChartandTableFootnoteAlpha"/>
        <w:rPr>
          <w:rFonts w:eastAsiaTheme="minorEastAsia"/>
        </w:rPr>
      </w:pPr>
      <w:r w:rsidRPr="00576DC7">
        <w:rPr>
          <w:rFonts w:eastAsiaTheme="minorEastAsia"/>
          <w:color w:val="auto"/>
        </w:rPr>
        <w:t>Equivalent to cash payments for operating activities, purchases of non</w:t>
      </w:r>
      <w:r w:rsidR="00404C26">
        <w:rPr>
          <w:rFonts w:eastAsiaTheme="minorEastAsia"/>
          <w:color w:val="auto"/>
        </w:rPr>
        <w:noBreakHyphen/>
      </w:r>
      <w:r w:rsidRPr="00576DC7">
        <w:rPr>
          <w:rFonts w:eastAsiaTheme="minorEastAsia"/>
          <w:color w:val="auto"/>
        </w:rPr>
        <w:t>financial assets and principal payments of lease liabilities.</w:t>
      </w:r>
      <w:r w:rsidRPr="00712254">
        <w:t xml:space="preserve"> </w:t>
      </w:r>
    </w:p>
    <w:p w14:paraId="57DD0B60" w14:textId="310EC229" w:rsidR="00B2621F" w:rsidRPr="00712254" w:rsidRDefault="00B2621F" w:rsidP="00EF6527">
      <w:pPr>
        <w:pStyle w:val="ChartandTableFootnoteAlpha"/>
        <w:rPr>
          <w:rFonts w:eastAsiaTheme="minorEastAsia"/>
          <w:color w:val="auto"/>
        </w:rPr>
      </w:pPr>
      <w:r w:rsidRPr="00576DC7">
        <w:rPr>
          <w:rFonts w:eastAsiaTheme="minorEastAsia"/>
          <w:color w:val="auto"/>
        </w:rPr>
        <w:t>Gross debt measures the face value of Australian Government Securities (AGS) on issue</w:t>
      </w:r>
      <w:r w:rsidR="004428DB" w:rsidRPr="00576DC7">
        <w:rPr>
          <w:rFonts w:eastAsiaTheme="minorEastAsia"/>
          <w:color w:val="auto"/>
        </w:rPr>
        <w:t xml:space="preserve"> and is presented as at the end of </w:t>
      </w:r>
      <w:r w:rsidR="00D75104" w:rsidRPr="00576DC7">
        <w:rPr>
          <w:rFonts w:eastAsiaTheme="minorEastAsia"/>
          <w:color w:val="auto"/>
        </w:rPr>
        <w:t>the financial year</w:t>
      </w:r>
      <w:r w:rsidRPr="00576DC7">
        <w:rPr>
          <w:rFonts w:eastAsiaTheme="minorEastAsia"/>
          <w:color w:val="auto"/>
        </w:rPr>
        <w:t>.</w:t>
      </w:r>
      <w:r w:rsidRPr="591FF694">
        <w:rPr>
          <w:rFonts w:eastAsiaTheme="minorEastAsia"/>
          <w:color w:val="auto"/>
        </w:rPr>
        <w:t xml:space="preserve"> </w:t>
      </w:r>
    </w:p>
    <w:p w14:paraId="560A48FA" w14:textId="7545B2B2" w:rsidR="00B2621F" w:rsidRPr="00712254" w:rsidRDefault="00B2621F" w:rsidP="00EF6527">
      <w:pPr>
        <w:pStyle w:val="ChartandTableFootnoteAlpha"/>
        <w:rPr>
          <w:rFonts w:eastAsiaTheme="minorEastAsia"/>
          <w:color w:val="auto"/>
        </w:rPr>
      </w:pPr>
      <w:r w:rsidRPr="00576DC7">
        <w:rPr>
          <w:rFonts w:eastAsiaTheme="minorEastAsia"/>
          <w:color w:val="auto"/>
        </w:rPr>
        <w:t>Net debt is the sum of interest</w:t>
      </w:r>
      <w:r w:rsidR="00404C26">
        <w:rPr>
          <w:rFonts w:eastAsiaTheme="minorEastAsia"/>
          <w:color w:val="auto"/>
        </w:rPr>
        <w:noBreakHyphen/>
      </w:r>
      <w:r w:rsidRPr="00576DC7">
        <w:rPr>
          <w:rFonts w:eastAsiaTheme="minorEastAsia"/>
          <w:color w:val="auto"/>
        </w:rPr>
        <w:t>bearing liabilities (which includes AGS on issue measured at market value) less the sum of selected financial assets (cash and deposits, advances paid and investments, loans and placements)</w:t>
      </w:r>
      <w:r w:rsidR="002744CD" w:rsidRPr="00576DC7">
        <w:rPr>
          <w:rFonts w:eastAsiaTheme="minorEastAsia"/>
          <w:color w:val="auto"/>
        </w:rPr>
        <w:t xml:space="preserve"> and is presented </w:t>
      </w:r>
      <w:r w:rsidR="00CC30DD" w:rsidRPr="00576DC7">
        <w:rPr>
          <w:rFonts w:eastAsiaTheme="minorEastAsia"/>
          <w:color w:val="auto"/>
        </w:rPr>
        <w:t>as at the end of the financial year.</w:t>
      </w:r>
    </w:p>
    <w:p w14:paraId="7C5EE33B" w14:textId="1A71EAE7" w:rsidR="00194DCC" w:rsidRPr="00576DC7" w:rsidRDefault="00B2621F" w:rsidP="00411F6E">
      <w:pPr>
        <w:pStyle w:val="ChartandTableFootnoteAlpha"/>
        <w:rPr>
          <w:color w:val="auto"/>
        </w:rPr>
      </w:pPr>
      <w:r w:rsidRPr="00576DC7">
        <w:rPr>
          <w:rFonts w:eastAsiaTheme="minorEastAsia"/>
          <w:color w:val="auto"/>
        </w:rPr>
        <w:t xml:space="preserve">Net interest payments are equal to the difference between interest payments and interest receipts. </w:t>
      </w:r>
    </w:p>
    <w:p w14:paraId="169FD211" w14:textId="3377EAA8" w:rsidR="00B2621F" w:rsidRPr="00712254" w:rsidRDefault="00B2621F" w:rsidP="003968DD">
      <w:pPr>
        <w:pStyle w:val="TableLine"/>
      </w:pPr>
      <w:bookmarkStart w:id="9" w:name="_Toc117356555"/>
    </w:p>
    <w:p w14:paraId="0C4A986A" w14:textId="5DFFA55E" w:rsidR="00B2621F" w:rsidRPr="00576DC7" w:rsidRDefault="00B2621F" w:rsidP="00B2621F">
      <w:pPr>
        <w:pStyle w:val="Heading2"/>
      </w:pPr>
      <w:bookmarkStart w:id="10" w:name="_Toc193537046"/>
      <w:r w:rsidRPr="00576DC7">
        <w:lastRenderedPageBreak/>
        <w:t>Economic and Fiscal Strategy</w:t>
      </w:r>
      <w:bookmarkEnd w:id="9"/>
      <w:bookmarkEnd w:id="10"/>
    </w:p>
    <w:p w14:paraId="24C5E3DD" w14:textId="03B55161" w:rsidR="00B2621F" w:rsidRPr="00712254" w:rsidRDefault="00B2621F" w:rsidP="00B2621F">
      <w:r w:rsidRPr="00576DC7">
        <w:t>The Government</w:t>
      </w:r>
      <w:r w:rsidR="00404C26">
        <w:t>’</w:t>
      </w:r>
      <w:r w:rsidRPr="00576DC7">
        <w:t>s Economic and Fiscal Strategy is making the economy and the budget stronger, more resilient and more sustainable over the medium term (Box 3.1). The</w:t>
      </w:r>
      <w:r w:rsidRPr="00576DC7" w:rsidDel="000D7293">
        <w:t xml:space="preserve"> </w:t>
      </w:r>
      <w:r w:rsidR="000D7293" w:rsidRPr="00576DC7" w:rsidDel="006D5BFA">
        <w:t>S</w:t>
      </w:r>
      <w:r w:rsidR="000D7293" w:rsidRPr="00576DC7">
        <w:t xml:space="preserve">trategy </w:t>
      </w:r>
      <w:r w:rsidRPr="00576DC7">
        <w:t xml:space="preserve">is consistent with the requirements of the </w:t>
      </w:r>
      <w:r w:rsidRPr="00576DC7">
        <w:rPr>
          <w:rStyle w:val="Emphasis"/>
        </w:rPr>
        <w:t>Charter of Budget Honesty Act 1998</w:t>
      </w:r>
      <w:r w:rsidRPr="00576DC7">
        <w:t xml:space="preserve">, with </w:t>
      </w:r>
      <w:r w:rsidRPr="00576DC7">
        <w:rPr>
          <w:rStyle w:val="BoxTextChar"/>
          <w:rFonts w:eastAsia="Calibri"/>
        </w:rPr>
        <w:t>progress reviewed each budget update</w:t>
      </w:r>
      <w:r w:rsidRPr="00576DC7">
        <w:rPr>
          <w:rFonts w:eastAsia="Calibri"/>
        </w:rPr>
        <w:t>.</w:t>
      </w:r>
      <w:r w:rsidR="00CF3281" w:rsidRPr="00576DC7">
        <w:t xml:space="preserve"> </w:t>
      </w:r>
      <w:r w:rsidR="00083B18" w:rsidRPr="00576DC7">
        <w:t xml:space="preserve">The Strategy is unchanged since MYEFO. </w:t>
      </w:r>
    </w:p>
    <w:tbl>
      <w:tblPr>
        <w:tblpPr w:leftFromText="180" w:rightFromText="180" w:vertAnchor="text" w:horzAnchor="margin" w:tblpY="-57"/>
        <w:tblW w:w="5024" w:type="pct"/>
        <w:shd w:val="clear" w:color="auto" w:fill="E6F2FF"/>
        <w:tblCellMar>
          <w:top w:w="284" w:type="dxa"/>
          <w:left w:w="284" w:type="dxa"/>
          <w:bottom w:w="284" w:type="dxa"/>
          <w:right w:w="284" w:type="dxa"/>
        </w:tblCellMar>
        <w:tblLook w:val="0000" w:firstRow="0" w:lastRow="0" w:firstColumn="0" w:lastColumn="0" w:noHBand="0" w:noVBand="0"/>
      </w:tblPr>
      <w:tblGrid>
        <w:gridCol w:w="7747"/>
      </w:tblGrid>
      <w:tr w:rsidR="00B2621F" w:rsidRPr="00712254" w14:paraId="1048941A" w14:textId="77777777">
        <w:tc>
          <w:tcPr>
            <w:tcW w:w="5000" w:type="pct"/>
            <w:shd w:val="clear" w:color="auto" w:fill="E6F2FF"/>
          </w:tcPr>
          <w:p w14:paraId="56C36874" w14:textId="142FAABA" w:rsidR="00B2621F" w:rsidRPr="00576DC7" w:rsidRDefault="00B2621F">
            <w:pPr>
              <w:pStyle w:val="BoxHeading"/>
            </w:pPr>
            <w:r w:rsidRPr="00576DC7">
              <w:t>Box 3.1: The Government</w:t>
            </w:r>
            <w:r w:rsidR="00404C26">
              <w:t>’</w:t>
            </w:r>
            <w:r w:rsidRPr="00576DC7">
              <w:t>s Economic and Fiscal Strategy</w:t>
            </w:r>
            <w:r w:rsidR="00CF3281" w:rsidRPr="00576DC7">
              <w:t xml:space="preserve"> </w:t>
            </w:r>
          </w:p>
          <w:p w14:paraId="218B1BCF" w14:textId="485F9AAD" w:rsidR="00B2621F" w:rsidRPr="00576DC7" w:rsidRDefault="00B2621F">
            <w:pPr>
              <w:pStyle w:val="BoxText"/>
              <w:rPr>
                <w:rFonts w:eastAsia="Calibri"/>
              </w:rPr>
            </w:pPr>
            <w:r w:rsidRPr="00576DC7">
              <w:rPr>
                <w:rFonts w:eastAsia="Calibri"/>
              </w:rPr>
              <w:t>The Government</w:t>
            </w:r>
            <w:r w:rsidR="00404C26">
              <w:rPr>
                <w:rFonts w:eastAsia="Calibri"/>
              </w:rPr>
              <w:t>’</w:t>
            </w:r>
            <w:r w:rsidRPr="00576DC7">
              <w:rPr>
                <w:rFonts w:eastAsia="Calibri"/>
              </w:rPr>
              <w:t xml:space="preserve">s Economic and Fiscal Strategy will make the economy more resilient and put the budget on a more sustainable footing over time. </w:t>
            </w:r>
          </w:p>
          <w:p w14:paraId="70B69CBA" w14:textId="08F57782" w:rsidR="00B2621F" w:rsidRPr="00576DC7" w:rsidRDefault="00B2621F">
            <w:pPr>
              <w:pStyle w:val="BoxText"/>
              <w:rPr>
                <w:rFonts w:eastAsia="Calibri"/>
              </w:rPr>
            </w:pPr>
            <w:r w:rsidRPr="00576DC7">
              <w:rPr>
                <w:rFonts w:eastAsia="Calibri"/>
              </w:rPr>
              <w:t xml:space="preserve">The </w:t>
            </w:r>
            <w:r w:rsidRPr="00576DC7" w:rsidDel="006D5BFA">
              <w:rPr>
                <w:rFonts w:eastAsia="Calibri"/>
              </w:rPr>
              <w:t>S</w:t>
            </w:r>
            <w:r w:rsidRPr="00576DC7">
              <w:rPr>
                <w:rFonts w:eastAsia="Calibri"/>
              </w:rPr>
              <w:t>trategy is focused on the objectives of strong, inclusive and sustainable economic growth, full employment, growing real wages, ensuring women</w:t>
            </w:r>
            <w:r w:rsidR="00404C26">
              <w:rPr>
                <w:rFonts w:eastAsia="Calibri"/>
              </w:rPr>
              <w:t>’</w:t>
            </w:r>
            <w:r w:rsidRPr="00576DC7">
              <w:rPr>
                <w:rFonts w:eastAsia="Calibri"/>
              </w:rPr>
              <w:t xml:space="preserve">s economic participation and equality, and improving living standards for all Australians. </w:t>
            </w:r>
          </w:p>
          <w:p w14:paraId="28A7852E" w14:textId="77777777" w:rsidR="00B2621F" w:rsidRPr="00576DC7" w:rsidRDefault="00B2621F">
            <w:pPr>
              <w:pStyle w:val="BoxText"/>
              <w:rPr>
                <w:rFonts w:eastAsia="Calibri"/>
              </w:rPr>
            </w:pPr>
            <w:r w:rsidRPr="00576DC7">
              <w:rPr>
                <w:rFonts w:eastAsia="Calibri"/>
              </w:rPr>
              <w:t>The Government will improve the budget position in a measured way, consistent with the overarching goal of reducing gross debt as a share of the economy over time. This approach enables fiscal policy to respond to changes in economic conditions to support macroeconomic stability, including in times of high inflation.</w:t>
            </w:r>
          </w:p>
          <w:p w14:paraId="3DAD080F" w14:textId="77777777" w:rsidR="00B2621F" w:rsidRPr="00576DC7" w:rsidRDefault="00B2621F">
            <w:pPr>
              <w:pStyle w:val="BoxText"/>
              <w:rPr>
                <w:rFonts w:eastAsia="Calibri"/>
              </w:rPr>
            </w:pPr>
            <w:r w:rsidRPr="00576DC7">
              <w:rPr>
                <w:rFonts w:eastAsia="Calibri"/>
              </w:rPr>
              <w:t xml:space="preserve">These objectives will be achieved by investments that grow the economy and expand productive capacity, and budget discipline that restrains spending growth and enhances the quality of spending. The budget will be improved in a manner consistent with the objective of maintaining full employment, while continuing to deliver essential services. </w:t>
            </w:r>
          </w:p>
          <w:p w14:paraId="321AF2D4" w14:textId="7D894DE1" w:rsidR="00B2621F" w:rsidRPr="00576DC7" w:rsidRDefault="00B2621F">
            <w:pPr>
              <w:pStyle w:val="BoxText"/>
              <w:rPr>
                <w:rFonts w:eastAsia="Calibri"/>
              </w:rPr>
            </w:pPr>
            <w:r w:rsidRPr="00576DC7">
              <w:rPr>
                <w:rFonts w:eastAsia="Calibri"/>
              </w:rPr>
              <w:t>Putting the budget on a more sustainable footing will ensure the Government has the fiscal buffers to withstand economic shocks and better manage the fiscal pressures from an ageing population and climate change.</w:t>
            </w:r>
          </w:p>
          <w:p w14:paraId="4EE27E84" w14:textId="77777777" w:rsidR="00B2621F" w:rsidRPr="00576DC7" w:rsidRDefault="00B2621F">
            <w:pPr>
              <w:pStyle w:val="BoxText"/>
              <w:rPr>
                <w:rFonts w:eastAsia="Calibri"/>
              </w:rPr>
            </w:pPr>
            <w:r w:rsidRPr="00576DC7">
              <w:rPr>
                <w:rFonts w:eastAsia="Calibri"/>
              </w:rPr>
              <w:t>These commitments will be underpinned by the following elements:</w:t>
            </w:r>
          </w:p>
          <w:p w14:paraId="621C5D13" w14:textId="4865B430" w:rsidR="00B2621F" w:rsidRPr="00576DC7" w:rsidRDefault="00B2621F">
            <w:pPr>
              <w:pStyle w:val="BoxBullet"/>
              <w:rPr>
                <w:rFonts w:eastAsia="Calibri"/>
              </w:rPr>
            </w:pPr>
            <w:r w:rsidRPr="00576DC7">
              <w:rPr>
                <w:rFonts w:eastAsia="Calibri"/>
              </w:rPr>
              <w:t xml:space="preserve">Allowing tax receipts and income support to respond in line with changes in the economy and directing </w:t>
            </w:r>
            <w:proofErr w:type="gramStart"/>
            <w:r w:rsidRPr="00576DC7">
              <w:rPr>
                <w:rFonts w:eastAsia="Calibri"/>
              </w:rPr>
              <w:t>the majority of</w:t>
            </w:r>
            <w:proofErr w:type="gramEnd"/>
            <w:r w:rsidRPr="00576DC7">
              <w:rPr>
                <w:rFonts w:eastAsia="Calibri"/>
              </w:rPr>
              <w:t xml:space="preserve"> improvements in tax receipts to budget repair. </w:t>
            </w:r>
          </w:p>
          <w:p w14:paraId="752B9AE9" w14:textId="00BE6F21" w:rsidR="00B2621F" w:rsidRPr="00576DC7" w:rsidRDefault="00B2621F">
            <w:pPr>
              <w:pStyle w:val="BoxBullet"/>
              <w:rPr>
                <w:rFonts w:eastAsia="Calibri"/>
              </w:rPr>
            </w:pPr>
            <w:r w:rsidRPr="00576DC7">
              <w:rPr>
                <w:rFonts w:eastAsia="Calibri"/>
              </w:rPr>
              <w:t xml:space="preserve">Limiting growth in spending until gross debt as a share of GDP is on a downwards trajectory, while growth prospects are </w:t>
            </w:r>
            <w:proofErr w:type="gramStart"/>
            <w:r w:rsidRPr="00576DC7">
              <w:rPr>
                <w:rFonts w:eastAsia="Calibri"/>
              </w:rPr>
              <w:t>sound</w:t>
            </w:r>
            <w:proofErr w:type="gramEnd"/>
            <w:r w:rsidRPr="00576DC7">
              <w:rPr>
                <w:rFonts w:eastAsia="Calibri"/>
              </w:rPr>
              <w:t xml:space="preserve"> and unemployment is low.</w:t>
            </w:r>
          </w:p>
          <w:p w14:paraId="24E2C3E6" w14:textId="24BA08BA" w:rsidR="00B2621F" w:rsidRPr="00576DC7" w:rsidRDefault="00B2621F">
            <w:pPr>
              <w:pStyle w:val="BoxBullet"/>
              <w:rPr>
                <w:rFonts w:eastAsia="Calibri"/>
              </w:rPr>
            </w:pPr>
            <w:r w:rsidRPr="00576DC7">
              <w:rPr>
                <w:rFonts w:eastAsia="Calibri"/>
              </w:rPr>
              <w:t>Improving the efficiency, quality and sustainability of spending.</w:t>
            </w:r>
          </w:p>
          <w:p w14:paraId="2A820DB9" w14:textId="0FED82D8" w:rsidR="00B2621F" w:rsidRPr="00576DC7" w:rsidRDefault="00B2621F">
            <w:pPr>
              <w:pStyle w:val="BoxBullet"/>
              <w:rPr>
                <w:rFonts w:eastAsia="Calibri"/>
              </w:rPr>
            </w:pPr>
            <w:r w:rsidRPr="00576DC7">
              <w:rPr>
                <w:rFonts w:eastAsia="Calibri"/>
              </w:rPr>
              <w:t>Focusing new spending on investments and reforms that build the capability of our people, expand the productive capacity of our economy, and support action on climate change.</w:t>
            </w:r>
          </w:p>
          <w:p w14:paraId="5A552A67" w14:textId="171B7A4D" w:rsidR="00CF3281" w:rsidRPr="00712254" w:rsidRDefault="00B2621F" w:rsidP="00CF3281">
            <w:pPr>
              <w:pStyle w:val="BoxBullet"/>
              <w:rPr>
                <w:rFonts w:eastAsia="Calibri"/>
              </w:rPr>
            </w:pPr>
            <w:r w:rsidRPr="00576DC7">
              <w:rPr>
                <w:rFonts w:eastAsia="Calibri"/>
              </w:rPr>
              <w:t>Delivering a tax system that funds government services in an efficient, fair and sustainable way.</w:t>
            </w:r>
            <w:r w:rsidR="00CF3281" w:rsidRPr="00576DC7">
              <w:rPr>
                <w:rFonts w:eastAsia="Calibri"/>
              </w:rPr>
              <w:t xml:space="preserve"> </w:t>
            </w:r>
          </w:p>
        </w:tc>
      </w:tr>
    </w:tbl>
    <w:p w14:paraId="4B666563" w14:textId="48D7BA86" w:rsidR="00B2621F" w:rsidRPr="00576DC7" w:rsidRDefault="00B2621F" w:rsidP="00B2621F">
      <w:pPr>
        <w:pStyle w:val="Heading3"/>
      </w:pPr>
      <w:bookmarkStart w:id="11" w:name="_Toc193537047"/>
      <w:r w:rsidRPr="00576DC7">
        <w:lastRenderedPageBreak/>
        <w:t>Delivering on the Economic and Fiscal Strategy</w:t>
      </w:r>
      <w:bookmarkEnd w:id="11"/>
    </w:p>
    <w:p w14:paraId="385F5C02" w14:textId="46F7336D" w:rsidR="00EF7C90" w:rsidRPr="00576DC7" w:rsidRDefault="00EF7C90" w:rsidP="006C72A7">
      <w:r w:rsidRPr="00576DC7">
        <w:t>This Budget delivers on the Government</w:t>
      </w:r>
      <w:r w:rsidR="00404C26">
        <w:t>’</w:t>
      </w:r>
      <w:r w:rsidRPr="00576DC7">
        <w:t>s Economic and Fiscal Strategy by:</w:t>
      </w:r>
    </w:p>
    <w:p w14:paraId="0B4F43E4" w14:textId="403192C1" w:rsidR="00460428" w:rsidRPr="008D283E" w:rsidRDefault="00EF7C90" w:rsidP="00460428">
      <w:pPr>
        <w:pStyle w:val="Bullet"/>
      </w:pPr>
      <w:r w:rsidRPr="00576DC7">
        <w:t xml:space="preserve">Improving the budget </w:t>
      </w:r>
      <w:r w:rsidR="00460428" w:rsidRPr="00576DC7">
        <w:t xml:space="preserve">position. </w:t>
      </w:r>
    </w:p>
    <w:p w14:paraId="7AEC4915" w14:textId="537164B7" w:rsidR="00460428" w:rsidRPr="00F43808" w:rsidRDefault="00460428" w:rsidP="00460428">
      <w:pPr>
        <w:pStyle w:val="Dash"/>
      </w:pPr>
      <w:r w:rsidRPr="00576DC7">
        <w:t xml:space="preserve">The underlying cash balance has improved by a cumulative </w:t>
      </w:r>
      <w:r w:rsidRPr="00576DC7" w:rsidDel="00C72F72">
        <w:t>$</w:t>
      </w:r>
      <w:r w:rsidRPr="00576DC7">
        <w:t>207</w:t>
      </w:r>
      <w:r w:rsidR="004259B9" w:rsidRPr="00576DC7">
        <w:t> billion</w:t>
      </w:r>
      <w:r w:rsidRPr="00576DC7">
        <w:t xml:space="preserve"> over the seven years to 2028–29, compared to projections at the PEFO.</w:t>
      </w:r>
      <w:r w:rsidRPr="008D283E">
        <w:t xml:space="preserve"> </w:t>
      </w:r>
    </w:p>
    <w:p w14:paraId="38CB7CA4" w14:textId="27F20F90" w:rsidR="00293114" w:rsidRDefault="00DF7CDC" w:rsidP="006F1110">
      <w:pPr>
        <w:pStyle w:val="Dash"/>
      </w:pPr>
      <w:r w:rsidRPr="00576DC7">
        <w:t>Since MYEFO, th</w:t>
      </w:r>
      <w:r w:rsidR="006F1110" w:rsidRPr="00576DC7">
        <w:t xml:space="preserve">e underlying cash balance </w:t>
      </w:r>
      <w:r w:rsidRPr="00576DC7">
        <w:t>has</w:t>
      </w:r>
      <w:r w:rsidR="006F1110" w:rsidRPr="00576DC7">
        <w:t xml:space="preserve"> improved by $</w:t>
      </w:r>
      <w:r w:rsidR="00D50321" w:rsidRPr="00576DC7">
        <w:t>1.6</w:t>
      </w:r>
      <w:r w:rsidR="004259B9" w:rsidRPr="00576DC7">
        <w:t> billion</w:t>
      </w:r>
      <w:r w:rsidR="006F1110" w:rsidRPr="00576DC7">
        <w:t xml:space="preserve"> over the </w:t>
      </w:r>
      <w:r w:rsidR="00542560" w:rsidRPr="00576DC7">
        <w:t xml:space="preserve">five </w:t>
      </w:r>
      <w:r w:rsidR="00FE4FFC" w:rsidRPr="00576DC7">
        <w:t>years to 2028–29.</w:t>
      </w:r>
      <w:r w:rsidR="005C09D9" w:rsidRPr="008D283E">
        <w:t xml:space="preserve"> </w:t>
      </w:r>
    </w:p>
    <w:p w14:paraId="4DAD508E" w14:textId="5CBF0615" w:rsidR="005C548B" w:rsidRPr="00576DC7" w:rsidRDefault="005C548B" w:rsidP="005C548B">
      <w:pPr>
        <w:pStyle w:val="Dash"/>
      </w:pPr>
      <w:r w:rsidRPr="00576DC7">
        <w:t xml:space="preserve">A deficit of </w:t>
      </w:r>
      <w:r w:rsidR="00783AC7" w:rsidRPr="00576DC7">
        <w:t>1.5</w:t>
      </w:r>
      <w:r w:rsidR="00F13DFE" w:rsidRPr="00576DC7">
        <w:t> </w:t>
      </w:r>
      <w:r w:rsidRPr="00576DC7">
        <w:t>per cent of GDP ($</w:t>
      </w:r>
      <w:r w:rsidR="00783AC7" w:rsidRPr="00576DC7">
        <w:t>42.1</w:t>
      </w:r>
      <w:r w:rsidR="004259B9" w:rsidRPr="00576DC7">
        <w:t> billion</w:t>
      </w:r>
      <w:r w:rsidRPr="00576DC7">
        <w:t>) is forecast in 2025</w:t>
      </w:r>
      <w:r w:rsidR="004144E5" w:rsidRPr="00576DC7">
        <w:t>–</w:t>
      </w:r>
      <w:r w:rsidRPr="00576DC7">
        <w:t xml:space="preserve">26, an improvement of </w:t>
      </w:r>
      <w:r w:rsidR="00783AC7" w:rsidRPr="00576DC7">
        <w:t>0.2</w:t>
      </w:r>
      <w:r w:rsidR="00F13DFE" w:rsidRPr="00576DC7">
        <w:t> </w:t>
      </w:r>
      <w:r w:rsidRPr="00576DC7">
        <w:t>percentage points of GDP since MYEFO</w:t>
      </w:r>
      <w:r w:rsidR="0082232E" w:rsidRPr="00576DC7">
        <w:t>.</w:t>
      </w:r>
    </w:p>
    <w:p w14:paraId="5FBD7202" w14:textId="3F5C8DF7" w:rsidR="000B02AD" w:rsidRPr="00712254" w:rsidRDefault="00EF7C90" w:rsidP="000B02AD">
      <w:pPr>
        <w:pStyle w:val="Bullet"/>
      </w:pPr>
      <w:r w:rsidRPr="00576DC7">
        <w:t>Reducing debt as a share of the economy over time.</w:t>
      </w:r>
      <w:r w:rsidR="0082232E">
        <w:t xml:space="preserve"> </w:t>
      </w:r>
      <w:r w:rsidR="006155F8" w:rsidRPr="008D283E">
        <w:t xml:space="preserve"> </w:t>
      </w:r>
    </w:p>
    <w:p w14:paraId="730D4E13" w14:textId="7FB78B00" w:rsidR="00EF7C90" w:rsidRPr="008D283E" w:rsidRDefault="00EF7C90" w:rsidP="000B02AD">
      <w:pPr>
        <w:pStyle w:val="Dash"/>
      </w:pPr>
      <w:r w:rsidRPr="00576DC7">
        <w:t>Gross debt</w:t>
      </w:r>
      <w:r w:rsidR="00404C26">
        <w:noBreakHyphen/>
      </w:r>
      <w:r w:rsidRPr="00576DC7">
        <w:t>to</w:t>
      </w:r>
      <w:r w:rsidR="00404C26">
        <w:noBreakHyphen/>
      </w:r>
      <w:r w:rsidRPr="00576DC7">
        <w:t xml:space="preserve">GDP is expected to </w:t>
      </w:r>
      <w:r w:rsidR="005C548B" w:rsidRPr="00576DC7">
        <w:t>peak</w:t>
      </w:r>
      <w:r w:rsidRPr="00576DC7">
        <w:t xml:space="preserve"> at </w:t>
      </w:r>
      <w:r w:rsidR="00B076C0" w:rsidRPr="00576DC7">
        <w:t>37.0</w:t>
      </w:r>
      <w:r w:rsidRPr="00576DC7">
        <w:t xml:space="preserve"> per cent </w:t>
      </w:r>
      <w:proofErr w:type="gramStart"/>
      <w:r w:rsidR="009A602D" w:rsidRPr="00576DC7">
        <w:t>at</w:t>
      </w:r>
      <w:proofErr w:type="gramEnd"/>
      <w:r w:rsidR="009A602D" w:rsidRPr="00576DC7">
        <w:t xml:space="preserve"> </w:t>
      </w:r>
      <w:r w:rsidRPr="00576DC7">
        <w:t>30</w:t>
      </w:r>
      <w:r w:rsidR="00F13DFE" w:rsidRPr="00576DC7">
        <w:t> </w:t>
      </w:r>
      <w:r w:rsidRPr="00576DC7">
        <w:t>June</w:t>
      </w:r>
      <w:r w:rsidR="00F13DFE" w:rsidRPr="00576DC7">
        <w:t> </w:t>
      </w:r>
      <w:r w:rsidR="00EE5F59" w:rsidRPr="00576DC7">
        <w:t>2030</w:t>
      </w:r>
      <w:r w:rsidRPr="00576DC7">
        <w:t xml:space="preserve"> and then fall to </w:t>
      </w:r>
      <w:r w:rsidR="00EE39A6" w:rsidRPr="00576DC7">
        <w:t xml:space="preserve">31.9 </w:t>
      </w:r>
      <w:r w:rsidRPr="00576DC7">
        <w:t>per</w:t>
      </w:r>
      <w:r w:rsidR="00F13DFE" w:rsidRPr="00576DC7">
        <w:t> </w:t>
      </w:r>
      <w:r w:rsidRPr="00576DC7">
        <w:t>cent at 30</w:t>
      </w:r>
      <w:r w:rsidR="00F13DFE" w:rsidRPr="00576DC7">
        <w:t> </w:t>
      </w:r>
      <w:r w:rsidRPr="00576DC7">
        <w:t>June</w:t>
      </w:r>
      <w:r w:rsidR="00F13DFE" w:rsidRPr="00576DC7">
        <w:t> </w:t>
      </w:r>
      <w:r w:rsidRPr="00576DC7">
        <w:t>203</w:t>
      </w:r>
      <w:r w:rsidR="00F02ADF" w:rsidRPr="00576DC7">
        <w:t>6</w:t>
      </w:r>
      <w:r w:rsidRPr="00576DC7">
        <w:t>.</w:t>
      </w:r>
      <w:r w:rsidR="002C030E" w:rsidRPr="00576DC7">
        <w:t xml:space="preserve"> </w:t>
      </w:r>
    </w:p>
    <w:p w14:paraId="6079213E" w14:textId="0DCD0C2D" w:rsidR="00EF7C90" w:rsidRPr="008D283E" w:rsidRDefault="00EF7C90" w:rsidP="00EF7C90">
      <w:pPr>
        <w:pStyle w:val="Dash"/>
      </w:pPr>
      <w:r w:rsidRPr="00576DC7">
        <w:t>Gross debt is lower</w:t>
      </w:r>
      <w:r w:rsidR="00322BF5" w:rsidRPr="00576DC7">
        <w:t xml:space="preserve"> </w:t>
      </w:r>
      <w:r w:rsidR="00A142FC" w:rsidRPr="00576DC7">
        <w:t>by $1</w:t>
      </w:r>
      <w:r w:rsidR="00B469CB" w:rsidRPr="00576DC7">
        <w:t>77</w:t>
      </w:r>
      <w:r w:rsidR="004259B9" w:rsidRPr="00576DC7">
        <w:t> billion</w:t>
      </w:r>
      <w:r w:rsidR="00A142FC" w:rsidRPr="00576DC7">
        <w:t xml:space="preserve"> in </w:t>
      </w:r>
      <w:r w:rsidR="002D5EE6" w:rsidRPr="00576DC7">
        <w:t>2024–25</w:t>
      </w:r>
      <w:r w:rsidR="00A142FC" w:rsidRPr="00576DC7">
        <w:t>,</w:t>
      </w:r>
      <w:r w:rsidR="00CB5E45" w:rsidRPr="009D1CF1">
        <w:t xml:space="preserve"> </w:t>
      </w:r>
      <w:proofErr w:type="gramStart"/>
      <w:r w:rsidR="00A142FC" w:rsidRPr="00576DC7">
        <w:t>and also</w:t>
      </w:r>
      <w:proofErr w:type="gramEnd"/>
      <w:r w:rsidR="00A142FC" w:rsidRPr="00576DC7">
        <w:t xml:space="preserve"> </w:t>
      </w:r>
      <w:r w:rsidR="00464E39" w:rsidRPr="00576DC7">
        <w:t xml:space="preserve">lower </w:t>
      </w:r>
      <w:r w:rsidRPr="00576DC7">
        <w:t>in every year of the projection period than expected at the PEFO</w:t>
      </w:r>
      <w:r w:rsidR="00CB5E45" w:rsidRPr="00576DC7">
        <w:t>.</w:t>
      </w:r>
      <w:r w:rsidRPr="00576DC7">
        <w:t xml:space="preserve"> </w:t>
      </w:r>
    </w:p>
    <w:p w14:paraId="21FD288F" w14:textId="0280E4C3" w:rsidR="00EF7C90" w:rsidRPr="00576DC7" w:rsidRDefault="00EF7C90" w:rsidP="00EF7C90">
      <w:pPr>
        <w:pStyle w:val="Dash"/>
      </w:pPr>
      <w:r w:rsidRPr="00576DC7">
        <w:t>Gross debt</w:t>
      </w:r>
      <w:r w:rsidR="00404C26">
        <w:noBreakHyphen/>
      </w:r>
      <w:r w:rsidR="005A27BD" w:rsidRPr="00576DC7">
        <w:t>to</w:t>
      </w:r>
      <w:r w:rsidR="00404C26">
        <w:noBreakHyphen/>
      </w:r>
      <w:r w:rsidR="005A27BD" w:rsidRPr="00576DC7">
        <w:t>GDP</w:t>
      </w:r>
      <w:r w:rsidRPr="00576DC7">
        <w:t xml:space="preserve"> is expected to </w:t>
      </w:r>
      <w:r w:rsidR="001368C1" w:rsidRPr="00576DC7">
        <w:t>peak</w:t>
      </w:r>
      <w:r w:rsidRPr="00576DC7">
        <w:t xml:space="preserve"> </w:t>
      </w:r>
      <w:r w:rsidR="0045742D" w:rsidRPr="00576DC7">
        <w:t>7.9</w:t>
      </w:r>
      <w:r w:rsidR="00064529" w:rsidRPr="00576DC7">
        <w:t> </w:t>
      </w:r>
      <w:r w:rsidRPr="00576DC7">
        <w:t>percentage points lower than the forecast peak at the PEFO. By 30</w:t>
      </w:r>
      <w:r w:rsidR="00064529" w:rsidRPr="00576DC7">
        <w:t> </w:t>
      </w:r>
      <w:r w:rsidRPr="00576DC7">
        <w:t>June</w:t>
      </w:r>
      <w:r w:rsidR="00064529" w:rsidRPr="00576DC7">
        <w:t> </w:t>
      </w:r>
      <w:r w:rsidRPr="00576DC7">
        <w:t xml:space="preserve">2033, gross debt is projected to be </w:t>
      </w:r>
      <w:r w:rsidR="00631CCF" w:rsidRPr="00576DC7">
        <w:t xml:space="preserve">around </w:t>
      </w:r>
      <w:r w:rsidRPr="00576DC7">
        <w:t>$</w:t>
      </w:r>
      <w:r w:rsidR="00475B28" w:rsidRPr="00576DC7">
        <w:t>7</w:t>
      </w:r>
      <w:r w:rsidR="00631CCF" w:rsidRPr="00576DC7">
        <w:t>6</w:t>
      </w:r>
      <w:r w:rsidR="004259B9" w:rsidRPr="00576DC7">
        <w:t> billion</w:t>
      </w:r>
      <w:r w:rsidRPr="00576DC7">
        <w:t xml:space="preserve"> (</w:t>
      </w:r>
      <w:r w:rsidR="00F41479" w:rsidRPr="00576DC7">
        <w:t>4.9</w:t>
      </w:r>
      <w:r w:rsidR="00FB1095" w:rsidRPr="00576DC7">
        <w:t> </w:t>
      </w:r>
      <w:r w:rsidRPr="00576DC7">
        <w:t>percentage points of GDP) lower than at the PEFO.</w:t>
      </w:r>
    </w:p>
    <w:p w14:paraId="0809B20C" w14:textId="2F9F049E" w:rsidR="00EF7C90" w:rsidRPr="00712254" w:rsidRDefault="00EF7C90" w:rsidP="00EF7C90">
      <w:pPr>
        <w:pStyle w:val="Dash"/>
      </w:pPr>
      <w:r w:rsidRPr="00576DC7">
        <w:t xml:space="preserve">Improvements to the budget position, compared to the PEFO, are expected to save </w:t>
      </w:r>
      <w:r w:rsidR="006E1B11" w:rsidRPr="00576DC7">
        <w:t xml:space="preserve">more than </w:t>
      </w:r>
      <w:r w:rsidRPr="00576DC7">
        <w:t>$</w:t>
      </w:r>
      <w:r w:rsidR="006E1B11" w:rsidRPr="00576DC7">
        <w:t>60</w:t>
      </w:r>
      <w:r w:rsidR="004259B9" w:rsidRPr="00576DC7">
        <w:t> billion</w:t>
      </w:r>
      <w:r w:rsidRPr="00576DC7">
        <w:t xml:space="preserve"> in interest payments </w:t>
      </w:r>
      <w:r w:rsidR="00514A86" w:rsidRPr="00576DC7">
        <w:t>over the 11</w:t>
      </w:r>
      <w:r w:rsidR="00064529" w:rsidRPr="00576DC7">
        <w:t> </w:t>
      </w:r>
      <w:r w:rsidR="00514A86" w:rsidRPr="00576DC7">
        <w:t>years to 2032–33.</w:t>
      </w:r>
      <w:r w:rsidRPr="00712254">
        <w:t xml:space="preserve"> </w:t>
      </w:r>
    </w:p>
    <w:p w14:paraId="6A651619" w14:textId="406CF926" w:rsidR="00EE7B13" w:rsidRPr="00712254" w:rsidRDefault="00EE7B13" w:rsidP="00EE7B13">
      <w:pPr>
        <w:pStyle w:val="Bullet"/>
      </w:pPr>
      <w:r w:rsidRPr="00576DC7">
        <w:t>Repairing the budget through $2.1</w:t>
      </w:r>
      <w:r w:rsidR="004259B9" w:rsidRPr="00576DC7">
        <w:t> billion</w:t>
      </w:r>
      <w:r w:rsidRPr="00576DC7">
        <w:t xml:space="preserve"> in savings and reprioritisations</w:t>
      </w:r>
      <w:r w:rsidRPr="00712254">
        <w:t xml:space="preserve"> </w:t>
      </w:r>
      <w:r w:rsidRPr="00576DC7">
        <w:t>and $1.8</w:t>
      </w:r>
      <w:r w:rsidR="004259B9" w:rsidRPr="00576DC7">
        <w:t> billion</w:t>
      </w:r>
      <w:r w:rsidRPr="00576DC7">
        <w:t xml:space="preserve"> in improvements to the tax system in this Budget.</w:t>
      </w:r>
      <w:r>
        <w:rPr>
          <w:color w:val="FF0000"/>
        </w:rPr>
        <w:t xml:space="preserve"> </w:t>
      </w:r>
      <w:r w:rsidRPr="00576DC7">
        <w:t>This brings total savings and spending reprioritisations to $94.1</w:t>
      </w:r>
      <w:r w:rsidR="004259B9" w:rsidRPr="00576DC7">
        <w:t> billion</w:t>
      </w:r>
      <w:r w:rsidRPr="00576DC7">
        <w:t>, and total budget improvements to $123.8</w:t>
      </w:r>
      <w:r w:rsidR="004259B9" w:rsidRPr="00576DC7">
        <w:t> billion</w:t>
      </w:r>
      <w:r w:rsidRPr="00576DC7">
        <w:t>, since the PEFO.</w:t>
      </w:r>
    </w:p>
    <w:p w14:paraId="430DBC63" w14:textId="67321870" w:rsidR="00EE7B13" w:rsidRPr="00712254" w:rsidRDefault="00EE7B13" w:rsidP="00EE7B13">
      <w:pPr>
        <w:pStyle w:val="Bullet"/>
      </w:pPr>
      <w:r w:rsidRPr="00576DC7">
        <w:t>Limiting spending, with real payments growth over the seven years to 2028–29 averaging 1.7 per cent per year, and 2.7 per cent per year over the five years to 2028</w:t>
      </w:r>
      <w:r w:rsidR="007940B6" w:rsidRPr="00576DC7">
        <w:t>–</w:t>
      </w:r>
      <w:r w:rsidRPr="00576DC7">
        <w:t>29. This compares to an annual average of 3.2 per cent over the past 30 years.</w:t>
      </w:r>
      <w:r w:rsidRPr="00712254">
        <w:t xml:space="preserve"> </w:t>
      </w:r>
    </w:p>
    <w:p w14:paraId="77001D65" w14:textId="600D11EC" w:rsidR="00EF7C90" w:rsidRPr="00576DC7" w:rsidRDefault="00EF7C90" w:rsidP="00EF7C90">
      <w:pPr>
        <w:pStyle w:val="Bullet"/>
      </w:pPr>
      <w:r w:rsidRPr="00576DC7">
        <w:t xml:space="preserve">Returning </w:t>
      </w:r>
      <w:proofErr w:type="gramStart"/>
      <w:r w:rsidRPr="00576DC7">
        <w:t>the majority of</w:t>
      </w:r>
      <w:proofErr w:type="gramEnd"/>
      <w:r w:rsidRPr="00576DC7">
        <w:t xml:space="preserve"> tax receipt upgrades to the budget.</w:t>
      </w:r>
    </w:p>
    <w:p w14:paraId="5A749DE1" w14:textId="3C05F3F5" w:rsidR="00EF7C90" w:rsidRPr="00576DC7" w:rsidRDefault="00B501CE" w:rsidP="00EF7C90">
      <w:pPr>
        <w:pStyle w:val="Dash"/>
      </w:pPr>
      <w:r w:rsidRPr="00576DC7">
        <w:t xml:space="preserve">Since coming to </w:t>
      </w:r>
      <w:r w:rsidR="00EE778E" w:rsidRPr="00576DC7">
        <w:t>G</w:t>
      </w:r>
      <w:r w:rsidRPr="00576DC7">
        <w:t>overnment, t</w:t>
      </w:r>
      <w:r w:rsidR="00EF7C90" w:rsidRPr="00576DC7">
        <w:t xml:space="preserve">he Government has returned </w:t>
      </w:r>
      <w:r w:rsidRPr="00576DC7">
        <w:t xml:space="preserve">to the budget </w:t>
      </w:r>
      <w:r w:rsidR="005135A6" w:rsidRPr="00576DC7">
        <w:t>69</w:t>
      </w:r>
      <w:r w:rsidR="001D2753" w:rsidRPr="00576DC7">
        <w:t> </w:t>
      </w:r>
      <w:r w:rsidR="00EF7C90" w:rsidRPr="00576DC7">
        <w:t>per</w:t>
      </w:r>
      <w:r w:rsidR="001D2753" w:rsidRPr="00576DC7">
        <w:t> </w:t>
      </w:r>
      <w:r w:rsidR="00EF7C90" w:rsidRPr="00576DC7">
        <w:t xml:space="preserve">cent of tax receipt upgrades </w:t>
      </w:r>
      <w:r w:rsidRPr="00576DC7">
        <w:t>over</w:t>
      </w:r>
      <w:r w:rsidR="00EF7C90" w:rsidRPr="00576DC7">
        <w:t xml:space="preserve"> the </w:t>
      </w:r>
      <w:r w:rsidR="006D6876" w:rsidRPr="00576DC7">
        <w:t>seven</w:t>
      </w:r>
      <w:r w:rsidR="001D2753" w:rsidRPr="00576DC7">
        <w:t> </w:t>
      </w:r>
      <w:r w:rsidR="00EF7C90" w:rsidRPr="00576DC7">
        <w:t xml:space="preserve">years to </w:t>
      </w:r>
      <w:r w:rsidR="007B1DC9" w:rsidRPr="00576DC7">
        <w:t>2028</w:t>
      </w:r>
      <w:r w:rsidR="00FC5D67" w:rsidRPr="00576DC7">
        <w:t>–</w:t>
      </w:r>
      <w:r w:rsidR="007B1DC9" w:rsidRPr="00576DC7">
        <w:t>29</w:t>
      </w:r>
      <w:r w:rsidR="00EF7C90" w:rsidRPr="00576DC7">
        <w:t>.</w:t>
      </w:r>
    </w:p>
    <w:p w14:paraId="46D9BA0C" w14:textId="339E6ECA" w:rsidR="00EF7C90" w:rsidRPr="00712254" w:rsidRDefault="00EF7C90" w:rsidP="00EF7C90">
      <w:pPr>
        <w:pStyle w:val="Dash"/>
      </w:pPr>
      <w:r w:rsidRPr="00576DC7">
        <w:t>The upgrades returned since the PEFO have improved the underlying cash balance by a cumulative $</w:t>
      </w:r>
      <w:r w:rsidR="00072208" w:rsidRPr="00576DC7">
        <w:t>249.</w:t>
      </w:r>
      <w:r w:rsidR="009D13BF" w:rsidRPr="00576DC7">
        <w:t>6</w:t>
      </w:r>
      <w:r w:rsidR="004259B9" w:rsidRPr="00576DC7">
        <w:t> billion</w:t>
      </w:r>
      <w:r w:rsidRPr="00576DC7">
        <w:t xml:space="preserve"> over </w:t>
      </w:r>
      <w:r w:rsidR="006D5691" w:rsidRPr="00576DC7">
        <w:t>seven</w:t>
      </w:r>
      <w:r w:rsidR="00075DEC" w:rsidRPr="00576DC7">
        <w:t xml:space="preserve"> years to 2028</w:t>
      </w:r>
      <w:r w:rsidR="00095B54" w:rsidRPr="00576DC7">
        <w:t>–</w:t>
      </w:r>
      <w:r w:rsidR="00075DEC" w:rsidRPr="00576DC7">
        <w:t>29</w:t>
      </w:r>
      <w:r w:rsidRPr="00576DC7">
        <w:t>,</w:t>
      </w:r>
      <w:r w:rsidR="0087295E" w:rsidRPr="00712254">
        <w:t xml:space="preserve"> </w:t>
      </w:r>
      <w:r w:rsidRPr="00576DC7">
        <w:t>avoiding $</w:t>
      </w:r>
      <w:r w:rsidR="00E83F0F" w:rsidRPr="00576DC7">
        <w:t>111.</w:t>
      </w:r>
      <w:r w:rsidR="009D13BF" w:rsidRPr="00576DC7">
        <w:t>6</w:t>
      </w:r>
      <w:r w:rsidR="004259B9" w:rsidRPr="00576DC7">
        <w:t> billion</w:t>
      </w:r>
      <w:r w:rsidRPr="00576DC7">
        <w:t xml:space="preserve"> in interest payments over the 11</w:t>
      </w:r>
      <w:r w:rsidR="001D2753" w:rsidRPr="00576DC7">
        <w:t> </w:t>
      </w:r>
      <w:r w:rsidRPr="00576DC7">
        <w:t>years to 2032–33.</w:t>
      </w:r>
      <w:r w:rsidRPr="00712254">
        <w:t xml:space="preserve"> </w:t>
      </w:r>
    </w:p>
    <w:p w14:paraId="71DCBAB7" w14:textId="70CF4BDA" w:rsidR="009E7931" w:rsidRDefault="00AA4A20" w:rsidP="002B7810">
      <w:r w:rsidRPr="00576DC7">
        <w:lastRenderedPageBreak/>
        <w:t>Fiscal policy has worked with monetary policy to return headline inflation to the target band in the second half of 2024. The Government</w:t>
      </w:r>
      <w:r w:rsidR="00404C26">
        <w:t>’</w:t>
      </w:r>
      <w:r w:rsidRPr="00576DC7">
        <w:t>s fiscal settings continue to be consistent with sustainably returning inflation to the target band, which is expected to occur around the middle of this year.</w:t>
      </w:r>
      <w:r w:rsidR="007F5BC8" w:rsidRPr="007F5BC8">
        <w:rPr>
          <w:color w:val="FF0000"/>
        </w:rPr>
        <w:t xml:space="preserve"> </w:t>
      </w:r>
      <w:r w:rsidR="00432422" w:rsidRPr="00576DC7">
        <w:t>Australia maintains one of the strongest fiscal positions amongst peer economies (see B</w:t>
      </w:r>
      <w:r w:rsidR="001E297A" w:rsidRPr="00576DC7">
        <w:t>ox 3.2)</w:t>
      </w:r>
      <w:r w:rsidR="00432422" w:rsidRPr="00576DC7">
        <w:t xml:space="preserve">. </w:t>
      </w:r>
    </w:p>
    <w:p w14:paraId="7FAB70D2" w14:textId="7CE18AA5" w:rsidR="007B417A" w:rsidRDefault="00B0166B" w:rsidP="002B7810">
      <w:r w:rsidRPr="00576DC7">
        <w:t>The Government</w:t>
      </w:r>
      <w:r w:rsidR="00404C26">
        <w:t>’</w:t>
      </w:r>
      <w:r w:rsidRPr="00576DC7">
        <w:t>s responsible economic and fiscal management has eased cost</w:t>
      </w:r>
      <w:r w:rsidR="00404C26">
        <w:noBreakHyphen/>
      </w:r>
      <w:r w:rsidRPr="00576DC7">
        <w:t>of</w:t>
      </w:r>
      <w:r w:rsidR="00404C26">
        <w:noBreakHyphen/>
      </w:r>
      <w:r w:rsidRPr="00576DC7">
        <w:t>living pressures for millions of Australians,</w:t>
      </w:r>
      <w:r w:rsidRPr="00FD0BCB">
        <w:t xml:space="preserve"> </w:t>
      </w:r>
      <w:r w:rsidRPr="00576DC7">
        <w:t xml:space="preserve">delivered the largest nominal budget improvement in a </w:t>
      </w:r>
      <w:r w:rsidR="00B87703" w:rsidRPr="00576DC7">
        <w:t>p</w:t>
      </w:r>
      <w:r w:rsidRPr="00576DC7">
        <w:t>arliamentary term</w:t>
      </w:r>
      <w:r w:rsidRPr="00AA2411">
        <w:t xml:space="preserve"> </w:t>
      </w:r>
      <w:r w:rsidRPr="00576DC7">
        <w:t>and created the conditions for a stronger, more productive economy.</w:t>
      </w:r>
      <w:r w:rsidRPr="00AA2411">
        <w:t xml:space="preserve"> </w:t>
      </w:r>
      <w:r w:rsidRPr="00576DC7">
        <w:t xml:space="preserve">Inflation has fallen substantially, unemployment remains low, </w:t>
      </w:r>
      <w:r w:rsidR="005B60F6" w:rsidRPr="00576DC7">
        <w:t xml:space="preserve">since </w:t>
      </w:r>
      <w:r w:rsidR="0018445E" w:rsidRPr="00576DC7">
        <w:t>mid</w:t>
      </w:r>
      <w:r w:rsidR="00404C26">
        <w:noBreakHyphen/>
      </w:r>
      <w:r w:rsidR="005B60F6" w:rsidRPr="00576DC7">
        <w:t>2022</w:t>
      </w:r>
      <w:r w:rsidR="0018445E" w:rsidRPr="00576DC7">
        <w:t xml:space="preserve"> employment has grown by over one million people, with 80 per cent in private sector jobs</w:t>
      </w:r>
      <w:r w:rsidR="0009096E" w:rsidRPr="00576DC7">
        <w:t xml:space="preserve">, </w:t>
      </w:r>
      <w:r w:rsidRPr="00576DC7">
        <w:t>real wages are growing,</w:t>
      </w:r>
      <w:r w:rsidRPr="00AA2411">
        <w:t xml:space="preserve"> </w:t>
      </w:r>
      <w:r w:rsidRPr="00576DC7">
        <w:t>the gender pay gap is near its narrowest on record,</w:t>
      </w:r>
      <w:r w:rsidRPr="00AA2411">
        <w:t xml:space="preserve"> </w:t>
      </w:r>
      <w:r w:rsidRPr="00576DC7">
        <w:t xml:space="preserve">and interest rates have </w:t>
      </w:r>
      <w:r w:rsidR="006B28E9" w:rsidRPr="00576DC7">
        <w:t>begun</w:t>
      </w:r>
      <w:r w:rsidRPr="00576DC7">
        <w:t xml:space="preserve"> to </w:t>
      </w:r>
      <w:r w:rsidR="006B28E9" w:rsidRPr="00576DC7">
        <w:t>fall</w:t>
      </w:r>
      <w:r w:rsidRPr="00576DC7">
        <w:t>.</w:t>
      </w:r>
      <w:r w:rsidR="00906CE4" w:rsidRPr="00576DC7">
        <w:t xml:space="preserve"> </w:t>
      </w:r>
      <w:r w:rsidR="00131B1E">
        <w:rPr>
          <w:color w:val="FF0000"/>
        </w:rPr>
        <w:t xml:space="preserve"> </w:t>
      </w:r>
    </w:p>
    <w:p w14:paraId="7BC73D2E" w14:textId="34C10623" w:rsidR="006E2F00" w:rsidRPr="00576DC7" w:rsidRDefault="006E2F00" w:rsidP="006E2F00">
      <w:pPr>
        <w:pStyle w:val="Heading3"/>
        <w:rPr>
          <w:lang w:val="en-US"/>
        </w:rPr>
      </w:pPr>
      <w:bookmarkStart w:id="12" w:name="_Toc193537048"/>
      <w:r w:rsidRPr="00576DC7">
        <w:rPr>
          <w:lang w:val="en-US"/>
        </w:rPr>
        <w:t>Addressing unavoidable issues</w:t>
      </w:r>
      <w:bookmarkEnd w:id="12"/>
    </w:p>
    <w:p w14:paraId="25831422" w14:textId="58183BF5" w:rsidR="006E2F00" w:rsidRPr="008D283E" w:rsidRDefault="006E2F00" w:rsidP="006E2F00">
      <w:r w:rsidRPr="00576DC7">
        <w:t>The Government has had to provide $3.5</w:t>
      </w:r>
      <w:r w:rsidR="004259B9" w:rsidRPr="00576DC7">
        <w:t> billion</w:t>
      </w:r>
      <w:r w:rsidRPr="00576DC7">
        <w:t xml:space="preserve"> over</w:t>
      </w:r>
      <w:r w:rsidRPr="00576DC7" w:rsidDel="007219D2">
        <w:t xml:space="preserve"> </w:t>
      </w:r>
      <w:r w:rsidRPr="00576DC7">
        <w:t>five years to 2028–29 for unavoidable policy decisions since MYEFO. Investment in these critical areas supports the delivery of essential services and prevents cuts to services Australians rely on. Unavoidable policy decisions since MYEFO include:</w:t>
      </w:r>
    </w:p>
    <w:p w14:paraId="30A83119" w14:textId="72418F02" w:rsidR="006E2F00" w:rsidRPr="008D283E" w:rsidRDefault="006E2F00" w:rsidP="006E2F00">
      <w:pPr>
        <w:pStyle w:val="Bullet"/>
      </w:pPr>
      <w:r w:rsidRPr="00576DC7">
        <w:t>new and amended listings on the Pharmaceutical Benefits Scheme</w:t>
      </w:r>
      <w:r w:rsidRPr="00576DC7" w:rsidDel="00F03C06">
        <w:t xml:space="preserve"> </w:t>
      </w:r>
      <w:r w:rsidRPr="00576DC7">
        <w:t xml:space="preserve">and new and amended items on the Medicare Benefits Schedule. </w:t>
      </w:r>
    </w:p>
    <w:p w14:paraId="3F705044" w14:textId="6E8CB2B7" w:rsidR="006E2F00" w:rsidRDefault="006E2F00" w:rsidP="006E2F00">
      <w:pPr>
        <w:pStyle w:val="Bullet"/>
      </w:pPr>
      <w:r w:rsidRPr="00576DC7">
        <w:t>addressing unavoidable cost pressures for projects in the Infrastructure Investment Program, including the Bruce Highway</w:t>
      </w:r>
      <w:r w:rsidR="00E33470" w:rsidRPr="00576DC7">
        <w:t xml:space="preserve"> – </w:t>
      </w:r>
      <w:r w:rsidRPr="00576DC7">
        <w:t>Rockhampton Ring Road in Queensland, Barwon Heads Road Upgrade</w:t>
      </w:r>
      <w:r w:rsidR="00E33470" w:rsidRPr="00576DC7">
        <w:t xml:space="preserve"> – </w:t>
      </w:r>
      <w:r w:rsidRPr="00576DC7">
        <w:t>Stage 2 in Victoria and Homebush Bay Drive in N</w:t>
      </w:r>
      <w:r w:rsidR="00615524" w:rsidRPr="00576DC7">
        <w:t>ew</w:t>
      </w:r>
      <w:r w:rsidR="001365AA" w:rsidRPr="00576DC7">
        <w:t> </w:t>
      </w:r>
      <w:r w:rsidRPr="00576DC7">
        <w:t>S</w:t>
      </w:r>
      <w:r w:rsidR="00615524" w:rsidRPr="00576DC7">
        <w:t xml:space="preserve">outh </w:t>
      </w:r>
      <w:r w:rsidRPr="00576DC7">
        <w:t>W</w:t>
      </w:r>
      <w:r w:rsidR="00615524" w:rsidRPr="00576DC7">
        <w:t>ales</w:t>
      </w:r>
      <w:r w:rsidRPr="00576DC7">
        <w:t xml:space="preserve">. </w:t>
      </w:r>
    </w:p>
    <w:p w14:paraId="49EA44C5" w14:textId="00C0B2C6" w:rsidR="006E2F00" w:rsidRDefault="006E2F00" w:rsidP="006E2F00">
      <w:pPr>
        <w:pStyle w:val="Bullet"/>
      </w:pPr>
      <w:r w:rsidRPr="00576DC7">
        <w:t xml:space="preserve">program funding to support the Illicit Tobacco Compliance and Enforcement Package, focused on sustained disruption of the illicit trade in tobacco and associated nicotine products. </w:t>
      </w:r>
    </w:p>
    <w:p w14:paraId="7C0656BA" w14:textId="6F4EB1CD" w:rsidR="006E2F00" w:rsidRPr="00FD0BCB" w:rsidRDefault="006E2F00" w:rsidP="006E2F00">
      <w:pPr>
        <w:pStyle w:val="Bullet"/>
      </w:pPr>
      <w:r w:rsidRPr="00576DC7">
        <w:t xml:space="preserve">supporting implementation of the </w:t>
      </w:r>
      <w:r w:rsidRPr="00576DC7">
        <w:rPr>
          <w:rStyle w:val="Emphasis"/>
        </w:rPr>
        <w:t>Aged Care Act 2024</w:t>
      </w:r>
      <w:r w:rsidRPr="00576DC7">
        <w:t xml:space="preserve"> and </w:t>
      </w:r>
      <w:r w:rsidR="009B62DF" w:rsidRPr="00576DC7">
        <w:t>funding the outcome of the Fair W</w:t>
      </w:r>
      <w:r w:rsidR="00AF2CF1" w:rsidRPr="00576DC7">
        <w:t>ork Commission</w:t>
      </w:r>
      <w:r w:rsidR="00404C26">
        <w:t>’</w:t>
      </w:r>
      <w:r w:rsidR="00AF2CF1" w:rsidRPr="00576DC7">
        <w:t>s decision to increase the minimum award wages of registered and enrolled nurses employed in the aged care sector</w:t>
      </w:r>
      <w:r w:rsidRPr="00576DC7">
        <w:t xml:space="preserve">. </w:t>
      </w:r>
    </w:p>
    <w:p w14:paraId="41CBCFBB" w14:textId="021090AB" w:rsidR="006E2F00" w:rsidRPr="008D283E" w:rsidRDefault="006E2F00" w:rsidP="006E2F00">
      <w:pPr>
        <w:pStyle w:val="Bullet"/>
      </w:pPr>
      <w:r w:rsidRPr="00576DC7">
        <w:t>funding essential government services,</w:t>
      </w:r>
      <w:r w:rsidRPr="00576754">
        <w:t xml:space="preserve"> </w:t>
      </w:r>
      <w:r w:rsidRPr="00576DC7">
        <w:t>including modernising My Health Record,</w:t>
      </w:r>
      <w:r w:rsidRPr="00576754">
        <w:t xml:space="preserve"> </w:t>
      </w:r>
      <w:r w:rsidRPr="00576DC7">
        <w:t>addressing border and biosecurity threats from illegal fishing activities in Australia</w:t>
      </w:r>
      <w:r w:rsidR="00404C26">
        <w:t>’</w:t>
      </w:r>
      <w:r w:rsidRPr="00576DC7">
        <w:t>s northern waters</w:t>
      </w:r>
      <w:r w:rsidR="0051335D" w:rsidRPr="00576DC7">
        <w:t>,</w:t>
      </w:r>
      <w:r w:rsidR="007C21F4">
        <w:t xml:space="preserve"> </w:t>
      </w:r>
      <w:r w:rsidR="00881A37" w:rsidRPr="00576DC7">
        <w:t xml:space="preserve">and </w:t>
      </w:r>
      <w:r w:rsidR="00DE4EC5" w:rsidRPr="00576DC7">
        <w:t>sustaining</w:t>
      </w:r>
      <w:r w:rsidR="00A34BF6" w:rsidRPr="00576DC7">
        <w:t xml:space="preserve"> the </w:t>
      </w:r>
      <w:r w:rsidR="00682D3B" w:rsidRPr="00576DC7">
        <w:t xml:space="preserve">Australian </w:t>
      </w:r>
      <w:r w:rsidR="00720F15" w:rsidRPr="00576DC7">
        <w:t>Criminal Intelligence Commission</w:t>
      </w:r>
      <w:r w:rsidR="00720F15" w:rsidRPr="00576DC7" w:rsidDel="004C1F0A">
        <w:t>,</w:t>
      </w:r>
      <w:r w:rsidR="00720F15" w:rsidRPr="00576754">
        <w:t xml:space="preserve"> </w:t>
      </w:r>
      <w:r w:rsidR="00682D3B" w:rsidRPr="00576DC7">
        <w:t xml:space="preserve">Australian Maritime Safety Authority, </w:t>
      </w:r>
      <w:r w:rsidR="00BC0B7D" w:rsidRPr="00576DC7">
        <w:t xml:space="preserve">Australian Transport Safety Bureau and </w:t>
      </w:r>
      <w:r w:rsidR="001A38B6" w:rsidRPr="00576DC7">
        <w:t>Civil Aviation Safety Authority</w:t>
      </w:r>
      <w:r w:rsidR="0051335D" w:rsidRPr="00576DC7">
        <w:t xml:space="preserve">. </w:t>
      </w:r>
    </w:p>
    <w:p w14:paraId="49F565E9" w14:textId="1069DC5D" w:rsidR="00605171" w:rsidRDefault="006E2F00" w:rsidP="00032D85">
      <w:r w:rsidRPr="00576DC7">
        <w:t>Since the PEFO, the Government has committed $51.1</w:t>
      </w:r>
      <w:r w:rsidR="004259B9" w:rsidRPr="00576DC7">
        <w:t> billion</w:t>
      </w:r>
      <w:r w:rsidRPr="00576DC7">
        <w:t xml:space="preserve"> in unavoidable spending to respond to urgent and unforeseen issues, extend terminating measures to continue essential services and resolve issues inherited from the former Government.</w:t>
      </w:r>
      <w:r w:rsidRPr="00FD0BCB">
        <w:t xml:space="preserve"> </w:t>
      </w:r>
    </w:p>
    <w:tbl>
      <w:tblPr>
        <w:tblW w:w="5000" w:type="pct"/>
        <w:shd w:val="clear" w:color="auto" w:fill="E6F2FF"/>
        <w:tblLayout w:type="fixed"/>
        <w:tblCellMar>
          <w:top w:w="284" w:type="dxa"/>
          <w:left w:w="284" w:type="dxa"/>
          <w:bottom w:w="284" w:type="dxa"/>
          <w:right w:w="284" w:type="dxa"/>
        </w:tblCellMar>
        <w:tblLook w:val="0000" w:firstRow="0" w:lastRow="0" w:firstColumn="0" w:lastColumn="0" w:noHBand="0" w:noVBand="0"/>
      </w:tblPr>
      <w:tblGrid>
        <w:gridCol w:w="7710"/>
      </w:tblGrid>
      <w:tr w:rsidR="0034298F" w14:paraId="2102F573" w14:textId="77777777" w:rsidTr="007E33CE">
        <w:trPr>
          <w:cantSplit/>
        </w:trPr>
        <w:tc>
          <w:tcPr>
            <w:tcW w:w="5000" w:type="pct"/>
            <w:shd w:val="clear" w:color="auto" w:fill="E6F2FF"/>
          </w:tcPr>
          <w:p w14:paraId="1BB72920" w14:textId="0C7DF133" w:rsidR="0034298F" w:rsidRPr="00576DC7" w:rsidRDefault="0034298F">
            <w:pPr>
              <w:pStyle w:val="BoxHeading"/>
            </w:pPr>
            <w:r w:rsidRPr="00576DC7">
              <w:lastRenderedPageBreak/>
              <w:t>Box 3.</w:t>
            </w:r>
            <w:r w:rsidR="002C2496" w:rsidRPr="00576DC7">
              <w:t>2</w:t>
            </w:r>
            <w:r w:rsidR="001F74E6" w:rsidRPr="00576DC7">
              <w:t>:</w:t>
            </w:r>
            <w:r w:rsidR="00030A86" w:rsidRPr="00576DC7">
              <w:t xml:space="preserve"> </w:t>
            </w:r>
            <w:r w:rsidRPr="00576DC7">
              <w:t>International comparisons of fiscal performance</w:t>
            </w:r>
          </w:p>
          <w:p w14:paraId="2EF6A9FE" w14:textId="2FF97EC6" w:rsidR="00B72A2B" w:rsidRPr="00576DC7" w:rsidRDefault="0034298F" w:rsidP="00366224">
            <w:pPr>
              <w:pStyle w:val="BoxText"/>
            </w:pPr>
            <w:r w:rsidRPr="00576DC7">
              <w:t xml:space="preserve">Australia </w:t>
            </w:r>
            <w:r w:rsidR="00195F5E" w:rsidRPr="00576DC7">
              <w:t xml:space="preserve">has one of the strongest fiscal positions amongst </w:t>
            </w:r>
            <w:r w:rsidR="004A096B" w:rsidRPr="00576DC7">
              <w:t>peer</w:t>
            </w:r>
            <w:r w:rsidR="00195F5E" w:rsidRPr="00576DC7">
              <w:t xml:space="preserve"> economies.</w:t>
            </w:r>
            <w:r w:rsidR="008B3616" w:rsidRPr="00576DC7">
              <w:t xml:space="preserve"> </w:t>
            </w:r>
            <w:r w:rsidR="00195F5E" w:rsidRPr="00576DC7">
              <w:t xml:space="preserve">Australia is one of only </w:t>
            </w:r>
            <w:r w:rsidR="00983819" w:rsidRPr="00576DC7">
              <w:t>nine</w:t>
            </w:r>
            <w:r w:rsidR="00195F5E" w:rsidRPr="00576DC7">
              <w:t xml:space="preserve"> countries to maintain a AAA credit rating from all three major ratings agencies. </w:t>
            </w:r>
          </w:p>
          <w:p w14:paraId="62284007" w14:textId="25FC741F" w:rsidR="0034298F" w:rsidRPr="00576DC7" w:rsidRDefault="00615BB2" w:rsidP="00366224">
            <w:pPr>
              <w:pStyle w:val="BoxText"/>
            </w:pPr>
            <w:r w:rsidRPr="00576DC7">
              <w:t xml:space="preserve">The International Monetary Fund (IMF) </w:t>
            </w:r>
            <w:r w:rsidR="00812E8F" w:rsidRPr="00576DC7">
              <w:t>projects</w:t>
            </w:r>
            <w:r w:rsidRPr="00576DC7">
              <w:t xml:space="preserve"> </w:t>
            </w:r>
            <w:r w:rsidR="0034298F" w:rsidRPr="00576DC7">
              <w:t>Australia</w:t>
            </w:r>
            <w:r w:rsidR="00404C26">
              <w:t>’</w:t>
            </w:r>
            <w:r w:rsidR="0034298F" w:rsidRPr="00576DC7">
              <w:t xml:space="preserve">s </w:t>
            </w:r>
            <w:r w:rsidR="001B59AF" w:rsidRPr="00576DC7">
              <w:t xml:space="preserve">general government </w:t>
            </w:r>
            <w:r w:rsidR="00E04E3D" w:rsidRPr="00576DC7">
              <w:t>budget</w:t>
            </w:r>
            <w:r w:rsidR="001B59AF" w:rsidRPr="00576DC7">
              <w:t xml:space="preserve"> deficit </w:t>
            </w:r>
            <w:r w:rsidR="00BF1C32" w:rsidRPr="00576DC7">
              <w:t>(including all levels of government)</w:t>
            </w:r>
            <w:r w:rsidR="007F6228" w:rsidRPr="00576DC7">
              <w:t xml:space="preserve"> to be</w:t>
            </w:r>
            <w:r w:rsidR="006C7E60" w:rsidRPr="00576DC7">
              <w:t xml:space="preserve"> </w:t>
            </w:r>
            <w:r w:rsidR="0004097C" w:rsidRPr="00576DC7" w:rsidDel="001524A7">
              <w:t>two</w:t>
            </w:r>
            <w:r w:rsidR="005B676B" w:rsidRPr="00576DC7" w:rsidDel="001524A7">
              <w:t> </w:t>
            </w:r>
            <w:r w:rsidR="00EE1E19" w:rsidRPr="00576DC7">
              <w:t>per</w:t>
            </w:r>
            <w:r w:rsidR="005B676B" w:rsidRPr="00576DC7">
              <w:t> </w:t>
            </w:r>
            <w:r w:rsidR="00EE1E19" w:rsidRPr="00576DC7">
              <w:t>cent</w:t>
            </w:r>
            <w:r w:rsidR="005B676B" w:rsidRPr="00576DC7">
              <w:t> </w:t>
            </w:r>
            <w:r w:rsidR="006C7E60" w:rsidRPr="00576DC7">
              <w:t>of</w:t>
            </w:r>
            <w:r w:rsidR="005B676B" w:rsidRPr="00576DC7">
              <w:t> </w:t>
            </w:r>
            <w:r w:rsidR="006C7E60" w:rsidRPr="00576DC7">
              <w:t xml:space="preserve">GDP in 2025. </w:t>
            </w:r>
            <w:r w:rsidR="00AC0B55" w:rsidRPr="00576DC7">
              <w:t>This represents an improvement in the budget balance of four percentage points since 2021, a larger improvement than in most comparable economies (Chart</w:t>
            </w:r>
            <w:r w:rsidR="00D231EE" w:rsidRPr="00576DC7">
              <w:t> </w:t>
            </w:r>
            <w:r w:rsidR="00AC0B55" w:rsidRPr="00576DC7">
              <w:t>3.</w:t>
            </w:r>
            <w:r w:rsidR="0022756E" w:rsidRPr="00576DC7">
              <w:t>1</w:t>
            </w:r>
            <w:r w:rsidR="00AC0B55" w:rsidRPr="00576DC7">
              <w:t>). The deficit in Australia in 2025 is expected</w:t>
            </w:r>
            <w:r w:rsidR="006C7E60" w:rsidRPr="00576DC7">
              <w:t xml:space="preserve"> </w:t>
            </w:r>
            <w:r w:rsidR="008E28D2" w:rsidRPr="00576DC7">
              <w:t>to be</w:t>
            </w:r>
            <w:r w:rsidR="006C7E60" w:rsidRPr="00576DC7">
              <w:t xml:space="preserve"> </w:t>
            </w:r>
            <w:r w:rsidR="00F10A34" w:rsidRPr="00576DC7">
              <w:t xml:space="preserve">less than half of the advanced </w:t>
            </w:r>
            <w:r w:rsidR="006078BC" w:rsidRPr="00576DC7">
              <w:t>economy average</w:t>
            </w:r>
            <w:r w:rsidR="003B7717" w:rsidRPr="00576DC7">
              <w:t>.</w:t>
            </w:r>
            <w:r w:rsidR="006078BC" w:rsidRPr="00576DC7">
              <w:t xml:space="preserve"> </w:t>
            </w:r>
          </w:p>
          <w:p w14:paraId="7D04A533" w14:textId="2949BA54" w:rsidR="008A2030" w:rsidRDefault="004C1BC8" w:rsidP="00366224">
            <w:pPr>
              <w:pStyle w:val="BoxText"/>
            </w:pPr>
            <w:r w:rsidRPr="00576DC7">
              <w:t xml:space="preserve">A </w:t>
            </w:r>
            <w:r w:rsidR="004330B7" w:rsidRPr="00576DC7">
              <w:t>stronger</w:t>
            </w:r>
            <w:r w:rsidRPr="00576DC7">
              <w:t xml:space="preserve"> </w:t>
            </w:r>
            <w:r w:rsidR="00B46B55" w:rsidRPr="00576DC7">
              <w:t>budget</w:t>
            </w:r>
            <w:r w:rsidRPr="00576DC7">
              <w:t xml:space="preserve"> position has helped to keep </w:t>
            </w:r>
            <w:r w:rsidR="0034298F" w:rsidRPr="00576DC7">
              <w:t>Australia</w:t>
            </w:r>
            <w:r w:rsidR="00404C26">
              <w:t>’</w:t>
            </w:r>
            <w:r w:rsidR="0034298F" w:rsidRPr="00576DC7">
              <w:t>s gross debt levels low by</w:t>
            </w:r>
            <w:r w:rsidR="00A960D5" w:rsidRPr="00576DC7">
              <w:t> </w:t>
            </w:r>
            <w:r w:rsidR="0034298F" w:rsidRPr="00576DC7">
              <w:t>international standards (Chart 3.</w:t>
            </w:r>
            <w:r w:rsidR="00826F38" w:rsidRPr="00576DC7">
              <w:t>2</w:t>
            </w:r>
            <w:r w:rsidR="0034298F" w:rsidRPr="00576DC7">
              <w:t xml:space="preserve">). The </w:t>
            </w:r>
            <w:r w:rsidR="00BE1F5B" w:rsidRPr="00576DC7">
              <w:t>IMF</w:t>
            </w:r>
            <w:r w:rsidR="0034298F" w:rsidRPr="00576DC7">
              <w:t xml:space="preserve"> projects Australia</w:t>
            </w:r>
            <w:r w:rsidR="00404C26">
              <w:t>’</w:t>
            </w:r>
            <w:r w:rsidR="0034298F" w:rsidRPr="00576DC7">
              <w:t>s gross debt</w:t>
            </w:r>
            <w:r w:rsidR="00404C26">
              <w:noBreakHyphen/>
            </w:r>
            <w:r w:rsidR="0034298F" w:rsidRPr="00576DC7">
              <w:t>to</w:t>
            </w:r>
            <w:r w:rsidR="00404C26">
              <w:noBreakHyphen/>
            </w:r>
            <w:r w:rsidR="0034298F" w:rsidRPr="00576DC7">
              <w:t xml:space="preserve">GDP to be </w:t>
            </w:r>
            <w:r w:rsidR="006F0D6D" w:rsidRPr="00576DC7">
              <w:t>nearly</w:t>
            </w:r>
            <w:r w:rsidR="0034298F" w:rsidRPr="00576DC7">
              <w:t xml:space="preserve"> </w:t>
            </w:r>
            <w:r w:rsidR="006F0D6D" w:rsidRPr="00576DC7">
              <w:t>4</w:t>
            </w:r>
            <w:r w:rsidR="008815C4" w:rsidRPr="00576DC7">
              <w:t xml:space="preserve">0 percentage points </w:t>
            </w:r>
            <w:r w:rsidR="0060536D" w:rsidRPr="00576DC7">
              <w:t>below lev</w:t>
            </w:r>
            <w:r w:rsidR="00760432" w:rsidRPr="00576DC7">
              <w:t xml:space="preserve">els in the euro area, </w:t>
            </w:r>
            <w:r w:rsidR="006F0D6D" w:rsidRPr="00576DC7">
              <w:t>more</w:t>
            </w:r>
            <w:r w:rsidR="00A960D5" w:rsidRPr="00576DC7">
              <w:t> </w:t>
            </w:r>
            <w:r w:rsidR="006F0D6D" w:rsidRPr="00576DC7">
              <w:t>than</w:t>
            </w:r>
            <w:r w:rsidR="0034298F" w:rsidRPr="00576DC7">
              <w:t xml:space="preserve"> 50 percentage points below the United Kingdom, and more than 70 percentage points below the United States. </w:t>
            </w:r>
            <w:r w:rsidR="00AE348D" w:rsidRPr="00576DC7">
              <w:t>Australia is estimated to have the fifth</w:t>
            </w:r>
            <w:r w:rsidR="00A960D5" w:rsidRPr="00576DC7">
              <w:t> </w:t>
            </w:r>
            <w:r w:rsidR="00AE348D" w:rsidRPr="00576DC7">
              <w:t>lowest gross debt</w:t>
            </w:r>
            <w:r w:rsidR="00404C26">
              <w:noBreakHyphen/>
            </w:r>
            <w:r w:rsidR="00AE348D" w:rsidRPr="00576DC7">
              <w:t>to</w:t>
            </w:r>
            <w:r w:rsidR="00404C26">
              <w:noBreakHyphen/>
            </w:r>
            <w:r w:rsidR="00AE348D" w:rsidRPr="00576DC7">
              <w:t>GDP ratio in the G20 in 2025.</w:t>
            </w:r>
          </w:p>
          <w:tbl>
            <w:tblPr>
              <w:tblW w:w="5000" w:type="pct"/>
              <w:tblLayout w:type="fixed"/>
              <w:tblCellMar>
                <w:left w:w="0" w:type="dxa"/>
                <w:right w:w="0" w:type="dxa"/>
              </w:tblCellMar>
              <w:tblLook w:val="0000" w:firstRow="0" w:lastRow="0" w:firstColumn="0" w:lastColumn="0" w:noHBand="0" w:noVBand="0"/>
            </w:tblPr>
            <w:tblGrid>
              <w:gridCol w:w="3571"/>
              <w:gridCol w:w="3571"/>
            </w:tblGrid>
            <w:tr w:rsidR="008A2030" w:rsidRPr="00C05BED" w14:paraId="6AD9804A" w14:textId="77777777" w:rsidTr="008A2030">
              <w:trPr>
                <w:cantSplit/>
              </w:trPr>
              <w:tc>
                <w:tcPr>
                  <w:tcW w:w="3571" w:type="dxa"/>
                </w:tcPr>
                <w:p w14:paraId="09C68306" w14:textId="0742D09D" w:rsidR="008A2030" w:rsidRPr="00C05BED" w:rsidRDefault="008A2030" w:rsidP="0048316F">
                  <w:pPr>
                    <w:pStyle w:val="ChartMainHeading"/>
                    <w:spacing w:before="20" w:after="40"/>
                    <w:rPr>
                      <w:b w:val="0"/>
                      <w:highlight w:val="darkYellow"/>
                    </w:rPr>
                  </w:pPr>
                  <w:r w:rsidRPr="00576DC7">
                    <w:t>Chart 3.1: Change in fiscal balance to GDP from 2021 to 2025</w:t>
                  </w:r>
                  <w:bookmarkStart w:id="13" w:name="_1804053192"/>
                  <w:bookmarkStart w:id="14" w:name="_1804052884"/>
                  <w:bookmarkEnd w:id="13"/>
                  <w:bookmarkEnd w:id="14"/>
                </w:p>
              </w:tc>
              <w:tc>
                <w:tcPr>
                  <w:tcW w:w="3571" w:type="dxa"/>
                </w:tcPr>
                <w:p w14:paraId="1C02808C" w14:textId="77777777" w:rsidR="008A2030" w:rsidRPr="00576DC7" w:rsidRDefault="008A2030" w:rsidP="0048316F">
                  <w:pPr>
                    <w:pStyle w:val="ChartMainHeading"/>
                    <w:spacing w:before="20" w:after="40"/>
                  </w:pPr>
                  <w:r w:rsidRPr="00576DC7">
                    <w:t>Chart 3.2: Gross debt in 2025</w:t>
                  </w:r>
                </w:p>
                <w:p w14:paraId="1F9D2678" w14:textId="4412B04E" w:rsidR="008A2030" w:rsidRPr="00576DC7" w:rsidRDefault="008A2030" w:rsidP="0048316F">
                  <w:pPr>
                    <w:pStyle w:val="ChartMainHeading"/>
                    <w:spacing w:before="20" w:after="40"/>
                  </w:pPr>
                </w:p>
              </w:tc>
            </w:tr>
            <w:tr w:rsidR="008A2030" w:rsidRPr="00C05BED" w14:paraId="5625FD03" w14:textId="77777777" w:rsidTr="008A2030">
              <w:trPr>
                <w:cantSplit/>
                <w:trHeight w:val="3839"/>
              </w:trPr>
              <w:tc>
                <w:tcPr>
                  <w:tcW w:w="3571" w:type="dxa"/>
                </w:tcPr>
                <w:p w14:paraId="43C03F27" w14:textId="1716DC0F" w:rsidR="008A2030" w:rsidRPr="00C05BED" w:rsidRDefault="00000000" w:rsidP="0090475A">
                  <w:pPr>
                    <w:pStyle w:val="ChartGraphic"/>
                    <w:rPr>
                      <w:highlight w:val="darkYellow"/>
                    </w:rPr>
                  </w:pPr>
                  <w:bookmarkStart w:id="15" w:name="_1804092366"/>
                  <w:bookmarkStart w:id="16" w:name="_1804106110"/>
                  <w:bookmarkEnd w:id="15"/>
                  <w:bookmarkEnd w:id="16"/>
                  <w:r>
                    <w:pict w14:anchorId="0612B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chart shows the change in the general government fiscal balance to GDP estimates of Australia and selected advanced economies between 2021 and 2025. Australia’s general government budget deficit - which includes the fiscal positions of state and local governments - as a share of GDP is expected to have narrowed by 4.3 percentage points from 2021 to 2025. This compares to the advanced economy average of 2.5 percentage points over the same period. " style="width:179.25pt;height:186pt">
                        <v:imagedata r:id="rId19" o:title=""/>
                      </v:shape>
                    </w:pict>
                  </w:r>
                </w:p>
              </w:tc>
              <w:tc>
                <w:tcPr>
                  <w:tcW w:w="3571" w:type="dxa"/>
                </w:tcPr>
                <w:p w14:paraId="414383D9" w14:textId="3319B358" w:rsidR="008A2030" w:rsidRPr="00576DC7" w:rsidRDefault="00000000" w:rsidP="0090475A">
                  <w:pPr>
                    <w:pStyle w:val="ChartGraphic"/>
                  </w:pPr>
                  <w:bookmarkStart w:id="17" w:name="_1804092368"/>
                  <w:bookmarkStart w:id="18" w:name="_1804106112"/>
                  <w:bookmarkEnd w:id="17"/>
                  <w:bookmarkEnd w:id="18"/>
                  <w:r>
                    <w:pict w14:anchorId="4C56A58B">
                      <v:shape id="_x0000_i1026" type="#_x0000_t75" alt="The chart shows IMF estimates of the general government gross debt as a share of the economy for the 2025 calendar year for Australia, the euro area, Canada, the United Kingdom, the United States, and advanced economies in aggregate. The estimate of Commonwealth gross debt as a share of the economy at 30 June 2025, represented by a black dot, is 33.7 per cent of gross domestic product (GDP). " style="width:179.25pt;height:186pt">
                        <v:imagedata r:id="rId20" o:title=""/>
                      </v:shape>
                    </w:pict>
                  </w:r>
                </w:p>
              </w:tc>
            </w:tr>
          </w:tbl>
          <w:p w14:paraId="3D8D1FC2" w14:textId="77777777" w:rsidR="00C457B8" w:rsidRPr="00576DC7" w:rsidRDefault="00C457B8" w:rsidP="0090475A">
            <w:pPr>
              <w:pStyle w:val="ChartandTableFootnote"/>
              <w:spacing w:before="0"/>
              <w:rPr>
                <w:color w:val="auto"/>
              </w:rPr>
            </w:pPr>
            <w:r w:rsidRPr="00576DC7">
              <w:rPr>
                <w:color w:val="auto"/>
              </w:rPr>
              <w:t xml:space="preserve">Source: </w:t>
            </w:r>
            <w:r w:rsidRPr="00576DC7">
              <w:rPr>
                <w:color w:val="auto"/>
              </w:rPr>
              <w:tab/>
              <w:t>Treasury, International Monetary Fund.</w:t>
            </w:r>
          </w:p>
          <w:p w14:paraId="6A08232D" w14:textId="6EF6A5C8" w:rsidR="00C457B8" w:rsidRDefault="00C457B8" w:rsidP="00366224">
            <w:pPr>
              <w:pStyle w:val="ChartandTableFootnote"/>
              <w:rPr>
                <w:color w:val="000000" w:themeColor="text1"/>
                <w:szCs w:val="16"/>
              </w:rPr>
            </w:pPr>
            <w:r w:rsidRPr="00576DC7">
              <w:rPr>
                <w:color w:val="auto"/>
              </w:rPr>
              <w:t xml:space="preserve">Note: </w:t>
            </w:r>
            <w:r w:rsidRPr="00576DC7">
              <w:rPr>
                <w:color w:val="auto"/>
              </w:rPr>
              <w:tab/>
              <w:t>International Monetary Fund fiscal data are produced on a consistent basis across countries. They are produced for calendar years and on a general government basis. They are not directly comparable with fiscal</w:t>
            </w:r>
            <w:r w:rsidRPr="00576DC7">
              <w:rPr>
                <w:color w:val="auto"/>
                <w:szCs w:val="16"/>
              </w:rPr>
              <w:t xml:space="preserve"> aggregates reported elsewhere in the Budget.</w:t>
            </w:r>
            <w:r w:rsidRPr="591FF694">
              <w:rPr>
                <w:color w:val="000000" w:themeColor="text1"/>
                <w:szCs w:val="16"/>
              </w:rPr>
              <w:t xml:space="preserve"> </w:t>
            </w:r>
            <w:r w:rsidR="00C81590" w:rsidRPr="591FF694">
              <w:rPr>
                <w:color w:val="000000" w:themeColor="text1"/>
                <w:szCs w:val="16"/>
              </w:rPr>
              <w:t xml:space="preserve"> </w:t>
            </w:r>
          </w:p>
          <w:p w14:paraId="1653D955" w14:textId="77777777" w:rsidR="00366224" w:rsidRPr="00366224" w:rsidRDefault="00366224" w:rsidP="003968DD">
            <w:pPr>
              <w:pStyle w:val="TableLine"/>
            </w:pPr>
          </w:p>
          <w:p w14:paraId="5CB18332" w14:textId="082783C4" w:rsidR="0034298F" w:rsidRPr="00A539F3" w:rsidRDefault="00C457B8" w:rsidP="003968DD">
            <w:pPr>
              <w:pStyle w:val="BoxText"/>
              <w:spacing w:before="0" w:after="0"/>
            </w:pPr>
            <w:r w:rsidRPr="00576DC7">
              <w:t>Low levels of government debt</w:t>
            </w:r>
            <w:r w:rsidR="002451A4" w:rsidRPr="00576DC7">
              <w:t xml:space="preserve"> </w:t>
            </w:r>
            <w:r w:rsidRPr="00576DC7">
              <w:t xml:space="preserve">ensure that Australia is well placed to navigate a more challenging global environment (see </w:t>
            </w:r>
            <w:r w:rsidRPr="00576DC7">
              <w:rPr>
                <w:rStyle w:val="Emphasis"/>
              </w:rPr>
              <w:t>Statement 2: Economic Outlook</w:t>
            </w:r>
            <w:r w:rsidRPr="00576DC7">
              <w:t>).</w:t>
            </w:r>
            <w:r w:rsidR="00945909" w:rsidRPr="00576DC7" w:rsidDel="00945909">
              <w:t xml:space="preserve"> </w:t>
            </w:r>
            <w:r w:rsidRPr="00576DC7">
              <w:t>It maintains Australia</w:t>
            </w:r>
            <w:r w:rsidR="00404C26">
              <w:t>’</w:t>
            </w:r>
            <w:r w:rsidRPr="00576DC7">
              <w:t>s capacity to respond to future economic swings should risks materialise. At the same time, it preserves the ability to sustain essential services and maintains lower borrowing costs than otherwise.</w:t>
            </w:r>
            <w:r w:rsidR="00D771C0" w:rsidRPr="00576DC7">
              <w:t xml:space="preserve"> </w:t>
            </w:r>
          </w:p>
        </w:tc>
      </w:tr>
    </w:tbl>
    <w:p w14:paraId="25199B13" w14:textId="04885268" w:rsidR="00B2621F" w:rsidRPr="00576DC7" w:rsidRDefault="00B2621F" w:rsidP="00B2621F">
      <w:pPr>
        <w:pStyle w:val="Heading2"/>
      </w:pPr>
      <w:bookmarkStart w:id="19" w:name="_Toc117356557"/>
      <w:bookmarkStart w:id="20" w:name="_Toc193537049"/>
      <w:r w:rsidRPr="00576DC7">
        <w:lastRenderedPageBreak/>
        <w:t>Fiscal outlook</w:t>
      </w:r>
      <w:bookmarkEnd w:id="19"/>
      <w:bookmarkEnd w:id="20"/>
    </w:p>
    <w:p w14:paraId="625EF9CC" w14:textId="58650ED0" w:rsidR="00B2621F" w:rsidRPr="00576DC7" w:rsidRDefault="00B2621F" w:rsidP="00B2621F">
      <w:pPr>
        <w:pStyle w:val="Heading3"/>
        <w:rPr>
          <w:rFonts w:eastAsiaTheme="minorHAnsi"/>
        </w:rPr>
      </w:pPr>
      <w:bookmarkStart w:id="21" w:name="_Toc117356558"/>
      <w:bookmarkStart w:id="22" w:name="_Toc193537050"/>
      <w:r w:rsidRPr="00576DC7">
        <w:t>Underlying cash balance estimates</w:t>
      </w:r>
      <w:bookmarkEnd w:id="21"/>
      <w:bookmarkEnd w:id="22"/>
    </w:p>
    <w:p w14:paraId="56187866" w14:textId="1BA78439" w:rsidR="00B72E9C" w:rsidRPr="00712254" w:rsidRDefault="00E9448A" w:rsidP="00B72E9C">
      <w:r w:rsidRPr="00576DC7">
        <w:t>T</w:t>
      </w:r>
      <w:r w:rsidR="00B72E9C" w:rsidRPr="00576DC7">
        <w:t>he underlying cash balance has improved by a cumulative $1.6</w:t>
      </w:r>
      <w:r w:rsidR="004259B9" w:rsidRPr="00576DC7">
        <w:t> billion</w:t>
      </w:r>
      <w:r w:rsidR="00B72E9C" w:rsidRPr="00576DC7">
        <w:t xml:space="preserve"> </w:t>
      </w:r>
      <w:r w:rsidRPr="00576DC7">
        <w:t>over the five years to 2028</w:t>
      </w:r>
      <w:r w:rsidR="00F40F35" w:rsidRPr="00576DC7">
        <w:t>–</w:t>
      </w:r>
      <w:r w:rsidRPr="00576DC7">
        <w:t>29</w:t>
      </w:r>
      <w:r w:rsidR="00B72E9C" w:rsidRPr="00576DC7">
        <w:t xml:space="preserve"> since MYEFO</w:t>
      </w:r>
      <w:r w:rsidR="00B72E9C" w:rsidRPr="008D283E">
        <w:t xml:space="preserve"> </w:t>
      </w:r>
      <w:r w:rsidR="00B72E9C" w:rsidRPr="00576DC7">
        <w:t>and by a cumulative $207</w:t>
      </w:r>
      <w:r w:rsidR="004259B9" w:rsidRPr="00576DC7">
        <w:t> billion</w:t>
      </w:r>
      <w:r w:rsidR="00B72E9C" w:rsidRPr="00576DC7">
        <w:t xml:space="preserve"> </w:t>
      </w:r>
      <w:r w:rsidR="00333CAA" w:rsidRPr="00576DC7">
        <w:t>over</w:t>
      </w:r>
      <w:r w:rsidR="00B72E9C" w:rsidRPr="00576DC7">
        <w:t xml:space="preserve"> the </w:t>
      </w:r>
      <w:r w:rsidR="00333CAA" w:rsidRPr="00576DC7">
        <w:t>seven years to 2028</w:t>
      </w:r>
      <w:r w:rsidR="00F40F35" w:rsidRPr="00576DC7">
        <w:t>–</w:t>
      </w:r>
      <w:r w:rsidR="00333CAA" w:rsidRPr="00576DC7">
        <w:t xml:space="preserve">29 </w:t>
      </w:r>
      <w:r w:rsidR="00B72E9C" w:rsidRPr="00576DC7">
        <w:t>since the PEFO.</w:t>
      </w:r>
      <w:r w:rsidR="00B72E9C" w:rsidRPr="00712254">
        <w:t xml:space="preserve"> </w:t>
      </w:r>
    </w:p>
    <w:p w14:paraId="70A1F567" w14:textId="7B7E8110" w:rsidR="00B2621F" w:rsidRPr="00712254" w:rsidRDefault="00B2621F" w:rsidP="00B2621F">
      <w:r w:rsidRPr="00576DC7">
        <w:t>The underlying cash balance is estimated to be a $</w:t>
      </w:r>
      <w:r w:rsidR="000F0584" w:rsidRPr="00576DC7">
        <w:t>27.6</w:t>
      </w:r>
      <w:r w:rsidR="004259B9" w:rsidRPr="00576DC7">
        <w:t> billion</w:t>
      </w:r>
      <w:r w:rsidRPr="00576DC7">
        <w:t xml:space="preserve"> </w:t>
      </w:r>
      <w:r w:rsidR="00451EBB" w:rsidRPr="00576DC7">
        <w:t>deficit</w:t>
      </w:r>
      <w:r w:rsidRPr="00576DC7">
        <w:t xml:space="preserve"> (</w:t>
      </w:r>
      <w:r w:rsidR="000F0584" w:rsidRPr="00576DC7">
        <w:t>1.0</w:t>
      </w:r>
      <w:r w:rsidRPr="00576DC7">
        <w:t> per cent of GDP) in 202</w:t>
      </w:r>
      <w:r w:rsidR="00AE56C7" w:rsidRPr="00576DC7">
        <w:t>4</w:t>
      </w:r>
      <w:r w:rsidRPr="00576DC7">
        <w:t>–2</w:t>
      </w:r>
      <w:r w:rsidR="00451EBB" w:rsidRPr="00576DC7">
        <w:t>5</w:t>
      </w:r>
      <w:r w:rsidRPr="00576DC7">
        <w:t xml:space="preserve">, </w:t>
      </w:r>
      <w:r w:rsidR="00ED3B7D" w:rsidRPr="00576DC7">
        <w:t xml:space="preserve">which </w:t>
      </w:r>
      <w:r w:rsidR="00650289" w:rsidRPr="00576DC7">
        <w:t xml:space="preserve">is </w:t>
      </w:r>
      <w:r w:rsidRPr="00576DC7">
        <w:t>$</w:t>
      </w:r>
      <w:r w:rsidR="008A2C59" w:rsidRPr="00576DC7">
        <w:t>0.7</w:t>
      </w:r>
      <w:r w:rsidR="004259B9" w:rsidRPr="00576DC7">
        <w:t> billion</w:t>
      </w:r>
      <w:r w:rsidRPr="00576DC7">
        <w:t xml:space="preserve"> </w:t>
      </w:r>
      <w:r w:rsidR="009079E7" w:rsidRPr="00576DC7">
        <w:t xml:space="preserve">higher than </w:t>
      </w:r>
      <w:r w:rsidR="00BD6E81" w:rsidRPr="00576DC7">
        <w:t>forecast at</w:t>
      </w:r>
      <w:r w:rsidRPr="00576DC7">
        <w:t xml:space="preserve"> MYEFO </w:t>
      </w:r>
      <w:r w:rsidR="00ED3B7D" w:rsidRPr="00576DC7">
        <w:t>in nominal terms</w:t>
      </w:r>
      <w:r w:rsidR="005E3FCB" w:rsidRPr="00576DC7">
        <w:t>,</w:t>
      </w:r>
      <w:r w:rsidR="00ED3B7D" w:rsidRPr="00576DC7">
        <w:t xml:space="preserve"> but broadly equiv</w:t>
      </w:r>
      <w:r w:rsidR="005D695B" w:rsidRPr="00576DC7">
        <w:t>a</w:t>
      </w:r>
      <w:r w:rsidR="00ED3B7D" w:rsidRPr="00576DC7">
        <w:t>le</w:t>
      </w:r>
      <w:r w:rsidR="005D695B" w:rsidRPr="00576DC7">
        <w:t>n</w:t>
      </w:r>
      <w:r w:rsidR="00ED3B7D" w:rsidRPr="00576DC7">
        <w:t xml:space="preserve">t in per cent of GDP terms </w:t>
      </w:r>
      <w:r w:rsidRPr="00576DC7">
        <w:t>(Table 3.</w:t>
      </w:r>
      <w:r w:rsidR="005E2F6E" w:rsidRPr="00576DC7">
        <w:t>2</w:t>
      </w:r>
      <w:r w:rsidRPr="00576DC7">
        <w:t>). This follows a</w:t>
      </w:r>
      <w:r w:rsidR="00AE56C7" w:rsidRPr="00576DC7">
        <w:t xml:space="preserve"> $</w:t>
      </w:r>
      <w:r w:rsidR="004B2589" w:rsidRPr="00576DC7">
        <w:t>15.8</w:t>
      </w:r>
      <w:r w:rsidR="004259B9" w:rsidRPr="00576DC7">
        <w:t> billion</w:t>
      </w:r>
      <w:r w:rsidR="004B2589" w:rsidRPr="00576DC7">
        <w:t xml:space="preserve"> surplus in 2023</w:t>
      </w:r>
      <w:r w:rsidR="008B7D0D" w:rsidRPr="00576DC7">
        <w:t>–</w:t>
      </w:r>
      <w:r w:rsidR="008B7D0D" w:rsidRPr="00576DC7">
        <w:rPr>
          <w:w w:val="1"/>
        </w:rPr>
        <w:t> </w:t>
      </w:r>
      <w:r w:rsidR="004B2589" w:rsidRPr="00576DC7">
        <w:t>24</w:t>
      </w:r>
      <w:r w:rsidR="00640BD4" w:rsidRPr="00576DC7">
        <w:t xml:space="preserve"> and</w:t>
      </w:r>
      <w:r w:rsidR="00C35A31" w:rsidRPr="00576DC7">
        <w:t xml:space="preserve"> a</w:t>
      </w:r>
      <w:r w:rsidR="00640BD4" w:rsidRPr="00576DC7">
        <w:t xml:space="preserve"> </w:t>
      </w:r>
      <w:r w:rsidR="006347E1" w:rsidRPr="00576DC7">
        <w:t>$</w:t>
      </w:r>
      <w:r w:rsidR="00983852" w:rsidRPr="00576DC7">
        <w:t>22.1</w:t>
      </w:r>
      <w:r w:rsidR="004259B9" w:rsidRPr="00576DC7">
        <w:t> billion</w:t>
      </w:r>
      <w:r w:rsidR="00983852" w:rsidRPr="00576DC7">
        <w:t xml:space="preserve"> surplus</w:t>
      </w:r>
      <w:r w:rsidR="006347E1" w:rsidRPr="00576DC7">
        <w:t xml:space="preserve"> in 2022</w:t>
      </w:r>
      <w:r w:rsidR="00F6693E" w:rsidRPr="00576DC7">
        <w:t>–</w:t>
      </w:r>
      <w:r w:rsidR="006347E1" w:rsidRPr="00576DC7">
        <w:t>23</w:t>
      </w:r>
      <w:r w:rsidR="0012159C" w:rsidRPr="00576DC7">
        <w:t>,</w:t>
      </w:r>
      <w:r w:rsidR="0035441C" w:rsidRPr="008D283E">
        <w:t xml:space="preserve"> </w:t>
      </w:r>
      <w:r w:rsidRPr="00576DC7">
        <w:t>the first back</w:t>
      </w:r>
      <w:r w:rsidR="00404C26">
        <w:noBreakHyphen/>
      </w:r>
      <w:r w:rsidRPr="00576DC7">
        <w:t>to</w:t>
      </w:r>
      <w:r w:rsidR="00404C26">
        <w:noBreakHyphen/>
      </w:r>
      <w:r w:rsidRPr="00576DC7">
        <w:t>back surplus</w:t>
      </w:r>
      <w:r w:rsidR="006347E1" w:rsidRPr="00576DC7">
        <w:t>es</w:t>
      </w:r>
      <w:r w:rsidRPr="00576DC7">
        <w:t xml:space="preserve"> </w:t>
      </w:r>
      <w:r w:rsidR="00DF5BFF" w:rsidRPr="00576DC7">
        <w:t>in</w:t>
      </w:r>
      <w:r w:rsidRPr="00576DC7">
        <w:t xml:space="preserve"> nearly two decades</w:t>
      </w:r>
      <w:r w:rsidR="00147824" w:rsidRPr="00576DC7">
        <w:t xml:space="preserve"> and the largest nominal back</w:t>
      </w:r>
      <w:r w:rsidR="00404C26">
        <w:noBreakHyphen/>
      </w:r>
      <w:r w:rsidR="00147824" w:rsidRPr="00576DC7">
        <w:t>to</w:t>
      </w:r>
      <w:r w:rsidR="00404C26">
        <w:noBreakHyphen/>
      </w:r>
      <w:r w:rsidR="00147824" w:rsidRPr="00576DC7">
        <w:t>back surpluses on record</w:t>
      </w:r>
      <w:r w:rsidRPr="00576DC7">
        <w:t>.</w:t>
      </w:r>
    </w:p>
    <w:p w14:paraId="4125F033" w14:textId="0253B218" w:rsidR="00F56CDF" w:rsidRDefault="00B2621F" w:rsidP="00BB6901">
      <w:r w:rsidRPr="00576DC7">
        <w:t>An underlying cash deficit of $</w:t>
      </w:r>
      <w:r w:rsidR="00960F16" w:rsidRPr="00576DC7">
        <w:t>42.1</w:t>
      </w:r>
      <w:r w:rsidR="004259B9" w:rsidRPr="00576DC7">
        <w:t> billion</w:t>
      </w:r>
      <w:r w:rsidRPr="00576DC7">
        <w:t xml:space="preserve"> (</w:t>
      </w:r>
      <w:r w:rsidR="00960F16" w:rsidRPr="00576DC7">
        <w:t>1.5</w:t>
      </w:r>
      <w:r w:rsidRPr="00576DC7">
        <w:t> per cent of GDP) is forecast for 202</w:t>
      </w:r>
      <w:r w:rsidR="005D3FAF" w:rsidRPr="00576DC7">
        <w:t>5</w:t>
      </w:r>
      <w:r w:rsidRPr="00576DC7">
        <w:t>–2</w:t>
      </w:r>
      <w:r w:rsidR="005D3FAF" w:rsidRPr="00576DC7">
        <w:t>6</w:t>
      </w:r>
      <w:r w:rsidRPr="00576DC7">
        <w:t xml:space="preserve">, </w:t>
      </w:r>
      <w:r w:rsidR="00715630" w:rsidRPr="00576DC7">
        <w:t xml:space="preserve">a </w:t>
      </w:r>
      <w:r w:rsidRPr="00576DC7">
        <w:t>$</w:t>
      </w:r>
      <w:r w:rsidR="008E5E0F" w:rsidRPr="00576DC7">
        <w:t>4.8</w:t>
      </w:r>
      <w:r w:rsidR="004259B9" w:rsidRPr="00576DC7">
        <w:t> billion</w:t>
      </w:r>
      <w:r w:rsidRPr="00576DC7">
        <w:t xml:space="preserve"> </w:t>
      </w:r>
      <w:r w:rsidR="00715630" w:rsidRPr="00576DC7">
        <w:t xml:space="preserve">improvement </w:t>
      </w:r>
      <w:r w:rsidR="00904ECF" w:rsidRPr="00576DC7">
        <w:t>from the</w:t>
      </w:r>
      <w:r w:rsidR="005D3FAF" w:rsidRPr="00576DC7">
        <w:t xml:space="preserve"> forecast at</w:t>
      </w:r>
      <w:r w:rsidRPr="00576DC7">
        <w:t xml:space="preserve"> MYEFO. The underlying cash deficit is </w:t>
      </w:r>
      <w:r w:rsidR="00557768" w:rsidRPr="00576DC7">
        <w:t>then</w:t>
      </w:r>
      <w:r w:rsidRPr="00576DC7">
        <w:t xml:space="preserve"> expected to </w:t>
      </w:r>
      <w:r w:rsidR="00B222EC" w:rsidRPr="00576DC7">
        <w:t xml:space="preserve">improve </w:t>
      </w:r>
      <w:r w:rsidRPr="00576DC7">
        <w:t>to $</w:t>
      </w:r>
      <w:r w:rsidR="00D209EF" w:rsidRPr="00576DC7">
        <w:t>36.9</w:t>
      </w:r>
      <w:r w:rsidR="004259B9" w:rsidRPr="00576DC7">
        <w:t> billion</w:t>
      </w:r>
      <w:r w:rsidRPr="00576DC7">
        <w:t xml:space="preserve"> (</w:t>
      </w:r>
      <w:r w:rsidR="00D209EF" w:rsidRPr="00576DC7">
        <w:t>1.1</w:t>
      </w:r>
      <w:r w:rsidRPr="00576DC7">
        <w:t> </w:t>
      </w:r>
      <w:r w:rsidR="0035441C" w:rsidRPr="00576DC7">
        <w:t>p</w:t>
      </w:r>
      <w:r w:rsidRPr="00576DC7">
        <w:t>er cent of GDP) in 20</w:t>
      </w:r>
      <w:r w:rsidR="00D209EF" w:rsidRPr="00576DC7">
        <w:t>28</w:t>
      </w:r>
      <w:r w:rsidRPr="00576DC7">
        <w:t>–</w:t>
      </w:r>
      <w:r w:rsidR="00D209EF" w:rsidRPr="00576DC7">
        <w:t>29</w:t>
      </w:r>
      <w:r w:rsidRPr="00576DC7">
        <w:t xml:space="preserve">. </w:t>
      </w:r>
    </w:p>
    <w:p w14:paraId="1D2BEC58" w14:textId="367C9FEA" w:rsidR="006D7084" w:rsidRPr="00712254" w:rsidRDefault="00B95E2A" w:rsidP="00BB6901">
      <w:r w:rsidRPr="00576DC7">
        <w:t xml:space="preserve">Policy decisions since MYEFO have </w:t>
      </w:r>
      <w:r w:rsidR="001D2A3A" w:rsidRPr="00576DC7">
        <w:t>been limited to just $0.1</w:t>
      </w:r>
      <w:r w:rsidR="004259B9" w:rsidRPr="00576DC7">
        <w:t> billion</w:t>
      </w:r>
      <w:r w:rsidR="001D2A3A" w:rsidRPr="00576DC7">
        <w:t xml:space="preserve"> in 2024</w:t>
      </w:r>
      <w:r w:rsidR="007940B6" w:rsidRPr="00576DC7">
        <w:t>–</w:t>
      </w:r>
      <w:r w:rsidR="001D2A3A" w:rsidRPr="00576DC7">
        <w:t>25. O</w:t>
      </w:r>
      <w:r w:rsidR="00566B20" w:rsidRPr="00576DC7">
        <w:t xml:space="preserve">ver </w:t>
      </w:r>
      <w:r w:rsidR="00AB0C03" w:rsidRPr="00576DC7">
        <w:t xml:space="preserve">the </w:t>
      </w:r>
      <w:r w:rsidR="00566B20" w:rsidRPr="00576DC7">
        <w:t xml:space="preserve">five years </w:t>
      </w:r>
      <w:r w:rsidR="00566B20" w:rsidRPr="00C6733E">
        <w:t>to 2028–29</w:t>
      </w:r>
      <w:r w:rsidR="004E06B9" w:rsidRPr="00C6733E">
        <w:t xml:space="preserve"> net policy decisions have increased the underlying cash deficit by $34.9</w:t>
      </w:r>
      <w:r w:rsidR="004259B9" w:rsidRPr="00C6733E">
        <w:t> billion</w:t>
      </w:r>
      <w:r w:rsidR="0057772D" w:rsidRPr="00C6733E">
        <w:t>.</w:t>
      </w:r>
      <w:r w:rsidR="002929C8" w:rsidRPr="00C6733E">
        <w:t xml:space="preserve"> </w:t>
      </w:r>
      <w:r w:rsidR="00C6733E" w:rsidRPr="00C6733E">
        <w:t>This includes delivering new tax cuts to every Australian taxpayer from 1</w:t>
      </w:r>
      <w:r w:rsidR="004B6894">
        <w:t> </w:t>
      </w:r>
      <w:r w:rsidR="00C6733E" w:rsidRPr="00C6733E">
        <w:t>July</w:t>
      </w:r>
      <w:r w:rsidR="004B6894">
        <w:t> </w:t>
      </w:r>
      <w:r w:rsidR="00C6733E" w:rsidRPr="00C6733E">
        <w:t xml:space="preserve">2026 and further responsible cost-of-living relief, $3.5 billion in unavoidable </w:t>
      </w:r>
      <w:r w:rsidR="00CA7380" w:rsidRPr="00C6733E">
        <w:t>spending</w:t>
      </w:r>
      <w:r w:rsidR="000228A2" w:rsidRPr="00C6733E">
        <w:t xml:space="preserve"> and $2.2</w:t>
      </w:r>
      <w:r w:rsidR="004259B9" w:rsidRPr="00C6733E">
        <w:t> billion</w:t>
      </w:r>
      <w:r w:rsidR="000228A2" w:rsidRPr="00C6733E">
        <w:t xml:space="preserve"> </w:t>
      </w:r>
      <w:r w:rsidR="00C6329C" w:rsidRPr="00C6733E">
        <w:t>in</w:t>
      </w:r>
      <w:r w:rsidR="00B77AD4" w:rsidRPr="00C6733E">
        <w:t xml:space="preserve"> </w:t>
      </w:r>
      <w:r w:rsidR="00A10197" w:rsidRPr="00C6733E">
        <w:t xml:space="preserve">additional funding for hospitals and </w:t>
      </w:r>
      <w:r w:rsidR="0046025A" w:rsidRPr="00C6733E">
        <w:t xml:space="preserve">public </w:t>
      </w:r>
      <w:r w:rsidR="00A10197" w:rsidRPr="00C6733E">
        <w:t>schools</w:t>
      </w:r>
      <w:r w:rsidR="00CA7380" w:rsidRPr="00C6733E">
        <w:t>.</w:t>
      </w:r>
      <w:r w:rsidR="000F17A5" w:rsidRPr="00C6733E">
        <w:t xml:space="preserve"> </w:t>
      </w:r>
      <w:r w:rsidR="00CA7380" w:rsidRPr="00C6733E">
        <w:t>Parameter and other variations since</w:t>
      </w:r>
      <w:r w:rsidR="00CA7380" w:rsidRPr="00576DC7">
        <w:t xml:space="preserve"> MYEFO have </w:t>
      </w:r>
      <w:r w:rsidR="0014094C" w:rsidRPr="00576DC7">
        <w:t>de</w:t>
      </w:r>
      <w:r w:rsidR="00BE467F" w:rsidRPr="00576DC7">
        <w:t>creased</w:t>
      </w:r>
      <w:r w:rsidR="00CA7380" w:rsidRPr="00576DC7">
        <w:t xml:space="preserve"> the underlying cash </w:t>
      </w:r>
      <w:r w:rsidR="00BE467F" w:rsidRPr="00576DC7">
        <w:t>deficit</w:t>
      </w:r>
      <w:r w:rsidR="00CA7380" w:rsidRPr="00576DC7">
        <w:t xml:space="preserve"> by $</w:t>
      </w:r>
      <w:r w:rsidR="000C76B4" w:rsidRPr="00576DC7">
        <w:t>36.</w:t>
      </w:r>
      <w:proofErr w:type="gramStart"/>
      <w:r w:rsidR="000C76B4" w:rsidRPr="00576DC7">
        <w:t>4</w:t>
      </w:r>
      <w:r w:rsidR="00CA7380" w:rsidRPr="00576DC7">
        <w:t xml:space="preserve"> </w:t>
      </w:r>
      <w:r w:rsidR="004B6894">
        <w:t> </w:t>
      </w:r>
      <w:r w:rsidR="00CA7380" w:rsidRPr="00576DC7">
        <w:t>billion</w:t>
      </w:r>
      <w:proofErr w:type="gramEnd"/>
      <w:r w:rsidR="00CA7380" w:rsidRPr="00576DC7">
        <w:t xml:space="preserve"> </w:t>
      </w:r>
      <w:r w:rsidR="001F5B1C" w:rsidRPr="00576DC7">
        <w:t>o</w:t>
      </w:r>
      <w:r w:rsidR="006F505F" w:rsidRPr="00576DC7">
        <w:t xml:space="preserve">ver </w:t>
      </w:r>
      <w:r w:rsidR="00AB0C03" w:rsidRPr="00576DC7">
        <w:t xml:space="preserve">the </w:t>
      </w:r>
      <w:r w:rsidR="006F505F" w:rsidRPr="00576DC7">
        <w:t>five year</w:t>
      </w:r>
      <w:r w:rsidR="00AB0C03" w:rsidRPr="00576DC7">
        <w:t>s to 2028–29.</w:t>
      </w:r>
      <w:r w:rsidR="00736AF1" w:rsidRPr="00576DC7">
        <w:t xml:space="preserve"> </w:t>
      </w:r>
    </w:p>
    <w:p w14:paraId="45122ACF" w14:textId="09E0376D" w:rsidR="00B2621F" w:rsidRPr="00DB22F1" w:rsidRDefault="00F0395C" w:rsidP="00BB6901">
      <w:r w:rsidRPr="00576DC7">
        <w:t>In this Budget, $8.3 billion of policy decisions were funded by provisions from previous updates</w:t>
      </w:r>
      <w:r w:rsidR="00964B47" w:rsidRPr="00576DC7">
        <w:t xml:space="preserve">, limiting their impacts on the </w:t>
      </w:r>
      <w:r w:rsidRPr="00576DC7">
        <w:t xml:space="preserve">underlying cash balance in this update. </w:t>
      </w:r>
      <w:r w:rsidR="00EF7D69">
        <w:br w:type="page"/>
      </w:r>
    </w:p>
    <w:p w14:paraId="36BD2340" w14:textId="1C2C7F85" w:rsidR="009E2F74" w:rsidRPr="00576DC7" w:rsidRDefault="00B2621F" w:rsidP="00555B0C">
      <w:pPr>
        <w:pStyle w:val="TableHeading"/>
        <w:rPr>
          <w:rFonts w:asciiTheme="minorHAnsi" w:eastAsiaTheme="minorHAnsi" w:hAnsiTheme="minorHAnsi" w:cstheme="minorBidi"/>
          <w:b w:val="0"/>
          <w:sz w:val="22"/>
          <w:szCs w:val="22"/>
          <w:lang w:eastAsia="en-US"/>
        </w:rPr>
      </w:pPr>
      <w:r w:rsidRPr="00576DC7">
        <w:lastRenderedPageBreak/>
        <w:t>Table 3.</w:t>
      </w:r>
      <w:r w:rsidR="00072D3A" w:rsidRPr="00576DC7">
        <w:t>2</w:t>
      </w:r>
      <w:r w:rsidRPr="00576DC7">
        <w:t>: Reconciliation of general government sector underlying cash balance estimates</w:t>
      </w:r>
      <w:r w:rsidR="0004517A" w:rsidRPr="00576DC7">
        <w:t xml:space="preserve"> </w:t>
      </w:r>
      <w:bookmarkStart w:id="23" w:name="_1803892293"/>
      <w:bookmarkStart w:id="24" w:name="_1803891220"/>
      <w:bookmarkStart w:id="25" w:name="_1803876629"/>
      <w:bookmarkStart w:id="26" w:name="_1804053267"/>
      <w:bookmarkStart w:id="27" w:name="_1804053652"/>
      <w:bookmarkStart w:id="28" w:name="_1804052963"/>
      <w:bookmarkStart w:id="29" w:name="_1804053961"/>
      <w:bookmarkEnd w:id="23"/>
      <w:bookmarkEnd w:id="24"/>
      <w:bookmarkEnd w:id="25"/>
      <w:bookmarkEnd w:id="26"/>
      <w:bookmarkEnd w:id="27"/>
      <w:bookmarkEnd w:id="28"/>
      <w:bookmarkEnd w:id="29"/>
    </w:p>
    <w:tbl>
      <w:tblPr>
        <w:tblW w:w="5000" w:type="pct"/>
        <w:tblCellMar>
          <w:left w:w="0" w:type="dxa"/>
          <w:right w:w="28" w:type="dxa"/>
        </w:tblCellMar>
        <w:tblLook w:val="04A0" w:firstRow="1" w:lastRow="0" w:firstColumn="1" w:lastColumn="0" w:noHBand="0" w:noVBand="1"/>
      </w:tblPr>
      <w:tblGrid>
        <w:gridCol w:w="3258"/>
        <w:gridCol w:w="709"/>
        <w:gridCol w:w="731"/>
        <w:gridCol w:w="731"/>
        <w:gridCol w:w="731"/>
        <w:gridCol w:w="731"/>
        <w:gridCol w:w="76"/>
        <w:gridCol w:w="743"/>
      </w:tblGrid>
      <w:tr w:rsidR="009E2F74" w:rsidRPr="00576DC7" w14:paraId="5D152236" w14:textId="77777777" w:rsidTr="009E2F74">
        <w:trPr>
          <w:trHeight w:hRule="exact" w:val="226"/>
        </w:trPr>
        <w:tc>
          <w:tcPr>
            <w:tcW w:w="2113" w:type="pct"/>
            <w:tcBorders>
              <w:top w:val="single" w:sz="4" w:space="0" w:color="293F5B"/>
              <w:left w:val="nil"/>
              <w:bottom w:val="nil"/>
              <w:right w:val="nil"/>
            </w:tcBorders>
            <w:shd w:val="clear" w:color="000000" w:fill="FFFFFF"/>
            <w:noWrap/>
            <w:vAlign w:val="bottom"/>
            <w:hideMark/>
          </w:tcPr>
          <w:p w14:paraId="776F4FE7" w14:textId="728A17BA" w:rsidR="009E2F74" w:rsidRPr="00576DC7" w:rsidRDefault="009E2F74" w:rsidP="009E2F74">
            <w:pPr>
              <w:spacing w:before="0" w:after="0" w:line="240" w:lineRule="auto"/>
              <w:rPr>
                <w:rFonts w:ascii="Calibri" w:hAnsi="Calibri" w:cs="Calibri"/>
                <w:sz w:val="22"/>
                <w:szCs w:val="22"/>
              </w:rPr>
            </w:pPr>
            <w:r w:rsidRPr="00576DC7">
              <w:rPr>
                <w:rFonts w:ascii="Calibri" w:hAnsi="Calibri" w:cs="Calibri"/>
                <w:sz w:val="22"/>
                <w:szCs w:val="22"/>
              </w:rPr>
              <w:t> </w:t>
            </w:r>
          </w:p>
        </w:tc>
        <w:tc>
          <w:tcPr>
            <w:tcW w:w="2355" w:type="pct"/>
            <w:gridSpan w:val="5"/>
            <w:tcBorders>
              <w:top w:val="single" w:sz="4" w:space="0" w:color="293F5B"/>
              <w:left w:val="nil"/>
              <w:bottom w:val="single" w:sz="4" w:space="0" w:color="293F5B"/>
              <w:right w:val="nil"/>
            </w:tcBorders>
            <w:shd w:val="clear" w:color="000000" w:fill="FFFFFF"/>
            <w:noWrap/>
            <w:vAlign w:val="center"/>
            <w:hideMark/>
          </w:tcPr>
          <w:p w14:paraId="04594AD5" w14:textId="77777777" w:rsidR="009E2F74" w:rsidRPr="00576DC7" w:rsidRDefault="009E2F74" w:rsidP="009E2F74">
            <w:pPr>
              <w:spacing w:before="0" w:after="0" w:line="240" w:lineRule="auto"/>
              <w:jc w:val="center"/>
              <w:rPr>
                <w:rFonts w:ascii="Arial" w:hAnsi="Arial" w:cs="Arial"/>
                <w:sz w:val="16"/>
                <w:szCs w:val="16"/>
              </w:rPr>
            </w:pPr>
            <w:r w:rsidRPr="00576DC7">
              <w:rPr>
                <w:rFonts w:ascii="Arial" w:hAnsi="Arial" w:cs="Arial"/>
                <w:sz w:val="16"/>
                <w:szCs w:val="16"/>
              </w:rPr>
              <w:t>Estimates</w:t>
            </w:r>
          </w:p>
        </w:tc>
        <w:tc>
          <w:tcPr>
            <w:tcW w:w="49" w:type="pct"/>
            <w:tcBorders>
              <w:top w:val="single" w:sz="4" w:space="0" w:color="293F5B"/>
              <w:left w:val="nil"/>
              <w:bottom w:val="nil"/>
              <w:right w:val="nil"/>
            </w:tcBorders>
            <w:shd w:val="clear" w:color="000000" w:fill="FFFFFF"/>
            <w:noWrap/>
            <w:vAlign w:val="center"/>
            <w:hideMark/>
          </w:tcPr>
          <w:p w14:paraId="70986EDF"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c>
          <w:tcPr>
            <w:tcW w:w="483" w:type="pct"/>
            <w:tcBorders>
              <w:top w:val="single" w:sz="4" w:space="0" w:color="293F5B"/>
              <w:left w:val="nil"/>
              <w:bottom w:val="nil"/>
              <w:right w:val="nil"/>
            </w:tcBorders>
            <w:shd w:val="clear" w:color="000000" w:fill="FFFFFF"/>
            <w:noWrap/>
            <w:vAlign w:val="center"/>
            <w:hideMark/>
          </w:tcPr>
          <w:p w14:paraId="22E24245"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r>
      <w:tr w:rsidR="009E2F74" w:rsidRPr="00576DC7" w14:paraId="27EE382E" w14:textId="77777777" w:rsidTr="009E2F74">
        <w:trPr>
          <w:trHeight w:hRule="exact" w:val="226"/>
        </w:trPr>
        <w:tc>
          <w:tcPr>
            <w:tcW w:w="2113" w:type="pct"/>
            <w:tcBorders>
              <w:top w:val="nil"/>
              <w:left w:val="nil"/>
              <w:bottom w:val="nil"/>
              <w:right w:val="nil"/>
            </w:tcBorders>
            <w:shd w:val="clear" w:color="000000" w:fill="FFFFFF"/>
            <w:noWrap/>
            <w:vAlign w:val="bottom"/>
            <w:hideMark/>
          </w:tcPr>
          <w:p w14:paraId="0ECE66F5"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c>
          <w:tcPr>
            <w:tcW w:w="460" w:type="pct"/>
            <w:tcBorders>
              <w:top w:val="single" w:sz="4" w:space="0" w:color="293F5B"/>
              <w:left w:val="nil"/>
              <w:bottom w:val="nil"/>
              <w:right w:val="nil"/>
            </w:tcBorders>
            <w:shd w:val="clear" w:color="000000" w:fill="FFFFFF"/>
            <w:noWrap/>
            <w:vAlign w:val="center"/>
            <w:hideMark/>
          </w:tcPr>
          <w:p w14:paraId="1F5089B7" w14:textId="3F9664BD"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2024</w:t>
            </w:r>
            <w:r w:rsidR="00404C26">
              <w:rPr>
                <w:rFonts w:ascii="Arial" w:hAnsi="Arial" w:cs="Arial"/>
                <w:sz w:val="16"/>
                <w:szCs w:val="16"/>
              </w:rPr>
              <w:noBreakHyphen/>
            </w:r>
            <w:r w:rsidRPr="00576DC7">
              <w:rPr>
                <w:rFonts w:ascii="Arial" w:hAnsi="Arial" w:cs="Arial"/>
                <w:sz w:val="16"/>
                <w:szCs w:val="16"/>
              </w:rPr>
              <w:t>25</w:t>
            </w:r>
          </w:p>
        </w:tc>
        <w:tc>
          <w:tcPr>
            <w:tcW w:w="474" w:type="pct"/>
            <w:tcBorders>
              <w:top w:val="single" w:sz="4" w:space="0" w:color="293F5B"/>
              <w:left w:val="nil"/>
              <w:bottom w:val="nil"/>
              <w:right w:val="nil"/>
            </w:tcBorders>
            <w:shd w:val="clear" w:color="000000" w:fill="E6F2FF"/>
            <w:noWrap/>
            <w:vAlign w:val="center"/>
            <w:hideMark/>
          </w:tcPr>
          <w:p w14:paraId="6FBFFA9C" w14:textId="23C53FDC"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2025</w:t>
            </w:r>
            <w:r w:rsidR="00404C26">
              <w:rPr>
                <w:rFonts w:ascii="Arial" w:hAnsi="Arial" w:cs="Arial"/>
                <w:sz w:val="16"/>
                <w:szCs w:val="16"/>
              </w:rPr>
              <w:noBreakHyphen/>
            </w:r>
            <w:r w:rsidRPr="00576DC7">
              <w:rPr>
                <w:rFonts w:ascii="Arial" w:hAnsi="Arial" w:cs="Arial"/>
                <w:sz w:val="16"/>
                <w:szCs w:val="16"/>
              </w:rPr>
              <w:t>26</w:t>
            </w:r>
          </w:p>
        </w:tc>
        <w:tc>
          <w:tcPr>
            <w:tcW w:w="474" w:type="pct"/>
            <w:tcBorders>
              <w:top w:val="single" w:sz="4" w:space="0" w:color="293F5B"/>
              <w:left w:val="nil"/>
              <w:bottom w:val="nil"/>
              <w:right w:val="nil"/>
            </w:tcBorders>
            <w:shd w:val="clear" w:color="000000" w:fill="FFFFFF"/>
            <w:noWrap/>
            <w:vAlign w:val="center"/>
            <w:hideMark/>
          </w:tcPr>
          <w:p w14:paraId="32FE174D" w14:textId="7A39FC6B"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2026</w:t>
            </w:r>
            <w:r w:rsidR="00404C26">
              <w:rPr>
                <w:rFonts w:ascii="Arial" w:hAnsi="Arial" w:cs="Arial"/>
                <w:sz w:val="16"/>
                <w:szCs w:val="16"/>
              </w:rPr>
              <w:noBreakHyphen/>
            </w:r>
            <w:r w:rsidRPr="00576DC7">
              <w:rPr>
                <w:rFonts w:ascii="Arial" w:hAnsi="Arial" w:cs="Arial"/>
                <w:sz w:val="16"/>
                <w:szCs w:val="16"/>
              </w:rPr>
              <w:t>27</w:t>
            </w:r>
          </w:p>
        </w:tc>
        <w:tc>
          <w:tcPr>
            <w:tcW w:w="474" w:type="pct"/>
            <w:tcBorders>
              <w:top w:val="single" w:sz="4" w:space="0" w:color="293F5B"/>
              <w:left w:val="nil"/>
              <w:bottom w:val="nil"/>
              <w:right w:val="nil"/>
            </w:tcBorders>
            <w:shd w:val="clear" w:color="000000" w:fill="FFFFFF"/>
            <w:noWrap/>
            <w:vAlign w:val="center"/>
            <w:hideMark/>
          </w:tcPr>
          <w:p w14:paraId="58D0BCB6" w14:textId="0F39E394"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2027</w:t>
            </w:r>
            <w:r w:rsidR="00404C26">
              <w:rPr>
                <w:rFonts w:ascii="Arial" w:hAnsi="Arial" w:cs="Arial"/>
                <w:sz w:val="16"/>
                <w:szCs w:val="16"/>
              </w:rPr>
              <w:noBreakHyphen/>
            </w:r>
            <w:r w:rsidRPr="00576DC7">
              <w:rPr>
                <w:rFonts w:ascii="Arial" w:hAnsi="Arial" w:cs="Arial"/>
                <w:sz w:val="16"/>
                <w:szCs w:val="16"/>
              </w:rPr>
              <w:t>28</w:t>
            </w:r>
          </w:p>
        </w:tc>
        <w:tc>
          <w:tcPr>
            <w:tcW w:w="474" w:type="pct"/>
            <w:tcBorders>
              <w:top w:val="single" w:sz="4" w:space="0" w:color="293F5B"/>
              <w:left w:val="nil"/>
              <w:bottom w:val="nil"/>
              <w:right w:val="nil"/>
            </w:tcBorders>
            <w:shd w:val="clear" w:color="000000" w:fill="FFFFFF"/>
            <w:noWrap/>
            <w:vAlign w:val="center"/>
            <w:hideMark/>
          </w:tcPr>
          <w:p w14:paraId="5AE486DB" w14:textId="358D8D8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2028</w:t>
            </w:r>
            <w:r w:rsidR="00404C26">
              <w:rPr>
                <w:rFonts w:ascii="Arial" w:hAnsi="Arial" w:cs="Arial"/>
                <w:sz w:val="16"/>
                <w:szCs w:val="16"/>
              </w:rPr>
              <w:noBreakHyphen/>
            </w:r>
            <w:r w:rsidRPr="00576DC7">
              <w:rPr>
                <w:rFonts w:ascii="Arial" w:hAnsi="Arial" w:cs="Arial"/>
                <w:sz w:val="16"/>
                <w:szCs w:val="16"/>
              </w:rPr>
              <w:t>29</w:t>
            </w:r>
          </w:p>
        </w:tc>
        <w:tc>
          <w:tcPr>
            <w:tcW w:w="49" w:type="pct"/>
            <w:tcBorders>
              <w:top w:val="nil"/>
              <w:left w:val="nil"/>
              <w:bottom w:val="nil"/>
              <w:right w:val="nil"/>
            </w:tcBorders>
            <w:shd w:val="clear" w:color="000000" w:fill="FFFFFF"/>
            <w:noWrap/>
            <w:vAlign w:val="center"/>
            <w:hideMark/>
          </w:tcPr>
          <w:p w14:paraId="0C165940"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single" w:sz="4" w:space="0" w:color="293F5B"/>
              <w:left w:val="nil"/>
              <w:bottom w:val="nil"/>
              <w:right w:val="nil"/>
            </w:tcBorders>
            <w:shd w:val="clear" w:color="000000" w:fill="FFFFFF"/>
            <w:noWrap/>
            <w:vAlign w:val="center"/>
            <w:hideMark/>
          </w:tcPr>
          <w:p w14:paraId="506AAFFC"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Total</w:t>
            </w:r>
          </w:p>
        </w:tc>
      </w:tr>
      <w:tr w:rsidR="009E2F74" w:rsidRPr="00576DC7" w14:paraId="10078E9E"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78EE0A2F"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c>
          <w:tcPr>
            <w:tcW w:w="460" w:type="pct"/>
            <w:tcBorders>
              <w:top w:val="nil"/>
              <w:left w:val="nil"/>
              <w:bottom w:val="single" w:sz="4" w:space="0" w:color="293F5B"/>
              <w:right w:val="nil"/>
            </w:tcBorders>
            <w:shd w:val="clear" w:color="000000" w:fill="FFFFFF"/>
            <w:noWrap/>
            <w:vAlign w:val="center"/>
            <w:hideMark/>
          </w:tcPr>
          <w:p w14:paraId="5F09A63B"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$m</w:t>
            </w:r>
          </w:p>
        </w:tc>
        <w:tc>
          <w:tcPr>
            <w:tcW w:w="474" w:type="pct"/>
            <w:tcBorders>
              <w:top w:val="nil"/>
              <w:left w:val="nil"/>
              <w:bottom w:val="single" w:sz="4" w:space="0" w:color="293F5B"/>
              <w:right w:val="nil"/>
            </w:tcBorders>
            <w:shd w:val="clear" w:color="000000" w:fill="E6F2FF"/>
            <w:noWrap/>
            <w:vAlign w:val="center"/>
            <w:hideMark/>
          </w:tcPr>
          <w:p w14:paraId="103B1AB3"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$m</w:t>
            </w:r>
          </w:p>
        </w:tc>
        <w:tc>
          <w:tcPr>
            <w:tcW w:w="474" w:type="pct"/>
            <w:tcBorders>
              <w:top w:val="nil"/>
              <w:left w:val="nil"/>
              <w:bottom w:val="single" w:sz="4" w:space="0" w:color="293F5B"/>
              <w:right w:val="nil"/>
            </w:tcBorders>
            <w:shd w:val="clear" w:color="000000" w:fill="FFFFFF"/>
            <w:noWrap/>
            <w:vAlign w:val="center"/>
            <w:hideMark/>
          </w:tcPr>
          <w:p w14:paraId="467C02C5"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$m</w:t>
            </w:r>
          </w:p>
        </w:tc>
        <w:tc>
          <w:tcPr>
            <w:tcW w:w="474" w:type="pct"/>
            <w:tcBorders>
              <w:top w:val="nil"/>
              <w:left w:val="nil"/>
              <w:bottom w:val="single" w:sz="4" w:space="0" w:color="293F5B"/>
              <w:right w:val="nil"/>
            </w:tcBorders>
            <w:shd w:val="clear" w:color="000000" w:fill="FFFFFF"/>
            <w:noWrap/>
            <w:vAlign w:val="center"/>
            <w:hideMark/>
          </w:tcPr>
          <w:p w14:paraId="1E830CD2"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$m</w:t>
            </w:r>
          </w:p>
        </w:tc>
        <w:tc>
          <w:tcPr>
            <w:tcW w:w="474" w:type="pct"/>
            <w:tcBorders>
              <w:top w:val="nil"/>
              <w:left w:val="nil"/>
              <w:bottom w:val="single" w:sz="4" w:space="0" w:color="293F5B"/>
              <w:right w:val="nil"/>
            </w:tcBorders>
            <w:shd w:val="clear" w:color="000000" w:fill="FFFFFF"/>
            <w:noWrap/>
            <w:vAlign w:val="center"/>
            <w:hideMark/>
          </w:tcPr>
          <w:p w14:paraId="248F922F"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$m</w:t>
            </w:r>
          </w:p>
        </w:tc>
        <w:tc>
          <w:tcPr>
            <w:tcW w:w="49" w:type="pct"/>
            <w:tcBorders>
              <w:top w:val="nil"/>
              <w:left w:val="nil"/>
              <w:bottom w:val="nil"/>
              <w:right w:val="nil"/>
            </w:tcBorders>
            <w:shd w:val="clear" w:color="000000" w:fill="FFFFFF"/>
            <w:noWrap/>
            <w:vAlign w:val="center"/>
            <w:hideMark/>
          </w:tcPr>
          <w:p w14:paraId="32E7C9E6"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single" w:sz="4" w:space="0" w:color="293F5B"/>
              <w:right w:val="nil"/>
            </w:tcBorders>
            <w:shd w:val="clear" w:color="000000" w:fill="FFFFFF"/>
            <w:noWrap/>
            <w:vAlign w:val="center"/>
            <w:hideMark/>
          </w:tcPr>
          <w:p w14:paraId="01395892"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$m</w:t>
            </w:r>
          </w:p>
        </w:tc>
      </w:tr>
      <w:tr w:rsidR="009E2F74" w:rsidRPr="00576DC7" w14:paraId="26ACD6F6"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0CF6F202" w14:textId="1EA71171" w:rsidR="009E2F74" w:rsidRPr="00576DC7" w:rsidRDefault="009E2F74" w:rsidP="009E2F74">
            <w:pPr>
              <w:spacing w:before="0" w:after="0" w:line="240" w:lineRule="auto"/>
              <w:rPr>
                <w:rFonts w:ascii="Arial" w:hAnsi="Arial" w:cs="Arial"/>
                <w:b/>
                <w:bCs/>
                <w:sz w:val="16"/>
                <w:szCs w:val="16"/>
              </w:rPr>
            </w:pPr>
            <w:r w:rsidRPr="00576DC7">
              <w:rPr>
                <w:rFonts w:ascii="Arial" w:hAnsi="Arial" w:cs="Arial"/>
                <w:b/>
                <w:bCs/>
                <w:sz w:val="16"/>
                <w:szCs w:val="16"/>
              </w:rPr>
              <w:t>2024</w:t>
            </w:r>
            <w:r w:rsidR="00404C26">
              <w:rPr>
                <w:rFonts w:ascii="Arial" w:hAnsi="Arial" w:cs="Arial"/>
                <w:b/>
                <w:bCs/>
                <w:sz w:val="16"/>
                <w:szCs w:val="16"/>
              </w:rPr>
              <w:noBreakHyphen/>
            </w:r>
            <w:r w:rsidRPr="00576DC7">
              <w:rPr>
                <w:rFonts w:ascii="Arial" w:hAnsi="Arial" w:cs="Arial"/>
                <w:b/>
                <w:bCs/>
                <w:sz w:val="16"/>
                <w:szCs w:val="16"/>
              </w:rPr>
              <w:t>25 Budget underlying cash</w:t>
            </w:r>
          </w:p>
        </w:tc>
        <w:tc>
          <w:tcPr>
            <w:tcW w:w="460" w:type="pct"/>
            <w:tcBorders>
              <w:top w:val="nil"/>
              <w:left w:val="nil"/>
              <w:bottom w:val="nil"/>
              <w:right w:val="nil"/>
            </w:tcBorders>
            <w:shd w:val="clear" w:color="000000" w:fill="FFFFFF"/>
            <w:noWrap/>
            <w:vAlign w:val="center"/>
            <w:hideMark/>
          </w:tcPr>
          <w:p w14:paraId="78AEF4F4"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6AF81C00"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4B572F0D"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6AB4D3B9"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362B3D6B"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9" w:type="pct"/>
            <w:tcBorders>
              <w:top w:val="nil"/>
              <w:left w:val="nil"/>
              <w:bottom w:val="nil"/>
              <w:right w:val="nil"/>
            </w:tcBorders>
            <w:shd w:val="clear" w:color="000000" w:fill="FFFFFF"/>
            <w:noWrap/>
            <w:vAlign w:val="center"/>
            <w:hideMark/>
          </w:tcPr>
          <w:p w14:paraId="33E00A36"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34F49960"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r>
      <w:tr w:rsidR="009E2F74" w:rsidRPr="00576DC7" w14:paraId="1DA9A97F"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4FBF6219" w14:textId="77777777" w:rsidR="009E2F74" w:rsidRPr="00576DC7" w:rsidRDefault="009E2F74" w:rsidP="009E2F74">
            <w:pPr>
              <w:spacing w:before="0" w:after="0" w:line="240" w:lineRule="auto"/>
              <w:ind w:left="170"/>
              <w:rPr>
                <w:rFonts w:ascii="Arial" w:hAnsi="Arial" w:cs="Arial"/>
                <w:b/>
                <w:bCs/>
                <w:sz w:val="16"/>
                <w:szCs w:val="16"/>
              </w:rPr>
            </w:pPr>
            <w:r w:rsidRPr="00576DC7">
              <w:rPr>
                <w:rFonts w:ascii="Arial" w:hAnsi="Arial" w:cs="Arial"/>
                <w:b/>
                <w:bCs/>
                <w:sz w:val="16"/>
                <w:szCs w:val="16"/>
              </w:rPr>
              <w:t>balance</w:t>
            </w:r>
          </w:p>
        </w:tc>
        <w:tc>
          <w:tcPr>
            <w:tcW w:w="460" w:type="pct"/>
            <w:tcBorders>
              <w:top w:val="nil"/>
              <w:left w:val="nil"/>
              <w:bottom w:val="nil"/>
              <w:right w:val="nil"/>
            </w:tcBorders>
            <w:shd w:val="clear" w:color="000000" w:fill="FFFFFF"/>
            <w:noWrap/>
            <w:vAlign w:val="bottom"/>
            <w:hideMark/>
          </w:tcPr>
          <w:p w14:paraId="7C2344E7" w14:textId="73BB536D"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28,286</w:t>
            </w:r>
          </w:p>
        </w:tc>
        <w:tc>
          <w:tcPr>
            <w:tcW w:w="474" w:type="pct"/>
            <w:tcBorders>
              <w:top w:val="nil"/>
              <w:left w:val="nil"/>
              <w:bottom w:val="nil"/>
              <w:right w:val="nil"/>
            </w:tcBorders>
            <w:shd w:val="clear" w:color="000000" w:fill="E6F2FF"/>
            <w:noWrap/>
            <w:vAlign w:val="bottom"/>
            <w:hideMark/>
          </w:tcPr>
          <w:p w14:paraId="70173A5E" w14:textId="658D847F"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42,838</w:t>
            </w:r>
          </w:p>
        </w:tc>
        <w:tc>
          <w:tcPr>
            <w:tcW w:w="474" w:type="pct"/>
            <w:tcBorders>
              <w:top w:val="nil"/>
              <w:left w:val="nil"/>
              <w:bottom w:val="nil"/>
              <w:right w:val="nil"/>
            </w:tcBorders>
            <w:shd w:val="clear" w:color="000000" w:fill="FFFFFF"/>
            <w:noWrap/>
            <w:vAlign w:val="bottom"/>
            <w:hideMark/>
          </w:tcPr>
          <w:p w14:paraId="46270A14" w14:textId="68FEECF7"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26,713</w:t>
            </w:r>
          </w:p>
        </w:tc>
        <w:tc>
          <w:tcPr>
            <w:tcW w:w="474" w:type="pct"/>
            <w:tcBorders>
              <w:top w:val="nil"/>
              <w:left w:val="nil"/>
              <w:bottom w:val="nil"/>
              <w:right w:val="nil"/>
            </w:tcBorders>
            <w:shd w:val="clear" w:color="000000" w:fill="FFFFFF"/>
            <w:noWrap/>
            <w:vAlign w:val="bottom"/>
            <w:hideMark/>
          </w:tcPr>
          <w:p w14:paraId="62BA8AB0" w14:textId="1F8D63D8"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24,345</w:t>
            </w:r>
          </w:p>
        </w:tc>
        <w:tc>
          <w:tcPr>
            <w:tcW w:w="474" w:type="pct"/>
            <w:tcBorders>
              <w:top w:val="nil"/>
              <w:left w:val="nil"/>
              <w:bottom w:val="nil"/>
              <w:right w:val="nil"/>
            </w:tcBorders>
            <w:shd w:val="clear" w:color="000000" w:fill="FFFFFF"/>
            <w:noWrap/>
            <w:vAlign w:val="bottom"/>
            <w:hideMark/>
          </w:tcPr>
          <w:p w14:paraId="29677195"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w:t>
            </w:r>
          </w:p>
        </w:tc>
        <w:tc>
          <w:tcPr>
            <w:tcW w:w="49" w:type="pct"/>
            <w:tcBorders>
              <w:top w:val="nil"/>
              <w:left w:val="nil"/>
              <w:bottom w:val="nil"/>
              <w:right w:val="nil"/>
            </w:tcBorders>
            <w:shd w:val="clear" w:color="000000" w:fill="FFFFFF"/>
            <w:noWrap/>
            <w:vAlign w:val="center"/>
            <w:hideMark/>
          </w:tcPr>
          <w:p w14:paraId="007D2D56"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5D40E54D"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w:t>
            </w:r>
          </w:p>
        </w:tc>
      </w:tr>
      <w:tr w:rsidR="009E2F74" w:rsidRPr="00576DC7" w14:paraId="63B54884"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10D82902"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Per cent of GDP</w:t>
            </w:r>
          </w:p>
        </w:tc>
        <w:tc>
          <w:tcPr>
            <w:tcW w:w="460" w:type="pct"/>
            <w:tcBorders>
              <w:top w:val="nil"/>
              <w:left w:val="nil"/>
              <w:bottom w:val="nil"/>
              <w:right w:val="nil"/>
            </w:tcBorders>
            <w:shd w:val="clear" w:color="000000" w:fill="FFFFFF"/>
            <w:noWrap/>
            <w:vAlign w:val="center"/>
            <w:hideMark/>
          </w:tcPr>
          <w:p w14:paraId="4FA9EA39" w14:textId="32D93EF0"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1.0</w:t>
            </w:r>
          </w:p>
        </w:tc>
        <w:tc>
          <w:tcPr>
            <w:tcW w:w="474" w:type="pct"/>
            <w:tcBorders>
              <w:top w:val="nil"/>
              <w:left w:val="nil"/>
              <w:bottom w:val="nil"/>
              <w:right w:val="nil"/>
            </w:tcBorders>
            <w:shd w:val="clear" w:color="000000" w:fill="E6F2FF"/>
            <w:noWrap/>
            <w:vAlign w:val="center"/>
            <w:hideMark/>
          </w:tcPr>
          <w:p w14:paraId="448B64E6" w14:textId="4972B862"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1.5</w:t>
            </w:r>
          </w:p>
        </w:tc>
        <w:tc>
          <w:tcPr>
            <w:tcW w:w="474" w:type="pct"/>
            <w:tcBorders>
              <w:top w:val="nil"/>
              <w:left w:val="nil"/>
              <w:bottom w:val="nil"/>
              <w:right w:val="nil"/>
            </w:tcBorders>
            <w:shd w:val="clear" w:color="000000" w:fill="FFFFFF"/>
            <w:noWrap/>
            <w:vAlign w:val="center"/>
            <w:hideMark/>
          </w:tcPr>
          <w:p w14:paraId="32AA9D61" w14:textId="2EA9E5DF"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0.9</w:t>
            </w:r>
          </w:p>
        </w:tc>
        <w:tc>
          <w:tcPr>
            <w:tcW w:w="474" w:type="pct"/>
            <w:tcBorders>
              <w:top w:val="nil"/>
              <w:left w:val="nil"/>
              <w:bottom w:val="nil"/>
              <w:right w:val="nil"/>
            </w:tcBorders>
            <w:shd w:val="clear" w:color="000000" w:fill="FFFFFF"/>
            <w:noWrap/>
            <w:vAlign w:val="center"/>
            <w:hideMark/>
          </w:tcPr>
          <w:p w14:paraId="56645333" w14:textId="4422AE08"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0.8</w:t>
            </w:r>
          </w:p>
        </w:tc>
        <w:tc>
          <w:tcPr>
            <w:tcW w:w="474" w:type="pct"/>
            <w:tcBorders>
              <w:top w:val="nil"/>
              <w:left w:val="nil"/>
              <w:bottom w:val="nil"/>
              <w:right w:val="nil"/>
            </w:tcBorders>
            <w:shd w:val="clear" w:color="000000" w:fill="FFFFFF"/>
            <w:noWrap/>
            <w:vAlign w:val="center"/>
            <w:hideMark/>
          </w:tcPr>
          <w:p w14:paraId="61D8B7DF"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w:t>
            </w:r>
          </w:p>
        </w:tc>
        <w:tc>
          <w:tcPr>
            <w:tcW w:w="49" w:type="pct"/>
            <w:tcBorders>
              <w:top w:val="nil"/>
              <w:left w:val="nil"/>
              <w:bottom w:val="nil"/>
              <w:right w:val="nil"/>
            </w:tcBorders>
            <w:shd w:val="clear" w:color="000000" w:fill="FFFFFF"/>
            <w:noWrap/>
            <w:vAlign w:val="center"/>
            <w:hideMark/>
          </w:tcPr>
          <w:p w14:paraId="5212D8E0"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3816F4AC"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r>
      <w:tr w:rsidR="009E2F74" w:rsidRPr="00576DC7" w14:paraId="7F17B3D3" w14:textId="77777777" w:rsidTr="009E2F74">
        <w:trPr>
          <w:trHeight w:hRule="exact" w:val="60"/>
        </w:trPr>
        <w:tc>
          <w:tcPr>
            <w:tcW w:w="2113" w:type="pct"/>
            <w:tcBorders>
              <w:top w:val="nil"/>
              <w:left w:val="nil"/>
              <w:bottom w:val="nil"/>
              <w:right w:val="nil"/>
            </w:tcBorders>
            <w:shd w:val="clear" w:color="000000" w:fill="FFFFFF"/>
            <w:noWrap/>
            <w:vAlign w:val="center"/>
            <w:hideMark/>
          </w:tcPr>
          <w:p w14:paraId="3CABEE95"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2AECA2EC"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5332F493"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64DD981F"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2421CC9B"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3FB32D00"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9" w:type="pct"/>
            <w:tcBorders>
              <w:top w:val="nil"/>
              <w:left w:val="nil"/>
              <w:bottom w:val="nil"/>
              <w:right w:val="nil"/>
            </w:tcBorders>
            <w:shd w:val="clear" w:color="000000" w:fill="FFFFFF"/>
            <w:noWrap/>
            <w:vAlign w:val="center"/>
            <w:hideMark/>
          </w:tcPr>
          <w:p w14:paraId="57D238E8"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36DE094E"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r>
      <w:tr w:rsidR="009E2F74" w:rsidRPr="00576DC7" w14:paraId="581D590C"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4B5A9239" w14:textId="7320AF82" w:rsidR="009E2F74" w:rsidRPr="00576DC7" w:rsidRDefault="009E2F74" w:rsidP="009E2F74">
            <w:pPr>
              <w:spacing w:before="0" w:after="0" w:line="240" w:lineRule="auto"/>
              <w:rPr>
                <w:rFonts w:ascii="Arial" w:hAnsi="Arial" w:cs="Arial"/>
                <w:b/>
                <w:bCs/>
                <w:sz w:val="16"/>
                <w:szCs w:val="16"/>
              </w:rPr>
            </w:pPr>
            <w:r w:rsidRPr="00576DC7">
              <w:rPr>
                <w:rFonts w:ascii="Arial" w:hAnsi="Arial" w:cs="Arial"/>
                <w:b/>
                <w:bCs/>
                <w:sz w:val="16"/>
                <w:szCs w:val="16"/>
              </w:rPr>
              <w:t>Changes from 2024</w:t>
            </w:r>
            <w:r w:rsidR="00404C26">
              <w:rPr>
                <w:rFonts w:ascii="Arial" w:hAnsi="Arial" w:cs="Arial"/>
                <w:b/>
                <w:bCs/>
                <w:sz w:val="16"/>
                <w:szCs w:val="16"/>
              </w:rPr>
              <w:noBreakHyphen/>
            </w:r>
            <w:r w:rsidRPr="00576DC7">
              <w:rPr>
                <w:rFonts w:ascii="Arial" w:hAnsi="Arial" w:cs="Arial"/>
                <w:b/>
                <w:bCs/>
                <w:sz w:val="16"/>
                <w:szCs w:val="16"/>
              </w:rPr>
              <w:t>25 Budget to</w:t>
            </w:r>
          </w:p>
        </w:tc>
        <w:tc>
          <w:tcPr>
            <w:tcW w:w="460" w:type="pct"/>
            <w:tcBorders>
              <w:top w:val="nil"/>
              <w:left w:val="nil"/>
              <w:bottom w:val="nil"/>
              <w:right w:val="nil"/>
            </w:tcBorders>
            <w:shd w:val="clear" w:color="000000" w:fill="FFFFFF"/>
            <w:noWrap/>
            <w:vAlign w:val="center"/>
            <w:hideMark/>
          </w:tcPr>
          <w:p w14:paraId="6CA87630"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15CAF558"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74" w:type="pct"/>
            <w:tcBorders>
              <w:top w:val="nil"/>
              <w:left w:val="nil"/>
              <w:bottom w:val="nil"/>
              <w:right w:val="nil"/>
            </w:tcBorders>
            <w:shd w:val="clear" w:color="000000" w:fill="FFFFFF"/>
            <w:noWrap/>
            <w:vAlign w:val="center"/>
            <w:hideMark/>
          </w:tcPr>
          <w:p w14:paraId="2632E5A5"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09A0B905"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75E6B2A1"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9" w:type="pct"/>
            <w:tcBorders>
              <w:top w:val="nil"/>
              <w:left w:val="nil"/>
              <w:bottom w:val="nil"/>
              <w:right w:val="nil"/>
            </w:tcBorders>
            <w:shd w:val="clear" w:color="000000" w:fill="FFFFFF"/>
            <w:noWrap/>
            <w:vAlign w:val="center"/>
            <w:hideMark/>
          </w:tcPr>
          <w:p w14:paraId="2E5FC513"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2B1823AC"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r>
      <w:tr w:rsidR="009E2F74" w:rsidRPr="00576DC7" w14:paraId="12DB9F24"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78EDF9D9" w14:textId="5FA6880F" w:rsidR="009E2F74" w:rsidRPr="00576DC7" w:rsidRDefault="009E2F74" w:rsidP="009E2F74">
            <w:pPr>
              <w:spacing w:before="0" w:after="0" w:line="240" w:lineRule="auto"/>
              <w:ind w:left="170"/>
              <w:rPr>
                <w:rFonts w:ascii="Arial" w:hAnsi="Arial" w:cs="Arial"/>
                <w:b/>
                <w:bCs/>
                <w:sz w:val="16"/>
                <w:szCs w:val="16"/>
              </w:rPr>
            </w:pPr>
            <w:r w:rsidRPr="00576DC7">
              <w:rPr>
                <w:rFonts w:ascii="Arial" w:hAnsi="Arial" w:cs="Arial"/>
                <w:b/>
                <w:bCs/>
                <w:sz w:val="16"/>
                <w:szCs w:val="16"/>
              </w:rPr>
              <w:t>2024</w:t>
            </w:r>
            <w:r w:rsidR="00404C26">
              <w:rPr>
                <w:rFonts w:ascii="Arial" w:hAnsi="Arial" w:cs="Arial"/>
                <w:b/>
                <w:bCs/>
                <w:sz w:val="16"/>
                <w:szCs w:val="16"/>
              </w:rPr>
              <w:noBreakHyphen/>
            </w:r>
            <w:r w:rsidRPr="00576DC7">
              <w:rPr>
                <w:rFonts w:ascii="Arial" w:hAnsi="Arial" w:cs="Arial"/>
                <w:b/>
                <w:bCs/>
                <w:sz w:val="16"/>
                <w:szCs w:val="16"/>
              </w:rPr>
              <w:t>25 MYEFO</w:t>
            </w:r>
          </w:p>
        </w:tc>
        <w:tc>
          <w:tcPr>
            <w:tcW w:w="460" w:type="pct"/>
            <w:tcBorders>
              <w:top w:val="nil"/>
              <w:left w:val="nil"/>
              <w:bottom w:val="nil"/>
              <w:right w:val="nil"/>
            </w:tcBorders>
            <w:shd w:val="clear" w:color="000000" w:fill="FFFFFF"/>
            <w:noWrap/>
            <w:vAlign w:val="center"/>
            <w:hideMark/>
          </w:tcPr>
          <w:p w14:paraId="5C96E787"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243CFCE3"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52BE57F2"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6B40C3B1"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2EA042E8"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9" w:type="pct"/>
            <w:tcBorders>
              <w:top w:val="nil"/>
              <w:left w:val="nil"/>
              <w:bottom w:val="nil"/>
              <w:right w:val="nil"/>
            </w:tcBorders>
            <w:shd w:val="clear" w:color="000000" w:fill="FFFFFF"/>
            <w:noWrap/>
            <w:vAlign w:val="center"/>
            <w:hideMark/>
          </w:tcPr>
          <w:p w14:paraId="55337D72"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33605CFA"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r>
      <w:tr w:rsidR="009E2F74" w:rsidRPr="00576DC7" w14:paraId="662817E2"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0E74E406"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Effect of policy decisions(a)</w:t>
            </w:r>
          </w:p>
        </w:tc>
        <w:tc>
          <w:tcPr>
            <w:tcW w:w="460" w:type="pct"/>
            <w:tcBorders>
              <w:top w:val="nil"/>
              <w:left w:val="nil"/>
              <w:bottom w:val="nil"/>
              <w:right w:val="nil"/>
            </w:tcBorders>
            <w:shd w:val="clear" w:color="000000" w:fill="FFFFFF"/>
            <w:noWrap/>
            <w:vAlign w:val="center"/>
            <w:hideMark/>
          </w:tcPr>
          <w:p w14:paraId="355C79A5" w14:textId="31C06210"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2,064</w:t>
            </w:r>
          </w:p>
        </w:tc>
        <w:tc>
          <w:tcPr>
            <w:tcW w:w="474" w:type="pct"/>
            <w:tcBorders>
              <w:top w:val="nil"/>
              <w:left w:val="nil"/>
              <w:bottom w:val="nil"/>
              <w:right w:val="nil"/>
            </w:tcBorders>
            <w:shd w:val="clear" w:color="000000" w:fill="E6F2FF"/>
            <w:noWrap/>
            <w:vAlign w:val="center"/>
            <w:hideMark/>
          </w:tcPr>
          <w:p w14:paraId="37B38303" w14:textId="69F20785"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8,245</w:t>
            </w:r>
          </w:p>
        </w:tc>
        <w:tc>
          <w:tcPr>
            <w:tcW w:w="474" w:type="pct"/>
            <w:tcBorders>
              <w:top w:val="nil"/>
              <w:left w:val="nil"/>
              <w:bottom w:val="nil"/>
              <w:right w:val="nil"/>
            </w:tcBorders>
            <w:shd w:val="clear" w:color="000000" w:fill="FFFFFF"/>
            <w:noWrap/>
            <w:vAlign w:val="center"/>
            <w:hideMark/>
          </w:tcPr>
          <w:p w14:paraId="7CB5DC48" w14:textId="6BC10CFC"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4,777</w:t>
            </w:r>
          </w:p>
        </w:tc>
        <w:tc>
          <w:tcPr>
            <w:tcW w:w="474" w:type="pct"/>
            <w:tcBorders>
              <w:top w:val="nil"/>
              <w:left w:val="nil"/>
              <w:bottom w:val="nil"/>
              <w:right w:val="nil"/>
            </w:tcBorders>
            <w:shd w:val="clear" w:color="000000" w:fill="FFFFFF"/>
            <w:noWrap/>
            <w:vAlign w:val="center"/>
            <w:hideMark/>
          </w:tcPr>
          <w:p w14:paraId="67D0C052" w14:textId="171DDB67"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2,380</w:t>
            </w:r>
          </w:p>
        </w:tc>
        <w:tc>
          <w:tcPr>
            <w:tcW w:w="474" w:type="pct"/>
            <w:tcBorders>
              <w:top w:val="nil"/>
              <w:left w:val="nil"/>
              <w:bottom w:val="nil"/>
              <w:right w:val="nil"/>
            </w:tcBorders>
            <w:shd w:val="clear" w:color="000000" w:fill="FFFFFF"/>
            <w:noWrap/>
            <w:vAlign w:val="center"/>
            <w:hideMark/>
          </w:tcPr>
          <w:p w14:paraId="4E6F07E5"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w:t>
            </w:r>
          </w:p>
        </w:tc>
        <w:tc>
          <w:tcPr>
            <w:tcW w:w="49" w:type="pct"/>
            <w:tcBorders>
              <w:top w:val="nil"/>
              <w:left w:val="nil"/>
              <w:bottom w:val="nil"/>
              <w:right w:val="nil"/>
            </w:tcBorders>
            <w:shd w:val="clear" w:color="000000" w:fill="FFFFFF"/>
            <w:noWrap/>
            <w:vAlign w:val="center"/>
            <w:hideMark/>
          </w:tcPr>
          <w:p w14:paraId="148EAA92"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4032565E"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w:t>
            </w:r>
          </w:p>
        </w:tc>
      </w:tr>
      <w:tr w:rsidR="009E2F74" w:rsidRPr="00576DC7" w14:paraId="656440D5"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2B291ABC"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Effect of parameter and other variations</w:t>
            </w:r>
          </w:p>
        </w:tc>
        <w:tc>
          <w:tcPr>
            <w:tcW w:w="460" w:type="pct"/>
            <w:tcBorders>
              <w:top w:val="nil"/>
              <w:left w:val="nil"/>
              <w:bottom w:val="nil"/>
              <w:right w:val="nil"/>
            </w:tcBorders>
            <w:shd w:val="clear" w:color="000000" w:fill="FFFFFF"/>
            <w:noWrap/>
            <w:vAlign w:val="center"/>
            <w:hideMark/>
          </w:tcPr>
          <w:p w14:paraId="62F36BC5"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3,401</w:t>
            </w:r>
          </w:p>
        </w:tc>
        <w:tc>
          <w:tcPr>
            <w:tcW w:w="474" w:type="pct"/>
            <w:tcBorders>
              <w:top w:val="nil"/>
              <w:left w:val="nil"/>
              <w:bottom w:val="nil"/>
              <w:right w:val="nil"/>
            </w:tcBorders>
            <w:shd w:val="clear" w:color="000000" w:fill="E6F2FF"/>
            <w:noWrap/>
            <w:vAlign w:val="center"/>
            <w:hideMark/>
          </w:tcPr>
          <w:p w14:paraId="2F7A5DBA"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4,168</w:t>
            </w:r>
          </w:p>
        </w:tc>
        <w:tc>
          <w:tcPr>
            <w:tcW w:w="474" w:type="pct"/>
            <w:tcBorders>
              <w:top w:val="nil"/>
              <w:left w:val="nil"/>
              <w:bottom w:val="nil"/>
              <w:right w:val="nil"/>
            </w:tcBorders>
            <w:shd w:val="clear" w:color="000000" w:fill="FFFFFF"/>
            <w:noWrap/>
            <w:vAlign w:val="center"/>
            <w:hideMark/>
          </w:tcPr>
          <w:p w14:paraId="046A7766" w14:textId="39C3F6A5"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6,864</w:t>
            </w:r>
          </w:p>
        </w:tc>
        <w:tc>
          <w:tcPr>
            <w:tcW w:w="474" w:type="pct"/>
            <w:tcBorders>
              <w:top w:val="nil"/>
              <w:left w:val="nil"/>
              <w:bottom w:val="nil"/>
              <w:right w:val="nil"/>
            </w:tcBorders>
            <w:shd w:val="clear" w:color="000000" w:fill="FFFFFF"/>
            <w:noWrap/>
            <w:vAlign w:val="center"/>
            <w:hideMark/>
          </w:tcPr>
          <w:p w14:paraId="03733AD5" w14:textId="1D5C947C"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4,945</w:t>
            </w:r>
          </w:p>
        </w:tc>
        <w:tc>
          <w:tcPr>
            <w:tcW w:w="474" w:type="pct"/>
            <w:tcBorders>
              <w:top w:val="nil"/>
              <w:left w:val="nil"/>
              <w:bottom w:val="nil"/>
              <w:right w:val="nil"/>
            </w:tcBorders>
            <w:shd w:val="clear" w:color="000000" w:fill="FFFFFF"/>
            <w:noWrap/>
            <w:vAlign w:val="center"/>
            <w:hideMark/>
          </w:tcPr>
          <w:p w14:paraId="76A4A862"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w:t>
            </w:r>
          </w:p>
        </w:tc>
        <w:tc>
          <w:tcPr>
            <w:tcW w:w="49" w:type="pct"/>
            <w:tcBorders>
              <w:top w:val="nil"/>
              <w:left w:val="nil"/>
              <w:bottom w:val="nil"/>
              <w:right w:val="nil"/>
            </w:tcBorders>
            <w:shd w:val="clear" w:color="000000" w:fill="FFFFFF"/>
            <w:noWrap/>
            <w:vAlign w:val="center"/>
            <w:hideMark/>
          </w:tcPr>
          <w:p w14:paraId="25DCC1D9"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single" w:sz="4" w:space="0" w:color="000000"/>
              <w:right w:val="nil"/>
            </w:tcBorders>
            <w:shd w:val="clear" w:color="000000" w:fill="FFFFFF"/>
            <w:noWrap/>
            <w:vAlign w:val="center"/>
            <w:hideMark/>
          </w:tcPr>
          <w:p w14:paraId="21055A41"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w:t>
            </w:r>
          </w:p>
        </w:tc>
      </w:tr>
      <w:tr w:rsidR="009E2F74" w:rsidRPr="00576DC7" w14:paraId="32F237A5"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521827AF" w14:textId="77777777" w:rsidR="009E2F74" w:rsidRPr="00576DC7" w:rsidRDefault="009E2F74" w:rsidP="009E2F74">
            <w:pPr>
              <w:spacing w:before="0" w:after="0" w:line="240" w:lineRule="auto"/>
              <w:rPr>
                <w:rFonts w:ascii="Arial" w:hAnsi="Arial" w:cs="Arial"/>
                <w:b/>
                <w:bCs/>
                <w:sz w:val="16"/>
                <w:szCs w:val="16"/>
              </w:rPr>
            </w:pPr>
            <w:r w:rsidRPr="00576DC7">
              <w:rPr>
                <w:rFonts w:ascii="Arial" w:hAnsi="Arial" w:cs="Arial"/>
                <w:b/>
                <w:bCs/>
                <w:sz w:val="16"/>
                <w:szCs w:val="16"/>
              </w:rPr>
              <w:t>Total variations</w:t>
            </w:r>
          </w:p>
        </w:tc>
        <w:tc>
          <w:tcPr>
            <w:tcW w:w="460" w:type="pct"/>
            <w:tcBorders>
              <w:top w:val="single" w:sz="4" w:space="0" w:color="auto"/>
              <w:left w:val="nil"/>
              <w:bottom w:val="single" w:sz="4" w:space="0" w:color="000000"/>
              <w:right w:val="nil"/>
            </w:tcBorders>
            <w:shd w:val="clear" w:color="000000" w:fill="FFFFFF"/>
            <w:noWrap/>
            <w:vAlign w:val="center"/>
            <w:hideMark/>
          </w:tcPr>
          <w:p w14:paraId="03B74B88"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1,337</w:t>
            </w:r>
          </w:p>
        </w:tc>
        <w:tc>
          <w:tcPr>
            <w:tcW w:w="474" w:type="pct"/>
            <w:tcBorders>
              <w:top w:val="single" w:sz="4" w:space="0" w:color="auto"/>
              <w:left w:val="nil"/>
              <w:bottom w:val="single" w:sz="4" w:space="0" w:color="000000"/>
              <w:right w:val="nil"/>
            </w:tcBorders>
            <w:shd w:val="clear" w:color="000000" w:fill="E6F2FF"/>
            <w:noWrap/>
            <w:vAlign w:val="center"/>
            <w:hideMark/>
          </w:tcPr>
          <w:p w14:paraId="29D9438D" w14:textId="70BA18F7"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4,077</w:t>
            </w:r>
          </w:p>
        </w:tc>
        <w:tc>
          <w:tcPr>
            <w:tcW w:w="474" w:type="pct"/>
            <w:tcBorders>
              <w:top w:val="single" w:sz="4" w:space="0" w:color="auto"/>
              <w:left w:val="nil"/>
              <w:bottom w:val="single" w:sz="4" w:space="0" w:color="000000"/>
              <w:right w:val="nil"/>
            </w:tcBorders>
            <w:shd w:val="clear" w:color="000000" w:fill="FFFFFF"/>
            <w:noWrap/>
            <w:vAlign w:val="center"/>
            <w:hideMark/>
          </w:tcPr>
          <w:p w14:paraId="0F0132F8" w14:textId="34696B2E"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11,641</w:t>
            </w:r>
          </w:p>
        </w:tc>
        <w:tc>
          <w:tcPr>
            <w:tcW w:w="474" w:type="pct"/>
            <w:tcBorders>
              <w:top w:val="single" w:sz="4" w:space="0" w:color="auto"/>
              <w:left w:val="nil"/>
              <w:bottom w:val="single" w:sz="4" w:space="0" w:color="000000"/>
              <w:right w:val="nil"/>
            </w:tcBorders>
            <w:shd w:val="clear" w:color="000000" w:fill="FFFFFF"/>
            <w:noWrap/>
            <w:vAlign w:val="center"/>
            <w:hideMark/>
          </w:tcPr>
          <w:p w14:paraId="3C0D1728" w14:textId="2C0D0103"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7,325</w:t>
            </w:r>
          </w:p>
        </w:tc>
        <w:tc>
          <w:tcPr>
            <w:tcW w:w="474" w:type="pct"/>
            <w:tcBorders>
              <w:top w:val="single" w:sz="4" w:space="0" w:color="auto"/>
              <w:left w:val="nil"/>
              <w:bottom w:val="single" w:sz="4" w:space="0" w:color="000000"/>
              <w:right w:val="nil"/>
            </w:tcBorders>
            <w:shd w:val="clear" w:color="000000" w:fill="FFFFFF"/>
            <w:noWrap/>
            <w:vAlign w:val="center"/>
            <w:hideMark/>
          </w:tcPr>
          <w:p w14:paraId="5D3E22CF"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w:t>
            </w:r>
          </w:p>
        </w:tc>
        <w:tc>
          <w:tcPr>
            <w:tcW w:w="49" w:type="pct"/>
            <w:tcBorders>
              <w:top w:val="nil"/>
              <w:left w:val="nil"/>
              <w:bottom w:val="nil"/>
              <w:right w:val="nil"/>
            </w:tcBorders>
            <w:shd w:val="clear" w:color="000000" w:fill="FFFFFF"/>
            <w:noWrap/>
            <w:vAlign w:val="center"/>
            <w:hideMark/>
          </w:tcPr>
          <w:p w14:paraId="33CA51C4"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83" w:type="pct"/>
            <w:tcBorders>
              <w:top w:val="single" w:sz="4" w:space="0" w:color="auto"/>
              <w:left w:val="nil"/>
              <w:bottom w:val="single" w:sz="4" w:space="0" w:color="auto"/>
              <w:right w:val="nil"/>
            </w:tcBorders>
            <w:shd w:val="clear" w:color="000000" w:fill="FFFFFF"/>
            <w:noWrap/>
            <w:vAlign w:val="center"/>
            <w:hideMark/>
          </w:tcPr>
          <w:p w14:paraId="73AF9BA0"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w:t>
            </w:r>
          </w:p>
        </w:tc>
      </w:tr>
      <w:tr w:rsidR="009E2F74" w:rsidRPr="00576DC7" w14:paraId="4D4E684B" w14:textId="77777777" w:rsidTr="009E2F74">
        <w:trPr>
          <w:trHeight w:hRule="exact" w:val="60"/>
        </w:trPr>
        <w:tc>
          <w:tcPr>
            <w:tcW w:w="2113" w:type="pct"/>
            <w:tcBorders>
              <w:top w:val="nil"/>
              <w:left w:val="nil"/>
              <w:bottom w:val="nil"/>
              <w:right w:val="nil"/>
            </w:tcBorders>
            <w:shd w:val="clear" w:color="000000" w:fill="FFFFFF"/>
            <w:noWrap/>
            <w:vAlign w:val="center"/>
            <w:hideMark/>
          </w:tcPr>
          <w:p w14:paraId="114D8BC9" w14:textId="77777777" w:rsidR="009E2F74" w:rsidRPr="00576DC7" w:rsidRDefault="009E2F74" w:rsidP="009E2F74">
            <w:pPr>
              <w:spacing w:before="0" w:after="0" w:line="240" w:lineRule="auto"/>
              <w:rPr>
                <w:rFonts w:ascii="Arial" w:hAnsi="Arial" w:cs="Arial"/>
                <w:b/>
                <w:bCs/>
                <w:sz w:val="16"/>
                <w:szCs w:val="16"/>
              </w:rPr>
            </w:pPr>
            <w:r w:rsidRPr="00576DC7">
              <w:rPr>
                <w:rFonts w:ascii="Arial" w:hAnsi="Arial" w:cs="Arial"/>
                <w:b/>
                <w:bCs/>
                <w:sz w:val="16"/>
                <w:szCs w:val="16"/>
              </w:rPr>
              <w:t> </w:t>
            </w:r>
          </w:p>
        </w:tc>
        <w:tc>
          <w:tcPr>
            <w:tcW w:w="460" w:type="pct"/>
            <w:tcBorders>
              <w:top w:val="nil"/>
              <w:left w:val="nil"/>
              <w:bottom w:val="nil"/>
              <w:right w:val="nil"/>
            </w:tcBorders>
            <w:shd w:val="clear" w:color="000000" w:fill="FFFFFF"/>
            <w:noWrap/>
            <w:vAlign w:val="center"/>
            <w:hideMark/>
          </w:tcPr>
          <w:p w14:paraId="66F86580"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625AC447"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74" w:type="pct"/>
            <w:tcBorders>
              <w:top w:val="nil"/>
              <w:left w:val="nil"/>
              <w:bottom w:val="nil"/>
              <w:right w:val="nil"/>
            </w:tcBorders>
            <w:shd w:val="clear" w:color="000000" w:fill="FFFFFF"/>
            <w:noWrap/>
            <w:vAlign w:val="center"/>
            <w:hideMark/>
          </w:tcPr>
          <w:p w14:paraId="4F28BD65"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68F6B138"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5AF98FE7"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9" w:type="pct"/>
            <w:tcBorders>
              <w:top w:val="nil"/>
              <w:left w:val="nil"/>
              <w:bottom w:val="nil"/>
              <w:right w:val="nil"/>
            </w:tcBorders>
            <w:shd w:val="clear" w:color="000000" w:fill="FFFFFF"/>
            <w:noWrap/>
            <w:vAlign w:val="center"/>
            <w:hideMark/>
          </w:tcPr>
          <w:p w14:paraId="3312739A"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65E996E3"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r>
      <w:tr w:rsidR="009E2F74" w:rsidRPr="00576DC7" w14:paraId="6D6982E6"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5403D951" w14:textId="56348D29" w:rsidR="009E2F74" w:rsidRPr="00576DC7" w:rsidRDefault="009E2F74" w:rsidP="009E2F74">
            <w:pPr>
              <w:spacing w:before="0" w:after="0" w:line="240" w:lineRule="auto"/>
              <w:rPr>
                <w:rFonts w:ascii="Arial" w:hAnsi="Arial" w:cs="Arial"/>
                <w:b/>
                <w:bCs/>
                <w:sz w:val="16"/>
                <w:szCs w:val="16"/>
              </w:rPr>
            </w:pPr>
            <w:r w:rsidRPr="00576DC7">
              <w:rPr>
                <w:rFonts w:ascii="Arial" w:hAnsi="Arial" w:cs="Arial"/>
                <w:b/>
                <w:bCs/>
                <w:sz w:val="16"/>
                <w:szCs w:val="16"/>
              </w:rPr>
              <w:t>2024</w:t>
            </w:r>
            <w:r w:rsidR="00404C26">
              <w:rPr>
                <w:rFonts w:ascii="Arial" w:hAnsi="Arial" w:cs="Arial"/>
                <w:b/>
                <w:bCs/>
                <w:sz w:val="16"/>
                <w:szCs w:val="16"/>
              </w:rPr>
              <w:noBreakHyphen/>
            </w:r>
            <w:r w:rsidRPr="00576DC7">
              <w:rPr>
                <w:rFonts w:ascii="Arial" w:hAnsi="Arial" w:cs="Arial"/>
                <w:b/>
                <w:bCs/>
                <w:sz w:val="16"/>
                <w:szCs w:val="16"/>
              </w:rPr>
              <w:t>25 MYEFO underlying cash</w:t>
            </w:r>
          </w:p>
        </w:tc>
        <w:tc>
          <w:tcPr>
            <w:tcW w:w="460" w:type="pct"/>
            <w:tcBorders>
              <w:top w:val="nil"/>
              <w:left w:val="nil"/>
              <w:bottom w:val="nil"/>
              <w:right w:val="nil"/>
            </w:tcBorders>
            <w:shd w:val="clear" w:color="000000" w:fill="FFFFFF"/>
            <w:noWrap/>
            <w:vAlign w:val="center"/>
            <w:hideMark/>
          </w:tcPr>
          <w:p w14:paraId="32B4CAA0"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5CCE1991"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74" w:type="pct"/>
            <w:tcBorders>
              <w:top w:val="nil"/>
              <w:left w:val="nil"/>
              <w:bottom w:val="nil"/>
              <w:right w:val="nil"/>
            </w:tcBorders>
            <w:shd w:val="clear" w:color="000000" w:fill="FFFFFF"/>
            <w:noWrap/>
            <w:vAlign w:val="center"/>
            <w:hideMark/>
          </w:tcPr>
          <w:p w14:paraId="69B7A76A"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459E823F"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6CF78493"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9" w:type="pct"/>
            <w:tcBorders>
              <w:top w:val="nil"/>
              <w:left w:val="nil"/>
              <w:bottom w:val="nil"/>
              <w:right w:val="nil"/>
            </w:tcBorders>
            <w:shd w:val="clear" w:color="000000" w:fill="FFFFFF"/>
            <w:noWrap/>
            <w:vAlign w:val="center"/>
            <w:hideMark/>
          </w:tcPr>
          <w:p w14:paraId="6EA5E580"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6D624121"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r>
      <w:tr w:rsidR="009E2F74" w:rsidRPr="00576DC7" w14:paraId="2726EC5B"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03CFB1C3" w14:textId="77777777" w:rsidR="009E2F74" w:rsidRPr="00576DC7" w:rsidRDefault="009E2F74" w:rsidP="009E2F74">
            <w:pPr>
              <w:spacing w:before="0" w:after="0" w:line="240" w:lineRule="auto"/>
              <w:ind w:left="170"/>
              <w:rPr>
                <w:rFonts w:ascii="Arial" w:hAnsi="Arial" w:cs="Arial"/>
                <w:b/>
                <w:bCs/>
                <w:sz w:val="16"/>
                <w:szCs w:val="16"/>
              </w:rPr>
            </w:pPr>
            <w:r w:rsidRPr="00576DC7">
              <w:rPr>
                <w:rFonts w:ascii="Arial" w:hAnsi="Arial" w:cs="Arial"/>
                <w:b/>
                <w:bCs/>
                <w:sz w:val="16"/>
                <w:szCs w:val="16"/>
              </w:rPr>
              <w:t>balance(b)</w:t>
            </w:r>
          </w:p>
        </w:tc>
        <w:tc>
          <w:tcPr>
            <w:tcW w:w="460" w:type="pct"/>
            <w:tcBorders>
              <w:top w:val="nil"/>
              <w:left w:val="nil"/>
              <w:bottom w:val="nil"/>
              <w:right w:val="nil"/>
            </w:tcBorders>
            <w:shd w:val="clear" w:color="000000" w:fill="FFFFFF"/>
            <w:noWrap/>
            <w:vAlign w:val="bottom"/>
            <w:hideMark/>
          </w:tcPr>
          <w:p w14:paraId="51E33139" w14:textId="70FF5A63"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26,949</w:t>
            </w:r>
          </w:p>
        </w:tc>
        <w:tc>
          <w:tcPr>
            <w:tcW w:w="474" w:type="pct"/>
            <w:tcBorders>
              <w:top w:val="nil"/>
              <w:left w:val="nil"/>
              <w:bottom w:val="nil"/>
              <w:right w:val="nil"/>
            </w:tcBorders>
            <w:shd w:val="clear" w:color="000000" w:fill="E6F2FF"/>
            <w:noWrap/>
            <w:vAlign w:val="bottom"/>
            <w:hideMark/>
          </w:tcPr>
          <w:p w14:paraId="13E43811" w14:textId="7ADDC030"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46,915</w:t>
            </w:r>
          </w:p>
        </w:tc>
        <w:tc>
          <w:tcPr>
            <w:tcW w:w="474" w:type="pct"/>
            <w:tcBorders>
              <w:top w:val="nil"/>
              <w:left w:val="nil"/>
              <w:bottom w:val="nil"/>
              <w:right w:val="nil"/>
            </w:tcBorders>
            <w:shd w:val="clear" w:color="000000" w:fill="FFFFFF"/>
            <w:noWrap/>
            <w:vAlign w:val="bottom"/>
            <w:hideMark/>
          </w:tcPr>
          <w:p w14:paraId="3547AE48" w14:textId="5FA59203"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38,353</w:t>
            </w:r>
          </w:p>
        </w:tc>
        <w:tc>
          <w:tcPr>
            <w:tcW w:w="474" w:type="pct"/>
            <w:tcBorders>
              <w:top w:val="nil"/>
              <w:left w:val="nil"/>
              <w:bottom w:val="nil"/>
              <w:right w:val="nil"/>
            </w:tcBorders>
            <w:shd w:val="clear" w:color="000000" w:fill="FFFFFF"/>
            <w:noWrap/>
            <w:vAlign w:val="bottom"/>
            <w:hideMark/>
          </w:tcPr>
          <w:p w14:paraId="19F5CC49" w14:textId="2C41D832"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31,671</w:t>
            </w:r>
          </w:p>
        </w:tc>
        <w:tc>
          <w:tcPr>
            <w:tcW w:w="474" w:type="pct"/>
            <w:tcBorders>
              <w:top w:val="nil"/>
              <w:left w:val="nil"/>
              <w:bottom w:val="nil"/>
              <w:right w:val="nil"/>
            </w:tcBorders>
            <w:shd w:val="clear" w:color="000000" w:fill="FFFFFF"/>
            <w:noWrap/>
            <w:vAlign w:val="center"/>
            <w:hideMark/>
          </w:tcPr>
          <w:p w14:paraId="05AAD4FB" w14:textId="77197128"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37,199</w:t>
            </w:r>
          </w:p>
        </w:tc>
        <w:tc>
          <w:tcPr>
            <w:tcW w:w="49" w:type="pct"/>
            <w:tcBorders>
              <w:top w:val="nil"/>
              <w:left w:val="nil"/>
              <w:bottom w:val="nil"/>
              <w:right w:val="nil"/>
            </w:tcBorders>
            <w:shd w:val="clear" w:color="000000" w:fill="FFFFFF"/>
            <w:noWrap/>
            <w:vAlign w:val="center"/>
            <w:hideMark/>
          </w:tcPr>
          <w:p w14:paraId="05B9471A"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2FE9607A" w14:textId="5E047337"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 xml:space="preserve">181,087 </w:t>
            </w:r>
          </w:p>
        </w:tc>
      </w:tr>
      <w:tr w:rsidR="009E2F74" w:rsidRPr="00576DC7" w14:paraId="52829ADF"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1B463634"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Per cent of GDP</w:t>
            </w:r>
          </w:p>
        </w:tc>
        <w:tc>
          <w:tcPr>
            <w:tcW w:w="460" w:type="pct"/>
            <w:tcBorders>
              <w:top w:val="nil"/>
              <w:left w:val="nil"/>
              <w:bottom w:val="nil"/>
              <w:right w:val="nil"/>
            </w:tcBorders>
            <w:shd w:val="clear" w:color="000000" w:fill="FFFFFF"/>
            <w:noWrap/>
            <w:vAlign w:val="center"/>
            <w:hideMark/>
          </w:tcPr>
          <w:p w14:paraId="6F9A25E1" w14:textId="7AAD8F92"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1.0</w:t>
            </w:r>
          </w:p>
        </w:tc>
        <w:tc>
          <w:tcPr>
            <w:tcW w:w="474" w:type="pct"/>
            <w:tcBorders>
              <w:top w:val="nil"/>
              <w:left w:val="nil"/>
              <w:bottom w:val="nil"/>
              <w:right w:val="nil"/>
            </w:tcBorders>
            <w:shd w:val="clear" w:color="000000" w:fill="E6F2FF"/>
            <w:noWrap/>
            <w:vAlign w:val="center"/>
            <w:hideMark/>
          </w:tcPr>
          <w:p w14:paraId="07AC2366" w14:textId="48177641"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1.6</w:t>
            </w:r>
          </w:p>
        </w:tc>
        <w:tc>
          <w:tcPr>
            <w:tcW w:w="474" w:type="pct"/>
            <w:tcBorders>
              <w:top w:val="nil"/>
              <w:left w:val="nil"/>
              <w:bottom w:val="nil"/>
              <w:right w:val="nil"/>
            </w:tcBorders>
            <w:shd w:val="clear" w:color="000000" w:fill="FFFFFF"/>
            <w:noWrap/>
            <w:vAlign w:val="center"/>
            <w:hideMark/>
          </w:tcPr>
          <w:p w14:paraId="71D6C0DD" w14:textId="45C4D81A"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1.3</w:t>
            </w:r>
          </w:p>
        </w:tc>
        <w:tc>
          <w:tcPr>
            <w:tcW w:w="474" w:type="pct"/>
            <w:tcBorders>
              <w:top w:val="nil"/>
              <w:left w:val="nil"/>
              <w:bottom w:val="nil"/>
              <w:right w:val="nil"/>
            </w:tcBorders>
            <w:shd w:val="clear" w:color="000000" w:fill="FFFFFF"/>
            <w:noWrap/>
            <w:vAlign w:val="center"/>
            <w:hideMark/>
          </w:tcPr>
          <w:p w14:paraId="56B1E30F" w14:textId="305BB3E2"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1.0</w:t>
            </w:r>
          </w:p>
        </w:tc>
        <w:tc>
          <w:tcPr>
            <w:tcW w:w="474" w:type="pct"/>
            <w:tcBorders>
              <w:top w:val="nil"/>
              <w:left w:val="nil"/>
              <w:bottom w:val="nil"/>
              <w:right w:val="nil"/>
            </w:tcBorders>
            <w:shd w:val="clear" w:color="000000" w:fill="FFFFFF"/>
            <w:noWrap/>
            <w:vAlign w:val="center"/>
            <w:hideMark/>
          </w:tcPr>
          <w:p w14:paraId="01608B32" w14:textId="1E2FE6A1"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1.1</w:t>
            </w:r>
          </w:p>
        </w:tc>
        <w:tc>
          <w:tcPr>
            <w:tcW w:w="49" w:type="pct"/>
            <w:tcBorders>
              <w:top w:val="nil"/>
              <w:left w:val="nil"/>
              <w:bottom w:val="nil"/>
              <w:right w:val="nil"/>
            </w:tcBorders>
            <w:shd w:val="clear" w:color="000000" w:fill="FFFFFF"/>
            <w:noWrap/>
            <w:vAlign w:val="center"/>
            <w:hideMark/>
          </w:tcPr>
          <w:p w14:paraId="6FC8C159"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03AE586A"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r>
      <w:tr w:rsidR="009E2F74" w:rsidRPr="00576DC7" w14:paraId="10C884ED" w14:textId="77777777" w:rsidTr="009E2F74">
        <w:trPr>
          <w:trHeight w:hRule="exact" w:val="60"/>
        </w:trPr>
        <w:tc>
          <w:tcPr>
            <w:tcW w:w="2113" w:type="pct"/>
            <w:tcBorders>
              <w:top w:val="nil"/>
              <w:left w:val="nil"/>
              <w:bottom w:val="nil"/>
              <w:right w:val="nil"/>
            </w:tcBorders>
            <w:shd w:val="clear" w:color="000000" w:fill="FFFFFF"/>
            <w:noWrap/>
            <w:vAlign w:val="center"/>
            <w:hideMark/>
          </w:tcPr>
          <w:p w14:paraId="777C37F9"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737C38ED"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7FA0C478"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559E30D8"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30C4B50C"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05625A64"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9" w:type="pct"/>
            <w:tcBorders>
              <w:top w:val="nil"/>
              <w:left w:val="nil"/>
              <w:bottom w:val="nil"/>
              <w:right w:val="nil"/>
            </w:tcBorders>
            <w:shd w:val="clear" w:color="000000" w:fill="FFFFFF"/>
            <w:noWrap/>
            <w:vAlign w:val="center"/>
            <w:hideMark/>
          </w:tcPr>
          <w:p w14:paraId="29325751"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0B4C7F9E"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r>
      <w:tr w:rsidR="009E2F74" w:rsidRPr="00576DC7" w14:paraId="521087BB"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77A0383C" w14:textId="197090DA" w:rsidR="009E2F74" w:rsidRPr="00576DC7" w:rsidRDefault="009E2F74" w:rsidP="009E2F74">
            <w:pPr>
              <w:spacing w:before="0" w:after="0" w:line="240" w:lineRule="auto"/>
              <w:rPr>
                <w:rFonts w:ascii="Arial" w:hAnsi="Arial" w:cs="Arial"/>
                <w:b/>
                <w:bCs/>
                <w:sz w:val="16"/>
                <w:szCs w:val="16"/>
              </w:rPr>
            </w:pPr>
            <w:r w:rsidRPr="00576DC7">
              <w:rPr>
                <w:rFonts w:ascii="Arial" w:hAnsi="Arial" w:cs="Arial"/>
                <w:b/>
                <w:bCs/>
                <w:sz w:val="16"/>
                <w:szCs w:val="16"/>
              </w:rPr>
              <w:t>Changes from 2024</w:t>
            </w:r>
            <w:r w:rsidR="00404C26">
              <w:rPr>
                <w:rFonts w:ascii="Arial" w:hAnsi="Arial" w:cs="Arial"/>
                <w:b/>
                <w:bCs/>
                <w:sz w:val="16"/>
                <w:szCs w:val="16"/>
              </w:rPr>
              <w:noBreakHyphen/>
            </w:r>
            <w:r w:rsidRPr="00576DC7">
              <w:rPr>
                <w:rFonts w:ascii="Arial" w:hAnsi="Arial" w:cs="Arial"/>
                <w:b/>
                <w:bCs/>
                <w:sz w:val="16"/>
                <w:szCs w:val="16"/>
              </w:rPr>
              <w:t>25 MYEFO</w:t>
            </w:r>
          </w:p>
        </w:tc>
        <w:tc>
          <w:tcPr>
            <w:tcW w:w="460" w:type="pct"/>
            <w:tcBorders>
              <w:top w:val="nil"/>
              <w:left w:val="nil"/>
              <w:bottom w:val="nil"/>
              <w:right w:val="nil"/>
            </w:tcBorders>
            <w:shd w:val="clear" w:color="000000" w:fill="FFFFFF"/>
            <w:noWrap/>
            <w:vAlign w:val="center"/>
            <w:hideMark/>
          </w:tcPr>
          <w:p w14:paraId="589A4238"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30EB31E4"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49E5BF9C"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0DF49DF7"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7C5CBB7B"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9" w:type="pct"/>
            <w:tcBorders>
              <w:top w:val="nil"/>
              <w:left w:val="nil"/>
              <w:bottom w:val="nil"/>
              <w:right w:val="nil"/>
            </w:tcBorders>
            <w:shd w:val="clear" w:color="000000" w:fill="FFFFFF"/>
            <w:noWrap/>
            <w:vAlign w:val="center"/>
            <w:hideMark/>
          </w:tcPr>
          <w:p w14:paraId="0C916B14"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41C58873"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r>
      <w:tr w:rsidR="009E2F74" w:rsidRPr="00576DC7" w14:paraId="78366617"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5F33F69C" w14:textId="3E4BDFDC" w:rsidR="009E2F74" w:rsidRPr="00576DC7" w:rsidRDefault="009E2F74" w:rsidP="009E2F74">
            <w:pPr>
              <w:spacing w:before="0" w:after="0" w:line="240" w:lineRule="auto"/>
              <w:ind w:left="170"/>
              <w:rPr>
                <w:rFonts w:ascii="Arial" w:hAnsi="Arial" w:cs="Arial"/>
                <w:b/>
                <w:bCs/>
                <w:sz w:val="16"/>
                <w:szCs w:val="16"/>
              </w:rPr>
            </w:pPr>
            <w:r w:rsidRPr="00576DC7">
              <w:rPr>
                <w:rFonts w:ascii="Arial" w:hAnsi="Arial" w:cs="Arial"/>
                <w:b/>
                <w:bCs/>
                <w:sz w:val="16"/>
                <w:szCs w:val="16"/>
              </w:rPr>
              <w:t>to 2025</w:t>
            </w:r>
            <w:r w:rsidR="00404C26">
              <w:rPr>
                <w:rFonts w:ascii="Arial" w:hAnsi="Arial" w:cs="Arial"/>
                <w:b/>
                <w:bCs/>
                <w:sz w:val="16"/>
                <w:szCs w:val="16"/>
              </w:rPr>
              <w:noBreakHyphen/>
            </w:r>
            <w:r w:rsidRPr="00576DC7">
              <w:rPr>
                <w:rFonts w:ascii="Arial" w:hAnsi="Arial" w:cs="Arial"/>
                <w:b/>
                <w:bCs/>
                <w:sz w:val="16"/>
                <w:szCs w:val="16"/>
              </w:rPr>
              <w:t>26 Budget</w:t>
            </w:r>
          </w:p>
        </w:tc>
        <w:tc>
          <w:tcPr>
            <w:tcW w:w="460" w:type="pct"/>
            <w:tcBorders>
              <w:top w:val="nil"/>
              <w:left w:val="nil"/>
              <w:bottom w:val="nil"/>
              <w:right w:val="nil"/>
            </w:tcBorders>
            <w:shd w:val="clear" w:color="000000" w:fill="FFFFFF"/>
            <w:noWrap/>
            <w:vAlign w:val="center"/>
            <w:hideMark/>
          </w:tcPr>
          <w:p w14:paraId="6788AB2A" w14:textId="77777777" w:rsidR="009E2F74" w:rsidRPr="00576DC7" w:rsidRDefault="009E2F74" w:rsidP="009E2F74">
            <w:pPr>
              <w:spacing w:before="0" w:after="0" w:line="240" w:lineRule="auto"/>
              <w:rPr>
                <w:rFonts w:ascii="Arial" w:hAnsi="Arial" w:cs="Arial"/>
                <w:b/>
                <w:bCs/>
                <w:sz w:val="16"/>
                <w:szCs w:val="16"/>
              </w:rPr>
            </w:pPr>
            <w:r w:rsidRPr="00576DC7">
              <w:rPr>
                <w:rFonts w:ascii="Arial" w:hAnsi="Arial" w:cs="Arial"/>
                <w:b/>
                <w:bCs/>
                <w:sz w:val="16"/>
                <w:szCs w:val="16"/>
              </w:rPr>
              <w:t> </w:t>
            </w:r>
          </w:p>
        </w:tc>
        <w:tc>
          <w:tcPr>
            <w:tcW w:w="474" w:type="pct"/>
            <w:tcBorders>
              <w:top w:val="nil"/>
              <w:left w:val="nil"/>
              <w:bottom w:val="nil"/>
              <w:right w:val="nil"/>
            </w:tcBorders>
            <w:shd w:val="clear" w:color="000000" w:fill="E6F2FF"/>
            <w:noWrap/>
            <w:vAlign w:val="center"/>
            <w:hideMark/>
          </w:tcPr>
          <w:p w14:paraId="011B6B10"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74" w:type="pct"/>
            <w:tcBorders>
              <w:top w:val="nil"/>
              <w:left w:val="nil"/>
              <w:bottom w:val="nil"/>
              <w:right w:val="nil"/>
            </w:tcBorders>
            <w:shd w:val="clear" w:color="000000" w:fill="FFFFFF"/>
            <w:noWrap/>
            <w:vAlign w:val="center"/>
            <w:hideMark/>
          </w:tcPr>
          <w:p w14:paraId="13E70182" w14:textId="77777777" w:rsidR="009E2F74" w:rsidRPr="00576DC7" w:rsidRDefault="009E2F74" w:rsidP="009E2F74">
            <w:pPr>
              <w:spacing w:before="0" w:after="0" w:line="240" w:lineRule="auto"/>
              <w:rPr>
                <w:rFonts w:ascii="Arial" w:hAnsi="Arial" w:cs="Arial"/>
                <w:b/>
                <w:bCs/>
                <w:sz w:val="16"/>
                <w:szCs w:val="16"/>
              </w:rPr>
            </w:pPr>
            <w:r w:rsidRPr="00576DC7">
              <w:rPr>
                <w:rFonts w:ascii="Arial" w:hAnsi="Arial" w:cs="Arial"/>
                <w:b/>
                <w:bCs/>
                <w:sz w:val="16"/>
                <w:szCs w:val="16"/>
              </w:rPr>
              <w:t> </w:t>
            </w:r>
          </w:p>
        </w:tc>
        <w:tc>
          <w:tcPr>
            <w:tcW w:w="474" w:type="pct"/>
            <w:tcBorders>
              <w:top w:val="nil"/>
              <w:left w:val="nil"/>
              <w:bottom w:val="nil"/>
              <w:right w:val="nil"/>
            </w:tcBorders>
            <w:shd w:val="clear" w:color="000000" w:fill="FFFFFF"/>
            <w:noWrap/>
            <w:vAlign w:val="center"/>
            <w:hideMark/>
          </w:tcPr>
          <w:p w14:paraId="203190A7" w14:textId="77777777" w:rsidR="009E2F74" w:rsidRPr="00576DC7" w:rsidRDefault="009E2F74" w:rsidP="009E2F74">
            <w:pPr>
              <w:spacing w:before="0" w:after="0" w:line="240" w:lineRule="auto"/>
              <w:rPr>
                <w:rFonts w:ascii="Arial" w:hAnsi="Arial" w:cs="Arial"/>
                <w:b/>
                <w:bCs/>
                <w:sz w:val="16"/>
                <w:szCs w:val="16"/>
              </w:rPr>
            </w:pPr>
            <w:r w:rsidRPr="00576DC7">
              <w:rPr>
                <w:rFonts w:ascii="Arial" w:hAnsi="Arial" w:cs="Arial"/>
                <w:b/>
                <w:bCs/>
                <w:sz w:val="16"/>
                <w:szCs w:val="16"/>
              </w:rPr>
              <w:t> </w:t>
            </w:r>
          </w:p>
        </w:tc>
        <w:tc>
          <w:tcPr>
            <w:tcW w:w="474" w:type="pct"/>
            <w:tcBorders>
              <w:top w:val="nil"/>
              <w:left w:val="nil"/>
              <w:bottom w:val="nil"/>
              <w:right w:val="nil"/>
            </w:tcBorders>
            <w:shd w:val="clear" w:color="000000" w:fill="FFFFFF"/>
            <w:noWrap/>
            <w:vAlign w:val="center"/>
            <w:hideMark/>
          </w:tcPr>
          <w:p w14:paraId="28870D08" w14:textId="77777777" w:rsidR="009E2F74" w:rsidRPr="00576DC7" w:rsidRDefault="009E2F74" w:rsidP="009E2F74">
            <w:pPr>
              <w:spacing w:before="0" w:after="0" w:line="240" w:lineRule="auto"/>
              <w:rPr>
                <w:rFonts w:ascii="Arial" w:hAnsi="Arial" w:cs="Arial"/>
                <w:b/>
                <w:bCs/>
                <w:sz w:val="16"/>
                <w:szCs w:val="16"/>
              </w:rPr>
            </w:pPr>
            <w:r w:rsidRPr="00576DC7">
              <w:rPr>
                <w:rFonts w:ascii="Arial" w:hAnsi="Arial" w:cs="Arial"/>
                <w:b/>
                <w:bCs/>
                <w:sz w:val="16"/>
                <w:szCs w:val="16"/>
              </w:rPr>
              <w:t> </w:t>
            </w:r>
          </w:p>
        </w:tc>
        <w:tc>
          <w:tcPr>
            <w:tcW w:w="49" w:type="pct"/>
            <w:tcBorders>
              <w:top w:val="nil"/>
              <w:left w:val="nil"/>
              <w:bottom w:val="nil"/>
              <w:right w:val="nil"/>
            </w:tcBorders>
            <w:shd w:val="clear" w:color="000000" w:fill="FFFFFF"/>
            <w:noWrap/>
            <w:vAlign w:val="center"/>
            <w:hideMark/>
          </w:tcPr>
          <w:p w14:paraId="600BAA22" w14:textId="77777777" w:rsidR="009E2F74" w:rsidRPr="00576DC7" w:rsidRDefault="009E2F74" w:rsidP="009E2F74">
            <w:pPr>
              <w:spacing w:before="0" w:after="0" w:line="240" w:lineRule="auto"/>
              <w:rPr>
                <w:rFonts w:ascii="Arial" w:hAnsi="Arial" w:cs="Arial"/>
                <w:b/>
                <w:bCs/>
                <w:sz w:val="16"/>
                <w:szCs w:val="16"/>
              </w:rPr>
            </w:pPr>
            <w:r w:rsidRPr="00576DC7">
              <w:rPr>
                <w:rFonts w:ascii="Arial" w:hAnsi="Arial" w:cs="Arial"/>
                <w:b/>
                <w:bCs/>
                <w:sz w:val="16"/>
                <w:szCs w:val="16"/>
              </w:rPr>
              <w:t> </w:t>
            </w:r>
          </w:p>
        </w:tc>
        <w:tc>
          <w:tcPr>
            <w:tcW w:w="483" w:type="pct"/>
            <w:tcBorders>
              <w:top w:val="nil"/>
              <w:left w:val="nil"/>
              <w:bottom w:val="nil"/>
              <w:right w:val="nil"/>
            </w:tcBorders>
            <w:shd w:val="clear" w:color="000000" w:fill="FFFFFF"/>
            <w:noWrap/>
            <w:vAlign w:val="center"/>
            <w:hideMark/>
          </w:tcPr>
          <w:p w14:paraId="3A8AC1B7"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r>
      <w:tr w:rsidR="009E2F74" w:rsidRPr="00576DC7" w14:paraId="297FBE4E"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59F76DAD"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Effect of policy decisions(a)(c)</w:t>
            </w:r>
          </w:p>
        </w:tc>
        <w:tc>
          <w:tcPr>
            <w:tcW w:w="460" w:type="pct"/>
            <w:tcBorders>
              <w:top w:val="nil"/>
              <w:left w:val="nil"/>
              <w:bottom w:val="nil"/>
              <w:right w:val="nil"/>
            </w:tcBorders>
            <w:shd w:val="clear" w:color="000000" w:fill="FFFFFF"/>
            <w:noWrap/>
            <w:vAlign w:val="center"/>
            <w:hideMark/>
          </w:tcPr>
          <w:p w14:paraId="0437604A"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5B75B393"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4D76ED30"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66761BA8"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5C0FF856"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9" w:type="pct"/>
            <w:tcBorders>
              <w:top w:val="nil"/>
              <w:left w:val="nil"/>
              <w:bottom w:val="nil"/>
              <w:right w:val="nil"/>
            </w:tcBorders>
            <w:shd w:val="clear" w:color="000000" w:fill="FFFFFF"/>
            <w:noWrap/>
            <w:vAlign w:val="center"/>
            <w:hideMark/>
          </w:tcPr>
          <w:p w14:paraId="6BB6E231"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621061AB"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r>
      <w:tr w:rsidR="009E2F74" w:rsidRPr="00576DC7" w14:paraId="5B530162"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24B4805E" w14:textId="77777777" w:rsidR="009E2F74" w:rsidRPr="00576DC7" w:rsidRDefault="009E2F74" w:rsidP="009E2F74">
            <w:pPr>
              <w:spacing w:before="0" w:after="0" w:line="240" w:lineRule="auto"/>
              <w:ind w:left="170"/>
              <w:rPr>
                <w:rFonts w:ascii="Arial" w:hAnsi="Arial" w:cs="Arial"/>
                <w:i/>
                <w:iCs/>
                <w:sz w:val="16"/>
                <w:szCs w:val="16"/>
              </w:rPr>
            </w:pPr>
            <w:r w:rsidRPr="00576DC7">
              <w:rPr>
                <w:rFonts w:ascii="Arial" w:hAnsi="Arial" w:cs="Arial"/>
                <w:i/>
                <w:iCs/>
                <w:sz w:val="16"/>
                <w:szCs w:val="16"/>
              </w:rPr>
              <w:t>Receipts</w:t>
            </w:r>
          </w:p>
        </w:tc>
        <w:tc>
          <w:tcPr>
            <w:tcW w:w="460" w:type="pct"/>
            <w:tcBorders>
              <w:top w:val="nil"/>
              <w:left w:val="nil"/>
              <w:bottom w:val="nil"/>
              <w:right w:val="nil"/>
            </w:tcBorders>
            <w:shd w:val="clear" w:color="000000" w:fill="FFFFFF"/>
            <w:noWrap/>
            <w:vAlign w:val="center"/>
            <w:hideMark/>
          </w:tcPr>
          <w:p w14:paraId="3BAD5B4F"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21</w:t>
            </w:r>
          </w:p>
        </w:tc>
        <w:tc>
          <w:tcPr>
            <w:tcW w:w="474" w:type="pct"/>
            <w:tcBorders>
              <w:top w:val="nil"/>
              <w:left w:val="nil"/>
              <w:bottom w:val="nil"/>
              <w:right w:val="nil"/>
            </w:tcBorders>
            <w:shd w:val="clear" w:color="000000" w:fill="E6F2FF"/>
            <w:noWrap/>
            <w:vAlign w:val="center"/>
            <w:hideMark/>
          </w:tcPr>
          <w:p w14:paraId="0494B248" w14:textId="13582D8E" w:rsidR="009E2F74" w:rsidRPr="00576DC7" w:rsidRDefault="00404C26" w:rsidP="009E2F74">
            <w:pPr>
              <w:spacing w:before="0" w:after="0" w:line="240" w:lineRule="auto"/>
              <w:jc w:val="right"/>
              <w:rPr>
                <w:rFonts w:ascii="Arial" w:hAnsi="Arial" w:cs="Arial"/>
                <w:i/>
                <w:iCs/>
                <w:sz w:val="16"/>
                <w:szCs w:val="16"/>
              </w:rPr>
            </w:pPr>
            <w:r>
              <w:rPr>
                <w:rFonts w:ascii="Arial" w:hAnsi="Arial" w:cs="Arial"/>
                <w:i/>
                <w:iCs/>
                <w:sz w:val="16"/>
                <w:szCs w:val="16"/>
              </w:rPr>
              <w:noBreakHyphen/>
            </w:r>
            <w:r w:rsidR="009E2F74" w:rsidRPr="00576DC7">
              <w:rPr>
                <w:rFonts w:ascii="Arial" w:hAnsi="Arial" w:cs="Arial"/>
                <w:i/>
                <w:iCs/>
                <w:sz w:val="16"/>
                <w:szCs w:val="16"/>
              </w:rPr>
              <w:t>103</w:t>
            </w:r>
          </w:p>
        </w:tc>
        <w:tc>
          <w:tcPr>
            <w:tcW w:w="474" w:type="pct"/>
            <w:tcBorders>
              <w:top w:val="nil"/>
              <w:left w:val="nil"/>
              <w:bottom w:val="nil"/>
              <w:right w:val="nil"/>
            </w:tcBorders>
            <w:shd w:val="clear" w:color="000000" w:fill="FFFFFF"/>
            <w:noWrap/>
            <w:vAlign w:val="center"/>
            <w:hideMark/>
          </w:tcPr>
          <w:p w14:paraId="578819B2" w14:textId="5CD04A7C" w:rsidR="009E2F74" w:rsidRPr="00576DC7" w:rsidRDefault="00404C26" w:rsidP="009E2F74">
            <w:pPr>
              <w:spacing w:before="0" w:after="0" w:line="240" w:lineRule="auto"/>
              <w:jc w:val="right"/>
              <w:rPr>
                <w:rFonts w:ascii="Arial" w:hAnsi="Arial" w:cs="Arial"/>
                <w:i/>
                <w:iCs/>
                <w:sz w:val="16"/>
                <w:szCs w:val="16"/>
              </w:rPr>
            </w:pPr>
            <w:r>
              <w:rPr>
                <w:rFonts w:ascii="Arial" w:hAnsi="Arial" w:cs="Arial"/>
                <w:i/>
                <w:iCs/>
                <w:sz w:val="16"/>
                <w:szCs w:val="16"/>
              </w:rPr>
              <w:noBreakHyphen/>
            </w:r>
            <w:r w:rsidR="009E2F74" w:rsidRPr="00576DC7">
              <w:rPr>
                <w:rFonts w:ascii="Arial" w:hAnsi="Arial" w:cs="Arial"/>
                <w:i/>
                <w:iCs/>
                <w:sz w:val="16"/>
                <w:szCs w:val="16"/>
              </w:rPr>
              <w:t>3,425</w:t>
            </w:r>
          </w:p>
        </w:tc>
        <w:tc>
          <w:tcPr>
            <w:tcW w:w="474" w:type="pct"/>
            <w:tcBorders>
              <w:top w:val="nil"/>
              <w:left w:val="nil"/>
              <w:bottom w:val="nil"/>
              <w:right w:val="nil"/>
            </w:tcBorders>
            <w:shd w:val="clear" w:color="000000" w:fill="FFFFFF"/>
            <w:noWrap/>
            <w:vAlign w:val="center"/>
            <w:hideMark/>
          </w:tcPr>
          <w:p w14:paraId="1B4E9B95" w14:textId="7EAF0863" w:rsidR="009E2F74" w:rsidRPr="00576DC7" w:rsidRDefault="00404C26" w:rsidP="009E2F74">
            <w:pPr>
              <w:spacing w:before="0" w:after="0" w:line="240" w:lineRule="auto"/>
              <w:jc w:val="right"/>
              <w:rPr>
                <w:rFonts w:ascii="Arial" w:hAnsi="Arial" w:cs="Arial"/>
                <w:i/>
                <w:iCs/>
                <w:sz w:val="16"/>
                <w:szCs w:val="16"/>
              </w:rPr>
            </w:pPr>
            <w:r>
              <w:rPr>
                <w:rFonts w:ascii="Arial" w:hAnsi="Arial" w:cs="Arial"/>
                <w:i/>
                <w:iCs/>
                <w:sz w:val="16"/>
                <w:szCs w:val="16"/>
              </w:rPr>
              <w:noBreakHyphen/>
            </w:r>
            <w:r w:rsidR="009E2F74" w:rsidRPr="00576DC7">
              <w:rPr>
                <w:rFonts w:ascii="Arial" w:hAnsi="Arial" w:cs="Arial"/>
                <w:i/>
                <w:iCs/>
                <w:sz w:val="16"/>
                <w:szCs w:val="16"/>
              </w:rPr>
              <w:t>6,129</w:t>
            </w:r>
          </w:p>
        </w:tc>
        <w:tc>
          <w:tcPr>
            <w:tcW w:w="474" w:type="pct"/>
            <w:tcBorders>
              <w:top w:val="nil"/>
              <w:left w:val="nil"/>
              <w:bottom w:val="nil"/>
              <w:right w:val="nil"/>
            </w:tcBorders>
            <w:shd w:val="clear" w:color="000000" w:fill="FFFFFF"/>
            <w:noWrap/>
            <w:vAlign w:val="center"/>
            <w:hideMark/>
          </w:tcPr>
          <w:p w14:paraId="31B35568" w14:textId="3FE736BF" w:rsidR="009E2F74" w:rsidRPr="00576DC7" w:rsidRDefault="00404C26" w:rsidP="009E2F74">
            <w:pPr>
              <w:spacing w:before="0" w:after="0" w:line="240" w:lineRule="auto"/>
              <w:jc w:val="right"/>
              <w:rPr>
                <w:rFonts w:ascii="Arial" w:hAnsi="Arial" w:cs="Arial"/>
                <w:i/>
                <w:iCs/>
                <w:sz w:val="16"/>
                <w:szCs w:val="16"/>
              </w:rPr>
            </w:pPr>
            <w:r>
              <w:rPr>
                <w:rFonts w:ascii="Arial" w:hAnsi="Arial" w:cs="Arial"/>
                <w:i/>
                <w:iCs/>
                <w:sz w:val="16"/>
                <w:szCs w:val="16"/>
              </w:rPr>
              <w:noBreakHyphen/>
            </w:r>
            <w:r w:rsidR="009E2F74" w:rsidRPr="00576DC7">
              <w:rPr>
                <w:rFonts w:ascii="Arial" w:hAnsi="Arial" w:cs="Arial"/>
                <w:i/>
                <w:iCs/>
                <w:sz w:val="16"/>
                <w:szCs w:val="16"/>
              </w:rPr>
              <w:t>4,542</w:t>
            </w:r>
          </w:p>
        </w:tc>
        <w:tc>
          <w:tcPr>
            <w:tcW w:w="49" w:type="pct"/>
            <w:tcBorders>
              <w:top w:val="nil"/>
              <w:left w:val="nil"/>
              <w:bottom w:val="nil"/>
              <w:right w:val="nil"/>
            </w:tcBorders>
            <w:shd w:val="clear" w:color="000000" w:fill="FFFFFF"/>
            <w:noWrap/>
            <w:vAlign w:val="center"/>
            <w:hideMark/>
          </w:tcPr>
          <w:p w14:paraId="47E04C0D"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83" w:type="pct"/>
            <w:tcBorders>
              <w:top w:val="nil"/>
              <w:left w:val="nil"/>
              <w:bottom w:val="nil"/>
              <w:right w:val="nil"/>
            </w:tcBorders>
            <w:shd w:val="clear" w:color="000000" w:fill="FFFFFF"/>
            <w:noWrap/>
            <w:vAlign w:val="center"/>
            <w:hideMark/>
          </w:tcPr>
          <w:p w14:paraId="02D25D54" w14:textId="48CC1187" w:rsidR="009E2F74" w:rsidRPr="00576DC7" w:rsidRDefault="00404C26" w:rsidP="009E2F74">
            <w:pPr>
              <w:spacing w:before="0" w:after="0" w:line="240" w:lineRule="auto"/>
              <w:jc w:val="right"/>
              <w:rPr>
                <w:rFonts w:ascii="Arial" w:hAnsi="Arial" w:cs="Arial"/>
                <w:i/>
                <w:iCs/>
                <w:sz w:val="16"/>
                <w:szCs w:val="16"/>
              </w:rPr>
            </w:pPr>
            <w:r>
              <w:rPr>
                <w:rFonts w:ascii="Arial" w:hAnsi="Arial" w:cs="Arial"/>
                <w:i/>
                <w:iCs/>
                <w:sz w:val="16"/>
                <w:szCs w:val="16"/>
              </w:rPr>
              <w:noBreakHyphen/>
            </w:r>
            <w:r w:rsidR="009E2F74" w:rsidRPr="00576DC7">
              <w:rPr>
                <w:rFonts w:ascii="Arial" w:hAnsi="Arial" w:cs="Arial"/>
                <w:i/>
                <w:iCs/>
                <w:sz w:val="16"/>
                <w:szCs w:val="16"/>
              </w:rPr>
              <w:t>14,178</w:t>
            </w:r>
          </w:p>
        </w:tc>
      </w:tr>
      <w:tr w:rsidR="009E2F74" w:rsidRPr="00576DC7" w14:paraId="55FFB6C6"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1A68EA58" w14:textId="77777777" w:rsidR="009E2F74" w:rsidRPr="00576DC7" w:rsidRDefault="009E2F74" w:rsidP="009E2F74">
            <w:pPr>
              <w:spacing w:before="0" w:after="0" w:line="240" w:lineRule="auto"/>
              <w:ind w:left="170"/>
              <w:rPr>
                <w:rFonts w:ascii="Arial" w:hAnsi="Arial" w:cs="Arial"/>
                <w:i/>
                <w:iCs/>
                <w:sz w:val="16"/>
                <w:szCs w:val="16"/>
              </w:rPr>
            </w:pPr>
            <w:r w:rsidRPr="00576DC7">
              <w:rPr>
                <w:rFonts w:ascii="Arial" w:hAnsi="Arial" w:cs="Arial"/>
                <w:i/>
                <w:iCs/>
                <w:sz w:val="16"/>
                <w:szCs w:val="16"/>
              </w:rPr>
              <w:t>Payments</w:t>
            </w:r>
          </w:p>
        </w:tc>
        <w:tc>
          <w:tcPr>
            <w:tcW w:w="460" w:type="pct"/>
            <w:tcBorders>
              <w:top w:val="nil"/>
              <w:left w:val="nil"/>
              <w:bottom w:val="single" w:sz="4" w:space="0" w:color="293F5B"/>
              <w:right w:val="nil"/>
            </w:tcBorders>
            <w:shd w:val="clear" w:color="000000" w:fill="FFFFFF"/>
            <w:noWrap/>
            <w:vAlign w:val="center"/>
            <w:hideMark/>
          </w:tcPr>
          <w:p w14:paraId="45F2DF00"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158</w:t>
            </w:r>
          </w:p>
        </w:tc>
        <w:tc>
          <w:tcPr>
            <w:tcW w:w="474" w:type="pct"/>
            <w:tcBorders>
              <w:top w:val="nil"/>
              <w:left w:val="nil"/>
              <w:bottom w:val="single" w:sz="4" w:space="0" w:color="293F5B"/>
              <w:right w:val="nil"/>
            </w:tcBorders>
            <w:shd w:val="clear" w:color="000000" w:fill="E6F2FF"/>
            <w:noWrap/>
            <w:vAlign w:val="center"/>
            <w:hideMark/>
          </w:tcPr>
          <w:p w14:paraId="1161E336"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7,141</w:t>
            </w:r>
          </w:p>
        </w:tc>
        <w:tc>
          <w:tcPr>
            <w:tcW w:w="474" w:type="pct"/>
            <w:tcBorders>
              <w:top w:val="nil"/>
              <w:left w:val="nil"/>
              <w:bottom w:val="single" w:sz="4" w:space="0" w:color="293F5B"/>
              <w:right w:val="nil"/>
            </w:tcBorders>
            <w:shd w:val="clear" w:color="000000" w:fill="FFFFFF"/>
            <w:noWrap/>
            <w:vAlign w:val="center"/>
            <w:hideMark/>
          </w:tcPr>
          <w:p w14:paraId="73564AC8"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4,230</w:t>
            </w:r>
          </w:p>
        </w:tc>
        <w:tc>
          <w:tcPr>
            <w:tcW w:w="474" w:type="pct"/>
            <w:tcBorders>
              <w:top w:val="nil"/>
              <w:left w:val="nil"/>
              <w:bottom w:val="single" w:sz="4" w:space="0" w:color="293F5B"/>
              <w:right w:val="nil"/>
            </w:tcBorders>
            <w:shd w:val="clear" w:color="000000" w:fill="FFFFFF"/>
            <w:noWrap/>
            <w:vAlign w:val="center"/>
            <w:hideMark/>
          </w:tcPr>
          <w:p w14:paraId="507FD563"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4,533</w:t>
            </w:r>
          </w:p>
        </w:tc>
        <w:tc>
          <w:tcPr>
            <w:tcW w:w="474" w:type="pct"/>
            <w:tcBorders>
              <w:top w:val="nil"/>
              <w:left w:val="nil"/>
              <w:bottom w:val="single" w:sz="4" w:space="0" w:color="293F5B"/>
              <w:right w:val="nil"/>
            </w:tcBorders>
            <w:shd w:val="clear" w:color="000000" w:fill="FFFFFF"/>
            <w:noWrap/>
            <w:vAlign w:val="center"/>
            <w:hideMark/>
          </w:tcPr>
          <w:p w14:paraId="532A252F"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4,644</w:t>
            </w:r>
          </w:p>
        </w:tc>
        <w:tc>
          <w:tcPr>
            <w:tcW w:w="49" w:type="pct"/>
            <w:tcBorders>
              <w:top w:val="nil"/>
              <w:left w:val="nil"/>
              <w:bottom w:val="nil"/>
              <w:right w:val="nil"/>
            </w:tcBorders>
            <w:shd w:val="clear" w:color="000000" w:fill="FFFFFF"/>
            <w:noWrap/>
            <w:vAlign w:val="center"/>
            <w:hideMark/>
          </w:tcPr>
          <w:p w14:paraId="12E15D56"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83" w:type="pct"/>
            <w:tcBorders>
              <w:top w:val="nil"/>
              <w:left w:val="nil"/>
              <w:bottom w:val="single" w:sz="4" w:space="0" w:color="293F5B"/>
              <w:right w:val="nil"/>
            </w:tcBorders>
            <w:shd w:val="clear" w:color="000000" w:fill="FFFFFF"/>
            <w:noWrap/>
            <w:vAlign w:val="center"/>
            <w:hideMark/>
          </w:tcPr>
          <w:p w14:paraId="6AC656E0"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20,706</w:t>
            </w:r>
          </w:p>
        </w:tc>
      </w:tr>
      <w:tr w:rsidR="009E2F74" w:rsidRPr="00576DC7" w14:paraId="40712E95"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4E13BD3E"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Total policy decisions impact on</w:t>
            </w:r>
          </w:p>
        </w:tc>
        <w:tc>
          <w:tcPr>
            <w:tcW w:w="460" w:type="pct"/>
            <w:tcBorders>
              <w:top w:val="nil"/>
              <w:left w:val="nil"/>
              <w:bottom w:val="nil"/>
              <w:right w:val="nil"/>
            </w:tcBorders>
            <w:shd w:val="clear" w:color="000000" w:fill="FFFFFF"/>
            <w:noWrap/>
            <w:vAlign w:val="center"/>
            <w:hideMark/>
          </w:tcPr>
          <w:p w14:paraId="664FE244"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74" w:type="pct"/>
            <w:tcBorders>
              <w:top w:val="nil"/>
              <w:left w:val="nil"/>
              <w:bottom w:val="nil"/>
              <w:right w:val="nil"/>
            </w:tcBorders>
            <w:shd w:val="clear" w:color="000000" w:fill="E6F2FF"/>
            <w:noWrap/>
            <w:vAlign w:val="center"/>
            <w:hideMark/>
          </w:tcPr>
          <w:p w14:paraId="21A83661"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74" w:type="pct"/>
            <w:tcBorders>
              <w:top w:val="nil"/>
              <w:left w:val="nil"/>
              <w:bottom w:val="nil"/>
              <w:right w:val="nil"/>
            </w:tcBorders>
            <w:shd w:val="clear" w:color="000000" w:fill="FFFFFF"/>
            <w:noWrap/>
            <w:vAlign w:val="center"/>
            <w:hideMark/>
          </w:tcPr>
          <w:p w14:paraId="4D3ADB63"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74" w:type="pct"/>
            <w:tcBorders>
              <w:top w:val="nil"/>
              <w:left w:val="nil"/>
              <w:bottom w:val="nil"/>
              <w:right w:val="nil"/>
            </w:tcBorders>
            <w:shd w:val="clear" w:color="000000" w:fill="FFFFFF"/>
            <w:noWrap/>
            <w:vAlign w:val="center"/>
            <w:hideMark/>
          </w:tcPr>
          <w:p w14:paraId="65FF4EFD"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74" w:type="pct"/>
            <w:tcBorders>
              <w:top w:val="nil"/>
              <w:left w:val="nil"/>
              <w:bottom w:val="nil"/>
              <w:right w:val="nil"/>
            </w:tcBorders>
            <w:shd w:val="clear" w:color="000000" w:fill="FFFFFF"/>
            <w:noWrap/>
            <w:vAlign w:val="center"/>
            <w:hideMark/>
          </w:tcPr>
          <w:p w14:paraId="0E861A94"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9" w:type="pct"/>
            <w:tcBorders>
              <w:top w:val="nil"/>
              <w:left w:val="nil"/>
              <w:bottom w:val="nil"/>
              <w:right w:val="nil"/>
            </w:tcBorders>
            <w:shd w:val="clear" w:color="000000" w:fill="FFFFFF"/>
            <w:noWrap/>
            <w:vAlign w:val="center"/>
            <w:hideMark/>
          </w:tcPr>
          <w:p w14:paraId="49B64B00"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83" w:type="pct"/>
            <w:tcBorders>
              <w:top w:val="nil"/>
              <w:left w:val="nil"/>
              <w:bottom w:val="nil"/>
              <w:right w:val="nil"/>
            </w:tcBorders>
            <w:shd w:val="clear" w:color="000000" w:fill="FFFFFF"/>
            <w:noWrap/>
            <w:vAlign w:val="center"/>
            <w:hideMark/>
          </w:tcPr>
          <w:p w14:paraId="7168116B"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r>
      <w:tr w:rsidR="009E2F74" w:rsidRPr="00576DC7" w14:paraId="6C9FDDFD"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5114D595" w14:textId="77777777" w:rsidR="009E2F74" w:rsidRPr="00576DC7" w:rsidRDefault="009E2F74" w:rsidP="009E2F74">
            <w:pPr>
              <w:spacing w:before="0" w:after="0" w:line="240" w:lineRule="auto"/>
              <w:ind w:left="170"/>
              <w:rPr>
                <w:rFonts w:ascii="Arial" w:hAnsi="Arial" w:cs="Arial"/>
                <w:sz w:val="16"/>
                <w:szCs w:val="16"/>
              </w:rPr>
            </w:pPr>
            <w:r w:rsidRPr="00576DC7">
              <w:rPr>
                <w:rFonts w:ascii="Arial" w:hAnsi="Arial" w:cs="Arial"/>
                <w:sz w:val="16"/>
                <w:szCs w:val="16"/>
              </w:rPr>
              <w:t>underlying cash balance</w:t>
            </w:r>
          </w:p>
        </w:tc>
        <w:tc>
          <w:tcPr>
            <w:tcW w:w="460" w:type="pct"/>
            <w:tcBorders>
              <w:top w:val="nil"/>
              <w:left w:val="nil"/>
              <w:bottom w:val="single" w:sz="4" w:space="0" w:color="293F5B"/>
              <w:right w:val="nil"/>
            </w:tcBorders>
            <w:shd w:val="clear" w:color="000000" w:fill="FFFFFF"/>
            <w:vAlign w:val="center"/>
            <w:hideMark/>
          </w:tcPr>
          <w:p w14:paraId="27528B99" w14:textId="616110B5"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137</w:t>
            </w:r>
          </w:p>
        </w:tc>
        <w:tc>
          <w:tcPr>
            <w:tcW w:w="474" w:type="pct"/>
            <w:tcBorders>
              <w:top w:val="nil"/>
              <w:left w:val="nil"/>
              <w:bottom w:val="single" w:sz="4" w:space="0" w:color="293F5B"/>
              <w:right w:val="nil"/>
            </w:tcBorders>
            <w:shd w:val="clear" w:color="000000" w:fill="E6F2FF"/>
            <w:vAlign w:val="center"/>
            <w:hideMark/>
          </w:tcPr>
          <w:p w14:paraId="24C23796" w14:textId="798A1103"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7,244</w:t>
            </w:r>
          </w:p>
        </w:tc>
        <w:tc>
          <w:tcPr>
            <w:tcW w:w="474" w:type="pct"/>
            <w:tcBorders>
              <w:top w:val="nil"/>
              <w:left w:val="nil"/>
              <w:bottom w:val="single" w:sz="4" w:space="0" w:color="293F5B"/>
              <w:right w:val="nil"/>
            </w:tcBorders>
            <w:shd w:val="clear" w:color="000000" w:fill="FFFFFF"/>
            <w:vAlign w:val="center"/>
            <w:hideMark/>
          </w:tcPr>
          <w:p w14:paraId="49DB4883" w14:textId="775AA1ED"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7,655</w:t>
            </w:r>
          </w:p>
        </w:tc>
        <w:tc>
          <w:tcPr>
            <w:tcW w:w="474" w:type="pct"/>
            <w:tcBorders>
              <w:top w:val="nil"/>
              <w:left w:val="nil"/>
              <w:bottom w:val="single" w:sz="4" w:space="0" w:color="293F5B"/>
              <w:right w:val="nil"/>
            </w:tcBorders>
            <w:shd w:val="clear" w:color="000000" w:fill="FFFFFF"/>
            <w:vAlign w:val="center"/>
            <w:hideMark/>
          </w:tcPr>
          <w:p w14:paraId="7C79AD51" w14:textId="6C10E768"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10,662</w:t>
            </w:r>
          </w:p>
        </w:tc>
        <w:tc>
          <w:tcPr>
            <w:tcW w:w="474" w:type="pct"/>
            <w:tcBorders>
              <w:top w:val="nil"/>
              <w:left w:val="nil"/>
              <w:bottom w:val="single" w:sz="4" w:space="0" w:color="293F5B"/>
              <w:right w:val="nil"/>
            </w:tcBorders>
            <w:shd w:val="clear" w:color="000000" w:fill="FFFFFF"/>
            <w:vAlign w:val="center"/>
            <w:hideMark/>
          </w:tcPr>
          <w:p w14:paraId="62FAF38F" w14:textId="5C97B6EB"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9,186</w:t>
            </w:r>
          </w:p>
        </w:tc>
        <w:tc>
          <w:tcPr>
            <w:tcW w:w="49" w:type="pct"/>
            <w:tcBorders>
              <w:top w:val="nil"/>
              <w:left w:val="nil"/>
              <w:bottom w:val="nil"/>
              <w:right w:val="nil"/>
            </w:tcBorders>
            <w:shd w:val="clear" w:color="000000" w:fill="FFFFFF"/>
            <w:vAlign w:val="center"/>
            <w:hideMark/>
          </w:tcPr>
          <w:p w14:paraId="505EADF5"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c>
          <w:tcPr>
            <w:tcW w:w="483" w:type="pct"/>
            <w:tcBorders>
              <w:top w:val="nil"/>
              <w:left w:val="nil"/>
              <w:bottom w:val="single" w:sz="4" w:space="0" w:color="293F5B"/>
              <w:right w:val="nil"/>
            </w:tcBorders>
            <w:shd w:val="clear" w:color="000000" w:fill="FFFFFF"/>
            <w:vAlign w:val="center"/>
            <w:hideMark/>
          </w:tcPr>
          <w:p w14:paraId="5B447741" w14:textId="1D1F95B2"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34,884</w:t>
            </w:r>
          </w:p>
        </w:tc>
      </w:tr>
      <w:tr w:rsidR="009E2F74" w:rsidRPr="00576DC7" w14:paraId="23C5D4D6" w14:textId="77777777" w:rsidTr="009E2F74">
        <w:trPr>
          <w:trHeight w:hRule="exact" w:val="60"/>
        </w:trPr>
        <w:tc>
          <w:tcPr>
            <w:tcW w:w="2113" w:type="pct"/>
            <w:tcBorders>
              <w:top w:val="nil"/>
              <w:left w:val="nil"/>
              <w:bottom w:val="nil"/>
              <w:right w:val="nil"/>
            </w:tcBorders>
            <w:shd w:val="clear" w:color="000000" w:fill="FFFFFF"/>
            <w:noWrap/>
            <w:vAlign w:val="center"/>
            <w:hideMark/>
          </w:tcPr>
          <w:p w14:paraId="4C1429E5" w14:textId="77777777" w:rsidR="009E2F74" w:rsidRPr="00576DC7" w:rsidRDefault="009E2F74" w:rsidP="009E2F74">
            <w:pPr>
              <w:spacing w:before="0" w:after="0" w:line="240" w:lineRule="auto"/>
              <w:ind w:left="170"/>
              <w:rPr>
                <w:rFonts w:ascii="Arial" w:hAnsi="Arial" w:cs="Arial"/>
                <w:i/>
                <w:iCs/>
                <w:sz w:val="16"/>
                <w:szCs w:val="16"/>
              </w:rPr>
            </w:pPr>
            <w:r w:rsidRPr="00576DC7">
              <w:rPr>
                <w:rFonts w:ascii="Arial" w:hAnsi="Arial" w:cs="Arial"/>
                <w:i/>
                <w:iCs/>
                <w:sz w:val="16"/>
                <w:szCs w:val="16"/>
              </w:rPr>
              <w:t> </w:t>
            </w:r>
          </w:p>
        </w:tc>
        <w:tc>
          <w:tcPr>
            <w:tcW w:w="460" w:type="pct"/>
            <w:tcBorders>
              <w:top w:val="nil"/>
              <w:left w:val="nil"/>
              <w:bottom w:val="nil"/>
              <w:right w:val="nil"/>
            </w:tcBorders>
            <w:shd w:val="clear" w:color="000000" w:fill="FFFFFF"/>
            <w:noWrap/>
            <w:vAlign w:val="center"/>
            <w:hideMark/>
          </w:tcPr>
          <w:p w14:paraId="3C98211D"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74" w:type="pct"/>
            <w:tcBorders>
              <w:top w:val="nil"/>
              <w:left w:val="nil"/>
              <w:bottom w:val="nil"/>
              <w:right w:val="nil"/>
            </w:tcBorders>
            <w:shd w:val="clear" w:color="000000" w:fill="E6F2FF"/>
            <w:noWrap/>
            <w:vAlign w:val="center"/>
            <w:hideMark/>
          </w:tcPr>
          <w:p w14:paraId="333B3718"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74" w:type="pct"/>
            <w:tcBorders>
              <w:top w:val="nil"/>
              <w:left w:val="nil"/>
              <w:bottom w:val="nil"/>
              <w:right w:val="nil"/>
            </w:tcBorders>
            <w:shd w:val="clear" w:color="000000" w:fill="FFFFFF"/>
            <w:noWrap/>
            <w:vAlign w:val="center"/>
            <w:hideMark/>
          </w:tcPr>
          <w:p w14:paraId="01BD5A3B"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74" w:type="pct"/>
            <w:tcBorders>
              <w:top w:val="nil"/>
              <w:left w:val="nil"/>
              <w:bottom w:val="nil"/>
              <w:right w:val="nil"/>
            </w:tcBorders>
            <w:shd w:val="clear" w:color="000000" w:fill="FFFFFF"/>
            <w:noWrap/>
            <w:vAlign w:val="center"/>
            <w:hideMark/>
          </w:tcPr>
          <w:p w14:paraId="583B39FC"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74" w:type="pct"/>
            <w:tcBorders>
              <w:top w:val="nil"/>
              <w:left w:val="nil"/>
              <w:bottom w:val="nil"/>
              <w:right w:val="nil"/>
            </w:tcBorders>
            <w:shd w:val="clear" w:color="000000" w:fill="FFFFFF"/>
            <w:noWrap/>
            <w:vAlign w:val="center"/>
            <w:hideMark/>
          </w:tcPr>
          <w:p w14:paraId="732C6D5C"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9" w:type="pct"/>
            <w:tcBorders>
              <w:top w:val="nil"/>
              <w:left w:val="nil"/>
              <w:bottom w:val="nil"/>
              <w:right w:val="nil"/>
            </w:tcBorders>
            <w:shd w:val="clear" w:color="000000" w:fill="FFFFFF"/>
            <w:noWrap/>
            <w:vAlign w:val="center"/>
            <w:hideMark/>
          </w:tcPr>
          <w:p w14:paraId="0A6C5A16"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83" w:type="pct"/>
            <w:tcBorders>
              <w:top w:val="nil"/>
              <w:left w:val="nil"/>
              <w:bottom w:val="nil"/>
              <w:right w:val="nil"/>
            </w:tcBorders>
            <w:shd w:val="clear" w:color="000000" w:fill="FFFFFF"/>
            <w:noWrap/>
            <w:vAlign w:val="center"/>
            <w:hideMark/>
          </w:tcPr>
          <w:p w14:paraId="79C8B49D"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r>
      <w:tr w:rsidR="009E2F74" w:rsidRPr="00576DC7" w14:paraId="2EB3531A" w14:textId="77777777" w:rsidTr="009E2F74">
        <w:trPr>
          <w:trHeight w:hRule="exact" w:val="226"/>
        </w:trPr>
        <w:tc>
          <w:tcPr>
            <w:tcW w:w="2113" w:type="pct"/>
            <w:tcBorders>
              <w:top w:val="nil"/>
              <w:left w:val="nil"/>
              <w:bottom w:val="nil"/>
              <w:right w:val="nil"/>
            </w:tcBorders>
            <w:shd w:val="clear" w:color="000000" w:fill="FFFFFF"/>
            <w:noWrap/>
            <w:vAlign w:val="bottom"/>
            <w:hideMark/>
          </w:tcPr>
          <w:p w14:paraId="7782DB7F"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Effect of parameter and other variations(c)</w:t>
            </w:r>
          </w:p>
        </w:tc>
        <w:tc>
          <w:tcPr>
            <w:tcW w:w="460" w:type="pct"/>
            <w:tcBorders>
              <w:top w:val="nil"/>
              <w:left w:val="nil"/>
              <w:bottom w:val="nil"/>
              <w:right w:val="nil"/>
            </w:tcBorders>
            <w:shd w:val="clear" w:color="000000" w:fill="FFFFFF"/>
            <w:noWrap/>
            <w:vAlign w:val="center"/>
            <w:hideMark/>
          </w:tcPr>
          <w:p w14:paraId="722B9B75"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0DF7CF51"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76D91AFB"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01ED171C"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7F9C2D76"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9" w:type="pct"/>
            <w:tcBorders>
              <w:top w:val="nil"/>
              <w:left w:val="nil"/>
              <w:bottom w:val="nil"/>
              <w:right w:val="nil"/>
            </w:tcBorders>
            <w:shd w:val="clear" w:color="000000" w:fill="FFFFFF"/>
            <w:noWrap/>
            <w:vAlign w:val="center"/>
            <w:hideMark/>
          </w:tcPr>
          <w:p w14:paraId="25891317"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16AE1048"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r>
      <w:tr w:rsidR="009E2F74" w:rsidRPr="00576DC7" w14:paraId="5038CB6D"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3087E815" w14:textId="77777777" w:rsidR="009E2F74" w:rsidRPr="00576DC7" w:rsidRDefault="009E2F74" w:rsidP="009E2F74">
            <w:pPr>
              <w:spacing w:before="0" w:after="0" w:line="240" w:lineRule="auto"/>
              <w:ind w:left="170"/>
              <w:rPr>
                <w:rFonts w:ascii="Arial" w:hAnsi="Arial" w:cs="Arial"/>
                <w:i/>
                <w:iCs/>
                <w:sz w:val="16"/>
                <w:szCs w:val="16"/>
              </w:rPr>
            </w:pPr>
            <w:r w:rsidRPr="00576DC7">
              <w:rPr>
                <w:rFonts w:ascii="Arial" w:hAnsi="Arial" w:cs="Arial"/>
                <w:i/>
                <w:iCs/>
                <w:sz w:val="16"/>
                <w:szCs w:val="16"/>
              </w:rPr>
              <w:t>Receipts</w:t>
            </w:r>
          </w:p>
        </w:tc>
        <w:tc>
          <w:tcPr>
            <w:tcW w:w="460" w:type="pct"/>
            <w:tcBorders>
              <w:top w:val="nil"/>
              <w:left w:val="nil"/>
              <w:bottom w:val="nil"/>
              <w:right w:val="nil"/>
            </w:tcBorders>
            <w:shd w:val="clear" w:color="000000" w:fill="FFFFFF"/>
            <w:noWrap/>
            <w:vAlign w:val="center"/>
            <w:hideMark/>
          </w:tcPr>
          <w:p w14:paraId="68DF4D16" w14:textId="2D5B51FF" w:rsidR="009E2F74" w:rsidRPr="00576DC7" w:rsidRDefault="00404C26" w:rsidP="009E2F74">
            <w:pPr>
              <w:spacing w:before="0" w:after="0" w:line="240" w:lineRule="auto"/>
              <w:jc w:val="right"/>
              <w:rPr>
                <w:rFonts w:ascii="Arial" w:hAnsi="Arial" w:cs="Arial"/>
                <w:i/>
                <w:iCs/>
                <w:sz w:val="16"/>
                <w:szCs w:val="16"/>
              </w:rPr>
            </w:pPr>
            <w:r>
              <w:rPr>
                <w:rFonts w:ascii="Arial" w:hAnsi="Arial" w:cs="Arial"/>
                <w:i/>
                <w:iCs/>
                <w:sz w:val="16"/>
                <w:szCs w:val="16"/>
              </w:rPr>
              <w:noBreakHyphen/>
            </w:r>
            <w:r w:rsidR="009E2F74" w:rsidRPr="00576DC7">
              <w:rPr>
                <w:rFonts w:ascii="Arial" w:hAnsi="Arial" w:cs="Arial"/>
                <w:i/>
                <w:iCs/>
                <w:sz w:val="16"/>
                <w:szCs w:val="16"/>
              </w:rPr>
              <w:t>284</w:t>
            </w:r>
          </w:p>
        </w:tc>
        <w:tc>
          <w:tcPr>
            <w:tcW w:w="474" w:type="pct"/>
            <w:tcBorders>
              <w:top w:val="nil"/>
              <w:left w:val="nil"/>
              <w:bottom w:val="nil"/>
              <w:right w:val="nil"/>
            </w:tcBorders>
            <w:shd w:val="clear" w:color="000000" w:fill="E6F2FF"/>
            <w:noWrap/>
            <w:vAlign w:val="center"/>
            <w:hideMark/>
          </w:tcPr>
          <w:p w14:paraId="599D2E91"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7,036</w:t>
            </w:r>
          </w:p>
        </w:tc>
        <w:tc>
          <w:tcPr>
            <w:tcW w:w="474" w:type="pct"/>
            <w:tcBorders>
              <w:top w:val="nil"/>
              <w:left w:val="nil"/>
              <w:bottom w:val="nil"/>
              <w:right w:val="nil"/>
            </w:tcBorders>
            <w:shd w:val="clear" w:color="000000" w:fill="FFFFFF"/>
            <w:noWrap/>
            <w:vAlign w:val="center"/>
            <w:hideMark/>
          </w:tcPr>
          <w:p w14:paraId="7E1047E4"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6,009</w:t>
            </w:r>
          </w:p>
        </w:tc>
        <w:tc>
          <w:tcPr>
            <w:tcW w:w="474" w:type="pct"/>
            <w:tcBorders>
              <w:top w:val="nil"/>
              <w:left w:val="nil"/>
              <w:bottom w:val="nil"/>
              <w:right w:val="nil"/>
            </w:tcBorders>
            <w:shd w:val="clear" w:color="000000" w:fill="FFFFFF"/>
            <w:noWrap/>
            <w:vAlign w:val="center"/>
            <w:hideMark/>
          </w:tcPr>
          <w:p w14:paraId="51A2E027" w14:textId="0743A63B" w:rsidR="009E2F74" w:rsidRPr="00576DC7" w:rsidRDefault="00404C26" w:rsidP="009E2F74">
            <w:pPr>
              <w:spacing w:before="0" w:after="0" w:line="240" w:lineRule="auto"/>
              <w:jc w:val="right"/>
              <w:rPr>
                <w:rFonts w:ascii="Arial" w:hAnsi="Arial" w:cs="Arial"/>
                <w:i/>
                <w:iCs/>
                <w:sz w:val="16"/>
                <w:szCs w:val="16"/>
              </w:rPr>
            </w:pPr>
            <w:r>
              <w:rPr>
                <w:rFonts w:ascii="Arial" w:hAnsi="Arial" w:cs="Arial"/>
                <w:i/>
                <w:iCs/>
                <w:sz w:val="16"/>
                <w:szCs w:val="16"/>
              </w:rPr>
              <w:noBreakHyphen/>
            </w:r>
            <w:r w:rsidR="009E2F74" w:rsidRPr="00576DC7">
              <w:rPr>
                <w:rFonts w:ascii="Arial" w:hAnsi="Arial" w:cs="Arial"/>
                <w:i/>
                <w:iCs/>
                <w:sz w:val="16"/>
                <w:szCs w:val="16"/>
              </w:rPr>
              <w:t>570</w:t>
            </w:r>
          </w:p>
        </w:tc>
        <w:tc>
          <w:tcPr>
            <w:tcW w:w="474" w:type="pct"/>
            <w:tcBorders>
              <w:top w:val="nil"/>
              <w:left w:val="nil"/>
              <w:bottom w:val="nil"/>
              <w:right w:val="nil"/>
            </w:tcBorders>
            <w:shd w:val="clear" w:color="000000" w:fill="FFFFFF"/>
            <w:noWrap/>
            <w:vAlign w:val="center"/>
            <w:hideMark/>
          </w:tcPr>
          <w:p w14:paraId="707E086A" w14:textId="224A29EA" w:rsidR="009E2F74" w:rsidRPr="00576DC7" w:rsidRDefault="00404C26" w:rsidP="009E2F74">
            <w:pPr>
              <w:spacing w:before="0" w:after="0" w:line="240" w:lineRule="auto"/>
              <w:jc w:val="right"/>
              <w:rPr>
                <w:rFonts w:ascii="Arial" w:hAnsi="Arial" w:cs="Arial"/>
                <w:i/>
                <w:iCs/>
                <w:sz w:val="16"/>
                <w:szCs w:val="16"/>
              </w:rPr>
            </w:pPr>
            <w:r>
              <w:rPr>
                <w:rFonts w:ascii="Arial" w:hAnsi="Arial" w:cs="Arial"/>
                <w:i/>
                <w:iCs/>
                <w:sz w:val="16"/>
                <w:szCs w:val="16"/>
              </w:rPr>
              <w:noBreakHyphen/>
            </w:r>
            <w:r w:rsidR="009E2F74" w:rsidRPr="00576DC7">
              <w:rPr>
                <w:rFonts w:ascii="Arial" w:hAnsi="Arial" w:cs="Arial"/>
                <w:i/>
                <w:iCs/>
                <w:sz w:val="16"/>
                <w:szCs w:val="16"/>
              </w:rPr>
              <w:t>3,797</w:t>
            </w:r>
          </w:p>
        </w:tc>
        <w:tc>
          <w:tcPr>
            <w:tcW w:w="49" w:type="pct"/>
            <w:tcBorders>
              <w:top w:val="nil"/>
              <w:left w:val="nil"/>
              <w:bottom w:val="nil"/>
              <w:right w:val="nil"/>
            </w:tcBorders>
            <w:shd w:val="clear" w:color="000000" w:fill="FFFFFF"/>
            <w:noWrap/>
            <w:vAlign w:val="center"/>
            <w:hideMark/>
          </w:tcPr>
          <w:p w14:paraId="2E15B8F4"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83" w:type="pct"/>
            <w:tcBorders>
              <w:top w:val="nil"/>
              <w:left w:val="nil"/>
              <w:bottom w:val="nil"/>
              <w:right w:val="nil"/>
            </w:tcBorders>
            <w:shd w:val="clear" w:color="000000" w:fill="FFFFFF"/>
            <w:noWrap/>
            <w:vAlign w:val="center"/>
            <w:hideMark/>
          </w:tcPr>
          <w:p w14:paraId="12653898"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8,394</w:t>
            </w:r>
          </w:p>
        </w:tc>
      </w:tr>
      <w:tr w:rsidR="009E2F74" w:rsidRPr="00576DC7" w14:paraId="35D46B7A"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2DE0F4E2" w14:textId="77777777" w:rsidR="009E2F74" w:rsidRPr="00576DC7" w:rsidRDefault="009E2F74" w:rsidP="009E2F74">
            <w:pPr>
              <w:spacing w:before="0" w:after="0" w:line="240" w:lineRule="auto"/>
              <w:ind w:left="170"/>
              <w:rPr>
                <w:rFonts w:ascii="Arial" w:hAnsi="Arial" w:cs="Arial"/>
                <w:i/>
                <w:iCs/>
                <w:sz w:val="16"/>
                <w:szCs w:val="16"/>
              </w:rPr>
            </w:pPr>
            <w:r w:rsidRPr="00576DC7">
              <w:rPr>
                <w:rFonts w:ascii="Arial" w:hAnsi="Arial" w:cs="Arial"/>
                <w:i/>
                <w:iCs/>
                <w:sz w:val="16"/>
                <w:szCs w:val="16"/>
              </w:rPr>
              <w:t>Payments</w:t>
            </w:r>
          </w:p>
        </w:tc>
        <w:tc>
          <w:tcPr>
            <w:tcW w:w="460" w:type="pct"/>
            <w:tcBorders>
              <w:top w:val="nil"/>
              <w:left w:val="nil"/>
              <w:bottom w:val="single" w:sz="4" w:space="0" w:color="293F5B"/>
              <w:right w:val="nil"/>
            </w:tcBorders>
            <w:shd w:val="clear" w:color="000000" w:fill="FFFFFF"/>
            <w:noWrap/>
            <w:vAlign w:val="center"/>
            <w:hideMark/>
          </w:tcPr>
          <w:p w14:paraId="2A1F453D"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236</w:t>
            </w:r>
          </w:p>
        </w:tc>
        <w:tc>
          <w:tcPr>
            <w:tcW w:w="474" w:type="pct"/>
            <w:tcBorders>
              <w:top w:val="nil"/>
              <w:left w:val="nil"/>
              <w:bottom w:val="single" w:sz="4" w:space="0" w:color="293F5B"/>
              <w:right w:val="nil"/>
            </w:tcBorders>
            <w:shd w:val="clear" w:color="000000" w:fill="E6F2FF"/>
            <w:noWrap/>
            <w:vAlign w:val="center"/>
            <w:hideMark/>
          </w:tcPr>
          <w:p w14:paraId="0CB00569" w14:textId="5B662E4A" w:rsidR="009E2F74" w:rsidRPr="00576DC7" w:rsidRDefault="00404C26" w:rsidP="009E2F74">
            <w:pPr>
              <w:spacing w:before="0" w:after="0" w:line="240" w:lineRule="auto"/>
              <w:jc w:val="right"/>
              <w:rPr>
                <w:rFonts w:ascii="Arial" w:hAnsi="Arial" w:cs="Arial"/>
                <w:i/>
                <w:iCs/>
                <w:sz w:val="16"/>
                <w:szCs w:val="16"/>
              </w:rPr>
            </w:pPr>
            <w:r>
              <w:rPr>
                <w:rFonts w:ascii="Arial" w:hAnsi="Arial" w:cs="Arial"/>
                <w:i/>
                <w:iCs/>
                <w:sz w:val="16"/>
                <w:szCs w:val="16"/>
              </w:rPr>
              <w:noBreakHyphen/>
            </w:r>
            <w:r w:rsidR="009E2F74" w:rsidRPr="00576DC7">
              <w:rPr>
                <w:rFonts w:ascii="Arial" w:hAnsi="Arial" w:cs="Arial"/>
                <w:i/>
                <w:iCs/>
                <w:sz w:val="16"/>
                <w:szCs w:val="16"/>
              </w:rPr>
              <w:t>5,001</w:t>
            </w:r>
          </w:p>
        </w:tc>
        <w:tc>
          <w:tcPr>
            <w:tcW w:w="474" w:type="pct"/>
            <w:tcBorders>
              <w:top w:val="nil"/>
              <w:left w:val="nil"/>
              <w:bottom w:val="single" w:sz="4" w:space="0" w:color="293F5B"/>
              <w:right w:val="nil"/>
            </w:tcBorders>
            <w:shd w:val="clear" w:color="000000" w:fill="FFFFFF"/>
            <w:noWrap/>
            <w:vAlign w:val="center"/>
            <w:hideMark/>
          </w:tcPr>
          <w:p w14:paraId="57CC5539" w14:textId="05743B57" w:rsidR="009E2F74" w:rsidRPr="00576DC7" w:rsidRDefault="00404C26" w:rsidP="009E2F74">
            <w:pPr>
              <w:spacing w:before="0" w:after="0" w:line="240" w:lineRule="auto"/>
              <w:jc w:val="right"/>
              <w:rPr>
                <w:rFonts w:ascii="Arial" w:hAnsi="Arial" w:cs="Arial"/>
                <w:i/>
                <w:iCs/>
                <w:sz w:val="16"/>
                <w:szCs w:val="16"/>
              </w:rPr>
            </w:pPr>
            <w:r>
              <w:rPr>
                <w:rFonts w:ascii="Arial" w:hAnsi="Arial" w:cs="Arial"/>
                <w:i/>
                <w:iCs/>
                <w:sz w:val="16"/>
                <w:szCs w:val="16"/>
              </w:rPr>
              <w:noBreakHyphen/>
            </w:r>
            <w:r w:rsidR="009E2F74" w:rsidRPr="00576DC7">
              <w:rPr>
                <w:rFonts w:ascii="Arial" w:hAnsi="Arial" w:cs="Arial"/>
                <w:i/>
                <w:iCs/>
                <w:sz w:val="16"/>
                <w:szCs w:val="16"/>
              </w:rPr>
              <w:t>4,294</w:t>
            </w:r>
          </w:p>
        </w:tc>
        <w:tc>
          <w:tcPr>
            <w:tcW w:w="474" w:type="pct"/>
            <w:tcBorders>
              <w:top w:val="nil"/>
              <w:left w:val="nil"/>
              <w:bottom w:val="single" w:sz="4" w:space="0" w:color="293F5B"/>
              <w:right w:val="nil"/>
            </w:tcBorders>
            <w:shd w:val="clear" w:color="000000" w:fill="FFFFFF"/>
            <w:noWrap/>
            <w:vAlign w:val="center"/>
            <w:hideMark/>
          </w:tcPr>
          <w:p w14:paraId="54EE61DE" w14:textId="6276F13B" w:rsidR="009E2F74" w:rsidRPr="00576DC7" w:rsidRDefault="00404C26" w:rsidP="009E2F74">
            <w:pPr>
              <w:spacing w:before="0" w:after="0" w:line="240" w:lineRule="auto"/>
              <w:jc w:val="right"/>
              <w:rPr>
                <w:rFonts w:ascii="Arial" w:hAnsi="Arial" w:cs="Arial"/>
                <w:i/>
                <w:iCs/>
                <w:sz w:val="16"/>
                <w:szCs w:val="16"/>
              </w:rPr>
            </w:pPr>
            <w:r>
              <w:rPr>
                <w:rFonts w:ascii="Arial" w:hAnsi="Arial" w:cs="Arial"/>
                <w:i/>
                <w:iCs/>
                <w:sz w:val="16"/>
                <w:szCs w:val="16"/>
              </w:rPr>
              <w:noBreakHyphen/>
            </w:r>
            <w:r w:rsidR="009E2F74" w:rsidRPr="00576DC7">
              <w:rPr>
                <w:rFonts w:ascii="Arial" w:hAnsi="Arial" w:cs="Arial"/>
                <w:i/>
                <w:iCs/>
                <w:sz w:val="16"/>
                <w:szCs w:val="16"/>
              </w:rPr>
              <w:t>5,656</w:t>
            </w:r>
          </w:p>
        </w:tc>
        <w:tc>
          <w:tcPr>
            <w:tcW w:w="474" w:type="pct"/>
            <w:tcBorders>
              <w:top w:val="nil"/>
              <w:left w:val="nil"/>
              <w:bottom w:val="single" w:sz="4" w:space="0" w:color="293F5B"/>
              <w:right w:val="nil"/>
            </w:tcBorders>
            <w:shd w:val="clear" w:color="000000" w:fill="FFFFFF"/>
            <w:noWrap/>
            <w:vAlign w:val="center"/>
            <w:hideMark/>
          </w:tcPr>
          <w:p w14:paraId="582D6CA5" w14:textId="1A1B8342" w:rsidR="009E2F74" w:rsidRPr="00576DC7" w:rsidRDefault="00404C26" w:rsidP="009E2F74">
            <w:pPr>
              <w:spacing w:before="0" w:after="0" w:line="240" w:lineRule="auto"/>
              <w:jc w:val="right"/>
              <w:rPr>
                <w:rFonts w:ascii="Arial" w:hAnsi="Arial" w:cs="Arial"/>
                <w:i/>
                <w:iCs/>
                <w:sz w:val="16"/>
                <w:szCs w:val="16"/>
              </w:rPr>
            </w:pPr>
            <w:r>
              <w:rPr>
                <w:rFonts w:ascii="Arial" w:hAnsi="Arial" w:cs="Arial"/>
                <w:i/>
                <w:iCs/>
                <w:sz w:val="16"/>
                <w:szCs w:val="16"/>
              </w:rPr>
              <w:noBreakHyphen/>
            </w:r>
            <w:r w:rsidR="009E2F74" w:rsidRPr="00576DC7">
              <w:rPr>
                <w:rFonts w:ascii="Arial" w:hAnsi="Arial" w:cs="Arial"/>
                <w:i/>
                <w:iCs/>
                <w:sz w:val="16"/>
                <w:szCs w:val="16"/>
              </w:rPr>
              <w:t>13,328</w:t>
            </w:r>
          </w:p>
        </w:tc>
        <w:tc>
          <w:tcPr>
            <w:tcW w:w="49" w:type="pct"/>
            <w:tcBorders>
              <w:top w:val="nil"/>
              <w:left w:val="nil"/>
              <w:bottom w:val="nil"/>
              <w:right w:val="nil"/>
            </w:tcBorders>
            <w:shd w:val="clear" w:color="000000" w:fill="FFFFFF"/>
            <w:noWrap/>
            <w:vAlign w:val="center"/>
            <w:hideMark/>
          </w:tcPr>
          <w:p w14:paraId="61ADDE77"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83" w:type="pct"/>
            <w:tcBorders>
              <w:top w:val="nil"/>
              <w:left w:val="nil"/>
              <w:bottom w:val="single" w:sz="4" w:space="0" w:color="293F5B"/>
              <w:right w:val="nil"/>
            </w:tcBorders>
            <w:shd w:val="clear" w:color="000000" w:fill="FFFFFF"/>
            <w:noWrap/>
            <w:vAlign w:val="center"/>
            <w:hideMark/>
          </w:tcPr>
          <w:p w14:paraId="663C63FA" w14:textId="59FF5EF3" w:rsidR="009E2F74" w:rsidRPr="00576DC7" w:rsidRDefault="00404C26" w:rsidP="009E2F74">
            <w:pPr>
              <w:spacing w:before="0" w:after="0" w:line="240" w:lineRule="auto"/>
              <w:jc w:val="right"/>
              <w:rPr>
                <w:rFonts w:ascii="Arial" w:hAnsi="Arial" w:cs="Arial"/>
                <w:i/>
                <w:iCs/>
                <w:sz w:val="16"/>
                <w:szCs w:val="16"/>
              </w:rPr>
            </w:pPr>
            <w:r>
              <w:rPr>
                <w:rFonts w:ascii="Arial" w:hAnsi="Arial" w:cs="Arial"/>
                <w:i/>
                <w:iCs/>
                <w:sz w:val="16"/>
                <w:szCs w:val="16"/>
              </w:rPr>
              <w:noBreakHyphen/>
            </w:r>
            <w:r w:rsidR="009E2F74" w:rsidRPr="00576DC7">
              <w:rPr>
                <w:rFonts w:ascii="Arial" w:hAnsi="Arial" w:cs="Arial"/>
                <w:i/>
                <w:iCs/>
                <w:sz w:val="16"/>
                <w:szCs w:val="16"/>
              </w:rPr>
              <w:t>28,043</w:t>
            </w:r>
          </w:p>
        </w:tc>
      </w:tr>
      <w:tr w:rsidR="009E2F74" w:rsidRPr="00576DC7" w14:paraId="01275B68"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312BF240"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Total parameter and other variations</w:t>
            </w:r>
          </w:p>
        </w:tc>
        <w:tc>
          <w:tcPr>
            <w:tcW w:w="460" w:type="pct"/>
            <w:tcBorders>
              <w:top w:val="nil"/>
              <w:left w:val="nil"/>
              <w:bottom w:val="nil"/>
              <w:right w:val="nil"/>
            </w:tcBorders>
            <w:shd w:val="clear" w:color="000000" w:fill="FFFFFF"/>
            <w:noWrap/>
            <w:vAlign w:val="center"/>
            <w:hideMark/>
          </w:tcPr>
          <w:p w14:paraId="7DF94D4C"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60176AD2"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7D69F132"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74" w:type="pct"/>
            <w:tcBorders>
              <w:top w:val="nil"/>
              <w:left w:val="nil"/>
              <w:bottom w:val="nil"/>
              <w:right w:val="nil"/>
            </w:tcBorders>
            <w:shd w:val="clear" w:color="000000" w:fill="FFFFFF"/>
            <w:noWrap/>
            <w:vAlign w:val="center"/>
            <w:hideMark/>
          </w:tcPr>
          <w:p w14:paraId="6457157B"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74" w:type="pct"/>
            <w:tcBorders>
              <w:top w:val="nil"/>
              <w:left w:val="nil"/>
              <w:bottom w:val="nil"/>
              <w:right w:val="nil"/>
            </w:tcBorders>
            <w:shd w:val="clear" w:color="000000" w:fill="FFFFFF"/>
            <w:noWrap/>
            <w:vAlign w:val="center"/>
            <w:hideMark/>
          </w:tcPr>
          <w:p w14:paraId="7BDFF582"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c>
          <w:tcPr>
            <w:tcW w:w="49" w:type="pct"/>
            <w:tcBorders>
              <w:top w:val="nil"/>
              <w:left w:val="nil"/>
              <w:bottom w:val="nil"/>
              <w:right w:val="nil"/>
            </w:tcBorders>
            <w:shd w:val="clear" w:color="000000" w:fill="FFFFFF"/>
            <w:noWrap/>
            <w:vAlign w:val="center"/>
            <w:hideMark/>
          </w:tcPr>
          <w:p w14:paraId="59DA76A8"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2D0703BE" w14:textId="77777777" w:rsidR="009E2F74" w:rsidRPr="00576DC7" w:rsidRDefault="009E2F74" w:rsidP="009E2F74">
            <w:pPr>
              <w:spacing w:before="0" w:after="0" w:line="240" w:lineRule="auto"/>
              <w:jc w:val="right"/>
              <w:rPr>
                <w:rFonts w:ascii="Arial" w:hAnsi="Arial" w:cs="Arial"/>
                <w:i/>
                <w:iCs/>
                <w:sz w:val="16"/>
                <w:szCs w:val="16"/>
              </w:rPr>
            </w:pPr>
            <w:r w:rsidRPr="00576DC7">
              <w:rPr>
                <w:rFonts w:ascii="Arial" w:hAnsi="Arial" w:cs="Arial"/>
                <w:i/>
                <w:iCs/>
                <w:sz w:val="16"/>
                <w:szCs w:val="16"/>
              </w:rPr>
              <w:t> </w:t>
            </w:r>
          </w:p>
        </w:tc>
      </w:tr>
      <w:tr w:rsidR="009E2F74" w:rsidRPr="00576DC7" w14:paraId="4949A4EB"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5DEA4DEA" w14:textId="77777777" w:rsidR="009E2F74" w:rsidRPr="00576DC7" w:rsidRDefault="009E2F74" w:rsidP="009E2F74">
            <w:pPr>
              <w:spacing w:before="0" w:after="0" w:line="240" w:lineRule="auto"/>
              <w:ind w:left="170"/>
              <w:rPr>
                <w:rFonts w:ascii="Arial" w:hAnsi="Arial" w:cs="Arial"/>
                <w:sz w:val="16"/>
                <w:szCs w:val="16"/>
              </w:rPr>
            </w:pPr>
            <w:r w:rsidRPr="00576DC7">
              <w:rPr>
                <w:rFonts w:ascii="Arial" w:hAnsi="Arial" w:cs="Arial"/>
                <w:sz w:val="16"/>
                <w:szCs w:val="16"/>
              </w:rPr>
              <w:t>impact on underlying cash balance</w:t>
            </w:r>
          </w:p>
        </w:tc>
        <w:tc>
          <w:tcPr>
            <w:tcW w:w="460" w:type="pct"/>
            <w:tcBorders>
              <w:top w:val="nil"/>
              <w:left w:val="nil"/>
              <w:bottom w:val="single" w:sz="4" w:space="0" w:color="293F5B"/>
              <w:right w:val="nil"/>
            </w:tcBorders>
            <w:shd w:val="clear" w:color="000000" w:fill="FFFFFF"/>
            <w:noWrap/>
            <w:vAlign w:val="center"/>
            <w:hideMark/>
          </w:tcPr>
          <w:p w14:paraId="00BBFF80" w14:textId="1FC214E7"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520</w:t>
            </w:r>
          </w:p>
        </w:tc>
        <w:tc>
          <w:tcPr>
            <w:tcW w:w="474" w:type="pct"/>
            <w:tcBorders>
              <w:top w:val="nil"/>
              <w:left w:val="nil"/>
              <w:bottom w:val="single" w:sz="4" w:space="0" w:color="293F5B"/>
              <w:right w:val="nil"/>
            </w:tcBorders>
            <w:shd w:val="clear" w:color="000000" w:fill="E6F2FF"/>
            <w:noWrap/>
            <w:vAlign w:val="center"/>
            <w:hideMark/>
          </w:tcPr>
          <w:p w14:paraId="4745893F"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12,037</w:t>
            </w:r>
          </w:p>
        </w:tc>
        <w:tc>
          <w:tcPr>
            <w:tcW w:w="474" w:type="pct"/>
            <w:tcBorders>
              <w:top w:val="nil"/>
              <w:left w:val="nil"/>
              <w:bottom w:val="single" w:sz="4" w:space="0" w:color="293F5B"/>
              <w:right w:val="nil"/>
            </w:tcBorders>
            <w:shd w:val="clear" w:color="000000" w:fill="FFFFFF"/>
            <w:noWrap/>
            <w:vAlign w:val="center"/>
            <w:hideMark/>
          </w:tcPr>
          <w:p w14:paraId="51AF151F"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10,303</w:t>
            </w:r>
          </w:p>
        </w:tc>
        <w:tc>
          <w:tcPr>
            <w:tcW w:w="474" w:type="pct"/>
            <w:tcBorders>
              <w:top w:val="nil"/>
              <w:left w:val="nil"/>
              <w:bottom w:val="single" w:sz="4" w:space="0" w:color="293F5B"/>
              <w:right w:val="nil"/>
            </w:tcBorders>
            <w:shd w:val="clear" w:color="000000" w:fill="FFFFFF"/>
            <w:noWrap/>
            <w:vAlign w:val="center"/>
            <w:hideMark/>
          </w:tcPr>
          <w:p w14:paraId="44CA2665"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5,086</w:t>
            </w:r>
          </w:p>
        </w:tc>
        <w:tc>
          <w:tcPr>
            <w:tcW w:w="474" w:type="pct"/>
            <w:tcBorders>
              <w:top w:val="nil"/>
              <w:left w:val="nil"/>
              <w:bottom w:val="single" w:sz="4" w:space="0" w:color="293F5B"/>
              <w:right w:val="nil"/>
            </w:tcBorders>
            <w:shd w:val="clear" w:color="000000" w:fill="FFFFFF"/>
            <w:noWrap/>
            <w:vAlign w:val="center"/>
            <w:hideMark/>
          </w:tcPr>
          <w:p w14:paraId="1A2FCC42"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9,531</w:t>
            </w:r>
          </w:p>
        </w:tc>
        <w:tc>
          <w:tcPr>
            <w:tcW w:w="49" w:type="pct"/>
            <w:tcBorders>
              <w:top w:val="nil"/>
              <w:left w:val="nil"/>
              <w:bottom w:val="nil"/>
              <w:right w:val="nil"/>
            </w:tcBorders>
            <w:shd w:val="clear" w:color="000000" w:fill="FFFFFF"/>
            <w:noWrap/>
            <w:vAlign w:val="center"/>
            <w:hideMark/>
          </w:tcPr>
          <w:p w14:paraId="36BBB21B"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single" w:sz="4" w:space="0" w:color="293F5B"/>
              <w:right w:val="nil"/>
            </w:tcBorders>
            <w:shd w:val="clear" w:color="000000" w:fill="FFFFFF"/>
            <w:noWrap/>
            <w:vAlign w:val="center"/>
            <w:hideMark/>
          </w:tcPr>
          <w:p w14:paraId="59AC7D24"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36,437</w:t>
            </w:r>
          </w:p>
        </w:tc>
      </w:tr>
      <w:tr w:rsidR="009E2F74" w:rsidRPr="00576DC7" w14:paraId="12C9E77C" w14:textId="77777777" w:rsidTr="009E2F74">
        <w:trPr>
          <w:trHeight w:hRule="exact" w:val="60"/>
        </w:trPr>
        <w:tc>
          <w:tcPr>
            <w:tcW w:w="2113" w:type="pct"/>
            <w:tcBorders>
              <w:top w:val="nil"/>
              <w:left w:val="nil"/>
              <w:bottom w:val="nil"/>
              <w:right w:val="nil"/>
            </w:tcBorders>
            <w:shd w:val="clear" w:color="000000" w:fill="FFFFFF"/>
            <w:noWrap/>
            <w:vAlign w:val="center"/>
            <w:hideMark/>
          </w:tcPr>
          <w:p w14:paraId="2948B938"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65F657C2"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36919315"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09C44BCC"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4A9C894E"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724C5804"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9" w:type="pct"/>
            <w:tcBorders>
              <w:top w:val="nil"/>
              <w:left w:val="nil"/>
              <w:bottom w:val="nil"/>
              <w:right w:val="nil"/>
            </w:tcBorders>
            <w:shd w:val="clear" w:color="000000" w:fill="FFFFFF"/>
            <w:noWrap/>
            <w:vAlign w:val="center"/>
            <w:hideMark/>
          </w:tcPr>
          <w:p w14:paraId="75D973C2"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nil"/>
              <w:right w:val="nil"/>
            </w:tcBorders>
            <w:shd w:val="clear" w:color="000000" w:fill="FFFFFF"/>
            <w:noWrap/>
            <w:vAlign w:val="center"/>
            <w:hideMark/>
          </w:tcPr>
          <w:p w14:paraId="323ABF4E"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r>
      <w:tr w:rsidR="009E2F74" w:rsidRPr="00576DC7" w14:paraId="31F82785"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66C232D9" w14:textId="25051A8A" w:rsidR="009E2F74" w:rsidRPr="00576DC7" w:rsidRDefault="009E2F74" w:rsidP="009E2F74">
            <w:pPr>
              <w:spacing w:before="0" w:after="0" w:line="240" w:lineRule="auto"/>
              <w:rPr>
                <w:rFonts w:ascii="Arial" w:hAnsi="Arial" w:cs="Arial"/>
                <w:b/>
                <w:bCs/>
                <w:sz w:val="16"/>
                <w:szCs w:val="16"/>
              </w:rPr>
            </w:pPr>
            <w:r w:rsidRPr="00576DC7">
              <w:rPr>
                <w:rFonts w:ascii="Arial" w:hAnsi="Arial" w:cs="Arial"/>
                <w:b/>
                <w:bCs/>
                <w:sz w:val="16"/>
                <w:szCs w:val="16"/>
              </w:rPr>
              <w:t>2025</w:t>
            </w:r>
            <w:r w:rsidR="00404C26">
              <w:rPr>
                <w:rFonts w:ascii="Arial" w:hAnsi="Arial" w:cs="Arial"/>
                <w:b/>
                <w:bCs/>
                <w:sz w:val="16"/>
                <w:szCs w:val="16"/>
              </w:rPr>
              <w:noBreakHyphen/>
            </w:r>
            <w:r w:rsidRPr="00576DC7">
              <w:rPr>
                <w:rFonts w:ascii="Arial" w:hAnsi="Arial" w:cs="Arial"/>
                <w:b/>
                <w:bCs/>
                <w:sz w:val="16"/>
                <w:szCs w:val="16"/>
              </w:rPr>
              <w:t>26 Budget underlying cash</w:t>
            </w:r>
          </w:p>
        </w:tc>
        <w:tc>
          <w:tcPr>
            <w:tcW w:w="460" w:type="pct"/>
            <w:tcBorders>
              <w:top w:val="nil"/>
              <w:left w:val="nil"/>
              <w:bottom w:val="nil"/>
              <w:right w:val="nil"/>
            </w:tcBorders>
            <w:shd w:val="clear" w:color="000000" w:fill="FFFFFF"/>
            <w:noWrap/>
            <w:vAlign w:val="center"/>
            <w:hideMark/>
          </w:tcPr>
          <w:p w14:paraId="43258E84"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74" w:type="pct"/>
            <w:tcBorders>
              <w:top w:val="nil"/>
              <w:left w:val="nil"/>
              <w:bottom w:val="nil"/>
              <w:right w:val="nil"/>
            </w:tcBorders>
            <w:shd w:val="clear" w:color="000000" w:fill="E6F2FF"/>
            <w:noWrap/>
            <w:vAlign w:val="center"/>
            <w:hideMark/>
          </w:tcPr>
          <w:p w14:paraId="12D93612"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74" w:type="pct"/>
            <w:tcBorders>
              <w:top w:val="nil"/>
              <w:left w:val="nil"/>
              <w:bottom w:val="nil"/>
              <w:right w:val="nil"/>
            </w:tcBorders>
            <w:shd w:val="clear" w:color="000000" w:fill="FFFFFF"/>
            <w:noWrap/>
            <w:vAlign w:val="center"/>
            <w:hideMark/>
          </w:tcPr>
          <w:p w14:paraId="31FC1B65"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74" w:type="pct"/>
            <w:tcBorders>
              <w:top w:val="nil"/>
              <w:left w:val="nil"/>
              <w:bottom w:val="nil"/>
              <w:right w:val="nil"/>
            </w:tcBorders>
            <w:shd w:val="clear" w:color="000000" w:fill="FFFFFF"/>
            <w:noWrap/>
            <w:vAlign w:val="center"/>
            <w:hideMark/>
          </w:tcPr>
          <w:p w14:paraId="2FB3B6C7"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74" w:type="pct"/>
            <w:tcBorders>
              <w:top w:val="nil"/>
              <w:left w:val="nil"/>
              <w:bottom w:val="nil"/>
              <w:right w:val="nil"/>
            </w:tcBorders>
            <w:shd w:val="clear" w:color="000000" w:fill="FFFFFF"/>
            <w:noWrap/>
            <w:vAlign w:val="center"/>
            <w:hideMark/>
          </w:tcPr>
          <w:p w14:paraId="1C77B5E7"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9" w:type="pct"/>
            <w:tcBorders>
              <w:top w:val="nil"/>
              <w:left w:val="nil"/>
              <w:bottom w:val="nil"/>
              <w:right w:val="nil"/>
            </w:tcBorders>
            <w:shd w:val="clear" w:color="000000" w:fill="FFFFFF"/>
            <w:noWrap/>
            <w:vAlign w:val="center"/>
            <w:hideMark/>
          </w:tcPr>
          <w:p w14:paraId="378A2EF1"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83" w:type="pct"/>
            <w:tcBorders>
              <w:top w:val="nil"/>
              <w:left w:val="nil"/>
              <w:bottom w:val="nil"/>
              <w:right w:val="nil"/>
            </w:tcBorders>
            <w:shd w:val="clear" w:color="000000" w:fill="FFFFFF"/>
            <w:noWrap/>
            <w:vAlign w:val="center"/>
            <w:hideMark/>
          </w:tcPr>
          <w:p w14:paraId="4B37AD17"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 </w:t>
            </w:r>
          </w:p>
        </w:tc>
      </w:tr>
      <w:tr w:rsidR="009E2F74" w:rsidRPr="00576DC7" w14:paraId="65EE4107" w14:textId="77777777" w:rsidTr="009E2F74">
        <w:trPr>
          <w:trHeight w:hRule="exact" w:val="226"/>
        </w:trPr>
        <w:tc>
          <w:tcPr>
            <w:tcW w:w="2113" w:type="pct"/>
            <w:tcBorders>
              <w:top w:val="nil"/>
              <w:left w:val="nil"/>
              <w:bottom w:val="nil"/>
              <w:right w:val="nil"/>
            </w:tcBorders>
            <w:shd w:val="clear" w:color="000000" w:fill="FFFFFF"/>
            <w:noWrap/>
            <w:vAlign w:val="center"/>
            <w:hideMark/>
          </w:tcPr>
          <w:p w14:paraId="1810DCD4" w14:textId="77777777" w:rsidR="009E2F74" w:rsidRPr="00576DC7" w:rsidRDefault="009E2F74" w:rsidP="009E2F74">
            <w:pPr>
              <w:spacing w:before="0" w:after="0" w:line="240" w:lineRule="auto"/>
              <w:ind w:left="170"/>
              <w:rPr>
                <w:rFonts w:ascii="Arial" w:hAnsi="Arial" w:cs="Arial"/>
                <w:b/>
                <w:bCs/>
                <w:sz w:val="16"/>
                <w:szCs w:val="16"/>
              </w:rPr>
            </w:pPr>
            <w:r w:rsidRPr="00576DC7">
              <w:rPr>
                <w:rFonts w:ascii="Arial" w:hAnsi="Arial" w:cs="Arial"/>
                <w:b/>
                <w:bCs/>
                <w:sz w:val="16"/>
                <w:szCs w:val="16"/>
              </w:rPr>
              <w:t>balance</w:t>
            </w:r>
          </w:p>
        </w:tc>
        <w:tc>
          <w:tcPr>
            <w:tcW w:w="460" w:type="pct"/>
            <w:tcBorders>
              <w:top w:val="nil"/>
              <w:left w:val="nil"/>
              <w:bottom w:val="nil"/>
              <w:right w:val="nil"/>
            </w:tcBorders>
            <w:shd w:val="clear" w:color="000000" w:fill="FFFFFF"/>
            <w:noWrap/>
            <w:vAlign w:val="center"/>
            <w:hideMark/>
          </w:tcPr>
          <w:p w14:paraId="59F47DBE" w14:textId="27874635"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27,605</w:t>
            </w:r>
          </w:p>
        </w:tc>
        <w:tc>
          <w:tcPr>
            <w:tcW w:w="474" w:type="pct"/>
            <w:tcBorders>
              <w:top w:val="nil"/>
              <w:left w:val="nil"/>
              <w:bottom w:val="nil"/>
              <w:right w:val="nil"/>
            </w:tcBorders>
            <w:shd w:val="clear" w:color="000000" w:fill="E6F2FF"/>
            <w:noWrap/>
            <w:vAlign w:val="center"/>
            <w:hideMark/>
          </w:tcPr>
          <w:p w14:paraId="1388BBDE" w14:textId="24689BA9"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42,122</w:t>
            </w:r>
          </w:p>
        </w:tc>
        <w:tc>
          <w:tcPr>
            <w:tcW w:w="474" w:type="pct"/>
            <w:tcBorders>
              <w:top w:val="nil"/>
              <w:left w:val="nil"/>
              <w:bottom w:val="nil"/>
              <w:right w:val="nil"/>
            </w:tcBorders>
            <w:shd w:val="clear" w:color="000000" w:fill="FFFFFF"/>
            <w:noWrap/>
            <w:vAlign w:val="center"/>
            <w:hideMark/>
          </w:tcPr>
          <w:p w14:paraId="7F9BDEF4" w14:textId="12B81A95"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35,706</w:t>
            </w:r>
          </w:p>
        </w:tc>
        <w:tc>
          <w:tcPr>
            <w:tcW w:w="474" w:type="pct"/>
            <w:tcBorders>
              <w:top w:val="nil"/>
              <w:left w:val="nil"/>
              <w:bottom w:val="nil"/>
              <w:right w:val="nil"/>
            </w:tcBorders>
            <w:shd w:val="clear" w:color="000000" w:fill="FFFFFF"/>
            <w:noWrap/>
            <w:vAlign w:val="center"/>
            <w:hideMark/>
          </w:tcPr>
          <w:p w14:paraId="19C53665" w14:textId="3001A5D3"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37,247</w:t>
            </w:r>
          </w:p>
        </w:tc>
        <w:tc>
          <w:tcPr>
            <w:tcW w:w="474" w:type="pct"/>
            <w:tcBorders>
              <w:top w:val="nil"/>
              <w:left w:val="nil"/>
              <w:bottom w:val="nil"/>
              <w:right w:val="nil"/>
            </w:tcBorders>
            <w:shd w:val="clear" w:color="000000" w:fill="FFFFFF"/>
            <w:noWrap/>
            <w:vAlign w:val="center"/>
            <w:hideMark/>
          </w:tcPr>
          <w:p w14:paraId="3DC48EFE" w14:textId="13EB7E36"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36,854</w:t>
            </w:r>
          </w:p>
        </w:tc>
        <w:tc>
          <w:tcPr>
            <w:tcW w:w="49" w:type="pct"/>
            <w:tcBorders>
              <w:top w:val="nil"/>
              <w:left w:val="nil"/>
              <w:bottom w:val="nil"/>
              <w:right w:val="nil"/>
            </w:tcBorders>
            <w:shd w:val="clear" w:color="000000" w:fill="FFFFFF"/>
            <w:noWrap/>
            <w:vAlign w:val="center"/>
            <w:hideMark/>
          </w:tcPr>
          <w:p w14:paraId="38AE78FF" w14:textId="77777777" w:rsidR="009E2F74" w:rsidRPr="00576DC7" w:rsidRDefault="009E2F74" w:rsidP="009E2F74">
            <w:pPr>
              <w:spacing w:before="0" w:after="0" w:line="240" w:lineRule="auto"/>
              <w:jc w:val="right"/>
              <w:rPr>
                <w:rFonts w:ascii="Arial" w:hAnsi="Arial" w:cs="Arial"/>
                <w:b/>
                <w:bCs/>
                <w:sz w:val="16"/>
                <w:szCs w:val="16"/>
              </w:rPr>
            </w:pPr>
            <w:r w:rsidRPr="00576DC7">
              <w:rPr>
                <w:rFonts w:ascii="Arial" w:hAnsi="Arial" w:cs="Arial"/>
                <w:b/>
                <w:bCs/>
                <w:sz w:val="16"/>
                <w:szCs w:val="16"/>
              </w:rPr>
              <w:t> </w:t>
            </w:r>
          </w:p>
        </w:tc>
        <w:tc>
          <w:tcPr>
            <w:tcW w:w="483" w:type="pct"/>
            <w:tcBorders>
              <w:top w:val="nil"/>
              <w:left w:val="nil"/>
              <w:bottom w:val="nil"/>
              <w:right w:val="nil"/>
            </w:tcBorders>
            <w:shd w:val="clear" w:color="000000" w:fill="FFFFFF"/>
            <w:noWrap/>
            <w:vAlign w:val="center"/>
            <w:hideMark/>
          </w:tcPr>
          <w:p w14:paraId="1864967F" w14:textId="0BB73FDB" w:rsidR="009E2F74" w:rsidRPr="00576DC7" w:rsidRDefault="00404C26" w:rsidP="009E2F74">
            <w:pPr>
              <w:spacing w:before="0" w:after="0" w:line="240" w:lineRule="auto"/>
              <w:jc w:val="right"/>
              <w:rPr>
                <w:rFonts w:ascii="Arial" w:hAnsi="Arial" w:cs="Arial"/>
                <w:b/>
                <w:bCs/>
                <w:sz w:val="16"/>
                <w:szCs w:val="16"/>
              </w:rPr>
            </w:pPr>
            <w:r>
              <w:rPr>
                <w:rFonts w:ascii="Arial" w:hAnsi="Arial" w:cs="Arial"/>
                <w:b/>
                <w:bCs/>
                <w:sz w:val="16"/>
                <w:szCs w:val="16"/>
              </w:rPr>
              <w:noBreakHyphen/>
            </w:r>
            <w:r w:rsidR="009E2F74" w:rsidRPr="00576DC7">
              <w:rPr>
                <w:rFonts w:ascii="Arial" w:hAnsi="Arial" w:cs="Arial"/>
                <w:b/>
                <w:bCs/>
                <w:sz w:val="16"/>
                <w:szCs w:val="16"/>
              </w:rPr>
              <w:t>179,534</w:t>
            </w:r>
          </w:p>
        </w:tc>
      </w:tr>
      <w:tr w:rsidR="009E2F74" w:rsidRPr="00576DC7" w14:paraId="03DB927F" w14:textId="77777777" w:rsidTr="009E2F74">
        <w:trPr>
          <w:trHeight w:hRule="exact" w:val="226"/>
        </w:trPr>
        <w:tc>
          <w:tcPr>
            <w:tcW w:w="2113" w:type="pct"/>
            <w:tcBorders>
              <w:top w:val="nil"/>
              <w:left w:val="nil"/>
              <w:bottom w:val="single" w:sz="4" w:space="0" w:color="293F5B"/>
              <w:right w:val="nil"/>
            </w:tcBorders>
            <w:shd w:val="clear" w:color="000000" w:fill="FFFFFF"/>
            <w:noWrap/>
            <w:vAlign w:val="center"/>
            <w:hideMark/>
          </w:tcPr>
          <w:p w14:paraId="0041A0E8" w14:textId="77777777" w:rsidR="009E2F74" w:rsidRPr="00576DC7" w:rsidRDefault="009E2F74" w:rsidP="009E2F74">
            <w:pPr>
              <w:spacing w:before="0" w:after="0" w:line="240" w:lineRule="auto"/>
              <w:rPr>
                <w:rFonts w:ascii="Arial" w:hAnsi="Arial" w:cs="Arial"/>
                <w:sz w:val="16"/>
                <w:szCs w:val="16"/>
              </w:rPr>
            </w:pPr>
            <w:r w:rsidRPr="00576DC7">
              <w:rPr>
                <w:rFonts w:ascii="Arial" w:hAnsi="Arial" w:cs="Arial"/>
                <w:sz w:val="16"/>
                <w:szCs w:val="16"/>
              </w:rPr>
              <w:t>Per cent of GDP</w:t>
            </w:r>
          </w:p>
        </w:tc>
        <w:tc>
          <w:tcPr>
            <w:tcW w:w="460" w:type="pct"/>
            <w:tcBorders>
              <w:top w:val="nil"/>
              <w:left w:val="nil"/>
              <w:bottom w:val="single" w:sz="4" w:space="0" w:color="293F5B"/>
              <w:right w:val="nil"/>
            </w:tcBorders>
            <w:shd w:val="clear" w:color="000000" w:fill="FFFFFF"/>
            <w:noWrap/>
            <w:vAlign w:val="center"/>
            <w:hideMark/>
          </w:tcPr>
          <w:p w14:paraId="70C6A551" w14:textId="3C3CD5F9"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1.0</w:t>
            </w:r>
          </w:p>
        </w:tc>
        <w:tc>
          <w:tcPr>
            <w:tcW w:w="474" w:type="pct"/>
            <w:tcBorders>
              <w:top w:val="nil"/>
              <w:left w:val="nil"/>
              <w:bottom w:val="single" w:sz="4" w:space="0" w:color="293F5B"/>
              <w:right w:val="nil"/>
            </w:tcBorders>
            <w:shd w:val="clear" w:color="000000" w:fill="E6F2FF"/>
            <w:noWrap/>
            <w:vAlign w:val="center"/>
            <w:hideMark/>
          </w:tcPr>
          <w:p w14:paraId="0FC107BF" w14:textId="0E247933"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1.5</w:t>
            </w:r>
          </w:p>
        </w:tc>
        <w:tc>
          <w:tcPr>
            <w:tcW w:w="474" w:type="pct"/>
            <w:tcBorders>
              <w:top w:val="nil"/>
              <w:left w:val="nil"/>
              <w:bottom w:val="single" w:sz="4" w:space="0" w:color="293F5B"/>
              <w:right w:val="nil"/>
            </w:tcBorders>
            <w:shd w:val="clear" w:color="000000" w:fill="FFFFFF"/>
            <w:noWrap/>
            <w:vAlign w:val="center"/>
            <w:hideMark/>
          </w:tcPr>
          <w:p w14:paraId="7B52DADD" w14:textId="45E06C61"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1.2</w:t>
            </w:r>
          </w:p>
        </w:tc>
        <w:tc>
          <w:tcPr>
            <w:tcW w:w="474" w:type="pct"/>
            <w:tcBorders>
              <w:top w:val="nil"/>
              <w:left w:val="nil"/>
              <w:bottom w:val="single" w:sz="4" w:space="0" w:color="293F5B"/>
              <w:right w:val="nil"/>
            </w:tcBorders>
            <w:shd w:val="clear" w:color="000000" w:fill="FFFFFF"/>
            <w:noWrap/>
            <w:vAlign w:val="center"/>
            <w:hideMark/>
          </w:tcPr>
          <w:p w14:paraId="34A33E22" w14:textId="2657CBEC"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1.2</w:t>
            </w:r>
          </w:p>
        </w:tc>
        <w:tc>
          <w:tcPr>
            <w:tcW w:w="474" w:type="pct"/>
            <w:tcBorders>
              <w:top w:val="nil"/>
              <w:left w:val="nil"/>
              <w:bottom w:val="single" w:sz="4" w:space="0" w:color="293F5B"/>
              <w:right w:val="nil"/>
            </w:tcBorders>
            <w:shd w:val="clear" w:color="000000" w:fill="FFFFFF"/>
            <w:noWrap/>
            <w:vAlign w:val="center"/>
            <w:hideMark/>
          </w:tcPr>
          <w:p w14:paraId="75935CEA" w14:textId="00C16391" w:rsidR="009E2F74" w:rsidRPr="00576DC7" w:rsidRDefault="00404C26" w:rsidP="009E2F74">
            <w:pPr>
              <w:spacing w:before="0" w:after="0" w:line="240" w:lineRule="auto"/>
              <w:jc w:val="right"/>
              <w:rPr>
                <w:rFonts w:ascii="Arial" w:hAnsi="Arial" w:cs="Arial"/>
                <w:sz w:val="16"/>
                <w:szCs w:val="16"/>
              </w:rPr>
            </w:pPr>
            <w:r>
              <w:rPr>
                <w:rFonts w:ascii="Arial" w:hAnsi="Arial" w:cs="Arial"/>
                <w:sz w:val="16"/>
                <w:szCs w:val="16"/>
              </w:rPr>
              <w:noBreakHyphen/>
            </w:r>
            <w:r w:rsidR="009E2F74" w:rsidRPr="00576DC7">
              <w:rPr>
                <w:rFonts w:ascii="Arial" w:hAnsi="Arial" w:cs="Arial"/>
                <w:sz w:val="16"/>
                <w:szCs w:val="16"/>
              </w:rPr>
              <w:t>1.1</w:t>
            </w:r>
          </w:p>
        </w:tc>
        <w:tc>
          <w:tcPr>
            <w:tcW w:w="49" w:type="pct"/>
            <w:tcBorders>
              <w:top w:val="nil"/>
              <w:left w:val="nil"/>
              <w:bottom w:val="single" w:sz="4" w:space="0" w:color="293F5B"/>
              <w:right w:val="nil"/>
            </w:tcBorders>
            <w:shd w:val="clear" w:color="000000" w:fill="FFFFFF"/>
            <w:noWrap/>
            <w:vAlign w:val="center"/>
            <w:hideMark/>
          </w:tcPr>
          <w:p w14:paraId="3160708C"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c>
          <w:tcPr>
            <w:tcW w:w="483" w:type="pct"/>
            <w:tcBorders>
              <w:top w:val="nil"/>
              <w:left w:val="nil"/>
              <w:bottom w:val="single" w:sz="4" w:space="0" w:color="293F5B"/>
              <w:right w:val="nil"/>
            </w:tcBorders>
            <w:shd w:val="clear" w:color="000000" w:fill="FFFFFF"/>
            <w:noWrap/>
            <w:vAlign w:val="center"/>
            <w:hideMark/>
          </w:tcPr>
          <w:p w14:paraId="5BCA884B" w14:textId="77777777" w:rsidR="009E2F74" w:rsidRPr="00576DC7" w:rsidRDefault="009E2F74" w:rsidP="009E2F74">
            <w:pPr>
              <w:spacing w:before="0" w:after="0" w:line="240" w:lineRule="auto"/>
              <w:jc w:val="right"/>
              <w:rPr>
                <w:rFonts w:ascii="Arial" w:hAnsi="Arial" w:cs="Arial"/>
                <w:sz w:val="16"/>
                <w:szCs w:val="16"/>
              </w:rPr>
            </w:pPr>
            <w:r w:rsidRPr="00576DC7">
              <w:rPr>
                <w:rFonts w:ascii="Arial" w:hAnsi="Arial" w:cs="Arial"/>
                <w:sz w:val="16"/>
                <w:szCs w:val="16"/>
              </w:rPr>
              <w:t> </w:t>
            </w:r>
          </w:p>
        </w:tc>
      </w:tr>
    </w:tbl>
    <w:p w14:paraId="2116AA3A" w14:textId="2E26A8F5" w:rsidR="0004547B" w:rsidRPr="007B62F1" w:rsidRDefault="00A0517F" w:rsidP="005C7875">
      <w:pPr>
        <w:pStyle w:val="ChartandTableFootnote"/>
        <w:rPr>
          <w:rFonts w:ascii="Calibri" w:eastAsiaTheme="minorEastAsia" w:hAnsi="Calibri" w:cs="Calibri"/>
          <w:sz w:val="22"/>
          <w:szCs w:val="22"/>
        </w:rPr>
      </w:pPr>
      <w:r w:rsidRPr="00576DC7">
        <w:rPr>
          <w:color w:val="auto"/>
        </w:rPr>
        <w:t xml:space="preserve">*Data </w:t>
      </w:r>
      <w:r w:rsidR="00742317" w:rsidRPr="00576DC7">
        <w:rPr>
          <w:color w:val="auto"/>
        </w:rPr>
        <w:t>are</w:t>
      </w:r>
      <w:r w:rsidRPr="00576DC7">
        <w:rPr>
          <w:color w:val="auto"/>
        </w:rPr>
        <w:t xml:space="preserve"> not available.</w:t>
      </w:r>
    </w:p>
    <w:p w14:paraId="32D0203A" w14:textId="75E00847" w:rsidR="00B2621F" w:rsidRPr="00576DC7" w:rsidRDefault="00B2621F" w:rsidP="00F653D1">
      <w:pPr>
        <w:pStyle w:val="ChartandTableFootnoteAlpha"/>
        <w:numPr>
          <w:ilvl w:val="0"/>
          <w:numId w:val="8"/>
        </w:numPr>
        <w:rPr>
          <w:rFonts w:eastAsiaTheme="minorEastAsia"/>
          <w:color w:val="auto"/>
          <w:lang w:eastAsia="en-US"/>
        </w:rPr>
      </w:pPr>
      <w:r w:rsidRPr="00576DC7">
        <w:rPr>
          <w:rFonts w:eastAsiaTheme="minorEastAsia"/>
          <w:color w:val="auto"/>
        </w:rPr>
        <w:t>Excludes secondary impacts on public debt interest of policy decisions and offsets from the Contingency Reserve for decisions taken.</w:t>
      </w:r>
    </w:p>
    <w:p w14:paraId="75712A3B" w14:textId="4D8B8377" w:rsidR="00B2621F" w:rsidRPr="00576DC7" w:rsidRDefault="00B2621F" w:rsidP="00EF6527">
      <w:pPr>
        <w:pStyle w:val="ChartandTableFootnoteAlpha"/>
        <w:rPr>
          <w:rFonts w:eastAsiaTheme="minorEastAsia"/>
          <w:color w:val="auto"/>
        </w:rPr>
      </w:pPr>
      <w:r w:rsidRPr="00576DC7">
        <w:rPr>
          <w:rFonts w:eastAsiaTheme="minorEastAsia"/>
          <w:color w:val="auto"/>
        </w:rPr>
        <w:t>202</w:t>
      </w:r>
      <w:r w:rsidR="00171481" w:rsidRPr="00576DC7">
        <w:rPr>
          <w:rFonts w:eastAsiaTheme="minorEastAsia"/>
          <w:color w:val="auto"/>
        </w:rPr>
        <w:t>8</w:t>
      </w:r>
      <w:r w:rsidRPr="00576DC7">
        <w:rPr>
          <w:rFonts w:eastAsiaTheme="minorEastAsia"/>
          <w:color w:val="auto"/>
        </w:rPr>
        <w:t>–2</w:t>
      </w:r>
      <w:r w:rsidR="00171481" w:rsidRPr="00576DC7">
        <w:rPr>
          <w:rFonts w:eastAsiaTheme="minorEastAsia"/>
          <w:color w:val="auto"/>
        </w:rPr>
        <w:t>9</w:t>
      </w:r>
      <w:r w:rsidRPr="00576DC7">
        <w:rPr>
          <w:rFonts w:eastAsiaTheme="minorEastAsia"/>
          <w:color w:val="auto"/>
        </w:rPr>
        <w:t xml:space="preserve"> as published in the medium</w:t>
      </w:r>
      <w:r w:rsidR="00404C26">
        <w:rPr>
          <w:rFonts w:eastAsiaTheme="minorEastAsia"/>
          <w:color w:val="auto"/>
        </w:rPr>
        <w:noBreakHyphen/>
      </w:r>
      <w:r w:rsidRPr="00576DC7">
        <w:rPr>
          <w:rFonts w:eastAsiaTheme="minorEastAsia"/>
          <w:color w:val="auto"/>
        </w:rPr>
        <w:t>term projections, page 59 of</w:t>
      </w:r>
      <w:r w:rsidRPr="00576DC7" w:rsidDel="008E01F9">
        <w:rPr>
          <w:rFonts w:eastAsiaTheme="minorEastAsia"/>
          <w:color w:val="auto"/>
        </w:rPr>
        <w:t xml:space="preserve"> </w:t>
      </w:r>
      <w:r w:rsidRPr="00576DC7">
        <w:rPr>
          <w:rFonts w:eastAsiaTheme="minorEastAsia"/>
          <w:color w:val="auto"/>
        </w:rPr>
        <w:t xml:space="preserve">the </w:t>
      </w:r>
      <w:r w:rsidRPr="00576DC7">
        <w:rPr>
          <w:rStyle w:val="Emphasis"/>
          <w:rFonts w:eastAsiaTheme="minorEastAsia"/>
          <w:color w:val="auto"/>
        </w:rPr>
        <w:t>Mid</w:t>
      </w:r>
      <w:r w:rsidR="00404C26">
        <w:rPr>
          <w:rStyle w:val="Emphasis"/>
          <w:rFonts w:eastAsiaTheme="minorHAnsi"/>
          <w:color w:val="auto"/>
        </w:rPr>
        <w:noBreakHyphen/>
      </w:r>
      <w:r w:rsidRPr="00576DC7">
        <w:rPr>
          <w:rStyle w:val="Emphasis"/>
          <w:rFonts w:eastAsiaTheme="minorEastAsia"/>
          <w:color w:val="auto"/>
        </w:rPr>
        <w:t>Year Economic and Fiscal Outlook 202</w:t>
      </w:r>
      <w:r w:rsidR="00742317" w:rsidRPr="00576DC7">
        <w:rPr>
          <w:rStyle w:val="Emphasis"/>
          <w:rFonts w:eastAsiaTheme="minorEastAsia"/>
          <w:color w:val="auto"/>
        </w:rPr>
        <w:t>4</w:t>
      </w:r>
      <w:r w:rsidRPr="00576DC7">
        <w:rPr>
          <w:rStyle w:val="Emphasis"/>
          <w:rFonts w:eastAsiaTheme="minorEastAsia"/>
          <w:color w:val="auto"/>
        </w:rPr>
        <w:t>–2</w:t>
      </w:r>
      <w:r w:rsidR="00742317" w:rsidRPr="00576DC7">
        <w:rPr>
          <w:rStyle w:val="Emphasis"/>
          <w:rFonts w:eastAsiaTheme="minorEastAsia"/>
          <w:color w:val="auto"/>
        </w:rPr>
        <w:t>5</w:t>
      </w:r>
      <w:r w:rsidRPr="00576DC7">
        <w:rPr>
          <w:rStyle w:val="Emphasis"/>
          <w:rFonts w:eastAsiaTheme="minorEastAsia"/>
          <w:color w:val="auto"/>
        </w:rPr>
        <w:t>.</w:t>
      </w:r>
    </w:p>
    <w:p w14:paraId="116E1F7C" w14:textId="703D2C79" w:rsidR="00B2621F" w:rsidRPr="00712254" w:rsidRDefault="00B2621F" w:rsidP="00EF6527">
      <w:pPr>
        <w:pStyle w:val="ChartandTableFootnoteAlpha"/>
        <w:rPr>
          <w:color w:val="auto"/>
        </w:rPr>
      </w:pPr>
      <w:r w:rsidRPr="00576DC7">
        <w:rPr>
          <w:rFonts w:eastAsiaTheme="minorEastAsia"/>
          <w:color w:val="auto"/>
        </w:rPr>
        <w:t>A positive number for receipts improves the underlying cash balance, while a positive number for payments worsens the underlying cash balance</w:t>
      </w:r>
      <w:r w:rsidRPr="00576DC7">
        <w:rPr>
          <w:color w:val="auto"/>
        </w:rPr>
        <w:t>.</w:t>
      </w:r>
    </w:p>
    <w:p w14:paraId="48BA89E0" w14:textId="31225581" w:rsidR="00B2621F" w:rsidRPr="00712254" w:rsidRDefault="00B2621F" w:rsidP="003968DD">
      <w:pPr>
        <w:pStyle w:val="TableLine"/>
      </w:pPr>
    </w:p>
    <w:p w14:paraId="7B3464CF" w14:textId="77777777" w:rsidR="00B2621F" w:rsidRDefault="00B2621F" w:rsidP="006A061B">
      <w:bookmarkStart w:id="30" w:name="_1801306339"/>
      <w:bookmarkStart w:id="31" w:name="_1802267535"/>
      <w:bookmarkStart w:id="32" w:name="_1802503081"/>
      <w:bookmarkStart w:id="33" w:name="_Toc117356560"/>
      <w:bookmarkEnd w:id="30"/>
      <w:bookmarkEnd w:id="31"/>
      <w:bookmarkEnd w:id="32"/>
      <w:r>
        <w:br w:type="page"/>
      </w:r>
    </w:p>
    <w:p w14:paraId="7FD583D6" w14:textId="72B3A13A" w:rsidR="00B2621F" w:rsidRPr="00576DC7" w:rsidRDefault="00B2621F" w:rsidP="00B2621F">
      <w:pPr>
        <w:pStyle w:val="Heading3"/>
      </w:pPr>
      <w:bookmarkStart w:id="34" w:name="_Toc193537051"/>
      <w:r w:rsidRPr="00576DC7">
        <w:lastRenderedPageBreak/>
        <w:t>Receipts estimates</w:t>
      </w:r>
      <w:bookmarkEnd w:id="34"/>
      <w:r w:rsidRPr="00576DC7">
        <w:t xml:space="preserve"> </w:t>
      </w:r>
      <w:bookmarkEnd w:id="33"/>
    </w:p>
    <w:p w14:paraId="0B35606E" w14:textId="6E3B442F" w:rsidR="00FE08B9" w:rsidRDefault="00FE08B9" w:rsidP="00FE08B9">
      <w:r w:rsidRPr="00576DC7">
        <w:t xml:space="preserve">Since MYEFO, </w:t>
      </w:r>
      <w:r w:rsidR="00CD6260" w:rsidRPr="00576DC7">
        <w:t>forecast</w:t>
      </w:r>
      <w:r w:rsidRPr="00576DC7">
        <w:t xml:space="preserve"> total receipts </w:t>
      </w:r>
      <w:r w:rsidR="007D7337" w:rsidRPr="00576DC7">
        <w:t>have increased</w:t>
      </w:r>
      <w:r w:rsidR="00EF5585" w:rsidRPr="00576DC7">
        <w:t xml:space="preserve"> by </w:t>
      </w:r>
      <w:r w:rsidR="007E7573" w:rsidRPr="00576DC7">
        <w:t>$6.9 billion</w:t>
      </w:r>
      <w:r w:rsidRPr="00576DC7">
        <w:t xml:space="preserve"> in </w:t>
      </w:r>
      <w:r w:rsidR="00211E2B" w:rsidRPr="00576DC7">
        <w:t>2025–26</w:t>
      </w:r>
      <w:r w:rsidRPr="00576DC7">
        <w:t xml:space="preserve"> and </w:t>
      </w:r>
      <w:r w:rsidR="007660FA" w:rsidRPr="00576DC7">
        <w:t>de</w:t>
      </w:r>
      <w:r w:rsidRPr="00576DC7">
        <w:t>crease</w:t>
      </w:r>
      <w:r w:rsidR="00E32C4E" w:rsidRPr="00576DC7">
        <w:t>d</w:t>
      </w:r>
      <w:r w:rsidRPr="00576DC7">
        <w:t xml:space="preserve"> by $</w:t>
      </w:r>
      <w:r w:rsidR="007660FA" w:rsidRPr="00576DC7">
        <w:t>5</w:t>
      </w:r>
      <w:r w:rsidR="00A16073" w:rsidRPr="00576DC7">
        <w:t>.</w:t>
      </w:r>
      <w:r w:rsidR="00E2467B" w:rsidRPr="00576DC7">
        <w:t>8</w:t>
      </w:r>
      <w:r w:rsidR="00165450" w:rsidRPr="00576DC7">
        <w:t> </w:t>
      </w:r>
      <w:r w:rsidRPr="00576DC7">
        <w:t xml:space="preserve">billion over the </w:t>
      </w:r>
      <w:r w:rsidR="00211E2B" w:rsidRPr="00576DC7">
        <w:t>five</w:t>
      </w:r>
      <w:r w:rsidR="00475338" w:rsidRPr="00576DC7">
        <w:t> </w:t>
      </w:r>
      <w:r w:rsidR="00211E2B" w:rsidRPr="00576DC7">
        <w:t>years to</w:t>
      </w:r>
      <w:r w:rsidRPr="00576DC7">
        <w:t xml:space="preserve"> </w:t>
      </w:r>
      <w:r w:rsidR="00211E2B" w:rsidRPr="00576DC7">
        <w:t>2028–29</w:t>
      </w:r>
      <w:r w:rsidRPr="00576DC7">
        <w:t>.</w:t>
      </w:r>
      <w:r w:rsidR="00B96264" w:rsidRPr="00576DC7">
        <w:t xml:space="preserve"> </w:t>
      </w:r>
    </w:p>
    <w:p w14:paraId="3004970B" w14:textId="649CCB97" w:rsidR="00FE08B9" w:rsidRDefault="00FE08B9" w:rsidP="00FE08B9">
      <w:r w:rsidRPr="00576DC7">
        <w:t xml:space="preserve">Since MYEFO, </w:t>
      </w:r>
      <w:r w:rsidR="00B07EC2" w:rsidRPr="00576DC7">
        <w:t>forecast</w:t>
      </w:r>
      <w:r w:rsidRPr="00576DC7">
        <w:t xml:space="preserve"> tax receipts </w:t>
      </w:r>
      <w:r w:rsidR="00B07EC2" w:rsidRPr="00576DC7">
        <w:t>have increased</w:t>
      </w:r>
      <w:r w:rsidRPr="00576DC7">
        <w:t xml:space="preserve"> by $</w:t>
      </w:r>
      <w:r w:rsidR="00407E80" w:rsidRPr="00576DC7">
        <w:t>6.</w:t>
      </w:r>
      <w:r w:rsidR="00665884" w:rsidRPr="00576DC7">
        <w:t>4</w:t>
      </w:r>
      <w:r w:rsidR="00475338" w:rsidRPr="00576DC7">
        <w:t> </w:t>
      </w:r>
      <w:r w:rsidRPr="00576DC7">
        <w:t xml:space="preserve">billion in </w:t>
      </w:r>
      <w:r w:rsidR="00201434" w:rsidRPr="00576DC7">
        <w:t>2025–26</w:t>
      </w:r>
      <w:r w:rsidRPr="00576DC7">
        <w:t xml:space="preserve"> and </w:t>
      </w:r>
      <w:r w:rsidR="00B02195" w:rsidRPr="00576DC7">
        <w:t>de</w:t>
      </w:r>
      <w:r w:rsidR="00C415DE" w:rsidRPr="00576DC7">
        <w:t>crease</w:t>
      </w:r>
      <w:r w:rsidR="00B07EC2" w:rsidRPr="00576DC7">
        <w:t>d</w:t>
      </w:r>
      <w:r w:rsidR="00C415DE" w:rsidRPr="00576DC7">
        <w:t xml:space="preserve"> by $</w:t>
      </w:r>
      <w:r w:rsidR="008805CB" w:rsidRPr="00576DC7">
        <w:t>6.6</w:t>
      </w:r>
      <w:r w:rsidR="00165450" w:rsidRPr="00576DC7">
        <w:t> </w:t>
      </w:r>
      <w:r w:rsidR="00C415DE" w:rsidRPr="00576DC7">
        <w:t>billion over the five</w:t>
      </w:r>
      <w:r w:rsidR="00475338" w:rsidRPr="00576DC7">
        <w:t> </w:t>
      </w:r>
      <w:r w:rsidR="00C415DE" w:rsidRPr="00576DC7">
        <w:t>years to 2028–29</w:t>
      </w:r>
      <w:r w:rsidRPr="00576DC7">
        <w:t>.</w:t>
      </w:r>
      <w:r>
        <w:t xml:space="preserve"> </w:t>
      </w:r>
      <w:r w:rsidRPr="00576DC7">
        <w:t xml:space="preserve">Since MYEFO, </w:t>
      </w:r>
      <w:r w:rsidR="00B07EC2" w:rsidRPr="00576DC7">
        <w:t xml:space="preserve">forecast </w:t>
      </w:r>
      <w:r w:rsidR="00A16073" w:rsidRPr="00576DC7">
        <w:t>non</w:t>
      </w:r>
      <w:r w:rsidR="00404C26">
        <w:rPr>
          <w:rFonts w:cs="Calibri"/>
        </w:rPr>
        <w:noBreakHyphen/>
      </w:r>
      <w:r w:rsidR="00A16073" w:rsidRPr="00576DC7">
        <w:t>tax</w:t>
      </w:r>
      <w:r w:rsidRPr="00576DC7">
        <w:t xml:space="preserve"> receipts </w:t>
      </w:r>
      <w:r w:rsidR="00B07EC2" w:rsidRPr="00576DC7">
        <w:t>have increased</w:t>
      </w:r>
      <w:r w:rsidRPr="00576DC7">
        <w:t xml:space="preserve"> by </w:t>
      </w:r>
      <w:r w:rsidR="004C02AB" w:rsidRPr="00576DC7">
        <w:rPr>
          <w:rFonts w:cs="Calibri"/>
        </w:rPr>
        <w:t>$</w:t>
      </w:r>
      <w:r w:rsidR="00D4337E" w:rsidRPr="00576DC7">
        <w:t>0.5</w:t>
      </w:r>
      <w:r w:rsidR="004C02AB" w:rsidRPr="00576DC7">
        <w:rPr>
          <w:rFonts w:cs="Calibri"/>
        </w:rPr>
        <w:t xml:space="preserve"> </w:t>
      </w:r>
      <w:r w:rsidRPr="00576DC7">
        <w:t xml:space="preserve">billion in </w:t>
      </w:r>
      <w:r w:rsidR="00C415DE" w:rsidRPr="00576DC7">
        <w:t>2025–26</w:t>
      </w:r>
      <w:r w:rsidRPr="00576DC7">
        <w:t xml:space="preserve"> and by $</w:t>
      </w:r>
      <w:r w:rsidR="004C02AB" w:rsidRPr="00576DC7">
        <w:rPr>
          <w:rFonts w:cs="Calibri"/>
        </w:rPr>
        <w:t xml:space="preserve">2.3 </w:t>
      </w:r>
      <w:r w:rsidRPr="00576DC7">
        <w:t xml:space="preserve">billion over the </w:t>
      </w:r>
      <w:r w:rsidR="00C415DE" w:rsidRPr="00576DC7">
        <w:t>five</w:t>
      </w:r>
      <w:r w:rsidR="004C02AB" w:rsidRPr="00576DC7">
        <w:rPr>
          <w:rFonts w:cs="Calibri"/>
        </w:rPr>
        <w:t xml:space="preserve"> </w:t>
      </w:r>
      <w:r w:rsidR="00C415DE" w:rsidRPr="00576DC7">
        <w:t>years to 2028–29.</w:t>
      </w:r>
      <w:r w:rsidR="00C17B7B" w:rsidRPr="00576DC7">
        <w:t xml:space="preserve"> </w:t>
      </w:r>
    </w:p>
    <w:p w14:paraId="490E4683" w14:textId="2EB42505" w:rsidR="00B2621F" w:rsidRPr="00576DC7" w:rsidRDefault="00B2621F" w:rsidP="00FF05ED">
      <w:pPr>
        <w:pStyle w:val="Heading4"/>
      </w:pPr>
      <w:bookmarkStart w:id="35" w:name="_Hlk165994462"/>
      <w:r w:rsidRPr="00576DC7">
        <w:t>Receipts policy decisions over the forward estimates</w:t>
      </w:r>
    </w:p>
    <w:bookmarkEnd w:id="35"/>
    <w:p w14:paraId="2413ACE0" w14:textId="45176CC2" w:rsidR="00B2621F" w:rsidRPr="00712254" w:rsidRDefault="00ED446A" w:rsidP="00BB6901">
      <w:r w:rsidRPr="00576DC7">
        <w:t xml:space="preserve">Total receipts in </w:t>
      </w:r>
      <w:r w:rsidR="00023EA1" w:rsidRPr="00576DC7">
        <w:t>2025</w:t>
      </w:r>
      <w:r w:rsidR="00F6693E" w:rsidRPr="00576DC7">
        <w:t>–</w:t>
      </w:r>
      <w:r w:rsidR="00023EA1" w:rsidRPr="00576DC7">
        <w:t>26</w:t>
      </w:r>
      <w:r w:rsidRPr="00576DC7">
        <w:t xml:space="preserve"> </w:t>
      </w:r>
      <w:proofErr w:type="gramStart"/>
      <w:r w:rsidRPr="00576DC7">
        <w:t>are</w:t>
      </w:r>
      <w:proofErr w:type="gramEnd"/>
      <w:r w:rsidR="00684ABE" w:rsidRPr="00576DC7">
        <w:t xml:space="preserve"> </w:t>
      </w:r>
      <w:r w:rsidR="007308B1" w:rsidRPr="00576DC7">
        <w:t>broadly</w:t>
      </w:r>
      <w:r w:rsidRPr="00576DC7">
        <w:t xml:space="preserve"> unchanged since MYEFO as a result of net policy decisions. Over the </w:t>
      </w:r>
      <w:r w:rsidR="00023EA1" w:rsidRPr="00576DC7">
        <w:t>five</w:t>
      </w:r>
      <w:r w:rsidR="00475338" w:rsidRPr="00576DC7">
        <w:t> </w:t>
      </w:r>
      <w:r w:rsidR="00023EA1" w:rsidRPr="00576DC7">
        <w:t>years to 2028–29</w:t>
      </w:r>
      <w:r w:rsidRPr="00576DC7">
        <w:t>, policy decisions have decreased total receipts by $</w:t>
      </w:r>
      <w:r w:rsidR="000F5889" w:rsidRPr="00576DC7">
        <w:t>14.</w:t>
      </w:r>
      <w:r w:rsidR="00D847C6" w:rsidRPr="00576DC7">
        <w:t>2</w:t>
      </w:r>
      <w:r w:rsidR="00165450" w:rsidRPr="00576DC7">
        <w:t> </w:t>
      </w:r>
      <w:r w:rsidRPr="00576DC7">
        <w:t xml:space="preserve">billion, which overwhelmingly reflects tax receipts measures. Key tax receipts measures include: </w:t>
      </w:r>
    </w:p>
    <w:p w14:paraId="78F12FCC" w14:textId="5B3B7A3B" w:rsidR="002743A3" w:rsidRPr="002743A3" w:rsidRDefault="002743A3" w:rsidP="00BB6901">
      <w:pPr>
        <w:pStyle w:val="Bullet"/>
      </w:pPr>
      <w:r w:rsidRPr="002743A3">
        <w:t>delivering new tax cuts to every Australian taxpayer from 1 July 2026 to provide further cost</w:t>
      </w:r>
      <w:r w:rsidR="00404C26">
        <w:noBreakHyphen/>
      </w:r>
      <w:r w:rsidRPr="002743A3">
        <w:t>of</w:t>
      </w:r>
      <w:r w:rsidR="00404C26">
        <w:noBreakHyphen/>
      </w:r>
      <w:r w:rsidRPr="002743A3">
        <w:t xml:space="preserve">living relief, return bracket creep and boost labour supply. This measure, which adds to the first round of tax cuts that commenced on 1 July 2024, is estimated to decrease receipts by $17.1 billion over the </w:t>
      </w:r>
      <w:r w:rsidR="008638B3">
        <w:t>five</w:t>
      </w:r>
      <w:r w:rsidRPr="002743A3">
        <w:t xml:space="preserve"> years from 2024</w:t>
      </w:r>
      <w:r w:rsidR="008F70C0" w:rsidRPr="00576DC7">
        <w:t>–</w:t>
      </w:r>
      <w:r w:rsidRPr="002743A3">
        <w:t>25.</w:t>
      </w:r>
    </w:p>
    <w:p w14:paraId="21DBD7DB" w14:textId="78FAB5A5" w:rsidR="00ED446A" w:rsidRDefault="00ED446A" w:rsidP="00ED446A">
      <w:pPr>
        <w:pStyle w:val="Bullet"/>
      </w:pPr>
      <w:r w:rsidRPr="00576DC7">
        <w:t>strengthening the fairness and sustainability of Australia</w:t>
      </w:r>
      <w:r w:rsidR="00404C26">
        <w:t>’</w:t>
      </w:r>
      <w:r w:rsidRPr="00576DC7">
        <w:t xml:space="preserve">s tax system by </w:t>
      </w:r>
      <w:r w:rsidR="00DB2C43" w:rsidRPr="00576DC7">
        <w:t xml:space="preserve">extending and </w:t>
      </w:r>
      <w:r w:rsidRPr="00576DC7">
        <w:t>expanding tax compliance activities.</w:t>
      </w:r>
      <w:r>
        <w:t xml:space="preserve"> </w:t>
      </w:r>
      <w:r w:rsidRPr="00576DC7">
        <w:t>This measure is estimated to increase receipts by $</w:t>
      </w:r>
      <w:r w:rsidR="00402BD0" w:rsidRPr="00576DC7">
        <w:t>3.2</w:t>
      </w:r>
      <w:r w:rsidRPr="00576DC7">
        <w:t> </w:t>
      </w:r>
      <w:r w:rsidR="00402BD0" w:rsidRPr="00576DC7">
        <w:t>b</w:t>
      </w:r>
      <w:r w:rsidRPr="00576DC7">
        <w:t>illion and increase payments by $</w:t>
      </w:r>
      <w:r w:rsidR="00402BD0" w:rsidRPr="00576DC7">
        <w:t>1.4</w:t>
      </w:r>
      <w:r w:rsidR="00165450" w:rsidRPr="00576DC7">
        <w:t> </w:t>
      </w:r>
      <w:r w:rsidR="00402BD0" w:rsidRPr="00576DC7">
        <w:t>b</w:t>
      </w:r>
      <w:r w:rsidRPr="00576DC7">
        <w:t>illion. The increase in payments includes $</w:t>
      </w:r>
      <w:r w:rsidR="00034285" w:rsidRPr="00576DC7">
        <w:t>999</w:t>
      </w:r>
      <w:r w:rsidR="00402BD0" w:rsidRPr="00576DC7">
        <w:t>.0</w:t>
      </w:r>
      <w:r w:rsidR="00475338" w:rsidRPr="00576DC7">
        <w:t> </w:t>
      </w:r>
      <w:r w:rsidRPr="00576DC7">
        <w:t>million in additional funding for the Australian Taxation Office (ATO), an increase in GST payments to the states and territories of $</w:t>
      </w:r>
      <w:r w:rsidR="008F2476" w:rsidRPr="00576DC7">
        <w:t xml:space="preserve">402.6 </w:t>
      </w:r>
      <w:r w:rsidRPr="00576DC7">
        <w:t>million and $</w:t>
      </w:r>
      <w:r w:rsidR="008F2476" w:rsidRPr="00576DC7">
        <w:t xml:space="preserve">31.0 </w:t>
      </w:r>
      <w:r w:rsidRPr="00576DC7">
        <w:t xml:space="preserve">million in unpaid superannuation to be disbursed to employees. </w:t>
      </w:r>
    </w:p>
    <w:p w14:paraId="0A1E6CF5" w14:textId="4EC20BE6" w:rsidR="00B2621F" w:rsidRDefault="00F87D3B" w:rsidP="00F87D3B">
      <w:pPr>
        <w:pStyle w:val="Bullet"/>
      </w:pPr>
      <w:r w:rsidRPr="00576DC7">
        <w:t>strengthening the sanctions available to the Tax Practitioners Board (TPB), modernising the registration framework for tax practitioners and providing funding to the TPB to undertake additional investigation and compliance activity targeting high</w:t>
      </w:r>
      <w:r w:rsidR="00404C26">
        <w:noBreakHyphen/>
      </w:r>
      <w:r w:rsidRPr="00576DC7">
        <w:t>risk tax practitioners.</w:t>
      </w:r>
      <w:r w:rsidRPr="006C4EA6">
        <w:t xml:space="preserve"> </w:t>
      </w:r>
      <w:r w:rsidR="00ED446A" w:rsidRPr="00576DC7">
        <w:t>This measure is estimated to increase receipts by $</w:t>
      </w:r>
      <w:r w:rsidR="003E3728" w:rsidRPr="00576DC7">
        <w:t>47.0</w:t>
      </w:r>
      <w:r w:rsidR="00ED446A" w:rsidRPr="00576DC7">
        <w:t> million and increase payments by $</w:t>
      </w:r>
      <w:r w:rsidR="003E3728" w:rsidRPr="00576DC7">
        <w:t>27.4</w:t>
      </w:r>
      <w:r w:rsidR="00165450" w:rsidRPr="00576DC7">
        <w:t> </w:t>
      </w:r>
      <w:r w:rsidR="00ED446A" w:rsidRPr="00576DC7">
        <w:t xml:space="preserve">million over the </w:t>
      </w:r>
      <w:r w:rsidR="000142A4" w:rsidRPr="00576DC7">
        <w:t>five</w:t>
      </w:r>
      <w:r w:rsidR="00475338" w:rsidRPr="00576DC7">
        <w:t> </w:t>
      </w:r>
      <w:r w:rsidR="00ED446A" w:rsidRPr="00576DC7">
        <w:t>years from 2024–25.</w:t>
      </w:r>
      <w:r w:rsidR="00C17B7B" w:rsidRPr="00576DC7">
        <w:t xml:space="preserve"> </w:t>
      </w:r>
    </w:p>
    <w:p w14:paraId="4C46A4AE" w14:textId="5DF518B5" w:rsidR="00F87D3B" w:rsidRDefault="00F87D3B" w:rsidP="00F87D3B">
      <w:pPr>
        <w:pStyle w:val="Bullet"/>
      </w:pPr>
      <w:r w:rsidRPr="00576DC7">
        <w:t>pausing indexation on draught beer excise and excise</w:t>
      </w:r>
      <w:r w:rsidR="00404C26">
        <w:noBreakHyphen/>
      </w:r>
      <w:r w:rsidRPr="00576DC7">
        <w:t xml:space="preserve">equivalent customs duty rates for a </w:t>
      </w:r>
      <w:r w:rsidR="004B4023" w:rsidRPr="00576DC7">
        <w:t>two</w:t>
      </w:r>
      <w:r w:rsidR="00404C26">
        <w:noBreakHyphen/>
      </w:r>
      <w:r w:rsidRPr="00576DC7">
        <w:t xml:space="preserve">year period, from August 2025, and increasing support available under the existing </w:t>
      </w:r>
      <w:r w:rsidRPr="00576DC7">
        <w:rPr>
          <w:rStyle w:val="Emphasis"/>
        </w:rPr>
        <w:t>Excise remission scheme for manufacturers of alcoholic beverages</w:t>
      </w:r>
      <w:r w:rsidRPr="00576DC7">
        <w:t xml:space="preserve"> and </w:t>
      </w:r>
      <w:r w:rsidRPr="00576DC7">
        <w:rPr>
          <w:rStyle w:val="Emphasis"/>
        </w:rPr>
        <w:t xml:space="preserve">Wine Equalisation Tax Producer rebate </w:t>
      </w:r>
      <w:r w:rsidRPr="00576DC7">
        <w:t>by increasing the maximum remission or rebate cap to $400,000 per financial year, from 1 July 2026.</w:t>
      </w:r>
      <w:r>
        <w:t xml:space="preserve"> </w:t>
      </w:r>
      <w:r w:rsidRPr="00576DC7">
        <w:t xml:space="preserve">This measure is estimated to decrease receipts by </w:t>
      </w:r>
      <w:r w:rsidR="00ED446A" w:rsidRPr="00576DC7">
        <w:t>$</w:t>
      </w:r>
      <w:r w:rsidR="006F510A" w:rsidRPr="00576DC7">
        <w:t>165.0</w:t>
      </w:r>
      <w:r w:rsidR="00ED446A" w:rsidRPr="00576DC7">
        <w:t xml:space="preserve"> million over the </w:t>
      </w:r>
      <w:r w:rsidR="007E209F" w:rsidRPr="00576DC7">
        <w:t>five</w:t>
      </w:r>
      <w:r w:rsidR="00E3552D" w:rsidRPr="00576DC7">
        <w:t> </w:t>
      </w:r>
      <w:r w:rsidR="00ED446A" w:rsidRPr="00576DC7">
        <w:t>years from 2024–25.</w:t>
      </w:r>
    </w:p>
    <w:p w14:paraId="4E694EF4" w14:textId="50D1C63F" w:rsidR="00E919DA" w:rsidRDefault="00ED446A" w:rsidP="00F87D3B">
      <w:pPr>
        <w:pStyle w:val="Bullet"/>
      </w:pPr>
      <w:r w:rsidRPr="00576DC7">
        <w:t xml:space="preserve">banning foreign purchases of established dwellings for a </w:t>
      </w:r>
      <w:r w:rsidR="00056E23" w:rsidRPr="00576DC7">
        <w:t>two</w:t>
      </w:r>
      <w:r w:rsidR="00404C26">
        <w:noBreakHyphen/>
      </w:r>
      <w:r w:rsidRPr="00576DC7">
        <w:t>year period from 1 April 2025, subject to limited exceptions, and implementing an audit program to target land banking by foreign buyers</w:t>
      </w:r>
      <w:r w:rsidR="00CA52B1" w:rsidRPr="00576DC7">
        <w:t>. This measure</w:t>
      </w:r>
      <w:r w:rsidR="002B7AE0" w:rsidRPr="00576DC7">
        <w:t xml:space="preserve"> </w:t>
      </w:r>
      <w:r w:rsidR="00916975" w:rsidRPr="00576DC7">
        <w:t>will</w:t>
      </w:r>
      <w:r w:rsidR="002B7AE0" w:rsidRPr="00576DC7">
        <w:t xml:space="preserve"> increase payments by </w:t>
      </w:r>
      <w:r w:rsidR="000F55C5" w:rsidRPr="00576DC7">
        <w:t>$14.6 million</w:t>
      </w:r>
      <w:r w:rsidR="00B23ED6" w:rsidRPr="00576DC7">
        <w:t xml:space="preserve"> </w:t>
      </w:r>
      <w:r w:rsidR="007072AD" w:rsidRPr="00576DC7">
        <w:t xml:space="preserve">in additional funding for the Australian Taxation Office and Treasury </w:t>
      </w:r>
      <w:r w:rsidR="00A2446B" w:rsidRPr="00576DC7">
        <w:t xml:space="preserve">over the </w:t>
      </w:r>
      <w:r w:rsidR="000142A4" w:rsidRPr="00576DC7">
        <w:t>four</w:t>
      </w:r>
      <w:r w:rsidR="00786BB0" w:rsidRPr="00576DC7">
        <w:t xml:space="preserve"> years from 2025</w:t>
      </w:r>
      <w:r w:rsidR="008359B5" w:rsidRPr="00576DC7">
        <w:t>–</w:t>
      </w:r>
      <w:r w:rsidR="00786BB0" w:rsidRPr="00576DC7">
        <w:t>26</w:t>
      </w:r>
      <w:r w:rsidR="00B23ED6" w:rsidRPr="00576DC7">
        <w:t xml:space="preserve"> and</w:t>
      </w:r>
      <w:r>
        <w:t xml:space="preserve"> </w:t>
      </w:r>
      <w:r w:rsidRPr="00576DC7">
        <w:t>decreas</w:t>
      </w:r>
      <w:r w:rsidR="00B23ED6" w:rsidRPr="00576DC7">
        <w:t>e</w:t>
      </w:r>
      <w:r w:rsidRPr="00576DC7">
        <w:t xml:space="preserve"> receipts by $</w:t>
      </w:r>
      <w:r w:rsidR="00C8163F" w:rsidRPr="00576DC7">
        <w:t>90.0</w:t>
      </w:r>
      <w:r w:rsidRPr="00576DC7">
        <w:t xml:space="preserve"> million over the </w:t>
      </w:r>
      <w:r w:rsidR="000142A4" w:rsidRPr="00576DC7">
        <w:t>five</w:t>
      </w:r>
      <w:r w:rsidR="00E3552D" w:rsidRPr="00576DC7">
        <w:t> </w:t>
      </w:r>
      <w:r w:rsidRPr="00576DC7">
        <w:t>years from 2024–</w:t>
      </w:r>
      <w:r w:rsidR="00E01A9E" w:rsidRPr="00576DC7">
        <w:rPr>
          <w:w w:val="1"/>
        </w:rPr>
        <w:t> </w:t>
      </w:r>
      <w:r w:rsidRPr="00576DC7">
        <w:t xml:space="preserve">25 due to forgone revenue from foreign investment application fees. </w:t>
      </w:r>
    </w:p>
    <w:p w14:paraId="2F9FC6DD" w14:textId="22B8F825" w:rsidR="00265D3F" w:rsidRPr="00265D3F" w:rsidRDefault="00265D3F" w:rsidP="00265D3F">
      <w:pPr>
        <w:pStyle w:val="Bullet"/>
      </w:pPr>
      <w:r w:rsidRPr="00265D3F">
        <w:lastRenderedPageBreak/>
        <w:t>increasing the Medicare levy low</w:t>
      </w:r>
      <w:r w:rsidR="00404C26">
        <w:noBreakHyphen/>
      </w:r>
      <w:r w:rsidRPr="00265D3F">
        <w:t>income thresholds by 4.7 per cent for singles, families, and seniors and pensioners from 1 July 2024. This means more than one million Australians on lower incomes will continue to be exempt from paying the Medicare levy or pay a reduced levy rate. This measure is estimated to decrease receipts by $648.0</w:t>
      </w:r>
      <w:r>
        <w:t> </w:t>
      </w:r>
      <w:r w:rsidRPr="00265D3F">
        <w:t>million over the five years from 2024</w:t>
      </w:r>
      <w:r w:rsidRPr="00576DC7">
        <w:t>–</w:t>
      </w:r>
      <w:r w:rsidRPr="00265D3F">
        <w:t xml:space="preserve">25. </w:t>
      </w:r>
    </w:p>
    <w:p w14:paraId="1AD94382" w14:textId="04320031" w:rsidR="001333A7" w:rsidRPr="00CC7D92" w:rsidRDefault="00ED446A" w:rsidP="00ED446A">
      <w:r w:rsidRPr="00576DC7">
        <w:rPr>
          <w:rFonts w:eastAsia="Calibri" w:cs="Calibri"/>
          <w:lang w:val="en-US"/>
        </w:rPr>
        <w:t>Since</w:t>
      </w:r>
      <w:r w:rsidR="00707EC6" w:rsidRPr="00576DC7">
        <w:rPr>
          <w:rFonts w:eastAsia="Calibri" w:cs="Calibri"/>
          <w:lang w:val="en-US"/>
        </w:rPr>
        <w:t xml:space="preserve"> </w:t>
      </w:r>
      <w:r w:rsidRPr="00576DC7">
        <w:rPr>
          <w:rFonts w:cs="Calibri"/>
        </w:rPr>
        <w:t>MYEFO</w:t>
      </w:r>
      <w:r w:rsidRPr="00576DC7">
        <w:rPr>
          <w:rFonts w:eastAsia="Calibri" w:cs="Calibri"/>
          <w:lang w:val="en-US"/>
        </w:rPr>
        <w:t xml:space="preserve">, policy decisions are expected to </w:t>
      </w:r>
      <w:r w:rsidR="001333A7" w:rsidRPr="00576DC7">
        <w:rPr>
          <w:rFonts w:eastAsia="Calibri" w:cs="Calibri"/>
          <w:lang w:val="en-US"/>
        </w:rPr>
        <w:t>increase</w:t>
      </w:r>
      <w:r w:rsidRPr="00576DC7">
        <w:rPr>
          <w:rFonts w:eastAsia="Calibri" w:cs="Calibri"/>
          <w:lang w:val="en-US"/>
        </w:rPr>
        <w:t xml:space="preserve"> non</w:t>
      </w:r>
      <w:r w:rsidR="00404C26">
        <w:rPr>
          <w:rFonts w:eastAsia="Calibri" w:cs="Calibri"/>
          <w:lang w:val="en-US"/>
        </w:rPr>
        <w:noBreakHyphen/>
      </w:r>
      <w:r w:rsidRPr="00576DC7">
        <w:rPr>
          <w:rFonts w:eastAsia="Calibri" w:cs="Calibri"/>
          <w:lang w:val="en-US"/>
        </w:rPr>
        <w:t>tax receipts</w:t>
      </w:r>
      <w:r w:rsidR="001333A7" w:rsidRPr="00576DC7">
        <w:rPr>
          <w:rFonts w:eastAsia="Calibri" w:cs="Calibri"/>
          <w:lang w:val="en-US"/>
        </w:rPr>
        <w:t xml:space="preserve"> by </w:t>
      </w:r>
      <w:r w:rsidR="00707EC6" w:rsidRPr="00576DC7">
        <w:rPr>
          <w:rFonts w:eastAsia="Calibri" w:cs="Calibri"/>
          <w:lang w:val="en-US"/>
        </w:rPr>
        <w:t xml:space="preserve">$0.2 </w:t>
      </w:r>
      <w:r w:rsidR="001333A7" w:rsidRPr="00576DC7">
        <w:rPr>
          <w:rFonts w:eastAsia="Calibri" w:cs="Calibri"/>
          <w:lang w:val="en-US"/>
        </w:rPr>
        <w:t>billion</w:t>
      </w:r>
      <w:r w:rsidRPr="00576DC7">
        <w:rPr>
          <w:rFonts w:eastAsia="Calibri" w:cs="Calibri"/>
          <w:lang w:val="en-US"/>
        </w:rPr>
        <w:t xml:space="preserve"> in </w:t>
      </w:r>
      <w:r w:rsidR="000E19F9" w:rsidRPr="00576DC7">
        <w:rPr>
          <w:rFonts w:eastAsia="Calibri" w:cs="Calibri"/>
          <w:lang w:val="en-US"/>
        </w:rPr>
        <w:t>202</w:t>
      </w:r>
      <w:r w:rsidR="002D51B7" w:rsidRPr="00576DC7">
        <w:rPr>
          <w:rFonts w:eastAsia="Calibri" w:cs="Calibri"/>
          <w:lang w:val="en-US"/>
        </w:rPr>
        <w:t>5–26</w:t>
      </w:r>
      <w:r w:rsidR="00707EC6" w:rsidRPr="00576DC7">
        <w:rPr>
          <w:rFonts w:eastAsia="Calibri" w:cs="Calibri"/>
          <w:lang w:val="en-US"/>
        </w:rPr>
        <w:t>,</w:t>
      </w:r>
      <w:r w:rsidRPr="00576DC7">
        <w:rPr>
          <w:rFonts w:eastAsia="Calibri" w:cs="Calibri"/>
          <w:lang w:val="en-US"/>
        </w:rPr>
        <w:t xml:space="preserve"> and by </w:t>
      </w:r>
      <w:r w:rsidR="00707EC6" w:rsidRPr="00576DC7">
        <w:rPr>
          <w:rFonts w:eastAsia="Calibri" w:cs="Calibri"/>
          <w:lang w:val="en-US"/>
        </w:rPr>
        <w:t xml:space="preserve">$0.9 </w:t>
      </w:r>
      <w:r w:rsidRPr="00576DC7">
        <w:rPr>
          <w:rFonts w:eastAsia="Calibri" w:cs="Calibri"/>
          <w:lang w:val="en-US"/>
        </w:rPr>
        <w:t xml:space="preserve">billion over the </w:t>
      </w:r>
      <w:r w:rsidR="002D51B7" w:rsidRPr="00576DC7">
        <w:rPr>
          <w:rFonts w:eastAsia="Calibri" w:cs="Calibri"/>
          <w:lang w:val="en-US"/>
        </w:rPr>
        <w:t>five</w:t>
      </w:r>
      <w:r w:rsidR="00707EC6" w:rsidRPr="00576DC7">
        <w:rPr>
          <w:rFonts w:eastAsia="Calibri" w:cs="Calibri"/>
          <w:lang w:val="en-US"/>
        </w:rPr>
        <w:t xml:space="preserve"> </w:t>
      </w:r>
      <w:r w:rsidR="002D51B7" w:rsidRPr="00576DC7">
        <w:rPr>
          <w:rFonts w:eastAsia="Calibri" w:cs="Calibri"/>
          <w:lang w:val="en-US"/>
        </w:rPr>
        <w:t>years to 2028–29.</w:t>
      </w:r>
      <w:r w:rsidRPr="00576DC7">
        <w:rPr>
          <w:rFonts w:eastAsia="Calibri" w:cs="Calibri"/>
          <w:lang w:val="en-US"/>
        </w:rPr>
        <w:t xml:space="preserve"> This increase is largely driven by the standard non</w:t>
      </w:r>
      <w:r w:rsidR="00404C26">
        <w:rPr>
          <w:rFonts w:eastAsia="Calibri" w:cs="Calibri"/>
          <w:lang w:val="en-US"/>
        </w:rPr>
        <w:noBreakHyphen/>
      </w:r>
      <w:r w:rsidRPr="00576DC7">
        <w:rPr>
          <w:rFonts w:eastAsia="Calibri" w:cs="Calibri"/>
          <w:lang w:val="en-US"/>
        </w:rPr>
        <w:t>tax revenue impacts of Pharmaceutical Benefits Scheme listings</w:t>
      </w:r>
      <w:r w:rsidR="00707EC6" w:rsidRPr="00576DC7">
        <w:rPr>
          <w:rFonts w:eastAsia="Calibri" w:cs="Calibri"/>
          <w:lang w:val="en-US"/>
        </w:rPr>
        <w:t>,</w:t>
      </w:r>
      <w:r w:rsidRPr="00576DC7">
        <w:rPr>
          <w:rFonts w:eastAsia="Calibri" w:cs="Calibri"/>
          <w:lang w:val="en-US"/>
        </w:rPr>
        <w:t xml:space="preserve"> which partially offset expenditure impacts of these listings</w:t>
      </w:r>
      <w:r w:rsidR="00B30960" w:rsidRPr="00576DC7">
        <w:t>.</w:t>
      </w:r>
      <w:r w:rsidR="00D02044" w:rsidRPr="00576DC7">
        <w:t xml:space="preserve"> </w:t>
      </w:r>
    </w:p>
    <w:p w14:paraId="6EABFD6F" w14:textId="1809EB8D" w:rsidR="00B2621F" w:rsidRPr="008D283E" w:rsidRDefault="00B2621F" w:rsidP="00B2621F">
      <w:r w:rsidRPr="00576DC7">
        <w:t xml:space="preserve">Further details of Government policy decisions are provided in Budget Paper No. 2, </w:t>
      </w:r>
      <w:r w:rsidRPr="00576DC7">
        <w:rPr>
          <w:rStyle w:val="Emphasis"/>
        </w:rPr>
        <w:t>Budget Measures 202</w:t>
      </w:r>
      <w:r w:rsidR="00C11A46" w:rsidRPr="00576DC7">
        <w:rPr>
          <w:rStyle w:val="Emphasis"/>
        </w:rPr>
        <w:t>5</w:t>
      </w:r>
      <w:r w:rsidRPr="00576DC7">
        <w:rPr>
          <w:rStyle w:val="Emphasis"/>
        </w:rPr>
        <w:t>–2</w:t>
      </w:r>
      <w:r w:rsidR="00C11A46" w:rsidRPr="00576DC7">
        <w:rPr>
          <w:rStyle w:val="Emphasis"/>
        </w:rPr>
        <w:t>6</w:t>
      </w:r>
      <w:r w:rsidRPr="00576DC7">
        <w:rPr>
          <w:rStyle w:val="Emphasis"/>
        </w:rPr>
        <w:t>.</w:t>
      </w:r>
      <w:r w:rsidRPr="00576DC7">
        <w:t xml:space="preserve"> </w:t>
      </w:r>
    </w:p>
    <w:p w14:paraId="57266D2E" w14:textId="0EDB23FE" w:rsidR="00B2621F" w:rsidRPr="00576DC7" w:rsidRDefault="00B2621F" w:rsidP="00B2621F">
      <w:pPr>
        <w:pStyle w:val="Heading4"/>
        <w:spacing w:after="240"/>
      </w:pPr>
      <w:bookmarkStart w:id="36" w:name="_Hlk134019357"/>
      <w:r w:rsidRPr="00576DC7">
        <w:t>Receipts parameter and other variations over the forward estimates</w:t>
      </w:r>
    </w:p>
    <w:bookmarkEnd w:id="36"/>
    <w:p w14:paraId="3E82CEAE" w14:textId="1B89C1C3" w:rsidR="00C70A80" w:rsidRPr="00712254" w:rsidRDefault="00B2621F" w:rsidP="00B2621F">
      <w:r w:rsidRPr="00576DC7">
        <w:t>Parameter and other variations have increased total receipts since MYEFO by $</w:t>
      </w:r>
      <w:r w:rsidR="008C7FE9" w:rsidRPr="00576DC7">
        <w:t>7</w:t>
      </w:r>
      <w:r w:rsidR="00343F6E" w:rsidRPr="00576DC7">
        <w:t>.</w:t>
      </w:r>
      <w:r w:rsidR="008C7FE9" w:rsidRPr="00576DC7">
        <w:t>0</w:t>
      </w:r>
      <w:r w:rsidRPr="00576DC7">
        <w:t> billion in 202</w:t>
      </w:r>
      <w:r w:rsidR="00343F6E" w:rsidRPr="00576DC7">
        <w:t>5</w:t>
      </w:r>
      <w:r w:rsidRPr="00576DC7">
        <w:t>–2</w:t>
      </w:r>
      <w:r w:rsidR="00343F6E" w:rsidRPr="00576DC7">
        <w:t>6</w:t>
      </w:r>
      <w:r w:rsidRPr="00576DC7">
        <w:t xml:space="preserve"> and by $</w:t>
      </w:r>
      <w:r w:rsidR="00E50A07" w:rsidRPr="00576DC7">
        <w:t>8.4</w:t>
      </w:r>
      <w:r w:rsidRPr="00576DC7">
        <w:t> billion over five years to 202</w:t>
      </w:r>
      <w:r w:rsidR="00343F6E" w:rsidRPr="00576DC7">
        <w:t>8</w:t>
      </w:r>
      <w:r w:rsidRPr="00576DC7">
        <w:t>–</w:t>
      </w:r>
      <w:r w:rsidR="00934665" w:rsidRPr="00576DC7">
        <w:rPr>
          <w:w w:val="1"/>
        </w:rPr>
        <w:t> </w:t>
      </w:r>
      <w:r w:rsidRPr="00576DC7">
        <w:t>2</w:t>
      </w:r>
      <w:r w:rsidR="00343F6E" w:rsidRPr="00576DC7">
        <w:t>9</w:t>
      </w:r>
      <w:r w:rsidRPr="00576DC7">
        <w:t xml:space="preserve"> (Table 3.</w:t>
      </w:r>
      <w:r w:rsidR="00551E2A" w:rsidRPr="00576DC7">
        <w:t>2</w:t>
      </w:r>
      <w:r w:rsidRPr="00576DC7">
        <w:t>).</w:t>
      </w:r>
    </w:p>
    <w:p w14:paraId="7F73FEE4" w14:textId="6B25931D" w:rsidR="00B2621F" w:rsidRPr="00576DC7" w:rsidRDefault="00B2621F" w:rsidP="00B2621F">
      <w:r w:rsidRPr="00576DC7">
        <w:t xml:space="preserve">The </w:t>
      </w:r>
      <w:r w:rsidR="0086504B" w:rsidRPr="00576DC7">
        <w:t>change</w:t>
      </w:r>
      <w:r w:rsidRPr="00576DC7">
        <w:t xml:space="preserve"> in total receipts due to parameter and other variations </w:t>
      </w:r>
      <w:r w:rsidR="001F67C7" w:rsidRPr="00576DC7">
        <w:t>since MYEFO</w:t>
      </w:r>
      <w:r w:rsidRPr="00576DC7">
        <w:t xml:space="preserve"> primarily reflects tax receipts, which have been revised up by $</w:t>
      </w:r>
      <w:r w:rsidR="003C636B" w:rsidRPr="00576DC7">
        <w:t>6.</w:t>
      </w:r>
      <w:r w:rsidR="002F3701" w:rsidRPr="00576DC7">
        <w:t>7</w:t>
      </w:r>
      <w:r w:rsidRPr="00576DC7">
        <w:t> billion in 202</w:t>
      </w:r>
      <w:r w:rsidR="00343F6E" w:rsidRPr="00576DC7">
        <w:t>5</w:t>
      </w:r>
      <w:r w:rsidRPr="00576DC7">
        <w:t>–2</w:t>
      </w:r>
      <w:r w:rsidR="00343F6E" w:rsidRPr="00576DC7">
        <w:t>6</w:t>
      </w:r>
      <w:r w:rsidRPr="00576DC7">
        <w:t xml:space="preserve"> and </w:t>
      </w:r>
      <w:r w:rsidR="00AF2B39" w:rsidRPr="00576DC7">
        <w:t>up</w:t>
      </w:r>
      <w:r w:rsidRPr="00576DC7">
        <w:t xml:space="preserve"> by $</w:t>
      </w:r>
      <w:r w:rsidR="00D86E27" w:rsidRPr="00576DC7">
        <w:t>8.5</w:t>
      </w:r>
      <w:r w:rsidRPr="00576DC7">
        <w:t> billion over five</w:t>
      </w:r>
      <w:r w:rsidR="00D05EE6" w:rsidRPr="00576DC7">
        <w:t> </w:t>
      </w:r>
      <w:r w:rsidRPr="00576DC7">
        <w:t>years to 202</w:t>
      </w:r>
      <w:r w:rsidR="00343F6E" w:rsidRPr="00576DC7">
        <w:t>8</w:t>
      </w:r>
      <w:r w:rsidRPr="00576DC7">
        <w:t>–2</w:t>
      </w:r>
      <w:r w:rsidR="00343F6E" w:rsidRPr="00576DC7">
        <w:t>9</w:t>
      </w:r>
      <w:r w:rsidRPr="00576DC7">
        <w:t xml:space="preserve">. </w:t>
      </w:r>
    </w:p>
    <w:p w14:paraId="50BF6E7F" w14:textId="0A4A9AE9" w:rsidR="0036567A" w:rsidRPr="00B35D52" w:rsidRDefault="00B541B2" w:rsidP="0036567A">
      <w:r w:rsidRPr="00576DC7">
        <w:t>E</w:t>
      </w:r>
      <w:r w:rsidR="00C84F2B" w:rsidRPr="00576DC7">
        <w:t>xcluding GST and policy decisions</w:t>
      </w:r>
      <w:r w:rsidR="00752173" w:rsidRPr="00576DC7">
        <w:t xml:space="preserve">, </w:t>
      </w:r>
      <w:r w:rsidRPr="00576DC7">
        <w:t xml:space="preserve">tax receipts </w:t>
      </w:r>
      <w:r w:rsidR="009C6ACD" w:rsidRPr="00576DC7">
        <w:t>have been revised up</w:t>
      </w:r>
      <w:r w:rsidR="00752173" w:rsidRPr="00576DC7">
        <w:t xml:space="preserve"> </w:t>
      </w:r>
      <w:r w:rsidR="0036567A" w:rsidRPr="00576DC7">
        <w:t>by $</w:t>
      </w:r>
      <w:r w:rsidR="00B361AC" w:rsidRPr="00576DC7">
        <w:t>6.7</w:t>
      </w:r>
      <w:r w:rsidR="0036567A" w:rsidRPr="00576DC7">
        <w:t> billion in 2025–26 and $</w:t>
      </w:r>
      <w:r w:rsidR="00B361AC" w:rsidRPr="00576DC7">
        <w:t>9.4</w:t>
      </w:r>
      <w:r w:rsidR="0036567A" w:rsidRPr="00576DC7">
        <w:t xml:space="preserve"> billion over the </w:t>
      </w:r>
      <w:r w:rsidR="004757B0" w:rsidRPr="004757B0">
        <w:t>five years to 2028–29</w:t>
      </w:r>
      <w:r w:rsidR="0036567A" w:rsidRPr="00576DC7">
        <w:t xml:space="preserve">. </w:t>
      </w:r>
      <w:r w:rsidR="001F6860" w:rsidRPr="00576DC7">
        <w:t>H</w:t>
      </w:r>
      <w:r w:rsidR="0036567A" w:rsidRPr="00576DC7">
        <w:t xml:space="preserve">igher employment and continuing strength in the labour market is </w:t>
      </w:r>
      <w:r w:rsidR="00B361AC" w:rsidRPr="00576DC7">
        <w:t>the main</w:t>
      </w:r>
      <w:r w:rsidR="0036567A" w:rsidRPr="00576DC7">
        <w:t xml:space="preserve"> driver of </w:t>
      </w:r>
      <w:r w:rsidR="00B361AC" w:rsidRPr="00576DC7">
        <w:t xml:space="preserve">the </w:t>
      </w:r>
      <w:r w:rsidR="0036567A" w:rsidRPr="00576DC7">
        <w:t>upgrade since MYEFO. Th</w:t>
      </w:r>
      <w:r w:rsidR="00A5380F" w:rsidRPr="00576DC7">
        <w:t>is</w:t>
      </w:r>
      <w:r w:rsidR="0036567A" w:rsidRPr="00576DC7">
        <w:t xml:space="preserve"> is supported in the near term by temporary strength in mining sector profits, leading to higher company tax receipts.</w:t>
      </w:r>
      <w:r w:rsidR="00845836" w:rsidRPr="00576DC7">
        <w:t xml:space="preserve"> </w:t>
      </w:r>
      <w:r w:rsidR="00FE2B13" w:rsidRPr="00576DC7">
        <w:t>This is</w:t>
      </w:r>
      <w:r w:rsidR="0036567A" w:rsidRPr="00576DC7">
        <w:t xml:space="preserve"> partly offset by a downgraded outlook for excisable tobacco volumes across the forward estimates.</w:t>
      </w:r>
      <w:r w:rsidR="008D21B9" w:rsidRPr="00576DC7">
        <w:t xml:space="preserve"> </w:t>
      </w:r>
    </w:p>
    <w:p w14:paraId="20065F0D" w14:textId="701FAD5C" w:rsidR="00B2621F" w:rsidRPr="00712254" w:rsidRDefault="00B2621F" w:rsidP="00B2621F">
      <w:r w:rsidRPr="00576DC7">
        <w:rPr>
          <w:rFonts w:eastAsia="Calibri" w:cs="Calibri"/>
          <w:lang w:val="en-US"/>
        </w:rPr>
        <w:t>Since</w:t>
      </w:r>
      <w:r w:rsidR="008D21B9" w:rsidRPr="00576DC7">
        <w:rPr>
          <w:rFonts w:eastAsia="Calibri" w:cs="Calibri"/>
          <w:lang w:val="en-US"/>
        </w:rPr>
        <w:t xml:space="preserve"> </w:t>
      </w:r>
      <w:r w:rsidRPr="00576DC7">
        <w:rPr>
          <w:rFonts w:cs="Calibri"/>
        </w:rPr>
        <w:t>MYEFO</w:t>
      </w:r>
      <w:r w:rsidRPr="00576DC7">
        <w:rPr>
          <w:rFonts w:eastAsia="Calibri" w:cs="Calibri"/>
          <w:lang w:val="en-US"/>
        </w:rPr>
        <w:t xml:space="preserve">, parameter and other variations are expected to </w:t>
      </w:r>
      <w:r w:rsidR="008D21B9" w:rsidRPr="00576DC7">
        <w:rPr>
          <w:rFonts w:eastAsia="Calibri" w:cs="Calibri"/>
          <w:lang w:val="en-US"/>
        </w:rPr>
        <w:t>increase</w:t>
      </w:r>
      <w:r w:rsidRPr="00576DC7">
        <w:rPr>
          <w:rFonts w:eastAsia="Calibri" w:cs="Calibri"/>
          <w:lang w:val="en-US"/>
        </w:rPr>
        <w:t xml:space="preserve"> non</w:t>
      </w:r>
      <w:r w:rsidR="00404C26">
        <w:rPr>
          <w:rFonts w:eastAsia="Calibri" w:cs="Calibri"/>
          <w:lang w:val="en-US"/>
        </w:rPr>
        <w:noBreakHyphen/>
      </w:r>
      <w:r w:rsidRPr="00576DC7">
        <w:rPr>
          <w:rFonts w:eastAsia="Calibri" w:cs="Calibri"/>
          <w:lang w:val="en-US"/>
        </w:rPr>
        <w:t xml:space="preserve">tax receipts by </w:t>
      </w:r>
      <w:r w:rsidR="008D21B9" w:rsidRPr="00576DC7">
        <w:rPr>
          <w:rFonts w:eastAsia="Calibri" w:cs="Calibri"/>
          <w:lang w:val="en-US"/>
        </w:rPr>
        <w:t xml:space="preserve">$0.3 </w:t>
      </w:r>
      <w:r w:rsidRPr="00576DC7">
        <w:rPr>
          <w:rFonts w:eastAsia="Calibri" w:cs="Calibri"/>
          <w:lang w:val="en-US"/>
        </w:rPr>
        <w:t>billion in 202</w:t>
      </w:r>
      <w:r w:rsidR="00343F6E" w:rsidRPr="00576DC7">
        <w:rPr>
          <w:rFonts w:eastAsia="Calibri" w:cs="Calibri"/>
          <w:lang w:val="en-US"/>
        </w:rPr>
        <w:t>5</w:t>
      </w:r>
      <w:r w:rsidRPr="00576DC7">
        <w:rPr>
          <w:rFonts w:eastAsia="Calibri" w:cs="Calibri"/>
          <w:lang w:val="en-US"/>
        </w:rPr>
        <w:t>–2</w:t>
      </w:r>
      <w:r w:rsidR="00343F6E" w:rsidRPr="00576DC7">
        <w:rPr>
          <w:rFonts w:eastAsia="Calibri" w:cs="Calibri"/>
          <w:lang w:val="en-US"/>
        </w:rPr>
        <w:t>6</w:t>
      </w:r>
      <w:r w:rsidRPr="00576DC7">
        <w:rPr>
          <w:rFonts w:eastAsia="Calibri" w:cs="Calibri"/>
          <w:lang w:val="en-US"/>
        </w:rPr>
        <w:t xml:space="preserve"> and by </w:t>
      </w:r>
      <w:r w:rsidR="008D21B9" w:rsidRPr="00576DC7">
        <w:rPr>
          <w:rFonts w:eastAsia="Calibri" w:cs="Calibri"/>
          <w:lang w:val="en-US"/>
        </w:rPr>
        <w:t xml:space="preserve">$1.4 </w:t>
      </w:r>
      <w:r w:rsidRPr="00576DC7">
        <w:rPr>
          <w:rFonts w:eastAsia="Calibri" w:cs="Calibri"/>
          <w:lang w:val="en-US"/>
        </w:rPr>
        <w:t>billion over the five</w:t>
      </w:r>
      <w:r w:rsidR="008D21B9" w:rsidRPr="00576DC7">
        <w:rPr>
          <w:rFonts w:eastAsia="Calibri" w:cs="Calibri"/>
          <w:lang w:val="en-US"/>
        </w:rPr>
        <w:t xml:space="preserve"> </w:t>
      </w:r>
      <w:r w:rsidRPr="00576DC7">
        <w:rPr>
          <w:rFonts w:eastAsia="Calibri" w:cs="Calibri"/>
          <w:lang w:val="en-US"/>
        </w:rPr>
        <w:t>years to 202</w:t>
      </w:r>
      <w:r w:rsidR="00343F6E" w:rsidRPr="00576DC7">
        <w:rPr>
          <w:rFonts w:eastAsia="Calibri" w:cs="Calibri"/>
          <w:lang w:val="en-US"/>
        </w:rPr>
        <w:t>8</w:t>
      </w:r>
      <w:r w:rsidRPr="00576DC7">
        <w:rPr>
          <w:rFonts w:eastAsia="Calibri" w:cs="Calibri"/>
          <w:lang w:val="en-US"/>
        </w:rPr>
        <w:t>–2</w:t>
      </w:r>
      <w:r w:rsidR="00343F6E" w:rsidRPr="00576DC7">
        <w:rPr>
          <w:rFonts w:eastAsia="Calibri" w:cs="Calibri"/>
          <w:lang w:val="en-US"/>
        </w:rPr>
        <w:t>9</w:t>
      </w:r>
      <w:r w:rsidRPr="00576DC7">
        <w:rPr>
          <w:rFonts w:eastAsia="Calibri" w:cs="Calibri"/>
          <w:lang w:val="en-US"/>
        </w:rPr>
        <w:t xml:space="preserve">. </w:t>
      </w:r>
      <w:r w:rsidR="00AD592E" w:rsidRPr="00576DC7">
        <w:rPr>
          <w:rFonts w:eastAsia="Calibri" w:cs="Calibri"/>
          <w:lang w:val="en-US"/>
        </w:rPr>
        <w:t xml:space="preserve">This increase is </w:t>
      </w:r>
      <w:r w:rsidR="00AD592E" w:rsidRPr="00576DC7">
        <w:rPr>
          <w:rFonts w:eastAsia="Calibri"/>
          <w:lang w:val="en-US"/>
        </w:rPr>
        <w:t xml:space="preserve">driven by increases in the </w:t>
      </w:r>
      <w:r w:rsidR="008D21B9" w:rsidRPr="00576DC7">
        <w:rPr>
          <w:rFonts w:eastAsia="Calibri"/>
          <w:lang w:val="en-US"/>
        </w:rPr>
        <w:t>number</w:t>
      </w:r>
      <w:r w:rsidR="00AD592E" w:rsidRPr="00576DC7">
        <w:rPr>
          <w:rFonts w:eastAsia="Calibri"/>
          <w:lang w:val="en-US"/>
        </w:rPr>
        <w:t xml:space="preserve"> and value of funded benefit transfers to the Consolidated Revenue Fund from the Commonwealth Superannuation Corporation</w:t>
      </w:r>
      <w:r w:rsidR="008D21B9" w:rsidRPr="00576DC7">
        <w:rPr>
          <w:rFonts w:eastAsia="Calibri"/>
          <w:lang w:val="en-US"/>
        </w:rPr>
        <w:t>, and</w:t>
      </w:r>
      <w:r w:rsidR="00AD592E" w:rsidRPr="00576DC7">
        <w:rPr>
          <w:rFonts w:eastAsia="Calibri"/>
          <w:lang w:val="en-US"/>
        </w:rPr>
        <w:t xml:space="preserve"> in anticipated lodgments of unclaimed monies from financial institutions</w:t>
      </w:r>
      <w:r w:rsidR="008D21B9" w:rsidRPr="00576DC7">
        <w:rPr>
          <w:rFonts w:eastAsia="Calibri"/>
          <w:lang w:val="en-US"/>
        </w:rPr>
        <w:t>.</w:t>
      </w:r>
      <w:r w:rsidR="00AD592E" w:rsidRPr="00576DC7">
        <w:rPr>
          <w:rFonts w:eastAsia="Calibri"/>
          <w:lang w:val="en-US"/>
        </w:rPr>
        <w:t xml:space="preserve"> This increase is partially offset by </w:t>
      </w:r>
      <w:r w:rsidR="00AD592E" w:rsidRPr="00576DC7">
        <w:rPr>
          <w:rFonts w:eastAsia="Calibri"/>
        </w:rPr>
        <w:t>lower</w:t>
      </w:r>
      <w:r w:rsidR="00404C26">
        <w:rPr>
          <w:rFonts w:eastAsia="Calibri"/>
        </w:rPr>
        <w:noBreakHyphen/>
      </w:r>
      <w:r w:rsidR="00AD592E" w:rsidRPr="00576DC7">
        <w:rPr>
          <w:rFonts w:eastAsia="Calibri"/>
        </w:rPr>
        <w:t>than</w:t>
      </w:r>
      <w:r w:rsidR="00404C26">
        <w:rPr>
          <w:rFonts w:eastAsia="Calibri"/>
        </w:rPr>
        <w:noBreakHyphen/>
      </w:r>
      <w:r w:rsidR="00AD592E" w:rsidRPr="00576DC7">
        <w:rPr>
          <w:rFonts w:eastAsia="Calibri"/>
        </w:rPr>
        <w:t>expected Commonwealth Government interest earnings due to an anticipated decrease in short</w:t>
      </w:r>
      <w:r w:rsidR="00404C26">
        <w:rPr>
          <w:rFonts w:eastAsia="Calibri"/>
        </w:rPr>
        <w:noBreakHyphen/>
      </w:r>
      <w:r w:rsidR="00AD592E" w:rsidRPr="00576DC7">
        <w:rPr>
          <w:rFonts w:eastAsia="Calibri"/>
        </w:rPr>
        <w:t>term interest rates</w:t>
      </w:r>
      <w:r w:rsidR="00AD592E" w:rsidRPr="00576DC7">
        <w:t>.</w:t>
      </w:r>
      <w:r w:rsidR="004A10ED" w:rsidRPr="00576DC7">
        <w:t xml:space="preserve"> </w:t>
      </w:r>
    </w:p>
    <w:p w14:paraId="2F7930B1" w14:textId="78366229" w:rsidR="00B2621F" w:rsidRPr="00712254" w:rsidRDefault="00B2621F" w:rsidP="00B2621F">
      <w:r w:rsidRPr="00576DC7">
        <w:t xml:space="preserve">Further information on expected receipts is provided in </w:t>
      </w:r>
      <w:r w:rsidRPr="00576DC7">
        <w:rPr>
          <w:rStyle w:val="Emphasis"/>
        </w:rPr>
        <w:t>Statement</w:t>
      </w:r>
      <w:r w:rsidR="001E7FF4" w:rsidRPr="00576DC7">
        <w:rPr>
          <w:rStyle w:val="Emphasis"/>
        </w:rPr>
        <w:t> </w:t>
      </w:r>
      <w:r w:rsidR="000349E5" w:rsidRPr="00576DC7">
        <w:rPr>
          <w:rStyle w:val="Emphasis"/>
        </w:rPr>
        <w:t>4</w:t>
      </w:r>
      <w:r w:rsidRPr="00576DC7">
        <w:rPr>
          <w:rStyle w:val="Emphasis"/>
        </w:rPr>
        <w:t>:</w:t>
      </w:r>
      <w:r w:rsidR="00E16921" w:rsidRPr="00576DC7">
        <w:rPr>
          <w:rStyle w:val="Emphasis"/>
        </w:rPr>
        <w:t xml:space="preserve"> </w:t>
      </w:r>
      <w:r w:rsidRPr="00576DC7">
        <w:rPr>
          <w:rStyle w:val="Emphasis"/>
        </w:rPr>
        <w:t>Revenue.</w:t>
      </w:r>
      <w:r w:rsidRPr="00576DC7">
        <w:t xml:space="preserve"> Analysis of the sensitivity of the receipts estimates to changes in the economic outlook is provided in </w:t>
      </w:r>
      <w:r w:rsidRPr="00576DC7">
        <w:rPr>
          <w:rStyle w:val="Emphasis"/>
        </w:rPr>
        <w:t>Statement</w:t>
      </w:r>
      <w:r w:rsidR="001E7FF4" w:rsidRPr="00576DC7">
        <w:rPr>
          <w:rStyle w:val="Emphasis"/>
        </w:rPr>
        <w:t> </w:t>
      </w:r>
      <w:r w:rsidR="00100EA7" w:rsidRPr="00576DC7">
        <w:rPr>
          <w:rStyle w:val="Emphasis"/>
        </w:rPr>
        <w:t>7</w:t>
      </w:r>
      <w:r w:rsidRPr="00576DC7">
        <w:rPr>
          <w:rStyle w:val="Emphasis"/>
        </w:rPr>
        <w:t>: Forecasting Performance and Sensitivity Analysis.</w:t>
      </w:r>
      <w:r w:rsidRPr="00576DC7">
        <w:t xml:space="preserve"> </w:t>
      </w:r>
      <w:bookmarkStart w:id="37" w:name="_Toc117356561"/>
    </w:p>
    <w:p w14:paraId="574DCE44" w14:textId="281A4FA9" w:rsidR="00B2621F" w:rsidRPr="00576DC7" w:rsidRDefault="00B2621F" w:rsidP="00B2621F">
      <w:pPr>
        <w:pStyle w:val="Heading3"/>
        <w:spacing w:before="0" w:after="240"/>
      </w:pPr>
      <w:bookmarkStart w:id="38" w:name="_Toc193537052"/>
      <w:r w:rsidRPr="00576DC7">
        <w:t>Payments estimates</w:t>
      </w:r>
      <w:bookmarkEnd w:id="38"/>
      <w:r w:rsidRPr="00576DC7">
        <w:t xml:space="preserve"> </w:t>
      </w:r>
      <w:bookmarkEnd w:id="37"/>
    </w:p>
    <w:p w14:paraId="4F8D171F" w14:textId="60CCB3CB" w:rsidR="00291622" w:rsidRDefault="00B2621F" w:rsidP="00E72226">
      <w:r w:rsidRPr="00576DC7">
        <w:t>Since MYEFO, total projected payments have increased by $</w:t>
      </w:r>
      <w:r w:rsidR="00D22029" w:rsidRPr="00576DC7">
        <w:t>2.1</w:t>
      </w:r>
      <w:r w:rsidRPr="00576DC7">
        <w:t xml:space="preserve"> billion in </w:t>
      </w:r>
      <w:r w:rsidR="00CF7853" w:rsidRPr="00576DC7">
        <w:t>2025–26</w:t>
      </w:r>
      <w:r w:rsidRPr="00576DC7">
        <w:t xml:space="preserve"> and </w:t>
      </w:r>
      <w:r w:rsidR="00544F58" w:rsidRPr="00576DC7">
        <w:t>decreased</w:t>
      </w:r>
      <w:r w:rsidRPr="00576DC7">
        <w:t xml:space="preserve"> by $</w:t>
      </w:r>
      <w:r w:rsidR="008F3D05" w:rsidRPr="00576DC7">
        <w:t>7.</w:t>
      </w:r>
      <w:r w:rsidR="00EE5C81" w:rsidRPr="00576DC7">
        <w:t>3</w:t>
      </w:r>
      <w:r w:rsidRPr="00576DC7">
        <w:t> billion over five years to 202</w:t>
      </w:r>
      <w:r w:rsidR="00343F6E" w:rsidRPr="00576DC7">
        <w:t>8</w:t>
      </w:r>
      <w:r w:rsidRPr="00576DC7">
        <w:t>–2</w:t>
      </w:r>
      <w:r w:rsidR="00343F6E" w:rsidRPr="00576DC7">
        <w:t>9</w:t>
      </w:r>
      <w:r w:rsidR="004E376B" w:rsidRPr="004E376B">
        <w:t xml:space="preserve"> (see Table 3.3)</w:t>
      </w:r>
      <w:r w:rsidRPr="00576DC7">
        <w:t>.</w:t>
      </w:r>
      <w:r w:rsidRPr="00712254">
        <w:t xml:space="preserve"> </w:t>
      </w:r>
      <w:r w:rsidRPr="00576DC7">
        <w:t xml:space="preserve">Real payments growth over the </w:t>
      </w:r>
      <w:r w:rsidR="009C489C" w:rsidRPr="00576DC7">
        <w:t>seven year</w:t>
      </w:r>
      <w:r w:rsidR="00BA633D" w:rsidRPr="00576DC7">
        <w:t>s</w:t>
      </w:r>
      <w:r w:rsidR="009C489C" w:rsidRPr="00576DC7">
        <w:t xml:space="preserve"> to 2028</w:t>
      </w:r>
      <w:r w:rsidR="00B43227" w:rsidRPr="00576DC7">
        <w:t>–</w:t>
      </w:r>
      <w:r w:rsidR="009C489C" w:rsidRPr="00576DC7">
        <w:t>29 is expected to average 1.7 per cent per year and over the five years to 2028</w:t>
      </w:r>
      <w:r w:rsidR="00B43227" w:rsidRPr="00576DC7">
        <w:t>–</w:t>
      </w:r>
      <w:r w:rsidR="009368D5" w:rsidRPr="00576DC7">
        <w:rPr>
          <w:w w:val="1"/>
        </w:rPr>
        <w:t> </w:t>
      </w:r>
      <w:r w:rsidR="009C489C" w:rsidRPr="00576DC7">
        <w:t>29</w:t>
      </w:r>
      <w:r w:rsidRPr="00576DC7">
        <w:t xml:space="preserve"> </w:t>
      </w:r>
      <w:r w:rsidR="009C489C" w:rsidRPr="00576DC7">
        <w:t xml:space="preserve">it </w:t>
      </w:r>
      <w:r w:rsidRPr="00576DC7">
        <w:t xml:space="preserve">is expected to </w:t>
      </w:r>
      <w:r w:rsidR="009C489C" w:rsidRPr="00576DC7">
        <w:t xml:space="preserve">average </w:t>
      </w:r>
      <w:r w:rsidR="00E23768" w:rsidRPr="00576DC7">
        <w:t>2.7</w:t>
      </w:r>
      <w:r w:rsidRPr="00576DC7">
        <w:t> per cent per year.</w:t>
      </w:r>
      <w:r w:rsidRPr="00712254">
        <w:t xml:space="preserve"> </w:t>
      </w:r>
      <w:r w:rsidR="00291622">
        <w:br w:type="page"/>
      </w:r>
    </w:p>
    <w:p w14:paraId="4BAE7E74" w14:textId="602D2DC2" w:rsidR="00003E62" w:rsidRDefault="00003E62" w:rsidP="00003E62">
      <w:pPr>
        <w:pStyle w:val="TableHeading"/>
        <w:rPr>
          <w:rFonts w:asciiTheme="minorHAnsi" w:eastAsiaTheme="minorHAnsi" w:hAnsiTheme="minorHAnsi" w:cstheme="minorBidi"/>
          <w:sz w:val="22"/>
          <w:szCs w:val="22"/>
          <w:lang w:eastAsia="en-US"/>
        </w:rPr>
      </w:pPr>
      <w:r w:rsidRPr="00576DC7">
        <w:lastRenderedPageBreak/>
        <w:t>Table 3.3: Reconciliation of general government sector payments estimates</w:t>
      </w:r>
      <w:r w:rsidRPr="00576DC7">
        <w:rPr>
          <w:vertAlign w:val="superscript"/>
        </w:rPr>
        <w:t>(a)</w:t>
      </w:r>
      <w:r w:rsidRPr="00576DC7">
        <w:t xml:space="preserve"> </w:t>
      </w:r>
      <w:bookmarkStart w:id="39" w:name="_1804054003"/>
      <w:bookmarkStart w:id="40" w:name="_1804053003"/>
      <w:bookmarkStart w:id="41" w:name="_1804053692"/>
      <w:bookmarkStart w:id="42" w:name="_1804053312"/>
      <w:bookmarkStart w:id="43" w:name="_1803883746"/>
      <w:bookmarkStart w:id="44" w:name="_1803891221"/>
      <w:bookmarkStart w:id="45" w:name="_1803892304"/>
      <w:bookmarkEnd w:id="39"/>
      <w:bookmarkEnd w:id="40"/>
      <w:bookmarkEnd w:id="41"/>
      <w:bookmarkEnd w:id="42"/>
      <w:bookmarkEnd w:id="43"/>
      <w:bookmarkEnd w:id="44"/>
      <w:bookmarkEnd w:id="45"/>
    </w:p>
    <w:tbl>
      <w:tblPr>
        <w:tblW w:w="5000" w:type="pct"/>
        <w:tblCellMar>
          <w:left w:w="0" w:type="dxa"/>
          <w:right w:w="28" w:type="dxa"/>
        </w:tblCellMar>
        <w:tblLook w:val="04A0" w:firstRow="1" w:lastRow="0" w:firstColumn="1" w:lastColumn="0" w:noHBand="0" w:noVBand="1"/>
      </w:tblPr>
      <w:tblGrid>
        <w:gridCol w:w="3124"/>
        <w:gridCol w:w="751"/>
        <w:gridCol w:w="743"/>
        <w:gridCol w:w="745"/>
        <w:gridCol w:w="751"/>
        <w:gridCol w:w="751"/>
        <w:gridCol w:w="94"/>
        <w:gridCol w:w="751"/>
      </w:tblGrid>
      <w:tr w:rsidR="00003E62" w:rsidRPr="009009F5" w14:paraId="57E89914" w14:textId="77777777">
        <w:trPr>
          <w:trHeight w:hRule="exact" w:val="225"/>
        </w:trPr>
        <w:tc>
          <w:tcPr>
            <w:tcW w:w="2025" w:type="pct"/>
            <w:tcBorders>
              <w:top w:val="single" w:sz="4" w:space="0" w:color="293F5B"/>
              <w:left w:val="nil"/>
              <w:bottom w:val="nil"/>
              <w:right w:val="nil"/>
            </w:tcBorders>
            <w:shd w:val="clear" w:color="000000" w:fill="FFFFFF"/>
            <w:noWrap/>
            <w:vAlign w:val="center"/>
            <w:hideMark/>
          </w:tcPr>
          <w:p w14:paraId="00361551"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single" w:sz="4" w:space="0" w:color="293F5B"/>
              <w:left w:val="nil"/>
              <w:bottom w:val="single" w:sz="4" w:space="0" w:color="293F5B"/>
              <w:right w:val="nil"/>
            </w:tcBorders>
            <w:shd w:val="clear" w:color="000000" w:fill="FFFFFF"/>
            <w:noWrap/>
            <w:vAlign w:val="center"/>
            <w:hideMark/>
          </w:tcPr>
          <w:p w14:paraId="35DC6A7E"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965" w:type="pct"/>
            <w:gridSpan w:val="2"/>
            <w:tcBorders>
              <w:top w:val="single" w:sz="4" w:space="0" w:color="293F5B"/>
              <w:left w:val="nil"/>
              <w:bottom w:val="single" w:sz="4" w:space="0" w:color="293F5B"/>
              <w:right w:val="nil"/>
            </w:tcBorders>
            <w:shd w:val="clear" w:color="000000" w:fill="FFFFFF"/>
            <w:noWrap/>
            <w:vAlign w:val="center"/>
            <w:hideMark/>
          </w:tcPr>
          <w:p w14:paraId="63EE21BD" w14:textId="77777777" w:rsidR="00003E62" w:rsidRPr="009009F5" w:rsidRDefault="00003E62">
            <w:pPr>
              <w:spacing w:before="0" w:after="0" w:line="240" w:lineRule="auto"/>
              <w:jc w:val="center"/>
              <w:rPr>
                <w:rFonts w:ascii="Arial" w:hAnsi="Arial" w:cs="Arial"/>
                <w:sz w:val="16"/>
                <w:szCs w:val="16"/>
              </w:rPr>
            </w:pPr>
            <w:r w:rsidRPr="009009F5">
              <w:rPr>
                <w:rFonts w:ascii="Arial" w:hAnsi="Arial" w:cs="Arial"/>
                <w:sz w:val="16"/>
                <w:szCs w:val="16"/>
              </w:rPr>
              <w:t>Estimates</w:t>
            </w:r>
          </w:p>
        </w:tc>
        <w:tc>
          <w:tcPr>
            <w:tcW w:w="487" w:type="pct"/>
            <w:tcBorders>
              <w:top w:val="single" w:sz="4" w:space="0" w:color="293F5B"/>
              <w:left w:val="nil"/>
              <w:bottom w:val="single" w:sz="4" w:space="0" w:color="293F5B"/>
              <w:right w:val="nil"/>
            </w:tcBorders>
            <w:shd w:val="clear" w:color="000000" w:fill="FFFFFF"/>
            <w:noWrap/>
            <w:vAlign w:val="center"/>
            <w:hideMark/>
          </w:tcPr>
          <w:p w14:paraId="41914034"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single" w:sz="4" w:space="0" w:color="293F5B"/>
              <w:left w:val="nil"/>
              <w:bottom w:val="single" w:sz="4" w:space="0" w:color="293F5B"/>
              <w:right w:val="nil"/>
            </w:tcBorders>
            <w:shd w:val="clear" w:color="000000" w:fill="FFFFFF"/>
            <w:noWrap/>
            <w:vAlign w:val="center"/>
            <w:hideMark/>
          </w:tcPr>
          <w:p w14:paraId="7C58DDFC"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61" w:type="pct"/>
            <w:tcBorders>
              <w:top w:val="single" w:sz="4" w:space="0" w:color="293F5B"/>
              <w:left w:val="nil"/>
              <w:bottom w:val="nil"/>
              <w:right w:val="nil"/>
            </w:tcBorders>
            <w:shd w:val="clear" w:color="000000" w:fill="FFFFFF"/>
            <w:noWrap/>
            <w:vAlign w:val="center"/>
            <w:hideMark/>
          </w:tcPr>
          <w:p w14:paraId="7848F73E"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single" w:sz="4" w:space="0" w:color="293F5B"/>
              <w:left w:val="nil"/>
              <w:bottom w:val="single" w:sz="4" w:space="0" w:color="293F5B"/>
              <w:right w:val="nil"/>
            </w:tcBorders>
            <w:shd w:val="clear" w:color="000000" w:fill="FFFFFF"/>
            <w:noWrap/>
            <w:vAlign w:val="center"/>
            <w:hideMark/>
          </w:tcPr>
          <w:p w14:paraId="2241F88A"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r>
      <w:tr w:rsidR="00003E62" w:rsidRPr="009009F5" w14:paraId="28BE6DED" w14:textId="77777777">
        <w:trPr>
          <w:trHeight w:hRule="exact" w:val="225"/>
        </w:trPr>
        <w:tc>
          <w:tcPr>
            <w:tcW w:w="2025" w:type="pct"/>
            <w:tcBorders>
              <w:top w:val="nil"/>
              <w:left w:val="nil"/>
              <w:bottom w:val="nil"/>
              <w:right w:val="nil"/>
            </w:tcBorders>
            <w:shd w:val="clear" w:color="000000" w:fill="FFFFFF"/>
            <w:noWrap/>
            <w:vAlign w:val="bottom"/>
            <w:hideMark/>
          </w:tcPr>
          <w:p w14:paraId="11457108"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single" w:sz="4" w:space="0" w:color="auto"/>
              <w:left w:val="nil"/>
              <w:bottom w:val="nil"/>
              <w:right w:val="nil"/>
            </w:tcBorders>
            <w:shd w:val="clear" w:color="000000" w:fill="FFFFFF"/>
            <w:noWrap/>
            <w:vAlign w:val="center"/>
            <w:hideMark/>
          </w:tcPr>
          <w:p w14:paraId="300DEE70" w14:textId="59F9016D"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2024</w:t>
            </w:r>
            <w:r w:rsidR="00404C26">
              <w:rPr>
                <w:rFonts w:ascii="Arial" w:hAnsi="Arial" w:cs="Arial"/>
                <w:sz w:val="16"/>
                <w:szCs w:val="16"/>
              </w:rPr>
              <w:noBreakHyphen/>
            </w:r>
            <w:r w:rsidRPr="009009F5">
              <w:rPr>
                <w:rFonts w:ascii="Arial" w:hAnsi="Arial" w:cs="Arial"/>
                <w:sz w:val="16"/>
                <w:szCs w:val="16"/>
              </w:rPr>
              <w:t>25</w:t>
            </w:r>
          </w:p>
        </w:tc>
        <w:tc>
          <w:tcPr>
            <w:tcW w:w="482" w:type="pct"/>
            <w:tcBorders>
              <w:top w:val="single" w:sz="4" w:space="0" w:color="auto"/>
              <w:left w:val="nil"/>
              <w:bottom w:val="nil"/>
              <w:right w:val="nil"/>
            </w:tcBorders>
            <w:shd w:val="clear" w:color="000000" w:fill="E6F2FF"/>
            <w:noWrap/>
            <w:vAlign w:val="center"/>
            <w:hideMark/>
          </w:tcPr>
          <w:p w14:paraId="218110D0" w14:textId="02553D59"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2025</w:t>
            </w:r>
            <w:r w:rsidR="00404C26">
              <w:rPr>
                <w:rFonts w:ascii="Arial" w:hAnsi="Arial" w:cs="Arial"/>
                <w:sz w:val="16"/>
                <w:szCs w:val="16"/>
              </w:rPr>
              <w:noBreakHyphen/>
            </w:r>
            <w:r w:rsidRPr="009009F5">
              <w:rPr>
                <w:rFonts w:ascii="Arial" w:hAnsi="Arial" w:cs="Arial"/>
                <w:sz w:val="16"/>
                <w:szCs w:val="16"/>
              </w:rPr>
              <w:t>26</w:t>
            </w:r>
          </w:p>
        </w:tc>
        <w:tc>
          <w:tcPr>
            <w:tcW w:w="482" w:type="pct"/>
            <w:tcBorders>
              <w:top w:val="single" w:sz="4" w:space="0" w:color="auto"/>
              <w:left w:val="nil"/>
              <w:bottom w:val="nil"/>
              <w:right w:val="nil"/>
            </w:tcBorders>
            <w:shd w:val="clear" w:color="000000" w:fill="FFFFFF"/>
            <w:noWrap/>
            <w:vAlign w:val="center"/>
            <w:hideMark/>
          </w:tcPr>
          <w:p w14:paraId="6F6EB208" w14:textId="15B68ED8"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2026</w:t>
            </w:r>
            <w:r w:rsidR="00404C26">
              <w:rPr>
                <w:rFonts w:ascii="Arial" w:hAnsi="Arial" w:cs="Arial"/>
                <w:sz w:val="16"/>
                <w:szCs w:val="16"/>
              </w:rPr>
              <w:noBreakHyphen/>
            </w:r>
            <w:r w:rsidRPr="009009F5">
              <w:rPr>
                <w:rFonts w:ascii="Arial" w:hAnsi="Arial" w:cs="Arial"/>
                <w:sz w:val="16"/>
                <w:szCs w:val="16"/>
              </w:rPr>
              <w:t>27</w:t>
            </w:r>
          </w:p>
        </w:tc>
        <w:tc>
          <w:tcPr>
            <w:tcW w:w="487" w:type="pct"/>
            <w:tcBorders>
              <w:top w:val="single" w:sz="4" w:space="0" w:color="auto"/>
              <w:left w:val="nil"/>
              <w:bottom w:val="nil"/>
              <w:right w:val="nil"/>
            </w:tcBorders>
            <w:shd w:val="clear" w:color="000000" w:fill="FFFFFF"/>
            <w:noWrap/>
            <w:vAlign w:val="center"/>
            <w:hideMark/>
          </w:tcPr>
          <w:p w14:paraId="04B0DF23" w14:textId="7158940A"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2027</w:t>
            </w:r>
            <w:r w:rsidR="00404C26">
              <w:rPr>
                <w:rFonts w:ascii="Arial" w:hAnsi="Arial" w:cs="Arial"/>
                <w:sz w:val="16"/>
                <w:szCs w:val="16"/>
              </w:rPr>
              <w:noBreakHyphen/>
            </w:r>
            <w:r w:rsidRPr="009009F5">
              <w:rPr>
                <w:rFonts w:ascii="Arial" w:hAnsi="Arial" w:cs="Arial"/>
                <w:sz w:val="16"/>
                <w:szCs w:val="16"/>
              </w:rPr>
              <w:t>28</w:t>
            </w:r>
          </w:p>
        </w:tc>
        <w:tc>
          <w:tcPr>
            <w:tcW w:w="487" w:type="pct"/>
            <w:tcBorders>
              <w:top w:val="single" w:sz="4" w:space="0" w:color="auto"/>
              <w:left w:val="nil"/>
              <w:bottom w:val="nil"/>
              <w:right w:val="nil"/>
            </w:tcBorders>
            <w:shd w:val="clear" w:color="000000" w:fill="FFFFFF"/>
            <w:noWrap/>
            <w:vAlign w:val="center"/>
            <w:hideMark/>
          </w:tcPr>
          <w:p w14:paraId="106CE981" w14:textId="639FF725"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2028</w:t>
            </w:r>
            <w:r w:rsidR="00404C26">
              <w:rPr>
                <w:rFonts w:ascii="Arial" w:hAnsi="Arial" w:cs="Arial"/>
                <w:sz w:val="16"/>
                <w:szCs w:val="16"/>
              </w:rPr>
              <w:noBreakHyphen/>
            </w:r>
            <w:r w:rsidRPr="009009F5">
              <w:rPr>
                <w:rFonts w:ascii="Arial" w:hAnsi="Arial" w:cs="Arial"/>
                <w:sz w:val="16"/>
                <w:szCs w:val="16"/>
              </w:rPr>
              <w:t>29</w:t>
            </w:r>
          </w:p>
        </w:tc>
        <w:tc>
          <w:tcPr>
            <w:tcW w:w="61" w:type="pct"/>
            <w:tcBorders>
              <w:top w:val="nil"/>
              <w:left w:val="nil"/>
              <w:bottom w:val="nil"/>
              <w:right w:val="nil"/>
            </w:tcBorders>
            <w:shd w:val="clear" w:color="000000" w:fill="FFFFFF"/>
            <w:noWrap/>
            <w:vAlign w:val="center"/>
            <w:hideMark/>
          </w:tcPr>
          <w:p w14:paraId="3D46BEA6"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7" w:type="pct"/>
            <w:tcBorders>
              <w:top w:val="single" w:sz="4" w:space="0" w:color="auto"/>
              <w:left w:val="nil"/>
              <w:bottom w:val="nil"/>
              <w:right w:val="nil"/>
            </w:tcBorders>
            <w:shd w:val="clear" w:color="000000" w:fill="FFFFFF"/>
            <w:noWrap/>
            <w:vAlign w:val="center"/>
            <w:hideMark/>
          </w:tcPr>
          <w:p w14:paraId="5E0CB667"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Total</w:t>
            </w:r>
          </w:p>
        </w:tc>
      </w:tr>
      <w:tr w:rsidR="00003E62" w:rsidRPr="009009F5" w14:paraId="2B260637" w14:textId="77777777">
        <w:trPr>
          <w:trHeight w:hRule="exact" w:val="225"/>
        </w:trPr>
        <w:tc>
          <w:tcPr>
            <w:tcW w:w="2025" w:type="pct"/>
            <w:tcBorders>
              <w:top w:val="nil"/>
              <w:left w:val="nil"/>
              <w:bottom w:val="nil"/>
              <w:right w:val="nil"/>
            </w:tcBorders>
            <w:shd w:val="clear" w:color="000000" w:fill="FFFFFF"/>
            <w:noWrap/>
            <w:vAlign w:val="center"/>
            <w:hideMark/>
          </w:tcPr>
          <w:p w14:paraId="2C8BF524"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single" w:sz="4" w:space="0" w:color="293F5B"/>
              <w:right w:val="nil"/>
            </w:tcBorders>
            <w:shd w:val="clear" w:color="000000" w:fill="FFFFFF"/>
            <w:noWrap/>
            <w:vAlign w:val="center"/>
            <w:hideMark/>
          </w:tcPr>
          <w:p w14:paraId="104829F7"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$m</w:t>
            </w:r>
          </w:p>
        </w:tc>
        <w:tc>
          <w:tcPr>
            <w:tcW w:w="482" w:type="pct"/>
            <w:tcBorders>
              <w:top w:val="nil"/>
              <w:left w:val="nil"/>
              <w:bottom w:val="single" w:sz="4" w:space="0" w:color="293F5B"/>
              <w:right w:val="nil"/>
            </w:tcBorders>
            <w:shd w:val="clear" w:color="000000" w:fill="E6F2FF"/>
            <w:noWrap/>
            <w:vAlign w:val="center"/>
            <w:hideMark/>
          </w:tcPr>
          <w:p w14:paraId="3B7EB1F0"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$m</w:t>
            </w:r>
          </w:p>
        </w:tc>
        <w:tc>
          <w:tcPr>
            <w:tcW w:w="482" w:type="pct"/>
            <w:tcBorders>
              <w:top w:val="nil"/>
              <w:left w:val="nil"/>
              <w:bottom w:val="single" w:sz="4" w:space="0" w:color="293F5B"/>
              <w:right w:val="nil"/>
            </w:tcBorders>
            <w:shd w:val="clear" w:color="000000" w:fill="FFFFFF"/>
            <w:noWrap/>
            <w:vAlign w:val="center"/>
            <w:hideMark/>
          </w:tcPr>
          <w:p w14:paraId="067D096D"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05DF47C9"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61D18B70"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$m</w:t>
            </w:r>
          </w:p>
        </w:tc>
        <w:tc>
          <w:tcPr>
            <w:tcW w:w="61" w:type="pct"/>
            <w:tcBorders>
              <w:top w:val="nil"/>
              <w:left w:val="nil"/>
              <w:bottom w:val="nil"/>
              <w:right w:val="nil"/>
            </w:tcBorders>
            <w:shd w:val="clear" w:color="000000" w:fill="FFFFFF"/>
            <w:noWrap/>
            <w:vAlign w:val="center"/>
            <w:hideMark/>
          </w:tcPr>
          <w:p w14:paraId="3EDF21FA"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7" w:type="pct"/>
            <w:tcBorders>
              <w:top w:val="nil"/>
              <w:left w:val="nil"/>
              <w:bottom w:val="single" w:sz="4" w:space="0" w:color="293F5B"/>
              <w:right w:val="nil"/>
            </w:tcBorders>
            <w:shd w:val="clear" w:color="000000" w:fill="FFFFFF"/>
            <w:noWrap/>
            <w:vAlign w:val="center"/>
            <w:hideMark/>
          </w:tcPr>
          <w:p w14:paraId="112748F1"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$m</w:t>
            </w:r>
          </w:p>
        </w:tc>
      </w:tr>
      <w:tr w:rsidR="00003E62" w:rsidRPr="009009F5" w14:paraId="2BF015B8" w14:textId="77777777">
        <w:trPr>
          <w:trHeight w:hRule="exact" w:val="225"/>
        </w:trPr>
        <w:tc>
          <w:tcPr>
            <w:tcW w:w="2025" w:type="pct"/>
            <w:tcBorders>
              <w:top w:val="nil"/>
              <w:left w:val="nil"/>
              <w:bottom w:val="nil"/>
              <w:right w:val="nil"/>
            </w:tcBorders>
            <w:shd w:val="clear" w:color="000000" w:fill="FFFFFF"/>
            <w:noWrap/>
            <w:vAlign w:val="center"/>
            <w:hideMark/>
          </w:tcPr>
          <w:p w14:paraId="6CC93C73" w14:textId="4742359F" w:rsidR="00003E62" w:rsidRPr="009009F5" w:rsidRDefault="00003E62">
            <w:pPr>
              <w:spacing w:before="0" w:after="0" w:line="240" w:lineRule="auto"/>
              <w:rPr>
                <w:rFonts w:ascii="Arial" w:hAnsi="Arial" w:cs="Arial"/>
                <w:b/>
                <w:bCs/>
                <w:sz w:val="16"/>
                <w:szCs w:val="16"/>
              </w:rPr>
            </w:pPr>
            <w:r w:rsidRPr="009009F5">
              <w:rPr>
                <w:rFonts w:ascii="Arial" w:hAnsi="Arial" w:cs="Arial"/>
                <w:b/>
                <w:bCs/>
                <w:sz w:val="16"/>
                <w:szCs w:val="16"/>
              </w:rPr>
              <w:t>2024</w:t>
            </w:r>
            <w:r w:rsidR="00404C26">
              <w:rPr>
                <w:rFonts w:ascii="Arial" w:hAnsi="Arial" w:cs="Arial"/>
                <w:b/>
                <w:bCs/>
                <w:sz w:val="16"/>
                <w:szCs w:val="16"/>
              </w:rPr>
              <w:noBreakHyphen/>
            </w:r>
            <w:r w:rsidRPr="009009F5">
              <w:rPr>
                <w:rFonts w:ascii="Arial" w:hAnsi="Arial" w:cs="Arial"/>
                <w:b/>
                <w:bCs/>
                <w:sz w:val="16"/>
                <w:szCs w:val="16"/>
              </w:rPr>
              <w:t>25 Budget payments</w:t>
            </w:r>
          </w:p>
        </w:tc>
        <w:tc>
          <w:tcPr>
            <w:tcW w:w="487" w:type="pct"/>
            <w:tcBorders>
              <w:top w:val="nil"/>
              <w:left w:val="nil"/>
              <w:bottom w:val="nil"/>
              <w:right w:val="nil"/>
            </w:tcBorders>
            <w:shd w:val="clear" w:color="000000" w:fill="FFFFFF"/>
            <w:noWrap/>
            <w:vAlign w:val="center"/>
            <w:hideMark/>
          </w:tcPr>
          <w:p w14:paraId="7F210B20"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726,732</w:t>
            </w:r>
          </w:p>
        </w:tc>
        <w:tc>
          <w:tcPr>
            <w:tcW w:w="482" w:type="pct"/>
            <w:tcBorders>
              <w:top w:val="nil"/>
              <w:left w:val="nil"/>
              <w:bottom w:val="nil"/>
              <w:right w:val="nil"/>
            </w:tcBorders>
            <w:shd w:val="clear" w:color="000000" w:fill="E6F2FF"/>
            <w:noWrap/>
            <w:vAlign w:val="center"/>
            <w:hideMark/>
          </w:tcPr>
          <w:p w14:paraId="31B4B480"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762,192</w:t>
            </w:r>
          </w:p>
        </w:tc>
        <w:tc>
          <w:tcPr>
            <w:tcW w:w="482" w:type="pct"/>
            <w:tcBorders>
              <w:top w:val="nil"/>
              <w:left w:val="nil"/>
              <w:bottom w:val="nil"/>
              <w:right w:val="nil"/>
            </w:tcBorders>
            <w:shd w:val="clear" w:color="000000" w:fill="FFFFFF"/>
            <w:noWrap/>
            <w:vAlign w:val="center"/>
            <w:hideMark/>
          </w:tcPr>
          <w:p w14:paraId="7C7D5F4C"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786,722</w:t>
            </w:r>
          </w:p>
        </w:tc>
        <w:tc>
          <w:tcPr>
            <w:tcW w:w="487" w:type="pct"/>
            <w:tcBorders>
              <w:top w:val="nil"/>
              <w:left w:val="nil"/>
              <w:bottom w:val="nil"/>
              <w:right w:val="nil"/>
            </w:tcBorders>
            <w:shd w:val="clear" w:color="000000" w:fill="FFFFFF"/>
            <w:noWrap/>
            <w:vAlign w:val="center"/>
            <w:hideMark/>
          </w:tcPr>
          <w:p w14:paraId="70BDEDC7"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826,157</w:t>
            </w:r>
          </w:p>
        </w:tc>
        <w:tc>
          <w:tcPr>
            <w:tcW w:w="487" w:type="pct"/>
            <w:tcBorders>
              <w:top w:val="nil"/>
              <w:left w:val="nil"/>
              <w:bottom w:val="nil"/>
              <w:right w:val="nil"/>
            </w:tcBorders>
            <w:shd w:val="clear" w:color="000000" w:fill="FFFFFF"/>
            <w:noWrap/>
            <w:vAlign w:val="center"/>
            <w:hideMark/>
          </w:tcPr>
          <w:p w14:paraId="4157DF35"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w:t>
            </w:r>
          </w:p>
        </w:tc>
        <w:tc>
          <w:tcPr>
            <w:tcW w:w="61" w:type="pct"/>
            <w:tcBorders>
              <w:top w:val="nil"/>
              <w:left w:val="nil"/>
              <w:bottom w:val="nil"/>
              <w:right w:val="nil"/>
            </w:tcBorders>
            <w:shd w:val="clear" w:color="000000" w:fill="FFFFFF"/>
            <w:noWrap/>
            <w:vAlign w:val="center"/>
            <w:hideMark/>
          </w:tcPr>
          <w:p w14:paraId="631ACE17"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 </w:t>
            </w:r>
          </w:p>
        </w:tc>
        <w:tc>
          <w:tcPr>
            <w:tcW w:w="487" w:type="pct"/>
            <w:tcBorders>
              <w:top w:val="nil"/>
              <w:left w:val="nil"/>
              <w:bottom w:val="nil"/>
              <w:right w:val="nil"/>
            </w:tcBorders>
            <w:shd w:val="clear" w:color="000000" w:fill="FFFFFF"/>
            <w:noWrap/>
            <w:vAlign w:val="center"/>
            <w:hideMark/>
          </w:tcPr>
          <w:p w14:paraId="16614065"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w:t>
            </w:r>
          </w:p>
        </w:tc>
      </w:tr>
      <w:tr w:rsidR="00003E62" w:rsidRPr="009009F5" w14:paraId="06189C10" w14:textId="77777777">
        <w:trPr>
          <w:trHeight w:hRule="exact" w:val="60"/>
        </w:trPr>
        <w:tc>
          <w:tcPr>
            <w:tcW w:w="2025" w:type="pct"/>
            <w:tcBorders>
              <w:top w:val="nil"/>
              <w:left w:val="nil"/>
              <w:bottom w:val="nil"/>
              <w:right w:val="nil"/>
            </w:tcBorders>
            <w:shd w:val="clear" w:color="000000" w:fill="FFFFFF"/>
            <w:noWrap/>
            <w:vAlign w:val="center"/>
            <w:hideMark/>
          </w:tcPr>
          <w:p w14:paraId="347E0212"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6122384A"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2" w:type="pct"/>
            <w:tcBorders>
              <w:top w:val="nil"/>
              <w:left w:val="nil"/>
              <w:bottom w:val="nil"/>
              <w:right w:val="nil"/>
            </w:tcBorders>
            <w:shd w:val="clear" w:color="000000" w:fill="E6F2FF"/>
            <w:noWrap/>
            <w:vAlign w:val="center"/>
            <w:hideMark/>
          </w:tcPr>
          <w:p w14:paraId="78D66138"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2" w:type="pct"/>
            <w:tcBorders>
              <w:top w:val="nil"/>
              <w:left w:val="nil"/>
              <w:bottom w:val="nil"/>
              <w:right w:val="nil"/>
            </w:tcBorders>
            <w:shd w:val="clear" w:color="000000" w:fill="FFFFFF"/>
            <w:noWrap/>
            <w:vAlign w:val="center"/>
            <w:hideMark/>
          </w:tcPr>
          <w:p w14:paraId="535CA897"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24BC7D74"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6E258163"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61" w:type="pct"/>
            <w:tcBorders>
              <w:top w:val="nil"/>
              <w:left w:val="nil"/>
              <w:bottom w:val="nil"/>
              <w:right w:val="nil"/>
            </w:tcBorders>
            <w:shd w:val="clear" w:color="000000" w:fill="FFFFFF"/>
            <w:noWrap/>
            <w:vAlign w:val="center"/>
            <w:hideMark/>
          </w:tcPr>
          <w:p w14:paraId="2FE1A049"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7DCEEAF4"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r>
      <w:tr w:rsidR="00003E62" w:rsidRPr="009009F5" w14:paraId="2A14D287" w14:textId="77777777">
        <w:trPr>
          <w:trHeight w:hRule="exact" w:val="225"/>
        </w:trPr>
        <w:tc>
          <w:tcPr>
            <w:tcW w:w="2025" w:type="pct"/>
            <w:tcBorders>
              <w:top w:val="nil"/>
              <w:left w:val="nil"/>
              <w:bottom w:val="nil"/>
              <w:right w:val="nil"/>
            </w:tcBorders>
            <w:shd w:val="clear" w:color="000000" w:fill="FFFFFF"/>
            <w:noWrap/>
            <w:vAlign w:val="center"/>
            <w:hideMark/>
          </w:tcPr>
          <w:p w14:paraId="7927CA61" w14:textId="474A26BD" w:rsidR="00003E62" w:rsidRPr="009009F5" w:rsidRDefault="00003E62">
            <w:pPr>
              <w:spacing w:before="0" w:after="0" w:line="240" w:lineRule="auto"/>
              <w:rPr>
                <w:rFonts w:ascii="Arial" w:hAnsi="Arial" w:cs="Arial"/>
                <w:b/>
                <w:bCs/>
                <w:sz w:val="16"/>
                <w:szCs w:val="16"/>
              </w:rPr>
            </w:pPr>
            <w:r w:rsidRPr="009009F5">
              <w:rPr>
                <w:rFonts w:ascii="Arial" w:hAnsi="Arial" w:cs="Arial"/>
                <w:b/>
                <w:bCs/>
                <w:sz w:val="16"/>
                <w:szCs w:val="16"/>
              </w:rPr>
              <w:t>Changes from 2024</w:t>
            </w:r>
            <w:r w:rsidR="00404C26">
              <w:rPr>
                <w:rFonts w:ascii="Arial" w:hAnsi="Arial" w:cs="Arial"/>
                <w:b/>
                <w:bCs/>
                <w:sz w:val="16"/>
                <w:szCs w:val="16"/>
              </w:rPr>
              <w:noBreakHyphen/>
            </w:r>
            <w:r w:rsidRPr="009009F5">
              <w:rPr>
                <w:rFonts w:ascii="Arial" w:hAnsi="Arial" w:cs="Arial"/>
                <w:b/>
                <w:bCs/>
                <w:sz w:val="16"/>
                <w:szCs w:val="16"/>
              </w:rPr>
              <w:t>25 Budget to</w:t>
            </w:r>
          </w:p>
        </w:tc>
        <w:tc>
          <w:tcPr>
            <w:tcW w:w="487" w:type="pct"/>
            <w:tcBorders>
              <w:top w:val="nil"/>
              <w:left w:val="nil"/>
              <w:bottom w:val="nil"/>
              <w:right w:val="nil"/>
            </w:tcBorders>
            <w:shd w:val="clear" w:color="000000" w:fill="FFFFFF"/>
            <w:noWrap/>
            <w:vAlign w:val="center"/>
            <w:hideMark/>
          </w:tcPr>
          <w:p w14:paraId="068BF0C4"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2" w:type="pct"/>
            <w:tcBorders>
              <w:top w:val="nil"/>
              <w:left w:val="nil"/>
              <w:bottom w:val="nil"/>
              <w:right w:val="nil"/>
            </w:tcBorders>
            <w:shd w:val="clear" w:color="000000" w:fill="E6F2FF"/>
            <w:noWrap/>
            <w:vAlign w:val="center"/>
            <w:hideMark/>
          </w:tcPr>
          <w:p w14:paraId="41A036B1"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2" w:type="pct"/>
            <w:tcBorders>
              <w:top w:val="nil"/>
              <w:left w:val="nil"/>
              <w:bottom w:val="nil"/>
              <w:right w:val="nil"/>
            </w:tcBorders>
            <w:shd w:val="clear" w:color="000000" w:fill="FFFFFF"/>
            <w:noWrap/>
            <w:vAlign w:val="center"/>
            <w:hideMark/>
          </w:tcPr>
          <w:p w14:paraId="3A5EF393"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67B32EFC"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601E588E"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61" w:type="pct"/>
            <w:tcBorders>
              <w:top w:val="nil"/>
              <w:left w:val="nil"/>
              <w:bottom w:val="nil"/>
              <w:right w:val="nil"/>
            </w:tcBorders>
            <w:shd w:val="clear" w:color="000000" w:fill="FFFFFF"/>
            <w:noWrap/>
            <w:vAlign w:val="center"/>
            <w:hideMark/>
          </w:tcPr>
          <w:p w14:paraId="073825B8"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100BA710"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r>
      <w:tr w:rsidR="00003E62" w:rsidRPr="009009F5" w14:paraId="7E5F4C16" w14:textId="77777777">
        <w:trPr>
          <w:trHeight w:hRule="exact" w:val="225"/>
        </w:trPr>
        <w:tc>
          <w:tcPr>
            <w:tcW w:w="2025" w:type="pct"/>
            <w:tcBorders>
              <w:top w:val="nil"/>
              <w:left w:val="nil"/>
              <w:bottom w:val="nil"/>
              <w:right w:val="nil"/>
            </w:tcBorders>
            <w:shd w:val="clear" w:color="000000" w:fill="FFFFFF"/>
            <w:noWrap/>
            <w:vAlign w:val="center"/>
            <w:hideMark/>
          </w:tcPr>
          <w:p w14:paraId="7BDD43FB" w14:textId="2830432C" w:rsidR="00003E62" w:rsidRPr="009009F5" w:rsidRDefault="00003E62">
            <w:pPr>
              <w:spacing w:before="0" w:after="0" w:line="240" w:lineRule="auto"/>
              <w:ind w:left="170"/>
              <w:rPr>
                <w:rFonts w:ascii="Arial" w:hAnsi="Arial" w:cs="Arial"/>
                <w:b/>
                <w:bCs/>
                <w:sz w:val="16"/>
                <w:szCs w:val="16"/>
              </w:rPr>
            </w:pPr>
            <w:r w:rsidRPr="009009F5">
              <w:rPr>
                <w:rFonts w:ascii="Arial" w:hAnsi="Arial" w:cs="Arial"/>
                <w:b/>
                <w:bCs/>
                <w:sz w:val="16"/>
                <w:szCs w:val="16"/>
              </w:rPr>
              <w:t>2024</w:t>
            </w:r>
            <w:r w:rsidR="00404C26">
              <w:rPr>
                <w:rFonts w:ascii="Arial" w:hAnsi="Arial" w:cs="Arial"/>
                <w:b/>
                <w:bCs/>
                <w:sz w:val="16"/>
                <w:szCs w:val="16"/>
              </w:rPr>
              <w:noBreakHyphen/>
            </w:r>
            <w:r w:rsidRPr="009009F5">
              <w:rPr>
                <w:rFonts w:ascii="Arial" w:hAnsi="Arial" w:cs="Arial"/>
                <w:b/>
                <w:bCs/>
                <w:sz w:val="16"/>
                <w:szCs w:val="16"/>
              </w:rPr>
              <w:t>25 MYEFO</w:t>
            </w:r>
          </w:p>
        </w:tc>
        <w:tc>
          <w:tcPr>
            <w:tcW w:w="487" w:type="pct"/>
            <w:tcBorders>
              <w:top w:val="nil"/>
              <w:left w:val="nil"/>
              <w:bottom w:val="nil"/>
              <w:right w:val="nil"/>
            </w:tcBorders>
            <w:shd w:val="clear" w:color="000000" w:fill="FFFFFF"/>
            <w:noWrap/>
            <w:vAlign w:val="center"/>
            <w:hideMark/>
          </w:tcPr>
          <w:p w14:paraId="7285E433"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2" w:type="pct"/>
            <w:tcBorders>
              <w:top w:val="nil"/>
              <w:left w:val="nil"/>
              <w:bottom w:val="nil"/>
              <w:right w:val="nil"/>
            </w:tcBorders>
            <w:shd w:val="clear" w:color="000000" w:fill="E6F2FF"/>
            <w:noWrap/>
            <w:vAlign w:val="center"/>
            <w:hideMark/>
          </w:tcPr>
          <w:p w14:paraId="159067A6"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2" w:type="pct"/>
            <w:tcBorders>
              <w:top w:val="nil"/>
              <w:left w:val="nil"/>
              <w:bottom w:val="nil"/>
              <w:right w:val="nil"/>
            </w:tcBorders>
            <w:shd w:val="clear" w:color="000000" w:fill="FFFFFF"/>
            <w:noWrap/>
            <w:vAlign w:val="center"/>
            <w:hideMark/>
          </w:tcPr>
          <w:p w14:paraId="5FE50D2A"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7136F77F"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64C1AAE9"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61" w:type="pct"/>
            <w:tcBorders>
              <w:top w:val="nil"/>
              <w:left w:val="nil"/>
              <w:bottom w:val="nil"/>
              <w:right w:val="nil"/>
            </w:tcBorders>
            <w:shd w:val="clear" w:color="000000" w:fill="FFFFFF"/>
            <w:noWrap/>
            <w:vAlign w:val="center"/>
            <w:hideMark/>
          </w:tcPr>
          <w:p w14:paraId="74C69C82"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026F2EB3"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r>
      <w:tr w:rsidR="00003E62" w:rsidRPr="009009F5" w14:paraId="018F10C3" w14:textId="77777777">
        <w:trPr>
          <w:trHeight w:hRule="exact" w:val="225"/>
        </w:trPr>
        <w:tc>
          <w:tcPr>
            <w:tcW w:w="2025" w:type="pct"/>
            <w:tcBorders>
              <w:top w:val="nil"/>
              <w:left w:val="nil"/>
              <w:bottom w:val="nil"/>
              <w:right w:val="nil"/>
            </w:tcBorders>
            <w:shd w:val="clear" w:color="000000" w:fill="FFFFFF"/>
            <w:noWrap/>
            <w:vAlign w:val="center"/>
            <w:hideMark/>
          </w:tcPr>
          <w:p w14:paraId="28F6D7A4"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Effect of policy decisions(b)</w:t>
            </w:r>
          </w:p>
        </w:tc>
        <w:tc>
          <w:tcPr>
            <w:tcW w:w="487" w:type="pct"/>
            <w:tcBorders>
              <w:top w:val="nil"/>
              <w:left w:val="nil"/>
              <w:bottom w:val="nil"/>
              <w:right w:val="nil"/>
            </w:tcBorders>
            <w:shd w:val="clear" w:color="000000" w:fill="FFFFFF"/>
            <w:noWrap/>
            <w:vAlign w:val="center"/>
            <w:hideMark/>
          </w:tcPr>
          <w:p w14:paraId="20BB6B7F"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2,466</w:t>
            </w:r>
          </w:p>
        </w:tc>
        <w:tc>
          <w:tcPr>
            <w:tcW w:w="482" w:type="pct"/>
            <w:tcBorders>
              <w:top w:val="nil"/>
              <w:left w:val="nil"/>
              <w:bottom w:val="nil"/>
              <w:right w:val="nil"/>
            </w:tcBorders>
            <w:shd w:val="clear" w:color="000000" w:fill="E6F2FF"/>
            <w:noWrap/>
            <w:vAlign w:val="center"/>
            <w:hideMark/>
          </w:tcPr>
          <w:p w14:paraId="5117B476"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8,557</w:t>
            </w:r>
          </w:p>
        </w:tc>
        <w:tc>
          <w:tcPr>
            <w:tcW w:w="482" w:type="pct"/>
            <w:tcBorders>
              <w:top w:val="nil"/>
              <w:left w:val="nil"/>
              <w:bottom w:val="nil"/>
              <w:right w:val="nil"/>
            </w:tcBorders>
            <w:shd w:val="clear" w:color="000000" w:fill="FFFFFF"/>
            <w:noWrap/>
            <w:vAlign w:val="center"/>
            <w:hideMark/>
          </w:tcPr>
          <w:p w14:paraId="1572FE18"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5,175</w:t>
            </w:r>
          </w:p>
        </w:tc>
        <w:tc>
          <w:tcPr>
            <w:tcW w:w="487" w:type="pct"/>
            <w:tcBorders>
              <w:top w:val="nil"/>
              <w:left w:val="nil"/>
              <w:bottom w:val="nil"/>
              <w:right w:val="nil"/>
            </w:tcBorders>
            <w:shd w:val="clear" w:color="000000" w:fill="FFFFFF"/>
            <w:noWrap/>
            <w:vAlign w:val="center"/>
            <w:hideMark/>
          </w:tcPr>
          <w:p w14:paraId="778A8F6B"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2,920</w:t>
            </w:r>
          </w:p>
        </w:tc>
        <w:tc>
          <w:tcPr>
            <w:tcW w:w="487" w:type="pct"/>
            <w:tcBorders>
              <w:top w:val="nil"/>
              <w:left w:val="nil"/>
              <w:bottom w:val="nil"/>
              <w:right w:val="nil"/>
            </w:tcBorders>
            <w:shd w:val="clear" w:color="000000" w:fill="FFFFFF"/>
            <w:noWrap/>
            <w:vAlign w:val="center"/>
            <w:hideMark/>
          </w:tcPr>
          <w:p w14:paraId="19ACFEA0"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w:t>
            </w:r>
          </w:p>
        </w:tc>
        <w:tc>
          <w:tcPr>
            <w:tcW w:w="61" w:type="pct"/>
            <w:tcBorders>
              <w:top w:val="nil"/>
              <w:left w:val="nil"/>
              <w:bottom w:val="nil"/>
              <w:right w:val="nil"/>
            </w:tcBorders>
            <w:shd w:val="clear" w:color="000000" w:fill="FFFFFF"/>
            <w:noWrap/>
            <w:vAlign w:val="center"/>
            <w:hideMark/>
          </w:tcPr>
          <w:p w14:paraId="1CB0F241"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4B4A6EF2"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w:t>
            </w:r>
          </w:p>
        </w:tc>
      </w:tr>
      <w:tr w:rsidR="00003E62" w:rsidRPr="009009F5" w14:paraId="4BD690CE" w14:textId="77777777">
        <w:trPr>
          <w:trHeight w:hRule="exact" w:val="225"/>
        </w:trPr>
        <w:tc>
          <w:tcPr>
            <w:tcW w:w="2025" w:type="pct"/>
            <w:tcBorders>
              <w:top w:val="nil"/>
              <w:left w:val="nil"/>
              <w:bottom w:val="nil"/>
              <w:right w:val="nil"/>
            </w:tcBorders>
            <w:shd w:val="clear" w:color="000000" w:fill="FFFFFF"/>
            <w:noWrap/>
            <w:vAlign w:val="center"/>
            <w:hideMark/>
          </w:tcPr>
          <w:p w14:paraId="6882A9F5"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Effect of parameter and other variations</w:t>
            </w:r>
          </w:p>
        </w:tc>
        <w:tc>
          <w:tcPr>
            <w:tcW w:w="487" w:type="pct"/>
            <w:tcBorders>
              <w:top w:val="nil"/>
              <w:left w:val="nil"/>
              <w:bottom w:val="single" w:sz="4" w:space="0" w:color="000000"/>
              <w:right w:val="nil"/>
            </w:tcBorders>
            <w:shd w:val="clear" w:color="000000" w:fill="FFFFFF"/>
            <w:noWrap/>
            <w:vAlign w:val="center"/>
            <w:hideMark/>
          </w:tcPr>
          <w:p w14:paraId="77BF00C8"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1,935</w:t>
            </w:r>
          </w:p>
        </w:tc>
        <w:tc>
          <w:tcPr>
            <w:tcW w:w="482" w:type="pct"/>
            <w:tcBorders>
              <w:top w:val="nil"/>
              <w:left w:val="nil"/>
              <w:bottom w:val="single" w:sz="4" w:space="0" w:color="000000"/>
              <w:right w:val="nil"/>
            </w:tcBorders>
            <w:shd w:val="clear" w:color="000000" w:fill="E6F2FF"/>
            <w:noWrap/>
            <w:vAlign w:val="center"/>
            <w:hideMark/>
          </w:tcPr>
          <w:p w14:paraId="758DE9B8"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4,587</w:t>
            </w:r>
          </w:p>
        </w:tc>
        <w:tc>
          <w:tcPr>
            <w:tcW w:w="482" w:type="pct"/>
            <w:tcBorders>
              <w:top w:val="nil"/>
              <w:left w:val="nil"/>
              <w:bottom w:val="single" w:sz="4" w:space="0" w:color="000000"/>
              <w:right w:val="nil"/>
            </w:tcBorders>
            <w:shd w:val="clear" w:color="000000" w:fill="FFFFFF"/>
            <w:noWrap/>
            <w:vAlign w:val="center"/>
            <w:hideMark/>
          </w:tcPr>
          <w:p w14:paraId="604C3BCA"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9,841</w:t>
            </w:r>
          </w:p>
        </w:tc>
        <w:tc>
          <w:tcPr>
            <w:tcW w:w="487" w:type="pct"/>
            <w:tcBorders>
              <w:top w:val="nil"/>
              <w:left w:val="nil"/>
              <w:bottom w:val="single" w:sz="4" w:space="0" w:color="000000"/>
              <w:right w:val="nil"/>
            </w:tcBorders>
            <w:shd w:val="clear" w:color="000000" w:fill="FFFFFF"/>
            <w:noWrap/>
            <w:vAlign w:val="center"/>
            <w:hideMark/>
          </w:tcPr>
          <w:p w14:paraId="679EAFA3"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6,673</w:t>
            </w:r>
          </w:p>
        </w:tc>
        <w:tc>
          <w:tcPr>
            <w:tcW w:w="487" w:type="pct"/>
            <w:tcBorders>
              <w:top w:val="nil"/>
              <w:left w:val="nil"/>
              <w:bottom w:val="single" w:sz="4" w:space="0" w:color="000000"/>
              <w:right w:val="nil"/>
            </w:tcBorders>
            <w:shd w:val="clear" w:color="000000" w:fill="FFFFFF"/>
            <w:noWrap/>
            <w:vAlign w:val="center"/>
            <w:hideMark/>
          </w:tcPr>
          <w:p w14:paraId="4DC4F8B3"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w:t>
            </w:r>
          </w:p>
        </w:tc>
        <w:tc>
          <w:tcPr>
            <w:tcW w:w="61" w:type="pct"/>
            <w:tcBorders>
              <w:top w:val="nil"/>
              <w:left w:val="nil"/>
              <w:bottom w:val="nil"/>
              <w:right w:val="nil"/>
            </w:tcBorders>
            <w:shd w:val="clear" w:color="000000" w:fill="FFFFFF"/>
            <w:noWrap/>
            <w:vAlign w:val="center"/>
            <w:hideMark/>
          </w:tcPr>
          <w:p w14:paraId="1885C7DE"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5F514525"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w:t>
            </w:r>
          </w:p>
        </w:tc>
      </w:tr>
      <w:tr w:rsidR="00003E62" w:rsidRPr="009009F5" w14:paraId="3A3792D0" w14:textId="77777777">
        <w:trPr>
          <w:trHeight w:hRule="exact" w:val="225"/>
        </w:trPr>
        <w:tc>
          <w:tcPr>
            <w:tcW w:w="2025" w:type="pct"/>
            <w:tcBorders>
              <w:top w:val="nil"/>
              <w:left w:val="nil"/>
              <w:bottom w:val="nil"/>
              <w:right w:val="nil"/>
            </w:tcBorders>
            <w:shd w:val="clear" w:color="000000" w:fill="FFFFFF"/>
            <w:noWrap/>
            <w:vAlign w:val="center"/>
            <w:hideMark/>
          </w:tcPr>
          <w:p w14:paraId="017E0C0D" w14:textId="77777777" w:rsidR="00003E62" w:rsidRPr="009009F5" w:rsidRDefault="00003E62">
            <w:pPr>
              <w:spacing w:before="0" w:after="0" w:line="240" w:lineRule="auto"/>
              <w:rPr>
                <w:rFonts w:ascii="Arial" w:hAnsi="Arial" w:cs="Arial"/>
                <w:b/>
                <w:bCs/>
                <w:sz w:val="16"/>
                <w:szCs w:val="16"/>
              </w:rPr>
            </w:pPr>
            <w:r w:rsidRPr="009009F5">
              <w:rPr>
                <w:rFonts w:ascii="Arial" w:hAnsi="Arial" w:cs="Arial"/>
                <w:b/>
                <w:bCs/>
                <w:sz w:val="16"/>
                <w:szCs w:val="16"/>
              </w:rPr>
              <w:t>Total variations</w:t>
            </w:r>
          </w:p>
        </w:tc>
        <w:tc>
          <w:tcPr>
            <w:tcW w:w="487" w:type="pct"/>
            <w:tcBorders>
              <w:top w:val="nil"/>
              <w:left w:val="nil"/>
              <w:bottom w:val="single" w:sz="4" w:space="0" w:color="000000"/>
              <w:right w:val="nil"/>
            </w:tcBorders>
            <w:shd w:val="clear" w:color="000000" w:fill="FFFFFF"/>
            <w:noWrap/>
            <w:vAlign w:val="center"/>
            <w:hideMark/>
          </w:tcPr>
          <w:p w14:paraId="5BA100B3"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4,401</w:t>
            </w:r>
          </w:p>
        </w:tc>
        <w:tc>
          <w:tcPr>
            <w:tcW w:w="482" w:type="pct"/>
            <w:tcBorders>
              <w:top w:val="nil"/>
              <w:left w:val="nil"/>
              <w:bottom w:val="single" w:sz="4" w:space="0" w:color="000000"/>
              <w:right w:val="nil"/>
            </w:tcBorders>
            <w:shd w:val="clear" w:color="000000" w:fill="E6F2FF"/>
            <w:noWrap/>
            <w:vAlign w:val="center"/>
            <w:hideMark/>
          </w:tcPr>
          <w:p w14:paraId="4AA4B2C9"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13,143</w:t>
            </w:r>
          </w:p>
        </w:tc>
        <w:tc>
          <w:tcPr>
            <w:tcW w:w="482" w:type="pct"/>
            <w:tcBorders>
              <w:top w:val="nil"/>
              <w:left w:val="nil"/>
              <w:bottom w:val="single" w:sz="4" w:space="0" w:color="000000"/>
              <w:right w:val="nil"/>
            </w:tcBorders>
            <w:shd w:val="clear" w:color="000000" w:fill="FFFFFF"/>
            <w:noWrap/>
            <w:vAlign w:val="center"/>
            <w:hideMark/>
          </w:tcPr>
          <w:p w14:paraId="2B6BB392"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15,017</w:t>
            </w:r>
          </w:p>
        </w:tc>
        <w:tc>
          <w:tcPr>
            <w:tcW w:w="487" w:type="pct"/>
            <w:tcBorders>
              <w:top w:val="nil"/>
              <w:left w:val="nil"/>
              <w:bottom w:val="single" w:sz="4" w:space="0" w:color="000000"/>
              <w:right w:val="nil"/>
            </w:tcBorders>
            <w:shd w:val="clear" w:color="000000" w:fill="FFFFFF"/>
            <w:noWrap/>
            <w:vAlign w:val="center"/>
            <w:hideMark/>
          </w:tcPr>
          <w:p w14:paraId="5DD4A6C1"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9,593</w:t>
            </w:r>
          </w:p>
        </w:tc>
        <w:tc>
          <w:tcPr>
            <w:tcW w:w="487" w:type="pct"/>
            <w:tcBorders>
              <w:top w:val="nil"/>
              <w:left w:val="nil"/>
              <w:bottom w:val="single" w:sz="4" w:space="0" w:color="000000"/>
              <w:right w:val="nil"/>
            </w:tcBorders>
            <w:shd w:val="clear" w:color="000000" w:fill="FFFFFF"/>
            <w:noWrap/>
            <w:vAlign w:val="center"/>
            <w:hideMark/>
          </w:tcPr>
          <w:p w14:paraId="420E153A"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w:t>
            </w:r>
          </w:p>
        </w:tc>
        <w:tc>
          <w:tcPr>
            <w:tcW w:w="61" w:type="pct"/>
            <w:tcBorders>
              <w:top w:val="nil"/>
              <w:left w:val="nil"/>
              <w:bottom w:val="nil"/>
              <w:right w:val="nil"/>
            </w:tcBorders>
            <w:shd w:val="clear" w:color="000000" w:fill="FFFFFF"/>
            <w:noWrap/>
            <w:vAlign w:val="center"/>
            <w:hideMark/>
          </w:tcPr>
          <w:p w14:paraId="3151271D"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 </w:t>
            </w:r>
          </w:p>
        </w:tc>
        <w:tc>
          <w:tcPr>
            <w:tcW w:w="487" w:type="pct"/>
            <w:tcBorders>
              <w:top w:val="single" w:sz="4" w:space="0" w:color="auto"/>
              <w:left w:val="nil"/>
              <w:bottom w:val="single" w:sz="4" w:space="0" w:color="auto"/>
              <w:right w:val="nil"/>
            </w:tcBorders>
            <w:shd w:val="clear" w:color="000000" w:fill="FFFFFF"/>
            <w:noWrap/>
            <w:vAlign w:val="center"/>
            <w:hideMark/>
          </w:tcPr>
          <w:p w14:paraId="11566399"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w:t>
            </w:r>
          </w:p>
        </w:tc>
      </w:tr>
      <w:tr w:rsidR="00003E62" w:rsidRPr="009009F5" w14:paraId="49152FA4" w14:textId="77777777">
        <w:trPr>
          <w:trHeight w:hRule="exact" w:val="60"/>
        </w:trPr>
        <w:tc>
          <w:tcPr>
            <w:tcW w:w="2025" w:type="pct"/>
            <w:tcBorders>
              <w:top w:val="nil"/>
              <w:left w:val="nil"/>
              <w:bottom w:val="nil"/>
              <w:right w:val="nil"/>
            </w:tcBorders>
            <w:shd w:val="clear" w:color="000000" w:fill="FFFFFF"/>
            <w:noWrap/>
            <w:vAlign w:val="center"/>
            <w:hideMark/>
          </w:tcPr>
          <w:p w14:paraId="0108122E" w14:textId="77777777" w:rsidR="00003E62" w:rsidRPr="009009F5" w:rsidRDefault="00003E62">
            <w:pPr>
              <w:spacing w:before="0" w:after="0" w:line="240" w:lineRule="auto"/>
              <w:rPr>
                <w:rFonts w:ascii="Arial" w:hAnsi="Arial" w:cs="Arial"/>
                <w:b/>
                <w:bCs/>
                <w:sz w:val="16"/>
                <w:szCs w:val="16"/>
              </w:rPr>
            </w:pPr>
            <w:r w:rsidRPr="009009F5">
              <w:rPr>
                <w:rFonts w:ascii="Arial" w:hAnsi="Arial" w:cs="Arial"/>
                <w:b/>
                <w:bCs/>
                <w:sz w:val="16"/>
                <w:szCs w:val="16"/>
              </w:rPr>
              <w:t> </w:t>
            </w:r>
          </w:p>
        </w:tc>
        <w:tc>
          <w:tcPr>
            <w:tcW w:w="487" w:type="pct"/>
            <w:tcBorders>
              <w:top w:val="nil"/>
              <w:left w:val="nil"/>
              <w:bottom w:val="nil"/>
              <w:right w:val="nil"/>
            </w:tcBorders>
            <w:shd w:val="clear" w:color="000000" w:fill="FFFFFF"/>
            <w:noWrap/>
            <w:vAlign w:val="center"/>
            <w:hideMark/>
          </w:tcPr>
          <w:p w14:paraId="2DAE0F4E"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2" w:type="pct"/>
            <w:tcBorders>
              <w:top w:val="nil"/>
              <w:left w:val="nil"/>
              <w:bottom w:val="nil"/>
              <w:right w:val="nil"/>
            </w:tcBorders>
            <w:shd w:val="clear" w:color="000000" w:fill="E6F2FF"/>
            <w:noWrap/>
            <w:vAlign w:val="center"/>
            <w:hideMark/>
          </w:tcPr>
          <w:p w14:paraId="098DFDB4"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2" w:type="pct"/>
            <w:tcBorders>
              <w:top w:val="nil"/>
              <w:left w:val="nil"/>
              <w:bottom w:val="nil"/>
              <w:right w:val="nil"/>
            </w:tcBorders>
            <w:shd w:val="clear" w:color="000000" w:fill="FFFFFF"/>
            <w:noWrap/>
            <w:vAlign w:val="center"/>
            <w:hideMark/>
          </w:tcPr>
          <w:p w14:paraId="274AA39E"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7573AF96"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7224051D"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61" w:type="pct"/>
            <w:tcBorders>
              <w:top w:val="nil"/>
              <w:left w:val="nil"/>
              <w:bottom w:val="nil"/>
              <w:right w:val="nil"/>
            </w:tcBorders>
            <w:shd w:val="clear" w:color="000000" w:fill="FFFFFF"/>
            <w:noWrap/>
            <w:vAlign w:val="center"/>
            <w:hideMark/>
          </w:tcPr>
          <w:p w14:paraId="6AE51641"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7193AB07"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r>
      <w:tr w:rsidR="00003E62" w:rsidRPr="009009F5" w14:paraId="07E58776" w14:textId="77777777">
        <w:trPr>
          <w:trHeight w:hRule="exact" w:val="225"/>
        </w:trPr>
        <w:tc>
          <w:tcPr>
            <w:tcW w:w="2025" w:type="pct"/>
            <w:tcBorders>
              <w:top w:val="nil"/>
              <w:left w:val="nil"/>
              <w:bottom w:val="nil"/>
              <w:right w:val="nil"/>
            </w:tcBorders>
            <w:shd w:val="clear" w:color="000000" w:fill="FFFFFF"/>
            <w:noWrap/>
            <w:vAlign w:val="center"/>
            <w:hideMark/>
          </w:tcPr>
          <w:p w14:paraId="4CD18968" w14:textId="7DA68E9F" w:rsidR="00003E62" w:rsidRPr="009009F5" w:rsidRDefault="00003E62">
            <w:pPr>
              <w:spacing w:before="0" w:after="0" w:line="240" w:lineRule="auto"/>
              <w:rPr>
                <w:rFonts w:ascii="Arial" w:hAnsi="Arial" w:cs="Arial"/>
                <w:b/>
                <w:bCs/>
                <w:sz w:val="16"/>
                <w:szCs w:val="16"/>
              </w:rPr>
            </w:pPr>
            <w:r w:rsidRPr="009009F5">
              <w:rPr>
                <w:rFonts w:ascii="Arial" w:hAnsi="Arial" w:cs="Arial"/>
                <w:b/>
                <w:bCs/>
                <w:sz w:val="16"/>
                <w:szCs w:val="16"/>
              </w:rPr>
              <w:t>2024</w:t>
            </w:r>
            <w:r w:rsidR="00404C26">
              <w:rPr>
                <w:rFonts w:ascii="Arial" w:hAnsi="Arial" w:cs="Arial"/>
                <w:b/>
                <w:bCs/>
                <w:sz w:val="16"/>
                <w:szCs w:val="16"/>
              </w:rPr>
              <w:noBreakHyphen/>
            </w:r>
            <w:r w:rsidRPr="009009F5">
              <w:rPr>
                <w:rFonts w:ascii="Arial" w:hAnsi="Arial" w:cs="Arial"/>
                <w:b/>
                <w:bCs/>
                <w:sz w:val="16"/>
                <w:szCs w:val="16"/>
              </w:rPr>
              <w:t>25 MYEFO payments(c)</w:t>
            </w:r>
          </w:p>
        </w:tc>
        <w:tc>
          <w:tcPr>
            <w:tcW w:w="487" w:type="pct"/>
            <w:tcBorders>
              <w:top w:val="nil"/>
              <w:left w:val="nil"/>
              <w:bottom w:val="nil"/>
              <w:right w:val="nil"/>
            </w:tcBorders>
            <w:shd w:val="clear" w:color="000000" w:fill="FFFFFF"/>
            <w:noWrap/>
            <w:vAlign w:val="center"/>
            <w:hideMark/>
          </w:tcPr>
          <w:p w14:paraId="1D914B07"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731,133</w:t>
            </w:r>
          </w:p>
        </w:tc>
        <w:tc>
          <w:tcPr>
            <w:tcW w:w="482" w:type="pct"/>
            <w:tcBorders>
              <w:top w:val="nil"/>
              <w:left w:val="nil"/>
              <w:bottom w:val="nil"/>
              <w:right w:val="nil"/>
            </w:tcBorders>
            <w:shd w:val="clear" w:color="000000" w:fill="E6F2FF"/>
            <w:noWrap/>
            <w:vAlign w:val="center"/>
            <w:hideMark/>
          </w:tcPr>
          <w:p w14:paraId="69F802C3"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775,335</w:t>
            </w:r>
          </w:p>
        </w:tc>
        <w:tc>
          <w:tcPr>
            <w:tcW w:w="482" w:type="pct"/>
            <w:tcBorders>
              <w:top w:val="nil"/>
              <w:left w:val="nil"/>
              <w:bottom w:val="nil"/>
              <w:right w:val="nil"/>
            </w:tcBorders>
            <w:shd w:val="clear" w:color="000000" w:fill="FFFFFF"/>
            <w:noWrap/>
            <w:vAlign w:val="center"/>
            <w:hideMark/>
          </w:tcPr>
          <w:p w14:paraId="6A8EEE05"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801,739</w:t>
            </w:r>
          </w:p>
        </w:tc>
        <w:tc>
          <w:tcPr>
            <w:tcW w:w="487" w:type="pct"/>
            <w:tcBorders>
              <w:top w:val="nil"/>
              <w:left w:val="nil"/>
              <w:bottom w:val="nil"/>
              <w:right w:val="nil"/>
            </w:tcBorders>
            <w:shd w:val="clear" w:color="000000" w:fill="FFFFFF"/>
            <w:noWrap/>
            <w:vAlign w:val="center"/>
            <w:hideMark/>
          </w:tcPr>
          <w:p w14:paraId="084E2756"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835,749</w:t>
            </w:r>
          </w:p>
        </w:tc>
        <w:tc>
          <w:tcPr>
            <w:tcW w:w="487" w:type="pct"/>
            <w:tcBorders>
              <w:top w:val="nil"/>
              <w:left w:val="nil"/>
              <w:bottom w:val="nil"/>
              <w:right w:val="nil"/>
            </w:tcBorders>
            <w:shd w:val="clear" w:color="000000" w:fill="FFFFFF"/>
            <w:noWrap/>
            <w:vAlign w:val="center"/>
            <w:hideMark/>
          </w:tcPr>
          <w:p w14:paraId="3947C8D6"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886,378</w:t>
            </w:r>
          </w:p>
        </w:tc>
        <w:tc>
          <w:tcPr>
            <w:tcW w:w="61" w:type="pct"/>
            <w:tcBorders>
              <w:top w:val="nil"/>
              <w:left w:val="nil"/>
              <w:bottom w:val="nil"/>
              <w:right w:val="nil"/>
            </w:tcBorders>
            <w:shd w:val="clear" w:color="000000" w:fill="FFFFFF"/>
            <w:noWrap/>
            <w:vAlign w:val="center"/>
            <w:hideMark/>
          </w:tcPr>
          <w:p w14:paraId="11F0953C"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 </w:t>
            </w:r>
          </w:p>
        </w:tc>
        <w:tc>
          <w:tcPr>
            <w:tcW w:w="487" w:type="pct"/>
            <w:tcBorders>
              <w:top w:val="nil"/>
              <w:left w:val="nil"/>
              <w:bottom w:val="nil"/>
              <w:right w:val="nil"/>
            </w:tcBorders>
            <w:shd w:val="clear" w:color="000000" w:fill="FFFFFF"/>
            <w:noWrap/>
            <w:vAlign w:val="center"/>
            <w:hideMark/>
          </w:tcPr>
          <w:p w14:paraId="5599C9F4"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4,030,334</w:t>
            </w:r>
          </w:p>
        </w:tc>
      </w:tr>
      <w:tr w:rsidR="00003E62" w:rsidRPr="009009F5" w14:paraId="5423921D" w14:textId="77777777">
        <w:trPr>
          <w:trHeight w:hRule="exact" w:val="60"/>
        </w:trPr>
        <w:tc>
          <w:tcPr>
            <w:tcW w:w="2025" w:type="pct"/>
            <w:tcBorders>
              <w:top w:val="nil"/>
              <w:left w:val="nil"/>
              <w:bottom w:val="nil"/>
              <w:right w:val="nil"/>
            </w:tcBorders>
            <w:shd w:val="clear" w:color="000000" w:fill="FFFFFF"/>
            <w:noWrap/>
            <w:vAlign w:val="center"/>
            <w:hideMark/>
          </w:tcPr>
          <w:p w14:paraId="0B8A69FA" w14:textId="77777777" w:rsidR="00003E62" w:rsidRPr="009009F5" w:rsidRDefault="00003E62">
            <w:pPr>
              <w:spacing w:before="0" w:after="0" w:line="240" w:lineRule="auto"/>
              <w:rPr>
                <w:rFonts w:ascii="Arial" w:hAnsi="Arial" w:cs="Arial"/>
                <w:b/>
                <w:bCs/>
                <w:sz w:val="16"/>
                <w:szCs w:val="16"/>
              </w:rPr>
            </w:pPr>
            <w:r w:rsidRPr="009009F5">
              <w:rPr>
                <w:rFonts w:ascii="Arial" w:hAnsi="Arial" w:cs="Arial"/>
                <w:b/>
                <w:bCs/>
                <w:sz w:val="16"/>
                <w:szCs w:val="16"/>
              </w:rPr>
              <w:t> </w:t>
            </w:r>
          </w:p>
        </w:tc>
        <w:tc>
          <w:tcPr>
            <w:tcW w:w="487" w:type="pct"/>
            <w:tcBorders>
              <w:top w:val="nil"/>
              <w:left w:val="nil"/>
              <w:bottom w:val="nil"/>
              <w:right w:val="nil"/>
            </w:tcBorders>
            <w:shd w:val="clear" w:color="000000" w:fill="FFFFFF"/>
            <w:noWrap/>
            <w:vAlign w:val="center"/>
            <w:hideMark/>
          </w:tcPr>
          <w:p w14:paraId="58104076"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2" w:type="pct"/>
            <w:tcBorders>
              <w:top w:val="nil"/>
              <w:left w:val="nil"/>
              <w:bottom w:val="nil"/>
              <w:right w:val="nil"/>
            </w:tcBorders>
            <w:shd w:val="clear" w:color="000000" w:fill="E6F2FF"/>
            <w:noWrap/>
            <w:vAlign w:val="center"/>
            <w:hideMark/>
          </w:tcPr>
          <w:p w14:paraId="0285C1E4"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2" w:type="pct"/>
            <w:tcBorders>
              <w:top w:val="nil"/>
              <w:left w:val="nil"/>
              <w:bottom w:val="nil"/>
              <w:right w:val="nil"/>
            </w:tcBorders>
            <w:shd w:val="clear" w:color="000000" w:fill="FFFFFF"/>
            <w:noWrap/>
            <w:vAlign w:val="center"/>
            <w:hideMark/>
          </w:tcPr>
          <w:p w14:paraId="606C0531"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2B101FF1"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24A623B0"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61" w:type="pct"/>
            <w:tcBorders>
              <w:top w:val="nil"/>
              <w:left w:val="nil"/>
              <w:bottom w:val="nil"/>
              <w:right w:val="nil"/>
            </w:tcBorders>
            <w:shd w:val="clear" w:color="000000" w:fill="FFFFFF"/>
            <w:noWrap/>
            <w:vAlign w:val="center"/>
            <w:hideMark/>
          </w:tcPr>
          <w:p w14:paraId="14B3E730"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54B8E485"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r>
      <w:tr w:rsidR="00003E62" w:rsidRPr="009009F5" w14:paraId="59F90CCE" w14:textId="77777777">
        <w:trPr>
          <w:trHeight w:hRule="exact" w:val="225"/>
        </w:trPr>
        <w:tc>
          <w:tcPr>
            <w:tcW w:w="2025" w:type="pct"/>
            <w:tcBorders>
              <w:top w:val="nil"/>
              <w:left w:val="nil"/>
              <w:bottom w:val="nil"/>
              <w:right w:val="nil"/>
            </w:tcBorders>
            <w:shd w:val="clear" w:color="000000" w:fill="FFFFFF"/>
            <w:noWrap/>
            <w:vAlign w:val="center"/>
            <w:hideMark/>
          </w:tcPr>
          <w:p w14:paraId="73A94D88" w14:textId="7E0D2B3B" w:rsidR="00003E62" w:rsidRPr="009009F5" w:rsidRDefault="00003E62">
            <w:pPr>
              <w:spacing w:before="0" w:after="0" w:line="240" w:lineRule="auto"/>
              <w:rPr>
                <w:rFonts w:ascii="Arial" w:hAnsi="Arial" w:cs="Arial"/>
                <w:b/>
                <w:bCs/>
                <w:sz w:val="16"/>
                <w:szCs w:val="16"/>
              </w:rPr>
            </w:pPr>
            <w:r w:rsidRPr="009009F5">
              <w:rPr>
                <w:rFonts w:ascii="Arial" w:hAnsi="Arial" w:cs="Arial"/>
                <w:b/>
                <w:bCs/>
                <w:sz w:val="16"/>
                <w:szCs w:val="16"/>
              </w:rPr>
              <w:t>Changes from 2024</w:t>
            </w:r>
            <w:r w:rsidR="00404C26">
              <w:rPr>
                <w:rFonts w:ascii="Arial" w:hAnsi="Arial" w:cs="Arial"/>
                <w:b/>
                <w:bCs/>
                <w:sz w:val="16"/>
                <w:szCs w:val="16"/>
              </w:rPr>
              <w:noBreakHyphen/>
            </w:r>
            <w:r w:rsidRPr="009009F5">
              <w:rPr>
                <w:rFonts w:ascii="Arial" w:hAnsi="Arial" w:cs="Arial"/>
                <w:b/>
                <w:bCs/>
                <w:sz w:val="16"/>
                <w:szCs w:val="16"/>
              </w:rPr>
              <w:t>25 MYEFO</w:t>
            </w:r>
          </w:p>
        </w:tc>
        <w:tc>
          <w:tcPr>
            <w:tcW w:w="487" w:type="pct"/>
            <w:tcBorders>
              <w:top w:val="nil"/>
              <w:left w:val="nil"/>
              <w:bottom w:val="nil"/>
              <w:right w:val="nil"/>
            </w:tcBorders>
            <w:shd w:val="clear" w:color="000000" w:fill="FFFFFF"/>
            <w:noWrap/>
            <w:vAlign w:val="center"/>
            <w:hideMark/>
          </w:tcPr>
          <w:p w14:paraId="411042EE"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2" w:type="pct"/>
            <w:tcBorders>
              <w:top w:val="nil"/>
              <w:left w:val="nil"/>
              <w:bottom w:val="nil"/>
              <w:right w:val="nil"/>
            </w:tcBorders>
            <w:shd w:val="clear" w:color="000000" w:fill="E6F2FF"/>
            <w:noWrap/>
            <w:vAlign w:val="center"/>
            <w:hideMark/>
          </w:tcPr>
          <w:p w14:paraId="27E48D4A"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2" w:type="pct"/>
            <w:tcBorders>
              <w:top w:val="nil"/>
              <w:left w:val="nil"/>
              <w:bottom w:val="nil"/>
              <w:right w:val="nil"/>
            </w:tcBorders>
            <w:shd w:val="clear" w:color="000000" w:fill="FFFFFF"/>
            <w:noWrap/>
            <w:vAlign w:val="center"/>
            <w:hideMark/>
          </w:tcPr>
          <w:p w14:paraId="060D07C8"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3CF04A77"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696583A8"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61" w:type="pct"/>
            <w:tcBorders>
              <w:top w:val="nil"/>
              <w:left w:val="nil"/>
              <w:bottom w:val="nil"/>
              <w:right w:val="nil"/>
            </w:tcBorders>
            <w:shd w:val="clear" w:color="000000" w:fill="FFFFFF"/>
            <w:noWrap/>
            <w:vAlign w:val="center"/>
            <w:hideMark/>
          </w:tcPr>
          <w:p w14:paraId="7678A85B"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0DDFB395"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r>
      <w:tr w:rsidR="00003E62" w:rsidRPr="009009F5" w14:paraId="38B452F3" w14:textId="77777777">
        <w:trPr>
          <w:trHeight w:hRule="exact" w:val="225"/>
        </w:trPr>
        <w:tc>
          <w:tcPr>
            <w:tcW w:w="2025" w:type="pct"/>
            <w:tcBorders>
              <w:top w:val="nil"/>
              <w:left w:val="nil"/>
              <w:bottom w:val="nil"/>
              <w:right w:val="nil"/>
            </w:tcBorders>
            <w:shd w:val="clear" w:color="000000" w:fill="FFFFFF"/>
            <w:noWrap/>
            <w:vAlign w:val="center"/>
            <w:hideMark/>
          </w:tcPr>
          <w:p w14:paraId="426D2516" w14:textId="774A8EFE" w:rsidR="00003E62" w:rsidRPr="009009F5" w:rsidRDefault="00003E62">
            <w:pPr>
              <w:spacing w:before="0" w:after="0" w:line="240" w:lineRule="auto"/>
              <w:ind w:left="170"/>
              <w:rPr>
                <w:rFonts w:ascii="Arial" w:hAnsi="Arial" w:cs="Arial"/>
                <w:b/>
                <w:bCs/>
                <w:sz w:val="16"/>
                <w:szCs w:val="16"/>
              </w:rPr>
            </w:pPr>
            <w:r w:rsidRPr="009009F5">
              <w:rPr>
                <w:rFonts w:ascii="Arial" w:hAnsi="Arial" w:cs="Arial"/>
                <w:b/>
                <w:bCs/>
                <w:sz w:val="16"/>
                <w:szCs w:val="16"/>
              </w:rPr>
              <w:t>to 2025</w:t>
            </w:r>
            <w:r w:rsidR="00404C26">
              <w:rPr>
                <w:rFonts w:ascii="Arial" w:hAnsi="Arial" w:cs="Arial"/>
                <w:b/>
                <w:bCs/>
                <w:sz w:val="16"/>
                <w:szCs w:val="16"/>
              </w:rPr>
              <w:noBreakHyphen/>
            </w:r>
            <w:r w:rsidRPr="009009F5">
              <w:rPr>
                <w:rFonts w:ascii="Arial" w:hAnsi="Arial" w:cs="Arial"/>
                <w:b/>
                <w:bCs/>
                <w:sz w:val="16"/>
                <w:szCs w:val="16"/>
              </w:rPr>
              <w:t>26 Budget</w:t>
            </w:r>
          </w:p>
        </w:tc>
        <w:tc>
          <w:tcPr>
            <w:tcW w:w="487" w:type="pct"/>
            <w:tcBorders>
              <w:top w:val="nil"/>
              <w:left w:val="nil"/>
              <w:bottom w:val="nil"/>
              <w:right w:val="nil"/>
            </w:tcBorders>
            <w:shd w:val="clear" w:color="000000" w:fill="FFFFFF"/>
            <w:noWrap/>
            <w:vAlign w:val="center"/>
            <w:hideMark/>
          </w:tcPr>
          <w:p w14:paraId="70348632" w14:textId="77777777" w:rsidR="00003E62" w:rsidRPr="009009F5" w:rsidRDefault="00003E62">
            <w:pPr>
              <w:spacing w:before="0" w:after="0" w:line="240" w:lineRule="auto"/>
              <w:rPr>
                <w:rFonts w:ascii="Arial" w:hAnsi="Arial" w:cs="Arial"/>
                <w:i/>
                <w:iCs/>
                <w:sz w:val="16"/>
                <w:szCs w:val="16"/>
              </w:rPr>
            </w:pPr>
            <w:r w:rsidRPr="009009F5">
              <w:rPr>
                <w:rFonts w:ascii="Arial" w:hAnsi="Arial" w:cs="Arial"/>
                <w:i/>
                <w:iCs/>
                <w:sz w:val="16"/>
                <w:szCs w:val="16"/>
              </w:rPr>
              <w:t> </w:t>
            </w:r>
          </w:p>
        </w:tc>
        <w:tc>
          <w:tcPr>
            <w:tcW w:w="482" w:type="pct"/>
            <w:tcBorders>
              <w:top w:val="nil"/>
              <w:left w:val="nil"/>
              <w:bottom w:val="nil"/>
              <w:right w:val="nil"/>
            </w:tcBorders>
            <w:shd w:val="clear" w:color="000000" w:fill="E6F2FF"/>
            <w:noWrap/>
            <w:vAlign w:val="center"/>
            <w:hideMark/>
          </w:tcPr>
          <w:p w14:paraId="2A0D17C3" w14:textId="77777777" w:rsidR="00003E62" w:rsidRPr="009009F5" w:rsidRDefault="00003E62">
            <w:pPr>
              <w:spacing w:before="0" w:after="0" w:line="240" w:lineRule="auto"/>
              <w:rPr>
                <w:rFonts w:ascii="Arial" w:hAnsi="Arial" w:cs="Arial"/>
                <w:i/>
                <w:iCs/>
                <w:sz w:val="16"/>
                <w:szCs w:val="16"/>
              </w:rPr>
            </w:pPr>
            <w:r w:rsidRPr="009009F5">
              <w:rPr>
                <w:rFonts w:ascii="Arial" w:hAnsi="Arial" w:cs="Arial"/>
                <w:i/>
                <w:iCs/>
                <w:sz w:val="16"/>
                <w:szCs w:val="16"/>
              </w:rPr>
              <w:t> </w:t>
            </w:r>
          </w:p>
        </w:tc>
        <w:tc>
          <w:tcPr>
            <w:tcW w:w="482" w:type="pct"/>
            <w:tcBorders>
              <w:top w:val="nil"/>
              <w:left w:val="nil"/>
              <w:bottom w:val="nil"/>
              <w:right w:val="nil"/>
            </w:tcBorders>
            <w:shd w:val="clear" w:color="000000" w:fill="FFFFFF"/>
            <w:noWrap/>
            <w:vAlign w:val="center"/>
            <w:hideMark/>
          </w:tcPr>
          <w:p w14:paraId="53556762" w14:textId="77777777" w:rsidR="00003E62" w:rsidRPr="009009F5" w:rsidRDefault="00003E62">
            <w:pPr>
              <w:spacing w:before="0" w:after="0" w:line="240" w:lineRule="auto"/>
              <w:rPr>
                <w:rFonts w:ascii="Arial" w:hAnsi="Arial" w:cs="Arial"/>
                <w:i/>
                <w:iCs/>
                <w:sz w:val="16"/>
                <w:szCs w:val="16"/>
              </w:rPr>
            </w:pPr>
            <w:r w:rsidRPr="009009F5">
              <w:rPr>
                <w:rFonts w:ascii="Arial" w:hAnsi="Arial" w:cs="Arial"/>
                <w:i/>
                <w:iCs/>
                <w:sz w:val="16"/>
                <w:szCs w:val="16"/>
              </w:rPr>
              <w:t> </w:t>
            </w:r>
          </w:p>
        </w:tc>
        <w:tc>
          <w:tcPr>
            <w:tcW w:w="487" w:type="pct"/>
            <w:tcBorders>
              <w:top w:val="nil"/>
              <w:left w:val="nil"/>
              <w:bottom w:val="nil"/>
              <w:right w:val="nil"/>
            </w:tcBorders>
            <w:shd w:val="clear" w:color="000000" w:fill="FFFFFF"/>
            <w:noWrap/>
            <w:vAlign w:val="center"/>
            <w:hideMark/>
          </w:tcPr>
          <w:p w14:paraId="0E6C08C0" w14:textId="77777777" w:rsidR="00003E62" w:rsidRPr="009009F5" w:rsidRDefault="00003E62">
            <w:pPr>
              <w:spacing w:before="0" w:after="0" w:line="240" w:lineRule="auto"/>
              <w:rPr>
                <w:rFonts w:ascii="Arial" w:hAnsi="Arial" w:cs="Arial"/>
                <w:i/>
                <w:iCs/>
                <w:sz w:val="16"/>
                <w:szCs w:val="16"/>
              </w:rPr>
            </w:pPr>
            <w:r w:rsidRPr="009009F5">
              <w:rPr>
                <w:rFonts w:ascii="Arial" w:hAnsi="Arial" w:cs="Arial"/>
                <w:i/>
                <w:iCs/>
                <w:sz w:val="16"/>
                <w:szCs w:val="16"/>
              </w:rPr>
              <w:t> </w:t>
            </w:r>
          </w:p>
        </w:tc>
        <w:tc>
          <w:tcPr>
            <w:tcW w:w="487" w:type="pct"/>
            <w:tcBorders>
              <w:top w:val="nil"/>
              <w:left w:val="nil"/>
              <w:bottom w:val="nil"/>
              <w:right w:val="nil"/>
            </w:tcBorders>
            <w:shd w:val="clear" w:color="000000" w:fill="FFFFFF"/>
            <w:noWrap/>
            <w:vAlign w:val="center"/>
            <w:hideMark/>
          </w:tcPr>
          <w:p w14:paraId="619861AC" w14:textId="77777777" w:rsidR="00003E62" w:rsidRPr="009009F5" w:rsidRDefault="00003E62">
            <w:pPr>
              <w:spacing w:before="0" w:after="0" w:line="240" w:lineRule="auto"/>
              <w:rPr>
                <w:rFonts w:ascii="Arial" w:hAnsi="Arial" w:cs="Arial"/>
                <w:i/>
                <w:iCs/>
                <w:sz w:val="16"/>
                <w:szCs w:val="16"/>
              </w:rPr>
            </w:pPr>
            <w:r w:rsidRPr="009009F5">
              <w:rPr>
                <w:rFonts w:ascii="Arial" w:hAnsi="Arial" w:cs="Arial"/>
                <w:i/>
                <w:iCs/>
                <w:sz w:val="16"/>
                <w:szCs w:val="16"/>
              </w:rPr>
              <w:t> </w:t>
            </w:r>
          </w:p>
        </w:tc>
        <w:tc>
          <w:tcPr>
            <w:tcW w:w="61" w:type="pct"/>
            <w:tcBorders>
              <w:top w:val="nil"/>
              <w:left w:val="nil"/>
              <w:bottom w:val="nil"/>
              <w:right w:val="nil"/>
            </w:tcBorders>
            <w:shd w:val="clear" w:color="000000" w:fill="FFFFFF"/>
            <w:noWrap/>
            <w:vAlign w:val="center"/>
            <w:hideMark/>
          </w:tcPr>
          <w:p w14:paraId="2DE7FEF8" w14:textId="77777777" w:rsidR="00003E62" w:rsidRPr="009009F5" w:rsidRDefault="00003E62">
            <w:pPr>
              <w:spacing w:before="0" w:after="0" w:line="240" w:lineRule="auto"/>
              <w:rPr>
                <w:rFonts w:ascii="Arial" w:hAnsi="Arial" w:cs="Arial"/>
                <w:i/>
                <w:iCs/>
                <w:sz w:val="16"/>
                <w:szCs w:val="16"/>
              </w:rPr>
            </w:pPr>
            <w:r w:rsidRPr="009009F5">
              <w:rPr>
                <w:rFonts w:ascii="Arial" w:hAnsi="Arial" w:cs="Arial"/>
                <w:i/>
                <w:iCs/>
                <w:sz w:val="16"/>
                <w:szCs w:val="16"/>
              </w:rPr>
              <w:t> </w:t>
            </w:r>
          </w:p>
        </w:tc>
        <w:tc>
          <w:tcPr>
            <w:tcW w:w="487" w:type="pct"/>
            <w:tcBorders>
              <w:top w:val="nil"/>
              <w:left w:val="nil"/>
              <w:bottom w:val="nil"/>
              <w:right w:val="nil"/>
            </w:tcBorders>
            <w:shd w:val="clear" w:color="000000" w:fill="FFFFFF"/>
            <w:noWrap/>
            <w:vAlign w:val="center"/>
            <w:hideMark/>
          </w:tcPr>
          <w:p w14:paraId="382D30C2"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r>
      <w:tr w:rsidR="00003E62" w:rsidRPr="009009F5" w14:paraId="2FE7A8CD" w14:textId="77777777">
        <w:trPr>
          <w:trHeight w:hRule="exact" w:val="225"/>
        </w:trPr>
        <w:tc>
          <w:tcPr>
            <w:tcW w:w="2025" w:type="pct"/>
            <w:tcBorders>
              <w:top w:val="nil"/>
              <w:left w:val="nil"/>
              <w:bottom w:val="nil"/>
              <w:right w:val="nil"/>
            </w:tcBorders>
            <w:shd w:val="clear" w:color="000000" w:fill="FFFFFF"/>
            <w:noWrap/>
            <w:vAlign w:val="center"/>
            <w:hideMark/>
          </w:tcPr>
          <w:p w14:paraId="78DF1143"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Effect of policy decisions(b)</w:t>
            </w:r>
          </w:p>
        </w:tc>
        <w:tc>
          <w:tcPr>
            <w:tcW w:w="487" w:type="pct"/>
            <w:tcBorders>
              <w:top w:val="nil"/>
              <w:left w:val="nil"/>
              <w:bottom w:val="nil"/>
              <w:right w:val="nil"/>
            </w:tcBorders>
            <w:shd w:val="clear" w:color="000000" w:fill="FFFFFF"/>
            <w:noWrap/>
            <w:vAlign w:val="center"/>
            <w:hideMark/>
          </w:tcPr>
          <w:p w14:paraId="20A62124"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158</w:t>
            </w:r>
          </w:p>
        </w:tc>
        <w:tc>
          <w:tcPr>
            <w:tcW w:w="482" w:type="pct"/>
            <w:tcBorders>
              <w:top w:val="nil"/>
              <w:left w:val="nil"/>
              <w:bottom w:val="nil"/>
              <w:right w:val="nil"/>
            </w:tcBorders>
            <w:shd w:val="clear" w:color="000000" w:fill="E6F2FF"/>
            <w:noWrap/>
            <w:vAlign w:val="center"/>
            <w:hideMark/>
          </w:tcPr>
          <w:p w14:paraId="205227D7"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7,141</w:t>
            </w:r>
          </w:p>
        </w:tc>
        <w:tc>
          <w:tcPr>
            <w:tcW w:w="482" w:type="pct"/>
            <w:tcBorders>
              <w:top w:val="nil"/>
              <w:left w:val="nil"/>
              <w:bottom w:val="nil"/>
              <w:right w:val="nil"/>
            </w:tcBorders>
            <w:shd w:val="clear" w:color="000000" w:fill="FFFFFF"/>
            <w:noWrap/>
            <w:vAlign w:val="center"/>
            <w:hideMark/>
          </w:tcPr>
          <w:p w14:paraId="0ACF1AB5"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4,230</w:t>
            </w:r>
          </w:p>
        </w:tc>
        <w:tc>
          <w:tcPr>
            <w:tcW w:w="487" w:type="pct"/>
            <w:tcBorders>
              <w:top w:val="nil"/>
              <w:left w:val="nil"/>
              <w:bottom w:val="nil"/>
              <w:right w:val="nil"/>
            </w:tcBorders>
            <w:shd w:val="clear" w:color="000000" w:fill="FFFFFF"/>
            <w:noWrap/>
            <w:vAlign w:val="center"/>
            <w:hideMark/>
          </w:tcPr>
          <w:p w14:paraId="46403CB0"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4,533</w:t>
            </w:r>
          </w:p>
        </w:tc>
        <w:tc>
          <w:tcPr>
            <w:tcW w:w="487" w:type="pct"/>
            <w:tcBorders>
              <w:top w:val="nil"/>
              <w:left w:val="nil"/>
              <w:bottom w:val="nil"/>
              <w:right w:val="nil"/>
            </w:tcBorders>
            <w:shd w:val="clear" w:color="000000" w:fill="FFFFFF"/>
            <w:noWrap/>
            <w:vAlign w:val="center"/>
            <w:hideMark/>
          </w:tcPr>
          <w:p w14:paraId="296508DA"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4,644</w:t>
            </w:r>
          </w:p>
        </w:tc>
        <w:tc>
          <w:tcPr>
            <w:tcW w:w="61" w:type="pct"/>
            <w:tcBorders>
              <w:top w:val="nil"/>
              <w:left w:val="nil"/>
              <w:bottom w:val="nil"/>
              <w:right w:val="nil"/>
            </w:tcBorders>
            <w:shd w:val="clear" w:color="000000" w:fill="FFFFFF"/>
            <w:noWrap/>
            <w:vAlign w:val="center"/>
            <w:hideMark/>
          </w:tcPr>
          <w:p w14:paraId="24114FAA"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4729F6A3"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20,706</w:t>
            </w:r>
          </w:p>
        </w:tc>
      </w:tr>
      <w:tr w:rsidR="00003E62" w:rsidRPr="009009F5" w14:paraId="2E0EB219" w14:textId="77777777">
        <w:trPr>
          <w:trHeight w:hRule="exact" w:val="225"/>
        </w:trPr>
        <w:tc>
          <w:tcPr>
            <w:tcW w:w="2025" w:type="pct"/>
            <w:tcBorders>
              <w:top w:val="nil"/>
              <w:left w:val="nil"/>
              <w:bottom w:val="nil"/>
              <w:right w:val="nil"/>
            </w:tcBorders>
            <w:shd w:val="clear" w:color="000000" w:fill="FFFFFF"/>
            <w:noWrap/>
            <w:vAlign w:val="center"/>
            <w:hideMark/>
          </w:tcPr>
          <w:p w14:paraId="6543954A"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Effect of parameter and other variations</w:t>
            </w:r>
          </w:p>
        </w:tc>
        <w:tc>
          <w:tcPr>
            <w:tcW w:w="487" w:type="pct"/>
            <w:tcBorders>
              <w:top w:val="nil"/>
              <w:left w:val="nil"/>
              <w:bottom w:val="nil"/>
              <w:right w:val="nil"/>
            </w:tcBorders>
            <w:shd w:val="clear" w:color="000000" w:fill="FFFFFF"/>
            <w:noWrap/>
            <w:vAlign w:val="center"/>
            <w:hideMark/>
          </w:tcPr>
          <w:p w14:paraId="6CC32966"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236</w:t>
            </w:r>
          </w:p>
        </w:tc>
        <w:tc>
          <w:tcPr>
            <w:tcW w:w="482" w:type="pct"/>
            <w:tcBorders>
              <w:top w:val="nil"/>
              <w:left w:val="nil"/>
              <w:bottom w:val="nil"/>
              <w:right w:val="nil"/>
            </w:tcBorders>
            <w:shd w:val="clear" w:color="000000" w:fill="E6F2FF"/>
            <w:noWrap/>
            <w:vAlign w:val="center"/>
            <w:hideMark/>
          </w:tcPr>
          <w:p w14:paraId="16180F04" w14:textId="34F024B9" w:rsidR="00003E62" w:rsidRPr="009009F5" w:rsidRDefault="00404C26">
            <w:pPr>
              <w:spacing w:before="0" w:after="0" w:line="240" w:lineRule="auto"/>
              <w:jc w:val="right"/>
              <w:rPr>
                <w:rFonts w:ascii="Arial" w:hAnsi="Arial" w:cs="Arial"/>
                <w:sz w:val="16"/>
                <w:szCs w:val="16"/>
              </w:rPr>
            </w:pPr>
            <w:r>
              <w:rPr>
                <w:rFonts w:ascii="Arial" w:hAnsi="Arial" w:cs="Arial"/>
                <w:sz w:val="16"/>
                <w:szCs w:val="16"/>
              </w:rPr>
              <w:noBreakHyphen/>
            </w:r>
            <w:r w:rsidR="00003E62" w:rsidRPr="009009F5">
              <w:rPr>
                <w:rFonts w:ascii="Arial" w:hAnsi="Arial" w:cs="Arial"/>
                <w:sz w:val="16"/>
                <w:szCs w:val="16"/>
              </w:rPr>
              <w:t>5,001</w:t>
            </w:r>
          </w:p>
        </w:tc>
        <w:tc>
          <w:tcPr>
            <w:tcW w:w="482" w:type="pct"/>
            <w:tcBorders>
              <w:top w:val="nil"/>
              <w:left w:val="nil"/>
              <w:bottom w:val="nil"/>
              <w:right w:val="nil"/>
            </w:tcBorders>
            <w:shd w:val="clear" w:color="000000" w:fill="FFFFFF"/>
            <w:noWrap/>
            <w:vAlign w:val="center"/>
            <w:hideMark/>
          </w:tcPr>
          <w:p w14:paraId="3404C1BA" w14:textId="364579F5" w:rsidR="00003E62" w:rsidRPr="009009F5" w:rsidRDefault="00404C26">
            <w:pPr>
              <w:spacing w:before="0" w:after="0" w:line="240" w:lineRule="auto"/>
              <w:jc w:val="right"/>
              <w:rPr>
                <w:rFonts w:ascii="Arial" w:hAnsi="Arial" w:cs="Arial"/>
                <w:sz w:val="16"/>
                <w:szCs w:val="16"/>
              </w:rPr>
            </w:pPr>
            <w:r>
              <w:rPr>
                <w:rFonts w:ascii="Arial" w:hAnsi="Arial" w:cs="Arial"/>
                <w:sz w:val="16"/>
                <w:szCs w:val="16"/>
              </w:rPr>
              <w:noBreakHyphen/>
            </w:r>
            <w:r w:rsidR="00003E62" w:rsidRPr="009009F5">
              <w:rPr>
                <w:rFonts w:ascii="Arial" w:hAnsi="Arial" w:cs="Arial"/>
                <w:sz w:val="16"/>
                <w:szCs w:val="16"/>
              </w:rPr>
              <w:t>4,294</w:t>
            </w:r>
          </w:p>
        </w:tc>
        <w:tc>
          <w:tcPr>
            <w:tcW w:w="487" w:type="pct"/>
            <w:tcBorders>
              <w:top w:val="nil"/>
              <w:left w:val="nil"/>
              <w:bottom w:val="nil"/>
              <w:right w:val="nil"/>
            </w:tcBorders>
            <w:shd w:val="clear" w:color="000000" w:fill="FFFFFF"/>
            <w:noWrap/>
            <w:vAlign w:val="center"/>
            <w:hideMark/>
          </w:tcPr>
          <w:p w14:paraId="3588DC08" w14:textId="03BA94CD" w:rsidR="00003E62" w:rsidRPr="009009F5" w:rsidRDefault="00404C26">
            <w:pPr>
              <w:spacing w:before="0" w:after="0" w:line="240" w:lineRule="auto"/>
              <w:jc w:val="right"/>
              <w:rPr>
                <w:rFonts w:ascii="Arial" w:hAnsi="Arial" w:cs="Arial"/>
                <w:sz w:val="16"/>
                <w:szCs w:val="16"/>
              </w:rPr>
            </w:pPr>
            <w:r>
              <w:rPr>
                <w:rFonts w:ascii="Arial" w:hAnsi="Arial" w:cs="Arial"/>
                <w:sz w:val="16"/>
                <w:szCs w:val="16"/>
              </w:rPr>
              <w:noBreakHyphen/>
            </w:r>
            <w:r w:rsidR="00003E62" w:rsidRPr="009009F5">
              <w:rPr>
                <w:rFonts w:ascii="Arial" w:hAnsi="Arial" w:cs="Arial"/>
                <w:sz w:val="16"/>
                <w:szCs w:val="16"/>
              </w:rPr>
              <w:t>5,656</w:t>
            </w:r>
          </w:p>
        </w:tc>
        <w:tc>
          <w:tcPr>
            <w:tcW w:w="487" w:type="pct"/>
            <w:tcBorders>
              <w:top w:val="nil"/>
              <w:left w:val="nil"/>
              <w:bottom w:val="nil"/>
              <w:right w:val="nil"/>
            </w:tcBorders>
            <w:shd w:val="clear" w:color="000000" w:fill="FFFFFF"/>
            <w:noWrap/>
            <w:vAlign w:val="center"/>
            <w:hideMark/>
          </w:tcPr>
          <w:p w14:paraId="5E6DE21E" w14:textId="066CFA01" w:rsidR="00003E62" w:rsidRPr="009009F5" w:rsidRDefault="00404C26">
            <w:pPr>
              <w:spacing w:before="0" w:after="0" w:line="240" w:lineRule="auto"/>
              <w:jc w:val="right"/>
              <w:rPr>
                <w:rFonts w:ascii="Arial" w:hAnsi="Arial" w:cs="Arial"/>
                <w:sz w:val="16"/>
                <w:szCs w:val="16"/>
              </w:rPr>
            </w:pPr>
            <w:r>
              <w:rPr>
                <w:rFonts w:ascii="Arial" w:hAnsi="Arial" w:cs="Arial"/>
                <w:sz w:val="16"/>
                <w:szCs w:val="16"/>
              </w:rPr>
              <w:noBreakHyphen/>
            </w:r>
            <w:r w:rsidR="00003E62" w:rsidRPr="009009F5">
              <w:rPr>
                <w:rFonts w:ascii="Arial" w:hAnsi="Arial" w:cs="Arial"/>
                <w:sz w:val="16"/>
                <w:szCs w:val="16"/>
              </w:rPr>
              <w:t>13,328</w:t>
            </w:r>
          </w:p>
        </w:tc>
        <w:tc>
          <w:tcPr>
            <w:tcW w:w="61" w:type="pct"/>
            <w:tcBorders>
              <w:top w:val="nil"/>
              <w:left w:val="nil"/>
              <w:bottom w:val="nil"/>
              <w:right w:val="nil"/>
            </w:tcBorders>
            <w:shd w:val="clear" w:color="000000" w:fill="FFFFFF"/>
            <w:noWrap/>
            <w:vAlign w:val="center"/>
            <w:hideMark/>
          </w:tcPr>
          <w:p w14:paraId="3888701E"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6541F2DB" w14:textId="5ACEC431" w:rsidR="00003E62" w:rsidRPr="009009F5" w:rsidRDefault="00404C26">
            <w:pPr>
              <w:spacing w:before="0" w:after="0" w:line="240" w:lineRule="auto"/>
              <w:jc w:val="right"/>
              <w:rPr>
                <w:rFonts w:ascii="Arial" w:hAnsi="Arial" w:cs="Arial"/>
                <w:sz w:val="16"/>
                <w:szCs w:val="16"/>
              </w:rPr>
            </w:pPr>
            <w:r>
              <w:rPr>
                <w:rFonts w:ascii="Arial" w:hAnsi="Arial" w:cs="Arial"/>
                <w:sz w:val="16"/>
                <w:szCs w:val="16"/>
              </w:rPr>
              <w:noBreakHyphen/>
            </w:r>
            <w:r w:rsidR="00003E62" w:rsidRPr="009009F5">
              <w:rPr>
                <w:rFonts w:ascii="Arial" w:hAnsi="Arial" w:cs="Arial"/>
                <w:sz w:val="16"/>
                <w:szCs w:val="16"/>
              </w:rPr>
              <w:t>28,043</w:t>
            </w:r>
          </w:p>
        </w:tc>
      </w:tr>
      <w:tr w:rsidR="00003E62" w:rsidRPr="009009F5" w14:paraId="267F2A65" w14:textId="77777777">
        <w:trPr>
          <w:trHeight w:hRule="exact" w:val="225"/>
        </w:trPr>
        <w:tc>
          <w:tcPr>
            <w:tcW w:w="2025" w:type="pct"/>
            <w:tcBorders>
              <w:top w:val="nil"/>
              <w:left w:val="nil"/>
              <w:bottom w:val="nil"/>
              <w:right w:val="nil"/>
            </w:tcBorders>
            <w:shd w:val="clear" w:color="000000" w:fill="FFFFFF"/>
            <w:noWrap/>
            <w:vAlign w:val="center"/>
            <w:hideMark/>
          </w:tcPr>
          <w:p w14:paraId="04D32A33" w14:textId="77777777" w:rsidR="00003E62" w:rsidRPr="009009F5" w:rsidRDefault="00003E62">
            <w:pPr>
              <w:spacing w:before="0" w:after="0" w:line="240" w:lineRule="auto"/>
              <w:ind w:left="170"/>
              <w:rPr>
                <w:rFonts w:ascii="Arial" w:hAnsi="Arial" w:cs="Arial"/>
                <w:sz w:val="16"/>
                <w:szCs w:val="16"/>
              </w:rPr>
            </w:pPr>
            <w:r w:rsidRPr="009009F5">
              <w:rPr>
                <w:rFonts w:ascii="Arial" w:hAnsi="Arial" w:cs="Arial"/>
                <w:sz w:val="16"/>
                <w:szCs w:val="16"/>
              </w:rPr>
              <w:t>Total economic parameter variations</w:t>
            </w:r>
          </w:p>
        </w:tc>
        <w:tc>
          <w:tcPr>
            <w:tcW w:w="487" w:type="pct"/>
            <w:tcBorders>
              <w:top w:val="nil"/>
              <w:left w:val="nil"/>
              <w:bottom w:val="nil"/>
              <w:right w:val="nil"/>
            </w:tcBorders>
            <w:shd w:val="clear" w:color="000000" w:fill="FFFFFF"/>
            <w:noWrap/>
            <w:vAlign w:val="center"/>
            <w:hideMark/>
          </w:tcPr>
          <w:p w14:paraId="34069416" w14:textId="242E23D1" w:rsidR="00003E62" w:rsidRPr="009009F5" w:rsidRDefault="00404C26">
            <w:pPr>
              <w:spacing w:before="0" w:after="0" w:line="240" w:lineRule="auto"/>
              <w:jc w:val="right"/>
              <w:rPr>
                <w:rFonts w:ascii="Arial" w:hAnsi="Arial" w:cs="Arial"/>
                <w:sz w:val="16"/>
                <w:szCs w:val="16"/>
              </w:rPr>
            </w:pPr>
            <w:r>
              <w:rPr>
                <w:rFonts w:ascii="Arial" w:hAnsi="Arial" w:cs="Arial"/>
                <w:sz w:val="16"/>
                <w:szCs w:val="16"/>
              </w:rPr>
              <w:noBreakHyphen/>
            </w:r>
            <w:r w:rsidR="00003E62" w:rsidRPr="009009F5">
              <w:rPr>
                <w:rFonts w:ascii="Arial" w:hAnsi="Arial" w:cs="Arial"/>
                <w:sz w:val="16"/>
                <w:szCs w:val="16"/>
              </w:rPr>
              <w:t>109</w:t>
            </w:r>
          </w:p>
        </w:tc>
        <w:tc>
          <w:tcPr>
            <w:tcW w:w="482" w:type="pct"/>
            <w:tcBorders>
              <w:top w:val="nil"/>
              <w:left w:val="nil"/>
              <w:bottom w:val="nil"/>
              <w:right w:val="nil"/>
            </w:tcBorders>
            <w:shd w:val="clear" w:color="000000" w:fill="E6F2FF"/>
            <w:noWrap/>
            <w:vAlign w:val="center"/>
            <w:hideMark/>
          </w:tcPr>
          <w:p w14:paraId="7B6BD440" w14:textId="187286E3" w:rsidR="00003E62" w:rsidRPr="009009F5" w:rsidRDefault="00404C26">
            <w:pPr>
              <w:spacing w:before="0" w:after="0" w:line="240" w:lineRule="auto"/>
              <w:jc w:val="right"/>
              <w:rPr>
                <w:rFonts w:ascii="Arial" w:hAnsi="Arial" w:cs="Arial"/>
                <w:sz w:val="16"/>
                <w:szCs w:val="16"/>
              </w:rPr>
            </w:pPr>
            <w:r>
              <w:rPr>
                <w:rFonts w:ascii="Arial" w:hAnsi="Arial" w:cs="Arial"/>
                <w:sz w:val="16"/>
                <w:szCs w:val="16"/>
              </w:rPr>
              <w:noBreakHyphen/>
            </w:r>
            <w:r w:rsidR="00003E62" w:rsidRPr="009009F5">
              <w:rPr>
                <w:rFonts w:ascii="Arial" w:hAnsi="Arial" w:cs="Arial"/>
                <w:sz w:val="16"/>
                <w:szCs w:val="16"/>
              </w:rPr>
              <w:t>5</w:t>
            </w:r>
          </w:p>
        </w:tc>
        <w:tc>
          <w:tcPr>
            <w:tcW w:w="482" w:type="pct"/>
            <w:tcBorders>
              <w:top w:val="nil"/>
              <w:left w:val="nil"/>
              <w:bottom w:val="nil"/>
              <w:right w:val="nil"/>
            </w:tcBorders>
            <w:shd w:val="clear" w:color="000000" w:fill="FFFFFF"/>
            <w:noWrap/>
            <w:vAlign w:val="center"/>
            <w:hideMark/>
          </w:tcPr>
          <w:p w14:paraId="72BA874B" w14:textId="22356B59" w:rsidR="00003E62" w:rsidRPr="009009F5" w:rsidRDefault="00404C26">
            <w:pPr>
              <w:spacing w:before="0" w:after="0" w:line="240" w:lineRule="auto"/>
              <w:jc w:val="right"/>
              <w:rPr>
                <w:rFonts w:ascii="Arial" w:hAnsi="Arial" w:cs="Arial"/>
                <w:sz w:val="16"/>
                <w:szCs w:val="16"/>
              </w:rPr>
            </w:pPr>
            <w:r>
              <w:rPr>
                <w:rFonts w:ascii="Arial" w:hAnsi="Arial" w:cs="Arial"/>
                <w:sz w:val="16"/>
                <w:szCs w:val="16"/>
              </w:rPr>
              <w:noBreakHyphen/>
            </w:r>
            <w:r w:rsidR="00003E62" w:rsidRPr="009009F5">
              <w:rPr>
                <w:rFonts w:ascii="Arial" w:hAnsi="Arial" w:cs="Arial"/>
                <w:sz w:val="16"/>
                <w:szCs w:val="16"/>
              </w:rPr>
              <w:t>177</w:t>
            </w:r>
          </w:p>
        </w:tc>
        <w:tc>
          <w:tcPr>
            <w:tcW w:w="487" w:type="pct"/>
            <w:tcBorders>
              <w:top w:val="nil"/>
              <w:left w:val="nil"/>
              <w:bottom w:val="nil"/>
              <w:right w:val="nil"/>
            </w:tcBorders>
            <w:shd w:val="clear" w:color="000000" w:fill="FFFFFF"/>
            <w:noWrap/>
            <w:vAlign w:val="center"/>
            <w:hideMark/>
          </w:tcPr>
          <w:p w14:paraId="78E545BF"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389</w:t>
            </w:r>
          </w:p>
        </w:tc>
        <w:tc>
          <w:tcPr>
            <w:tcW w:w="487" w:type="pct"/>
            <w:tcBorders>
              <w:top w:val="nil"/>
              <w:left w:val="nil"/>
              <w:bottom w:val="nil"/>
              <w:right w:val="nil"/>
            </w:tcBorders>
            <w:shd w:val="clear" w:color="000000" w:fill="FFFFFF"/>
            <w:noWrap/>
            <w:vAlign w:val="center"/>
            <w:hideMark/>
          </w:tcPr>
          <w:p w14:paraId="0EB1BA2F"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w:t>
            </w:r>
          </w:p>
        </w:tc>
        <w:tc>
          <w:tcPr>
            <w:tcW w:w="61" w:type="pct"/>
            <w:tcBorders>
              <w:top w:val="nil"/>
              <w:left w:val="nil"/>
              <w:bottom w:val="nil"/>
              <w:right w:val="nil"/>
            </w:tcBorders>
            <w:shd w:val="clear" w:color="000000" w:fill="FFFFFF"/>
            <w:noWrap/>
            <w:vAlign w:val="center"/>
            <w:hideMark/>
          </w:tcPr>
          <w:p w14:paraId="5340520C"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6598804E"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w:t>
            </w:r>
          </w:p>
        </w:tc>
      </w:tr>
      <w:tr w:rsidR="00003E62" w:rsidRPr="009009F5" w14:paraId="3526393B" w14:textId="77777777">
        <w:trPr>
          <w:trHeight w:hRule="exact" w:val="225"/>
        </w:trPr>
        <w:tc>
          <w:tcPr>
            <w:tcW w:w="2025" w:type="pct"/>
            <w:tcBorders>
              <w:top w:val="nil"/>
              <w:left w:val="nil"/>
              <w:bottom w:val="nil"/>
              <w:right w:val="nil"/>
            </w:tcBorders>
            <w:shd w:val="clear" w:color="000000" w:fill="FFFFFF"/>
            <w:noWrap/>
            <w:vAlign w:val="center"/>
            <w:hideMark/>
          </w:tcPr>
          <w:p w14:paraId="778A3A68" w14:textId="77777777" w:rsidR="00003E62" w:rsidRPr="009009F5" w:rsidRDefault="00003E62">
            <w:pPr>
              <w:spacing w:before="0" w:after="0" w:line="240" w:lineRule="auto"/>
              <w:ind w:left="340"/>
              <w:rPr>
                <w:rFonts w:ascii="Arial" w:hAnsi="Arial" w:cs="Arial"/>
                <w:i/>
                <w:iCs/>
                <w:sz w:val="16"/>
                <w:szCs w:val="16"/>
              </w:rPr>
            </w:pPr>
            <w:r w:rsidRPr="009009F5">
              <w:rPr>
                <w:rFonts w:ascii="Arial" w:hAnsi="Arial" w:cs="Arial"/>
                <w:i/>
                <w:iCs/>
                <w:sz w:val="16"/>
                <w:szCs w:val="16"/>
              </w:rPr>
              <w:t>Unemployment benefits</w:t>
            </w:r>
          </w:p>
        </w:tc>
        <w:tc>
          <w:tcPr>
            <w:tcW w:w="487" w:type="pct"/>
            <w:tcBorders>
              <w:top w:val="nil"/>
              <w:left w:val="nil"/>
              <w:bottom w:val="nil"/>
              <w:right w:val="nil"/>
            </w:tcBorders>
            <w:shd w:val="clear" w:color="000000" w:fill="FFFFFF"/>
            <w:noWrap/>
            <w:vAlign w:val="center"/>
            <w:hideMark/>
          </w:tcPr>
          <w:p w14:paraId="0CEFA032" w14:textId="73348FDE" w:rsidR="00003E62" w:rsidRPr="009009F5" w:rsidRDefault="00404C26">
            <w:pPr>
              <w:spacing w:before="0" w:after="0" w:line="240" w:lineRule="auto"/>
              <w:jc w:val="right"/>
              <w:rPr>
                <w:rFonts w:ascii="Arial" w:hAnsi="Arial" w:cs="Arial"/>
                <w:i/>
                <w:iCs/>
                <w:sz w:val="16"/>
                <w:szCs w:val="16"/>
              </w:rPr>
            </w:pPr>
            <w:r>
              <w:rPr>
                <w:rFonts w:ascii="Arial" w:hAnsi="Arial" w:cs="Arial"/>
                <w:i/>
                <w:iCs/>
                <w:sz w:val="16"/>
                <w:szCs w:val="16"/>
              </w:rPr>
              <w:noBreakHyphen/>
            </w:r>
            <w:r w:rsidR="00003E62" w:rsidRPr="009009F5">
              <w:rPr>
                <w:rFonts w:ascii="Arial" w:hAnsi="Arial" w:cs="Arial"/>
                <w:i/>
                <w:iCs/>
                <w:sz w:val="16"/>
                <w:szCs w:val="16"/>
              </w:rPr>
              <w:t>61</w:t>
            </w:r>
          </w:p>
        </w:tc>
        <w:tc>
          <w:tcPr>
            <w:tcW w:w="482" w:type="pct"/>
            <w:tcBorders>
              <w:top w:val="nil"/>
              <w:left w:val="nil"/>
              <w:bottom w:val="nil"/>
              <w:right w:val="nil"/>
            </w:tcBorders>
            <w:shd w:val="clear" w:color="000000" w:fill="E6F2FF"/>
            <w:noWrap/>
            <w:vAlign w:val="center"/>
            <w:hideMark/>
          </w:tcPr>
          <w:p w14:paraId="5FE14DBE" w14:textId="493996FB" w:rsidR="00003E62" w:rsidRPr="009009F5" w:rsidRDefault="00404C26">
            <w:pPr>
              <w:spacing w:before="0" w:after="0" w:line="240" w:lineRule="auto"/>
              <w:jc w:val="right"/>
              <w:rPr>
                <w:rFonts w:ascii="Arial" w:hAnsi="Arial" w:cs="Arial"/>
                <w:i/>
                <w:iCs/>
                <w:sz w:val="16"/>
                <w:szCs w:val="16"/>
              </w:rPr>
            </w:pPr>
            <w:r>
              <w:rPr>
                <w:rFonts w:ascii="Arial" w:hAnsi="Arial" w:cs="Arial"/>
                <w:i/>
                <w:iCs/>
                <w:sz w:val="16"/>
                <w:szCs w:val="16"/>
              </w:rPr>
              <w:noBreakHyphen/>
            </w:r>
            <w:r w:rsidR="00003E62" w:rsidRPr="009009F5">
              <w:rPr>
                <w:rFonts w:ascii="Arial" w:hAnsi="Arial" w:cs="Arial"/>
                <w:i/>
                <w:iCs/>
                <w:sz w:val="16"/>
                <w:szCs w:val="16"/>
              </w:rPr>
              <w:t>463</w:t>
            </w:r>
          </w:p>
        </w:tc>
        <w:tc>
          <w:tcPr>
            <w:tcW w:w="482" w:type="pct"/>
            <w:tcBorders>
              <w:top w:val="nil"/>
              <w:left w:val="nil"/>
              <w:bottom w:val="nil"/>
              <w:right w:val="nil"/>
            </w:tcBorders>
            <w:shd w:val="clear" w:color="000000" w:fill="FFFFFF"/>
            <w:noWrap/>
            <w:vAlign w:val="center"/>
            <w:hideMark/>
          </w:tcPr>
          <w:p w14:paraId="617058F9" w14:textId="65B9DC15" w:rsidR="00003E62" w:rsidRPr="009009F5" w:rsidRDefault="00404C26">
            <w:pPr>
              <w:spacing w:before="0" w:after="0" w:line="240" w:lineRule="auto"/>
              <w:jc w:val="right"/>
              <w:rPr>
                <w:rFonts w:ascii="Arial" w:hAnsi="Arial" w:cs="Arial"/>
                <w:i/>
                <w:iCs/>
                <w:sz w:val="16"/>
                <w:szCs w:val="16"/>
              </w:rPr>
            </w:pPr>
            <w:r>
              <w:rPr>
                <w:rFonts w:ascii="Arial" w:hAnsi="Arial" w:cs="Arial"/>
                <w:i/>
                <w:iCs/>
                <w:sz w:val="16"/>
                <w:szCs w:val="16"/>
              </w:rPr>
              <w:noBreakHyphen/>
            </w:r>
            <w:r w:rsidR="00003E62" w:rsidRPr="009009F5">
              <w:rPr>
                <w:rFonts w:ascii="Arial" w:hAnsi="Arial" w:cs="Arial"/>
                <w:i/>
                <w:iCs/>
                <w:sz w:val="16"/>
                <w:szCs w:val="16"/>
              </w:rPr>
              <w:t>582</w:t>
            </w:r>
          </w:p>
        </w:tc>
        <w:tc>
          <w:tcPr>
            <w:tcW w:w="487" w:type="pct"/>
            <w:tcBorders>
              <w:top w:val="nil"/>
              <w:left w:val="nil"/>
              <w:bottom w:val="nil"/>
              <w:right w:val="nil"/>
            </w:tcBorders>
            <w:shd w:val="clear" w:color="000000" w:fill="FFFFFF"/>
            <w:noWrap/>
            <w:vAlign w:val="center"/>
            <w:hideMark/>
          </w:tcPr>
          <w:p w14:paraId="2E123854" w14:textId="0E01DFA7" w:rsidR="00003E62" w:rsidRPr="009009F5" w:rsidRDefault="00404C26">
            <w:pPr>
              <w:spacing w:before="0" w:after="0" w:line="240" w:lineRule="auto"/>
              <w:jc w:val="right"/>
              <w:rPr>
                <w:rFonts w:ascii="Arial" w:hAnsi="Arial" w:cs="Arial"/>
                <w:i/>
                <w:iCs/>
                <w:sz w:val="16"/>
                <w:szCs w:val="16"/>
              </w:rPr>
            </w:pPr>
            <w:r>
              <w:rPr>
                <w:rFonts w:ascii="Arial" w:hAnsi="Arial" w:cs="Arial"/>
                <w:i/>
                <w:iCs/>
                <w:sz w:val="16"/>
                <w:szCs w:val="16"/>
              </w:rPr>
              <w:noBreakHyphen/>
            </w:r>
            <w:r w:rsidR="00003E62" w:rsidRPr="009009F5">
              <w:rPr>
                <w:rFonts w:ascii="Arial" w:hAnsi="Arial" w:cs="Arial"/>
                <w:i/>
                <w:iCs/>
                <w:sz w:val="16"/>
                <w:szCs w:val="16"/>
              </w:rPr>
              <w:t>392</w:t>
            </w:r>
          </w:p>
        </w:tc>
        <w:tc>
          <w:tcPr>
            <w:tcW w:w="487" w:type="pct"/>
            <w:tcBorders>
              <w:top w:val="nil"/>
              <w:left w:val="nil"/>
              <w:bottom w:val="nil"/>
              <w:right w:val="nil"/>
            </w:tcBorders>
            <w:shd w:val="clear" w:color="000000" w:fill="FFFFFF"/>
            <w:noWrap/>
            <w:vAlign w:val="center"/>
            <w:hideMark/>
          </w:tcPr>
          <w:p w14:paraId="0C07A943"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w:t>
            </w:r>
          </w:p>
        </w:tc>
        <w:tc>
          <w:tcPr>
            <w:tcW w:w="61" w:type="pct"/>
            <w:tcBorders>
              <w:top w:val="nil"/>
              <w:left w:val="nil"/>
              <w:bottom w:val="nil"/>
              <w:right w:val="nil"/>
            </w:tcBorders>
            <w:shd w:val="clear" w:color="000000" w:fill="FFFFFF"/>
            <w:noWrap/>
            <w:vAlign w:val="center"/>
            <w:hideMark/>
          </w:tcPr>
          <w:p w14:paraId="1CF53267"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 </w:t>
            </w:r>
          </w:p>
        </w:tc>
        <w:tc>
          <w:tcPr>
            <w:tcW w:w="487" w:type="pct"/>
            <w:tcBorders>
              <w:top w:val="nil"/>
              <w:left w:val="nil"/>
              <w:bottom w:val="nil"/>
              <w:right w:val="nil"/>
            </w:tcBorders>
            <w:shd w:val="clear" w:color="000000" w:fill="FFFFFF"/>
            <w:noWrap/>
            <w:vAlign w:val="center"/>
            <w:hideMark/>
          </w:tcPr>
          <w:p w14:paraId="059B62B4"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w:t>
            </w:r>
          </w:p>
        </w:tc>
      </w:tr>
      <w:tr w:rsidR="00003E62" w:rsidRPr="009009F5" w14:paraId="7DA9608C" w14:textId="77777777">
        <w:trPr>
          <w:trHeight w:hRule="exact" w:val="225"/>
        </w:trPr>
        <w:tc>
          <w:tcPr>
            <w:tcW w:w="2025" w:type="pct"/>
            <w:tcBorders>
              <w:top w:val="nil"/>
              <w:left w:val="nil"/>
              <w:bottom w:val="nil"/>
              <w:right w:val="nil"/>
            </w:tcBorders>
            <w:shd w:val="clear" w:color="000000" w:fill="FFFFFF"/>
            <w:noWrap/>
            <w:vAlign w:val="center"/>
            <w:hideMark/>
          </w:tcPr>
          <w:p w14:paraId="166E5BDC" w14:textId="77777777" w:rsidR="00003E62" w:rsidRPr="009009F5" w:rsidRDefault="00003E62">
            <w:pPr>
              <w:spacing w:before="0" w:after="0" w:line="240" w:lineRule="auto"/>
              <w:ind w:left="340"/>
              <w:rPr>
                <w:rFonts w:ascii="Arial" w:hAnsi="Arial" w:cs="Arial"/>
                <w:i/>
                <w:iCs/>
                <w:sz w:val="16"/>
                <w:szCs w:val="16"/>
              </w:rPr>
            </w:pPr>
            <w:r w:rsidRPr="009009F5">
              <w:rPr>
                <w:rFonts w:ascii="Arial" w:hAnsi="Arial" w:cs="Arial"/>
                <w:i/>
                <w:iCs/>
                <w:sz w:val="16"/>
                <w:szCs w:val="16"/>
              </w:rPr>
              <w:t>Prices and wages</w:t>
            </w:r>
          </w:p>
        </w:tc>
        <w:tc>
          <w:tcPr>
            <w:tcW w:w="487" w:type="pct"/>
            <w:tcBorders>
              <w:top w:val="nil"/>
              <w:left w:val="nil"/>
              <w:bottom w:val="nil"/>
              <w:right w:val="nil"/>
            </w:tcBorders>
            <w:shd w:val="clear" w:color="000000" w:fill="FFFFFF"/>
            <w:noWrap/>
            <w:vAlign w:val="center"/>
            <w:hideMark/>
          </w:tcPr>
          <w:p w14:paraId="22C6CF14" w14:textId="5313AAE6" w:rsidR="00003E62" w:rsidRPr="009009F5" w:rsidRDefault="00404C26">
            <w:pPr>
              <w:spacing w:before="0" w:after="0" w:line="240" w:lineRule="auto"/>
              <w:jc w:val="right"/>
              <w:rPr>
                <w:rFonts w:ascii="Arial" w:hAnsi="Arial" w:cs="Arial"/>
                <w:i/>
                <w:iCs/>
                <w:sz w:val="16"/>
                <w:szCs w:val="16"/>
              </w:rPr>
            </w:pPr>
            <w:r>
              <w:rPr>
                <w:rFonts w:ascii="Arial" w:hAnsi="Arial" w:cs="Arial"/>
                <w:i/>
                <w:iCs/>
                <w:sz w:val="16"/>
                <w:szCs w:val="16"/>
              </w:rPr>
              <w:noBreakHyphen/>
            </w:r>
            <w:r w:rsidR="00003E62" w:rsidRPr="009009F5">
              <w:rPr>
                <w:rFonts w:ascii="Arial" w:hAnsi="Arial" w:cs="Arial"/>
                <w:i/>
                <w:iCs/>
                <w:sz w:val="16"/>
                <w:szCs w:val="16"/>
              </w:rPr>
              <w:t>133</w:t>
            </w:r>
          </w:p>
        </w:tc>
        <w:tc>
          <w:tcPr>
            <w:tcW w:w="482" w:type="pct"/>
            <w:tcBorders>
              <w:top w:val="nil"/>
              <w:left w:val="nil"/>
              <w:bottom w:val="nil"/>
              <w:right w:val="nil"/>
            </w:tcBorders>
            <w:shd w:val="clear" w:color="000000" w:fill="E6F2FF"/>
            <w:noWrap/>
            <w:vAlign w:val="center"/>
            <w:hideMark/>
          </w:tcPr>
          <w:p w14:paraId="40030908" w14:textId="16111DB2" w:rsidR="00003E62" w:rsidRPr="009009F5" w:rsidRDefault="00404C26">
            <w:pPr>
              <w:spacing w:before="0" w:after="0" w:line="240" w:lineRule="auto"/>
              <w:jc w:val="right"/>
              <w:rPr>
                <w:rFonts w:ascii="Arial" w:hAnsi="Arial" w:cs="Arial"/>
                <w:i/>
                <w:iCs/>
                <w:sz w:val="16"/>
                <w:szCs w:val="16"/>
              </w:rPr>
            </w:pPr>
            <w:r>
              <w:rPr>
                <w:rFonts w:ascii="Arial" w:hAnsi="Arial" w:cs="Arial"/>
                <w:i/>
                <w:iCs/>
                <w:sz w:val="16"/>
                <w:szCs w:val="16"/>
              </w:rPr>
              <w:noBreakHyphen/>
            </w:r>
            <w:r w:rsidR="00003E62" w:rsidRPr="009009F5">
              <w:rPr>
                <w:rFonts w:ascii="Arial" w:hAnsi="Arial" w:cs="Arial"/>
                <w:i/>
                <w:iCs/>
                <w:sz w:val="16"/>
                <w:szCs w:val="16"/>
              </w:rPr>
              <w:t>488</w:t>
            </w:r>
          </w:p>
        </w:tc>
        <w:tc>
          <w:tcPr>
            <w:tcW w:w="482" w:type="pct"/>
            <w:tcBorders>
              <w:top w:val="nil"/>
              <w:left w:val="nil"/>
              <w:bottom w:val="nil"/>
              <w:right w:val="nil"/>
            </w:tcBorders>
            <w:shd w:val="clear" w:color="000000" w:fill="FFFFFF"/>
            <w:noWrap/>
            <w:vAlign w:val="center"/>
            <w:hideMark/>
          </w:tcPr>
          <w:p w14:paraId="4F7E5EC8" w14:textId="6905E0EC" w:rsidR="00003E62" w:rsidRPr="009009F5" w:rsidRDefault="00404C26">
            <w:pPr>
              <w:spacing w:before="0" w:after="0" w:line="240" w:lineRule="auto"/>
              <w:jc w:val="right"/>
              <w:rPr>
                <w:rFonts w:ascii="Arial" w:hAnsi="Arial" w:cs="Arial"/>
                <w:i/>
                <w:iCs/>
                <w:sz w:val="16"/>
                <w:szCs w:val="16"/>
              </w:rPr>
            </w:pPr>
            <w:r>
              <w:rPr>
                <w:rFonts w:ascii="Arial" w:hAnsi="Arial" w:cs="Arial"/>
                <w:i/>
                <w:iCs/>
                <w:sz w:val="16"/>
                <w:szCs w:val="16"/>
              </w:rPr>
              <w:noBreakHyphen/>
            </w:r>
            <w:r w:rsidR="00003E62" w:rsidRPr="009009F5">
              <w:rPr>
                <w:rFonts w:ascii="Arial" w:hAnsi="Arial" w:cs="Arial"/>
                <w:i/>
                <w:iCs/>
                <w:sz w:val="16"/>
                <w:szCs w:val="16"/>
              </w:rPr>
              <w:t>331</w:t>
            </w:r>
          </w:p>
        </w:tc>
        <w:tc>
          <w:tcPr>
            <w:tcW w:w="487" w:type="pct"/>
            <w:tcBorders>
              <w:top w:val="nil"/>
              <w:left w:val="nil"/>
              <w:bottom w:val="nil"/>
              <w:right w:val="nil"/>
            </w:tcBorders>
            <w:shd w:val="clear" w:color="000000" w:fill="FFFFFF"/>
            <w:noWrap/>
            <w:vAlign w:val="center"/>
            <w:hideMark/>
          </w:tcPr>
          <w:p w14:paraId="3E07078E"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34</w:t>
            </w:r>
          </w:p>
        </w:tc>
        <w:tc>
          <w:tcPr>
            <w:tcW w:w="487" w:type="pct"/>
            <w:tcBorders>
              <w:top w:val="nil"/>
              <w:left w:val="nil"/>
              <w:bottom w:val="nil"/>
              <w:right w:val="nil"/>
            </w:tcBorders>
            <w:shd w:val="clear" w:color="000000" w:fill="FFFFFF"/>
            <w:noWrap/>
            <w:vAlign w:val="center"/>
            <w:hideMark/>
          </w:tcPr>
          <w:p w14:paraId="2EB9B7D1"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w:t>
            </w:r>
          </w:p>
        </w:tc>
        <w:tc>
          <w:tcPr>
            <w:tcW w:w="61" w:type="pct"/>
            <w:tcBorders>
              <w:top w:val="nil"/>
              <w:left w:val="nil"/>
              <w:bottom w:val="nil"/>
              <w:right w:val="nil"/>
            </w:tcBorders>
            <w:shd w:val="clear" w:color="000000" w:fill="FFFFFF"/>
            <w:noWrap/>
            <w:vAlign w:val="center"/>
            <w:hideMark/>
          </w:tcPr>
          <w:p w14:paraId="25CD8F9D"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 </w:t>
            </w:r>
          </w:p>
        </w:tc>
        <w:tc>
          <w:tcPr>
            <w:tcW w:w="487" w:type="pct"/>
            <w:tcBorders>
              <w:top w:val="nil"/>
              <w:left w:val="nil"/>
              <w:bottom w:val="nil"/>
              <w:right w:val="nil"/>
            </w:tcBorders>
            <w:shd w:val="clear" w:color="000000" w:fill="FFFFFF"/>
            <w:noWrap/>
            <w:vAlign w:val="center"/>
            <w:hideMark/>
          </w:tcPr>
          <w:p w14:paraId="5A0B46D6"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w:t>
            </w:r>
          </w:p>
        </w:tc>
      </w:tr>
      <w:tr w:rsidR="00003E62" w:rsidRPr="009009F5" w14:paraId="1F0F7F91" w14:textId="77777777">
        <w:trPr>
          <w:trHeight w:hRule="exact" w:val="225"/>
        </w:trPr>
        <w:tc>
          <w:tcPr>
            <w:tcW w:w="2025" w:type="pct"/>
            <w:tcBorders>
              <w:top w:val="nil"/>
              <w:left w:val="nil"/>
              <w:bottom w:val="nil"/>
              <w:right w:val="nil"/>
            </w:tcBorders>
            <w:shd w:val="clear" w:color="000000" w:fill="FFFFFF"/>
            <w:noWrap/>
            <w:vAlign w:val="center"/>
            <w:hideMark/>
          </w:tcPr>
          <w:p w14:paraId="65E9CEC5" w14:textId="77777777" w:rsidR="00003E62" w:rsidRPr="009009F5" w:rsidRDefault="00003E62">
            <w:pPr>
              <w:spacing w:before="0" w:after="0" w:line="240" w:lineRule="auto"/>
              <w:ind w:left="340"/>
              <w:rPr>
                <w:rFonts w:ascii="Arial" w:hAnsi="Arial" w:cs="Arial"/>
                <w:i/>
                <w:iCs/>
                <w:sz w:val="16"/>
                <w:szCs w:val="16"/>
              </w:rPr>
            </w:pPr>
            <w:r w:rsidRPr="009009F5">
              <w:rPr>
                <w:rFonts w:ascii="Arial" w:hAnsi="Arial" w:cs="Arial"/>
                <w:i/>
                <w:iCs/>
                <w:sz w:val="16"/>
                <w:szCs w:val="16"/>
              </w:rPr>
              <w:t>Interest and exchange rates</w:t>
            </w:r>
          </w:p>
        </w:tc>
        <w:tc>
          <w:tcPr>
            <w:tcW w:w="487" w:type="pct"/>
            <w:tcBorders>
              <w:top w:val="nil"/>
              <w:left w:val="nil"/>
              <w:bottom w:val="nil"/>
              <w:right w:val="nil"/>
            </w:tcBorders>
            <w:shd w:val="clear" w:color="000000" w:fill="FFFFFF"/>
            <w:noWrap/>
            <w:vAlign w:val="center"/>
            <w:hideMark/>
          </w:tcPr>
          <w:p w14:paraId="55AE5BC5"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438</w:t>
            </w:r>
          </w:p>
        </w:tc>
        <w:tc>
          <w:tcPr>
            <w:tcW w:w="482" w:type="pct"/>
            <w:tcBorders>
              <w:top w:val="nil"/>
              <w:left w:val="nil"/>
              <w:bottom w:val="nil"/>
              <w:right w:val="nil"/>
            </w:tcBorders>
            <w:shd w:val="clear" w:color="000000" w:fill="E6F2FF"/>
            <w:noWrap/>
            <w:vAlign w:val="center"/>
            <w:hideMark/>
          </w:tcPr>
          <w:p w14:paraId="1D03663E"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952</w:t>
            </w:r>
          </w:p>
        </w:tc>
        <w:tc>
          <w:tcPr>
            <w:tcW w:w="482" w:type="pct"/>
            <w:tcBorders>
              <w:top w:val="nil"/>
              <w:left w:val="nil"/>
              <w:bottom w:val="nil"/>
              <w:right w:val="nil"/>
            </w:tcBorders>
            <w:shd w:val="clear" w:color="000000" w:fill="FFFFFF"/>
            <w:noWrap/>
            <w:vAlign w:val="center"/>
            <w:hideMark/>
          </w:tcPr>
          <w:p w14:paraId="26760B8D"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893</w:t>
            </w:r>
          </w:p>
        </w:tc>
        <w:tc>
          <w:tcPr>
            <w:tcW w:w="487" w:type="pct"/>
            <w:tcBorders>
              <w:top w:val="nil"/>
              <w:left w:val="nil"/>
              <w:bottom w:val="nil"/>
              <w:right w:val="nil"/>
            </w:tcBorders>
            <w:shd w:val="clear" w:color="000000" w:fill="FFFFFF"/>
            <w:noWrap/>
            <w:vAlign w:val="center"/>
            <w:hideMark/>
          </w:tcPr>
          <w:p w14:paraId="19A5EE73"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898</w:t>
            </w:r>
          </w:p>
        </w:tc>
        <w:tc>
          <w:tcPr>
            <w:tcW w:w="487" w:type="pct"/>
            <w:tcBorders>
              <w:top w:val="nil"/>
              <w:left w:val="nil"/>
              <w:bottom w:val="nil"/>
              <w:right w:val="nil"/>
            </w:tcBorders>
            <w:shd w:val="clear" w:color="000000" w:fill="FFFFFF"/>
            <w:noWrap/>
            <w:vAlign w:val="center"/>
            <w:hideMark/>
          </w:tcPr>
          <w:p w14:paraId="0DB97D89"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w:t>
            </w:r>
          </w:p>
        </w:tc>
        <w:tc>
          <w:tcPr>
            <w:tcW w:w="61" w:type="pct"/>
            <w:tcBorders>
              <w:top w:val="nil"/>
              <w:left w:val="nil"/>
              <w:bottom w:val="nil"/>
              <w:right w:val="nil"/>
            </w:tcBorders>
            <w:shd w:val="clear" w:color="000000" w:fill="FFFFFF"/>
            <w:noWrap/>
            <w:vAlign w:val="center"/>
            <w:hideMark/>
          </w:tcPr>
          <w:p w14:paraId="20119663"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 </w:t>
            </w:r>
          </w:p>
        </w:tc>
        <w:tc>
          <w:tcPr>
            <w:tcW w:w="487" w:type="pct"/>
            <w:tcBorders>
              <w:top w:val="nil"/>
              <w:left w:val="nil"/>
              <w:bottom w:val="nil"/>
              <w:right w:val="nil"/>
            </w:tcBorders>
            <w:shd w:val="clear" w:color="000000" w:fill="FFFFFF"/>
            <w:noWrap/>
            <w:vAlign w:val="center"/>
            <w:hideMark/>
          </w:tcPr>
          <w:p w14:paraId="5DC30E7B"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w:t>
            </w:r>
          </w:p>
        </w:tc>
      </w:tr>
      <w:tr w:rsidR="00003E62" w:rsidRPr="009009F5" w14:paraId="08A449C4" w14:textId="77777777">
        <w:trPr>
          <w:trHeight w:hRule="exact" w:val="225"/>
        </w:trPr>
        <w:tc>
          <w:tcPr>
            <w:tcW w:w="2025" w:type="pct"/>
            <w:tcBorders>
              <w:top w:val="nil"/>
              <w:left w:val="nil"/>
              <w:bottom w:val="nil"/>
              <w:right w:val="nil"/>
            </w:tcBorders>
            <w:shd w:val="clear" w:color="000000" w:fill="FFFFFF"/>
            <w:noWrap/>
            <w:vAlign w:val="center"/>
            <w:hideMark/>
          </w:tcPr>
          <w:p w14:paraId="309DB352" w14:textId="77777777" w:rsidR="00003E62" w:rsidRPr="009009F5" w:rsidRDefault="00003E62">
            <w:pPr>
              <w:spacing w:before="0" w:after="0" w:line="240" w:lineRule="auto"/>
              <w:ind w:left="340"/>
              <w:rPr>
                <w:rFonts w:ascii="Arial" w:hAnsi="Arial" w:cs="Arial"/>
                <w:i/>
                <w:iCs/>
                <w:sz w:val="16"/>
                <w:szCs w:val="16"/>
              </w:rPr>
            </w:pPr>
            <w:r w:rsidRPr="009009F5">
              <w:rPr>
                <w:rFonts w:ascii="Arial" w:hAnsi="Arial" w:cs="Arial"/>
                <w:i/>
                <w:iCs/>
                <w:sz w:val="16"/>
                <w:szCs w:val="16"/>
              </w:rPr>
              <w:t>GST payments to the States</w:t>
            </w:r>
          </w:p>
        </w:tc>
        <w:tc>
          <w:tcPr>
            <w:tcW w:w="487" w:type="pct"/>
            <w:tcBorders>
              <w:top w:val="nil"/>
              <w:left w:val="nil"/>
              <w:bottom w:val="nil"/>
              <w:right w:val="nil"/>
            </w:tcBorders>
            <w:shd w:val="clear" w:color="000000" w:fill="FFFFFF"/>
            <w:noWrap/>
            <w:vAlign w:val="center"/>
            <w:hideMark/>
          </w:tcPr>
          <w:p w14:paraId="2CF51BDE" w14:textId="11716132" w:rsidR="00003E62" w:rsidRPr="009009F5" w:rsidRDefault="00404C26">
            <w:pPr>
              <w:spacing w:before="0" w:after="0" w:line="240" w:lineRule="auto"/>
              <w:jc w:val="right"/>
              <w:rPr>
                <w:rFonts w:ascii="Arial" w:hAnsi="Arial" w:cs="Arial"/>
                <w:i/>
                <w:iCs/>
                <w:sz w:val="16"/>
                <w:szCs w:val="16"/>
              </w:rPr>
            </w:pPr>
            <w:r>
              <w:rPr>
                <w:rFonts w:ascii="Arial" w:hAnsi="Arial" w:cs="Arial"/>
                <w:i/>
                <w:iCs/>
                <w:sz w:val="16"/>
                <w:szCs w:val="16"/>
              </w:rPr>
              <w:noBreakHyphen/>
            </w:r>
            <w:r w:rsidR="00003E62" w:rsidRPr="009009F5">
              <w:rPr>
                <w:rFonts w:ascii="Arial" w:hAnsi="Arial" w:cs="Arial"/>
                <w:i/>
                <w:iCs/>
                <w:sz w:val="16"/>
                <w:szCs w:val="16"/>
              </w:rPr>
              <w:t>353</w:t>
            </w:r>
          </w:p>
        </w:tc>
        <w:tc>
          <w:tcPr>
            <w:tcW w:w="482" w:type="pct"/>
            <w:tcBorders>
              <w:top w:val="nil"/>
              <w:left w:val="nil"/>
              <w:bottom w:val="nil"/>
              <w:right w:val="nil"/>
            </w:tcBorders>
            <w:shd w:val="clear" w:color="000000" w:fill="E6F2FF"/>
            <w:noWrap/>
            <w:vAlign w:val="center"/>
            <w:hideMark/>
          </w:tcPr>
          <w:p w14:paraId="523AEDA3" w14:textId="3823C713" w:rsidR="00003E62" w:rsidRPr="009009F5" w:rsidRDefault="00404C26">
            <w:pPr>
              <w:spacing w:before="0" w:after="0" w:line="240" w:lineRule="auto"/>
              <w:jc w:val="right"/>
              <w:rPr>
                <w:rFonts w:ascii="Arial" w:hAnsi="Arial" w:cs="Arial"/>
                <w:i/>
                <w:iCs/>
                <w:sz w:val="16"/>
                <w:szCs w:val="16"/>
              </w:rPr>
            </w:pPr>
            <w:r>
              <w:rPr>
                <w:rFonts w:ascii="Arial" w:hAnsi="Arial" w:cs="Arial"/>
                <w:i/>
                <w:iCs/>
                <w:sz w:val="16"/>
                <w:szCs w:val="16"/>
              </w:rPr>
              <w:noBreakHyphen/>
            </w:r>
            <w:r w:rsidR="00003E62" w:rsidRPr="009009F5">
              <w:rPr>
                <w:rFonts w:ascii="Arial" w:hAnsi="Arial" w:cs="Arial"/>
                <w:i/>
                <w:iCs/>
                <w:sz w:val="16"/>
                <w:szCs w:val="16"/>
              </w:rPr>
              <w:t>5</w:t>
            </w:r>
          </w:p>
        </w:tc>
        <w:tc>
          <w:tcPr>
            <w:tcW w:w="482" w:type="pct"/>
            <w:tcBorders>
              <w:top w:val="nil"/>
              <w:left w:val="nil"/>
              <w:bottom w:val="nil"/>
              <w:right w:val="nil"/>
            </w:tcBorders>
            <w:shd w:val="clear" w:color="000000" w:fill="FFFFFF"/>
            <w:noWrap/>
            <w:vAlign w:val="center"/>
            <w:hideMark/>
          </w:tcPr>
          <w:p w14:paraId="39BB65D3" w14:textId="3C9E646F" w:rsidR="00003E62" w:rsidRPr="009009F5" w:rsidRDefault="00404C26">
            <w:pPr>
              <w:spacing w:before="0" w:after="0" w:line="240" w:lineRule="auto"/>
              <w:jc w:val="right"/>
              <w:rPr>
                <w:rFonts w:ascii="Arial" w:hAnsi="Arial" w:cs="Arial"/>
                <w:i/>
                <w:iCs/>
                <w:sz w:val="16"/>
                <w:szCs w:val="16"/>
              </w:rPr>
            </w:pPr>
            <w:r>
              <w:rPr>
                <w:rFonts w:ascii="Arial" w:hAnsi="Arial" w:cs="Arial"/>
                <w:i/>
                <w:iCs/>
                <w:sz w:val="16"/>
                <w:szCs w:val="16"/>
              </w:rPr>
              <w:noBreakHyphen/>
            </w:r>
            <w:r w:rsidR="00003E62" w:rsidRPr="009009F5">
              <w:rPr>
                <w:rFonts w:ascii="Arial" w:hAnsi="Arial" w:cs="Arial"/>
                <w:i/>
                <w:iCs/>
                <w:sz w:val="16"/>
                <w:szCs w:val="16"/>
              </w:rPr>
              <w:t>158</w:t>
            </w:r>
          </w:p>
        </w:tc>
        <w:tc>
          <w:tcPr>
            <w:tcW w:w="487" w:type="pct"/>
            <w:tcBorders>
              <w:top w:val="nil"/>
              <w:left w:val="nil"/>
              <w:bottom w:val="nil"/>
              <w:right w:val="nil"/>
            </w:tcBorders>
            <w:shd w:val="clear" w:color="000000" w:fill="FFFFFF"/>
            <w:noWrap/>
            <w:vAlign w:val="center"/>
            <w:hideMark/>
          </w:tcPr>
          <w:p w14:paraId="653E20CC" w14:textId="7B2D983C" w:rsidR="00003E62" w:rsidRPr="009009F5" w:rsidRDefault="00404C26">
            <w:pPr>
              <w:spacing w:before="0" w:after="0" w:line="240" w:lineRule="auto"/>
              <w:jc w:val="right"/>
              <w:rPr>
                <w:rFonts w:ascii="Arial" w:hAnsi="Arial" w:cs="Arial"/>
                <w:i/>
                <w:iCs/>
                <w:sz w:val="16"/>
                <w:szCs w:val="16"/>
              </w:rPr>
            </w:pPr>
            <w:r>
              <w:rPr>
                <w:rFonts w:ascii="Arial" w:hAnsi="Arial" w:cs="Arial"/>
                <w:i/>
                <w:iCs/>
                <w:sz w:val="16"/>
                <w:szCs w:val="16"/>
              </w:rPr>
              <w:noBreakHyphen/>
            </w:r>
            <w:r w:rsidR="00003E62" w:rsidRPr="009009F5">
              <w:rPr>
                <w:rFonts w:ascii="Arial" w:hAnsi="Arial" w:cs="Arial"/>
                <w:i/>
                <w:iCs/>
                <w:sz w:val="16"/>
                <w:szCs w:val="16"/>
              </w:rPr>
              <w:t>151</w:t>
            </w:r>
          </w:p>
        </w:tc>
        <w:tc>
          <w:tcPr>
            <w:tcW w:w="487" w:type="pct"/>
            <w:tcBorders>
              <w:top w:val="nil"/>
              <w:left w:val="nil"/>
              <w:bottom w:val="nil"/>
              <w:right w:val="nil"/>
            </w:tcBorders>
            <w:shd w:val="clear" w:color="000000" w:fill="FFFFFF"/>
            <w:noWrap/>
            <w:vAlign w:val="center"/>
            <w:hideMark/>
          </w:tcPr>
          <w:p w14:paraId="1B7D2773"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w:t>
            </w:r>
          </w:p>
        </w:tc>
        <w:tc>
          <w:tcPr>
            <w:tcW w:w="61" w:type="pct"/>
            <w:tcBorders>
              <w:top w:val="nil"/>
              <w:left w:val="nil"/>
              <w:bottom w:val="nil"/>
              <w:right w:val="nil"/>
            </w:tcBorders>
            <w:shd w:val="clear" w:color="000000" w:fill="FFFFFF"/>
            <w:noWrap/>
            <w:vAlign w:val="center"/>
            <w:hideMark/>
          </w:tcPr>
          <w:p w14:paraId="2B5F2B7D"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 </w:t>
            </w:r>
          </w:p>
        </w:tc>
        <w:tc>
          <w:tcPr>
            <w:tcW w:w="487" w:type="pct"/>
            <w:tcBorders>
              <w:top w:val="nil"/>
              <w:left w:val="nil"/>
              <w:bottom w:val="nil"/>
              <w:right w:val="nil"/>
            </w:tcBorders>
            <w:shd w:val="clear" w:color="000000" w:fill="FFFFFF"/>
            <w:noWrap/>
            <w:vAlign w:val="center"/>
            <w:hideMark/>
          </w:tcPr>
          <w:p w14:paraId="7D142389" w14:textId="77777777" w:rsidR="00003E62" w:rsidRPr="009009F5" w:rsidRDefault="00003E62">
            <w:pPr>
              <w:spacing w:before="0" w:after="0" w:line="240" w:lineRule="auto"/>
              <w:jc w:val="right"/>
              <w:rPr>
                <w:rFonts w:ascii="Arial" w:hAnsi="Arial" w:cs="Arial"/>
                <w:i/>
                <w:iCs/>
                <w:sz w:val="16"/>
                <w:szCs w:val="16"/>
              </w:rPr>
            </w:pPr>
            <w:r w:rsidRPr="009009F5">
              <w:rPr>
                <w:rFonts w:ascii="Arial" w:hAnsi="Arial" w:cs="Arial"/>
                <w:i/>
                <w:iCs/>
                <w:sz w:val="16"/>
                <w:szCs w:val="16"/>
              </w:rPr>
              <w:t>*</w:t>
            </w:r>
          </w:p>
        </w:tc>
      </w:tr>
      <w:tr w:rsidR="00003E62" w:rsidRPr="009009F5" w14:paraId="1027D685" w14:textId="77777777">
        <w:trPr>
          <w:trHeight w:hRule="exact" w:val="225"/>
        </w:trPr>
        <w:tc>
          <w:tcPr>
            <w:tcW w:w="2025" w:type="pct"/>
            <w:tcBorders>
              <w:top w:val="nil"/>
              <w:left w:val="nil"/>
              <w:bottom w:val="nil"/>
              <w:right w:val="nil"/>
            </w:tcBorders>
            <w:shd w:val="clear" w:color="000000" w:fill="FFFFFF"/>
            <w:noWrap/>
            <w:vAlign w:val="center"/>
            <w:hideMark/>
          </w:tcPr>
          <w:p w14:paraId="21AE9595" w14:textId="77777777" w:rsidR="00003E62" w:rsidRPr="009009F5" w:rsidRDefault="00003E62">
            <w:pPr>
              <w:spacing w:before="0" w:after="0" w:line="240" w:lineRule="auto"/>
              <w:ind w:left="170"/>
              <w:rPr>
                <w:rFonts w:ascii="Arial" w:hAnsi="Arial" w:cs="Arial"/>
                <w:sz w:val="16"/>
                <w:szCs w:val="16"/>
              </w:rPr>
            </w:pPr>
            <w:r w:rsidRPr="009009F5">
              <w:rPr>
                <w:rFonts w:ascii="Arial" w:hAnsi="Arial" w:cs="Arial"/>
                <w:sz w:val="16"/>
                <w:szCs w:val="16"/>
              </w:rPr>
              <w:t>Interest payments on AGS</w:t>
            </w:r>
          </w:p>
        </w:tc>
        <w:tc>
          <w:tcPr>
            <w:tcW w:w="487" w:type="pct"/>
            <w:tcBorders>
              <w:top w:val="nil"/>
              <w:left w:val="nil"/>
              <w:bottom w:val="nil"/>
              <w:right w:val="nil"/>
            </w:tcBorders>
            <w:shd w:val="clear" w:color="000000" w:fill="FFFFFF"/>
            <w:noWrap/>
            <w:vAlign w:val="center"/>
            <w:hideMark/>
          </w:tcPr>
          <w:p w14:paraId="41AD4381" w14:textId="7C9D3CEF" w:rsidR="00003E62" w:rsidRPr="009009F5" w:rsidRDefault="00404C26">
            <w:pPr>
              <w:spacing w:before="0" w:after="0" w:line="240" w:lineRule="auto"/>
              <w:jc w:val="right"/>
              <w:rPr>
                <w:rFonts w:ascii="Arial" w:hAnsi="Arial" w:cs="Arial"/>
                <w:sz w:val="16"/>
                <w:szCs w:val="16"/>
              </w:rPr>
            </w:pPr>
            <w:r>
              <w:rPr>
                <w:rFonts w:ascii="Arial" w:hAnsi="Arial" w:cs="Arial"/>
                <w:sz w:val="16"/>
                <w:szCs w:val="16"/>
              </w:rPr>
              <w:noBreakHyphen/>
            </w:r>
            <w:r w:rsidR="00003E62" w:rsidRPr="009009F5">
              <w:rPr>
                <w:rFonts w:ascii="Arial" w:hAnsi="Arial" w:cs="Arial"/>
                <w:sz w:val="16"/>
                <w:szCs w:val="16"/>
              </w:rPr>
              <w:t>256</w:t>
            </w:r>
          </w:p>
        </w:tc>
        <w:tc>
          <w:tcPr>
            <w:tcW w:w="482" w:type="pct"/>
            <w:tcBorders>
              <w:top w:val="nil"/>
              <w:left w:val="nil"/>
              <w:bottom w:val="nil"/>
              <w:right w:val="nil"/>
            </w:tcBorders>
            <w:shd w:val="clear" w:color="000000" w:fill="E6F2FF"/>
            <w:noWrap/>
            <w:vAlign w:val="center"/>
            <w:hideMark/>
          </w:tcPr>
          <w:p w14:paraId="2F03858E" w14:textId="6C4ABECE" w:rsidR="00003E62" w:rsidRPr="009009F5" w:rsidRDefault="00404C26">
            <w:pPr>
              <w:spacing w:before="0" w:after="0" w:line="240" w:lineRule="auto"/>
              <w:jc w:val="right"/>
              <w:rPr>
                <w:rFonts w:ascii="Arial" w:hAnsi="Arial" w:cs="Arial"/>
                <w:sz w:val="16"/>
                <w:szCs w:val="16"/>
              </w:rPr>
            </w:pPr>
            <w:r>
              <w:rPr>
                <w:rFonts w:ascii="Arial" w:hAnsi="Arial" w:cs="Arial"/>
                <w:sz w:val="16"/>
                <w:szCs w:val="16"/>
              </w:rPr>
              <w:noBreakHyphen/>
            </w:r>
            <w:r w:rsidR="00003E62" w:rsidRPr="009009F5">
              <w:rPr>
                <w:rFonts w:ascii="Arial" w:hAnsi="Arial" w:cs="Arial"/>
                <w:sz w:val="16"/>
                <w:szCs w:val="16"/>
              </w:rPr>
              <w:t>424</w:t>
            </w:r>
          </w:p>
        </w:tc>
        <w:tc>
          <w:tcPr>
            <w:tcW w:w="482" w:type="pct"/>
            <w:tcBorders>
              <w:top w:val="nil"/>
              <w:left w:val="nil"/>
              <w:bottom w:val="nil"/>
              <w:right w:val="nil"/>
            </w:tcBorders>
            <w:shd w:val="clear" w:color="000000" w:fill="FFFFFF"/>
            <w:noWrap/>
            <w:vAlign w:val="center"/>
            <w:hideMark/>
          </w:tcPr>
          <w:p w14:paraId="35275C52" w14:textId="74162210" w:rsidR="00003E62" w:rsidRPr="009009F5" w:rsidRDefault="00404C26">
            <w:pPr>
              <w:spacing w:before="0" w:after="0" w:line="240" w:lineRule="auto"/>
              <w:jc w:val="right"/>
              <w:rPr>
                <w:rFonts w:ascii="Arial" w:hAnsi="Arial" w:cs="Arial"/>
                <w:sz w:val="16"/>
                <w:szCs w:val="16"/>
              </w:rPr>
            </w:pPr>
            <w:r>
              <w:rPr>
                <w:rFonts w:ascii="Arial" w:hAnsi="Arial" w:cs="Arial"/>
                <w:sz w:val="16"/>
                <w:szCs w:val="16"/>
              </w:rPr>
              <w:noBreakHyphen/>
            </w:r>
            <w:r w:rsidR="00003E62" w:rsidRPr="009009F5">
              <w:rPr>
                <w:rFonts w:ascii="Arial" w:hAnsi="Arial" w:cs="Arial"/>
                <w:sz w:val="16"/>
                <w:szCs w:val="16"/>
              </w:rPr>
              <w:t>771</w:t>
            </w:r>
          </w:p>
        </w:tc>
        <w:tc>
          <w:tcPr>
            <w:tcW w:w="487" w:type="pct"/>
            <w:tcBorders>
              <w:top w:val="nil"/>
              <w:left w:val="nil"/>
              <w:bottom w:val="nil"/>
              <w:right w:val="nil"/>
            </w:tcBorders>
            <w:shd w:val="clear" w:color="000000" w:fill="FFFFFF"/>
            <w:noWrap/>
            <w:vAlign w:val="center"/>
            <w:hideMark/>
          </w:tcPr>
          <w:p w14:paraId="420D976C" w14:textId="136F4957" w:rsidR="00003E62" w:rsidRPr="009009F5" w:rsidRDefault="00404C26">
            <w:pPr>
              <w:spacing w:before="0" w:after="0" w:line="240" w:lineRule="auto"/>
              <w:jc w:val="right"/>
              <w:rPr>
                <w:rFonts w:ascii="Arial" w:hAnsi="Arial" w:cs="Arial"/>
                <w:sz w:val="16"/>
                <w:szCs w:val="16"/>
              </w:rPr>
            </w:pPr>
            <w:r>
              <w:rPr>
                <w:rFonts w:ascii="Arial" w:hAnsi="Arial" w:cs="Arial"/>
                <w:sz w:val="16"/>
                <w:szCs w:val="16"/>
              </w:rPr>
              <w:noBreakHyphen/>
            </w:r>
            <w:r w:rsidR="00003E62" w:rsidRPr="009009F5">
              <w:rPr>
                <w:rFonts w:ascii="Arial" w:hAnsi="Arial" w:cs="Arial"/>
                <w:sz w:val="16"/>
                <w:szCs w:val="16"/>
              </w:rPr>
              <w:t>913</w:t>
            </w:r>
          </w:p>
        </w:tc>
        <w:tc>
          <w:tcPr>
            <w:tcW w:w="487" w:type="pct"/>
            <w:tcBorders>
              <w:top w:val="nil"/>
              <w:left w:val="nil"/>
              <w:bottom w:val="nil"/>
              <w:right w:val="nil"/>
            </w:tcBorders>
            <w:shd w:val="clear" w:color="000000" w:fill="FFFFFF"/>
            <w:noWrap/>
            <w:vAlign w:val="center"/>
            <w:hideMark/>
          </w:tcPr>
          <w:p w14:paraId="1E76D7B6"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w:t>
            </w:r>
          </w:p>
        </w:tc>
        <w:tc>
          <w:tcPr>
            <w:tcW w:w="61" w:type="pct"/>
            <w:tcBorders>
              <w:top w:val="nil"/>
              <w:left w:val="nil"/>
              <w:bottom w:val="nil"/>
              <w:right w:val="nil"/>
            </w:tcBorders>
            <w:shd w:val="clear" w:color="000000" w:fill="FFFFFF"/>
            <w:noWrap/>
            <w:vAlign w:val="center"/>
            <w:hideMark/>
          </w:tcPr>
          <w:p w14:paraId="503E33EA"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7D5A66D4"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w:t>
            </w:r>
          </w:p>
        </w:tc>
      </w:tr>
      <w:tr w:rsidR="00003E62" w:rsidRPr="009009F5" w14:paraId="6E85C1BC" w14:textId="77777777">
        <w:trPr>
          <w:trHeight w:hRule="exact" w:val="225"/>
        </w:trPr>
        <w:tc>
          <w:tcPr>
            <w:tcW w:w="2025" w:type="pct"/>
            <w:tcBorders>
              <w:top w:val="nil"/>
              <w:left w:val="nil"/>
              <w:bottom w:val="nil"/>
              <w:right w:val="nil"/>
            </w:tcBorders>
            <w:shd w:val="clear" w:color="000000" w:fill="FFFFFF"/>
            <w:noWrap/>
            <w:vAlign w:val="center"/>
            <w:hideMark/>
          </w:tcPr>
          <w:p w14:paraId="635D5766" w14:textId="77777777" w:rsidR="00003E62" w:rsidRPr="009009F5" w:rsidRDefault="00003E62">
            <w:pPr>
              <w:spacing w:before="0" w:after="0" w:line="240" w:lineRule="auto"/>
              <w:ind w:left="170"/>
              <w:rPr>
                <w:rFonts w:ascii="Arial" w:hAnsi="Arial" w:cs="Arial"/>
                <w:sz w:val="16"/>
                <w:szCs w:val="16"/>
              </w:rPr>
            </w:pPr>
            <w:r w:rsidRPr="009009F5">
              <w:rPr>
                <w:rFonts w:ascii="Arial" w:hAnsi="Arial" w:cs="Arial"/>
                <w:sz w:val="16"/>
                <w:szCs w:val="16"/>
              </w:rPr>
              <w:t>Program specific parameter variations</w:t>
            </w:r>
          </w:p>
        </w:tc>
        <w:tc>
          <w:tcPr>
            <w:tcW w:w="487" w:type="pct"/>
            <w:tcBorders>
              <w:top w:val="nil"/>
              <w:left w:val="nil"/>
              <w:bottom w:val="nil"/>
              <w:right w:val="nil"/>
            </w:tcBorders>
            <w:shd w:val="clear" w:color="000000" w:fill="FFFFFF"/>
            <w:noWrap/>
            <w:vAlign w:val="center"/>
            <w:hideMark/>
          </w:tcPr>
          <w:p w14:paraId="0EEECEE8"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916</w:t>
            </w:r>
          </w:p>
        </w:tc>
        <w:tc>
          <w:tcPr>
            <w:tcW w:w="482" w:type="pct"/>
            <w:tcBorders>
              <w:top w:val="nil"/>
              <w:left w:val="nil"/>
              <w:bottom w:val="nil"/>
              <w:right w:val="nil"/>
            </w:tcBorders>
            <w:shd w:val="clear" w:color="000000" w:fill="E6F2FF"/>
            <w:noWrap/>
            <w:vAlign w:val="center"/>
            <w:hideMark/>
          </w:tcPr>
          <w:p w14:paraId="7A844E81"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1,643</w:t>
            </w:r>
          </w:p>
        </w:tc>
        <w:tc>
          <w:tcPr>
            <w:tcW w:w="482" w:type="pct"/>
            <w:tcBorders>
              <w:top w:val="nil"/>
              <w:left w:val="nil"/>
              <w:bottom w:val="nil"/>
              <w:right w:val="nil"/>
            </w:tcBorders>
            <w:shd w:val="clear" w:color="000000" w:fill="FFFFFF"/>
            <w:noWrap/>
            <w:vAlign w:val="center"/>
            <w:hideMark/>
          </w:tcPr>
          <w:p w14:paraId="40C49BDB"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1,727</w:t>
            </w:r>
          </w:p>
        </w:tc>
        <w:tc>
          <w:tcPr>
            <w:tcW w:w="487" w:type="pct"/>
            <w:tcBorders>
              <w:top w:val="nil"/>
              <w:left w:val="nil"/>
              <w:bottom w:val="nil"/>
              <w:right w:val="nil"/>
            </w:tcBorders>
            <w:shd w:val="clear" w:color="000000" w:fill="FFFFFF"/>
            <w:noWrap/>
            <w:vAlign w:val="center"/>
            <w:hideMark/>
          </w:tcPr>
          <w:p w14:paraId="519BF71A"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2,956</w:t>
            </w:r>
          </w:p>
        </w:tc>
        <w:tc>
          <w:tcPr>
            <w:tcW w:w="487" w:type="pct"/>
            <w:tcBorders>
              <w:top w:val="nil"/>
              <w:left w:val="nil"/>
              <w:bottom w:val="nil"/>
              <w:right w:val="nil"/>
            </w:tcBorders>
            <w:shd w:val="clear" w:color="000000" w:fill="FFFFFF"/>
            <w:noWrap/>
            <w:vAlign w:val="center"/>
            <w:hideMark/>
          </w:tcPr>
          <w:p w14:paraId="6763726A"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w:t>
            </w:r>
          </w:p>
        </w:tc>
        <w:tc>
          <w:tcPr>
            <w:tcW w:w="61" w:type="pct"/>
            <w:tcBorders>
              <w:top w:val="nil"/>
              <w:left w:val="nil"/>
              <w:bottom w:val="nil"/>
              <w:right w:val="nil"/>
            </w:tcBorders>
            <w:shd w:val="clear" w:color="000000" w:fill="FFFFFF"/>
            <w:noWrap/>
            <w:vAlign w:val="center"/>
            <w:hideMark/>
          </w:tcPr>
          <w:p w14:paraId="6D2941C5"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62CD06AB"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w:t>
            </w:r>
          </w:p>
        </w:tc>
      </w:tr>
      <w:tr w:rsidR="00003E62" w:rsidRPr="009009F5" w14:paraId="3CA78541" w14:textId="77777777">
        <w:trPr>
          <w:trHeight w:hRule="exact" w:val="225"/>
        </w:trPr>
        <w:tc>
          <w:tcPr>
            <w:tcW w:w="2025" w:type="pct"/>
            <w:tcBorders>
              <w:top w:val="nil"/>
              <w:left w:val="nil"/>
              <w:bottom w:val="nil"/>
              <w:right w:val="nil"/>
            </w:tcBorders>
            <w:shd w:val="clear" w:color="000000" w:fill="FFFFFF"/>
            <w:noWrap/>
            <w:vAlign w:val="center"/>
            <w:hideMark/>
          </w:tcPr>
          <w:p w14:paraId="1C662D8E" w14:textId="77777777" w:rsidR="00003E62" w:rsidRPr="009009F5" w:rsidRDefault="00003E62">
            <w:pPr>
              <w:spacing w:before="0" w:after="0" w:line="240" w:lineRule="auto"/>
              <w:ind w:left="170"/>
              <w:rPr>
                <w:rFonts w:ascii="Arial" w:hAnsi="Arial" w:cs="Arial"/>
                <w:sz w:val="16"/>
                <w:szCs w:val="16"/>
              </w:rPr>
            </w:pPr>
            <w:r w:rsidRPr="009009F5">
              <w:rPr>
                <w:rFonts w:ascii="Arial" w:hAnsi="Arial" w:cs="Arial"/>
                <w:sz w:val="16"/>
                <w:szCs w:val="16"/>
              </w:rPr>
              <w:t>Other variations(d)</w:t>
            </w:r>
          </w:p>
        </w:tc>
        <w:tc>
          <w:tcPr>
            <w:tcW w:w="487" w:type="pct"/>
            <w:tcBorders>
              <w:top w:val="nil"/>
              <w:left w:val="nil"/>
              <w:bottom w:val="single" w:sz="4" w:space="0" w:color="293F5B"/>
              <w:right w:val="nil"/>
            </w:tcBorders>
            <w:shd w:val="clear" w:color="000000" w:fill="FFFFFF"/>
            <w:noWrap/>
            <w:vAlign w:val="center"/>
            <w:hideMark/>
          </w:tcPr>
          <w:p w14:paraId="16EE5590" w14:textId="263EA281" w:rsidR="00003E62" w:rsidRPr="009009F5" w:rsidRDefault="00404C26">
            <w:pPr>
              <w:spacing w:before="0" w:after="0" w:line="240" w:lineRule="auto"/>
              <w:jc w:val="right"/>
              <w:rPr>
                <w:rFonts w:ascii="Arial" w:hAnsi="Arial" w:cs="Arial"/>
                <w:sz w:val="16"/>
                <w:szCs w:val="16"/>
              </w:rPr>
            </w:pPr>
            <w:r>
              <w:rPr>
                <w:rFonts w:ascii="Arial" w:hAnsi="Arial" w:cs="Arial"/>
                <w:sz w:val="16"/>
                <w:szCs w:val="16"/>
              </w:rPr>
              <w:noBreakHyphen/>
            </w:r>
            <w:r w:rsidR="00003E62" w:rsidRPr="009009F5">
              <w:rPr>
                <w:rFonts w:ascii="Arial" w:hAnsi="Arial" w:cs="Arial"/>
                <w:sz w:val="16"/>
                <w:szCs w:val="16"/>
              </w:rPr>
              <w:t>315</w:t>
            </w:r>
          </w:p>
        </w:tc>
        <w:tc>
          <w:tcPr>
            <w:tcW w:w="482" w:type="pct"/>
            <w:tcBorders>
              <w:top w:val="nil"/>
              <w:left w:val="nil"/>
              <w:bottom w:val="single" w:sz="4" w:space="0" w:color="293F5B"/>
              <w:right w:val="nil"/>
            </w:tcBorders>
            <w:shd w:val="clear" w:color="000000" w:fill="E6F2FF"/>
            <w:noWrap/>
            <w:vAlign w:val="center"/>
            <w:hideMark/>
          </w:tcPr>
          <w:p w14:paraId="505538E6" w14:textId="5B49430B" w:rsidR="00003E62" w:rsidRPr="009009F5" w:rsidRDefault="00404C26">
            <w:pPr>
              <w:spacing w:before="0" w:after="0" w:line="240" w:lineRule="auto"/>
              <w:jc w:val="right"/>
              <w:rPr>
                <w:rFonts w:ascii="Arial" w:hAnsi="Arial" w:cs="Arial"/>
                <w:sz w:val="16"/>
                <w:szCs w:val="16"/>
              </w:rPr>
            </w:pPr>
            <w:r>
              <w:rPr>
                <w:rFonts w:ascii="Arial" w:hAnsi="Arial" w:cs="Arial"/>
                <w:sz w:val="16"/>
                <w:szCs w:val="16"/>
              </w:rPr>
              <w:noBreakHyphen/>
            </w:r>
            <w:r w:rsidR="00003E62" w:rsidRPr="009009F5">
              <w:rPr>
                <w:rFonts w:ascii="Arial" w:hAnsi="Arial" w:cs="Arial"/>
                <w:sz w:val="16"/>
                <w:szCs w:val="16"/>
              </w:rPr>
              <w:t>6,215</w:t>
            </w:r>
          </w:p>
        </w:tc>
        <w:tc>
          <w:tcPr>
            <w:tcW w:w="482" w:type="pct"/>
            <w:tcBorders>
              <w:top w:val="nil"/>
              <w:left w:val="nil"/>
              <w:bottom w:val="single" w:sz="4" w:space="0" w:color="293F5B"/>
              <w:right w:val="nil"/>
            </w:tcBorders>
            <w:shd w:val="clear" w:color="000000" w:fill="FFFFFF"/>
            <w:noWrap/>
            <w:vAlign w:val="center"/>
            <w:hideMark/>
          </w:tcPr>
          <w:p w14:paraId="7074A33F" w14:textId="555ECBE3" w:rsidR="00003E62" w:rsidRPr="009009F5" w:rsidRDefault="00404C26">
            <w:pPr>
              <w:spacing w:before="0" w:after="0" w:line="240" w:lineRule="auto"/>
              <w:jc w:val="right"/>
              <w:rPr>
                <w:rFonts w:ascii="Arial" w:hAnsi="Arial" w:cs="Arial"/>
                <w:sz w:val="16"/>
                <w:szCs w:val="16"/>
              </w:rPr>
            </w:pPr>
            <w:r>
              <w:rPr>
                <w:rFonts w:ascii="Arial" w:hAnsi="Arial" w:cs="Arial"/>
                <w:sz w:val="16"/>
                <w:szCs w:val="16"/>
              </w:rPr>
              <w:noBreakHyphen/>
            </w:r>
            <w:r w:rsidR="00003E62" w:rsidRPr="009009F5">
              <w:rPr>
                <w:rFonts w:ascii="Arial" w:hAnsi="Arial" w:cs="Arial"/>
                <w:sz w:val="16"/>
                <w:szCs w:val="16"/>
              </w:rPr>
              <w:t>5,073</w:t>
            </w:r>
          </w:p>
        </w:tc>
        <w:tc>
          <w:tcPr>
            <w:tcW w:w="487" w:type="pct"/>
            <w:tcBorders>
              <w:top w:val="nil"/>
              <w:left w:val="nil"/>
              <w:bottom w:val="single" w:sz="4" w:space="0" w:color="293F5B"/>
              <w:right w:val="nil"/>
            </w:tcBorders>
            <w:shd w:val="clear" w:color="000000" w:fill="FFFFFF"/>
            <w:noWrap/>
            <w:vAlign w:val="center"/>
            <w:hideMark/>
          </w:tcPr>
          <w:p w14:paraId="45A7A3F8" w14:textId="6C563D5A" w:rsidR="00003E62" w:rsidRPr="009009F5" w:rsidRDefault="00404C26">
            <w:pPr>
              <w:spacing w:before="0" w:after="0" w:line="240" w:lineRule="auto"/>
              <w:jc w:val="right"/>
              <w:rPr>
                <w:rFonts w:ascii="Arial" w:hAnsi="Arial" w:cs="Arial"/>
                <w:sz w:val="16"/>
                <w:szCs w:val="16"/>
              </w:rPr>
            </w:pPr>
            <w:r>
              <w:rPr>
                <w:rFonts w:ascii="Arial" w:hAnsi="Arial" w:cs="Arial"/>
                <w:sz w:val="16"/>
                <w:szCs w:val="16"/>
              </w:rPr>
              <w:noBreakHyphen/>
            </w:r>
            <w:r w:rsidR="00003E62" w:rsidRPr="009009F5">
              <w:rPr>
                <w:rFonts w:ascii="Arial" w:hAnsi="Arial" w:cs="Arial"/>
                <w:sz w:val="16"/>
                <w:szCs w:val="16"/>
              </w:rPr>
              <w:t>8,087</w:t>
            </w:r>
          </w:p>
        </w:tc>
        <w:tc>
          <w:tcPr>
            <w:tcW w:w="487" w:type="pct"/>
            <w:tcBorders>
              <w:top w:val="nil"/>
              <w:left w:val="nil"/>
              <w:bottom w:val="single" w:sz="4" w:space="0" w:color="293F5B"/>
              <w:right w:val="nil"/>
            </w:tcBorders>
            <w:shd w:val="clear" w:color="000000" w:fill="FFFFFF"/>
            <w:noWrap/>
            <w:vAlign w:val="center"/>
            <w:hideMark/>
          </w:tcPr>
          <w:p w14:paraId="4B4A3324"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w:t>
            </w:r>
          </w:p>
        </w:tc>
        <w:tc>
          <w:tcPr>
            <w:tcW w:w="61" w:type="pct"/>
            <w:tcBorders>
              <w:top w:val="nil"/>
              <w:left w:val="nil"/>
              <w:bottom w:val="nil"/>
              <w:right w:val="nil"/>
            </w:tcBorders>
            <w:shd w:val="clear" w:color="000000" w:fill="FFFFFF"/>
            <w:noWrap/>
            <w:vAlign w:val="center"/>
            <w:hideMark/>
          </w:tcPr>
          <w:p w14:paraId="7898C1F1"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 </w:t>
            </w:r>
          </w:p>
        </w:tc>
        <w:tc>
          <w:tcPr>
            <w:tcW w:w="487" w:type="pct"/>
            <w:tcBorders>
              <w:top w:val="nil"/>
              <w:left w:val="nil"/>
              <w:bottom w:val="single" w:sz="4" w:space="0" w:color="293F5B"/>
              <w:right w:val="nil"/>
            </w:tcBorders>
            <w:shd w:val="clear" w:color="000000" w:fill="FFFFFF"/>
            <w:noWrap/>
            <w:vAlign w:val="center"/>
            <w:hideMark/>
          </w:tcPr>
          <w:p w14:paraId="175540E6" w14:textId="77777777" w:rsidR="00003E62" w:rsidRPr="009009F5" w:rsidRDefault="00003E62">
            <w:pPr>
              <w:spacing w:before="0" w:after="0" w:line="240" w:lineRule="auto"/>
              <w:jc w:val="right"/>
              <w:rPr>
                <w:rFonts w:ascii="Arial" w:hAnsi="Arial" w:cs="Arial"/>
                <w:sz w:val="16"/>
                <w:szCs w:val="16"/>
              </w:rPr>
            </w:pPr>
            <w:r w:rsidRPr="009009F5">
              <w:rPr>
                <w:rFonts w:ascii="Arial" w:hAnsi="Arial" w:cs="Arial"/>
                <w:sz w:val="16"/>
                <w:szCs w:val="16"/>
              </w:rPr>
              <w:t>*</w:t>
            </w:r>
          </w:p>
        </w:tc>
      </w:tr>
      <w:tr w:rsidR="00003E62" w:rsidRPr="009009F5" w14:paraId="33E62241" w14:textId="77777777">
        <w:trPr>
          <w:trHeight w:hRule="exact" w:val="225"/>
        </w:trPr>
        <w:tc>
          <w:tcPr>
            <w:tcW w:w="2025" w:type="pct"/>
            <w:tcBorders>
              <w:top w:val="nil"/>
              <w:left w:val="nil"/>
              <w:bottom w:val="nil"/>
              <w:right w:val="nil"/>
            </w:tcBorders>
            <w:shd w:val="clear" w:color="000000" w:fill="FFFFFF"/>
            <w:noWrap/>
            <w:vAlign w:val="center"/>
            <w:hideMark/>
          </w:tcPr>
          <w:p w14:paraId="01AFF651" w14:textId="77777777" w:rsidR="00003E62" w:rsidRPr="009009F5" w:rsidRDefault="00003E62">
            <w:pPr>
              <w:spacing w:before="0" w:after="0" w:line="240" w:lineRule="auto"/>
              <w:rPr>
                <w:rFonts w:ascii="Arial" w:hAnsi="Arial" w:cs="Arial"/>
                <w:b/>
                <w:bCs/>
                <w:sz w:val="16"/>
                <w:szCs w:val="16"/>
              </w:rPr>
            </w:pPr>
            <w:r w:rsidRPr="009009F5">
              <w:rPr>
                <w:rFonts w:ascii="Arial" w:hAnsi="Arial" w:cs="Arial"/>
                <w:b/>
                <w:bCs/>
                <w:sz w:val="16"/>
                <w:szCs w:val="16"/>
              </w:rPr>
              <w:t>Total variations</w:t>
            </w:r>
          </w:p>
        </w:tc>
        <w:tc>
          <w:tcPr>
            <w:tcW w:w="487" w:type="pct"/>
            <w:tcBorders>
              <w:top w:val="single" w:sz="4" w:space="0" w:color="293F5B"/>
              <w:left w:val="nil"/>
              <w:bottom w:val="single" w:sz="4" w:space="0" w:color="293F5B"/>
              <w:right w:val="nil"/>
            </w:tcBorders>
            <w:shd w:val="clear" w:color="000000" w:fill="FFFFFF"/>
            <w:noWrap/>
            <w:vAlign w:val="center"/>
            <w:hideMark/>
          </w:tcPr>
          <w:p w14:paraId="568943E3"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394</w:t>
            </w:r>
          </w:p>
        </w:tc>
        <w:tc>
          <w:tcPr>
            <w:tcW w:w="482" w:type="pct"/>
            <w:tcBorders>
              <w:top w:val="single" w:sz="4" w:space="0" w:color="293F5B"/>
              <w:left w:val="nil"/>
              <w:bottom w:val="single" w:sz="4" w:space="0" w:color="293F5B"/>
              <w:right w:val="nil"/>
            </w:tcBorders>
            <w:shd w:val="clear" w:color="000000" w:fill="E6F2FF"/>
            <w:noWrap/>
            <w:vAlign w:val="center"/>
            <w:hideMark/>
          </w:tcPr>
          <w:p w14:paraId="6AFE39BA"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2,140</w:t>
            </w:r>
          </w:p>
        </w:tc>
        <w:tc>
          <w:tcPr>
            <w:tcW w:w="482" w:type="pct"/>
            <w:tcBorders>
              <w:top w:val="single" w:sz="4" w:space="0" w:color="293F5B"/>
              <w:left w:val="nil"/>
              <w:bottom w:val="single" w:sz="4" w:space="0" w:color="293F5B"/>
              <w:right w:val="nil"/>
            </w:tcBorders>
            <w:shd w:val="clear" w:color="000000" w:fill="FFFFFF"/>
            <w:noWrap/>
            <w:vAlign w:val="center"/>
            <w:hideMark/>
          </w:tcPr>
          <w:p w14:paraId="35F97262" w14:textId="2059D5DA" w:rsidR="00003E62" w:rsidRPr="009009F5" w:rsidRDefault="00404C26">
            <w:pPr>
              <w:spacing w:before="0" w:after="0" w:line="240" w:lineRule="auto"/>
              <w:jc w:val="right"/>
              <w:rPr>
                <w:rFonts w:ascii="Arial" w:hAnsi="Arial" w:cs="Arial"/>
                <w:b/>
                <w:bCs/>
                <w:sz w:val="16"/>
                <w:szCs w:val="16"/>
              </w:rPr>
            </w:pPr>
            <w:r>
              <w:rPr>
                <w:rFonts w:ascii="Arial" w:hAnsi="Arial" w:cs="Arial"/>
                <w:b/>
                <w:bCs/>
                <w:sz w:val="16"/>
                <w:szCs w:val="16"/>
              </w:rPr>
              <w:noBreakHyphen/>
            </w:r>
            <w:r w:rsidR="00003E62" w:rsidRPr="009009F5">
              <w:rPr>
                <w:rFonts w:ascii="Arial" w:hAnsi="Arial" w:cs="Arial"/>
                <w:b/>
                <w:bCs/>
                <w:sz w:val="16"/>
                <w:szCs w:val="16"/>
              </w:rPr>
              <w:t>64</w:t>
            </w:r>
          </w:p>
        </w:tc>
        <w:tc>
          <w:tcPr>
            <w:tcW w:w="487" w:type="pct"/>
            <w:tcBorders>
              <w:top w:val="single" w:sz="4" w:space="0" w:color="293F5B"/>
              <w:left w:val="nil"/>
              <w:bottom w:val="single" w:sz="4" w:space="0" w:color="293F5B"/>
              <w:right w:val="nil"/>
            </w:tcBorders>
            <w:shd w:val="clear" w:color="000000" w:fill="FFFFFF"/>
            <w:noWrap/>
            <w:vAlign w:val="center"/>
            <w:hideMark/>
          </w:tcPr>
          <w:p w14:paraId="3DA5DCF6" w14:textId="5DC5F3F8" w:rsidR="00003E62" w:rsidRPr="009009F5" w:rsidRDefault="00404C26">
            <w:pPr>
              <w:spacing w:before="0" w:after="0" w:line="240" w:lineRule="auto"/>
              <w:jc w:val="right"/>
              <w:rPr>
                <w:rFonts w:ascii="Arial" w:hAnsi="Arial" w:cs="Arial"/>
                <w:b/>
                <w:bCs/>
                <w:sz w:val="16"/>
                <w:szCs w:val="16"/>
              </w:rPr>
            </w:pPr>
            <w:r>
              <w:rPr>
                <w:rFonts w:ascii="Arial" w:hAnsi="Arial" w:cs="Arial"/>
                <w:b/>
                <w:bCs/>
                <w:sz w:val="16"/>
                <w:szCs w:val="16"/>
              </w:rPr>
              <w:noBreakHyphen/>
            </w:r>
            <w:r w:rsidR="00003E62" w:rsidRPr="009009F5">
              <w:rPr>
                <w:rFonts w:ascii="Arial" w:hAnsi="Arial" w:cs="Arial"/>
                <w:b/>
                <w:bCs/>
                <w:sz w:val="16"/>
                <w:szCs w:val="16"/>
              </w:rPr>
              <w:t>1,122</w:t>
            </w:r>
          </w:p>
        </w:tc>
        <w:tc>
          <w:tcPr>
            <w:tcW w:w="487" w:type="pct"/>
            <w:tcBorders>
              <w:top w:val="single" w:sz="4" w:space="0" w:color="293F5B"/>
              <w:left w:val="nil"/>
              <w:bottom w:val="single" w:sz="4" w:space="0" w:color="293F5B"/>
              <w:right w:val="nil"/>
            </w:tcBorders>
            <w:shd w:val="clear" w:color="000000" w:fill="FFFFFF"/>
            <w:noWrap/>
            <w:vAlign w:val="center"/>
            <w:hideMark/>
          </w:tcPr>
          <w:p w14:paraId="1F1AAE86" w14:textId="7D274765" w:rsidR="00003E62" w:rsidRPr="009009F5" w:rsidRDefault="00404C26">
            <w:pPr>
              <w:spacing w:before="0" w:after="0" w:line="240" w:lineRule="auto"/>
              <w:jc w:val="right"/>
              <w:rPr>
                <w:rFonts w:ascii="Arial" w:hAnsi="Arial" w:cs="Arial"/>
                <w:b/>
                <w:bCs/>
                <w:sz w:val="16"/>
                <w:szCs w:val="16"/>
              </w:rPr>
            </w:pPr>
            <w:r>
              <w:rPr>
                <w:rFonts w:ascii="Arial" w:hAnsi="Arial" w:cs="Arial"/>
                <w:b/>
                <w:bCs/>
                <w:sz w:val="16"/>
                <w:szCs w:val="16"/>
              </w:rPr>
              <w:noBreakHyphen/>
            </w:r>
            <w:r w:rsidR="00003E62" w:rsidRPr="009009F5">
              <w:rPr>
                <w:rFonts w:ascii="Arial" w:hAnsi="Arial" w:cs="Arial"/>
                <w:b/>
                <w:bCs/>
                <w:sz w:val="16"/>
                <w:szCs w:val="16"/>
              </w:rPr>
              <w:t>8,684</w:t>
            </w:r>
          </w:p>
        </w:tc>
        <w:tc>
          <w:tcPr>
            <w:tcW w:w="61" w:type="pct"/>
            <w:tcBorders>
              <w:top w:val="nil"/>
              <w:left w:val="nil"/>
              <w:bottom w:val="nil"/>
              <w:right w:val="nil"/>
            </w:tcBorders>
            <w:shd w:val="clear" w:color="000000" w:fill="FFFFFF"/>
            <w:noWrap/>
            <w:vAlign w:val="center"/>
            <w:hideMark/>
          </w:tcPr>
          <w:p w14:paraId="5DA60665"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 </w:t>
            </w:r>
          </w:p>
        </w:tc>
        <w:tc>
          <w:tcPr>
            <w:tcW w:w="487" w:type="pct"/>
            <w:tcBorders>
              <w:top w:val="single" w:sz="4" w:space="0" w:color="293F5B"/>
              <w:left w:val="nil"/>
              <w:bottom w:val="single" w:sz="4" w:space="0" w:color="293F5B"/>
              <w:right w:val="nil"/>
            </w:tcBorders>
            <w:shd w:val="clear" w:color="000000" w:fill="FFFFFF"/>
            <w:noWrap/>
            <w:vAlign w:val="center"/>
            <w:hideMark/>
          </w:tcPr>
          <w:p w14:paraId="455047FA" w14:textId="5CA9E80A" w:rsidR="00003E62" w:rsidRPr="009009F5" w:rsidRDefault="00404C26">
            <w:pPr>
              <w:spacing w:before="0" w:after="0" w:line="240" w:lineRule="auto"/>
              <w:jc w:val="right"/>
              <w:rPr>
                <w:rFonts w:ascii="Arial" w:hAnsi="Arial" w:cs="Arial"/>
                <w:b/>
                <w:bCs/>
                <w:sz w:val="16"/>
                <w:szCs w:val="16"/>
              </w:rPr>
            </w:pPr>
            <w:r>
              <w:rPr>
                <w:rFonts w:ascii="Arial" w:hAnsi="Arial" w:cs="Arial"/>
                <w:b/>
                <w:bCs/>
                <w:sz w:val="16"/>
                <w:szCs w:val="16"/>
              </w:rPr>
              <w:noBreakHyphen/>
            </w:r>
            <w:r w:rsidR="00003E62" w:rsidRPr="009009F5">
              <w:rPr>
                <w:rFonts w:ascii="Arial" w:hAnsi="Arial" w:cs="Arial"/>
                <w:b/>
                <w:bCs/>
                <w:sz w:val="16"/>
                <w:szCs w:val="16"/>
              </w:rPr>
              <w:t>7,337</w:t>
            </w:r>
          </w:p>
        </w:tc>
      </w:tr>
      <w:tr w:rsidR="00003E62" w:rsidRPr="009009F5" w14:paraId="01AB097F" w14:textId="77777777">
        <w:trPr>
          <w:trHeight w:hRule="exact" w:val="60"/>
        </w:trPr>
        <w:tc>
          <w:tcPr>
            <w:tcW w:w="2025" w:type="pct"/>
            <w:tcBorders>
              <w:top w:val="nil"/>
              <w:left w:val="nil"/>
              <w:bottom w:val="nil"/>
              <w:right w:val="nil"/>
            </w:tcBorders>
            <w:shd w:val="clear" w:color="000000" w:fill="FFFFFF"/>
            <w:noWrap/>
            <w:vAlign w:val="center"/>
            <w:hideMark/>
          </w:tcPr>
          <w:p w14:paraId="1EBCE8B0" w14:textId="77777777" w:rsidR="00003E62" w:rsidRPr="009009F5" w:rsidRDefault="00003E62">
            <w:pPr>
              <w:spacing w:before="0" w:after="0" w:line="240" w:lineRule="auto"/>
              <w:rPr>
                <w:rFonts w:ascii="Arial" w:hAnsi="Arial" w:cs="Arial"/>
                <w:b/>
                <w:bCs/>
                <w:sz w:val="16"/>
                <w:szCs w:val="16"/>
              </w:rPr>
            </w:pPr>
            <w:r w:rsidRPr="009009F5">
              <w:rPr>
                <w:rFonts w:ascii="Arial" w:hAnsi="Arial" w:cs="Arial"/>
                <w:b/>
                <w:bCs/>
                <w:sz w:val="16"/>
                <w:szCs w:val="16"/>
              </w:rPr>
              <w:t> </w:t>
            </w:r>
          </w:p>
        </w:tc>
        <w:tc>
          <w:tcPr>
            <w:tcW w:w="487" w:type="pct"/>
            <w:tcBorders>
              <w:top w:val="nil"/>
              <w:left w:val="nil"/>
              <w:bottom w:val="nil"/>
              <w:right w:val="nil"/>
            </w:tcBorders>
            <w:shd w:val="clear" w:color="000000" w:fill="FFFFFF"/>
            <w:noWrap/>
            <w:vAlign w:val="center"/>
            <w:hideMark/>
          </w:tcPr>
          <w:p w14:paraId="50376FF1"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2" w:type="pct"/>
            <w:tcBorders>
              <w:top w:val="nil"/>
              <w:left w:val="nil"/>
              <w:bottom w:val="nil"/>
              <w:right w:val="nil"/>
            </w:tcBorders>
            <w:shd w:val="clear" w:color="000000" w:fill="E6F2FF"/>
            <w:noWrap/>
            <w:vAlign w:val="center"/>
            <w:hideMark/>
          </w:tcPr>
          <w:p w14:paraId="79CE5FBE"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2" w:type="pct"/>
            <w:tcBorders>
              <w:top w:val="nil"/>
              <w:left w:val="nil"/>
              <w:bottom w:val="nil"/>
              <w:right w:val="nil"/>
            </w:tcBorders>
            <w:shd w:val="clear" w:color="000000" w:fill="FFFFFF"/>
            <w:noWrap/>
            <w:vAlign w:val="center"/>
            <w:hideMark/>
          </w:tcPr>
          <w:p w14:paraId="7D3BEB24"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7EB8AC4D"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0DB6F94A"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61" w:type="pct"/>
            <w:tcBorders>
              <w:top w:val="nil"/>
              <w:left w:val="nil"/>
              <w:bottom w:val="nil"/>
              <w:right w:val="nil"/>
            </w:tcBorders>
            <w:shd w:val="clear" w:color="000000" w:fill="FFFFFF"/>
            <w:noWrap/>
            <w:vAlign w:val="center"/>
            <w:hideMark/>
          </w:tcPr>
          <w:p w14:paraId="3F865457"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1F5E59E3" w14:textId="77777777" w:rsidR="00003E62" w:rsidRPr="009009F5" w:rsidRDefault="00003E62">
            <w:pPr>
              <w:spacing w:before="0" w:after="0" w:line="240" w:lineRule="auto"/>
              <w:rPr>
                <w:rFonts w:ascii="Arial" w:hAnsi="Arial" w:cs="Arial"/>
                <w:sz w:val="16"/>
                <w:szCs w:val="16"/>
              </w:rPr>
            </w:pPr>
            <w:r w:rsidRPr="009009F5">
              <w:rPr>
                <w:rFonts w:ascii="Arial" w:hAnsi="Arial" w:cs="Arial"/>
                <w:sz w:val="16"/>
                <w:szCs w:val="16"/>
              </w:rPr>
              <w:t> </w:t>
            </w:r>
          </w:p>
        </w:tc>
      </w:tr>
      <w:tr w:rsidR="00003E62" w:rsidRPr="009009F5" w14:paraId="6B37B2CE" w14:textId="77777777">
        <w:trPr>
          <w:trHeight w:hRule="exact" w:val="225"/>
        </w:trPr>
        <w:tc>
          <w:tcPr>
            <w:tcW w:w="2025" w:type="pct"/>
            <w:tcBorders>
              <w:top w:val="nil"/>
              <w:left w:val="nil"/>
              <w:bottom w:val="single" w:sz="4" w:space="0" w:color="293F5B"/>
              <w:right w:val="nil"/>
            </w:tcBorders>
            <w:shd w:val="clear" w:color="000000" w:fill="FFFFFF"/>
            <w:noWrap/>
            <w:vAlign w:val="center"/>
            <w:hideMark/>
          </w:tcPr>
          <w:p w14:paraId="1998112D" w14:textId="5C3179FF" w:rsidR="00003E62" w:rsidRPr="009009F5" w:rsidRDefault="00003E62">
            <w:pPr>
              <w:spacing w:before="0" w:after="0" w:line="240" w:lineRule="auto"/>
              <w:rPr>
                <w:rFonts w:ascii="Arial" w:hAnsi="Arial" w:cs="Arial"/>
                <w:b/>
                <w:bCs/>
                <w:sz w:val="16"/>
                <w:szCs w:val="16"/>
              </w:rPr>
            </w:pPr>
            <w:r w:rsidRPr="009009F5">
              <w:rPr>
                <w:rFonts w:ascii="Arial" w:hAnsi="Arial" w:cs="Arial"/>
                <w:b/>
                <w:bCs/>
                <w:sz w:val="16"/>
                <w:szCs w:val="16"/>
              </w:rPr>
              <w:t>2025</w:t>
            </w:r>
            <w:r w:rsidR="00404C26">
              <w:rPr>
                <w:rFonts w:ascii="Arial" w:hAnsi="Arial" w:cs="Arial"/>
                <w:b/>
                <w:bCs/>
                <w:sz w:val="16"/>
                <w:szCs w:val="16"/>
              </w:rPr>
              <w:noBreakHyphen/>
            </w:r>
            <w:r w:rsidRPr="009009F5">
              <w:rPr>
                <w:rFonts w:ascii="Arial" w:hAnsi="Arial" w:cs="Arial"/>
                <w:b/>
                <w:bCs/>
                <w:sz w:val="16"/>
                <w:szCs w:val="16"/>
              </w:rPr>
              <w:t>26 Budget payments</w:t>
            </w:r>
          </w:p>
        </w:tc>
        <w:tc>
          <w:tcPr>
            <w:tcW w:w="487" w:type="pct"/>
            <w:tcBorders>
              <w:top w:val="nil"/>
              <w:left w:val="nil"/>
              <w:bottom w:val="single" w:sz="4" w:space="0" w:color="293F5B"/>
              <w:right w:val="nil"/>
            </w:tcBorders>
            <w:shd w:val="clear" w:color="000000" w:fill="FFFFFF"/>
            <w:noWrap/>
            <w:vAlign w:val="center"/>
            <w:hideMark/>
          </w:tcPr>
          <w:p w14:paraId="79D79C20"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731,527</w:t>
            </w:r>
          </w:p>
        </w:tc>
        <w:tc>
          <w:tcPr>
            <w:tcW w:w="482" w:type="pct"/>
            <w:tcBorders>
              <w:top w:val="nil"/>
              <w:left w:val="nil"/>
              <w:bottom w:val="single" w:sz="4" w:space="0" w:color="293F5B"/>
              <w:right w:val="nil"/>
            </w:tcBorders>
            <w:shd w:val="clear" w:color="000000" w:fill="E6F2FF"/>
            <w:noWrap/>
            <w:vAlign w:val="center"/>
            <w:hideMark/>
          </w:tcPr>
          <w:p w14:paraId="5F8D71FB"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777,475</w:t>
            </w:r>
          </w:p>
        </w:tc>
        <w:tc>
          <w:tcPr>
            <w:tcW w:w="482" w:type="pct"/>
            <w:tcBorders>
              <w:top w:val="nil"/>
              <w:left w:val="nil"/>
              <w:bottom w:val="single" w:sz="4" w:space="0" w:color="293F5B"/>
              <w:right w:val="nil"/>
            </w:tcBorders>
            <w:shd w:val="clear" w:color="000000" w:fill="FFFFFF"/>
            <w:noWrap/>
            <w:vAlign w:val="center"/>
            <w:hideMark/>
          </w:tcPr>
          <w:p w14:paraId="505A9BD9"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801,676</w:t>
            </w:r>
          </w:p>
        </w:tc>
        <w:tc>
          <w:tcPr>
            <w:tcW w:w="487" w:type="pct"/>
            <w:tcBorders>
              <w:top w:val="nil"/>
              <w:left w:val="nil"/>
              <w:bottom w:val="single" w:sz="4" w:space="0" w:color="293F5B"/>
              <w:right w:val="nil"/>
            </w:tcBorders>
            <w:shd w:val="clear" w:color="000000" w:fill="FFFFFF"/>
            <w:noWrap/>
            <w:vAlign w:val="center"/>
            <w:hideMark/>
          </w:tcPr>
          <w:p w14:paraId="3F19C2BA"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834,627</w:t>
            </w:r>
          </w:p>
        </w:tc>
        <w:tc>
          <w:tcPr>
            <w:tcW w:w="487" w:type="pct"/>
            <w:tcBorders>
              <w:top w:val="nil"/>
              <w:left w:val="nil"/>
              <w:bottom w:val="single" w:sz="4" w:space="0" w:color="293F5B"/>
              <w:right w:val="nil"/>
            </w:tcBorders>
            <w:shd w:val="clear" w:color="000000" w:fill="FFFFFF"/>
            <w:noWrap/>
            <w:vAlign w:val="center"/>
            <w:hideMark/>
          </w:tcPr>
          <w:p w14:paraId="5A502CD0"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877,694</w:t>
            </w:r>
          </w:p>
        </w:tc>
        <w:tc>
          <w:tcPr>
            <w:tcW w:w="61" w:type="pct"/>
            <w:tcBorders>
              <w:top w:val="nil"/>
              <w:left w:val="nil"/>
              <w:bottom w:val="single" w:sz="4" w:space="0" w:color="293F5B"/>
              <w:right w:val="nil"/>
            </w:tcBorders>
            <w:shd w:val="clear" w:color="000000" w:fill="FFFFFF"/>
            <w:noWrap/>
            <w:vAlign w:val="center"/>
            <w:hideMark/>
          </w:tcPr>
          <w:p w14:paraId="50D42032"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 </w:t>
            </w:r>
          </w:p>
        </w:tc>
        <w:tc>
          <w:tcPr>
            <w:tcW w:w="487" w:type="pct"/>
            <w:tcBorders>
              <w:top w:val="nil"/>
              <w:left w:val="nil"/>
              <w:bottom w:val="single" w:sz="4" w:space="0" w:color="293F5B"/>
              <w:right w:val="nil"/>
            </w:tcBorders>
            <w:shd w:val="clear" w:color="000000" w:fill="FFFFFF"/>
            <w:noWrap/>
            <w:vAlign w:val="center"/>
            <w:hideMark/>
          </w:tcPr>
          <w:p w14:paraId="74E408EF" w14:textId="77777777" w:rsidR="00003E62" w:rsidRPr="009009F5" w:rsidRDefault="00003E62">
            <w:pPr>
              <w:spacing w:before="0" w:after="0" w:line="240" w:lineRule="auto"/>
              <w:jc w:val="right"/>
              <w:rPr>
                <w:rFonts w:ascii="Arial" w:hAnsi="Arial" w:cs="Arial"/>
                <w:b/>
                <w:bCs/>
                <w:sz w:val="16"/>
                <w:szCs w:val="16"/>
              </w:rPr>
            </w:pPr>
            <w:r w:rsidRPr="009009F5">
              <w:rPr>
                <w:rFonts w:ascii="Arial" w:hAnsi="Arial" w:cs="Arial"/>
                <w:b/>
                <w:bCs/>
                <w:sz w:val="16"/>
                <w:szCs w:val="16"/>
              </w:rPr>
              <w:t>4,022,998</w:t>
            </w:r>
          </w:p>
        </w:tc>
      </w:tr>
    </w:tbl>
    <w:p w14:paraId="52D37DF3" w14:textId="2051DE1B" w:rsidR="00003E62" w:rsidRPr="003445C7" w:rsidRDefault="00003E62" w:rsidP="00003E62">
      <w:pPr>
        <w:pStyle w:val="ChartandTableFootnote"/>
        <w:rPr>
          <w:rFonts w:eastAsiaTheme="minorEastAsia"/>
        </w:rPr>
      </w:pPr>
      <w:r w:rsidRPr="00576DC7">
        <w:rPr>
          <w:rFonts w:eastAsiaTheme="minorEastAsia"/>
          <w:color w:val="auto"/>
        </w:rPr>
        <w:t>*Data are not available.</w:t>
      </w:r>
    </w:p>
    <w:p w14:paraId="1693A986" w14:textId="569CB866" w:rsidR="00003E62" w:rsidRPr="00576DC7" w:rsidRDefault="00003E62" w:rsidP="00F653D1">
      <w:pPr>
        <w:pStyle w:val="ChartandTableFootnoteAlpha"/>
        <w:numPr>
          <w:ilvl w:val="0"/>
          <w:numId w:val="9"/>
        </w:numPr>
        <w:rPr>
          <w:color w:val="auto"/>
        </w:rPr>
      </w:pPr>
      <w:r w:rsidRPr="00576DC7">
        <w:rPr>
          <w:color w:val="auto"/>
        </w:rPr>
        <w:t xml:space="preserve">A positive number for payments worsens the underlying cash balance. </w:t>
      </w:r>
    </w:p>
    <w:p w14:paraId="39DB2FC7" w14:textId="77777777" w:rsidR="00003E62" w:rsidRPr="00576DC7" w:rsidRDefault="00003E62" w:rsidP="00003E62">
      <w:pPr>
        <w:pStyle w:val="ChartandTableFootnoteAlpha"/>
        <w:rPr>
          <w:color w:val="auto"/>
        </w:rPr>
      </w:pPr>
      <w:r w:rsidRPr="00576DC7">
        <w:rPr>
          <w:color w:val="auto"/>
        </w:rPr>
        <w:t>Excludes secondary impacts on public debt interest of policy decisions and offsets from the Contingency Reserve for decisions taken.</w:t>
      </w:r>
    </w:p>
    <w:p w14:paraId="28C4C4AE" w14:textId="1EE35ADB" w:rsidR="00003E62" w:rsidRPr="00576DC7" w:rsidRDefault="00003E62" w:rsidP="00003E62">
      <w:pPr>
        <w:pStyle w:val="ChartandTableFootnoteAlpha"/>
        <w:rPr>
          <w:color w:val="auto"/>
        </w:rPr>
      </w:pPr>
      <w:r w:rsidRPr="00576DC7">
        <w:rPr>
          <w:color w:val="auto"/>
        </w:rPr>
        <w:t>2028–29 as published in the medium</w:t>
      </w:r>
      <w:r w:rsidR="00404C26">
        <w:rPr>
          <w:color w:val="auto"/>
        </w:rPr>
        <w:noBreakHyphen/>
      </w:r>
      <w:r w:rsidRPr="00576DC7">
        <w:rPr>
          <w:color w:val="auto"/>
        </w:rPr>
        <w:t>term projections, page </w:t>
      </w:r>
      <w:r w:rsidRPr="00576DC7" w:rsidDel="00AF7ED0">
        <w:rPr>
          <w:color w:val="auto"/>
        </w:rPr>
        <w:t>60</w:t>
      </w:r>
      <w:r w:rsidRPr="00576DC7">
        <w:rPr>
          <w:color w:val="auto"/>
        </w:rPr>
        <w:t xml:space="preserve"> of the </w:t>
      </w:r>
      <w:r w:rsidRPr="00576DC7">
        <w:rPr>
          <w:rStyle w:val="Emphasis"/>
          <w:color w:val="auto"/>
        </w:rPr>
        <w:t>Mid</w:t>
      </w:r>
      <w:r w:rsidR="00404C26">
        <w:rPr>
          <w:rStyle w:val="Emphasis"/>
          <w:color w:val="auto"/>
        </w:rPr>
        <w:noBreakHyphen/>
      </w:r>
      <w:r w:rsidRPr="00576DC7">
        <w:rPr>
          <w:rStyle w:val="Emphasis"/>
          <w:color w:val="auto"/>
        </w:rPr>
        <w:t>Year Economic and Fiscal Outlook 2024–25</w:t>
      </w:r>
      <w:r w:rsidRPr="00576DC7">
        <w:rPr>
          <w:i/>
          <w:color w:val="auto"/>
        </w:rPr>
        <w:t>.</w:t>
      </w:r>
    </w:p>
    <w:p w14:paraId="1FBA0375" w14:textId="5231ABE8" w:rsidR="00003E62" w:rsidRPr="00326569" w:rsidRDefault="00003E62" w:rsidP="00003E62">
      <w:pPr>
        <w:pStyle w:val="ChartandTableFootnoteAlpha"/>
        <w:rPr>
          <w:color w:val="auto"/>
        </w:rPr>
      </w:pPr>
      <w:r w:rsidRPr="00576DC7">
        <w:rPr>
          <w:color w:val="auto"/>
        </w:rPr>
        <w:t>Includes changes in the conservative bias allowance component in the Contingency Reserve and impacts of changes in program payments for a range of reasons including movement of funds and reprofiling.</w:t>
      </w:r>
      <w:r w:rsidRPr="00326569">
        <w:rPr>
          <w:color w:val="auto"/>
        </w:rPr>
        <w:t xml:space="preserve"> </w:t>
      </w:r>
    </w:p>
    <w:p w14:paraId="3E23547B" w14:textId="77777777" w:rsidR="00003E62" w:rsidRPr="00805004" w:rsidRDefault="00003E62" w:rsidP="003968DD">
      <w:pPr>
        <w:pStyle w:val="TableLine"/>
      </w:pPr>
    </w:p>
    <w:p w14:paraId="550A9A1E" w14:textId="05100237" w:rsidR="00B2621F" w:rsidRPr="00576DC7" w:rsidRDefault="00B2621F" w:rsidP="00B2621F">
      <w:pPr>
        <w:pStyle w:val="Heading4"/>
      </w:pPr>
      <w:r w:rsidRPr="00576DC7">
        <w:t>Payment policy decisions over the forward estimates</w:t>
      </w:r>
    </w:p>
    <w:p w14:paraId="65CE8F36" w14:textId="535BA007" w:rsidR="00067B32" w:rsidRPr="00576DC7" w:rsidRDefault="00067B32" w:rsidP="00067B32">
      <w:r w:rsidRPr="00576DC7">
        <w:t>New policy decisions since MYEFO have increased total payments by $7.1 billion in 2025–</w:t>
      </w:r>
      <w:r w:rsidR="00BF33E7" w:rsidRPr="00576DC7">
        <w:rPr>
          <w:w w:val="1"/>
        </w:rPr>
        <w:t> </w:t>
      </w:r>
      <w:r w:rsidRPr="00576DC7">
        <w:t xml:space="preserve">26 and by $20.7 billion over five years from 2024–25 to 2028–29. </w:t>
      </w:r>
    </w:p>
    <w:p w14:paraId="4058F2FE" w14:textId="7D171B0F" w:rsidR="00067B32" w:rsidRPr="00576DC7" w:rsidRDefault="00067B32" w:rsidP="00067B32">
      <w:r w:rsidRPr="00576DC7">
        <w:t>Major policy decisions since MYEFO that have increased payments include:</w:t>
      </w:r>
    </w:p>
    <w:p w14:paraId="2F6ED516" w14:textId="4B51F1B0" w:rsidR="00067B32" w:rsidRPr="00576DC7" w:rsidRDefault="00CC613E" w:rsidP="00067B32">
      <w:pPr>
        <w:pStyle w:val="Bullet"/>
      </w:pPr>
      <w:r w:rsidRPr="00576DC7">
        <w:t>funding to improve access to affordable health care, including extending eligibility for bulk billing incentives to all Australians, the creation of additional incentives for practices to become fully bulk billed, supporting the digital health reform agenda and ensuring the Medica</w:t>
      </w:r>
      <w:r w:rsidR="00AD4ACA" w:rsidRPr="00576DC7">
        <w:t>re</w:t>
      </w:r>
      <w:r w:rsidRPr="00576DC7">
        <w:t xml:space="preserve"> Benefits Schedule is modern and clinically appropriate, which is expected to increase payments by $8.4 billion over five years from 2024–25</w:t>
      </w:r>
      <w:r w:rsidR="00DE0905" w:rsidRPr="00576DC7">
        <w:t>.</w:t>
      </w:r>
    </w:p>
    <w:p w14:paraId="49F18C87" w14:textId="33B8F179" w:rsidR="00067B32" w:rsidRPr="00576DC7" w:rsidRDefault="00067B32" w:rsidP="00067B32">
      <w:pPr>
        <w:pStyle w:val="Bullet"/>
      </w:pPr>
      <w:r w:rsidRPr="00576DC7">
        <w:lastRenderedPageBreak/>
        <w:t>funding for new road and rail infrastructure priority projects within the Infrastructure Investment Program, which is expected to increase payments by $1.8 billion over five years from 2024–25</w:t>
      </w:r>
      <w:r w:rsidR="00DE0905" w:rsidRPr="00576DC7">
        <w:t>.</w:t>
      </w:r>
    </w:p>
    <w:p w14:paraId="52A8E139" w14:textId="14D09F8C" w:rsidR="00067B32" w:rsidRPr="00576DC7" w:rsidRDefault="00067B32" w:rsidP="00067B32">
      <w:pPr>
        <w:pStyle w:val="Bullet"/>
      </w:pPr>
      <w:r w:rsidRPr="00576DC7">
        <w:t xml:space="preserve">funding for new and amended listings on the Pharmaceutical Benefits Scheme, Repatriation Pharmaceutical Benefits Scheme, Stoma Appliance Scheme and </w:t>
      </w:r>
      <w:proofErr w:type="gramStart"/>
      <w:r w:rsidRPr="00576DC7">
        <w:t>Take Home</w:t>
      </w:r>
      <w:proofErr w:type="gramEnd"/>
      <w:r w:rsidRPr="00576DC7">
        <w:t xml:space="preserve"> Naloxone program, which is expected to increase payments by $1.8 billion over five years from 2024–25</w:t>
      </w:r>
      <w:r w:rsidR="00DE0905" w:rsidRPr="00576DC7">
        <w:t>.</w:t>
      </w:r>
    </w:p>
    <w:p w14:paraId="33D51ACE" w14:textId="547C4F8B" w:rsidR="00067B32" w:rsidRPr="00576DC7" w:rsidRDefault="00067B32" w:rsidP="00067B32">
      <w:pPr>
        <w:pStyle w:val="Bullet"/>
      </w:pPr>
      <w:r w:rsidRPr="00576DC7">
        <w:t xml:space="preserve">funding to continue energy bill rebates of $75 per quarter for </w:t>
      </w:r>
      <w:r w:rsidR="00A86646" w:rsidRPr="00576DC7">
        <w:t xml:space="preserve">all </w:t>
      </w:r>
      <w:r w:rsidRPr="00576DC7">
        <w:t xml:space="preserve">Australian households and </w:t>
      </w:r>
      <w:r w:rsidR="00A86646" w:rsidRPr="00576DC7">
        <w:t xml:space="preserve">eligible </w:t>
      </w:r>
      <w:r w:rsidRPr="00576DC7">
        <w:t>small businesses until 31 December 2025, which is expected to increase payments by $1.8 billion in 2025–26</w:t>
      </w:r>
      <w:r w:rsidR="00DE0905" w:rsidRPr="00576DC7">
        <w:t>.</w:t>
      </w:r>
    </w:p>
    <w:p w14:paraId="1172152C" w14:textId="06821920" w:rsidR="00067B32" w:rsidRPr="00576DC7" w:rsidRDefault="00067B32" w:rsidP="00067B32">
      <w:pPr>
        <w:pStyle w:val="Bullet"/>
      </w:pPr>
      <w:r w:rsidRPr="00576DC7">
        <w:t>additional funding for the National Health Reform Agreement in 2025–26, which is expected to increase payments by $1.8 billion in 2025–26</w:t>
      </w:r>
      <w:r w:rsidR="00DE0905" w:rsidRPr="00576DC7">
        <w:t>.</w:t>
      </w:r>
    </w:p>
    <w:p w14:paraId="60A305A2" w14:textId="7FF7FB85" w:rsidR="00067B32" w:rsidRPr="00576DC7" w:rsidRDefault="000133E0" w:rsidP="00067B32">
      <w:pPr>
        <w:pStyle w:val="Bullet"/>
      </w:pPr>
      <w:r w:rsidRPr="00576DC7">
        <w:t xml:space="preserve">funding to </w:t>
      </w:r>
      <w:r w:rsidR="00067B32" w:rsidRPr="00576DC7">
        <w:t>lower the Pharmaceutical Benefits Scheme general patient co</w:t>
      </w:r>
      <w:r w:rsidR="00404C26">
        <w:noBreakHyphen/>
      </w:r>
      <w:r w:rsidR="00067B32" w:rsidRPr="00576DC7">
        <w:t>payment from $31.60</w:t>
      </w:r>
      <w:r w:rsidRPr="00576DC7">
        <w:t xml:space="preserve"> to </w:t>
      </w:r>
      <w:r w:rsidR="00067B32" w:rsidRPr="00576DC7">
        <w:t>$25.00 on 1 January 2026</w:t>
      </w:r>
      <w:r w:rsidRPr="00576DC7">
        <w:t xml:space="preserve">, which is expected to increase payments by </w:t>
      </w:r>
      <w:r w:rsidR="0002128E" w:rsidRPr="00576DC7">
        <w:t>$</w:t>
      </w:r>
      <w:r w:rsidR="00067B32" w:rsidRPr="00576DC7">
        <w:t>784.6 million over four years from 2025–26</w:t>
      </w:r>
      <w:r w:rsidR="00DE0905" w:rsidRPr="00576DC7">
        <w:t>.</w:t>
      </w:r>
    </w:p>
    <w:p w14:paraId="691C1115" w14:textId="4488212E" w:rsidR="00067B32" w:rsidRPr="00576DC7" w:rsidRDefault="00067B32" w:rsidP="00067B32">
      <w:pPr>
        <w:pStyle w:val="Bullet"/>
      </w:pPr>
      <w:r w:rsidRPr="00576DC7">
        <w:t xml:space="preserve">additional funding for the Better and Fairer Schools Agreement, which is expected to increase payments by $407.5 </w:t>
      </w:r>
      <w:r w:rsidR="000133E0" w:rsidRPr="00576DC7">
        <w:t xml:space="preserve">million over </w:t>
      </w:r>
      <w:r w:rsidRPr="00576DC7">
        <w:t xml:space="preserve">four </w:t>
      </w:r>
      <w:r w:rsidR="000133E0" w:rsidRPr="00576DC7">
        <w:t xml:space="preserve">years from 2025–26. </w:t>
      </w:r>
    </w:p>
    <w:p w14:paraId="2C22D0AC" w14:textId="4335E146" w:rsidR="000133E0" w:rsidRPr="003379BF" w:rsidRDefault="00067B32" w:rsidP="00DE0905">
      <w:pPr>
        <w:rPr>
          <w:color w:val="A6A6A6" w:themeColor="background1" w:themeShade="A6"/>
        </w:rPr>
      </w:pPr>
      <w:r w:rsidRPr="00576DC7">
        <w:t>Since MYEFO, further reductions in spending on consultants, contractors and labour hire have been applied, which will achieve savings of $718.8 million in 2028–29.</w:t>
      </w:r>
      <w:r w:rsidR="00DE0905" w:rsidRPr="00576DC7">
        <w:t xml:space="preserve"> </w:t>
      </w:r>
    </w:p>
    <w:p w14:paraId="77247564" w14:textId="3E9DB502" w:rsidR="00B2621F" w:rsidRPr="00576DC7" w:rsidRDefault="00B2621F" w:rsidP="00B2621F">
      <w:pPr>
        <w:pStyle w:val="Heading4"/>
        <w:spacing w:after="240"/>
      </w:pPr>
      <w:r w:rsidRPr="00576DC7">
        <w:t>Payment parameter and other variations over the forward estimates</w:t>
      </w:r>
    </w:p>
    <w:p w14:paraId="56EB848A" w14:textId="6F78E91C" w:rsidR="002B2911" w:rsidRPr="00576DC7" w:rsidRDefault="002B2911" w:rsidP="002B2911">
      <w:r w:rsidRPr="00576DC7">
        <w:t>Parameter and other variations since MYEFO have decreased payments by $5.0 billion in 2025</w:t>
      </w:r>
      <w:r w:rsidR="00B70D93" w:rsidRPr="00576DC7">
        <w:t>–</w:t>
      </w:r>
      <w:r w:rsidRPr="00576DC7">
        <w:t>26 and by $28.0</w:t>
      </w:r>
      <w:r w:rsidRPr="00576DC7" w:rsidDel="00A73343">
        <w:t xml:space="preserve"> </w:t>
      </w:r>
      <w:r w:rsidRPr="00576DC7">
        <w:t>billion over five</w:t>
      </w:r>
      <w:r w:rsidRPr="00576DC7" w:rsidDel="00DF3322">
        <w:t> </w:t>
      </w:r>
      <w:r w:rsidRPr="00576DC7">
        <w:t>years from 2024</w:t>
      </w:r>
      <w:r w:rsidR="00B70D93" w:rsidRPr="00576DC7">
        <w:t>–</w:t>
      </w:r>
      <w:r w:rsidRPr="00576DC7">
        <w:t>25 to 2028</w:t>
      </w:r>
      <w:r w:rsidR="00B70D93" w:rsidRPr="00576DC7">
        <w:t>–</w:t>
      </w:r>
      <w:r w:rsidRPr="00576DC7">
        <w:t xml:space="preserve">29. </w:t>
      </w:r>
    </w:p>
    <w:p w14:paraId="244883EB" w14:textId="1D2501EF" w:rsidR="002B2911" w:rsidRPr="00576DC7" w:rsidRDefault="002B2911" w:rsidP="002B2911">
      <w:r w:rsidRPr="00576DC7">
        <w:t>This is primarily driven by lower estimated payments</w:t>
      </w:r>
      <w:r w:rsidRPr="00576DC7" w:rsidDel="00362DA1">
        <w:t xml:space="preserve"> </w:t>
      </w:r>
      <w:r w:rsidRPr="00576DC7">
        <w:t>for the NDIS, the Commonwealth Debt Management program and on road and rail transport projects under the Infrastructure Investment Program. These are partially offset by higher estimated payments related to the Aged Care Services program and Financial Support for People with Disability program.</w:t>
      </w:r>
    </w:p>
    <w:p w14:paraId="69FF456F" w14:textId="77777777" w:rsidR="004D334A" w:rsidRPr="00576DC7" w:rsidRDefault="004D334A" w:rsidP="004D334A">
      <w:r w:rsidRPr="00576DC7">
        <w:t>Major decreases in payments from parameter and other variations since MYEFO include:</w:t>
      </w:r>
    </w:p>
    <w:p w14:paraId="0117A2F9" w14:textId="4141D585" w:rsidR="004D334A" w:rsidRPr="00576DC7" w:rsidRDefault="004D334A" w:rsidP="004D334A">
      <w:pPr>
        <w:pStyle w:val="Bullet"/>
      </w:pPr>
      <w:r w:rsidRPr="00576DC7">
        <w:t xml:space="preserve">payments related to road and rail transport projects under the Infrastructure Investment Program, which are expected to decrease by $255.7 million in 2025–26 and by $4.6 billion over five years to 2028–29, largely reflecting revised project delivery schedules and the application of a slippage adjustment. Slippage is a usual occurrence for large and complex capital infrastructure projects. The slippage adjustment </w:t>
      </w:r>
      <w:proofErr w:type="gramStart"/>
      <w:r w:rsidRPr="00576DC7">
        <w:t>takes into account</w:t>
      </w:r>
      <w:proofErr w:type="gramEnd"/>
      <w:r w:rsidRPr="00576DC7">
        <w:t xml:space="preserve"> historical experience, including the timing of states claiming payments against milestones and the impact of revised project delivery schedules for some projects. The decrease is partially offset by the Government</w:t>
      </w:r>
      <w:r w:rsidR="00404C26">
        <w:t>’</w:t>
      </w:r>
      <w:r w:rsidRPr="00576DC7">
        <w:t>s additional investments in road and rail priority projects.</w:t>
      </w:r>
    </w:p>
    <w:p w14:paraId="02D3D04D" w14:textId="77777777" w:rsidR="004D334A" w:rsidRPr="00576DC7" w:rsidRDefault="004D334A" w:rsidP="004D334A">
      <w:pPr>
        <w:pStyle w:val="Bullet"/>
      </w:pPr>
      <w:r w:rsidRPr="00576DC7">
        <w:lastRenderedPageBreak/>
        <w:t>payments related to the NDIS, which are expected to decrease by $954.0 million in 2025–</w:t>
      </w:r>
      <w:r w:rsidRPr="00576DC7">
        <w:rPr>
          <w:w w:val="1"/>
        </w:rPr>
        <w:t> </w:t>
      </w:r>
      <w:r w:rsidRPr="00576DC7">
        <w:t xml:space="preserve">26 and $3.9 billion over five years to 2028–29, largely reflecting lower spending over the year to date, and hence lower forecast NDIS payments. </w:t>
      </w:r>
    </w:p>
    <w:p w14:paraId="12EAC30A" w14:textId="77777777" w:rsidR="004D334A" w:rsidRPr="00576DC7" w:rsidRDefault="004D334A" w:rsidP="004D334A">
      <w:pPr>
        <w:pStyle w:val="Bullet"/>
      </w:pPr>
      <w:r w:rsidRPr="00576DC7">
        <w:t>payments related to Commonwealth debt management, which are expected to decrease by $424.4 million in 2025–26 and $3.3 billion over five years to 2028–29, largely reflecting lower forecasts for interest rates.</w:t>
      </w:r>
    </w:p>
    <w:p w14:paraId="534903EC" w14:textId="53DBDE4A" w:rsidR="004D334A" w:rsidRPr="00576DC7" w:rsidRDefault="004D334A" w:rsidP="004D334A">
      <w:pPr>
        <w:pStyle w:val="Bullet"/>
      </w:pPr>
      <w:r w:rsidRPr="00576DC7">
        <w:t>payments related to the Support for Seniors program, which are expected to decrease by $343.7 million in 2025–26 and $1.6 billion over five years to 2028–29, largely reflecting lower</w:t>
      </w:r>
      <w:r w:rsidR="00404C26">
        <w:noBreakHyphen/>
      </w:r>
      <w:r w:rsidRPr="00576DC7">
        <w:t>than</w:t>
      </w:r>
      <w:r w:rsidR="00404C26">
        <w:noBreakHyphen/>
      </w:r>
      <w:r w:rsidRPr="00576DC7">
        <w:t>expected indexation rates for the Age Pension due to downwards revisions to the near</w:t>
      </w:r>
      <w:r w:rsidR="00404C26">
        <w:noBreakHyphen/>
      </w:r>
      <w:r w:rsidRPr="00576DC7">
        <w:t>term outlook for inflation.</w:t>
      </w:r>
    </w:p>
    <w:p w14:paraId="33286983" w14:textId="4E960073" w:rsidR="004D334A" w:rsidRPr="00576DC7" w:rsidRDefault="004D334A" w:rsidP="004D334A">
      <w:pPr>
        <w:pStyle w:val="Bullet"/>
      </w:pPr>
      <w:r w:rsidRPr="00576DC7">
        <w:t>payments related to the Pharmaceutical Benefits Scheme, which are expected to decrease by $5.6 million in 2025–26 and $671.0 million over five years to 2028–29, largely reflecting updated pharmaceutical pricing assumptions, and lower</w:t>
      </w:r>
      <w:r w:rsidR="00404C26">
        <w:noBreakHyphen/>
      </w:r>
      <w:r w:rsidRPr="00576DC7">
        <w:t>than</w:t>
      </w:r>
      <w:r w:rsidR="00404C26">
        <w:noBreakHyphen/>
      </w:r>
      <w:r w:rsidRPr="00576DC7">
        <w:t>expected prescription volumes for some high</w:t>
      </w:r>
      <w:r w:rsidR="00404C26">
        <w:noBreakHyphen/>
      </w:r>
      <w:r w:rsidRPr="00576DC7">
        <w:t xml:space="preserve">cost listings. </w:t>
      </w:r>
    </w:p>
    <w:p w14:paraId="3064909F" w14:textId="52401257" w:rsidR="004D334A" w:rsidRPr="00576DC7" w:rsidRDefault="004D334A" w:rsidP="004D334A">
      <w:pPr>
        <w:pStyle w:val="Bullet"/>
      </w:pPr>
      <w:r w:rsidRPr="00576DC7">
        <w:t>payments related to the Research and Development Tax Incentive program, which are expected to increase by $55.8 million in 2025–26 and decrease by $640.6 million over five years to 2028–29, largely reflecting lower</w:t>
      </w:r>
      <w:r w:rsidR="00404C26">
        <w:noBreakHyphen/>
      </w:r>
      <w:r w:rsidRPr="00576DC7">
        <w:t>than</w:t>
      </w:r>
      <w:r w:rsidR="00404C26">
        <w:noBreakHyphen/>
      </w:r>
      <w:r w:rsidRPr="00576DC7">
        <w:t xml:space="preserve">expected numbers of claims. </w:t>
      </w:r>
    </w:p>
    <w:p w14:paraId="1D0CE8EC" w14:textId="18468878" w:rsidR="004D334A" w:rsidRPr="00576DC7" w:rsidRDefault="004D334A" w:rsidP="004D334A">
      <w:pPr>
        <w:pStyle w:val="Bullet"/>
      </w:pPr>
      <w:r w:rsidRPr="00576DC7">
        <w:t>payments related to the Job Seeker Income Support program, which are expected to decrease by $136.7 million in 2025–26 and $616.3 million over five years to 2028–29, largely reflecting lower</w:t>
      </w:r>
      <w:r w:rsidR="00404C26">
        <w:noBreakHyphen/>
      </w:r>
      <w:r w:rsidRPr="00576DC7">
        <w:t>than</w:t>
      </w:r>
      <w:r w:rsidR="00404C26">
        <w:noBreakHyphen/>
      </w:r>
      <w:r w:rsidRPr="00576DC7">
        <w:t>expected indexation rates, due to downwards revisions to the near</w:t>
      </w:r>
      <w:r w:rsidR="00404C26">
        <w:noBreakHyphen/>
      </w:r>
      <w:r w:rsidRPr="00576DC7">
        <w:t>term outlook for inflation, and downward revisions to unemployment beneficiary recipient numbers, reflecting a stronger labour market.</w:t>
      </w:r>
    </w:p>
    <w:p w14:paraId="13507250" w14:textId="0E60B539" w:rsidR="004D334A" w:rsidRPr="00576DC7" w:rsidRDefault="004D334A" w:rsidP="004D334A">
      <w:pPr>
        <w:pStyle w:val="Bullet"/>
      </w:pPr>
      <w:r w:rsidRPr="00576DC7">
        <w:t>payments related to the Student Payments program, which are expected to decrease by $134.0 million in 2025–26 and $476.8 million over five years to 2028–29, largely reflecting lower</w:t>
      </w:r>
      <w:r w:rsidR="00404C26">
        <w:noBreakHyphen/>
      </w:r>
      <w:r w:rsidRPr="00576DC7">
        <w:t>than</w:t>
      </w:r>
      <w:r w:rsidR="00404C26">
        <w:noBreakHyphen/>
      </w:r>
      <w:r w:rsidRPr="00576DC7">
        <w:t xml:space="preserve">expected Youth Allowance (Student) recipient numbers. </w:t>
      </w:r>
    </w:p>
    <w:p w14:paraId="0CF9836C" w14:textId="5CB0C573" w:rsidR="002B2911" w:rsidRPr="00576DC7" w:rsidRDefault="002B2911" w:rsidP="002B2911">
      <w:r w:rsidRPr="00576DC7">
        <w:t xml:space="preserve">Major increases in payments from parameter and other variations since MYEFO include: </w:t>
      </w:r>
    </w:p>
    <w:p w14:paraId="5B3390C9" w14:textId="13DC4962" w:rsidR="002B2911" w:rsidRPr="00576DC7" w:rsidRDefault="002B2911" w:rsidP="002B2911">
      <w:pPr>
        <w:pStyle w:val="Bullet"/>
      </w:pPr>
      <w:r w:rsidRPr="00576DC7">
        <w:t>payments related to the Aged Care Services program, which are expected to increase by $906.1 million in 2025</w:t>
      </w:r>
      <w:r w:rsidR="00B70D93" w:rsidRPr="00576DC7">
        <w:t>–</w:t>
      </w:r>
      <w:r w:rsidRPr="00576DC7">
        <w:t>26 and $3.1 billion over five years to 2028</w:t>
      </w:r>
      <w:r w:rsidR="00B70D93" w:rsidRPr="00576DC7">
        <w:t>–</w:t>
      </w:r>
      <w:r w:rsidRPr="00576DC7">
        <w:t xml:space="preserve">29. This is largely due to increased funding for wages </w:t>
      </w:r>
      <w:proofErr w:type="gramStart"/>
      <w:r w:rsidRPr="00576DC7">
        <w:t>as a result of</w:t>
      </w:r>
      <w:proofErr w:type="gramEnd"/>
      <w:r w:rsidRPr="00576DC7">
        <w:t xml:space="preserve"> the Fair Work Commission</w:t>
      </w:r>
      <w:r w:rsidR="00404C26">
        <w:t>’</w:t>
      </w:r>
      <w:r w:rsidRPr="00576DC7">
        <w:t>s decision to increase minimum award wages for aged care nurses from 1 March 2025, and increased funding for the Home Care Packages program due to increased package use. The budget impact of this increase is partially offset by funding provisioned in the Contingency Reserve for wage increases for aged care nurses.</w:t>
      </w:r>
    </w:p>
    <w:p w14:paraId="644664F4" w14:textId="3B47542B" w:rsidR="002B2911" w:rsidRPr="00576DC7" w:rsidRDefault="002B2911" w:rsidP="002B2911">
      <w:pPr>
        <w:pStyle w:val="Bullet"/>
      </w:pPr>
      <w:r w:rsidRPr="00576DC7">
        <w:t xml:space="preserve">payments related to the </w:t>
      </w:r>
      <w:bookmarkStart w:id="46" w:name="_Hlk191931824"/>
      <w:r w:rsidRPr="00576DC7">
        <w:t>Financial Support for People with Disability program</w:t>
      </w:r>
      <w:bookmarkEnd w:id="46"/>
      <w:r w:rsidRPr="00576DC7">
        <w:t>, which are expected to increase by $408.5 million in 2025</w:t>
      </w:r>
      <w:r w:rsidR="00B70D93" w:rsidRPr="00576DC7">
        <w:t>–</w:t>
      </w:r>
      <w:r w:rsidRPr="00576DC7">
        <w:t>26 and $2.4</w:t>
      </w:r>
      <w:r w:rsidRPr="00576DC7" w:rsidDel="00B82721">
        <w:t xml:space="preserve"> </w:t>
      </w:r>
      <w:r w:rsidRPr="00576DC7">
        <w:t>billion over five years to 2028</w:t>
      </w:r>
      <w:r w:rsidR="00B70D93" w:rsidRPr="00576DC7">
        <w:t>–</w:t>
      </w:r>
      <w:r w:rsidRPr="00576DC7">
        <w:t>29, reflecting stronger growth in the Disability Support Pension recipient numbers and average payment rates.</w:t>
      </w:r>
    </w:p>
    <w:p w14:paraId="7B9BE118" w14:textId="49E76303" w:rsidR="002B2911" w:rsidRPr="00576DC7" w:rsidRDefault="002B2911" w:rsidP="002B2911">
      <w:pPr>
        <w:pStyle w:val="Bullet"/>
      </w:pPr>
      <w:r w:rsidRPr="00576DC7">
        <w:lastRenderedPageBreak/>
        <w:t>payments related to the Medical Benefits program, which are expected to increase by $18.2 million in 2025</w:t>
      </w:r>
      <w:r w:rsidR="00B70D93" w:rsidRPr="00576DC7">
        <w:t>–</w:t>
      </w:r>
      <w:r w:rsidRPr="00576DC7">
        <w:t>26 and $668.1 million over five years to 2028</w:t>
      </w:r>
      <w:r w:rsidR="00B70D93" w:rsidRPr="00576DC7">
        <w:t>–</w:t>
      </w:r>
      <w:r w:rsidRPr="00576DC7">
        <w:t>29, largely reflecting higher than expected demand for medical services and more patients than expected reaching the Extended Medicare Safety Net Threshold.</w:t>
      </w:r>
    </w:p>
    <w:p w14:paraId="26174A9C" w14:textId="2F1F3AAA" w:rsidR="002B2911" w:rsidRPr="00576DC7" w:rsidRDefault="002B2911" w:rsidP="002B2911">
      <w:pPr>
        <w:pStyle w:val="Bullet"/>
      </w:pPr>
      <w:r w:rsidRPr="00576DC7">
        <w:t>payments related to the National Partnership Payments – Natural Disaster Relief program, which are expected to increase by $214.9 million in 2025</w:t>
      </w:r>
      <w:r w:rsidR="00B70D93" w:rsidRPr="00576DC7">
        <w:t>–</w:t>
      </w:r>
      <w:r w:rsidRPr="00576DC7">
        <w:t>26 and $487.7 million over five years to 2028</w:t>
      </w:r>
      <w:r w:rsidR="008B36CC" w:rsidRPr="00576DC7">
        <w:t>–</w:t>
      </w:r>
      <w:r w:rsidRPr="00576DC7">
        <w:t>29, largely reflecting updated estimates received from states and territories for payments and changes in the timing of payments.</w:t>
      </w:r>
    </w:p>
    <w:p w14:paraId="669603EF" w14:textId="0493ADD0" w:rsidR="002B2911" w:rsidRPr="00576DC7" w:rsidRDefault="002B2911" w:rsidP="002B2911">
      <w:pPr>
        <w:pStyle w:val="Bullet"/>
      </w:pPr>
      <w:r w:rsidRPr="00576DC7">
        <w:t>payments related to the Australian Screen and Digital Game Production Incentive program, which are expected to increase by $46.0 million in 2025</w:t>
      </w:r>
      <w:r w:rsidR="008B36CC" w:rsidRPr="00576DC7">
        <w:t>–</w:t>
      </w:r>
      <w:r w:rsidRPr="00576DC7">
        <w:t>26 and $478.8 million over five years to 2028</w:t>
      </w:r>
      <w:r w:rsidR="003A37F4" w:rsidRPr="00576DC7">
        <w:t>–</w:t>
      </w:r>
      <w:r w:rsidRPr="00576DC7">
        <w:t>29, largely reflecting an increase in both the quantity and value of large budget project applications expected to be certified.</w:t>
      </w:r>
    </w:p>
    <w:p w14:paraId="6ABE215F" w14:textId="17B9667E" w:rsidR="00B2621F" w:rsidRPr="00712254" w:rsidRDefault="00B2621F" w:rsidP="00B2621F">
      <w:r w:rsidRPr="00576DC7">
        <w:t>Consistent with past budgets, the underlying cash balance has been improved by regular draw down of the conservative bias allowance</w:t>
      </w:r>
      <w:r w:rsidR="002B2911" w:rsidRPr="00576DC7">
        <w:t>.</w:t>
      </w:r>
      <w:r w:rsidRPr="00576DC7">
        <w:t xml:space="preserve"> Details in </w:t>
      </w:r>
      <w:r w:rsidRPr="00576DC7">
        <w:rPr>
          <w:rStyle w:val="Emphasis"/>
        </w:rPr>
        <w:t>Statement</w:t>
      </w:r>
      <w:r w:rsidR="002B2911" w:rsidRPr="00576DC7">
        <w:rPr>
          <w:rStyle w:val="Emphasis"/>
        </w:rPr>
        <w:t xml:space="preserve"> </w:t>
      </w:r>
      <w:r w:rsidR="00EA1998" w:rsidRPr="00576DC7">
        <w:rPr>
          <w:rStyle w:val="Emphasis"/>
        </w:rPr>
        <w:t>5</w:t>
      </w:r>
      <w:r w:rsidRPr="00576DC7">
        <w:rPr>
          <w:rStyle w:val="Emphasis"/>
        </w:rPr>
        <w:t>: Expenses and Net Capital Investment.</w:t>
      </w:r>
      <w:r w:rsidR="007A4707" w:rsidRPr="00576DC7">
        <w:rPr>
          <w:rStyle w:val="Emphasis"/>
        </w:rPr>
        <w:t xml:space="preserve"> </w:t>
      </w:r>
    </w:p>
    <w:p w14:paraId="27CA86CB" w14:textId="3D238BDD" w:rsidR="00865931" w:rsidRPr="00576DC7" w:rsidRDefault="00865931" w:rsidP="00865931">
      <w:pPr>
        <w:pStyle w:val="Heading3"/>
      </w:pPr>
      <w:bookmarkStart w:id="47" w:name="_Toc193537053"/>
      <w:r w:rsidRPr="00576DC7">
        <w:rPr>
          <w:rStyle w:val="Heading3Char"/>
        </w:rPr>
        <w:t>Headline cash balance</w:t>
      </w:r>
      <w:bookmarkEnd w:id="47"/>
    </w:p>
    <w:p w14:paraId="1FA1D0F8" w14:textId="5331BD2B" w:rsidR="00865931" w:rsidRPr="00576DC7" w:rsidRDefault="00865931" w:rsidP="00865931">
      <w:pPr>
        <w:rPr>
          <w:lang w:val="en-US"/>
        </w:rPr>
      </w:pPr>
      <w:r w:rsidRPr="00576DC7">
        <w:rPr>
          <w:lang w:val="en-US"/>
        </w:rPr>
        <w:t>The headline cash balance adjusts the underlying cash balance to include net cash flows from investments in financial assets for policy purposes (IFAPPs). This includes Specialist Investment Vehicles which invest in projects that deliver public value and a financial return to taxpayers. For example, Clean Energy Finance Corporation (CEFC) loans and equity investments impact the headline cash balance but not the underlying cash balance. Table 3.</w:t>
      </w:r>
      <w:r w:rsidR="004E1801" w:rsidRPr="00576DC7">
        <w:rPr>
          <w:lang w:val="en-US"/>
        </w:rPr>
        <w:t>4</w:t>
      </w:r>
      <w:r w:rsidRPr="00576DC7">
        <w:rPr>
          <w:lang w:val="en-US"/>
        </w:rPr>
        <w:t xml:space="preserve"> details differences between the underlying and headline cash balance estimates. </w:t>
      </w:r>
    </w:p>
    <w:p w14:paraId="1DDA8EEA" w14:textId="563D3B91" w:rsidR="00865931" w:rsidRPr="00576DC7" w:rsidRDefault="00865931" w:rsidP="00865931">
      <w:pPr>
        <w:rPr>
          <w:lang w:val="en-US"/>
        </w:rPr>
      </w:pPr>
      <w:r w:rsidRPr="00576DC7">
        <w:rPr>
          <w:lang w:val="en-US"/>
        </w:rPr>
        <w:t>A headline cash deficit of $</w:t>
      </w:r>
      <w:r w:rsidR="001435BA" w:rsidRPr="00576DC7">
        <w:t>65.2</w:t>
      </w:r>
      <w:r w:rsidR="00394C3A" w:rsidRPr="00576DC7">
        <w:t> </w:t>
      </w:r>
      <w:r w:rsidRPr="00576DC7">
        <w:rPr>
          <w:lang w:val="en-US"/>
        </w:rPr>
        <w:t xml:space="preserve">billion </w:t>
      </w:r>
      <w:r w:rsidRPr="00576DC7">
        <w:t>(</w:t>
      </w:r>
      <w:r w:rsidR="00F04E59" w:rsidRPr="00576DC7">
        <w:t>2.3</w:t>
      </w:r>
      <w:r w:rsidR="00F5563E" w:rsidRPr="00576DC7">
        <w:rPr>
          <w:lang w:val="en-US"/>
        </w:rPr>
        <w:t> </w:t>
      </w:r>
      <w:r w:rsidRPr="00576DC7">
        <w:t xml:space="preserve">per cent of GDP) </w:t>
      </w:r>
      <w:r w:rsidRPr="00576DC7">
        <w:rPr>
          <w:lang w:val="en-US"/>
        </w:rPr>
        <w:t xml:space="preserve">is estimated in 2025–26, </w:t>
      </w:r>
      <w:r w:rsidR="002517DA" w:rsidRPr="00576DC7">
        <w:rPr>
          <w:lang w:val="en-US"/>
        </w:rPr>
        <w:t>compared</w:t>
      </w:r>
      <w:r w:rsidRPr="00576DC7">
        <w:rPr>
          <w:lang w:val="en-US"/>
        </w:rPr>
        <w:t xml:space="preserve"> to </w:t>
      </w:r>
      <w:r w:rsidR="002517DA" w:rsidRPr="00576DC7">
        <w:rPr>
          <w:lang w:val="en-US"/>
        </w:rPr>
        <w:t xml:space="preserve">an estimated deficit of </w:t>
      </w:r>
      <w:r w:rsidR="00FD30AB" w:rsidRPr="00576DC7">
        <w:rPr>
          <w:lang w:val="en-US"/>
        </w:rPr>
        <w:t>$</w:t>
      </w:r>
      <w:r w:rsidR="002517DA" w:rsidRPr="00576DC7">
        <w:rPr>
          <w:lang w:val="en-US"/>
        </w:rPr>
        <w:t>70.3 billion</w:t>
      </w:r>
      <w:r w:rsidRPr="00576DC7">
        <w:rPr>
          <w:lang w:val="en-US"/>
        </w:rPr>
        <w:t xml:space="preserve"> </w:t>
      </w:r>
      <w:r w:rsidR="00705F01" w:rsidRPr="00576DC7">
        <w:rPr>
          <w:lang w:val="en-US"/>
        </w:rPr>
        <w:t>at</w:t>
      </w:r>
      <w:r w:rsidRPr="00576DC7">
        <w:rPr>
          <w:lang w:val="en-US"/>
        </w:rPr>
        <w:t xml:space="preserve"> MYEFO. </w:t>
      </w:r>
      <w:r w:rsidR="001627BA" w:rsidRPr="00576DC7">
        <w:rPr>
          <w:lang w:val="en-US"/>
        </w:rPr>
        <w:t xml:space="preserve">The improvement is predominantly driven by the </w:t>
      </w:r>
      <w:r w:rsidR="005D0EC4" w:rsidRPr="00576DC7">
        <w:rPr>
          <w:lang w:val="en-US"/>
        </w:rPr>
        <w:t xml:space="preserve">improvement </w:t>
      </w:r>
      <w:r w:rsidR="00005BC3" w:rsidRPr="00576DC7">
        <w:rPr>
          <w:lang w:val="en-US"/>
        </w:rPr>
        <w:t>in</w:t>
      </w:r>
      <w:r w:rsidR="005D0EC4" w:rsidRPr="00576DC7">
        <w:rPr>
          <w:lang w:val="en-US"/>
        </w:rPr>
        <w:t xml:space="preserve"> the underlying cash balance.</w:t>
      </w:r>
      <w:r w:rsidRPr="00576DC7">
        <w:rPr>
          <w:lang w:val="en-US"/>
        </w:rPr>
        <w:t xml:space="preserve"> The headline cash </w:t>
      </w:r>
      <w:r w:rsidR="006B383D" w:rsidRPr="00576DC7">
        <w:rPr>
          <w:lang w:val="en-US"/>
        </w:rPr>
        <w:t>balance</w:t>
      </w:r>
      <w:r w:rsidRPr="00576DC7">
        <w:rPr>
          <w:lang w:val="en-US"/>
        </w:rPr>
        <w:t xml:space="preserve"> moderat</w:t>
      </w:r>
      <w:r w:rsidR="00F04E59" w:rsidRPr="00576DC7">
        <w:rPr>
          <w:lang w:val="en-US"/>
        </w:rPr>
        <w:t>es</w:t>
      </w:r>
      <w:r w:rsidRPr="00576DC7">
        <w:rPr>
          <w:lang w:val="en-US"/>
        </w:rPr>
        <w:t xml:space="preserve"> to a deficit of $</w:t>
      </w:r>
      <w:r w:rsidR="00391FC6" w:rsidRPr="00576DC7">
        <w:rPr>
          <w:lang w:val="en-US"/>
        </w:rPr>
        <w:t>55.9</w:t>
      </w:r>
      <w:r w:rsidR="00394C3A" w:rsidRPr="00576DC7">
        <w:t> </w:t>
      </w:r>
      <w:r w:rsidRPr="00576DC7">
        <w:rPr>
          <w:lang w:val="en-US"/>
        </w:rPr>
        <w:t xml:space="preserve">billion </w:t>
      </w:r>
      <w:r w:rsidRPr="00576DC7">
        <w:t>(</w:t>
      </w:r>
      <w:r w:rsidR="00A14D18" w:rsidRPr="00576DC7">
        <w:t>1.</w:t>
      </w:r>
      <w:r w:rsidR="00391FC6" w:rsidRPr="00576DC7">
        <w:t>7</w:t>
      </w:r>
      <w:r w:rsidR="00394C3A" w:rsidRPr="00576DC7">
        <w:rPr>
          <w:lang w:val="en-US"/>
        </w:rPr>
        <w:t> </w:t>
      </w:r>
      <w:r w:rsidRPr="00576DC7">
        <w:t xml:space="preserve">per cent of GDP) </w:t>
      </w:r>
      <w:r w:rsidRPr="00576DC7">
        <w:rPr>
          <w:lang w:val="en-US"/>
        </w:rPr>
        <w:t>in 2028–29.</w:t>
      </w:r>
    </w:p>
    <w:p w14:paraId="64A97229" w14:textId="6ED0A6F1" w:rsidR="00865931" w:rsidRPr="00576DC7" w:rsidRDefault="00865931" w:rsidP="00865931">
      <w:r w:rsidRPr="00576DC7">
        <w:t>Estimated net cash outflows for IFAPPs decreased by $</w:t>
      </w:r>
      <w:r w:rsidR="00291F25" w:rsidRPr="00576DC7">
        <w:t>4.7</w:t>
      </w:r>
      <w:r w:rsidRPr="00576DC7">
        <w:t xml:space="preserve"> billion over the </w:t>
      </w:r>
      <w:r w:rsidR="00D13049" w:rsidRPr="00576DC7">
        <w:t>four</w:t>
      </w:r>
      <w:r w:rsidRPr="00576DC7">
        <w:t> years to 202</w:t>
      </w:r>
      <w:r w:rsidR="00D13049" w:rsidRPr="00576DC7">
        <w:t>7</w:t>
      </w:r>
      <w:r w:rsidRPr="00576DC7">
        <w:t>–2</w:t>
      </w:r>
      <w:r w:rsidR="00D13049" w:rsidRPr="00576DC7">
        <w:t>8</w:t>
      </w:r>
      <w:r w:rsidRPr="00576DC7">
        <w:t xml:space="preserve"> compared to MYEFO. This is </w:t>
      </w:r>
      <w:r w:rsidR="00B4066E" w:rsidRPr="00576DC7">
        <w:t>largely</w:t>
      </w:r>
      <w:r w:rsidRPr="00576DC7">
        <w:t xml:space="preserve"> due to:</w:t>
      </w:r>
    </w:p>
    <w:p w14:paraId="194181DD" w14:textId="341969C0" w:rsidR="00CA2C29" w:rsidRPr="00576DC7" w:rsidRDefault="00CA2C29" w:rsidP="00CA2C29">
      <w:pPr>
        <w:pStyle w:val="Bullet"/>
      </w:pPr>
      <w:r w:rsidRPr="00576DC7">
        <w:t>A $</w:t>
      </w:r>
      <w:r w:rsidR="00A808C2" w:rsidRPr="00576DC7">
        <w:t>2.8</w:t>
      </w:r>
      <w:r w:rsidR="00394C3A" w:rsidRPr="00576DC7">
        <w:t> </w:t>
      </w:r>
      <w:r w:rsidRPr="00576DC7">
        <w:t>billion decrease in outflows for the CEFC, reflecting revised timelines across both Rewiring the Nation and the CEFC</w:t>
      </w:r>
      <w:r w:rsidR="00404C26">
        <w:t>’</w:t>
      </w:r>
      <w:r w:rsidRPr="00576DC7">
        <w:t>s other activities.</w:t>
      </w:r>
    </w:p>
    <w:p w14:paraId="130F1322" w14:textId="35124BBF" w:rsidR="006D094D" w:rsidRPr="00576DC7" w:rsidRDefault="00CA2C29" w:rsidP="00694E55">
      <w:pPr>
        <w:pStyle w:val="Bullet"/>
      </w:pPr>
      <w:r w:rsidRPr="00576DC7">
        <w:t xml:space="preserve">A </w:t>
      </w:r>
      <w:r w:rsidR="006D094D" w:rsidRPr="00576DC7">
        <w:t>$</w:t>
      </w:r>
      <w:r w:rsidR="009D7913" w:rsidRPr="00576DC7">
        <w:t>776</w:t>
      </w:r>
      <w:r w:rsidR="006D094D" w:rsidRPr="00576DC7">
        <w:t xml:space="preserve"> million </w:t>
      </w:r>
      <w:r w:rsidR="009D7913" w:rsidRPr="00576DC7">
        <w:t xml:space="preserve">decrease in </w:t>
      </w:r>
      <w:r w:rsidR="00D1169B" w:rsidRPr="00576DC7">
        <w:t xml:space="preserve">outflows </w:t>
      </w:r>
      <w:r w:rsidR="006D094D" w:rsidRPr="00576DC7">
        <w:t xml:space="preserve">for the Help to Buy </w:t>
      </w:r>
      <w:r w:rsidR="004125FB" w:rsidRPr="00576DC7">
        <w:t>scheme</w:t>
      </w:r>
      <w:r w:rsidR="00CF73EE" w:rsidRPr="00576DC7">
        <w:t xml:space="preserve">, reflecting </w:t>
      </w:r>
      <w:r w:rsidR="00643E8E" w:rsidRPr="00576DC7">
        <w:t xml:space="preserve">revisions to the </w:t>
      </w:r>
      <w:r w:rsidR="00D972AC" w:rsidRPr="00576DC7">
        <w:t>rollout</w:t>
      </w:r>
      <w:r w:rsidR="00643E8E" w:rsidRPr="00576DC7">
        <w:t xml:space="preserve"> of the program. </w:t>
      </w:r>
      <w:r w:rsidR="008E1459" w:rsidRPr="00576DC7">
        <w:t>Th</w:t>
      </w:r>
      <w:r w:rsidR="00B45113" w:rsidRPr="00576DC7">
        <w:t>is</w:t>
      </w:r>
      <w:r w:rsidR="00E37002" w:rsidRPr="00576DC7">
        <w:t xml:space="preserve"> is partially offset by addition</w:t>
      </w:r>
      <w:r w:rsidR="005B2E93" w:rsidRPr="00576DC7">
        <w:t>al</w:t>
      </w:r>
      <w:r w:rsidR="00E37002" w:rsidRPr="00576DC7">
        <w:t xml:space="preserve"> </w:t>
      </w:r>
      <w:r w:rsidR="00057D34" w:rsidRPr="00576DC7">
        <w:t xml:space="preserve">investment </w:t>
      </w:r>
      <w:r w:rsidR="00384C08" w:rsidRPr="00576DC7">
        <w:t xml:space="preserve">to increase </w:t>
      </w:r>
      <w:r w:rsidR="00A53994" w:rsidRPr="00576DC7">
        <w:t xml:space="preserve">income and property price caps </w:t>
      </w:r>
      <w:r w:rsidR="00B365C0" w:rsidRPr="00576DC7">
        <w:t xml:space="preserve">under the </w:t>
      </w:r>
      <w:r w:rsidR="00ED71AE" w:rsidRPr="00576DC7">
        <w:t>program.</w:t>
      </w:r>
      <w:r w:rsidR="00487F51" w:rsidRPr="00576DC7">
        <w:t xml:space="preserve"> </w:t>
      </w:r>
      <w:r w:rsidR="006D094D" w:rsidRPr="00576DC7">
        <w:t xml:space="preserve">Further information can be found in the 2025–26 Budget measure </w:t>
      </w:r>
      <w:r w:rsidR="00ED71AE" w:rsidRPr="00576DC7">
        <w:rPr>
          <w:rStyle w:val="Emphasis"/>
        </w:rPr>
        <w:t>Housing support</w:t>
      </w:r>
      <w:r w:rsidR="006D094D" w:rsidRPr="00576DC7">
        <w:rPr>
          <w:rStyle w:val="Emphasis"/>
        </w:rPr>
        <w:t>.</w:t>
      </w:r>
    </w:p>
    <w:p w14:paraId="011FC458" w14:textId="53C7FD29" w:rsidR="00CA2C29" w:rsidRPr="00576DC7" w:rsidRDefault="00CA2C29" w:rsidP="00CA2C29">
      <w:pPr>
        <w:pStyle w:val="Bullet"/>
      </w:pPr>
      <w:r w:rsidRPr="00576DC7">
        <w:t>A $</w:t>
      </w:r>
      <w:r w:rsidR="00451BE7" w:rsidRPr="00576DC7">
        <w:t>317</w:t>
      </w:r>
      <w:r w:rsidR="00394C3A" w:rsidRPr="00576DC7">
        <w:t> </w:t>
      </w:r>
      <w:r w:rsidRPr="00576DC7">
        <w:t xml:space="preserve">million decrease in </w:t>
      </w:r>
      <w:r w:rsidR="008B5BA6" w:rsidRPr="00576DC7">
        <w:t>out</w:t>
      </w:r>
      <w:r w:rsidRPr="00576DC7">
        <w:t>flows for the Northern Australia Infrastructure Facility, due to proponent</w:t>
      </w:r>
      <w:r w:rsidR="00404C26">
        <w:noBreakHyphen/>
      </w:r>
      <w:r w:rsidRPr="00576DC7">
        <w:t>driven changes to loan utilisation.</w:t>
      </w:r>
    </w:p>
    <w:p w14:paraId="3ABC1B44" w14:textId="57698DA7" w:rsidR="00CA2C29" w:rsidRPr="00576DC7" w:rsidRDefault="00CA2C29" w:rsidP="00207FB5">
      <w:r w:rsidRPr="00576DC7">
        <w:lastRenderedPageBreak/>
        <w:t xml:space="preserve">The decrease in outflows for IFAPPs </w:t>
      </w:r>
      <w:r w:rsidR="00E773F7" w:rsidRPr="00576DC7">
        <w:t>over the four years to 2027</w:t>
      </w:r>
      <w:r w:rsidR="00576117" w:rsidRPr="00576DC7">
        <w:t>–</w:t>
      </w:r>
      <w:r w:rsidR="00E773F7" w:rsidRPr="00576DC7">
        <w:t xml:space="preserve">28 </w:t>
      </w:r>
      <w:r w:rsidRPr="00576DC7">
        <w:t>is partially offset by</w:t>
      </w:r>
      <w:r w:rsidR="00B262F5" w:rsidRPr="00576DC7">
        <w:t xml:space="preserve"> </w:t>
      </w:r>
      <w:r w:rsidRPr="00576DC7" w:rsidDel="004E04F0">
        <w:t>a</w:t>
      </w:r>
      <w:r w:rsidRPr="00576DC7">
        <w:t>n additional $</w:t>
      </w:r>
      <w:r w:rsidR="00204A00" w:rsidRPr="00576DC7">
        <w:t>1.</w:t>
      </w:r>
      <w:r w:rsidR="00A863D8" w:rsidRPr="00576DC7">
        <w:t>4</w:t>
      </w:r>
      <w:r w:rsidR="009E67A5" w:rsidRPr="00576DC7">
        <w:t> </w:t>
      </w:r>
      <w:r w:rsidRPr="00576DC7">
        <w:t xml:space="preserve">billion </w:t>
      </w:r>
      <w:r w:rsidR="0065646A" w:rsidRPr="00576DC7">
        <w:t xml:space="preserve">in cash </w:t>
      </w:r>
      <w:r w:rsidR="00DD0518" w:rsidRPr="00576DC7">
        <w:t>out</w:t>
      </w:r>
      <w:r w:rsidR="0065646A" w:rsidRPr="00576DC7">
        <w:t xml:space="preserve">flows from </w:t>
      </w:r>
      <w:r w:rsidRPr="00576DC7">
        <w:t xml:space="preserve">the National Reconstruction Fund. This results </w:t>
      </w:r>
      <w:r w:rsidR="00E773F7" w:rsidRPr="00576DC7">
        <w:t>from</w:t>
      </w:r>
      <w:r w:rsidRPr="00576DC7">
        <w:t xml:space="preserve"> an updated investment pipeline which will see more investments made in 2024–25 and 2025–26.</w:t>
      </w:r>
    </w:p>
    <w:p w14:paraId="6AF5940F" w14:textId="12F685B0" w:rsidR="009667A5" w:rsidRPr="00576DC7" w:rsidRDefault="009667A5" w:rsidP="009667A5">
      <w:r w:rsidRPr="00576DC7">
        <w:t xml:space="preserve">Net cash flows for </w:t>
      </w:r>
      <w:proofErr w:type="gramStart"/>
      <w:r w:rsidRPr="00576DC7">
        <w:t>a number of</w:t>
      </w:r>
      <w:proofErr w:type="gramEnd"/>
      <w:r w:rsidRPr="00576DC7">
        <w:t xml:space="preserve"> programs listed in Table 3.</w:t>
      </w:r>
      <w:r w:rsidR="00D76238" w:rsidRPr="00576DC7">
        <w:t>4</w:t>
      </w:r>
      <w:r w:rsidRPr="00576DC7">
        <w:t xml:space="preserve"> reflect the inclusion of funding provided by the Government </w:t>
      </w:r>
      <w:r w:rsidR="00F21A0B" w:rsidRPr="00576DC7">
        <w:t>in a prior update</w:t>
      </w:r>
      <w:r w:rsidRPr="00576DC7">
        <w:t xml:space="preserve">. These funds were previously captured within the </w:t>
      </w:r>
      <w:r w:rsidR="00404C26">
        <w:t>‘</w:t>
      </w:r>
      <w:r w:rsidRPr="00576DC7">
        <w:t>Net other</w:t>
      </w:r>
      <w:r w:rsidR="00404C26">
        <w:t>’</w:t>
      </w:r>
      <w:r w:rsidRPr="00576DC7">
        <w:t xml:space="preserve"> line and are now incorporated in their relevant line items. These include:</w:t>
      </w:r>
    </w:p>
    <w:p w14:paraId="51BB8757" w14:textId="0C3C7A2B" w:rsidR="00F832B5" w:rsidRPr="00576DC7" w:rsidRDefault="00F832B5" w:rsidP="00F832B5">
      <w:pPr>
        <w:pStyle w:val="Bullet"/>
      </w:pPr>
      <w:r w:rsidRPr="00576DC7">
        <w:t>$5.</w:t>
      </w:r>
      <w:r w:rsidR="00815274" w:rsidRPr="00576DC7">
        <w:t>5</w:t>
      </w:r>
      <w:r w:rsidRPr="00576DC7">
        <w:t xml:space="preserve"> billion </w:t>
      </w:r>
      <w:r w:rsidR="003F46A0" w:rsidRPr="00576DC7">
        <w:t xml:space="preserve">over the five years </w:t>
      </w:r>
      <w:r w:rsidR="003710F3" w:rsidRPr="00576DC7">
        <w:t>from</w:t>
      </w:r>
      <w:r w:rsidR="003F46A0" w:rsidRPr="00576DC7">
        <w:t xml:space="preserve"> </w:t>
      </w:r>
      <w:r w:rsidR="003710F3" w:rsidRPr="00576DC7">
        <w:t>2024</w:t>
      </w:r>
      <w:r w:rsidR="00A76DA8" w:rsidRPr="00576DC7">
        <w:t>–</w:t>
      </w:r>
      <w:r w:rsidR="003710F3" w:rsidRPr="00576DC7">
        <w:t>25</w:t>
      </w:r>
      <w:r w:rsidR="003F46A0" w:rsidRPr="00576DC7">
        <w:t xml:space="preserve"> </w:t>
      </w:r>
      <w:r w:rsidR="004C4B12" w:rsidRPr="00576DC7">
        <w:t xml:space="preserve">for the Help to Buy </w:t>
      </w:r>
      <w:r w:rsidR="004125FB" w:rsidRPr="00576DC7">
        <w:t>scheme</w:t>
      </w:r>
      <w:r w:rsidRPr="00576DC7">
        <w:t xml:space="preserve">. Those amounts are now itemised against Housing Australia, </w:t>
      </w:r>
      <w:proofErr w:type="gramStart"/>
      <w:r w:rsidRPr="00576DC7">
        <w:t>taking into account</w:t>
      </w:r>
      <w:proofErr w:type="gramEnd"/>
      <w:r w:rsidRPr="00576DC7">
        <w:t xml:space="preserve"> the </w:t>
      </w:r>
      <w:r w:rsidR="00F84BEC" w:rsidRPr="00576DC7">
        <w:t xml:space="preserve">revisions to the rollout </w:t>
      </w:r>
      <w:r w:rsidR="00C94950" w:rsidRPr="00576DC7">
        <w:t>and the additional investment</w:t>
      </w:r>
      <w:r w:rsidRPr="00576DC7">
        <w:t xml:space="preserve">. </w:t>
      </w:r>
    </w:p>
    <w:p w14:paraId="5761537C" w14:textId="7633C303" w:rsidR="00146F13" w:rsidRPr="00576DC7" w:rsidRDefault="00146F13" w:rsidP="00146F13">
      <w:pPr>
        <w:pStyle w:val="Bullet"/>
      </w:pPr>
      <w:r w:rsidRPr="00576DC7">
        <w:t>$1.6</w:t>
      </w:r>
      <w:r w:rsidR="009E67A5" w:rsidRPr="00576DC7">
        <w:t> </w:t>
      </w:r>
      <w:r w:rsidR="009667A5" w:rsidRPr="00576DC7">
        <w:t xml:space="preserve">billion over </w:t>
      </w:r>
      <w:r w:rsidRPr="00576DC7">
        <w:t>the four years from 2025</w:t>
      </w:r>
      <w:r w:rsidRPr="00576DC7" w:rsidDel="00330200">
        <w:t>–</w:t>
      </w:r>
      <w:r w:rsidRPr="00576DC7">
        <w:t xml:space="preserve">26 to recapitalise the </w:t>
      </w:r>
      <w:r w:rsidR="00AD73EA" w:rsidRPr="00576DC7">
        <w:t>CEFC</w:t>
      </w:r>
      <w:r w:rsidRPr="00576DC7">
        <w:t xml:space="preserve"> to invest in renewable energy, energy efficiency and low emissions technologies. Further information can be found in the 2025–26 Budget measure </w:t>
      </w:r>
      <w:r w:rsidRPr="00576DC7">
        <w:rPr>
          <w:rStyle w:val="Emphasis"/>
        </w:rPr>
        <w:t>Strengthening the Clean Energy Finance Corporation.</w:t>
      </w:r>
    </w:p>
    <w:p w14:paraId="6A3DFF0B" w14:textId="62EE930B" w:rsidR="009667A5" w:rsidRPr="00576DC7" w:rsidRDefault="009667A5" w:rsidP="009667A5">
      <w:pPr>
        <w:pStyle w:val="Bullet"/>
      </w:pPr>
      <w:r w:rsidRPr="00576DC7">
        <w:t>$</w:t>
      </w:r>
      <w:r w:rsidR="0071073D" w:rsidRPr="00576DC7">
        <w:t>1.4</w:t>
      </w:r>
      <w:r w:rsidR="009E67A5" w:rsidRPr="00576DC7">
        <w:t> </w:t>
      </w:r>
      <w:r w:rsidRPr="00576DC7">
        <w:t>billion over</w:t>
      </w:r>
      <w:r w:rsidR="00A72FFB" w:rsidRPr="00576DC7">
        <w:t xml:space="preserve"> three</w:t>
      </w:r>
      <w:r w:rsidR="00F16856" w:rsidRPr="00576DC7">
        <w:t> </w:t>
      </w:r>
      <w:r w:rsidRPr="00576DC7">
        <w:t>years from 2024–25 to provide additional equity funding to NBN Co as part of the upgrade of the remaining 622,000 NBN premises on the national fibre</w:t>
      </w:r>
      <w:r w:rsidR="00404C26">
        <w:noBreakHyphen/>
      </w:r>
      <w:r w:rsidRPr="00576DC7">
        <w:t>to</w:t>
      </w:r>
      <w:r w:rsidR="00404C26">
        <w:noBreakHyphen/>
      </w:r>
      <w:r w:rsidRPr="00576DC7">
        <w:t>the</w:t>
      </w:r>
      <w:r w:rsidR="00404C26">
        <w:noBreakHyphen/>
      </w:r>
      <w:r w:rsidRPr="00576DC7">
        <w:t>node (FTTN) network.</w:t>
      </w:r>
      <w:r w:rsidR="001A33C5" w:rsidRPr="00576DC7">
        <w:t xml:space="preserve"> Further information can be found in the 2025</w:t>
      </w:r>
      <w:r w:rsidR="00CE222F" w:rsidRPr="00576DC7">
        <w:t>–</w:t>
      </w:r>
      <w:r w:rsidR="001A33C5" w:rsidRPr="00576DC7">
        <w:t xml:space="preserve">26 Budget measure </w:t>
      </w:r>
      <w:r w:rsidR="001A33C5" w:rsidRPr="00576DC7">
        <w:rPr>
          <w:rStyle w:val="Emphasis"/>
        </w:rPr>
        <w:t>Building Australia</w:t>
      </w:r>
      <w:r w:rsidR="00404C26">
        <w:rPr>
          <w:rStyle w:val="Emphasis"/>
        </w:rPr>
        <w:t>’</w:t>
      </w:r>
      <w:r w:rsidR="001A33C5" w:rsidRPr="00576DC7">
        <w:rPr>
          <w:rStyle w:val="Emphasis"/>
        </w:rPr>
        <w:t>s Future – completing the NBN fibre upgrades.</w:t>
      </w:r>
    </w:p>
    <w:p w14:paraId="201A5148" w14:textId="1B2A3442" w:rsidR="00B2621F" w:rsidRPr="000843B4" w:rsidRDefault="009667A5" w:rsidP="00EE61AA">
      <w:pPr>
        <w:pStyle w:val="Bullet"/>
      </w:pPr>
      <w:r w:rsidRPr="00576DC7">
        <w:t>$570</w:t>
      </w:r>
      <w:r w:rsidR="007D2863" w:rsidRPr="00576DC7">
        <w:t> </w:t>
      </w:r>
      <w:r w:rsidR="00D20058" w:rsidRPr="00576DC7">
        <w:t>million in 2024–25 for a budget support loan to Papua New Guinea</w:t>
      </w:r>
      <w:r w:rsidR="00727493" w:rsidRPr="00576DC7">
        <w:t xml:space="preserve"> (PNG)</w:t>
      </w:r>
      <w:r w:rsidR="00D20058" w:rsidRPr="00576DC7">
        <w:t xml:space="preserve"> </w:t>
      </w:r>
      <w:r w:rsidR="00727493" w:rsidRPr="00576DC7">
        <w:t>to address the PNG Government</w:t>
      </w:r>
      <w:r w:rsidR="00404C26">
        <w:t>’</w:t>
      </w:r>
      <w:r w:rsidR="00727493" w:rsidRPr="00576DC7">
        <w:t>s estimated 2024 budget shortfall</w:t>
      </w:r>
      <w:r w:rsidR="00D20058" w:rsidRPr="00576DC7">
        <w:t xml:space="preserve">, with associated repayments </w:t>
      </w:r>
      <w:r w:rsidR="0004574E" w:rsidRPr="00576DC7">
        <w:t>total</w:t>
      </w:r>
      <w:r w:rsidR="00E90075" w:rsidRPr="00576DC7">
        <w:t>ling</w:t>
      </w:r>
      <w:r w:rsidR="00D20058" w:rsidRPr="00576DC7">
        <w:t xml:space="preserve"> </w:t>
      </w:r>
      <w:r w:rsidRPr="00576DC7">
        <w:t>$</w:t>
      </w:r>
      <w:r w:rsidR="00AB6651" w:rsidRPr="00576DC7">
        <w:t xml:space="preserve">128 </w:t>
      </w:r>
      <w:r w:rsidR="00D20058" w:rsidRPr="00576DC7">
        <w:t>million within the forward estimates to 202</w:t>
      </w:r>
      <w:r w:rsidR="006B5CC1" w:rsidRPr="00576DC7">
        <w:t>8</w:t>
      </w:r>
      <w:r w:rsidR="00D20058" w:rsidRPr="00576DC7">
        <w:t>–2</w:t>
      </w:r>
      <w:r w:rsidR="006B5CC1" w:rsidRPr="00576DC7">
        <w:t>9</w:t>
      </w:r>
      <w:r w:rsidR="00D20058" w:rsidRPr="00576DC7">
        <w:t xml:space="preserve">. </w:t>
      </w:r>
      <w:r w:rsidR="000B4D18" w:rsidRPr="00576DC7">
        <w:t>Further information can be found in the 2025</w:t>
      </w:r>
      <w:r w:rsidR="00CE222F" w:rsidRPr="00576DC7">
        <w:t>–</w:t>
      </w:r>
      <w:r w:rsidR="000B4D18" w:rsidRPr="00576DC7">
        <w:t xml:space="preserve">26 Budget Measure </w:t>
      </w:r>
      <w:r w:rsidR="001A33C5" w:rsidRPr="00576DC7">
        <w:rPr>
          <w:rStyle w:val="Emphasis"/>
        </w:rPr>
        <w:t xml:space="preserve">International Assistance. </w:t>
      </w:r>
      <w:r w:rsidR="00B2621F" w:rsidRPr="001258E3">
        <w:rPr>
          <w:color w:val="FF0000"/>
        </w:rPr>
        <w:br w:type="page"/>
      </w:r>
    </w:p>
    <w:p w14:paraId="344F2C13" w14:textId="560BBBA3" w:rsidR="007C3540" w:rsidRDefault="00B2621F" w:rsidP="007C3540">
      <w:pPr>
        <w:pStyle w:val="TableHeading"/>
        <w:rPr>
          <w:rFonts w:asciiTheme="minorHAnsi" w:eastAsiaTheme="minorEastAsia" w:hAnsiTheme="minorHAnsi" w:cstheme="minorBidi"/>
          <w:sz w:val="22"/>
          <w:szCs w:val="22"/>
          <w:lang w:eastAsia="en-US"/>
        </w:rPr>
      </w:pPr>
      <w:r w:rsidRPr="00576DC7">
        <w:lastRenderedPageBreak/>
        <w:t>Table 3.</w:t>
      </w:r>
      <w:r w:rsidR="00D76238" w:rsidRPr="00576DC7">
        <w:t>4</w:t>
      </w:r>
      <w:r w:rsidRPr="00576DC7">
        <w:t>: Reconciliation of general government sector underlying and headline cash balance estimates</w:t>
      </w:r>
      <w:r w:rsidR="00A95E9B" w:rsidRPr="00576DC7">
        <w:t xml:space="preserve"> </w:t>
      </w:r>
      <w:bookmarkStart w:id="48" w:name="_1803793606"/>
      <w:bookmarkStart w:id="49" w:name="_1803803589"/>
      <w:bookmarkStart w:id="50" w:name="_1803822464"/>
      <w:bookmarkStart w:id="51" w:name="_1804054051"/>
      <w:bookmarkStart w:id="52" w:name="_1804053045"/>
      <w:bookmarkStart w:id="53" w:name="_1804053736"/>
      <w:bookmarkStart w:id="54" w:name="_1804053350"/>
      <w:bookmarkStart w:id="55" w:name="_1803883748"/>
      <w:bookmarkStart w:id="56" w:name="_1803794602"/>
      <w:bookmarkStart w:id="57" w:name="_1803821921"/>
      <w:bookmarkStart w:id="58" w:name="_1803821846"/>
      <w:bookmarkStart w:id="59" w:name="_1803822552"/>
      <w:bookmarkStart w:id="60" w:name="_1803821250"/>
      <w:bookmarkStart w:id="61" w:name="_1803821679"/>
      <w:bookmarkStart w:id="62" w:name="_1803821295"/>
      <w:bookmarkStart w:id="63" w:name="_1803821179"/>
      <w:bookmarkStart w:id="64" w:name="_1803824261"/>
      <w:bookmarkStart w:id="65" w:name="_1803824092"/>
      <w:bookmarkStart w:id="66" w:name="_1803823907"/>
      <w:bookmarkStart w:id="67" w:name="_1803823704"/>
      <w:bookmarkStart w:id="68" w:name="_1803823249"/>
      <w:bookmarkStart w:id="69" w:name="_1803816743"/>
      <w:bookmarkStart w:id="70" w:name="_1803823103"/>
      <w:bookmarkStart w:id="71" w:name="_1803891222"/>
      <w:bookmarkStart w:id="72" w:name="_180389231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tbl>
      <w:tblPr>
        <w:tblW w:w="7710" w:type="dxa"/>
        <w:tblCellMar>
          <w:left w:w="0" w:type="dxa"/>
          <w:right w:w="28" w:type="dxa"/>
        </w:tblCellMar>
        <w:tblLook w:val="04A0" w:firstRow="1" w:lastRow="0" w:firstColumn="1" w:lastColumn="0" w:noHBand="0" w:noVBand="1"/>
      </w:tblPr>
      <w:tblGrid>
        <w:gridCol w:w="3344"/>
        <w:gridCol w:w="724"/>
        <w:gridCol w:w="703"/>
        <w:gridCol w:w="704"/>
        <w:gridCol w:w="705"/>
        <w:gridCol w:w="705"/>
        <w:gridCol w:w="81"/>
        <w:gridCol w:w="744"/>
      </w:tblGrid>
      <w:tr w:rsidR="007C3540" w:rsidRPr="007C3540" w14:paraId="3CED2D9A" w14:textId="77777777" w:rsidTr="591FF694">
        <w:trPr>
          <w:trHeight w:hRule="exact" w:val="225"/>
        </w:trPr>
        <w:tc>
          <w:tcPr>
            <w:tcW w:w="3336" w:type="dxa"/>
            <w:tcBorders>
              <w:top w:val="single" w:sz="4" w:space="0" w:color="293F5B"/>
              <w:left w:val="nil"/>
              <w:bottom w:val="nil"/>
              <w:right w:val="nil"/>
            </w:tcBorders>
            <w:shd w:val="clear" w:color="auto" w:fill="FFFFFF" w:themeFill="background1"/>
            <w:noWrap/>
            <w:vAlign w:val="bottom"/>
            <w:hideMark/>
          </w:tcPr>
          <w:p w14:paraId="5A960D82" w14:textId="5B004475"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3575" w:type="dxa"/>
            <w:gridSpan w:val="5"/>
            <w:tcBorders>
              <w:top w:val="single" w:sz="4" w:space="0" w:color="293F5B"/>
              <w:left w:val="nil"/>
              <w:bottom w:val="single" w:sz="4" w:space="0" w:color="293F5B"/>
              <w:right w:val="nil"/>
            </w:tcBorders>
            <w:shd w:val="clear" w:color="auto" w:fill="FFFFFF" w:themeFill="background1"/>
            <w:vAlign w:val="bottom"/>
          </w:tcPr>
          <w:p w14:paraId="24B6C89A" w14:textId="77777777" w:rsidR="007C3540" w:rsidRDefault="007C3540" w:rsidP="007C3540">
            <w:pPr>
              <w:spacing w:before="0" w:after="0" w:line="240" w:lineRule="auto"/>
              <w:jc w:val="center"/>
              <w:rPr>
                <w:rFonts w:ascii="Arial" w:hAnsi="Arial" w:cs="Arial"/>
                <w:color w:val="000000" w:themeColor="text1"/>
                <w:sz w:val="16"/>
                <w:szCs w:val="16"/>
              </w:rPr>
            </w:pPr>
            <w:r w:rsidRPr="591FF694">
              <w:rPr>
                <w:rFonts w:ascii="Arial" w:hAnsi="Arial" w:cs="Arial"/>
                <w:color w:val="000000" w:themeColor="text1"/>
                <w:sz w:val="16"/>
                <w:szCs w:val="16"/>
              </w:rPr>
              <w:t>Estimates</w:t>
            </w:r>
          </w:p>
        </w:tc>
        <w:tc>
          <w:tcPr>
            <w:tcW w:w="44" w:type="pct"/>
            <w:tcBorders>
              <w:top w:val="single" w:sz="4" w:space="0" w:color="293F5B"/>
              <w:left w:val="nil"/>
              <w:bottom w:val="nil"/>
              <w:right w:val="nil"/>
            </w:tcBorders>
            <w:shd w:val="clear" w:color="000000" w:fill="FFFFFF"/>
            <w:noWrap/>
            <w:vAlign w:val="bottom"/>
            <w:hideMark/>
          </w:tcPr>
          <w:p w14:paraId="5DEC474D" w14:textId="77777777" w:rsidR="007C3540" w:rsidRPr="007C3540" w:rsidRDefault="007C3540" w:rsidP="007C3540">
            <w:pPr>
              <w:spacing w:before="0" w:after="0" w:line="240" w:lineRule="auto"/>
              <w:rPr>
                <w:rFonts w:ascii="Arial" w:hAnsi="Arial" w:cs="Arial"/>
                <w:color w:val="000000"/>
                <w:sz w:val="16"/>
                <w:szCs w:val="16"/>
              </w:rPr>
            </w:pPr>
            <w:r w:rsidRPr="007C3540">
              <w:rPr>
                <w:rFonts w:ascii="Arial" w:hAnsi="Arial" w:cs="Arial"/>
                <w:color w:val="000000"/>
                <w:sz w:val="16"/>
                <w:szCs w:val="16"/>
              </w:rPr>
              <w:t> </w:t>
            </w:r>
          </w:p>
        </w:tc>
        <w:tc>
          <w:tcPr>
            <w:tcW w:w="472" w:type="pct"/>
            <w:tcBorders>
              <w:top w:val="single" w:sz="4" w:space="0" w:color="293F5B"/>
              <w:left w:val="nil"/>
              <w:bottom w:val="single" w:sz="4" w:space="0" w:color="293F5B"/>
              <w:right w:val="nil"/>
            </w:tcBorders>
            <w:shd w:val="clear" w:color="000000" w:fill="FFFFFF"/>
            <w:noWrap/>
            <w:vAlign w:val="bottom"/>
            <w:hideMark/>
          </w:tcPr>
          <w:p w14:paraId="4C78449E" w14:textId="77777777" w:rsidR="007C3540" w:rsidRPr="007C3540" w:rsidRDefault="007C3540" w:rsidP="007C3540">
            <w:pPr>
              <w:spacing w:before="0" w:after="0" w:line="240" w:lineRule="auto"/>
              <w:rPr>
                <w:rFonts w:ascii="Arial" w:hAnsi="Arial" w:cs="Arial"/>
                <w:color w:val="000000"/>
                <w:sz w:val="16"/>
                <w:szCs w:val="16"/>
              </w:rPr>
            </w:pPr>
            <w:r w:rsidRPr="007C3540">
              <w:rPr>
                <w:rFonts w:ascii="Arial" w:hAnsi="Arial" w:cs="Arial"/>
                <w:color w:val="000000"/>
                <w:sz w:val="16"/>
                <w:szCs w:val="16"/>
              </w:rPr>
              <w:t> </w:t>
            </w:r>
          </w:p>
        </w:tc>
      </w:tr>
      <w:tr w:rsidR="007C3540" w:rsidRPr="007C3540" w14:paraId="5450DB17"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71FB3C5E"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6" w:type="dxa"/>
            <w:tcBorders>
              <w:top w:val="nil"/>
              <w:left w:val="nil"/>
              <w:bottom w:val="nil"/>
              <w:right w:val="nil"/>
            </w:tcBorders>
            <w:shd w:val="clear" w:color="auto" w:fill="FFFFFF" w:themeFill="background1"/>
            <w:noWrap/>
            <w:vAlign w:val="center"/>
            <w:hideMark/>
          </w:tcPr>
          <w:p w14:paraId="4E47D0AB" w14:textId="4B46B772" w:rsidR="007C3540" w:rsidRPr="007C3540" w:rsidRDefault="007C3540" w:rsidP="007C3540">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2024</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25</w:t>
            </w:r>
          </w:p>
        </w:tc>
        <w:tc>
          <w:tcPr>
            <w:tcW w:w="714" w:type="dxa"/>
            <w:tcBorders>
              <w:top w:val="nil"/>
              <w:left w:val="nil"/>
              <w:bottom w:val="nil"/>
              <w:right w:val="nil"/>
            </w:tcBorders>
            <w:shd w:val="clear" w:color="auto" w:fill="E6F2FF"/>
            <w:vAlign w:val="center"/>
          </w:tcPr>
          <w:p w14:paraId="341D06F7" w14:textId="409256F5"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2025</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26</w:t>
            </w:r>
          </w:p>
        </w:tc>
        <w:tc>
          <w:tcPr>
            <w:tcW w:w="715" w:type="dxa"/>
            <w:tcBorders>
              <w:top w:val="nil"/>
              <w:left w:val="nil"/>
              <w:bottom w:val="nil"/>
              <w:right w:val="nil"/>
            </w:tcBorders>
            <w:shd w:val="clear" w:color="auto" w:fill="FFFFFF" w:themeFill="background1"/>
            <w:vAlign w:val="center"/>
          </w:tcPr>
          <w:p w14:paraId="58A0F936" w14:textId="4002EE58"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2026</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27</w:t>
            </w:r>
          </w:p>
        </w:tc>
        <w:tc>
          <w:tcPr>
            <w:tcW w:w="715" w:type="dxa"/>
            <w:tcBorders>
              <w:top w:val="nil"/>
              <w:left w:val="nil"/>
              <w:bottom w:val="nil"/>
              <w:right w:val="nil"/>
            </w:tcBorders>
            <w:shd w:val="clear" w:color="auto" w:fill="FFFFFF" w:themeFill="background1"/>
            <w:vAlign w:val="center"/>
          </w:tcPr>
          <w:p w14:paraId="32857166" w14:textId="5041AB21"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2027</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28</w:t>
            </w:r>
          </w:p>
        </w:tc>
        <w:tc>
          <w:tcPr>
            <w:tcW w:w="715" w:type="dxa"/>
            <w:tcBorders>
              <w:top w:val="nil"/>
              <w:left w:val="nil"/>
              <w:bottom w:val="nil"/>
              <w:right w:val="nil"/>
            </w:tcBorders>
            <w:shd w:val="clear" w:color="auto" w:fill="FFFFFF" w:themeFill="background1"/>
            <w:vAlign w:val="center"/>
          </w:tcPr>
          <w:p w14:paraId="445C154B" w14:textId="271829C3"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2028</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29</w:t>
            </w:r>
          </w:p>
        </w:tc>
        <w:tc>
          <w:tcPr>
            <w:tcW w:w="73" w:type="dxa"/>
            <w:tcBorders>
              <w:top w:val="nil"/>
              <w:left w:val="nil"/>
              <w:bottom w:val="nil"/>
              <w:right w:val="nil"/>
            </w:tcBorders>
            <w:shd w:val="clear" w:color="auto" w:fill="FFFFFF" w:themeFill="background1"/>
            <w:noWrap/>
            <w:vAlign w:val="bottom"/>
            <w:hideMark/>
          </w:tcPr>
          <w:p w14:paraId="1BA9C3C7"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5AC8617D" w14:textId="77777777" w:rsidR="007C3540" w:rsidRPr="007C3540" w:rsidRDefault="007C3540" w:rsidP="007C3540">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Total</w:t>
            </w:r>
          </w:p>
        </w:tc>
      </w:tr>
      <w:tr w:rsidR="000C254E" w:rsidRPr="007C3540" w14:paraId="60686598"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3CF1E3A9"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6" w:type="dxa"/>
            <w:tcBorders>
              <w:top w:val="nil"/>
              <w:left w:val="nil"/>
              <w:bottom w:val="single" w:sz="4" w:space="0" w:color="293F5B"/>
              <w:right w:val="nil"/>
            </w:tcBorders>
            <w:shd w:val="clear" w:color="auto" w:fill="FFFFFF" w:themeFill="background1"/>
            <w:noWrap/>
            <w:vAlign w:val="bottom"/>
            <w:hideMark/>
          </w:tcPr>
          <w:p w14:paraId="26B7B039" w14:textId="77777777" w:rsidR="007C3540" w:rsidRPr="007C3540" w:rsidRDefault="007C3540" w:rsidP="007C3540">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$m</w:t>
            </w:r>
          </w:p>
        </w:tc>
        <w:tc>
          <w:tcPr>
            <w:tcW w:w="714" w:type="dxa"/>
            <w:tcBorders>
              <w:top w:val="nil"/>
              <w:left w:val="nil"/>
              <w:bottom w:val="single" w:sz="4" w:space="0" w:color="293F5B"/>
              <w:right w:val="nil"/>
            </w:tcBorders>
            <w:shd w:val="clear" w:color="auto" w:fill="E6F2FF"/>
            <w:vAlign w:val="bottom"/>
          </w:tcPr>
          <w:p w14:paraId="6FF04EC6"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$m</w:t>
            </w:r>
          </w:p>
        </w:tc>
        <w:tc>
          <w:tcPr>
            <w:tcW w:w="715" w:type="dxa"/>
            <w:tcBorders>
              <w:top w:val="nil"/>
              <w:left w:val="nil"/>
              <w:bottom w:val="single" w:sz="4" w:space="0" w:color="293F5B"/>
              <w:right w:val="nil"/>
            </w:tcBorders>
            <w:shd w:val="clear" w:color="auto" w:fill="FFFFFF" w:themeFill="background1"/>
            <w:vAlign w:val="bottom"/>
          </w:tcPr>
          <w:p w14:paraId="710AFA7D"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$m</w:t>
            </w:r>
          </w:p>
        </w:tc>
        <w:tc>
          <w:tcPr>
            <w:tcW w:w="715" w:type="dxa"/>
            <w:tcBorders>
              <w:top w:val="nil"/>
              <w:left w:val="nil"/>
              <w:bottom w:val="single" w:sz="4" w:space="0" w:color="293F5B"/>
              <w:right w:val="nil"/>
            </w:tcBorders>
            <w:shd w:val="clear" w:color="auto" w:fill="FFFFFF" w:themeFill="background1"/>
            <w:vAlign w:val="bottom"/>
          </w:tcPr>
          <w:p w14:paraId="4D38714A"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$m</w:t>
            </w:r>
          </w:p>
        </w:tc>
        <w:tc>
          <w:tcPr>
            <w:tcW w:w="715" w:type="dxa"/>
            <w:tcBorders>
              <w:top w:val="nil"/>
              <w:left w:val="nil"/>
              <w:bottom w:val="single" w:sz="4" w:space="0" w:color="293F5B"/>
              <w:right w:val="nil"/>
            </w:tcBorders>
            <w:shd w:val="clear" w:color="auto" w:fill="FFFFFF" w:themeFill="background1"/>
            <w:vAlign w:val="bottom"/>
          </w:tcPr>
          <w:p w14:paraId="095F02AC"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$m</w:t>
            </w:r>
          </w:p>
        </w:tc>
        <w:tc>
          <w:tcPr>
            <w:tcW w:w="73" w:type="dxa"/>
            <w:tcBorders>
              <w:top w:val="nil"/>
              <w:left w:val="nil"/>
              <w:bottom w:val="nil"/>
              <w:right w:val="nil"/>
            </w:tcBorders>
            <w:shd w:val="clear" w:color="auto" w:fill="FFFFFF" w:themeFill="background1"/>
            <w:noWrap/>
            <w:vAlign w:val="bottom"/>
            <w:hideMark/>
          </w:tcPr>
          <w:p w14:paraId="1CF62B59" w14:textId="77777777" w:rsidR="007C3540" w:rsidRPr="007C3540" w:rsidRDefault="007C3540" w:rsidP="007C3540">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single" w:sz="4" w:space="0" w:color="293F5B"/>
              <w:right w:val="nil"/>
            </w:tcBorders>
            <w:shd w:val="clear" w:color="auto" w:fill="FFFFFF" w:themeFill="background1"/>
            <w:noWrap/>
            <w:vAlign w:val="bottom"/>
            <w:hideMark/>
          </w:tcPr>
          <w:p w14:paraId="2AE9A4EA" w14:textId="77777777" w:rsidR="007C3540" w:rsidRPr="007C3540" w:rsidRDefault="007C3540" w:rsidP="007C3540">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$m</w:t>
            </w:r>
          </w:p>
        </w:tc>
      </w:tr>
      <w:tr w:rsidR="007C3540" w:rsidRPr="007C3540" w14:paraId="7F2FF06A"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200E6817" w14:textId="52902DFA" w:rsidR="007C3540" w:rsidRPr="007C3540" w:rsidRDefault="007C3540" w:rsidP="007C3540">
            <w:pPr>
              <w:spacing w:before="0" w:after="0" w:line="240" w:lineRule="auto"/>
              <w:rPr>
                <w:rFonts w:ascii="Arial" w:hAnsi="Arial" w:cs="Arial"/>
                <w:b/>
                <w:bCs/>
                <w:color w:val="000000"/>
                <w:sz w:val="16"/>
                <w:szCs w:val="16"/>
              </w:rPr>
            </w:pPr>
            <w:r w:rsidRPr="591FF694">
              <w:rPr>
                <w:rFonts w:ascii="Arial" w:hAnsi="Arial" w:cs="Arial"/>
                <w:b/>
                <w:color w:val="000000" w:themeColor="text1"/>
                <w:sz w:val="16"/>
                <w:szCs w:val="16"/>
              </w:rPr>
              <w:t>2025</w:t>
            </w:r>
            <w:r w:rsidR="00404C26">
              <w:rPr>
                <w:rFonts w:ascii="Arial" w:hAnsi="Arial" w:cs="Arial"/>
                <w:b/>
                <w:color w:val="000000" w:themeColor="text1"/>
                <w:sz w:val="16"/>
                <w:szCs w:val="16"/>
              </w:rPr>
              <w:noBreakHyphen/>
            </w:r>
            <w:r w:rsidRPr="591FF694">
              <w:rPr>
                <w:rFonts w:ascii="Arial" w:hAnsi="Arial" w:cs="Arial"/>
                <w:b/>
                <w:color w:val="000000" w:themeColor="text1"/>
                <w:sz w:val="16"/>
                <w:szCs w:val="16"/>
              </w:rPr>
              <w:t>26 Budget underlying</w:t>
            </w:r>
          </w:p>
        </w:tc>
        <w:tc>
          <w:tcPr>
            <w:tcW w:w="716" w:type="dxa"/>
            <w:tcBorders>
              <w:top w:val="nil"/>
              <w:left w:val="nil"/>
              <w:bottom w:val="nil"/>
              <w:right w:val="nil"/>
            </w:tcBorders>
            <w:shd w:val="clear" w:color="auto" w:fill="FFFFFF" w:themeFill="background1"/>
            <w:noWrap/>
            <w:vAlign w:val="bottom"/>
            <w:hideMark/>
          </w:tcPr>
          <w:p w14:paraId="63BBF519" w14:textId="77777777" w:rsidR="007C3540" w:rsidRPr="007C3540" w:rsidRDefault="007C3540" w:rsidP="007C3540">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3CB6A982"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4691A982"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5D20AC6D"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4983C762"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5F84E91F" w14:textId="77777777" w:rsidR="007C3540" w:rsidRPr="007C3540" w:rsidRDefault="007C3540" w:rsidP="007C3540">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08F02108" w14:textId="77777777" w:rsidR="007C3540" w:rsidRPr="007C3540" w:rsidRDefault="007C3540" w:rsidP="007C3540">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 </w:t>
            </w:r>
          </w:p>
        </w:tc>
      </w:tr>
      <w:tr w:rsidR="007C3540" w:rsidRPr="007C3540" w14:paraId="3FF3F524"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6D2721C5" w14:textId="77777777" w:rsidR="007C3540" w:rsidRPr="007C3540" w:rsidRDefault="007C3540" w:rsidP="007C3540">
            <w:pPr>
              <w:spacing w:before="0" w:after="0" w:line="240" w:lineRule="auto"/>
              <w:ind w:left="170"/>
              <w:rPr>
                <w:rFonts w:ascii="Arial" w:hAnsi="Arial" w:cs="Arial"/>
                <w:b/>
                <w:bCs/>
                <w:color w:val="000000"/>
                <w:sz w:val="16"/>
                <w:szCs w:val="16"/>
              </w:rPr>
            </w:pPr>
            <w:r w:rsidRPr="591FF694">
              <w:rPr>
                <w:rFonts w:ascii="Arial" w:hAnsi="Arial" w:cs="Arial"/>
                <w:b/>
                <w:color w:val="000000" w:themeColor="text1"/>
                <w:sz w:val="16"/>
                <w:szCs w:val="16"/>
              </w:rPr>
              <w:t>cash balance</w:t>
            </w:r>
          </w:p>
        </w:tc>
        <w:tc>
          <w:tcPr>
            <w:tcW w:w="716" w:type="dxa"/>
            <w:tcBorders>
              <w:top w:val="nil"/>
              <w:left w:val="nil"/>
              <w:bottom w:val="nil"/>
              <w:right w:val="nil"/>
            </w:tcBorders>
            <w:shd w:val="clear" w:color="auto" w:fill="FFFFFF" w:themeFill="background1"/>
            <w:noWrap/>
            <w:vAlign w:val="bottom"/>
            <w:hideMark/>
          </w:tcPr>
          <w:p w14:paraId="114767CC" w14:textId="4EAD880E" w:rsidR="007C3540" w:rsidRPr="007C3540" w:rsidRDefault="00404C26" w:rsidP="007C3540">
            <w:pPr>
              <w:spacing w:before="0" w:after="0" w:line="240" w:lineRule="auto"/>
              <w:jc w:val="right"/>
              <w:rPr>
                <w:rFonts w:ascii="Arial" w:hAnsi="Arial" w:cs="Arial"/>
                <w:b/>
                <w:bCs/>
                <w:color w:val="000000"/>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27,605</w:t>
            </w:r>
          </w:p>
        </w:tc>
        <w:tc>
          <w:tcPr>
            <w:tcW w:w="714" w:type="dxa"/>
            <w:tcBorders>
              <w:top w:val="nil"/>
              <w:left w:val="nil"/>
              <w:bottom w:val="nil"/>
              <w:right w:val="nil"/>
            </w:tcBorders>
            <w:shd w:val="clear" w:color="auto" w:fill="E6F2FF"/>
            <w:vAlign w:val="bottom"/>
          </w:tcPr>
          <w:p w14:paraId="7B65BFDE" w14:textId="01AE079E" w:rsidR="007C3540" w:rsidRDefault="00404C26" w:rsidP="007C3540">
            <w:pPr>
              <w:spacing w:before="0" w:after="0" w:line="240" w:lineRule="auto"/>
              <w:jc w:val="right"/>
              <w:rPr>
                <w:rFonts w:ascii="Arial" w:hAnsi="Arial" w:cs="Arial"/>
                <w:b/>
                <w:color w:val="000000" w:themeColor="text1"/>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42,122</w:t>
            </w:r>
          </w:p>
        </w:tc>
        <w:tc>
          <w:tcPr>
            <w:tcW w:w="715" w:type="dxa"/>
            <w:tcBorders>
              <w:top w:val="nil"/>
              <w:left w:val="nil"/>
              <w:bottom w:val="nil"/>
              <w:right w:val="nil"/>
            </w:tcBorders>
            <w:shd w:val="clear" w:color="auto" w:fill="FFFFFF" w:themeFill="background1"/>
            <w:vAlign w:val="bottom"/>
          </w:tcPr>
          <w:p w14:paraId="097EA1C9" w14:textId="659029BC" w:rsidR="007C3540" w:rsidRDefault="00404C26" w:rsidP="007C3540">
            <w:pPr>
              <w:spacing w:before="0" w:after="0" w:line="240" w:lineRule="auto"/>
              <w:jc w:val="right"/>
              <w:rPr>
                <w:rFonts w:ascii="Arial" w:hAnsi="Arial" w:cs="Arial"/>
                <w:b/>
                <w:color w:val="000000" w:themeColor="text1"/>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35,706</w:t>
            </w:r>
          </w:p>
        </w:tc>
        <w:tc>
          <w:tcPr>
            <w:tcW w:w="715" w:type="dxa"/>
            <w:tcBorders>
              <w:top w:val="nil"/>
              <w:left w:val="nil"/>
              <w:bottom w:val="nil"/>
              <w:right w:val="nil"/>
            </w:tcBorders>
            <w:shd w:val="clear" w:color="auto" w:fill="FFFFFF" w:themeFill="background1"/>
            <w:vAlign w:val="bottom"/>
          </w:tcPr>
          <w:p w14:paraId="5A11527E" w14:textId="5593D961" w:rsidR="007C3540" w:rsidRDefault="00404C26" w:rsidP="007C3540">
            <w:pPr>
              <w:spacing w:before="0" w:after="0" w:line="240" w:lineRule="auto"/>
              <w:jc w:val="right"/>
              <w:rPr>
                <w:rFonts w:ascii="Arial" w:hAnsi="Arial" w:cs="Arial"/>
                <w:b/>
                <w:color w:val="000000" w:themeColor="text1"/>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37,247</w:t>
            </w:r>
          </w:p>
        </w:tc>
        <w:tc>
          <w:tcPr>
            <w:tcW w:w="715" w:type="dxa"/>
            <w:tcBorders>
              <w:top w:val="nil"/>
              <w:left w:val="nil"/>
              <w:bottom w:val="nil"/>
              <w:right w:val="nil"/>
            </w:tcBorders>
            <w:shd w:val="clear" w:color="auto" w:fill="FFFFFF" w:themeFill="background1"/>
            <w:vAlign w:val="bottom"/>
          </w:tcPr>
          <w:p w14:paraId="659687A2" w14:textId="45F6324E" w:rsidR="007C3540" w:rsidRDefault="00404C26" w:rsidP="007C3540">
            <w:pPr>
              <w:spacing w:before="0" w:after="0" w:line="240" w:lineRule="auto"/>
              <w:jc w:val="right"/>
              <w:rPr>
                <w:rFonts w:ascii="Arial" w:hAnsi="Arial" w:cs="Arial"/>
                <w:b/>
                <w:color w:val="000000" w:themeColor="text1"/>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36,854</w:t>
            </w:r>
          </w:p>
        </w:tc>
        <w:tc>
          <w:tcPr>
            <w:tcW w:w="73" w:type="dxa"/>
            <w:tcBorders>
              <w:top w:val="nil"/>
              <w:left w:val="nil"/>
              <w:bottom w:val="nil"/>
              <w:right w:val="nil"/>
            </w:tcBorders>
            <w:shd w:val="clear" w:color="auto" w:fill="FFFFFF" w:themeFill="background1"/>
            <w:noWrap/>
            <w:vAlign w:val="bottom"/>
            <w:hideMark/>
          </w:tcPr>
          <w:p w14:paraId="5ADE4637" w14:textId="77777777" w:rsidR="007C3540" w:rsidRPr="007C3540" w:rsidRDefault="007C3540" w:rsidP="007C3540">
            <w:pPr>
              <w:spacing w:before="0" w:after="0" w:line="240" w:lineRule="auto"/>
              <w:rPr>
                <w:rFonts w:ascii="Arial" w:hAnsi="Arial" w:cs="Arial"/>
                <w:b/>
                <w:bCs/>
                <w:color w:val="000000"/>
                <w:sz w:val="16"/>
                <w:szCs w:val="16"/>
              </w:rPr>
            </w:pPr>
            <w:r w:rsidRPr="591FF694">
              <w:rPr>
                <w:rFonts w:ascii="Arial" w:hAnsi="Arial" w:cs="Arial"/>
                <w:b/>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1C388932" w14:textId="17C7C77A" w:rsidR="007C3540" w:rsidRPr="007C3540" w:rsidRDefault="00404C26" w:rsidP="007C3540">
            <w:pPr>
              <w:spacing w:before="0" w:after="0" w:line="240" w:lineRule="auto"/>
              <w:jc w:val="right"/>
              <w:rPr>
                <w:rFonts w:ascii="Arial" w:hAnsi="Arial" w:cs="Arial"/>
                <w:b/>
                <w:bCs/>
                <w:color w:val="000000"/>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179,534</w:t>
            </w:r>
          </w:p>
        </w:tc>
      </w:tr>
      <w:tr w:rsidR="007C3540" w:rsidRPr="007C3540" w14:paraId="75A47284"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0D1045D7" w14:textId="77777777" w:rsidR="007C3540" w:rsidRPr="007C3540" w:rsidRDefault="007C3540" w:rsidP="007C3540">
            <w:pPr>
              <w:spacing w:before="0" w:after="0" w:line="240" w:lineRule="auto"/>
              <w:rPr>
                <w:rFonts w:ascii="Arial" w:hAnsi="Arial" w:cs="Arial"/>
                <w:b/>
                <w:bCs/>
                <w:color w:val="000000"/>
                <w:sz w:val="16"/>
                <w:szCs w:val="16"/>
              </w:rPr>
            </w:pPr>
            <w:proofErr w:type="gramStart"/>
            <w:r w:rsidRPr="591FF694">
              <w:rPr>
                <w:rFonts w:ascii="Arial" w:hAnsi="Arial" w:cs="Arial"/>
                <w:b/>
                <w:i/>
                <w:color w:val="000000" w:themeColor="text1"/>
                <w:sz w:val="16"/>
                <w:szCs w:val="16"/>
              </w:rPr>
              <w:t>plus</w:t>
            </w:r>
            <w:proofErr w:type="gramEnd"/>
            <w:r w:rsidRPr="591FF694">
              <w:rPr>
                <w:rFonts w:ascii="Arial" w:hAnsi="Arial" w:cs="Arial"/>
                <w:b/>
                <w:color w:val="000000" w:themeColor="text1"/>
                <w:sz w:val="16"/>
                <w:szCs w:val="16"/>
              </w:rPr>
              <w:t xml:space="preserve"> Net cash flows from </w:t>
            </w:r>
          </w:p>
        </w:tc>
        <w:tc>
          <w:tcPr>
            <w:tcW w:w="716" w:type="dxa"/>
            <w:tcBorders>
              <w:top w:val="nil"/>
              <w:left w:val="nil"/>
              <w:bottom w:val="nil"/>
              <w:right w:val="nil"/>
            </w:tcBorders>
            <w:shd w:val="clear" w:color="auto" w:fill="FFFFFF" w:themeFill="background1"/>
            <w:noWrap/>
            <w:vAlign w:val="bottom"/>
            <w:hideMark/>
          </w:tcPr>
          <w:p w14:paraId="445401D4" w14:textId="77777777" w:rsidR="007C3540" w:rsidRPr="007C3540" w:rsidRDefault="007C3540" w:rsidP="007C3540">
            <w:pPr>
              <w:spacing w:before="0" w:after="0" w:line="240" w:lineRule="auto"/>
              <w:rPr>
                <w:rFonts w:ascii="Arial" w:hAnsi="Arial" w:cs="Arial"/>
                <w:b/>
                <w:bCs/>
                <w:color w:val="000000"/>
                <w:sz w:val="16"/>
                <w:szCs w:val="16"/>
              </w:rPr>
            </w:pPr>
            <w:r w:rsidRPr="591FF694">
              <w:rPr>
                <w:rFonts w:ascii="Arial" w:hAnsi="Arial" w:cs="Arial"/>
                <w:b/>
                <w:color w:val="000000" w:themeColor="text1"/>
                <w:sz w:val="16"/>
                <w:szCs w:val="16"/>
              </w:rPr>
              <w:t> </w:t>
            </w:r>
          </w:p>
        </w:tc>
        <w:tc>
          <w:tcPr>
            <w:tcW w:w="714" w:type="dxa"/>
            <w:tcBorders>
              <w:top w:val="nil"/>
              <w:left w:val="nil"/>
              <w:bottom w:val="nil"/>
              <w:right w:val="nil"/>
            </w:tcBorders>
            <w:shd w:val="clear" w:color="auto" w:fill="E6F2FF"/>
            <w:vAlign w:val="bottom"/>
          </w:tcPr>
          <w:p w14:paraId="65D6E8BF" w14:textId="77777777" w:rsidR="007C3540" w:rsidRDefault="007C3540" w:rsidP="007C3540">
            <w:pPr>
              <w:spacing w:before="0" w:after="0" w:line="240" w:lineRule="auto"/>
              <w:rPr>
                <w:rFonts w:ascii="Arial" w:hAnsi="Arial" w:cs="Arial"/>
                <w:b/>
                <w:color w:val="000000" w:themeColor="text1"/>
                <w:sz w:val="16"/>
                <w:szCs w:val="16"/>
              </w:rPr>
            </w:pPr>
            <w:r w:rsidRPr="591FF694">
              <w:rPr>
                <w:rFonts w:ascii="Arial" w:hAnsi="Arial" w:cs="Arial"/>
                <w:b/>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00ABD336" w14:textId="77777777" w:rsidR="007C3540" w:rsidRDefault="007C3540" w:rsidP="007C3540">
            <w:pPr>
              <w:spacing w:before="0" w:after="0" w:line="240" w:lineRule="auto"/>
              <w:rPr>
                <w:rFonts w:ascii="Arial" w:hAnsi="Arial" w:cs="Arial"/>
                <w:b/>
                <w:color w:val="000000" w:themeColor="text1"/>
                <w:sz w:val="16"/>
                <w:szCs w:val="16"/>
              </w:rPr>
            </w:pPr>
            <w:r w:rsidRPr="591FF694">
              <w:rPr>
                <w:rFonts w:ascii="Arial" w:hAnsi="Arial" w:cs="Arial"/>
                <w:b/>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5AD280B4" w14:textId="77777777" w:rsidR="007C3540" w:rsidRDefault="007C3540" w:rsidP="007C3540">
            <w:pPr>
              <w:spacing w:before="0" w:after="0" w:line="240" w:lineRule="auto"/>
              <w:rPr>
                <w:rFonts w:ascii="Arial" w:hAnsi="Arial" w:cs="Arial"/>
                <w:b/>
                <w:color w:val="000000" w:themeColor="text1"/>
                <w:sz w:val="16"/>
                <w:szCs w:val="16"/>
              </w:rPr>
            </w:pPr>
            <w:r w:rsidRPr="591FF694">
              <w:rPr>
                <w:rFonts w:ascii="Arial" w:hAnsi="Arial" w:cs="Arial"/>
                <w:b/>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58A05B2C" w14:textId="77777777" w:rsidR="007C3540" w:rsidRDefault="007C3540" w:rsidP="007C3540">
            <w:pPr>
              <w:spacing w:before="0" w:after="0" w:line="240" w:lineRule="auto"/>
              <w:rPr>
                <w:rFonts w:ascii="Arial" w:hAnsi="Arial" w:cs="Arial"/>
                <w:b/>
                <w:color w:val="000000" w:themeColor="text1"/>
                <w:sz w:val="16"/>
                <w:szCs w:val="16"/>
              </w:rPr>
            </w:pPr>
            <w:r w:rsidRPr="591FF694">
              <w:rPr>
                <w:rFonts w:ascii="Arial" w:hAnsi="Arial" w:cs="Arial"/>
                <w:b/>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1AD68DDD" w14:textId="77777777" w:rsidR="007C3540" w:rsidRPr="007C3540" w:rsidRDefault="007C3540" w:rsidP="007C3540">
            <w:pPr>
              <w:spacing w:before="0" w:after="0" w:line="240" w:lineRule="auto"/>
              <w:rPr>
                <w:rFonts w:ascii="Arial" w:hAnsi="Arial" w:cs="Arial"/>
                <w:b/>
                <w:bCs/>
                <w:color w:val="000000"/>
                <w:sz w:val="16"/>
                <w:szCs w:val="16"/>
              </w:rPr>
            </w:pPr>
            <w:r w:rsidRPr="591FF694">
              <w:rPr>
                <w:rFonts w:ascii="Arial" w:hAnsi="Arial" w:cs="Arial"/>
                <w:b/>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340D19D3" w14:textId="77777777" w:rsidR="007C3540" w:rsidRPr="007C3540" w:rsidRDefault="007C3540" w:rsidP="007C3540">
            <w:pPr>
              <w:spacing w:before="0" w:after="0" w:line="240" w:lineRule="auto"/>
              <w:rPr>
                <w:rFonts w:ascii="Arial" w:hAnsi="Arial" w:cs="Arial"/>
                <w:b/>
                <w:bCs/>
                <w:color w:val="000000"/>
                <w:sz w:val="16"/>
                <w:szCs w:val="16"/>
              </w:rPr>
            </w:pPr>
            <w:r w:rsidRPr="591FF694">
              <w:rPr>
                <w:rFonts w:ascii="Arial" w:hAnsi="Arial" w:cs="Arial"/>
                <w:b/>
                <w:color w:val="000000" w:themeColor="text1"/>
                <w:sz w:val="16"/>
                <w:szCs w:val="16"/>
              </w:rPr>
              <w:t> </w:t>
            </w:r>
          </w:p>
        </w:tc>
      </w:tr>
      <w:tr w:rsidR="007C3540" w:rsidRPr="007C3540" w14:paraId="2BB273CA"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40CA1B01" w14:textId="77777777" w:rsidR="007C3540" w:rsidRPr="007C3540" w:rsidRDefault="007C3540" w:rsidP="007C3540">
            <w:pPr>
              <w:spacing w:before="0" w:after="0" w:line="240" w:lineRule="auto"/>
              <w:ind w:left="170"/>
              <w:rPr>
                <w:rFonts w:ascii="Arial" w:hAnsi="Arial" w:cs="Arial"/>
                <w:b/>
                <w:bCs/>
                <w:color w:val="000000"/>
                <w:sz w:val="16"/>
                <w:szCs w:val="16"/>
              </w:rPr>
            </w:pPr>
            <w:r w:rsidRPr="591FF694">
              <w:rPr>
                <w:rFonts w:ascii="Arial" w:hAnsi="Arial" w:cs="Arial"/>
                <w:b/>
                <w:color w:val="000000" w:themeColor="text1"/>
                <w:sz w:val="16"/>
                <w:szCs w:val="16"/>
              </w:rPr>
              <w:t xml:space="preserve">investments in financial </w:t>
            </w:r>
          </w:p>
        </w:tc>
        <w:tc>
          <w:tcPr>
            <w:tcW w:w="716" w:type="dxa"/>
            <w:tcBorders>
              <w:top w:val="nil"/>
              <w:left w:val="nil"/>
              <w:bottom w:val="nil"/>
              <w:right w:val="nil"/>
            </w:tcBorders>
            <w:shd w:val="clear" w:color="auto" w:fill="FFFFFF" w:themeFill="background1"/>
            <w:noWrap/>
            <w:vAlign w:val="bottom"/>
            <w:hideMark/>
          </w:tcPr>
          <w:p w14:paraId="247AC251"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147D65CF"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29B77B82"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7F0A04BD"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3E64B0AF"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37DB0450"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684149A0"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r>
      <w:tr w:rsidR="007C3540" w:rsidRPr="007C3540" w14:paraId="14581FA3"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7810DF1A" w14:textId="77777777" w:rsidR="007C3540" w:rsidRPr="007C3540" w:rsidRDefault="007C3540" w:rsidP="007C3540">
            <w:pPr>
              <w:spacing w:before="0" w:after="0" w:line="240" w:lineRule="auto"/>
              <w:ind w:left="170"/>
              <w:rPr>
                <w:rFonts w:ascii="Arial" w:hAnsi="Arial" w:cs="Arial"/>
                <w:b/>
                <w:bCs/>
                <w:color w:val="000000"/>
                <w:sz w:val="16"/>
                <w:szCs w:val="16"/>
              </w:rPr>
            </w:pPr>
            <w:r w:rsidRPr="591FF694">
              <w:rPr>
                <w:rFonts w:ascii="Arial" w:hAnsi="Arial" w:cs="Arial"/>
                <w:b/>
                <w:color w:val="000000" w:themeColor="text1"/>
                <w:sz w:val="16"/>
                <w:szCs w:val="16"/>
              </w:rPr>
              <w:t>assets for policy purposes(a)</w:t>
            </w:r>
          </w:p>
        </w:tc>
        <w:tc>
          <w:tcPr>
            <w:tcW w:w="716" w:type="dxa"/>
            <w:tcBorders>
              <w:top w:val="nil"/>
              <w:left w:val="nil"/>
              <w:bottom w:val="nil"/>
              <w:right w:val="nil"/>
            </w:tcBorders>
            <w:shd w:val="clear" w:color="auto" w:fill="FFFFFF" w:themeFill="background1"/>
            <w:noWrap/>
            <w:vAlign w:val="bottom"/>
            <w:hideMark/>
          </w:tcPr>
          <w:p w14:paraId="3A4BD6AA"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0A771918"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160A5F53"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26F7B012"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072A6FDE"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02125C83"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1573BE4C"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r>
      <w:tr w:rsidR="007C3540" w:rsidRPr="007C3540" w14:paraId="5F745484"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13C27946"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Student loans</w:t>
            </w:r>
          </w:p>
        </w:tc>
        <w:tc>
          <w:tcPr>
            <w:tcW w:w="716" w:type="dxa"/>
            <w:tcBorders>
              <w:top w:val="nil"/>
              <w:left w:val="nil"/>
              <w:bottom w:val="nil"/>
              <w:right w:val="nil"/>
            </w:tcBorders>
            <w:shd w:val="clear" w:color="auto" w:fill="FFFFFF" w:themeFill="background1"/>
            <w:noWrap/>
            <w:vAlign w:val="bottom"/>
            <w:hideMark/>
          </w:tcPr>
          <w:p w14:paraId="26B329BB" w14:textId="34B94C26"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3,869</w:t>
            </w:r>
          </w:p>
        </w:tc>
        <w:tc>
          <w:tcPr>
            <w:tcW w:w="714" w:type="dxa"/>
            <w:tcBorders>
              <w:top w:val="nil"/>
              <w:left w:val="nil"/>
              <w:bottom w:val="nil"/>
              <w:right w:val="nil"/>
            </w:tcBorders>
            <w:shd w:val="clear" w:color="auto" w:fill="E6F2FF"/>
            <w:vAlign w:val="bottom"/>
          </w:tcPr>
          <w:p w14:paraId="4254A05C" w14:textId="168D2898"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4,881</w:t>
            </w:r>
          </w:p>
        </w:tc>
        <w:tc>
          <w:tcPr>
            <w:tcW w:w="715" w:type="dxa"/>
            <w:tcBorders>
              <w:top w:val="nil"/>
              <w:left w:val="nil"/>
              <w:bottom w:val="nil"/>
              <w:right w:val="nil"/>
            </w:tcBorders>
            <w:shd w:val="clear" w:color="auto" w:fill="FFFFFF" w:themeFill="background1"/>
            <w:vAlign w:val="bottom"/>
          </w:tcPr>
          <w:p w14:paraId="4398B074" w14:textId="7E0D5DA3"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5,334</w:t>
            </w:r>
          </w:p>
        </w:tc>
        <w:tc>
          <w:tcPr>
            <w:tcW w:w="715" w:type="dxa"/>
            <w:tcBorders>
              <w:top w:val="nil"/>
              <w:left w:val="nil"/>
              <w:bottom w:val="nil"/>
              <w:right w:val="nil"/>
            </w:tcBorders>
            <w:shd w:val="clear" w:color="auto" w:fill="FFFFFF" w:themeFill="background1"/>
            <w:vAlign w:val="bottom"/>
          </w:tcPr>
          <w:p w14:paraId="53B63379" w14:textId="3B8C80C4"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5,747</w:t>
            </w:r>
          </w:p>
        </w:tc>
        <w:tc>
          <w:tcPr>
            <w:tcW w:w="715" w:type="dxa"/>
            <w:tcBorders>
              <w:top w:val="nil"/>
              <w:left w:val="nil"/>
              <w:bottom w:val="nil"/>
              <w:right w:val="nil"/>
            </w:tcBorders>
            <w:shd w:val="clear" w:color="auto" w:fill="FFFFFF" w:themeFill="background1"/>
            <w:vAlign w:val="bottom"/>
          </w:tcPr>
          <w:p w14:paraId="0FE180ED" w14:textId="363374A1"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6,098</w:t>
            </w:r>
          </w:p>
        </w:tc>
        <w:tc>
          <w:tcPr>
            <w:tcW w:w="73" w:type="dxa"/>
            <w:tcBorders>
              <w:top w:val="nil"/>
              <w:left w:val="nil"/>
              <w:bottom w:val="nil"/>
              <w:right w:val="nil"/>
            </w:tcBorders>
            <w:shd w:val="clear" w:color="auto" w:fill="FFFFFF" w:themeFill="background1"/>
            <w:noWrap/>
            <w:vAlign w:val="bottom"/>
            <w:hideMark/>
          </w:tcPr>
          <w:p w14:paraId="591BC103"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18C883C8" w14:textId="0CB9A22A"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25,928</w:t>
            </w:r>
          </w:p>
        </w:tc>
      </w:tr>
      <w:tr w:rsidR="007C3540" w:rsidRPr="007C3540" w14:paraId="171D0BE9"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0CDB2306"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NBN investment</w:t>
            </w:r>
          </w:p>
        </w:tc>
        <w:tc>
          <w:tcPr>
            <w:tcW w:w="716" w:type="dxa"/>
            <w:tcBorders>
              <w:top w:val="nil"/>
              <w:left w:val="nil"/>
              <w:bottom w:val="nil"/>
              <w:right w:val="nil"/>
            </w:tcBorders>
            <w:shd w:val="clear" w:color="auto" w:fill="FFFFFF" w:themeFill="background1"/>
            <w:noWrap/>
            <w:vAlign w:val="bottom"/>
            <w:hideMark/>
          </w:tcPr>
          <w:p w14:paraId="4DDB5334" w14:textId="2B1D75F8"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1,473</w:t>
            </w:r>
          </w:p>
        </w:tc>
        <w:tc>
          <w:tcPr>
            <w:tcW w:w="714" w:type="dxa"/>
            <w:tcBorders>
              <w:top w:val="nil"/>
              <w:left w:val="nil"/>
              <w:bottom w:val="nil"/>
              <w:right w:val="nil"/>
            </w:tcBorders>
            <w:shd w:val="clear" w:color="auto" w:fill="E6F2FF"/>
            <w:vAlign w:val="bottom"/>
          </w:tcPr>
          <w:p w14:paraId="7213CA4E" w14:textId="4D3E5746"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1,050</w:t>
            </w:r>
          </w:p>
        </w:tc>
        <w:tc>
          <w:tcPr>
            <w:tcW w:w="715" w:type="dxa"/>
            <w:tcBorders>
              <w:top w:val="nil"/>
              <w:left w:val="nil"/>
              <w:bottom w:val="nil"/>
              <w:right w:val="nil"/>
            </w:tcBorders>
            <w:shd w:val="clear" w:color="auto" w:fill="FFFFFF" w:themeFill="background1"/>
            <w:vAlign w:val="bottom"/>
          </w:tcPr>
          <w:p w14:paraId="7C44F90F" w14:textId="7C8CAB0C"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186</w:t>
            </w:r>
          </w:p>
        </w:tc>
        <w:tc>
          <w:tcPr>
            <w:tcW w:w="715" w:type="dxa"/>
            <w:tcBorders>
              <w:top w:val="nil"/>
              <w:left w:val="nil"/>
              <w:bottom w:val="nil"/>
              <w:right w:val="nil"/>
            </w:tcBorders>
            <w:shd w:val="clear" w:color="auto" w:fill="FFFFFF" w:themeFill="background1"/>
            <w:vAlign w:val="bottom"/>
          </w:tcPr>
          <w:p w14:paraId="7D13B5D9"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0</w:t>
            </w:r>
          </w:p>
        </w:tc>
        <w:tc>
          <w:tcPr>
            <w:tcW w:w="715" w:type="dxa"/>
            <w:tcBorders>
              <w:top w:val="nil"/>
              <w:left w:val="nil"/>
              <w:bottom w:val="nil"/>
              <w:right w:val="nil"/>
            </w:tcBorders>
            <w:shd w:val="clear" w:color="auto" w:fill="FFFFFF" w:themeFill="background1"/>
            <w:vAlign w:val="bottom"/>
          </w:tcPr>
          <w:p w14:paraId="78343A58"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0</w:t>
            </w:r>
          </w:p>
        </w:tc>
        <w:tc>
          <w:tcPr>
            <w:tcW w:w="73" w:type="dxa"/>
            <w:tcBorders>
              <w:top w:val="nil"/>
              <w:left w:val="nil"/>
              <w:bottom w:val="nil"/>
              <w:right w:val="nil"/>
            </w:tcBorders>
            <w:shd w:val="clear" w:color="auto" w:fill="FFFFFF" w:themeFill="background1"/>
            <w:noWrap/>
            <w:vAlign w:val="bottom"/>
            <w:hideMark/>
          </w:tcPr>
          <w:p w14:paraId="06AF2D32"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096587F2" w14:textId="5C8FB8A4"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2,709</w:t>
            </w:r>
          </w:p>
        </w:tc>
      </w:tr>
      <w:tr w:rsidR="007C3540" w:rsidRPr="007C3540" w14:paraId="240D2FC1"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505E9793"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Snowy Hydro Limited loan</w:t>
            </w:r>
          </w:p>
        </w:tc>
        <w:tc>
          <w:tcPr>
            <w:tcW w:w="716" w:type="dxa"/>
            <w:tcBorders>
              <w:top w:val="nil"/>
              <w:left w:val="nil"/>
              <w:bottom w:val="nil"/>
              <w:right w:val="nil"/>
            </w:tcBorders>
            <w:shd w:val="clear" w:color="auto" w:fill="FFFFFF" w:themeFill="background1"/>
            <w:noWrap/>
            <w:vAlign w:val="bottom"/>
            <w:hideMark/>
          </w:tcPr>
          <w:p w14:paraId="57E9C981" w14:textId="1A80D2C6"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150</w:t>
            </w:r>
          </w:p>
        </w:tc>
        <w:tc>
          <w:tcPr>
            <w:tcW w:w="714" w:type="dxa"/>
            <w:tcBorders>
              <w:top w:val="nil"/>
              <w:left w:val="nil"/>
              <w:bottom w:val="nil"/>
              <w:right w:val="nil"/>
            </w:tcBorders>
            <w:shd w:val="clear" w:color="auto" w:fill="E6F2FF"/>
            <w:vAlign w:val="bottom"/>
          </w:tcPr>
          <w:p w14:paraId="3EE4314E" w14:textId="5ACFB7B4"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1,450</w:t>
            </w:r>
          </w:p>
        </w:tc>
        <w:tc>
          <w:tcPr>
            <w:tcW w:w="715" w:type="dxa"/>
            <w:tcBorders>
              <w:top w:val="nil"/>
              <w:left w:val="nil"/>
              <w:bottom w:val="nil"/>
              <w:right w:val="nil"/>
            </w:tcBorders>
            <w:shd w:val="clear" w:color="auto" w:fill="FFFFFF" w:themeFill="background1"/>
            <w:vAlign w:val="bottom"/>
          </w:tcPr>
          <w:p w14:paraId="53445633" w14:textId="13FC88FE"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1,450</w:t>
            </w:r>
          </w:p>
        </w:tc>
        <w:tc>
          <w:tcPr>
            <w:tcW w:w="715" w:type="dxa"/>
            <w:tcBorders>
              <w:top w:val="nil"/>
              <w:left w:val="nil"/>
              <w:bottom w:val="nil"/>
              <w:right w:val="nil"/>
            </w:tcBorders>
            <w:shd w:val="clear" w:color="auto" w:fill="FFFFFF" w:themeFill="background1"/>
            <w:vAlign w:val="bottom"/>
          </w:tcPr>
          <w:p w14:paraId="7FABCCB2" w14:textId="22CD4D4C"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1,450</w:t>
            </w:r>
          </w:p>
        </w:tc>
        <w:tc>
          <w:tcPr>
            <w:tcW w:w="715" w:type="dxa"/>
            <w:tcBorders>
              <w:top w:val="nil"/>
              <w:left w:val="nil"/>
              <w:bottom w:val="nil"/>
              <w:right w:val="nil"/>
            </w:tcBorders>
            <w:shd w:val="clear" w:color="auto" w:fill="FFFFFF" w:themeFill="background1"/>
            <w:vAlign w:val="bottom"/>
          </w:tcPr>
          <w:p w14:paraId="7CD8D7A0"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0</w:t>
            </w:r>
          </w:p>
        </w:tc>
        <w:tc>
          <w:tcPr>
            <w:tcW w:w="73" w:type="dxa"/>
            <w:tcBorders>
              <w:top w:val="nil"/>
              <w:left w:val="nil"/>
              <w:bottom w:val="nil"/>
              <w:right w:val="nil"/>
            </w:tcBorders>
            <w:shd w:val="clear" w:color="auto" w:fill="FFFFFF" w:themeFill="background1"/>
            <w:noWrap/>
            <w:vAlign w:val="bottom"/>
            <w:hideMark/>
          </w:tcPr>
          <w:p w14:paraId="25D504D8"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7827A5B6" w14:textId="6307B6D4"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4,500</w:t>
            </w:r>
          </w:p>
        </w:tc>
      </w:tr>
      <w:tr w:rsidR="007C3540" w:rsidRPr="007C3540" w14:paraId="4C73274B"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28EDC3AD"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Snowy Hydro Limited investment</w:t>
            </w:r>
          </w:p>
        </w:tc>
        <w:tc>
          <w:tcPr>
            <w:tcW w:w="716" w:type="dxa"/>
            <w:tcBorders>
              <w:top w:val="nil"/>
              <w:left w:val="nil"/>
              <w:bottom w:val="nil"/>
              <w:right w:val="nil"/>
            </w:tcBorders>
            <w:shd w:val="clear" w:color="auto" w:fill="FFFFFF" w:themeFill="background1"/>
            <w:noWrap/>
            <w:vAlign w:val="bottom"/>
            <w:hideMark/>
          </w:tcPr>
          <w:p w14:paraId="44787F0B" w14:textId="58CC9200"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1,625</w:t>
            </w:r>
          </w:p>
        </w:tc>
        <w:tc>
          <w:tcPr>
            <w:tcW w:w="714" w:type="dxa"/>
            <w:tcBorders>
              <w:top w:val="nil"/>
              <w:left w:val="nil"/>
              <w:bottom w:val="nil"/>
              <w:right w:val="nil"/>
            </w:tcBorders>
            <w:shd w:val="clear" w:color="auto" w:fill="E6F2FF"/>
            <w:vAlign w:val="bottom"/>
          </w:tcPr>
          <w:p w14:paraId="5DAE8F81" w14:textId="098CD1B5"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975</w:t>
            </w:r>
          </w:p>
        </w:tc>
        <w:tc>
          <w:tcPr>
            <w:tcW w:w="715" w:type="dxa"/>
            <w:tcBorders>
              <w:top w:val="nil"/>
              <w:left w:val="nil"/>
              <w:bottom w:val="nil"/>
              <w:right w:val="nil"/>
            </w:tcBorders>
            <w:shd w:val="clear" w:color="auto" w:fill="FFFFFF" w:themeFill="background1"/>
            <w:vAlign w:val="bottom"/>
          </w:tcPr>
          <w:p w14:paraId="0CC41EC9"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0</w:t>
            </w:r>
          </w:p>
        </w:tc>
        <w:tc>
          <w:tcPr>
            <w:tcW w:w="715" w:type="dxa"/>
            <w:tcBorders>
              <w:top w:val="nil"/>
              <w:left w:val="nil"/>
              <w:bottom w:val="nil"/>
              <w:right w:val="nil"/>
            </w:tcBorders>
            <w:shd w:val="clear" w:color="auto" w:fill="FFFFFF" w:themeFill="background1"/>
            <w:vAlign w:val="bottom"/>
          </w:tcPr>
          <w:p w14:paraId="5ADDAD1B"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0</w:t>
            </w:r>
          </w:p>
        </w:tc>
        <w:tc>
          <w:tcPr>
            <w:tcW w:w="715" w:type="dxa"/>
            <w:tcBorders>
              <w:top w:val="nil"/>
              <w:left w:val="nil"/>
              <w:bottom w:val="nil"/>
              <w:right w:val="nil"/>
            </w:tcBorders>
            <w:shd w:val="clear" w:color="auto" w:fill="FFFFFF" w:themeFill="background1"/>
            <w:vAlign w:val="bottom"/>
          </w:tcPr>
          <w:p w14:paraId="0546C578"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0</w:t>
            </w:r>
          </w:p>
        </w:tc>
        <w:tc>
          <w:tcPr>
            <w:tcW w:w="73" w:type="dxa"/>
            <w:tcBorders>
              <w:top w:val="nil"/>
              <w:left w:val="nil"/>
              <w:bottom w:val="nil"/>
              <w:right w:val="nil"/>
            </w:tcBorders>
            <w:shd w:val="clear" w:color="auto" w:fill="FFFFFF" w:themeFill="background1"/>
            <w:noWrap/>
            <w:vAlign w:val="bottom"/>
            <w:hideMark/>
          </w:tcPr>
          <w:p w14:paraId="07124C36"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64026F42" w14:textId="4615B09B"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2,600</w:t>
            </w:r>
          </w:p>
        </w:tc>
      </w:tr>
      <w:tr w:rsidR="007C3540" w:rsidRPr="007C3540" w14:paraId="33AD0182"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78B74CCC"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Australian apprenticeship</w:t>
            </w:r>
          </w:p>
        </w:tc>
        <w:tc>
          <w:tcPr>
            <w:tcW w:w="716" w:type="dxa"/>
            <w:tcBorders>
              <w:top w:val="nil"/>
              <w:left w:val="nil"/>
              <w:bottom w:val="nil"/>
              <w:right w:val="nil"/>
            </w:tcBorders>
            <w:shd w:val="clear" w:color="auto" w:fill="FFFFFF" w:themeFill="background1"/>
            <w:noWrap/>
            <w:vAlign w:val="bottom"/>
            <w:hideMark/>
          </w:tcPr>
          <w:p w14:paraId="2B0A252C"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3F40D496"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352862E6"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6966D450"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28EBFB33"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001089DB"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15853E20"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r>
      <w:tr w:rsidR="007C3540" w:rsidRPr="007C3540" w14:paraId="666798F9"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0F1F9BFC" w14:textId="77777777" w:rsidR="007C3540" w:rsidRPr="007C3540" w:rsidRDefault="007C3540" w:rsidP="007C3540">
            <w:pPr>
              <w:spacing w:before="0" w:after="0" w:line="240" w:lineRule="auto"/>
              <w:ind w:left="510"/>
              <w:rPr>
                <w:rFonts w:ascii="Arial" w:hAnsi="Arial" w:cs="Arial"/>
                <w:color w:val="000000"/>
                <w:sz w:val="16"/>
                <w:szCs w:val="16"/>
              </w:rPr>
            </w:pPr>
            <w:r w:rsidRPr="591FF694">
              <w:rPr>
                <w:rFonts w:ascii="Arial" w:hAnsi="Arial" w:cs="Arial"/>
                <w:color w:val="000000" w:themeColor="text1"/>
                <w:sz w:val="16"/>
                <w:szCs w:val="16"/>
              </w:rPr>
              <w:t xml:space="preserve"> support loans</w:t>
            </w:r>
          </w:p>
        </w:tc>
        <w:tc>
          <w:tcPr>
            <w:tcW w:w="716" w:type="dxa"/>
            <w:tcBorders>
              <w:top w:val="nil"/>
              <w:left w:val="nil"/>
              <w:bottom w:val="nil"/>
              <w:right w:val="nil"/>
            </w:tcBorders>
            <w:shd w:val="clear" w:color="auto" w:fill="FFFFFF" w:themeFill="background1"/>
            <w:noWrap/>
            <w:vAlign w:val="bottom"/>
            <w:hideMark/>
          </w:tcPr>
          <w:p w14:paraId="4AAFC5F3" w14:textId="2D5EE8FE"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114</w:t>
            </w:r>
          </w:p>
        </w:tc>
        <w:tc>
          <w:tcPr>
            <w:tcW w:w="714" w:type="dxa"/>
            <w:tcBorders>
              <w:top w:val="nil"/>
              <w:left w:val="nil"/>
              <w:bottom w:val="nil"/>
              <w:right w:val="nil"/>
            </w:tcBorders>
            <w:shd w:val="clear" w:color="auto" w:fill="E6F2FF"/>
            <w:vAlign w:val="bottom"/>
          </w:tcPr>
          <w:p w14:paraId="5449C5FB" w14:textId="53D9170D"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161</w:t>
            </w:r>
          </w:p>
        </w:tc>
        <w:tc>
          <w:tcPr>
            <w:tcW w:w="715" w:type="dxa"/>
            <w:tcBorders>
              <w:top w:val="nil"/>
              <w:left w:val="nil"/>
              <w:bottom w:val="nil"/>
              <w:right w:val="nil"/>
            </w:tcBorders>
            <w:shd w:val="clear" w:color="auto" w:fill="FFFFFF" w:themeFill="background1"/>
            <w:vAlign w:val="bottom"/>
          </w:tcPr>
          <w:p w14:paraId="2D3D0BB2" w14:textId="683DF9B4"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179</w:t>
            </w:r>
          </w:p>
        </w:tc>
        <w:tc>
          <w:tcPr>
            <w:tcW w:w="715" w:type="dxa"/>
            <w:tcBorders>
              <w:top w:val="nil"/>
              <w:left w:val="nil"/>
              <w:bottom w:val="nil"/>
              <w:right w:val="nil"/>
            </w:tcBorders>
            <w:shd w:val="clear" w:color="auto" w:fill="FFFFFF" w:themeFill="background1"/>
            <w:vAlign w:val="bottom"/>
          </w:tcPr>
          <w:p w14:paraId="19F67984" w14:textId="461CE5E9"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186</w:t>
            </w:r>
          </w:p>
        </w:tc>
        <w:tc>
          <w:tcPr>
            <w:tcW w:w="715" w:type="dxa"/>
            <w:tcBorders>
              <w:top w:val="nil"/>
              <w:left w:val="nil"/>
              <w:bottom w:val="nil"/>
              <w:right w:val="nil"/>
            </w:tcBorders>
            <w:shd w:val="clear" w:color="auto" w:fill="FFFFFF" w:themeFill="background1"/>
            <w:vAlign w:val="bottom"/>
          </w:tcPr>
          <w:p w14:paraId="1FA08C3B" w14:textId="4FF3607A"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193</w:t>
            </w:r>
          </w:p>
        </w:tc>
        <w:tc>
          <w:tcPr>
            <w:tcW w:w="73" w:type="dxa"/>
            <w:tcBorders>
              <w:top w:val="nil"/>
              <w:left w:val="nil"/>
              <w:bottom w:val="nil"/>
              <w:right w:val="nil"/>
            </w:tcBorders>
            <w:shd w:val="clear" w:color="auto" w:fill="FFFFFF" w:themeFill="background1"/>
            <w:noWrap/>
            <w:vAlign w:val="bottom"/>
            <w:hideMark/>
          </w:tcPr>
          <w:p w14:paraId="6D306DA7"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75EB7EAD" w14:textId="283C7261"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834</w:t>
            </w:r>
          </w:p>
        </w:tc>
      </w:tr>
      <w:tr w:rsidR="007C3540" w:rsidRPr="007C3540" w14:paraId="577F3E29"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2F64787A"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CEFC loans and investments</w:t>
            </w:r>
          </w:p>
        </w:tc>
        <w:tc>
          <w:tcPr>
            <w:tcW w:w="716" w:type="dxa"/>
            <w:tcBorders>
              <w:top w:val="nil"/>
              <w:left w:val="nil"/>
              <w:bottom w:val="nil"/>
              <w:right w:val="nil"/>
            </w:tcBorders>
            <w:shd w:val="clear" w:color="auto" w:fill="FFFFFF" w:themeFill="background1"/>
            <w:noWrap/>
            <w:vAlign w:val="bottom"/>
            <w:hideMark/>
          </w:tcPr>
          <w:p w14:paraId="3C6EA900" w14:textId="4768EB90"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3,106</w:t>
            </w:r>
          </w:p>
        </w:tc>
        <w:tc>
          <w:tcPr>
            <w:tcW w:w="714" w:type="dxa"/>
            <w:tcBorders>
              <w:top w:val="nil"/>
              <w:left w:val="nil"/>
              <w:bottom w:val="nil"/>
              <w:right w:val="nil"/>
            </w:tcBorders>
            <w:shd w:val="clear" w:color="auto" w:fill="E6F2FF"/>
            <w:vAlign w:val="bottom"/>
          </w:tcPr>
          <w:p w14:paraId="7C56462E" w14:textId="6E4F6845"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3,071</w:t>
            </w:r>
          </w:p>
        </w:tc>
        <w:tc>
          <w:tcPr>
            <w:tcW w:w="715" w:type="dxa"/>
            <w:tcBorders>
              <w:top w:val="nil"/>
              <w:left w:val="nil"/>
              <w:bottom w:val="nil"/>
              <w:right w:val="nil"/>
            </w:tcBorders>
            <w:shd w:val="clear" w:color="auto" w:fill="FFFFFF" w:themeFill="background1"/>
            <w:vAlign w:val="bottom"/>
          </w:tcPr>
          <w:p w14:paraId="14CF431B" w14:textId="3ABC8CEC"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4,784</w:t>
            </w:r>
          </w:p>
        </w:tc>
        <w:tc>
          <w:tcPr>
            <w:tcW w:w="715" w:type="dxa"/>
            <w:tcBorders>
              <w:top w:val="nil"/>
              <w:left w:val="nil"/>
              <w:bottom w:val="nil"/>
              <w:right w:val="nil"/>
            </w:tcBorders>
            <w:shd w:val="clear" w:color="auto" w:fill="FFFFFF" w:themeFill="background1"/>
            <w:vAlign w:val="bottom"/>
          </w:tcPr>
          <w:p w14:paraId="6E4E27F7" w14:textId="6753D5CD"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5,539</w:t>
            </w:r>
          </w:p>
        </w:tc>
        <w:tc>
          <w:tcPr>
            <w:tcW w:w="715" w:type="dxa"/>
            <w:tcBorders>
              <w:top w:val="nil"/>
              <w:left w:val="nil"/>
              <w:bottom w:val="nil"/>
              <w:right w:val="nil"/>
            </w:tcBorders>
            <w:shd w:val="clear" w:color="auto" w:fill="FFFFFF" w:themeFill="background1"/>
            <w:vAlign w:val="bottom"/>
          </w:tcPr>
          <w:p w14:paraId="476021AC" w14:textId="61E59325"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4,668</w:t>
            </w:r>
          </w:p>
        </w:tc>
        <w:tc>
          <w:tcPr>
            <w:tcW w:w="73" w:type="dxa"/>
            <w:tcBorders>
              <w:top w:val="nil"/>
              <w:left w:val="nil"/>
              <w:bottom w:val="nil"/>
              <w:right w:val="nil"/>
            </w:tcBorders>
            <w:shd w:val="clear" w:color="auto" w:fill="FFFFFF" w:themeFill="background1"/>
            <w:noWrap/>
            <w:vAlign w:val="bottom"/>
            <w:hideMark/>
          </w:tcPr>
          <w:p w14:paraId="4DF88F89"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53A7629F" w14:textId="385FC038"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21,168</w:t>
            </w:r>
          </w:p>
        </w:tc>
      </w:tr>
      <w:tr w:rsidR="007C3540" w:rsidRPr="007C3540" w14:paraId="530060BB"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478080E9"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 xml:space="preserve">Northern Australia </w:t>
            </w:r>
          </w:p>
        </w:tc>
        <w:tc>
          <w:tcPr>
            <w:tcW w:w="716" w:type="dxa"/>
            <w:tcBorders>
              <w:top w:val="nil"/>
              <w:left w:val="nil"/>
              <w:bottom w:val="nil"/>
              <w:right w:val="nil"/>
            </w:tcBorders>
            <w:shd w:val="clear" w:color="auto" w:fill="FFFFFF" w:themeFill="background1"/>
            <w:noWrap/>
            <w:vAlign w:val="bottom"/>
            <w:hideMark/>
          </w:tcPr>
          <w:p w14:paraId="27DE5891"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17F87810"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3222B8EF"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791D685C"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783992D2"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53C276CD"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665481B1"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r>
      <w:tr w:rsidR="007C3540" w:rsidRPr="007C3540" w14:paraId="61E9F512"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508BC252" w14:textId="77777777" w:rsidR="007C3540" w:rsidRPr="007C3540" w:rsidRDefault="007C3540" w:rsidP="007C3540">
            <w:pPr>
              <w:spacing w:before="0" w:after="0" w:line="240" w:lineRule="auto"/>
              <w:ind w:left="510"/>
              <w:rPr>
                <w:rFonts w:ascii="Arial" w:hAnsi="Arial" w:cs="Arial"/>
                <w:color w:val="000000"/>
                <w:sz w:val="16"/>
                <w:szCs w:val="16"/>
              </w:rPr>
            </w:pPr>
            <w:r w:rsidRPr="591FF694">
              <w:rPr>
                <w:rFonts w:ascii="Arial" w:hAnsi="Arial" w:cs="Arial"/>
                <w:color w:val="000000" w:themeColor="text1"/>
                <w:sz w:val="16"/>
                <w:szCs w:val="16"/>
              </w:rPr>
              <w:t xml:space="preserve">Infrastructure Facility </w:t>
            </w:r>
          </w:p>
        </w:tc>
        <w:tc>
          <w:tcPr>
            <w:tcW w:w="716" w:type="dxa"/>
            <w:tcBorders>
              <w:top w:val="nil"/>
              <w:left w:val="nil"/>
              <w:bottom w:val="nil"/>
              <w:right w:val="nil"/>
            </w:tcBorders>
            <w:shd w:val="clear" w:color="auto" w:fill="FFFFFF" w:themeFill="background1"/>
            <w:noWrap/>
            <w:vAlign w:val="bottom"/>
            <w:hideMark/>
          </w:tcPr>
          <w:p w14:paraId="1CAA9C35" w14:textId="4BC23032"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492</w:t>
            </w:r>
          </w:p>
        </w:tc>
        <w:tc>
          <w:tcPr>
            <w:tcW w:w="714" w:type="dxa"/>
            <w:tcBorders>
              <w:top w:val="nil"/>
              <w:left w:val="nil"/>
              <w:bottom w:val="nil"/>
              <w:right w:val="nil"/>
            </w:tcBorders>
            <w:shd w:val="clear" w:color="auto" w:fill="E6F2FF"/>
            <w:vAlign w:val="bottom"/>
          </w:tcPr>
          <w:p w14:paraId="58375D9E" w14:textId="2054556F"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959</w:t>
            </w:r>
          </w:p>
        </w:tc>
        <w:tc>
          <w:tcPr>
            <w:tcW w:w="715" w:type="dxa"/>
            <w:tcBorders>
              <w:top w:val="nil"/>
              <w:left w:val="nil"/>
              <w:bottom w:val="nil"/>
              <w:right w:val="nil"/>
            </w:tcBorders>
            <w:shd w:val="clear" w:color="auto" w:fill="FFFFFF" w:themeFill="background1"/>
            <w:vAlign w:val="bottom"/>
          </w:tcPr>
          <w:p w14:paraId="5F0F515C" w14:textId="60719C3F"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851</w:t>
            </w:r>
          </w:p>
        </w:tc>
        <w:tc>
          <w:tcPr>
            <w:tcW w:w="715" w:type="dxa"/>
            <w:tcBorders>
              <w:top w:val="nil"/>
              <w:left w:val="nil"/>
              <w:bottom w:val="nil"/>
              <w:right w:val="nil"/>
            </w:tcBorders>
            <w:shd w:val="clear" w:color="auto" w:fill="FFFFFF" w:themeFill="background1"/>
            <w:vAlign w:val="bottom"/>
          </w:tcPr>
          <w:p w14:paraId="69B123E4" w14:textId="3F384842"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540</w:t>
            </w:r>
          </w:p>
        </w:tc>
        <w:tc>
          <w:tcPr>
            <w:tcW w:w="715" w:type="dxa"/>
            <w:tcBorders>
              <w:top w:val="nil"/>
              <w:left w:val="nil"/>
              <w:bottom w:val="nil"/>
              <w:right w:val="nil"/>
            </w:tcBorders>
            <w:shd w:val="clear" w:color="auto" w:fill="FFFFFF" w:themeFill="background1"/>
            <w:vAlign w:val="bottom"/>
          </w:tcPr>
          <w:p w14:paraId="4BBACA21" w14:textId="3BE953A6"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295</w:t>
            </w:r>
          </w:p>
        </w:tc>
        <w:tc>
          <w:tcPr>
            <w:tcW w:w="73" w:type="dxa"/>
            <w:tcBorders>
              <w:top w:val="nil"/>
              <w:left w:val="nil"/>
              <w:bottom w:val="nil"/>
              <w:right w:val="nil"/>
            </w:tcBorders>
            <w:shd w:val="clear" w:color="auto" w:fill="FFFFFF" w:themeFill="background1"/>
            <w:noWrap/>
            <w:vAlign w:val="bottom"/>
            <w:hideMark/>
          </w:tcPr>
          <w:p w14:paraId="57E927D5"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26A9FA09" w14:textId="47CE3D4A"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3,138</w:t>
            </w:r>
          </w:p>
        </w:tc>
      </w:tr>
      <w:tr w:rsidR="007C3540" w:rsidRPr="007C3540" w14:paraId="2E2BCF5F"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676BB084"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NRFC loans and investments</w:t>
            </w:r>
          </w:p>
        </w:tc>
        <w:tc>
          <w:tcPr>
            <w:tcW w:w="716" w:type="dxa"/>
            <w:tcBorders>
              <w:top w:val="nil"/>
              <w:left w:val="nil"/>
              <w:bottom w:val="nil"/>
              <w:right w:val="nil"/>
            </w:tcBorders>
            <w:shd w:val="clear" w:color="auto" w:fill="FFFFFF" w:themeFill="background1"/>
            <w:noWrap/>
            <w:vAlign w:val="bottom"/>
            <w:hideMark/>
          </w:tcPr>
          <w:p w14:paraId="295FB742" w14:textId="28A25DA3"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1,299</w:t>
            </w:r>
          </w:p>
        </w:tc>
        <w:tc>
          <w:tcPr>
            <w:tcW w:w="714" w:type="dxa"/>
            <w:tcBorders>
              <w:top w:val="nil"/>
              <w:left w:val="nil"/>
              <w:bottom w:val="nil"/>
              <w:right w:val="nil"/>
            </w:tcBorders>
            <w:shd w:val="clear" w:color="auto" w:fill="E6F2FF"/>
            <w:vAlign w:val="bottom"/>
          </w:tcPr>
          <w:p w14:paraId="580629C1" w14:textId="25C9C2FB"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1,913</w:t>
            </w:r>
          </w:p>
        </w:tc>
        <w:tc>
          <w:tcPr>
            <w:tcW w:w="715" w:type="dxa"/>
            <w:tcBorders>
              <w:top w:val="nil"/>
              <w:left w:val="nil"/>
              <w:bottom w:val="nil"/>
              <w:right w:val="nil"/>
            </w:tcBorders>
            <w:shd w:val="clear" w:color="auto" w:fill="FFFFFF" w:themeFill="background1"/>
            <w:vAlign w:val="bottom"/>
          </w:tcPr>
          <w:p w14:paraId="7F7CB597" w14:textId="543AECAF"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2,338</w:t>
            </w:r>
          </w:p>
        </w:tc>
        <w:tc>
          <w:tcPr>
            <w:tcW w:w="715" w:type="dxa"/>
            <w:tcBorders>
              <w:top w:val="nil"/>
              <w:left w:val="nil"/>
              <w:bottom w:val="nil"/>
              <w:right w:val="nil"/>
            </w:tcBorders>
            <w:shd w:val="clear" w:color="auto" w:fill="FFFFFF" w:themeFill="background1"/>
            <w:vAlign w:val="bottom"/>
          </w:tcPr>
          <w:p w14:paraId="6E4F51F2" w14:textId="7C0D2243"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2,959</w:t>
            </w:r>
          </w:p>
        </w:tc>
        <w:tc>
          <w:tcPr>
            <w:tcW w:w="715" w:type="dxa"/>
            <w:tcBorders>
              <w:top w:val="nil"/>
              <w:left w:val="nil"/>
              <w:bottom w:val="nil"/>
              <w:right w:val="nil"/>
            </w:tcBorders>
            <w:shd w:val="clear" w:color="auto" w:fill="FFFFFF" w:themeFill="background1"/>
            <w:vAlign w:val="bottom"/>
          </w:tcPr>
          <w:p w14:paraId="7407A6EC" w14:textId="53DC0073"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3,467</w:t>
            </w:r>
          </w:p>
        </w:tc>
        <w:tc>
          <w:tcPr>
            <w:tcW w:w="73" w:type="dxa"/>
            <w:tcBorders>
              <w:top w:val="nil"/>
              <w:left w:val="nil"/>
              <w:bottom w:val="nil"/>
              <w:right w:val="nil"/>
            </w:tcBorders>
            <w:shd w:val="clear" w:color="auto" w:fill="FFFFFF" w:themeFill="background1"/>
            <w:noWrap/>
            <w:vAlign w:val="bottom"/>
            <w:hideMark/>
          </w:tcPr>
          <w:p w14:paraId="649BAF3B"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439E623E" w14:textId="31CC2A79"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11,975</w:t>
            </w:r>
          </w:p>
        </w:tc>
      </w:tr>
      <w:tr w:rsidR="007C3540" w:rsidRPr="007C3540" w14:paraId="084F802E"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61BF4A19"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Australian Business</w:t>
            </w:r>
          </w:p>
        </w:tc>
        <w:tc>
          <w:tcPr>
            <w:tcW w:w="716" w:type="dxa"/>
            <w:tcBorders>
              <w:top w:val="nil"/>
              <w:left w:val="nil"/>
              <w:bottom w:val="nil"/>
              <w:right w:val="nil"/>
            </w:tcBorders>
            <w:shd w:val="clear" w:color="auto" w:fill="FFFFFF" w:themeFill="background1"/>
            <w:noWrap/>
            <w:vAlign w:val="bottom"/>
            <w:hideMark/>
          </w:tcPr>
          <w:p w14:paraId="028A9214"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1912B972"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7E611C62"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6E8AE7DD"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61EE0AAF"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041CD017"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6067C723"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r>
      <w:tr w:rsidR="007C3540" w:rsidRPr="007C3540" w14:paraId="6CA81EC5"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6CF51EDA" w14:textId="77777777" w:rsidR="007C3540" w:rsidRPr="007C3540" w:rsidRDefault="007C3540" w:rsidP="007C3540">
            <w:pPr>
              <w:spacing w:before="0" w:after="0" w:line="240" w:lineRule="auto"/>
              <w:ind w:left="510"/>
              <w:rPr>
                <w:rFonts w:ascii="Arial" w:hAnsi="Arial" w:cs="Arial"/>
                <w:color w:val="000000"/>
                <w:sz w:val="16"/>
                <w:szCs w:val="16"/>
              </w:rPr>
            </w:pPr>
            <w:r w:rsidRPr="591FF694">
              <w:rPr>
                <w:rFonts w:ascii="Arial" w:hAnsi="Arial" w:cs="Arial"/>
                <w:color w:val="000000" w:themeColor="text1"/>
                <w:sz w:val="16"/>
                <w:szCs w:val="16"/>
              </w:rPr>
              <w:t>Securitisation Fund</w:t>
            </w:r>
          </w:p>
        </w:tc>
        <w:tc>
          <w:tcPr>
            <w:tcW w:w="716" w:type="dxa"/>
            <w:tcBorders>
              <w:top w:val="nil"/>
              <w:left w:val="nil"/>
              <w:bottom w:val="nil"/>
              <w:right w:val="nil"/>
            </w:tcBorders>
            <w:shd w:val="clear" w:color="auto" w:fill="FFFFFF" w:themeFill="background1"/>
            <w:noWrap/>
            <w:vAlign w:val="bottom"/>
            <w:hideMark/>
          </w:tcPr>
          <w:p w14:paraId="12AD8F9A" w14:textId="3945698C"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563</w:t>
            </w:r>
          </w:p>
        </w:tc>
        <w:tc>
          <w:tcPr>
            <w:tcW w:w="714" w:type="dxa"/>
            <w:tcBorders>
              <w:top w:val="nil"/>
              <w:left w:val="nil"/>
              <w:bottom w:val="nil"/>
              <w:right w:val="nil"/>
            </w:tcBorders>
            <w:shd w:val="clear" w:color="auto" w:fill="E6F2FF"/>
            <w:vAlign w:val="bottom"/>
          </w:tcPr>
          <w:p w14:paraId="276ACAE8" w14:textId="0AABB11F"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151</w:t>
            </w:r>
          </w:p>
        </w:tc>
        <w:tc>
          <w:tcPr>
            <w:tcW w:w="715" w:type="dxa"/>
            <w:tcBorders>
              <w:top w:val="nil"/>
              <w:left w:val="nil"/>
              <w:bottom w:val="nil"/>
              <w:right w:val="nil"/>
            </w:tcBorders>
            <w:shd w:val="clear" w:color="auto" w:fill="FFFFFF" w:themeFill="background1"/>
            <w:vAlign w:val="bottom"/>
          </w:tcPr>
          <w:p w14:paraId="46F6F674" w14:textId="35BECCCC"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101</w:t>
            </w:r>
          </w:p>
        </w:tc>
        <w:tc>
          <w:tcPr>
            <w:tcW w:w="715" w:type="dxa"/>
            <w:tcBorders>
              <w:top w:val="nil"/>
              <w:left w:val="nil"/>
              <w:bottom w:val="nil"/>
              <w:right w:val="nil"/>
            </w:tcBorders>
            <w:shd w:val="clear" w:color="auto" w:fill="FFFFFF" w:themeFill="background1"/>
            <w:vAlign w:val="bottom"/>
          </w:tcPr>
          <w:p w14:paraId="0B59A79F" w14:textId="2EADCDAD"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101</w:t>
            </w:r>
          </w:p>
        </w:tc>
        <w:tc>
          <w:tcPr>
            <w:tcW w:w="715" w:type="dxa"/>
            <w:tcBorders>
              <w:top w:val="nil"/>
              <w:left w:val="nil"/>
              <w:bottom w:val="nil"/>
              <w:right w:val="nil"/>
            </w:tcBorders>
            <w:shd w:val="clear" w:color="auto" w:fill="FFFFFF" w:themeFill="background1"/>
            <w:vAlign w:val="bottom"/>
          </w:tcPr>
          <w:p w14:paraId="09802C52" w14:textId="2103308C"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2</w:t>
            </w:r>
          </w:p>
        </w:tc>
        <w:tc>
          <w:tcPr>
            <w:tcW w:w="73" w:type="dxa"/>
            <w:tcBorders>
              <w:top w:val="nil"/>
              <w:left w:val="nil"/>
              <w:bottom w:val="nil"/>
              <w:right w:val="nil"/>
            </w:tcBorders>
            <w:shd w:val="clear" w:color="auto" w:fill="FFFFFF" w:themeFill="background1"/>
            <w:noWrap/>
            <w:vAlign w:val="bottom"/>
            <w:hideMark/>
          </w:tcPr>
          <w:p w14:paraId="15310A0D"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155B5A69" w14:textId="0D344E3E"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918</w:t>
            </w:r>
          </w:p>
        </w:tc>
      </w:tr>
      <w:tr w:rsidR="007C3540" w:rsidRPr="007C3540" w14:paraId="5442A49D"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08B1675A"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 xml:space="preserve">Structured Finance </w:t>
            </w:r>
          </w:p>
        </w:tc>
        <w:tc>
          <w:tcPr>
            <w:tcW w:w="716" w:type="dxa"/>
            <w:tcBorders>
              <w:top w:val="nil"/>
              <w:left w:val="nil"/>
              <w:bottom w:val="nil"/>
              <w:right w:val="nil"/>
            </w:tcBorders>
            <w:shd w:val="clear" w:color="auto" w:fill="FFFFFF" w:themeFill="background1"/>
            <w:noWrap/>
            <w:vAlign w:val="bottom"/>
            <w:hideMark/>
          </w:tcPr>
          <w:p w14:paraId="18D69DDF"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7C7333FF"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6A9EC27B"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6797EAD5"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4A18DAC6"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368DBF43"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76EF454D"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r>
      <w:tr w:rsidR="007C3540" w:rsidRPr="007C3540" w14:paraId="2F015B59"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1BB20ECD" w14:textId="77777777" w:rsidR="007C3540" w:rsidRPr="007C3540" w:rsidRDefault="007C3540" w:rsidP="007C3540">
            <w:pPr>
              <w:spacing w:before="0" w:after="0" w:line="240" w:lineRule="auto"/>
              <w:ind w:left="510"/>
              <w:rPr>
                <w:rFonts w:ascii="Arial" w:hAnsi="Arial" w:cs="Arial"/>
                <w:color w:val="000000"/>
                <w:sz w:val="16"/>
                <w:szCs w:val="16"/>
              </w:rPr>
            </w:pPr>
            <w:r w:rsidRPr="591FF694">
              <w:rPr>
                <w:rFonts w:ascii="Arial" w:hAnsi="Arial" w:cs="Arial"/>
                <w:color w:val="000000" w:themeColor="text1"/>
                <w:sz w:val="16"/>
                <w:szCs w:val="16"/>
              </w:rPr>
              <w:t>Support Fund</w:t>
            </w:r>
          </w:p>
        </w:tc>
        <w:tc>
          <w:tcPr>
            <w:tcW w:w="716" w:type="dxa"/>
            <w:tcBorders>
              <w:top w:val="nil"/>
              <w:left w:val="nil"/>
              <w:bottom w:val="nil"/>
              <w:right w:val="nil"/>
            </w:tcBorders>
            <w:shd w:val="clear" w:color="auto" w:fill="FFFFFF" w:themeFill="background1"/>
            <w:noWrap/>
            <w:vAlign w:val="bottom"/>
            <w:hideMark/>
          </w:tcPr>
          <w:p w14:paraId="18EE9A4E" w14:textId="77777777" w:rsidR="007C3540" w:rsidRPr="007C3540" w:rsidRDefault="007C3540" w:rsidP="007C3540">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153</w:t>
            </w:r>
          </w:p>
        </w:tc>
        <w:tc>
          <w:tcPr>
            <w:tcW w:w="714" w:type="dxa"/>
            <w:tcBorders>
              <w:top w:val="nil"/>
              <w:left w:val="nil"/>
              <w:bottom w:val="nil"/>
              <w:right w:val="nil"/>
            </w:tcBorders>
            <w:shd w:val="clear" w:color="auto" w:fill="E6F2FF"/>
            <w:vAlign w:val="bottom"/>
          </w:tcPr>
          <w:p w14:paraId="14A24EEC"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0</w:t>
            </w:r>
          </w:p>
        </w:tc>
        <w:tc>
          <w:tcPr>
            <w:tcW w:w="715" w:type="dxa"/>
            <w:tcBorders>
              <w:top w:val="nil"/>
              <w:left w:val="nil"/>
              <w:bottom w:val="nil"/>
              <w:right w:val="nil"/>
            </w:tcBorders>
            <w:shd w:val="clear" w:color="auto" w:fill="FFFFFF" w:themeFill="background1"/>
            <w:vAlign w:val="bottom"/>
          </w:tcPr>
          <w:p w14:paraId="31BA6A22"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0</w:t>
            </w:r>
          </w:p>
        </w:tc>
        <w:tc>
          <w:tcPr>
            <w:tcW w:w="715" w:type="dxa"/>
            <w:tcBorders>
              <w:top w:val="nil"/>
              <w:left w:val="nil"/>
              <w:bottom w:val="nil"/>
              <w:right w:val="nil"/>
            </w:tcBorders>
            <w:shd w:val="clear" w:color="auto" w:fill="FFFFFF" w:themeFill="background1"/>
            <w:vAlign w:val="bottom"/>
          </w:tcPr>
          <w:p w14:paraId="57866F3F"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0</w:t>
            </w:r>
          </w:p>
        </w:tc>
        <w:tc>
          <w:tcPr>
            <w:tcW w:w="715" w:type="dxa"/>
            <w:tcBorders>
              <w:top w:val="nil"/>
              <w:left w:val="nil"/>
              <w:bottom w:val="nil"/>
              <w:right w:val="nil"/>
            </w:tcBorders>
            <w:shd w:val="clear" w:color="auto" w:fill="FFFFFF" w:themeFill="background1"/>
            <w:vAlign w:val="bottom"/>
          </w:tcPr>
          <w:p w14:paraId="5B669602"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0</w:t>
            </w:r>
          </w:p>
        </w:tc>
        <w:tc>
          <w:tcPr>
            <w:tcW w:w="73" w:type="dxa"/>
            <w:tcBorders>
              <w:top w:val="nil"/>
              <w:left w:val="nil"/>
              <w:bottom w:val="nil"/>
              <w:right w:val="nil"/>
            </w:tcBorders>
            <w:shd w:val="clear" w:color="auto" w:fill="FFFFFF" w:themeFill="background1"/>
            <w:noWrap/>
            <w:vAlign w:val="bottom"/>
            <w:hideMark/>
          </w:tcPr>
          <w:p w14:paraId="0995A791"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4D4A1B2D" w14:textId="77777777" w:rsidR="007C3540" w:rsidRPr="007C3540" w:rsidRDefault="007C3540" w:rsidP="007C3540">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153</w:t>
            </w:r>
          </w:p>
        </w:tc>
      </w:tr>
      <w:tr w:rsidR="007C3540" w:rsidRPr="007C3540" w14:paraId="587A03FF"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621A428B"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Drought and rural assistance</w:t>
            </w:r>
          </w:p>
        </w:tc>
        <w:tc>
          <w:tcPr>
            <w:tcW w:w="716" w:type="dxa"/>
            <w:tcBorders>
              <w:top w:val="nil"/>
              <w:left w:val="nil"/>
              <w:bottom w:val="nil"/>
              <w:right w:val="nil"/>
            </w:tcBorders>
            <w:shd w:val="clear" w:color="auto" w:fill="FFFFFF" w:themeFill="background1"/>
            <w:noWrap/>
            <w:vAlign w:val="bottom"/>
            <w:hideMark/>
          </w:tcPr>
          <w:p w14:paraId="2477A6D7"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1D483F81"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77B8F095"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0CF2713A"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4BEE8387"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1838BA7F"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5357558E"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r>
      <w:tr w:rsidR="007C3540" w:rsidRPr="007C3540" w14:paraId="759901E1"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5BF83E8D" w14:textId="77777777" w:rsidR="007C3540" w:rsidRPr="007C3540" w:rsidRDefault="007C3540" w:rsidP="007C3540">
            <w:pPr>
              <w:spacing w:before="0" w:after="0" w:line="240" w:lineRule="auto"/>
              <w:ind w:left="510"/>
              <w:rPr>
                <w:rFonts w:ascii="Arial" w:hAnsi="Arial" w:cs="Arial"/>
                <w:color w:val="000000"/>
                <w:sz w:val="16"/>
                <w:szCs w:val="16"/>
              </w:rPr>
            </w:pPr>
            <w:r w:rsidRPr="591FF694">
              <w:rPr>
                <w:rFonts w:ascii="Arial" w:hAnsi="Arial" w:cs="Arial"/>
                <w:color w:val="000000" w:themeColor="text1"/>
                <w:sz w:val="16"/>
                <w:szCs w:val="16"/>
              </w:rPr>
              <w:t>loans</w:t>
            </w:r>
          </w:p>
        </w:tc>
        <w:tc>
          <w:tcPr>
            <w:tcW w:w="716" w:type="dxa"/>
            <w:tcBorders>
              <w:top w:val="nil"/>
              <w:left w:val="nil"/>
              <w:bottom w:val="nil"/>
              <w:right w:val="nil"/>
            </w:tcBorders>
            <w:shd w:val="clear" w:color="auto" w:fill="FFFFFF" w:themeFill="background1"/>
            <w:noWrap/>
            <w:vAlign w:val="bottom"/>
            <w:hideMark/>
          </w:tcPr>
          <w:p w14:paraId="5D849D29" w14:textId="660BB726"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334</w:t>
            </w:r>
          </w:p>
        </w:tc>
        <w:tc>
          <w:tcPr>
            <w:tcW w:w="714" w:type="dxa"/>
            <w:tcBorders>
              <w:top w:val="nil"/>
              <w:left w:val="nil"/>
              <w:bottom w:val="nil"/>
              <w:right w:val="nil"/>
            </w:tcBorders>
            <w:shd w:val="clear" w:color="auto" w:fill="E6F2FF"/>
            <w:vAlign w:val="bottom"/>
          </w:tcPr>
          <w:p w14:paraId="438E03FD" w14:textId="037ACF75"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281</w:t>
            </w:r>
          </w:p>
        </w:tc>
        <w:tc>
          <w:tcPr>
            <w:tcW w:w="715" w:type="dxa"/>
            <w:tcBorders>
              <w:top w:val="nil"/>
              <w:left w:val="nil"/>
              <w:bottom w:val="nil"/>
              <w:right w:val="nil"/>
            </w:tcBorders>
            <w:shd w:val="clear" w:color="auto" w:fill="FFFFFF" w:themeFill="background1"/>
            <w:vAlign w:val="bottom"/>
          </w:tcPr>
          <w:p w14:paraId="3A3BCF70"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147</w:t>
            </w:r>
          </w:p>
        </w:tc>
        <w:tc>
          <w:tcPr>
            <w:tcW w:w="715" w:type="dxa"/>
            <w:tcBorders>
              <w:top w:val="nil"/>
              <w:left w:val="nil"/>
              <w:bottom w:val="nil"/>
              <w:right w:val="nil"/>
            </w:tcBorders>
            <w:shd w:val="clear" w:color="auto" w:fill="FFFFFF" w:themeFill="background1"/>
            <w:vAlign w:val="bottom"/>
          </w:tcPr>
          <w:p w14:paraId="2391BCF4"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163</w:t>
            </w:r>
          </w:p>
        </w:tc>
        <w:tc>
          <w:tcPr>
            <w:tcW w:w="715" w:type="dxa"/>
            <w:tcBorders>
              <w:top w:val="nil"/>
              <w:left w:val="nil"/>
              <w:bottom w:val="nil"/>
              <w:right w:val="nil"/>
            </w:tcBorders>
            <w:shd w:val="clear" w:color="auto" w:fill="FFFFFF" w:themeFill="background1"/>
            <w:vAlign w:val="bottom"/>
          </w:tcPr>
          <w:p w14:paraId="290A9823"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60</w:t>
            </w:r>
          </w:p>
        </w:tc>
        <w:tc>
          <w:tcPr>
            <w:tcW w:w="73" w:type="dxa"/>
            <w:tcBorders>
              <w:top w:val="nil"/>
              <w:left w:val="nil"/>
              <w:bottom w:val="nil"/>
              <w:right w:val="nil"/>
            </w:tcBorders>
            <w:shd w:val="clear" w:color="auto" w:fill="FFFFFF" w:themeFill="background1"/>
            <w:noWrap/>
            <w:vAlign w:val="bottom"/>
            <w:hideMark/>
          </w:tcPr>
          <w:p w14:paraId="167B32BC"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0F561CBC" w14:textId="490166ED"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244</w:t>
            </w:r>
          </w:p>
        </w:tc>
      </w:tr>
      <w:tr w:rsidR="007C3540" w:rsidRPr="007C3540" w14:paraId="150FECA2"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09EA0DAD"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Official Development Assistance</w:t>
            </w:r>
          </w:p>
        </w:tc>
        <w:tc>
          <w:tcPr>
            <w:tcW w:w="716" w:type="dxa"/>
            <w:tcBorders>
              <w:top w:val="nil"/>
              <w:left w:val="nil"/>
              <w:bottom w:val="nil"/>
              <w:right w:val="nil"/>
            </w:tcBorders>
            <w:shd w:val="clear" w:color="auto" w:fill="FFFFFF" w:themeFill="background1"/>
            <w:noWrap/>
            <w:vAlign w:val="bottom"/>
            <w:hideMark/>
          </w:tcPr>
          <w:p w14:paraId="731B5FEA"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7C3B8B71"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13615C93"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192923E2"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5A525C95"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24B6A4E9"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0DE13DE3"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r>
      <w:tr w:rsidR="007C3540" w:rsidRPr="007C3540" w14:paraId="4D127CEC"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1EF5BB0D" w14:textId="1C487B43" w:rsidR="007C3540" w:rsidRPr="007C3540" w:rsidRDefault="00404C26" w:rsidP="007C3540">
            <w:pPr>
              <w:spacing w:before="0" w:after="0" w:line="240" w:lineRule="auto"/>
              <w:ind w:left="510"/>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 xml:space="preserve"> Australian Development Investments</w:t>
            </w:r>
          </w:p>
        </w:tc>
        <w:tc>
          <w:tcPr>
            <w:tcW w:w="716" w:type="dxa"/>
            <w:tcBorders>
              <w:top w:val="nil"/>
              <w:left w:val="nil"/>
              <w:bottom w:val="nil"/>
              <w:right w:val="nil"/>
            </w:tcBorders>
            <w:shd w:val="clear" w:color="auto" w:fill="FFFFFF" w:themeFill="background1"/>
            <w:noWrap/>
            <w:vAlign w:val="bottom"/>
            <w:hideMark/>
          </w:tcPr>
          <w:p w14:paraId="54159E0A" w14:textId="4FC9D8DF"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102</w:t>
            </w:r>
          </w:p>
        </w:tc>
        <w:tc>
          <w:tcPr>
            <w:tcW w:w="714" w:type="dxa"/>
            <w:tcBorders>
              <w:top w:val="nil"/>
              <w:left w:val="nil"/>
              <w:bottom w:val="nil"/>
              <w:right w:val="nil"/>
            </w:tcBorders>
            <w:shd w:val="clear" w:color="auto" w:fill="E6F2FF"/>
            <w:vAlign w:val="bottom"/>
          </w:tcPr>
          <w:p w14:paraId="5C5CC7F0" w14:textId="2D56EE3A"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37</w:t>
            </w:r>
          </w:p>
        </w:tc>
        <w:tc>
          <w:tcPr>
            <w:tcW w:w="715" w:type="dxa"/>
            <w:tcBorders>
              <w:top w:val="nil"/>
              <w:left w:val="nil"/>
              <w:bottom w:val="nil"/>
              <w:right w:val="nil"/>
            </w:tcBorders>
            <w:shd w:val="clear" w:color="auto" w:fill="FFFFFF" w:themeFill="background1"/>
            <w:vAlign w:val="bottom"/>
          </w:tcPr>
          <w:p w14:paraId="6E6F2803" w14:textId="7CA6C5A0"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8</w:t>
            </w:r>
          </w:p>
        </w:tc>
        <w:tc>
          <w:tcPr>
            <w:tcW w:w="715" w:type="dxa"/>
            <w:tcBorders>
              <w:top w:val="nil"/>
              <w:left w:val="nil"/>
              <w:bottom w:val="nil"/>
              <w:right w:val="nil"/>
            </w:tcBorders>
            <w:shd w:val="clear" w:color="auto" w:fill="FFFFFF" w:themeFill="background1"/>
            <w:vAlign w:val="bottom"/>
          </w:tcPr>
          <w:p w14:paraId="395EF586"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0</w:t>
            </w:r>
          </w:p>
        </w:tc>
        <w:tc>
          <w:tcPr>
            <w:tcW w:w="715" w:type="dxa"/>
            <w:tcBorders>
              <w:top w:val="nil"/>
              <w:left w:val="nil"/>
              <w:bottom w:val="nil"/>
              <w:right w:val="nil"/>
            </w:tcBorders>
            <w:shd w:val="clear" w:color="auto" w:fill="FFFFFF" w:themeFill="background1"/>
            <w:vAlign w:val="bottom"/>
          </w:tcPr>
          <w:p w14:paraId="0AFDE808"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0</w:t>
            </w:r>
          </w:p>
        </w:tc>
        <w:tc>
          <w:tcPr>
            <w:tcW w:w="73" w:type="dxa"/>
            <w:tcBorders>
              <w:top w:val="nil"/>
              <w:left w:val="nil"/>
              <w:bottom w:val="nil"/>
              <w:right w:val="nil"/>
            </w:tcBorders>
            <w:shd w:val="clear" w:color="auto" w:fill="FFFFFF" w:themeFill="background1"/>
            <w:noWrap/>
            <w:vAlign w:val="bottom"/>
            <w:hideMark/>
          </w:tcPr>
          <w:p w14:paraId="49BB1FEC"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2AC4703C" w14:textId="6C73795E"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146</w:t>
            </w:r>
          </w:p>
        </w:tc>
      </w:tr>
      <w:tr w:rsidR="007C3540" w:rsidRPr="007C3540" w14:paraId="7EB9F30F" w14:textId="77777777" w:rsidTr="591FF694">
        <w:trPr>
          <w:trHeight w:hRule="exact" w:val="220"/>
        </w:trPr>
        <w:tc>
          <w:tcPr>
            <w:tcW w:w="3336" w:type="dxa"/>
            <w:tcBorders>
              <w:top w:val="nil"/>
              <w:left w:val="nil"/>
              <w:bottom w:val="nil"/>
              <w:right w:val="nil"/>
            </w:tcBorders>
            <w:shd w:val="clear" w:color="auto" w:fill="FFFFFF" w:themeFill="background1"/>
            <w:noWrap/>
            <w:vAlign w:val="bottom"/>
            <w:hideMark/>
          </w:tcPr>
          <w:p w14:paraId="594F3C61"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Official Development Assistance</w:t>
            </w:r>
          </w:p>
        </w:tc>
        <w:tc>
          <w:tcPr>
            <w:tcW w:w="716" w:type="dxa"/>
            <w:tcBorders>
              <w:top w:val="nil"/>
              <w:left w:val="nil"/>
              <w:bottom w:val="nil"/>
              <w:right w:val="nil"/>
            </w:tcBorders>
            <w:shd w:val="clear" w:color="auto" w:fill="FFFFFF" w:themeFill="background1"/>
            <w:noWrap/>
            <w:vAlign w:val="bottom"/>
            <w:hideMark/>
          </w:tcPr>
          <w:p w14:paraId="4FCC3C7D"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69396CC9"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5B0F5201"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75C9DB48"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5BEE6113"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630F02EC"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51EFFC96"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r>
      <w:tr w:rsidR="007C3540" w:rsidRPr="007C3540" w14:paraId="2F666EED"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3EAE8E38" w14:textId="22A821E5" w:rsidR="007C3540" w:rsidRPr="007C3540" w:rsidRDefault="00404C26" w:rsidP="007C3540">
            <w:pPr>
              <w:spacing w:before="0" w:after="0" w:line="240" w:lineRule="auto"/>
              <w:ind w:left="510"/>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 xml:space="preserve"> Multilateral Replenishment</w:t>
            </w:r>
          </w:p>
        </w:tc>
        <w:tc>
          <w:tcPr>
            <w:tcW w:w="716" w:type="dxa"/>
            <w:tcBorders>
              <w:top w:val="nil"/>
              <w:left w:val="nil"/>
              <w:bottom w:val="nil"/>
              <w:right w:val="nil"/>
            </w:tcBorders>
            <w:shd w:val="clear" w:color="auto" w:fill="FFFFFF" w:themeFill="background1"/>
            <w:noWrap/>
            <w:vAlign w:val="bottom"/>
            <w:hideMark/>
          </w:tcPr>
          <w:p w14:paraId="4992D947" w14:textId="701FB604"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142</w:t>
            </w:r>
          </w:p>
        </w:tc>
        <w:tc>
          <w:tcPr>
            <w:tcW w:w="714" w:type="dxa"/>
            <w:tcBorders>
              <w:top w:val="nil"/>
              <w:left w:val="nil"/>
              <w:bottom w:val="nil"/>
              <w:right w:val="nil"/>
            </w:tcBorders>
            <w:shd w:val="clear" w:color="auto" w:fill="E6F2FF"/>
            <w:vAlign w:val="bottom"/>
          </w:tcPr>
          <w:p w14:paraId="21A657F4" w14:textId="2F1664F5"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195</w:t>
            </w:r>
          </w:p>
        </w:tc>
        <w:tc>
          <w:tcPr>
            <w:tcW w:w="715" w:type="dxa"/>
            <w:tcBorders>
              <w:top w:val="nil"/>
              <w:left w:val="nil"/>
              <w:bottom w:val="nil"/>
              <w:right w:val="nil"/>
            </w:tcBorders>
            <w:shd w:val="clear" w:color="auto" w:fill="FFFFFF" w:themeFill="background1"/>
            <w:vAlign w:val="bottom"/>
          </w:tcPr>
          <w:p w14:paraId="0588F958" w14:textId="7022D03D"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170</w:t>
            </w:r>
          </w:p>
        </w:tc>
        <w:tc>
          <w:tcPr>
            <w:tcW w:w="715" w:type="dxa"/>
            <w:tcBorders>
              <w:top w:val="nil"/>
              <w:left w:val="nil"/>
              <w:bottom w:val="nil"/>
              <w:right w:val="nil"/>
            </w:tcBorders>
            <w:shd w:val="clear" w:color="auto" w:fill="FFFFFF" w:themeFill="background1"/>
            <w:vAlign w:val="bottom"/>
          </w:tcPr>
          <w:p w14:paraId="72D2664E" w14:textId="28329EAD"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186</w:t>
            </w:r>
          </w:p>
        </w:tc>
        <w:tc>
          <w:tcPr>
            <w:tcW w:w="715" w:type="dxa"/>
            <w:tcBorders>
              <w:top w:val="nil"/>
              <w:left w:val="nil"/>
              <w:bottom w:val="nil"/>
              <w:right w:val="nil"/>
            </w:tcBorders>
            <w:shd w:val="clear" w:color="auto" w:fill="FFFFFF" w:themeFill="background1"/>
            <w:vAlign w:val="bottom"/>
          </w:tcPr>
          <w:p w14:paraId="0CABA72A" w14:textId="09A668E2"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176</w:t>
            </w:r>
          </w:p>
        </w:tc>
        <w:tc>
          <w:tcPr>
            <w:tcW w:w="73" w:type="dxa"/>
            <w:tcBorders>
              <w:top w:val="nil"/>
              <w:left w:val="nil"/>
              <w:bottom w:val="nil"/>
              <w:right w:val="nil"/>
            </w:tcBorders>
            <w:shd w:val="clear" w:color="auto" w:fill="FFFFFF" w:themeFill="background1"/>
            <w:noWrap/>
            <w:vAlign w:val="bottom"/>
            <w:hideMark/>
          </w:tcPr>
          <w:p w14:paraId="3038AE3B"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0980DB36" w14:textId="6CB840C7"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869</w:t>
            </w:r>
          </w:p>
        </w:tc>
      </w:tr>
      <w:tr w:rsidR="007C3540" w:rsidRPr="007C3540" w14:paraId="524E9E8F"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07BA3871"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Home Equity Access Scheme</w:t>
            </w:r>
          </w:p>
        </w:tc>
        <w:tc>
          <w:tcPr>
            <w:tcW w:w="716" w:type="dxa"/>
            <w:tcBorders>
              <w:top w:val="nil"/>
              <w:left w:val="nil"/>
              <w:bottom w:val="nil"/>
              <w:right w:val="nil"/>
            </w:tcBorders>
            <w:shd w:val="clear" w:color="auto" w:fill="FFFFFF" w:themeFill="background1"/>
            <w:noWrap/>
            <w:vAlign w:val="bottom"/>
            <w:hideMark/>
          </w:tcPr>
          <w:p w14:paraId="0E13FF53" w14:textId="76D03A62"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179</w:t>
            </w:r>
          </w:p>
        </w:tc>
        <w:tc>
          <w:tcPr>
            <w:tcW w:w="714" w:type="dxa"/>
            <w:tcBorders>
              <w:top w:val="nil"/>
              <w:left w:val="nil"/>
              <w:bottom w:val="nil"/>
              <w:right w:val="nil"/>
            </w:tcBorders>
            <w:shd w:val="clear" w:color="auto" w:fill="E6F2FF"/>
            <w:vAlign w:val="bottom"/>
          </w:tcPr>
          <w:p w14:paraId="3036D670" w14:textId="59BA96A2"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232</w:t>
            </w:r>
          </w:p>
        </w:tc>
        <w:tc>
          <w:tcPr>
            <w:tcW w:w="715" w:type="dxa"/>
            <w:tcBorders>
              <w:top w:val="nil"/>
              <w:left w:val="nil"/>
              <w:bottom w:val="nil"/>
              <w:right w:val="nil"/>
            </w:tcBorders>
            <w:shd w:val="clear" w:color="auto" w:fill="FFFFFF" w:themeFill="background1"/>
            <w:vAlign w:val="bottom"/>
          </w:tcPr>
          <w:p w14:paraId="42CD64DF" w14:textId="1C987053"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289</w:t>
            </w:r>
          </w:p>
        </w:tc>
        <w:tc>
          <w:tcPr>
            <w:tcW w:w="715" w:type="dxa"/>
            <w:tcBorders>
              <w:top w:val="nil"/>
              <w:left w:val="nil"/>
              <w:bottom w:val="nil"/>
              <w:right w:val="nil"/>
            </w:tcBorders>
            <w:shd w:val="clear" w:color="auto" w:fill="FFFFFF" w:themeFill="background1"/>
            <w:vAlign w:val="bottom"/>
          </w:tcPr>
          <w:p w14:paraId="5CA3A536" w14:textId="3D3D34A2"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335</w:t>
            </w:r>
          </w:p>
        </w:tc>
        <w:tc>
          <w:tcPr>
            <w:tcW w:w="715" w:type="dxa"/>
            <w:tcBorders>
              <w:top w:val="nil"/>
              <w:left w:val="nil"/>
              <w:bottom w:val="nil"/>
              <w:right w:val="nil"/>
            </w:tcBorders>
            <w:shd w:val="clear" w:color="auto" w:fill="FFFFFF" w:themeFill="background1"/>
            <w:vAlign w:val="bottom"/>
          </w:tcPr>
          <w:p w14:paraId="0D05FF88" w14:textId="0C261CD8"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364</w:t>
            </w:r>
          </w:p>
        </w:tc>
        <w:tc>
          <w:tcPr>
            <w:tcW w:w="73" w:type="dxa"/>
            <w:tcBorders>
              <w:top w:val="nil"/>
              <w:left w:val="nil"/>
              <w:bottom w:val="nil"/>
              <w:right w:val="nil"/>
            </w:tcBorders>
            <w:shd w:val="clear" w:color="auto" w:fill="FFFFFF" w:themeFill="background1"/>
            <w:noWrap/>
            <w:vAlign w:val="bottom"/>
            <w:hideMark/>
          </w:tcPr>
          <w:p w14:paraId="3A28C1FF"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48A73950" w14:textId="3E1B22A7"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1,399</w:t>
            </w:r>
          </w:p>
        </w:tc>
      </w:tr>
      <w:tr w:rsidR="007C3540" w:rsidRPr="007C3540" w14:paraId="44CD0A83"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2D25AE64"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Housing Australia</w:t>
            </w:r>
          </w:p>
        </w:tc>
        <w:tc>
          <w:tcPr>
            <w:tcW w:w="716" w:type="dxa"/>
            <w:tcBorders>
              <w:top w:val="nil"/>
              <w:left w:val="nil"/>
              <w:bottom w:val="nil"/>
              <w:right w:val="nil"/>
            </w:tcBorders>
            <w:shd w:val="clear" w:color="auto" w:fill="FFFFFF" w:themeFill="background1"/>
            <w:noWrap/>
            <w:vAlign w:val="bottom"/>
            <w:hideMark/>
          </w:tcPr>
          <w:p w14:paraId="199FEF06" w14:textId="3F4E2D20"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913</w:t>
            </w:r>
          </w:p>
        </w:tc>
        <w:tc>
          <w:tcPr>
            <w:tcW w:w="714" w:type="dxa"/>
            <w:tcBorders>
              <w:top w:val="nil"/>
              <w:left w:val="nil"/>
              <w:bottom w:val="nil"/>
              <w:right w:val="nil"/>
            </w:tcBorders>
            <w:shd w:val="clear" w:color="auto" w:fill="E6F2FF"/>
            <w:vAlign w:val="bottom"/>
          </w:tcPr>
          <w:p w14:paraId="27A1719A" w14:textId="0C8079D7"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3,467</w:t>
            </w:r>
          </w:p>
        </w:tc>
        <w:tc>
          <w:tcPr>
            <w:tcW w:w="715" w:type="dxa"/>
            <w:tcBorders>
              <w:top w:val="nil"/>
              <w:left w:val="nil"/>
              <w:bottom w:val="nil"/>
              <w:right w:val="nil"/>
            </w:tcBorders>
            <w:shd w:val="clear" w:color="auto" w:fill="FFFFFF" w:themeFill="background1"/>
            <w:vAlign w:val="bottom"/>
          </w:tcPr>
          <w:p w14:paraId="778FF22A" w14:textId="14FDD7A7"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4,369</w:t>
            </w:r>
          </w:p>
        </w:tc>
        <w:tc>
          <w:tcPr>
            <w:tcW w:w="715" w:type="dxa"/>
            <w:tcBorders>
              <w:top w:val="nil"/>
              <w:left w:val="nil"/>
              <w:bottom w:val="nil"/>
              <w:right w:val="nil"/>
            </w:tcBorders>
            <w:shd w:val="clear" w:color="auto" w:fill="FFFFFF" w:themeFill="background1"/>
            <w:vAlign w:val="bottom"/>
          </w:tcPr>
          <w:p w14:paraId="684A3190" w14:textId="5C57CA87"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1,954</w:t>
            </w:r>
          </w:p>
        </w:tc>
        <w:tc>
          <w:tcPr>
            <w:tcW w:w="715" w:type="dxa"/>
            <w:tcBorders>
              <w:top w:val="nil"/>
              <w:left w:val="nil"/>
              <w:bottom w:val="nil"/>
              <w:right w:val="nil"/>
            </w:tcBorders>
            <w:shd w:val="clear" w:color="auto" w:fill="FFFFFF" w:themeFill="background1"/>
            <w:vAlign w:val="bottom"/>
          </w:tcPr>
          <w:p w14:paraId="015C4858" w14:textId="67F539DB"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1,588</w:t>
            </w:r>
          </w:p>
        </w:tc>
        <w:tc>
          <w:tcPr>
            <w:tcW w:w="73" w:type="dxa"/>
            <w:tcBorders>
              <w:top w:val="nil"/>
              <w:left w:val="nil"/>
              <w:bottom w:val="nil"/>
              <w:right w:val="nil"/>
            </w:tcBorders>
            <w:shd w:val="clear" w:color="auto" w:fill="FFFFFF" w:themeFill="background1"/>
            <w:noWrap/>
            <w:vAlign w:val="bottom"/>
            <w:hideMark/>
          </w:tcPr>
          <w:p w14:paraId="4C500214"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346C9641" w14:textId="76435D3D"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12,291</w:t>
            </w:r>
          </w:p>
        </w:tc>
      </w:tr>
      <w:tr w:rsidR="007C3540" w:rsidRPr="007C3540" w14:paraId="6EA010E7"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091927B3"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 xml:space="preserve">Indigenous Business Australia </w:t>
            </w:r>
          </w:p>
        </w:tc>
        <w:tc>
          <w:tcPr>
            <w:tcW w:w="716" w:type="dxa"/>
            <w:tcBorders>
              <w:top w:val="nil"/>
              <w:left w:val="nil"/>
              <w:bottom w:val="nil"/>
              <w:right w:val="nil"/>
            </w:tcBorders>
            <w:shd w:val="clear" w:color="auto" w:fill="FFFFFF" w:themeFill="background1"/>
            <w:noWrap/>
            <w:vAlign w:val="bottom"/>
            <w:hideMark/>
          </w:tcPr>
          <w:p w14:paraId="2514A4EB"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24078944"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5029AA87"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697FD90D"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68B6CA05"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47711D26"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597813E5"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r>
      <w:tr w:rsidR="007C3540" w:rsidRPr="007C3540" w14:paraId="02829461"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0DB57085" w14:textId="77777777" w:rsidR="007C3540" w:rsidRPr="007C3540" w:rsidRDefault="007C3540" w:rsidP="007C3540">
            <w:pPr>
              <w:spacing w:before="0" w:after="0" w:line="240" w:lineRule="auto"/>
              <w:ind w:left="510"/>
              <w:rPr>
                <w:rFonts w:ascii="Arial" w:hAnsi="Arial" w:cs="Arial"/>
                <w:color w:val="000000"/>
                <w:sz w:val="16"/>
                <w:szCs w:val="16"/>
              </w:rPr>
            </w:pPr>
            <w:r w:rsidRPr="591FF694">
              <w:rPr>
                <w:rFonts w:ascii="Arial" w:hAnsi="Arial" w:cs="Arial"/>
                <w:color w:val="000000" w:themeColor="text1"/>
                <w:sz w:val="16"/>
                <w:szCs w:val="16"/>
              </w:rPr>
              <w:t>home and business loans</w:t>
            </w:r>
          </w:p>
        </w:tc>
        <w:tc>
          <w:tcPr>
            <w:tcW w:w="716" w:type="dxa"/>
            <w:tcBorders>
              <w:top w:val="nil"/>
              <w:left w:val="nil"/>
              <w:bottom w:val="nil"/>
              <w:right w:val="nil"/>
            </w:tcBorders>
            <w:shd w:val="clear" w:color="auto" w:fill="FFFFFF" w:themeFill="background1"/>
            <w:noWrap/>
            <w:vAlign w:val="bottom"/>
            <w:hideMark/>
          </w:tcPr>
          <w:p w14:paraId="04AA68E0" w14:textId="32253BE6"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104</w:t>
            </w:r>
          </w:p>
        </w:tc>
        <w:tc>
          <w:tcPr>
            <w:tcW w:w="714" w:type="dxa"/>
            <w:tcBorders>
              <w:top w:val="nil"/>
              <w:left w:val="nil"/>
              <w:bottom w:val="nil"/>
              <w:right w:val="nil"/>
            </w:tcBorders>
            <w:shd w:val="clear" w:color="auto" w:fill="E6F2FF"/>
            <w:vAlign w:val="bottom"/>
          </w:tcPr>
          <w:p w14:paraId="18860297" w14:textId="61731BFE"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217</w:t>
            </w:r>
          </w:p>
        </w:tc>
        <w:tc>
          <w:tcPr>
            <w:tcW w:w="715" w:type="dxa"/>
            <w:tcBorders>
              <w:top w:val="nil"/>
              <w:left w:val="nil"/>
              <w:bottom w:val="nil"/>
              <w:right w:val="nil"/>
            </w:tcBorders>
            <w:shd w:val="clear" w:color="auto" w:fill="FFFFFF" w:themeFill="background1"/>
            <w:vAlign w:val="bottom"/>
          </w:tcPr>
          <w:p w14:paraId="681E0A95" w14:textId="307B699C"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111</w:t>
            </w:r>
          </w:p>
        </w:tc>
        <w:tc>
          <w:tcPr>
            <w:tcW w:w="715" w:type="dxa"/>
            <w:tcBorders>
              <w:top w:val="nil"/>
              <w:left w:val="nil"/>
              <w:bottom w:val="nil"/>
              <w:right w:val="nil"/>
            </w:tcBorders>
            <w:shd w:val="clear" w:color="auto" w:fill="FFFFFF" w:themeFill="background1"/>
            <w:vAlign w:val="bottom"/>
          </w:tcPr>
          <w:p w14:paraId="6388EB04" w14:textId="5C97D307"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114</w:t>
            </w:r>
          </w:p>
        </w:tc>
        <w:tc>
          <w:tcPr>
            <w:tcW w:w="715" w:type="dxa"/>
            <w:tcBorders>
              <w:top w:val="nil"/>
              <w:left w:val="nil"/>
              <w:bottom w:val="nil"/>
              <w:right w:val="nil"/>
            </w:tcBorders>
            <w:shd w:val="clear" w:color="auto" w:fill="FFFFFF" w:themeFill="background1"/>
            <w:vAlign w:val="bottom"/>
          </w:tcPr>
          <w:p w14:paraId="16ACE015" w14:textId="3805463B"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114</w:t>
            </w:r>
          </w:p>
        </w:tc>
        <w:tc>
          <w:tcPr>
            <w:tcW w:w="73" w:type="dxa"/>
            <w:tcBorders>
              <w:top w:val="nil"/>
              <w:left w:val="nil"/>
              <w:bottom w:val="nil"/>
              <w:right w:val="nil"/>
            </w:tcBorders>
            <w:shd w:val="clear" w:color="auto" w:fill="FFFFFF" w:themeFill="background1"/>
            <w:noWrap/>
            <w:vAlign w:val="bottom"/>
            <w:hideMark/>
          </w:tcPr>
          <w:p w14:paraId="011D4120"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5A5824A4" w14:textId="41421DF1"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660</w:t>
            </w:r>
          </w:p>
        </w:tc>
      </w:tr>
      <w:tr w:rsidR="007C3540" w:rsidRPr="007C3540" w14:paraId="7128E8AF"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66830249"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National Interest Account</w:t>
            </w:r>
          </w:p>
        </w:tc>
        <w:tc>
          <w:tcPr>
            <w:tcW w:w="716" w:type="dxa"/>
            <w:tcBorders>
              <w:top w:val="nil"/>
              <w:left w:val="nil"/>
              <w:bottom w:val="nil"/>
              <w:right w:val="nil"/>
            </w:tcBorders>
            <w:shd w:val="clear" w:color="auto" w:fill="FFFFFF" w:themeFill="background1"/>
            <w:noWrap/>
            <w:vAlign w:val="bottom"/>
            <w:hideMark/>
          </w:tcPr>
          <w:p w14:paraId="4AFB9B70"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3186FE44"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22D543BB"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6A942C48"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5173ADB5"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5DDBD3A4"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55532114"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r>
      <w:tr w:rsidR="007C3540" w:rsidRPr="007C3540" w14:paraId="5C71DD7E"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49737B68" w14:textId="77777777" w:rsidR="007C3540" w:rsidRPr="007C3540" w:rsidRDefault="007C3540" w:rsidP="007C3540">
            <w:pPr>
              <w:spacing w:before="0" w:after="0" w:line="240" w:lineRule="auto"/>
              <w:ind w:left="510"/>
              <w:rPr>
                <w:rFonts w:ascii="Arial" w:hAnsi="Arial" w:cs="Arial"/>
                <w:color w:val="000000"/>
                <w:sz w:val="16"/>
                <w:szCs w:val="16"/>
              </w:rPr>
            </w:pPr>
            <w:r w:rsidRPr="591FF694">
              <w:rPr>
                <w:rFonts w:ascii="Arial" w:hAnsi="Arial" w:cs="Arial"/>
                <w:color w:val="000000" w:themeColor="text1"/>
                <w:sz w:val="16"/>
                <w:szCs w:val="16"/>
              </w:rPr>
              <w:t xml:space="preserve">loans and investments </w:t>
            </w:r>
          </w:p>
        </w:tc>
        <w:tc>
          <w:tcPr>
            <w:tcW w:w="716" w:type="dxa"/>
            <w:tcBorders>
              <w:top w:val="nil"/>
              <w:left w:val="nil"/>
              <w:bottom w:val="nil"/>
              <w:right w:val="nil"/>
            </w:tcBorders>
            <w:shd w:val="clear" w:color="auto" w:fill="FFFFFF" w:themeFill="background1"/>
            <w:noWrap/>
            <w:vAlign w:val="bottom"/>
            <w:hideMark/>
          </w:tcPr>
          <w:p w14:paraId="6E522C1B" w14:textId="7234533A"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886</w:t>
            </w:r>
          </w:p>
        </w:tc>
        <w:tc>
          <w:tcPr>
            <w:tcW w:w="714" w:type="dxa"/>
            <w:tcBorders>
              <w:top w:val="nil"/>
              <w:left w:val="nil"/>
              <w:bottom w:val="nil"/>
              <w:right w:val="nil"/>
            </w:tcBorders>
            <w:shd w:val="clear" w:color="auto" w:fill="E6F2FF"/>
            <w:vAlign w:val="bottom"/>
          </w:tcPr>
          <w:p w14:paraId="6172F427" w14:textId="622DB786"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1,097</w:t>
            </w:r>
          </w:p>
        </w:tc>
        <w:tc>
          <w:tcPr>
            <w:tcW w:w="715" w:type="dxa"/>
            <w:tcBorders>
              <w:top w:val="nil"/>
              <w:left w:val="nil"/>
              <w:bottom w:val="nil"/>
              <w:right w:val="nil"/>
            </w:tcBorders>
            <w:shd w:val="clear" w:color="auto" w:fill="FFFFFF" w:themeFill="background1"/>
            <w:vAlign w:val="bottom"/>
          </w:tcPr>
          <w:p w14:paraId="120D6F30" w14:textId="3C0B5B37"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530</w:t>
            </w:r>
          </w:p>
        </w:tc>
        <w:tc>
          <w:tcPr>
            <w:tcW w:w="715" w:type="dxa"/>
            <w:tcBorders>
              <w:top w:val="nil"/>
              <w:left w:val="nil"/>
              <w:bottom w:val="nil"/>
              <w:right w:val="nil"/>
            </w:tcBorders>
            <w:shd w:val="clear" w:color="auto" w:fill="FFFFFF" w:themeFill="background1"/>
            <w:vAlign w:val="bottom"/>
          </w:tcPr>
          <w:p w14:paraId="286F30F2"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9</w:t>
            </w:r>
          </w:p>
        </w:tc>
        <w:tc>
          <w:tcPr>
            <w:tcW w:w="715" w:type="dxa"/>
            <w:tcBorders>
              <w:top w:val="nil"/>
              <w:left w:val="nil"/>
              <w:bottom w:val="nil"/>
              <w:right w:val="nil"/>
            </w:tcBorders>
            <w:shd w:val="clear" w:color="auto" w:fill="FFFFFF" w:themeFill="background1"/>
            <w:vAlign w:val="bottom"/>
          </w:tcPr>
          <w:p w14:paraId="4CB589B5"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323</w:t>
            </w:r>
          </w:p>
        </w:tc>
        <w:tc>
          <w:tcPr>
            <w:tcW w:w="73" w:type="dxa"/>
            <w:tcBorders>
              <w:top w:val="nil"/>
              <w:left w:val="nil"/>
              <w:bottom w:val="nil"/>
              <w:right w:val="nil"/>
            </w:tcBorders>
            <w:shd w:val="clear" w:color="auto" w:fill="FFFFFF" w:themeFill="background1"/>
            <w:noWrap/>
            <w:vAlign w:val="bottom"/>
            <w:hideMark/>
          </w:tcPr>
          <w:p w14:paraId="6B70BDC4"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5F2D0050" w14:textId="010564B2"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2,181</w:t>
            </w:r>
          </w:p>
        </w:tc>
      </w:tr>
      <w:tr w:rsidR="007C3540" w:rsidRPr="007C3540" w14:paraId="1508B54F"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174B2236" w14:textId="3495BBEB"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COVID</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 xml:space="preserve">19 Support for </w:t>
            </w:r>
          </w:p>
        </w:tc>
        <w:tc>
          <w:tcPr>
            <w:tcW w:w="716" w:type="dxa"/>
            <w:tcBorders>
              <w:top w:val="nil"/>
              <w:left w:val="nil"/>
              <w:bottom w:val="nil"/>
              <w:right w:val="nil"/>
            </w:tcBorders>
            <w:shd w:val="clear" w:color="auto" w:fill="FFFFFF" w:themeFill="background1"/>
            <w:noWrap/>
            <w:vAlign w:val="bottom"/>
            <w:hideMark/>
          </w:tcPr>
          <w:p w14:paraId="386C39A0"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2AEB77F5"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2665BAC3"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27BA8CA1"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3AB1C266"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507B8896"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2E33D1E9"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r>
      <w:tr w:rsidR="007C3540" w:rsidRPr="007C3540" w14:paraId="1ADC5A79"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0A204D20" w14:textId="0B13424F" w:rsidR="007C3540" w:rsidRPr="007C3540" w:rsidRDefault="007C3540" w:rsidP="007C3540">
            <w:pPr>
              <w:spacing w:before="0" w:after="0" w:line="240" w:lineRule="auto"/>
              <w:ind w:left="510"/>
              <w:rPr>
                <w:rFonts w:ascii="Arial" w:hAnsi="Arial" w:cs="Arial"/>
                <w:color w:val="000000"/>
                <w:sz w:val="16"/>
                <w:szCs w:val="16"/>
              </w:rPr>
            </w:pPr>
            <w:r w:rsidRPr="591FF694">
              <w:rPr>
                <w:rFonts w:ascii="Arial" w:hAnsi="Arial" w:cs="Arial"/>
                <w:color w:val="000000" w:themeColor="text1"/>
                <w:sz w:val="16"/>
                <w:szCs w:val="16"/>
              </w:rPr>
              <w:t>Indonesia</w:t>
            </w:r>
            <w:r w:rsidR="00E33470">
              <w:rPr>
                <w:rFonts w:ascii="Arial" w:hAnsi="Arial" w:cs="Arial"/>
                <w:color w:val="000000" w:themeColor="text1"/>
                <w:sz w:val="16"/>
                <w:szCs w:val="16"/>
              </w:rPr>
              <w:t xml:space="preserve"> – </w:t>
            </w:r>
            <w:r w:rsidRPr="591FF694">
              <w:rPr>
                <w:rFonts w:ascii="Arial" w:hAnsi="Arial" w:cs="Arial"/>
                <w:color w:val="000000" w:themeColor="text1"/>
                <w:sz w:val="16"/>
                <w:szCs w:val="16"/>
              </w:rPr>
              <w:t xml:space="preserve">loan </w:t>
            </w:r>
          </w:p>
        </w:tc>
        <w:tc>
          <w:tcPr>
            <w:tcW w:w="716" w:type="dxa"/>
            <w:tcBorders>
              <w:top w:val="nil"/>
              <w:left w:val="nil"/>
              <w:bottom w:val="nil"/>
              <w:right w:val="nil"/>
            </w:tcBorders>
            <w:shd w:val="clear" w:color="auto" w:fill="FFFFFF" w:themeFill="background1"/>
            <w:noWrap/>
            <w:vAlign w:val="bottom"/>
            <w:hideMark/>
          </w:tcPr>
          <w:p w14:paraId="143B8BA9" w14:textId="77777777" w:rsidR="007C3540" w:rsidRPr="007C3540" w:rsidRDefault="007C3540" w:rsidP="007C3540">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100</w:t>
            </w:r>
          </w:p>
        </w:tc>
        <w:tc>
          <w:tcPr>
            <w:tcW w:w="714" w:type="dxa"/>
            <w:tcBorders>
              <w:top w:val="nil"/>
              <w:left w:val="nil"/>
              <w:bottom w:val="nil"/>
              <w:right w:val="nil"/>
            </w:tcBorders>
            <w:shd w:val="clear" w:color="auto" w:fill="E6F2FF"/>
            <w:vAlign w:val="bottom"/>
          </w:tcPr>
          <w:p w14:paraId="4B698D5D"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100</w:t>
            </w:r>
          </w:p>
        </w:tc>
        <w:tc>
          <w:tcPr>
            <w:tcW w:w="715" w:type="dxa"/>
            <w:tcBorders>
              <w:top w:val="nil"/>
              <w:left w:val="nil"/>
              <w:bottom w:val="nil"/>
              <w:right w:val="nil"/>
            </w:tcBorders>
            <w:shd w:val="clear" w:color="auto" w:fill="FFFFFF" w:themeFill="background1"/>
            <w:vAlign w:val="bottom"/>
          </w:tcPr>
          <w:p w14:paraId="2B6100C1"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100</w:t>
            </w:r>
          </w:p>
        </w:tc>
        <w:tc>
          <w:tcPr>
            <w:tcW w:w="715" w:type="dxa"/>
            <w:tcBorders>
              <w:top w:val="nil"/>
              <w:left w:val="nil"/>
              <w:bottom w:val="nil"/>
              <w:right w:val="nil"/>
            </w:tcBorders>
            <w:shd w:val="clear" w:color="auto" w:fill="FFFFFF" w:themeFill="background1"/>
            <w:vAlign w:val="bottom"/>
          </w:tcPr>
          <w:p w14:paraId="4366A908"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100</w:t>
            </w:r>
          </w:p>
        </w:tc>
        <w:tc>
          <w:tcPr>
            <w:tcW w:w="715" w:type="dxa"/>
            <w:tcBorders>
              <w:top w:val="nil"/>
              <w:left w:val="nil"/>
              <w:bottom w:val="nil"/>
              <w:right w:val="nil"/>
            </w:tcBorders>
            <w:shd w:val="clear" w:color="auto" w:fill="FFFFFF" w:themeFill="background1"/>
            <w:vAlign w:val="bottom"/>
          </w:tcPr>
          <w:p w14:paraId="546F653B"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100</w:t>
            </w:r>
          </w:p>
        </w:tc>
        <w:tc>
          <w:tcPr>
            <w:tcW w:w="73" w:type="dxa"/>
            <w:tcBorders>
              <w:top w:val="nil"/>
              <w:left w:val="nil"/>
              <w:bottom w:val="nil"/>
              <w:right w:val="nil"/>
            </w:tcBorders>
            <w:shd w:val="clear" w:color="auto" w:fill="FFFFFF" w:themeFill="background1"/>
            <w:noWrap/>
            <w:vAlign w:val="bottom"/>
            <w:hideMark/>
          </w:tcPr>
          <w:p w14:paraId="508B73A8"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10E0CB1A" w14:textId="77777777" w:rsidR="007C3540" w:rsidRPr="007C3540" w:rsidRDefault="007C3540" w:rsidP="007C3540">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500</w:t>
            </w:r>
          </w:p>
        </w:tc>
      </w:tr>
      <w:tr w:rsidR="007C3540" w:rsidRPr="007C3540" w14:paraId="3EABE842"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12878603"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 xml:space="preserve">Financial Assistance to </w:t>
            </w:r>
          </w:p>
        </w:tc>
        <w:tc>
          <w:tcPr>
            <w:tcW w:w="716" w:type="dxa"/>
            <w:tcBorders>
              <w:top w:val="nil"/>
              <w:left w:val="nil"/>
              <w:bottom w:val="nil"/>
              <w:right w:val="nil"/>
            </w:tcBorders>
            <w:shd w:val="clear" w:color="auto" w:fill="FFFFFF" w:themeFill="background1"/>
            <w:noWrap/>
            <w:vAlign w:val="bottom"/>
            <w:hideMark/>
          </w:tcPr>
          <w:p w14:paraId="742CE173"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78D1FA1A"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2A74A511"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57ED4D20"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45B49732"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3C193973"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2EBDB3EA"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r>
      <w:tr w:rsidR="007C3540" w:rsidRPr="007C3540" w14:paraId="781F70AB"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63F9F40E" w14:textId="3EBA2AE0" w:rsidR="007C3540" w:rsidRPr="007C3540" w:rsidRDefault="007C3540" w:rsidP="007C3540">
            <w:pPr>
              <w:spacing w:before="0" w:after="0" w:line="240" w:lineRule="auto"/>
              <w:ind w:left="510"/>
              <w:rPr>
                <w:rFonts w:ascii="Arial" w:hAnsi="Arial" w:cs="Arial"/>
                <w:color w:val="000000"/>
                <w:sz w:val="16"/>
                <w:szCs w:val="16"/>
              </w:rPr>
            </w:pPr>
            <w:r w:rsidRPr="591FF694">
              <w:rPr>
                <w:rFonts w:ascii="Arial" w:hAnsi="Arial" w:cs="Arial"/>
                <w:color w:val="000000" w:themeColor="text1"/>
                <w:sz w:val="16"/>
                <w:szCs w:val="16"/>
              </w:rPr>
              <w:t>Papua New Guinea</w:t>
            </w:r>
            <w:r w:rsidR="00E33470">
              <w:rPr>
                <w:rFonts w:ascii="Arial" w:hAnsi="Arial" w:cs="Arial"/>
                <w:color w:val="000000" w:themeColor="text1"/>
                <w:sz w:val="16"/>
                <w:szCs w:val="16"/>
              </w:rPr>
              <w:t xml:space="preserve"> – </w:t>
            </w:r>
            <w:r w:rsidRPr="591FF694">
              <w:rPr>
                <w:rFonts w:ascii="Arial" w:hAnsi="Arial" w:cs="Arial"/>
                <w:color w:val="000000" w:themeColor="text1"/>
                <w:sz w:val="16"/>
                <w:szCs w:val="16"/>
              </w:rPr>
              <w:t>loan</w:t>
            </w:r>
          </w:p>
        </w:tc>
        <w:tc>
          <w:tcPr>
            <w:tcW w:w="716" w:type="dxa"/>
            <w:tcBorders>
              <w:top w:val="nil"/>
              <w:left w:val="nil"/>
              <w:bottom w:val="nil"/>
              <w:right w:val="nil"/>
            </w:tcBorders>
            <w:shd w:val="clear" w:color="auto" w:fill="FFFFFF" w:themeFill="background1"/>
            <w:noWrap/>
            <w:vAlign w:val="bottom"/>
            <w:hideMark/>
          </w:tcPr>
          <w:p w14:paraId="0714B340" w14:textId="7365DAB0"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415</w:t>
            </w:r>
          </w:p>
        </w:tc>
        <w:tc>
          <w:tcPr>
            <w:tcW w:w="714" w:type="dxa"/>
            <w:tcBorders>
              <w:top w:val="nil"/>
              <w:left w:val="nil"/>
              <w:bottom w:val="nil"/>
              <w:right w:val="nil"/>
            </w:tcBorders>
            <w:shd w:val="clear" w:color="auto" w:fill="E6F2FF"/>
            <w:vAlign w:val="bottom"/>
          </w:tcPr>
          <w:p w14:paraId="402D62E2"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169</w:t>
            </w:r>
          </w:p>
        </w:tc>
        <w:tc>
          <w:tcPr>
            <w:tcW w:w="715" w:type="dxa"/>
            <w:tcBorders>
              <w:top w:val="nil"/>
              <w:left w:val="nil"/>
              <w:bottom w:val="nil"/>
              <w:right w:val="nil"/>
            </w:tcBorders>
            <w:shd w:val="clear" w:color="auto" w:fill="FFFFFF" w:themeFill="background1"/>
            <w:vAlign w:val="bottom"/>
          </w:tcPr>
          <w:p w14:paraId="283760A1"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169</w:t>
            </w:r>
          </w:p>
        </w:tc>
        <w:tc>
          <w:tcPr>
            <w:tcW w:w="715" w:type="dxa"/>
            <w:tcBorders>
              <w:top w:val="nil"/>
              <w:left w:val="nil"/>
              <w:bottom w:val="nil"/>
              <w:right w:val="nil"/>
            </w:tcBorders>
            <w:shd w:val="clear" w:color="auto" w:fill="FFFFFF" w:themeFill="background1"/>
            <w:vAlign w:val="bottom"/>
          </w:tcPr>
          <w:p w14:paraId="6F82C2DF"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169</w:t>
            </w:r>
          </w:p>
        </w:tc>
        <w:tc>
          <w:tcPr>
            <w:tcW w:w="715" w:type="dxa"/>
            <w:tcBorders>
              <w:top w:val="nil"/>
              <w:left w:val="nil"/>
              <w:bottom w:val="nil"/>
              <w:right w:val="nil"/>
            </w:tcBorders>
            <w:shd w:val="clear" w:color="auto" w:fill="FFFFFF" w:themeFill="background1"/>
            <w:vAlign w:val="bottom"/>
          </w:tcPr>
          <w:p w14:paraId="067AE2AC"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169</w:t>
            </w:r>
          </w:p>
        </w:tc>
        <w:tc>
          <w:tcPr>
            <w:tcW w:w="73" w:type="dxa"/>
            <w:tcBorders>
              <w:top w:val="nil"/>
              <w:left w:val="nil"/>
              <w:bottom w:val="nil"/>
              <w:right w:val="nil"/>
            </w:tcBorders>
            <w:shd w:val="clear" w:color="auto" w:fill="FFFFFF" w:themeFill="background1"/>
            <w:noWrap/>
            <w:vAlign w:val="bottom"/>
            <w:hideMark/>
          </w:tcPr>
          <w:p w14:paraId="33568520"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193DEFA6" w14:textId="77777777" w:rsidR="007C3540" w:rsidRPr="007C3540" w:rsidRDefault="007C3540" w:rsidP="007C3540">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262</w:t>
            </w:r>
          </w:p>
        </w:tc>
      </w:tr>
      <w:tr w:rsidR="007C3540" w:rsidRPr="007C3540" w14:paraId="50C9240E"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69324741" w14:textId="77777777" w:rsidR="007C3540" w:rsidRPr="007C3540" w:rsidRDefault="007C3540" w:rsidP="007C3540">
            <w:pPr>
              <w:spacing w:before="0" w:after="0" w:line="240" w:lineRule="auto"/>
              <w:ind w:left="340"/>
              <w:rPr>
                <w:rFonts w:ascii="Arial" w:hAnsi="Arial" w:cs="Arial"/>
                <w:color w:val="000000"/>
                <w:sz w:val="16"/>
                <w:szCs w:val="16"/>
              </w:rPr>
            </w:pPr>
            <w:r w:rsidRPr="591FF694">
              <w:rPr>
                <w:rFonts w:ascii="Arial" w:hAnsi="Arial" w:cs="Arial"/>
                <w:color w:val="000000" w:themeColor="text1"/>
                <w:sz w:val="16"/>
                <w:szCs w:val="16"/>
              </w:rPr>
              <w:t>Net other(b)</w:t>
            </w:r>
          </w:p>
        </w:tc>
        <w:tc>
          <w:tcPr>
            <w:tcW w:w="716" w:type="dxa"/>
            <w:tcBorders>
              <w:top w:val="nil"/>
              <w:left w:val="nil"/>
              <w:bottom w:val="nil"/>
              <w:right w:val="nil"/>
            </w:tcBorders>
            <w:shd w:val="clear" w:color="auto" w:fill="FFFFFF" w:themeFill="background1"/>
            <w:noWrap/>
            <w:vAlign w:val="bottom"/>
            <w:hideMark/>
          </w:tcPr>
          <w:p w14:paraId="48E4819F" w14:textId="43ACBF46"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3,561</w:t>
            </w:r>
          </w:p>
        </w:tc>
        <w:tc>
          <w:tcPr>
            <w:tcW w:w="714" w:type="dxa"/>
            <w:tcBorders>
              <w:top w:val="nil"/>
              <w:left w:val="nil"/>
              <w:bottom w:val="nil"/>
              <w:right w:val="nil"/>
            </w:tcBorders>
            <w:shd w:val="clear" w:color="auto" w:fill="E6F2FF"/>
            <w:vAlign w:val="bottom"/>
          </w:tcPr>
          <w:p w14:paraId="014D9804" w14:textId="157162A1"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3,209</w:t>
            </w:r>
          </w:p>
        </w:tc>
        <w:tc>
          <w:tcPr>
            <w:tcW w:w="715" w:type="dxa"/>
            <w:tcBorders>
              <w:top w:val="nil"/>
              <w:left w:val="nil"/>
              <w:bottom w:val="nil"/>
              <w:right w:val="nil"/>
            </w:tcBorders>
            <w:shd w:val="clear" w:color="auto" w:fill="FFFFFF" w:themeFill="background1"/>
            <w:vAlign w:val="bottom"/>
          </w:tcPr>
          <w:p w14:paraId="18CD9078" w14:textId="1B60AA95"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2,476</w:t>
            </w:r>
          </w:p>
        </w:tc>
        <w:tc>
          <w:tcPr>
            <w:tcW w:w="715" w:type="dxa"/>
            <w:tcBorders>
              <w:top w:val="nil"/>
              <w:left w:val="nil"/>
              <w:bottom w:val="nil"/>
              <w:right w:val="nil"/>
            </w:tcBorders>
            <w:shd w:val="clear" w:color="auto" w:fill="FFFFFF" w:themeFill="background1"/>
            <w:vAlign w:val="bottom"/>
          </w:tcPr>
          <w:p w14:paraId="212C1C38" w14:textId="5DA52197"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1,292</w:t>
            </w:r>
          </w:p>
        </w:tc>
        <w:tc>
          <w:tcPr>
            <w:tcW w:w="715" w:type="dxa"/>
            <w:tcBorders>
              <w:top w:val="nil"/>
              <w:left w:val="nil"/>
              <w:bottom w:val="nil"/>
              <w:right w:val="nil"/>
            </w:tcBorders>
            <w:shd w:val="clear" w:color="auto" w:fill="FFFFFF" w:themeFill="background1"/>
            <w:vAlign w:val="bottom"/>
          </w:tcPr>
          <w:p w14:paraId="34436068" w14:textId="4B588BC2" w:rsidR="007C3540" w:rsidRDefault="00404C26" w:rsidP="007C3540">
            <w:pPr>
              <w:spacing w:before="0" w:after="0" w:line="240" w:lineRule="auto"/>
              <w:jc w:val="right"/>
              <w:rPr>
                <w:rFonts w:ascii="Arial" w:hAnsi="Arial" w:cs="Arial"/>
                <w:color w:val="000000" w:themeColor="text1"/>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2,688</w:t>
            </w:r>
          </w:p>
        </w:tc>
        <w:tc>
          <w:tcPr>
            <w:tcW w:w="73" w:type="dxa"/>
            <w:tcBorders>
              <w:top w:val="nil"/>
              <w:left w:val="nil"/>
              <w:bottom w:val="nil"/>
              <w:right w:val="nil"/>
            </w:tcBorders>
            <w:shd w:val="clear" w:color="auto" w:fill="FFFFFF" w:themeFill="background1"/>
            <w:noWrap/>
            <w:vAlign w:val="bottom"/>
            <w:hideMark/>
          </w:tcPr>
          <w:p w14:paraId="17D63FA0"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1153A40C" w14:textId="6CD3875D" w:rsidR="007C3540" w:rsidRPr="007C3540" w:rsidRDefault="00404C26" w:rsidP="007C3540">
            <w:pPr>
              <w:spacing w:before="0" w:after="0" w:line="240" w:lineRule="auto"/>
              <w:jc w:val="right"/>
              <w:rPr>
                <w:rFonts w:ascii="Arial" w:hAnsi="Arial" w:cs="Arial"/>
                <w:color w:val="000000"/>
                <w:sz w:val="16"/>
                <w:szCs w:val="16"/>
              </w:rPr>
            </w:pPr>
            <w:r>
              <w:rPr>
                <w:rFonts w:ascii="Arial" w:hAnsi="Arial" w:cs="Arial"/>
                <w:color w:val="000000" w:themeColor="text1"/>
                <w:sz w:val="16"/>
                <w:szCs w:val="16"/>
              </w:rPr>
              <w:noBreakHyphen/>
            </w:r>
            <w:r w:rsidR="007C3540" w:rsidRPr="591FF694">
              <w:rPr>
                <w:rFonts w:ascii="Arial" w:hAnsi="Arial" w:cs="Arial"/>
                <w:color w:val="000000" w:themeColor="text1"/>
                <w:sz w:val="16"/>
                <w:szCs w:val="16"/>
              </w:rPr>
              <w:t>13,226</w:t>
            </w:r>
          </w:p>
        </w:tc>
      </w:tr>
      <w:tr w:rsidR="007C3540" w:rsidRPr="007C3540" w14:paraId="2CB771D5"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4F791E6A" w14:textId="77777777" w:rsidR="007C3540" w:rsidRPr="007C3540" w:rsidRDefault="007C3540" w:rsidP="007C3540">
            <w:pPr>
              <w:spacing w:before="0" w:after="0" w:line="240" w:lineRule="auto"/>
              <w:rPr>
                <w:rFonts w:ascii="Arial" w:hAnsi="Arial" w:cs="Arial"/>
                <w:b/>
                <w:bCs/>
                <w:color w:val="000000"/>
                <w:sz w:val="16"/>
                <w:szCs w:val="16"/>
              </w:rPr>
            </w:pPr>
            <w:r w:rsidRPr="591FF694">
              <w:rPr>
                <w:rFonts w:ascii="Arial" w:hAnsi="Arial" w:cs="Arial"/>
                <w:b/>
                <w:color w:val="000000" w:themeColor="text1"/>
                <w:sz w:val="16"/>
                <w:szCs w:val="16"/>
              </w:rPr>
              <w:t xml:space="preserve">Total net cash flows from </w:t>
            </w:r>
          </w:p>
        </w:tc>
        <w:tc>
          <w:tcPr>
            <w:tcW w:w="716" w:type="dxa"/>
            <w:tcBorders>
              <w:top w:val="nil"/>
              <w:left w:val="nil"/>
              <w:bottom w:val="nil"/>
              <w:right w:val="nil"/>
            </w:tcBorders>
            <w:shd w:val="clear" w:color="auto" w:fill="FFFFFF" w:themeFill="background1"/>
            <w:noWrap/>
            <w:vAlign w:val="bottom"/>
            <w:hideMark/>
          </w:tcPr>
          <w:p w14:paraId="7490AB43"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6D07129D"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4361F2D1"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1FAD176A"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4E680F07"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0915715D"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16AAACE4"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r>
      <w:tr w:rsidR="007C3540" w:rsidRPr="007C3540" w14:paraId="67830FDA"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1496CB67" w14:textId="77777777" w:rsidR="007C3540" w:rsidRPr="007C3540" w:rsidRDefault="007C3540" w:rsidP="007C3540">
            <w:pPr>
              <w:spacing w:before="0" w:after="0" w:line="240" w:lineRule="auto"/>
              <w:ind w:left="170"/>
              <w:rPr>
                <w:rFonts w:ascii="Arial" w:hAnsi="Arial" w:cs="Arial"/>
                <w:b/>
                <w:bCs/>
                <w:color w:val="000000"/>
                <w:sz w:val="16"/>
                <w:szCs w:val="16"/>
              </w:rPr>
            </w:pPr>
            <w:r w:rsidRPr="591FF694">
              <w:rPr>
                <w:rFonts w:ascii="Arial" w:hAnsi="Arial" w:cs="Arial"/>
                <w:b/>
                <w:color w:val="000000" w:themeColor="text1"/>
                <w:sz w:val="16"/>
                <w:szCs w:val="16"/>
              </w:rPr>
              <w:t xml:space="preserve">investments in financial </w:t>
            </w:r>
          </w:p>
        </w:tc>
        <w:tc>
          <w:tcPr>
            <w:tcW w:w="716" w:type="dxa"/>
            <w:tcBorders>
              <w:top w:val="nil"/>
              <w:left w:val="nil"/>
              <w:bottom w:val="nil"/>
              <w:right w:val="nil"/>
            </w:tcBorders>
            <w:shd w:val="clear" w:color="auto" w:fill="FFFFFF" w:themeFill="background1"/>
            <w:noWrap/>
            <w:vAlign w:val="bottom"/>
            <w:hideMark/>
          </w:tcPr>
          <w:p w14:paraId="7805EBC8"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16334ECC"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49629464"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65E3A794"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69A0BE24"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56AB6210"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07DDEABD"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r>
      <w:tr w:rsidR="000C254E" w:rsidRPr="007C3540" w14:paraId="68CB0787"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2A040B11" w14:textId="77777777" w:rsidR="007C3540" w:rsidRPr="007C3540" w:rsidRDefault="007C3540" w:rsidP="007C3540">
            <w:pPr>
              <w:spacing w:before="0" w:after="0" w:line="240" w:lineRule="auto"/>
              <w:ind w:left="170"/>
              <w:rPr>
                <w:rFonts w:ascii="Arial" w:hAnsi="Arial" w:cs="Arial"/>
                <w:b/>
                <w:bCs/>
                <w:color w:val="000000"/>
                <w:sz w:val="16"/>
                <w:szCs w:val="16"/>
              </w:rPr>
            </w:pPr>
            <w:r w:rsidRPr="591FF694">
              <w:rPr>
                <w:rFonts w:ascii="Arial" w:hAnsi="Arial" w:cs="Arial"/>
                <w:b/>
                <w:color w:val="000000" w:themeColor="text1"/>
                <w:sz w:val="16"/>
                <w:szCs w:val="16"/>
              </w:rPr>
              <w:t>assets for policy purposes</w:t>
            </w:r>
          </w:p>
        </w:tc>
        <w:tc>
          <w:tcPr>
            <w:tcW w:w="716" w:type="dxa"/>
            <w:tcBorders>
              <w:top w:val="nil"/>
              <w:left w:val="nil"/>
              <w:bottom w:val="single" w:sz="4" w:space="0" w:color="293F5B"/>
              <w:right w:val="nil"/>
            </w:tcBorders>
            <w:shd w:val="clear" w:color="auto" w:fill="FFFFFF" w:themeFill="background1"/>
            <w:noWrap/>
            <w:vAlign w:val="bottom"/>
            <w:hideMark/>
          </w:tcPr>
          <w:p w14:paraId="78296217" w14:textId="492CEDF8" w:rsidR="007C3540" w:rsidRPr="007C3540" w:rsidRDefault="00404C26" w:rsidP="007C3540">
            <w:pPr>
              <w:spacing w:before="0" w:after="0" w:line="240" w:lineRule="auto"/>
              <w:jc w:val="right"/>
              <w:rPr>
                <w:rFonts w:ascii="Arial" w:hAnsi="Arial" w:cs="Arial"/>
                <w:b/>
                <w:bCs/>
                <w:color w:val="000000"/>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19,076</w:t>
            </w:r>
          </w:p>
        </w:tc>
        <w:tc>
          <w:tcPr>
            <w:tcW w:w="714" w:type="dxa"/>
            <w:tcBorders>
              <w:top w:val="nil"/>
              <w:left w:val="nil"/>
              <w:bottom w:val="nil"/>
              <w:right w:val="nil"/>
            </w:tcBorders>
            <w:shd w:val="clear" w:color="auto" w:fill="E6F2FF"/>
            <w:vAlign w:val="bottom"/>
          </w:tcPr>
          <w:p w14:paraId="66A5012B" w14:textId="5CD5D9EF" w:rsidR="007C3540" w:rsidRDefault="00404C26" w:rsidP="007C3540">
            <w:pPr>
              <w:spacing w:before="0" w:after="0" w:line="240" w:lineRule="auto"/>
              <w:jc w:val="right"/>
              <w:rPr>
                <w:rFonts w:ascii="Arial" w:hAnsi="Arial" w:cs="Arial"/>
                <w:b/>
                <w:color w:val="000000" w:themeColor="text1"/>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23,076</w:t>
            </w:r>
          </w:p>
        </w:tc>
        <w:tc>
          <w:tcPr>
            <w:tcW w:w="715" w:type="dxa"/>
            <w:tcBorders>
              <w:top w:val="nil"/>
              <w:left w:val="nil"/>
              <w:bottom w:val="nil"/>
              <w:right w:val="nil"/>
            </w:tcBorders>
            <w:shd w:val="clear" w:color="auto" w:fill="FFFFFF" w:themeFill="background1"/>
            <w:vAlign w:val="bottom"/>
          </w:tcPr>
          <w:p w14:paraId="632AAF5A" w14:textId="60A55482" w:rsidR="007C3540" w:rsidRDefault="00404C26" w:rsidP="007C3540">
            <w:pPr>
              <w:spacing w:before="0" w:after="0" w:line="240" w:lineRule="auto"/>
              <w:jc w:val="right"/>
              <w:rPr>
                <w:rFonts w:ascii="Arial" w:hAnsi="Arial" w:cs="Arial"/>
                <w:b/>
                <w:color w:val="000000" w:themeColor="text1"/>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22,759</w:t>
            </w:r>
          </w:p>
        </w:tc>
        <w:tc>
          <w:tcPr>
            <w:tcW w:w="715" w:type="dxa"/>
            <w:tcBorders>
              <w:top w:val="nil"/>
              <w:left w:val="nil"/>
              <w:bottom w:val="nil"/>
              <w:right w:val="nil"/>
            </w:tcBorders>
            <w:shd w:val="clear" w:color="auto" w:fill="FFFFFF" w:themeFill="background1"/>
            <w:vAlign w:val="bottom"/>
          </w:tcPr>
          <w:p w14:paraId="7795FCA3" w14:textId="5F75D064" w:rsidR="007C3540" w:rsidRDefault="00404C26" w:rsidP="007C3540">
            <w:pPr>
              <w:spacing w:before="0" w:after="0" w:line="240" w:lineRule="auto"/>
              <w:jc w:val="right"/>
              <w:rPr>
                <w:rFonts w:ascii="Arial" w:hAnsi="Arial" w:cs="Arial"/>
                <w:b/>
                <w:color w:val="000000" w:themeColor="text1"/>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19,961</w:t>
            </w:r>
          </w:p>
        </w:tc>
        <w:tc>
          <w:tcPr>
            <w:tcW w:w="715" w:type="dxa"/>
            <w:tcBorders>
              <w:top w:val="nil"/>
              <w:left w:val="nil"/>
              <w:bottom w:val="nil"/>
              <w:right w:val="nil"/>
            </w:tcBorders>
            <w:shd w:val="clear" w:color="auto" w:fill="FFFFFF" w:themeFill="background1"/>
            <w:vAlign w:val="bottom"/>
          </w:tcPr>
          <w:p w14:paraId="5009FD76" w14:textId="33B6B4C9" w:rsidR="007C3540" w:rsidRDefault="00404C26" w:rsidP="007C3540">
            <w:pPr>
              <w:spacing w:before="0" w:after="0" w:line="240" w:lineRule="auto"/>
              <w:jc w:val="right"/>
              <w:rPr>
                <w:rFonts w:ascii="Arial" w:hAnsi="Arial" w:cs="Arial"/>
                <w:b/>
                <w:color w:val="000000" w:themeColor="text1"/>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18,999</w:t>
            </w:r>
          </w:p>
        </w:tc>
        <w:tc>
          <w:tcPr>
            <w:tcW w:w="73" w:type="dxa"/>
            <w:tcBorders>
              <w:top w:val="nil"/>
              <w:left w:val="nil"/>
              <w:bottom w:val="nil"/>
              <w:right w:val="nil"/>
            </w:tcBorders>
            <w:shd w:val="clear" w:color="auto" w:fill="FFFFFF" w:themeFill="background1"/>
            <w:noWrap/>
            <w:vAlign w:val="bottom"/>
            <w:hideMark/>
          </w:tcPr>
          <w:p w14:paraId="2A4D88A3"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7B7F96D9" w14:textId="234D5CF8" w:rsidR="007C3540" w:rsidRPr="007C3540" w:rsidRDefault="00404C26" w:rsidP="007C3540">
            <w:pPr>
              <w:spacing w:before="0" w:after="0" w:line="240" w:lineRule="auto"/>
              <w:jc w:val="right"/>
              <w:rPr>
                <w:rFonts w:ascii="Arial" w:hAnsi="Arial" w:cs="Arial"/>
                <w:b/>
                <w:bCs/>
                <w:color w:val="000000"/>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103,871</w:t>
            </w:r>
          </w:p>
        </w:tc>
      </w:tr>
      <w:tr w:rsidR="000C254E" w:rsidRPr="007C3540" w14:paraId="4C0FFA64" w14:textId="77777777" w:rsidTr="591FF694">
        <w:trPr>
          <w:trHeight w:hRule="exact" w:val="60"/>
        </w:trPr>
        <w:tc>
          <w:tcPr>
            <w:tcW w:w="3336" w:type="dxa"/>
            <w:tcBorders>
              <w:top w:val="nil"/>
              <w:left w:val="nil"/>
              <w:bottom w:val="nil"/>
              <w:right w:val="nil"/>
            </w:tcBorders>
            <w:shd w:val="clear" w:color="auto" w:fill="FFFFFF" w:themeFill="background1"/>
            <w:noWrap/>
            <w:vAlign w:val="bottom"/>
            <w:hideMark/>
          </w:tcPr>
          <w:p w14:paraId="4FECBA42" w14:textId="77777777" w:rsidR="007C3540" w:rsidRPr="007C3540" w:rsidRDefault="007C3540" w:rsidP="007C3540">
            <w:pPr>
              <w:spacing w:before="0" w:after="0" w:line="240" w:lineRule="auto"/>
              <w:ind w:left="170"/>
              <w:rPr>
                <w:rFonts w:ascii="Arial" w:hAnsi="Arial" w:cs="Arial"/>
                <w:b/>
                <w:bCs/>
                <w:color w:val="000000"/>
                <w:sz w:val="16"/>
                <w:szCs w:val="16"/>
              </w:rPr>
            </w:pPr>
            <w:r w:rsidRPr="591FF694">
              <w:rPr>
                <w:rFonts w:ascii="Arial" w:hAnsi="Arial" w:cs="Arial"/>
                <w:b/>
                <w:color w:val="000000" w:themeColor="text1"/>
                <w:sz w:val="16"/>
                <w:szCs w:val="16"/>
              </w:rPr>
              <w:t> </w:t>
            </w:r>
          </w:p>
        </w:tc>
        <w:tc>
          <w:tcPr>
            <w:tcW w:w="716" w:type="dxa"/>
            <w:tcBorders>
              <w:top w:val="nil"/>
              <w:left w:val="nil"/>
              <w:bottom w:val="nil"/>
              <w:right w:val="nil"/>
            </w:tcBorders>
            <w:shd w:val="clear" w:color="auto" w:fill="FFFFFF" w:themeFill="background1"/>
            <w:noWrap/>
            <w:vAlign w:val="bottom"/>
            <w:hideMark/>
          </w:tcPr>
          <w:p w14:paraId="47B24540" w14:textId="77777777" w:rsidR="007C3540" w:rsidRPr="007C3540" w:rsidRDefault="007C3540" w:rsidP="007C3540">
            <w:pPr>
              <w:spacing w:before="0" w:after="0" w:line="240" w:lineRule="auto"/>
              <w:rPr>
                <w:rFonts w:ascii="Arial" w:hAnsi="Arial" w:cs="Arial"/>
                <w:b/>
                <w:bCs/>
                <w:color w:val="000000"/>
                <w:sz w:val="16"/>
                <w:szCs w:val="16"/>
              </w:rPr>
            </w:pPr>
            <w:r w:rsidRPr="591FF694">
              <w:rPr>
                <w:rFonts w:ascii="Arial" w:hAnsi="Arial" w:cs="Arial"/>
                <w:b/>
                <w:color w:val="000000" w:themeColor="text1"/>
                <w:sz w:val="16"/>
                <w:szCs w:val="16"/>
              </w:rPr>
              <w:t> </w:t>
            </w:r>
          </w:p>
        </w:tc>
        <w:tc>
          <w:tcPr>
            <w:tcW w:w="714" w:type="dxa"/>
            <w:tcBorders>
              <w:top w:val="single" w:sz="4" w:space="0" w:color="293F5B"/>
              <w:left w:val="nil"/>
              <w:bottom w:val="nil"/>
              <w:right w:val="nil"/>
            </w:tcBorders>
            <w:shd w:val="clear" w:color="auto" w:fill="E6F2FF"/>
            <w:vAlign w:val="bottom"/>
          </w:tcPr>
          <w:p w14:paraId="1D1788D6" w14:textId="77777777" w:rsidR="007C3540" w:rsidRDefault="007C3540" w:rsidP="007C3540">
            <w:pPr>
              <w:spacing w:before="0" w:after="0" w:line="240" w:lineRule="auto"/>
              <w:rPr>
                <w:rFonts w:ascii="Arial" w:hAnsi="Arial" w:cs="Arial"/>
                <w:b/>
                <w:color w:val="000000" w:themeColor="text1"/>
                <w:sz w:val="16"/>
                <w:szCs w:val="16"/>
              </w:rPr>
            </w:pPr>
            <w:r w:rsidRPr="591FF694">
              <w:rPr>
                <w:rFonts w:ascii="Arial" w:hAnsi="Arial" w:cs="Arial"/>
                <w:b/>
                <w:color w:val="000000" w:themeColor="text1"/>
                <w:sz w:val="16"/>
                <w:szCs w:val="16"/>
              </w:rPr>
              <w:t> </w:t>
            </w:r>
          </w:p>
        </w:tc>
        <w:tc>
          <w:tcPr>
            <w:tcW w:w="715" w:type="dxa"/>
            <w:tcBorders>
              <w:top w:val="single" w:sz="4" w:space="0" w:color="293F5B"/>
              <w:left w:val="nil"/>
              <w:bottom w:val="nil"/>
              <w:right w:val="nil"/>
            </w:tcBorders>
            <w:shd w:val="clear" w:color="auto" w:fill="FFFFFF" w:themeFill="background1"/>
            <w:vAlign w:val="bottom"/>
          </w:tcPr>
          <w:p w14:paraId="2AE93264" w14:textId="77777777" w:rsidR="007C3540" w:rsidRDefault="007C3540" w:rsidP="007C3540">
            <w:pPr>
              <w:spacing w:before="0" w:after="0" w:line="240" w:lineRule="auto"/>
              <w:rPr>
                <w:rFonts w:ascii="Arial" w:hAnsi="Arial" w:cs="Arial"/>
                <w:b/>
                <w:color w:val="000000" w:themeColor="text1"/>
                <w:sz w:val="16"/>
                <w:szCs w:val="16"/>
              </w:rPr>
            </w:pPr>
            <w:r w:rsidRPr="591FF694">
              <w:rPr>
                <w:rFonts w:ascii="Arial" w:hAnsi="Arial" w:cs="Arial"/>
                <w:b/>
                <w:color w:val="000000" w:themeColor="text1"/>
                <w:sz w:val="16"/>
                <w:szCs w:val="16"/>
              </w:rPr>
              <w:t> </w:t>
            </w:r>
          </w:p>
        </w:tc>
        <w:tc>
          <w:tcPr>
            <w:tcW w:w="715" w:type="dxa"/>
            <w:tcBorders>
              <w:top w:val="single" w:sz="4" w:space="0" w:color="293F5B"/>
              <w:left w:val="nil"/>
              <w:bottom w:val="nil"/>
              <w:right w:val="nil"/>
            </w:tcBorders>
            <w:shd w:val="clear" w:color="auto" w:fill="FFFFFF" w:themeFill="background1"/>
            <w:vAlign w:val="bottom"/>
          </w:tcPr>
          <w:p w14:paraId="4F3EE617" w14:textId="77777777" w:rsidR="007C3540" w:rsidRDefault="007C3540" w:rsidP="007C3540">
            <w:pPr>
              <w:spacing w:before="0" w:after="0" w:line="240" w:lineRule="auto"/>
              <w:rPr>
                <w:rFonts w:ascii="Arial" w:hAnsi="Arial" w:cs="Arial"/>
                <w:b/>
                <w:color w:val="000000" w:themeColor="text1"/>
                <w:sz w:val="16"/>
                <w:szCs w:val="16"/>
              </w:rPr>
            </w:pPr>
            <w:r w:rsidRPr="591FF694">
              <w:rPr>
                <w:rFonts w:ascii="Arial" w:hAnsi="Arial" w:cs="Arial"/>
                <w:b/>
                <w:color w:val="000000" w:themeColor="text1"/>
                <w:sz w:val="16"/>
                <w:szCs w:val="16"/>
              </w:rPr>
              <w:t> </w:t>
            </w:r>
          </w:p>
        </w:tc>
        <w:tc>
          <w:tcPr>
            <w:tcW w:w="715" w:type="dxa"/>
            <w:tcBorders>
              <w:top w:val="single" w:sz="4" w:space="0" w:color="293F5B"/>
              <w:left w:val="nil"/>
              <w:bottom w:val="nil"/>
              <w:right w:val="nil"/>
            </w:tcBorders>
            <w:shd w:val="clear" w:color="auto" w:fill="FFFFFF" w:themeFill="background1"/>
            <w:vAlign w:val="bottom"/>
          </w:tcPr>
          <w:p w14:paraId="3B0DF04D" w14:textId="77777777" w:rsidR="007C3540" w:rsidRDefault="007C3540" w:rsidP="007C3540">
            <w:pPr>
              <w:spacing w:before="0" w:after="0" w:line="240" w:lineRule="auto"/>
              <w:rPr>
                <w:rFonts w:ascii="Arial" w:hAnsi="Arial" w:cs="Arial"/>
                <w:b/>
                <w:color w:val="000000" w:themeColor="text1"/>
                <w:sz w:val="16"/>
                <w:szCs w:val="16"/>
              </w:rPr>
            </w:pPr>
            <w:r w:rsidRPr="591FF694">
              <w:rPr>
                <w:rFonts w:ascii="Arial" w:hAnsi="Arial" w:cs="Arial"/>
                <w:b/>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20C87BB0"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single" w:sz="4" w:space="0" w:color="293F5B"/>
              <w:left w:val="nil"/>
              <w:bottom w:val="nil"/>
              <w:right w:val="nil"/>
            </w:tcBorders>
            <w:shd w:val="clear" w:color="auto" w:fill="FFFFFF" w:themeFill="background1"/>
            <w:noWrap/>
            <w:vAlign w:val="bottom"/>
            <w:hideMark/>
          </w:tcPr>
          <w:p w14:paraId="463DCDE1" w14:textId="77777777" w:rsidR="007C3540" w:rsidRPr="007C3540" w:rsidRDefault="007C3540" w:rsidP="007C3540">
            <w:pPr>
              <w:spacing w:before="0" w:after="0" w:line="240" w:lineRule="auto"/>
              <w:rPr>
                <w:rFonts w:ascii="Arial" w:hAnsi="Arial" w:cs="Arial"/>
                <w:b/>
                <w:bCs/>
                <w:color w:val="000000"/>
                <w:sz w:val="16"/>
                <w:szCs w:val="16"/>
              </w:rPr>
            </w:pPr>
            <w:r w:rsidRPr="591FF694">
              <w:rPr>
                <w:rFonts w:ascii="Arial" w:hAnsi="Arial" w:cs="Arial"/>
                <w:b/>
                <w:color w:val="000000" w:themeColor="text1"/>
                <w:sz w:val="16"/>
                <w:szCs w:val="16"/>
              </w:rPr>
              <w:t> </w:t>
            </w:r>
          </w:p>
        </w:tc>
      </w:tr>
      <w:tr w:rsidR="007C3540" w:rsidRPr="007C3540" w14:paraId="6E22D840" w14:textId="77777777" w:rsidTr="591FF694">
        <w:trPr>
          <w:trHeight w:hRule="exact" w:val="225"/>
        </w:trPr>
        <w:tc>
          <w:tcPr>
            <w:tcW w:w="3336" w:type="dxa"/>
            <w:tcBorders>
              <w:top w:val="nil"/>
              <w:left w:val="nil"/>
              <w:bottom w:val="nil"/>
              <w:right w:val="nil"/>
            </w:tcBorders>
            <w:shd w:val="clear" w:color="auto" w:fill="FFFFFF" w:themeFill="background1"/>
            <w:noWrap/>
            <w:vAlign w:val="bottom"/>
            <w:hideMark/>
          </w:tcPr>
          <w:p w14:paraId="1C05BD60" w14:textId="5C5B2757" w:rsidR="007C3540" w:rsidRPr="007C3540" w:rsidRDefault="007C3540" w:rsidP="007C3540">
            <w:pPr>
              <w:spacing w:before="0" w:after="0" w:line="240" w:lineRule="auto"/>
              <w:rPr>
                <w:rFonts w:ascii="Arial" w:hAnsi="Arial" w:cs="Arial"/>
                <w:b/>
                <w:bCs/>
                <w:color w:val="000000"/>
                <w:sz w:val="16"/>
                <w:szCs w:val="16"/>
              </w:rPr>
            </w:pPr>
            <w:r w:rsidRPr="591FF694">
              <w:rPr>
                <w:rFonts w:ascii="Arial" w:hAnsi="Arial" w:cs="Arial"/>
                <w:b/>
                <w:color w:val="000000" w:themeColor="text1"/>
                <w:sz w:val="16"/>
                <w:szCs w:val="16"/>
              </w:rPr>
              <w:t>2025</w:t>
            </w:r>
            <w:r w:rsidR="00404C26">
              <w:rPr>
                <w:rFonts w:ascii="Arial" w:hAnsi="Arial" w:cs="Arial"/>
                <w:b/>
                <w:color w:val="000000" w:themeColor="text1"/>
                <w:sz w:val="16"/>
                <w:szCs w:val="16"/>
              </w:rPr>
              <w:noBreakHyphen/>
            </w:r>
            <w:r w:rsidRPr="591FF694">
              <w:rPr>
                <w:rFonts w:ascii="Arial" w:hAnsi="Arial" w:cs="Arial"/>
                <w:b/>
                <w:color w:val="000000" w:themeColor="text1"/>
                <w:sz w:val="16"/>
                <w:szCs w:val="16"/>
              </w:rPr>
              <w:t>26 Budget headline</w:t>
            </w:r>
          </w:p>
        </w:tc>
        <w:tc>
          <w:tcPr>
            <w:tcW w:w="716" w:type="dxa"/>
            <w:tcBorders>
              <w:top w:val="nil"/>
              <w:left w:val="nil"/>
              <w:bottom w:val="nil"/>
              <w:right w:val="nil"/>
            </w:tcBorders>
            <w:shd w:val="clear" w:color="auto" w:fill="FFFFFF" w:themeFill="background1"/>
            <w:noWrap/>
            <w:vAlign w:val="bottom"/>
            <w:hideMark/>
          </w:tcPr>
          <w:p w14:paraId="233EC6B2"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14" w:type="dxa"/>
            <w:tcBorders>
              <w:top w:val="nil"/>
              <w:left w:val="nil"/>
              <w:bottom w:val="nil"/>
              <w:right w:val="nil"/>
            </w:tcBorders>
            <w:shd w:val="clear" w:color="auto" w:fill="E6F2FF"/>
            <w:vAlign w:val="bottom"/>
          </w:tcPr>
          <w:p w14:paraId="3A5964B2" w14:textId="77777777" w:rsidR="007C3540" w:rsidRDefault="007C3540" w:rsidP="007C3540">
            <w:pPr>
              <w:spacing w:before="0" w:after="0" w:line="240" w:lineRule="auto"/>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1278C5D3"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3E49FC3B"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15" w:type="dxa"/>
            <w:tcBorders>
              <w:top w:val="nil"/>
              <w:left w:val="nil"/>
              <w:bottom w:val="nil"/>
              <w:right w:val="nil"/>
            </w:tcBorders>
            <w:shd w:val="clear" w:color="auto" w:fill="FFFFFF" w:themeFill="background1"/>
            <w:vAlign w:val="bottom"/>
          </w:tcPr>
          <w:p w14:paraId="375E2F56" w14:textId="77777777" w:rsidR="007C3540" w:rsidRDefault="007C3540" w:rsidP="007C3540">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 </w:t>
            </w:r>
          </w:p>
        </w:tc>
        <w:tc>
          <w:tcPr>
            <w:tcW w:w="73" w:type="dxa"/>
            <w:tcBorders>
              <w:top w:val="nil"/>
              <w:left w:val="nil"/>
              <w:bottom w:val="nil"/>
              <w:right w:val="nil"/>
            </w:tcBorders>
            <w:shd w:val="clear" w:color="auto" w:fill="FFFFFF" w:themeFill="background1"/>
            <w:noWrap/>
            <w:vAlign w:val="bottom"/>
            <w:hideMark/>
          </w:tcPr>
          <w:p w14:paraId="334AD028"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nil"/>
              <w:right w:val="nil"/>
            </w:tcBorders>
            <w:shd w:val="clear" w:color="auto" w:fill="FFFFFF" w:themeFill="background1"/>
            <w:noWrap/>
            <w:vAlign w:val="bottom"/>
            <w:hideMark/>
          </w:tcPr>
          <w:p w14:paraId="5820672C"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r>
      <w:tr w:rsidR="007C3540" w:rsidRPr="007C3540" w14:paraId="7E42639F" w14:textId="77777777" w:rsidTr="591FF694">
        <w:trPr>
          <w:trHeight w:hRule="exact" w:val="225"/>
        </w:trPr>
        <w:tc>
          <w:tcPr>
            <w:tcW w:w="3336" w:type="dxa"/>
            <w:tcBorders>
              <w:top w:val="nil"/>
              <w:left w:val="nil"/>
              <w:bottom w:val="single" w:sz="4" w:space="0" w:color="293F5B"/>
              <w:right w:val="nil"/>
            </w:tcBorders>
            <w:shd w:val="clear" w:color="auto" w:fill="FFFFFF" w:themeFill="background1"/>
            <w:noWrap/>
            <w:vAlign w:val="bottom"/>
            <w:hideMark/>
          </w:tcPr>
          <w:p w14:paraId="49CF0436" w14:textId="77777777" w:rsidR="007C3540" w:rsidRPr="007C3540" w:rsidRDefault="007C3540" w:rsidP="007C3540">
            <w:pPr>
              <w:spacing w:before="0" w:after="0" w:line="240" w:lineRule="auto"/>
              <w:ind w:left="170"/>
              <w:rPr>
                <w:rFonts w:ascii="Arial" w:hAnsi="Arial" w:cs="Arial"/>
                <w:b/>
                <w:bCs/>
                <w:color w:val="000000"/>
                <w:sz w:val="16"/>
                <w:szCs w:val="16"/>
              </w:rPr>
            </w:pPr>
            <w:r w:rsidRPr="591FF694">
              <w:rPr>
                <w:rFonts w:ascii="Arial" w:hAnsi="Arial" w:cs="Arial"/>
                <w:b/>
                <w:color w:val="000000" w:themeColor="text1"/>
                <w:sz w:val="16"/>
                <w:szCs w:val="16"/>
              </w:rPr>
              <w:t>cash balance</w:t>
            </w:r>
          </w:p>
        </w:tc>
        <w:tc>
          <w:tcPr>
            <w:tcW w:w="716" w:type="dxa"/>
            <w:tcBorders>
              <w:top w:val="nil"/>
              <w:left w:val="nil"/>
              <w:bottom w:val="single" w:sz="4" w:space="0" w:color="293F5B"/>
              <w:right w:val="nil"/>
            </w:tcBorders>
            <w:shd w:val="clear" w:color="auto" w:fill="FFFFFF" w:themeFill="background1"/>
            <w:noWrap/>
            <w:vAlign w:val="bottom"/>
            <w:hideMark/>
          </w:tcPr>
          <w:p w14:paraId="25E17A4A" w14:textId="37319372" w:rsidR="007C3540" w:rsidRPr="007C3540" w:rsidRDefault="00404C26" w:rsidP="007C3540">
            <w:pPr>
              <w:spacing w:before="0" w:after="0" w:line="240" w:lineRule="auto"/>
              <w:jc w:val="right"/>
              <w:rPr>
                <w:rFonts w:ascii="Arial" w:hAnsi="Arial" w:cs="Arial"/>
                <w:b/>
                <w:bCs/>
                <w:color w:val="000000"/>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46,681</w:t>
            </w:r>
          </w:p>
        </w:tc>
        <w:tc>
          <w:tcPr>
            <w:tcW w:w="714" w:type="dxa"/>
            <w:tcBorders>
              <w:top w:val="nil"/>
              <w:left w:val="nil"/>
              <w:bottom w:val="single" w:sz="4" w:space="0" w:color="293F5B"/>
              <w:right w:val="nil"/>
            </w:tcBorders>
            <w:shd w:val="clear" w:color="auto" w:fill="E6F2FF"/>
            <w:vAlign w:val="bottom"/>
          </w:tcPr>
          <w:p w14:paraId="561D2739" w14:textId="7F6E751D" w:rsidR="007C3540" w:rsidRDefault="00404C26" w:rsidP="007C3540">
            <w:pPr>
              <w:spacing w:before="0" w:after="0" w:line="240" w:lineRule="auto"/>
              <w:jc w:val="right"/>
              <w:rPr>
                <w:rFonts w:ascii="Arial" w:hAnsi="Arial" w:cs="Arial"/>
                <w:b/>
                <w:color w:val="000000" w:themeColor="text1"/>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65,198</w:t>
            </w:r>
          </w:p>
        </w:tc>
        <w:tc>
          <w:tcPr>
            <w:tcW w:w="715" w:type="dxa"/>
            <w:tcBorders>
              <w:top w:val="nil"/>
              <w:left w:val="nil"/>
              <w:bottom w:val="single" w:sz="4" w:space="0" w:color="293F5B"/>
              <w:right w:val="nil"/>
            </w:tcBorders>
            <w:shd w:val="clear" w:color="auto" w:fill="FFFFFF" w:themeFill="background1"/>
            <w:vAlign w:val="bottom"/>
          </w:tcPr>
          <w:p w14:paraId="37769458" w14:textId="690E347E" w:rsidR="007C3540" w:rsidRDefault="00404C26" w:rsidP="007C3540">
            <w:pPr>
              <w:spacing w:before="0" w:after="0" w:line="240" w:lineRule="auto"/>
              <w:jc w:val="right"/>
              <w:rPr>
                <w:rFonts w:ascii="Arial" w:hAnsi="Arial" w:cs="Arial"/>
                <w:b/>
                <w:color w:val="000000" w:themeColor="text1"/>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58,465</w:t>
            </w:r>
          </w:p>
        </w:tc>
        <w:tc>
          <w:tcPr>
            <w:tcW w:w="715" w:type="dxa"/>
            <w:tcBorders>
              <w:top w:val="nil"/>
              <w:left w:val="nil"/>
              <w:bottom w:val="single" w:sz="4" w:space="0" w:color="293F5B"/>
              <w:right w:val="nil"/>
            </w:tcBorders>
            <w:shd w:val="clear" w:color="auto" w:fill="FFFFFF" w:themeFill="background1"/>
            <w:vAlign w:val="bottom"/>
          </w:tcPr>
          <w:p w14:paraId="5B25B741" w14:textId="707975E2" w:rsidR="007C3540" w:rsidRDefault="00404C26" w:rsidP="007C3540">
            <w:pPr>
              <w:spacing w:before="0" w:after="0" w:line="240" w:lineRule="auto"/>
              <w:jc w:val="right"/>
              <w:rPr>
                <w:rFonts w:ascii="Arial" w:hAnsi="Arial" w:cs="Arial"/>
                <w:b/>
                <w:color w:val="000000" w:themeColor="text1"/>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57,209</w:t>
            </w:r>
          </w:p>
        </w:tc>
        <w:tc>
          <w:tcPr>
            <w:tcW w:w="715" w:type="dxa"/>
            <w:tcBorders>
              <w:top w:val="nil"/>
              <w:left w:val="nil"/>
              <w:bottom w:val="single" w:sz="4" w:space="0" w:color="293F5B"/>
              <w:right w:val="nil"/>
            </w:tcBorders>
            <w:shd w:val="clear" w:color="auto" w:fill="FFFFFF" w:themeFill="background1"/>
            <w:vAlign w:val="bottom"/>
          </w:tcPr>
          <w:p w14:paraId="50F416CC" w14:textId="36B41AF1" w:rsidR="007C3540" w:rsidRDefault="00404C26" w:rsidP="007C3540">
            <w:pPr>
              <w:spacing w:before="0" w:after="0" w:line="240" w:lineRule="auto"/>
              <w:jc w:val="right"/>
              <w:rPr>
                <w:rFonts w:ascii="Arial" w:hAnsi="Arial" w:cs="Arial"/>
                <w:b/>
                <w:color w:val="000000" w:themeColor="text1"/>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55,853</w:t>
            </w:r>
          </w:p>
        </w:tc>
        <w:tc>
          <w:tcPr>
            <w:tcW w:w="73" w:type="dxa"/>
            <w:tcBorders>
              <w:top w:val="nil"/>
              <w:left w:val="nil"/>
              <w:bottom w:val="single" w:sz="4" w:space="0" w:color="293F5B"/>
              <w:right w:val="nil"/>
            </w:tcBorders>
            <w:shd w:val="clear" w:color="auto" w:fill="FFFFFF" w:themeFill="background1"/>
            <w:noWrap/>
            <w:vAlign w:val="bottom"/>
            <w:hideMark/>
          </w:tcPr>
          <w:p w14:paraId="3F1B7650" w14:textId="77777777" w:rsidR="007C3540" w:rsidRPr="007C3540" w:rsidRDefault="007C3540" w:rsidP="007C3540">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6" w:type="dxa"/>
            <w:tcBorders>
              <w:top w:val="nil"/>
              <w:left w:val="nil"/>
              <w:bottom w:val="single" w:sz="4" w:space="0" w:color="293F5B"/>
              <w:right w:val="nil"/>
            </w:tcBorders>
            <w:shd w:val="clear" w:color="auto" w:fill="FFFFFF" w:themeFill="background1"/>
            <w:noWrap/>
            <w:vAlign w:val="bottom"/>
            <w:hideMark/>
          </w:tcPr>
          <w:p w14:paraId="1B96AB9D" w14:textId="10667BCC" w:rsidR="007C3540" w:rsidRPr="007C3540" w:rsidRDefault="00404C26" w:rsidP="007C3540">
            <w:pPr>
              <w:spacing w:before="0" w:after="0" w:line="240" w:lineRule="auto"/>
              <w:jc w:val="right"/>
              <w:rPr>
                <w:rFonts w:ascii="Arial" w:hAnsi="Arial" w:cs="Arial"/>
                <w:b/>
                <w:bCs/>
                <w:color w:val="000000"/>
                <w:sz w:val="16"/>
                <w:szCs w:val="16"/>
              </w:rPr>
            </w:pPr>
            <w:r>
              <w:rPr>
                <w:rFonts w:ascii="Arial" w:hAnsi="Arial" w:cs="Arial"/>
                <w:b/>
                <w:color w:val="000000" w:themeColor="text1"/>
                <w:sz w:val="16"/>
                <w:szCs w:val="16"/>
              </w:rPr>
              <w:noBreakHyphen/>
            </w:r>
            <w:r w:rsidR="007C3540" w:rsidRPr="591FF694">
              <w:rPr>
                <w:rFonts w:ascii="Arial" w:hAnsi="Arial" w:cs="Arial"/>
                <w:b/>
                <w:color w:val="000000" w:themeColor="text1"/>
                <w:sz w:val="16"/>
                <w:szCs w:val="16"/>
              </w:rPr>
              <w:t>283,406</w:t>
            </w:r>
          </w:p>
        </w:tc>
      </w:tr>
    </w:tbl>
    <w:p w14:paraId="2CA0AFC3" w14:textId="48F041AC" w:rsidR="00B2621F" w:rsidRPr="00576DC7" w:rsidRDefault="00B2621F" w:rsidP="00F653D1">
      <w:pPr>
        <w:pStyle w:val="ChartandTableFootnoteAlpha"/>
        <w:numPr>
          <w:ilvl w:val="0"/>
          <w:numId w:val="10"/>
        </w:numPr>
        <w:rPr>
          <w:color w:val="auto"/>
        </w:rPr>
      </w:pPr>
      <w:r w:rsidRPr="00576DC7">
        <w:rPr>
          <w:color w:val="auto"/>
        </w:rPr>
        <w:t xml:space="preserve">A positive number denotes a cash inflow; a negative number denotes a cash outflow. </w:t>
      </w:r>
    </w:p>
    <w:p w14:paraId="329C4C29" w14:textId="2A097C3F" w:rsidR="005F10D8" w:rsidRPr="00CB1529" w:rsidRDefault="00404C26" w:rsidP="00983B06">
      <w:pPr>
        <w:pStyle w:val="ChartandTableFootnoteAlpha"/>
      </w:pPr>
      <w:r>
        <w:rPr>
          <w:color w:val="auto"/>
        </w:rPr>
        <w:t>‘</w:t>
      </w:r>
      <w:r w:rsidR="00FA1F9D" w:rsidRPr="00576DC7">
        <w:rPr>
          <w:color w:val="auto"/>
        </w:rPr>
        <w:t>Net other</w:t>
      </w:r>
      <w:r>
        <w:rPr>
          <w:color w:val="auto"/>
        </w:rPr>
        <w:t>’</w:t>
      </w:r>
      <w:r w:rsidR="00FA1F9D" w:rsidRPr="00576DC7">
        <w:rPr>
          <w:color w:val="auto"/>
        </w:rPr>
        <w:t xml:space="preserve"> includes amounts that cannot be itemised, including commercial</w:t>
      </w:r>
      <w:r>
        <w:rPr>
          <w:color w:val="auto"/>
        </w:rPr>
        <w:noBreakHyphen/>
      </w:r>
      <w:r w:rsidR="00FA1F9D" w:rsidRPr="00576DC7">
        <w:rPr>
          <w:color w:val="auto"/>
        </w:rPr>
        <w:t>in</w:t>
      </w:r>
      <w:r>
        <w:rPr>
          <w:color w:val="auto"/>
        </w:rPr>
        <w:noBreakHyphen/>
      </w:r>
      <w:r w:rsidR="00FA1F9D" w:rsidRPr="00576DC7">
        <w:rPr>
          <w:color w:val="auto"/>
        </w:rPr>
        <w:t>confidence transactions</w:t>
      </w:r>
      <w:r w:rsidR="0023668D" w:rsidRPr="00576DC7">
        <w:rPr>
          <w:color w:val="auto"/>
        </w:rPr>
        <w:t xml:space="preserve"> and decisions taken but not yet announced.</w:t>
      </w:r>
      <w:r w:rsidR="00B2621F" w:rsidRPr="00CB1529">
        <w:t xml:space="preserve"> </w:t>
      </w:r>
    </w:p>
    <w:p w14:paraId="0CE04525" w14:textId="269E7669" w:rsidR="00865931" w:rsidRPr="000843B4" w:rsidRDefault="00865931" w:rsidP="003968DD">
      <w:pPr>
        <w:pStyle w:val="TableLine"/>
      </w:pPr>
    </w:p>
    <w:p w14:paraId="36D6B790" w14:textId="453554F8" w:rsidR="00865931" w:rsidRPr="00576DC7" w:rsidRDefault="00865931" w:rsidP="00865931">
      <w:pPr>
        <w:pStyle w:val="Heading3"/>
      </w:pPr>
      <w:bookmarkStart w:id="73" w:name="_Toc117356559"/>
      <w:bookmarkStart w:id="74" w:name="_Toc193537054"/>
      <w:r w:rsidRPr="00576DC7">
        <w:lastRenderedPageBreak/>
        <w:t>Medium</w:t>
      </w:r>
      <w:r w:rsidR="00404C26">
        <w:noBreakHyphen/>
      </w:r>
      <w:r w:rsidRPr="00576DC7">
        <w:t>term projections</w:t>
      </w:r>
      <w:bookmarkEnd w:id="73"/>
      <w:bookmarkEnd w:id="74"/>
    </w:p>
    <w:p w14:paraId="72C21997" w14:textId="66D2D4C6" w:rsidR="00865931" w:rsidRPr="00576DC7" w:rsidRDefault="00865931" w:rsidP="00E81DB2">
      <w:r w:rsidRPr="00576DC7">
        <w:t xml:space="preserve">The underlying cash balance </w:t>
      </w:r>
      <w:r w:rsidR="005A3F31" w:rsidRPr="00576DC7">
        <w:t xml:space="preserve">is expected to </w:t>
      </w:r>
      <w:r w:rsidR="00394815" w:rsidRPr="00576DC7">
        <w:t>return to</w:t>
      </w:r>
      <w:r w:rsidR="005A3F31" w:rsidRPr="00576DC7">
        <w:t xml:space="preserve"> balance in </w:t>
      </w:r>
      <w:r w:rsidRPr="00576DC7">
        <w:t>2035–36</w:t>
      </w:r>
      <w:r w:rsidR="007F21BB" w:rsidRPr="00576DC7">
        <w:t xml:space="preserve"> (Chart</w:t>
      </w:r>
      <w:r w:rsidR="00EC3E3E" w:rsidRPr="00576DC7">
        <w:t xml:space="preserve"> 3.</w:t>
      </w:r>
      <w:r w:rsidR="00075357" w:rsidRPr="00576DC7">
        <w:t>3</w:t>
      </w:r>
      <w:r w:rsidR="00EC3E3E" w:rsidRPr="00845918">
        <w:t>)</w:t>
      </w:r>
      <w:r w:rsidRPr="00845918">
        <w:t>.</w:t>
      </w:r>
      <w:r w:rsidR="00845918" w:rsidRPr="00845918">
        <w:t xml:space="preserve"> The change in the underlying cash balance over the medium</w:t>
      </w:r>
      <w:r w:rsidR="00404C26">
        <w:noBreakHyphen/>
      </w:r>
      <w:r w:rsidR="00845918" w:rsidRPr="00845918">
        <w:t>term since MYEFO primarily reflects the new tax cuts for all Australian taxpayers.</w:t>
      </w:r>
    </w:p>
    <w:p w14:paraId="592CB1F3" w14:textId="77777777" w:rsidR="005B4C46" w:rsidRPr="00576DC7" w:rsidRDefault="004776DA" w:rsidP="003573A4">
      <w:r w:rsidRPr="00576DC7">
        <w:t>By 30 June 2036, gross debt is expected to be 31.9 per cent of GDP (Chart 3.</w:t>
      </w:r>
      <w:r w:rsidR="00075357" w:rsidRPr="00576DC7">
        <w:t>4</w:t>
      </w:r>
      <w:r w:rsidRPr="00576DC7">
        <w:t xml:space="preserve">). Compared to the PEFO, gross debt is lower every year of the projection period. </w:t>
      </w:r>
    </w:p>
    <w:p w14:paraId="4FD522C8" w14:textId="415717B5" w:rsidR="00865931" w:rsidRPr="004776DA" w:rsidRDefault="00C84917" w:rsidP="003573A4">
      <w:r w:rsidRPr="00576DC7">
        <w:t>Total receipts as a share of GDP are expected to increase from 25.3 per cent of GDP in 2028–</w:t>
      </w:r>
      <w:r w:rsidRPr="00576DC7">
        <w:rPr>
          <w:w w:val="1"/>
        </w:rPr>
        <w:t> </w:t>
      </w:r>
      <w:r w:rsidRPr="00576DC7">
        <w:t>29 to 26.8 per cent of GDP in 2035–36. Total payments as a share of GDP are expected to increase from 26.4 per cent in 2028–29 to 26.8 per cent in 2035–36 (Chart 3.</w:t>
      </w:r>
      <w:r w:rsidR="00075357" w:rsidRPr="00576DC7">
        <w:t>5</w:t>
      </w:r>
      <w:r w:rsidRPr="00576DC7">
        <w:t>).</w:t>
      </w:r>
      <w:r w:rsidR="001B3C7F" w:rsidRPr="00576DC7">
        <w:t xml:space="preserve"> </w:t>
      </w:r>
    </w:p>
    <w:tbl>
      <w:tblPr>
        <w:tblW w:w="5000" w:type="pct"/>
        <w:tblLayout w:type="fixed"/>
        <w:tblCellMar>
          <w:left w:w="0" w:type="dxa"/>
          <w:right w:w="0" w:type="dxa"/>
        </w:tblCellMar>
        <w:tblLook w:val="04A0" w:firstRow="1" w:lastRow="0" w:firstColumn="1" w:lastColumn="0" w:noHBand="0" w:noVBand="1"/>
      </w:tblPr>
      <w:tblGrid>
        <w:gridCol w:w="3855"/>
        <w:gridCol w:w="3855"/>
      </w:tblGrid>
      <w:tr w:rsidR="005919CF" w:rsidRPr="00712254" w14:paraId="22C936FA" w14:textId="77777777" w:rsidTr="00355016">
        <w:tc>
          <w:tcPr>
            <w:tcW w:w="3855" w:type="dxa"/>
          </w:tcPr>
          <w:p w14:paraId="0809F88B" w14:textId="3F4125E2" w:rsidR="005919CF" w:rsidRPr="00760BAB" w:rsidRDefault="005919CF" w:rsidP="00760BAB">
            <w:pPr>
              <w:pStyle w:val="ChartMainHeading"/>
            </w:pPr>
            <w:bookmarkStart w:id="75" w:name="_Toc117356563"/>
            <w:r w:rsidRPr="00576DC7">
              <w:t>Chart 3.</w:t>
            </w:r>
            <w:r w:rsidR="00075357" w:rsidRPr="00576DC7">
              <w:t>3</w:t>
            </w:r>
            <w:r w:rsidRPr="00576DC7">
              <w:t>: Underlying cash balance</w:t>
            </w:r>
            <w:r w:rsidRPr="00760BAB">
              <w:t xml:space="preserve"> </w:t>
            </w:r>
          </w:p>
        </w:tc>
        <w:tc>
          <w:tcPr>
            <w:tcW w:w="3855" w:type="dxa"/>
          </w:tcPr>
          <w:p w14:paraId="019095A3" w14:textId="4C082AD8" w:rsidR="005919CF" w:rsidRPr="00760BAB" w:rsidRDefault="005919CF" w:rsidP="00760BAB">
            <w:pPr>
              <w:pStyle w:val="ChartMainHeading"/>
            </w:pPr>
            <w:r w:rsidRPr="00576DC7">
              <w:t>Chart 3.</w:t>
            </w:r>
            <w:r w:rsidR="00075357" w:rsidRPr="00576DC7">
              <w:t>4</w:t>
            </w:r>
            <w:r w:rsidRPr="00576DC7">
              <w:t>: Gross debt</w:t>
            </w:r>
            <w:r w:rsidRPr="00760BAB">
              <w:t xml:space="preserve"> </w:t>
            </w:r>
          </w:p>
        </w:tc>
      </w:tr>
      <w:tr w:rsidR="005919CF" w:rsidRPr="00712254" w14:paraId="5A693B35" w14:textId="77777777" w:rsidTr="00355016">
        <w:tblPrEx>
          <w:tblCellMar>
            <w:left w:w="108" w:type="dxa"/>
          </w:tblCellMar>
        </w:tblPrEx>
        <w:tc>
          <w:tcPr>
            <w:tcW w:w="3855" w:type="dxa"/>
          </w:tcPr>
          <w:p w14:paraId="1C4EE778" w14:textId="4023070E" w:rsidR="005919CF" w:rsidRPr="00E13C9F" w:rsidRDefault="00000000">
            <w:pPr>
              <w:pStyle w:val="ChartGraphic"/>
            </w:pPr>
            <w:bookmarkStart w:id="76" w:name="_1803895481"/>
            <w:bookmarkStart w:id="77" w:name="_1803895824"/>
            <w:bookmarkStart w:id="78" w:name="_1803895854"/>
            <w:bookmarkStart w:id="79" w:name="_1804053196"/>
            <w:bookmarkStart w:id="80" w:name="_1804052888"/>
            <w:bookmarkEnd w:id="76"/>
            <w:bookmarkEnd w:id="77"/>
            <w:bookmarkEnd w:id="78"/>
            <w:bookmarkEnd w:id="79"/>
            <w:bookmarkEnd w:id="80"/>
            <w:r>
              <w:rPr>
                <w:noProof/>
              </w:rPr>
              <w:pict w14:anchorId="197BDEE7">
                <v:shape id="_x0000_i1027" type="#_x0000_t75" alt="This line chart compares projections of the underlying cash balance at the 2025-26 Budget, the 2024-25 MYEFO and the 2022 PEFO. The underlying cash balance as a share of GDP is expected to be in deficit over the projection period before returning to balance at the end of the medium term. Compared to the 2024-25 MYEFO, the underlying cash balance as a share of GDP is on average unchanged over the 5 years to 2028-29, but has deteriorated over the medium term. Compared to the 2022 PEFO, the underlying cash balance as a share of GDP is improved, except for 2029-30, 2031-32 and 2032-33." style="width:196.5pt;height:196.5pt">
                  <v:imagedata r:id="rId21" o:title=""/>
                </v:shape>
              </w:pict>
            </w:r>
          </w:p>
        </w:tc>
        <w:tc>
          <w:tcPr>
            <w:tcW w:w="3855" w:type="dxa"/>
          </w:tcPr>
          <w:p w14:paraId="1A12B2FC" w14:textId="26379D2C" w:rsidR="005919CF" w:rsidRPr="00E13C9F" w:rsidRDefault="00000000">
            <w:pPr>
              <w:pStyle w:val="ChartGraphic"/>
            </w:pPr>
            <w:bookmarkStart w:id="81" w:name="_1776866062"/>
            <w:bookmarkStart w:id="82" w:name="_1802789299"/>
            <w:bookmarkStart w:id="83" w:name="_1803896507"/>
            <w:bookmarkStart w:id="84" w:name="_1804053198"/>
            <w:bookmarkStart w:id="85" w:name="_1804052890"/>
            <w:bookmarkEnd w:id="81"/>
            <w:bookmarkEnd w:id="82"/>
            <w:bookmarkEnd w:id="83"/>
            <w:bookmarkEnd w:id="84"/>
            <w:bookmarkEnd w:id="85"/>
            <w:r>
              <w:rPr>
                <w:noProof/>
              </w:rPr>
              <w:pict w14:anchorId="3B0E1490">
                <v:shape id="_x0000_i1028" type="#_x0000_t75" alt="This line chart compares projections of gross debt as a share of GDP at the 2025-26 Budget, the 2024-25 MYEFO and the 2022 PEFO. In the 2025-26 Budget, gross debt is expected to be 33.7 per cent of GDP in 2024-25 before peaking at 37.0 per cent of GDP in 2029-30 and reducing to 31.9 per cent of GDP by the end of the medium term. At MYEFO, gross debt was expected to stabilise at 36.7 per cent of GDP in 2026-27 and decrease to 31.4 per cent by 2034-35. At PEFO, gross debt was expected to peak at 44.9 per cent of GDP in 2024-25 and decrease to 40.3 per cent by 2032-33. Gross debt as a share of GDP is projected to be higher over the medium term compared to the 2024-25 MYEFO, but lower over the medium term compared to the 2022 PEFO." style="width:194.25pt;height:194.25pt">
                  <v:imagedata r:id="rId22" o:title=""/>
                </v:shape>
              </w:pict>
            </w:r>
          </w:p>
        </w:tc>
      </w:tr>
      <w:tr w:rsidR="005919CF" w:rsidRPr="00712254" w14:paraId="7CA79FA5" w14:textId="77777777" w:rsidTr="00355016">
        <w:trPr>
          <w:trHeight w:val="390"/>
        </w:trPr>
        <w:tc>
          <w:tcPr>
            <w:tcW w:w="3855" w:type="dxa"/>
          </w:tcPr>
          <w:p w14:paraId="121157A8" w14:textId="3E107D0D" w:rsidR="005919CF" w:rsidRPr="00E13C9F" w:rsidRDefault="005919CF">
            <w:pPr>
              <w:pStyle w:val="ChartandTableFootnote"/>
              <w:rPr>
                <w:color w:val="auto"/>
              </w:rPr>
            </w:pPr>
            <w:r w:rsidRPr="00576DC7">
              <w:rPr>
                <w:color w:val="auto"/>
              </w:rPr>
              <w:t xml:space="preserve">Source: </w:t>
            </w:r>
            <w:r w:rsidRPr="00576DC7">
              <w:rPr>
                <w:color w:val="auto"/>
              </w:rPr>
              <w:tab/>
              <w:t>Treasury.</w:t>
            </w:r>
          </w:p>
        </w:tc>
        <w:tc>
          <w:tcPr>
            <w:tcW w:w="3855" w:type="dxa"/>
          </w:tcPr>
          <w:p w14:paraId="3E5C7956" w14:textId="02979088" w:rsidR="005919CF" w:rsidRPr="00E13C9F" w:rsidRDefault="005919CF">
            <w:pPr>
              <w:pStyle w:val="ChartandTableFootnote"/>
              <w:rPr>
                <w:color w:val="auto"/>
              </w:rPr>
            </w:pPr>
            <w:r w:rsidRPr="00576DC7">
              <w:rPr>
                <w:color w:val="auto"/>
              </w:rPr>
              <w:t xml:space="preserve">Source: </w:t>
            </w:r>
            <w:r w:rsidRPr="00576DC7">
              <w:rPr>
                <w:color w:val="auto"/>
              </w:rPr>
              <w:tab/>
              <w:t>Australian Office of Financial Management, Treasury.</w:t>
            </w:r>
          </w:p>
        </w:tc>
      </w:tr>
    </w:tbl>
    <w:p w14:paraId="1CA55904" w14:textId="77777777" w:rsidR="00303043" w:rsidRDefault="00303043" w:rsidP="004701E1">
      <w:pPr>
        <w:pStyle w:val="ChartLine"/>
      </w:pPr>
    </w:p>
    <w:p w14:paraId="51A59923" w14:textId="730A6F51" w:rsidR="00865931" w:rsidRPr="00712254" w:rsidRDefault="00865931" w:rsidP="00865931">
      <w:pPr>
        <w:pStyle w:val="ChartMainHeading"/>
      </w:pPr>
      <w:r w:rsidRPr="00576DC7">
        <w:lastRenderedPageBreak/>
        <w:t>Chart 3.</w:t>
      </w:r>
      <w:r w:rsidR="00075357" w:rsidRPr="00576DC7">
        <w:t>5</w:t>
      </w:r>
      <w:r w:rsidRPr="00576DC7">
        <w:t>: Payments and receipts</w:t>
      </w:r>
    </w:p>
    <w:p w14:paraId="58F0BCEA" w14:textId="5D73F8C9" w:rsidR="00865931" w:rsidRPr="00712254" w:rsidRDefault="00000000" w:rsidP="00865931">
      <w:pPr>
        <w:pStyle w:val="ChartGraphic"/>
      </w:pPr>
      <w:r>
        <w:pict w14:anchorId="59EC688E">
          <v:shape id="_x0000_i1029" type="#_x0000_t75" alt="This line chart shows projections for total payments and total receipts as a share of GDP. Historically receipts and payments have typically varied between 22 and 26 per cent of GDP, with spikes in payments-to-GDP and falls in receipts-to-GDP following economic downturns. Total payments are projected to remain elevated above historic levels in the projection period - increasing from 26.2 per cent of GDP in 2024-25 to 26.8 per cent of GDP in 2035-36. Total receipts are projected to increase from 25.3 per cent of GDP in 2024-25 to 26.8 per cent of GDP in 2035-36." style="width:380.25pt;height:201.75pt">
            <v:imagedata r:id="rId23" o:title=""/>
          </v:shape>
        </w:pict>
      </w:r>
    </w:p>
    <w:p w14:paraId="268C37BF" w14:textId="02794E56" w:rsidR="00865931" w:rsidRPr="00712254" w:rsidRDefault="00865931" w:rsidP="00865931">
      <w:pPr>
        <w:pStyle w:val="ChartandTableFootnote"/>
        <w:rPr>
          <w:color w:val="auto"/>
        </w:rPr>
      </w:pPr>
      <w:r w:rsidRPr="00576DC7">
        <w:rPr>
          <w:color w:val="auto"/>
        </w:rPr>
        <w:t xml:space="preserve">Source: </w:t>
      </w:r>
      <w:r w:rsidRPr="00576DC7">
        <w:rPr>
          <w:color w:val="auto"/>
        </w:rPr>
        <w:tab/>
        <w:t>Treasury.</w:t>
      </w:r>
    </w:p>
    <w:p w14:paraId="6C4372F3" w14:textId="77777777" w:rsidR="00865931" w:rsidRPr="00712254" w:rsidRDefault="00865931" w:rsidP="004701E1">
      <w:pPr>
        <w:pStyle w:val="ChartLine"/>
      </w:pPr>
    </w:p>
    <w:p w14:paraId="6E4ED17B" w14:textId="77777777" w:rsidR="00CF370A" w:rsidRDefault="00CF370A" w:rsidP="00CF370A">
      <w:pPr>
        <w:pStyle w:val="SingleParagraph"/>
      </w:pPr>
    </w:p>
    <w:p w14:paraId="729DC8F0" w14:textId="05187152" w:rsidR="00865931" w:rsidRPr="00576DC7" w:rsidRDefault="00865931" w:rsidP="006440C4">
      <w:pPr>
        <w:pStyle w:val="Heading4"/>
      </w:pPr>
      <w:r w:rsidRPr="00576DC7">
        <w:t>Changes in the medium</w:t>
      </w:r>
      <w:r w:rsidR="00404C26">
        <w:noBreakHyphen/>
      </w:r>
      <w:r w:rsidRPr="00576DC7">
        <w:t>term outlook since MYEFO</w:t>
      </w:r>
    </w:p>
    <w:p w14:paraId="116FCB66" w14:textId="5F5FD48B" w:rsidR="0015317E" w:rsidRPr="00576DC7" w:rsidRDefault="0015317E" w:rsidP="006440C4">
      <w:pPr>
        <w:pStyle w:val="Heading5"/>
      </w:pPr>
      <w:r w:rsidRPr="00576DC7">
        <w:t>Receipts over the medium term</w:t>
      </w:r>
    </w:p>
    <w:p w14:paraId="401FCF5F" w14:textId="145467A2" w:rsidR="0015317E" w:rsidRPr="00712254" w:rsidRDefault="00865931" w:rsidP="00BE2C32">
      <w:r w:rsidRPr="00576DC7">
        <w:t xml:space="preserve">Receipts as a share of GDP are lower since MYEFO, including </w:t>
      </w:r>
      <w:r w:rsidR="00D90AD0" w:rsidRPr="00576DC7">
        <w:t>0.3</w:t>
      </w:r>
      <w:r w:rsidR="00183E9D" w:rsidRPr="00576DC7">
        <w:t> </w:t>
      </w:r>
      <w:r w:rsidRPr="00576DC7">
        <w:t>percentage points lower in 2034</w:t>
      </w:r>
      <w:r w:rsidR="00B961F4" w:rsidRPr="00576DC7">
        <w:t>–</w:t>
      </w:r>
      <w:r w:rsidRPr="00576DC7">
        <w:t>35</w:t>
      </w:r>
      <w:r w:rsidR="00343515" w:rsidRPr="00576DC7">
        <w:t xml:space="preserve"> (Chart 3.</w:t>
      </w:r>
      <w:r w:rsidR="00075357" w:rsidRPr="00576DC7">
        <w:t>6</w:t>
      </w:r>
      <w:r w:rsidR="00343515" w:rsidRPr="00576DC7">
        <w:t>)</w:t>
      </w:r>
      <w:r w:rsidRPr="00576DC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0"/>
        <w:gridCol w:w="3850"/>
      </w:tblGrid>
      <w:tr w:rsidR="007D2D39" w:rsidRPr="00C05BED" w14:paraId="680245C1" w14:textId="4A87FB7C" w:rsidTr="00FA60FB">
        <w:tc>
          <w:tcPr>
            <w:tcW w:w="3850" w:type="dxa"/>
          </w:tcPr>
          <w:p w14:paraId="6C80FDEF" w14:textId="667E3F6F" w:rsidR="007D2D39" w:rsidRPr="00C05BED" w:rsidRDefault="007D2D39" w:rsidP="00ED4C29">
            <w:pPr>
              <w:pStyle w:val="ChartMainHeading"/>
              <w:rPr>
                <w:highlight w:val="lightGray"/>
              </w:rPr>
            </w:pPr>
            <w:r w:rsidRPr="00576DC7">
              <w:t>Chart 3.</w:t>
            </w:r>
            <w:r w:rsidR="00075357" w:rsidRPr="00576DC7">
              <w:t>6</w:t>
            </w:r>
            <w:r w:rsidRPr="00576DC7">
              <w:t>: Total receipts</w:t>
            </w:r>
          </w:p>
        </w:tc>
        <w:tc>
          <w:tcPr>
            <w:tcW w:w="3850" w:type="dxa"/>
          </w:tcPr>
          <w:p w14:paraId="5DC7926C" w14:textId="43EF559F" w:rsidR="007D2D39" w:rsidRPr="00576DC7" w:rsidRDefault="007D2D39" w:rsidP="007D2D39">
            <w:pPr>
              <w:pStyle w:val="ChartMainHeading"/>
            </w:pPr>
            <w:r w:rsidRPr="00576DC7">
              <w:t>Chart 3.</w:t>
            </w:r>
            <w:r w:rsidR="00075357" w:rsidRPr="00576DC7">
              <w:t>7</w:t>
            </w:r>
            <w:r w:rsidRPr="00576DC7">
              <w:t xml:space="preserve">: Total payments </w:t>
            </w:r>
          </w:p>
        </w:tc>
      </w:tr>
      <w:tr w:rsidR="007D2D39" w:rsidRPr="00C05BED" w14:paraId="1DDFA85D" w14:textId="6BE9BA02" w:rsidTr="00FA60FB">
        <w:tc>
          <w:tcPr>
            <w:tcW w:w="3850" w:type="dxa"/>
          </w:tcPr>
          <w:p w14:paraId="3A3AFD64" w14:textId="54F501B3" w:rsidR="007D2D39" w:rsidRPr="00C05BED" w:rsidRDefault="00000000" w:rsidP="007D2D39">
            <w:pPr>
              <w:pStyle w:val="ChartGraphic"/>
              <w:rPr>
                <w:highlight w:val="lightGray"/>
              </w:rPr>
            </w:pPr>
            <w:bookmarkStart w:id="86" w:name="_1803895574"/>
            <w:bookmarkStart w:id="87" w:name="_1804053200"/>
            <w:bookmarkStart w:id="88" w:name="_1804053174"/>
            <w:bookmarkEnd w:id="86"/>
            <w:bookmarkEnd w:id="87"/>
            <w:bookmarkEnd w:id="88"/>
            <w:r>
              <w:pict w14:anchorId="4B13E2EA">
                <v:shape id="_x0000_i1030" type="#_x0000_t75" alt="This line chart shows total receipts and tax receipts as a share of GDP at the 2025-26 Budget and the 2024-25 MYEFO. Total receipts as a share of GDP are to be 25.3 per cent of GDP in 2024–25 and 25.3 per cent of GDP in 2028–29. During this period, tax receipts are expected to increase from 23.1 per cent of GDP to 23.4 per cent of GDP. Total receipts are expected to increase to 26.5 per cent of GDP in 2034-35, compared to 26.8 per cent of GDP at MYEFO. Tax receipts are expected to increase to 24.6 per cent of GDP in 2034-35, compared to 24.8 per cent of GDP at MYEFO." style="width:179.25pt;height:180.75pt">
                  <v:imagedata r:id="rId24" o:title=""/>
                </v:shape>
              </w:pict>
            </w:r>
          </w:p>
        </w:tc>
        <w:tc>
          <w:tcPr>
            <w:tcW w:w="3850" w:type="dxa"/>
          </w:tcPr>
          <w:p w14:paraId="0091D292" w14:textId="30330067" w:rsidR="007D2D39" w:rsidRPr="00576DC7" w:rsidRDefault="00000000" w:rsidP="006A5D7A">
            <w:pPr>
              <w:pStyle w:val="ChartGraphic"/>
            </w:pPr>
            <w:bookmarkStart w:id="89" w:name="_1803895596"/>
            <w:bookmarkStart w:id="90" w:name="_1804053203"/>
            <w:bookmarkStart w:id="91" w:name="_1804053212"/>
            <w:bookmarkEnd w:id="89"/>
            <w:bookmarkEnd w:id="90"/>
            <w:bookmarkEnd w:id="91"/>
            <w:r>
              <w:pict w14:anchorId="11D1944D">
                <v:shape id="_x0000_i1031" type="#_x0000_t75" alt="This line chart shows total payments as a share of GDP at the 2025-26 Budget and the 2024-25 MYEFO. Total payments as share of GDP are expected to increase from 26.2 per cent of GDP in 2024-25 to 27.0 per cent of GDP in 2025-26. Payments then gradually decrease to a low of 26.4 per cent of GDP in 2028-29, before rising slowly to be 26.8 per cent of GDP at the end of the medium-term. Compared to the 2024-25 MYEFO, payments as a share of GDP are projected to be slightly higher over the medium term." style="width:180.75pt;height:179.25pt;mso-position-vertical:absolute">
                  <v:imagedata r:id="rId25" o:title=""/>
                </v:shape>
              </w:pict>
            </w:r>
          </w:p>
        </w:tc>
      </w:tr>
      <w:tr w:rsidR="000546D2" w14:paraId="055A64E8" w14:textId="77777777" w:rsidTr="00FA60FB">
        <w:tc>
          <w:tcPr>
            <w:tcW w:w="3850" w:type="dxa"/>
          </w:tcPr>
          <w:p w14:paraId="7CAE8FD1" w14:textId="293161B6" w:rsidR="000546D2" w:rsidRPr="00CF370A" w:rsidRDefault="00CF370A" w:rsidP="00CF370A">
            <w:pPr>
              <w:pStyle w:val="ChartandTableFootnote"/>
              <w:rPr>
                <w:color w:val="auto"/>
              </w:rPr>
            </w:pPr>
            <w:r w:rsidRPr="00576DC7">
              <w:rPr>
                <w:color w:val="auto"/>
              </w:rPr>
              <w:t xml:space="preserve">Source: </w:t>
            </w:r>
            <w:r w:rsidRPr="00576DC7">
              <w:rPr>
                <w:color w:val="auto"/>
              </w:rPr>
              <w:tab/>
              <w:t>Treasury.</w:t>
            </w:r>
          </w:p>
        </w:tc>
        <w:tc>
          <w:tcPr>
            <w:tcW w:w="3850" w:type="dxa"/>
          </w:tcPr>
          <w:p w14:paraId="4FD04E58" w14:textId="2DE0CFC4" w:rsidR="000546D2" w:rsidRPr="00CF370A" w:rsidRDefault="00CF370A" w:rsidP="00CF370A">
            <w:pPr>
              <w:pStyle w:val="ChartandTableFootnote"/>
              <w:rPr>
                <w:color w:val="auto"/>
              </w:rPr>
            </w:pPr>
            <w:r w:rsidRPr="00576DC7">
              <w:rPr>
                <w:color w:val="auto"/>
              </w:rPr>
              <w:t xml:space="preserve">Source: </w:t>
            </w:r>
            <w:r w:rsidRPr="00576DC7">
              <w:rPr>
                <w:color w:val="auto"/>
              </w:rPr>
              <w:tab/>
              <w:t>Treasury.</w:t>
            </w:r>
          </w:p>
        </w:tc>
      </w:tr>
    </w:tbl>
    <w:p w14:paraId="6DE19869" w14:textId="5EF528DE" w:rsidR="00FC464B" w:rsidRPr="00712254" w:rsidRDefault="00FC464B" w:rsidP="004701E1">
      <w:pPr>
        <w:pStyle w:val="ChartLine"/>
      </w:pPr>
      <w:bookmarkStart w:id="92" w:name="_Hlk134115082"/>
    </w:p>
    <w:p w14:paraId="5F3922A7" w14:textId="4CB4182C" w:rsidR="00576967" w:rsidRPr="00576DC7" w:rsidRDefault="00576967" w:rsidP="00576967">
      <w:pPr>
        <w:pStyle w:val="Heading5"/>
      </w:pPr>
      <w:r w:rsidRPr="00576DC7">
        <w:lastRenderedPageBreak/>
        <w:t>Payments over the medium term</w:t>
      </w:r>
    </w:p>
    <w:p w14:paraId="1A9D0421" w14:textId="3A96F7FA" w:rsidR="00576967" w:rsidRPr="000B1921" w:rsidRDefault="00576967" w:rsidP="00576967">
      <w:r w:rsidRPr="00576DC7">
        <w:t xml:space="preserve">Payments are expected to be 0.1 percentage points of GDP higher than at MYEFO in </w:t>
      </w:r>
      <w:r w:rsidRPr="00576DC7" w:rsidDel="00591101">
        <w:t>203</w:t>
      </w:r>
      <w:r w:rsidRPr="00576DC7">
        <w:t>4–35 (Chart 3.</w:t>
      </w:r>
      <w:r w:rsidR="00075357" w:rsidRPr="00576DC7">
        <w:t>7</w:t>
      </w:r>
      <w:r w:rsidRPr="00576DC7">
        <w:t xml:space="preserve">). Nominal GDP is </w:t>
      </w:r>
      <w:r w:rsidR="003710F4" w:rsidRPr="00576DC7">
        <w:t xml:space="preserve">expected to be </w:t>
      </w:r>
      <w:r w:rsidRPr="00576DC7">
        <w:t xml:space="preserve">lower than </w:t>
      </w:r>
      <w:r w:rsidR="003710F4" w:rsidRPr="00576DC7">
        <w:t>was project</w:t>
      </w:r>
      <w:r w:rsidR="00587A06" w:rsidRPr="00576DC7">
        <w:t>ed</w:t>
      </w:r>
      <w:r w:rsidRPr="00576DC7">
        <w:t xml:space="preserve"> at MYEFO, increasing payments relative to the size the economy. </w:t>
      </w:r>
    </w:p>
    <w:p w14:paraId="4022CDB3" w14:textId="2A2DD025" w:rsidR="007C4E07" w:rsidRPr="00263330" w:rsidRDefault="007C4E07" w:rsidP="007C4E07">
      <w:r w:rsidRPr="00576DC7">
        <w:t>The fastest growing major payments over the medium term are interest on government debt, the NDIS, defence, hospitals payments, medical benefits payments, the Child Care Subsidy and aged care payments (Chart 3.</w:t>
      </w:r>
      <w:r w:rsidR="00075357" w:rsidRPr="00576DC7">
        <w:t>8</w:t>
      </w:r>
      <w:r w:rsidRPr="00576DC7">
        <w:t xml:space="preserve">). </w:t>
      </w:r>
    </w:p>
    <w:p w14:paraId="7D5D6F61" w14:textId="3608668A" w:rsidR="00865931" w:rsidRPr="008D283E" w:rsidRDefault="00865931" w:rsidP="00865931">
      <w:r w:rsidRPr="00576DC7">
        <w:t xml:space="preserve">Growth in some </w:t>
      </w:r>
      <w:r w:rsidR="00E3057E" w:rsidRPr="00576DC7">
        <w:t xml:space="preserve">major </w:t>
      </w:r>
      <w:r w:rsidRPr="00576DC7">
        <w:t xml:space="preserve">payments over the </w:t>
      </w:r>
      <w:r w:rsidR="0016778A" w:rsidRPr="00576DC7">
        <w:t>B</w:t>
      </w:r>
      <w:r w:rsidRPr="00576DC7">
        <w:t xml:space="preserve">udget projection </w:t>
      </w:r>
      <w:r w:rsidR="00E3263A" w:rsidRPr="00576DC7">
        <w:t>period</w:t>
      </w:r>
      <w:r w:rsidRPr="00576DC7">
        <w:t xml:space="preserve"> (2025–26 to 2035–36) has changed compared to MYEFO (2024–25 to 2034–35).</w:t>
      </w:r>
      <w:r w:rsidR="00D316A9" w:rsidRPr="00576DC7">
        <w:t xml:space="preserve"> </w:t>
      </w:r>
    </w:p>
    <w:p w14:paraId="0486E6DC" w14:textId="260A9E66" w:rsidR="00865931" w:rsidRPr="008D283E" w:rsidRDefault="00865931" w:rsidP="591FF694">
      <w:pPr>
        <w:pStyle w:val="Bullet"/>
      </w:pPr>
      <w:r w:rsidRPr="00576DC7">
        <w:t xml:space="preserve">Interest payments growth is expected to average </w:t>
      </w:r>
      <w:r w:rsidR="008C3646" w:rsidRPr="00576DC7">
        <w:t>9.5</w:t>
      </w:r>
      <w:r w:rsidRPr="00576DC7">
        <w:t xml:space="preserve"> per cent per year over the projection period compared to </w:t>
      </w:r>
      <w:r w:rsidR="00CB4565" w:rsidRPr="00576DC7">
        <w:t>10.9</w:t>
      </w:r>
      <w:r w:rsidRPr="00576DC7">
        <w:t> per cent at MYEFO.</w:t>
      </w:r>
      <w:r w:rsidR="00911E74" w:rsidRPr="00576DC7">
        <w:t xml:space="preserve"> </w:t>
      </w:r>
      <w:r w:rsidR="00DF62AF" w:rsidRPr="00576DC7">
        <w:t xml:space="preserve">This reflects the impact of a reduction in debt in the early years of the forward estimates period, partially offset by </w:t>
      </w:r>
      <w:r w:rsidR="002827E2" w:rsidRPr="00576DC7">
        <w:t xml:space="preserve">the change in the </w:t>
      </w:r>
      <w:r w:rsidR="00DF62AF" w:rsidRPr="00576DC7">
        <w:t xml:space="preserve">underlying cash </w:t>
      </w:r>
      <w:r w:rsidR="002827E2" w:rsidRPr="00576DC7">
        <w:t>balance</w:t>
      </w:r>
      <w:r w:rsidR="00DF62AF" w:rsidRPr="00576DC7">
        <w:t>.</w:t>
      </w:r>
    </w:p>
    <w:p w14:paraId="0A132A3D" w14:textId="14603617" w:rsidR="007141B4" w:rsidRPr="00576DC7" w:rsidRDefault="007141B4" w:rsidP="007E4E94">
      <w:pPr>
        <w:pStyle w:val="Bullet"/>
      </w:pPr>
      <w:r w:rsidRPr="00576DC7">
        <w:t xml:space="preserve">Commonwealth funded hospital payments growth is expected to average </w:t>
      </w:r>
      <w:r w:rsidR="00EC0421" w:rsidRPr="00576DC7">
        <w:t xml:space="preserve">5.9 </w:t>
      </w:r>
      <w:r w:rsidRPr="00576DC7">
        <w:t>per</w:t>
      </w:r>
      <w:r w:rsidR="00183E9D" w:rsidRPr="00576DC7">
        <w:t> </w:t>
      </w:r>
      <w:r w:rsidRPr="00576DC7">
        <w:t>cent per year over the projection period compared to 6.5</w:t>
      </w:r>
      <w:r w:rsidR="00183E9D" w:rsidRPr="00576DC7">
        <w:t> </w:t>
      </w:r>
      <w:r w:rsidRPr="00576DC7">
        <w:t>per</w:t>
      </w:r>
      <w:r w:rsidR="00183E9D" w:rsidRPr="00576DC7">
        <w:t> </w:t>
      </w:r>
      <w:r w:rsidRPr="00576DC7">
        <w:t>cent at MYEFO. This reflects the impact of the uplift to the funding contribution for the National Health Reform Agreement in 2025</w:t>
      </w:r>
      <w:r w:rsidR="0090309A" w:rsidRPr="00576DC7">
        <w:t>–</w:t>
      </w:r>
      <w:r w:rsidRPr="00576DC7">
        <w:t>26. This increases hospital payments at the start of the projection period, resulting in slower growth over the decade.</w:t>
      </w:r>
    </w:p>
    <w:p w14:paraId="778474E0" w14:textId="0F88F65E" w:rsidR="005D7843" w:rsidRDefault="00865931" w:rsidP="007E4E94">
      <w:pPr>
        <w:pStyle w:val="Bullet"/>
        <w:rPr>
          <w:rFonts w:asciiTheme="majorHAnsi" w:hAnsiTheme="majorHAnsi"/>
          <w:b/>
          <w:color w:val="0000FF"/>
          <w:sz w:val="20"/>
        </w:rPr>
      </w:pPr>
      <w:r w:rsidRPr="00576DC7">
        <w:t xml:space="preserve">Child Care Subsidy payments growth is expected to average </w:t>
      </w:r>
      <w:r w:rsidR="00E93297" w:rsidRPr="00576DC7">
        <w:t>5.1</w:t>
      </w:r>
      <w:r w:rsidR="00183E9D" w:rsidRPr="00576DC7">
        <w:t> </w:t>
      </w:r>
      <w:r w:rsidRPr="00576DC7">
        <w:t>per</w:t>
      </w:r>
      <w:r w:rsidR="00183E9D" w:rsidRPr="00576DC7">
        <w:t> </w:t>
      </w:r>
      <w:r w:rsidRPr="00576DC7">
        <w:t xml:space="preserve">cent over the projection period compared to </w:t>
      </w:r>
      <w:r w:rsidR="007141B4" w:rsidRPr="00576DC7">
        <w:t>5.5</w:t>
      </w:r>
      <w:r w:rsidR="00183E9D" w:rsidRPr="00576DC7">
        <w:t> </w:t>
      </w:r>
      <w:r w:rsidRPr="00576DC7">
        <w:t>per</w:t>
      </w:r>
      <w:r w:rsidR="00183E9D" w:rsidRPr="00576DC7">
        <w:t> </w:t>
      </w:r>
      <w:r w:rsidRPr="00576DC7">
        <w:t xml:space="preserve">cent at </w:t>
      </w:r>
      <w:r w:rsidR="007141B4" w:rsidRPr="00576DC7">
        <w:t>MYEFO</w:t>
      </w:r>
      <w:r w:rsidR="0002233D" w:rsidRPr="00576DC7">
        <w:t>, reflecting updated projections of usage in the medium</w:t>
      </w:r>
      <w:r w:rsidR="00E62591" w:rsidRPr="00576DC7">
        <w:t xml:space="preserve"> </w:t>
      </w:r>
      <w:r w:rsidR="0002233D" w:rsidRPr="00576DC7">
        <w:t>term</w:t>
      </w:r>
      <w:r w:rsidR="00E62591" w:rsidRPr="00576DC7">
        <w:t>.</w:t>
      </w:r>
      <w:r w:rsidR="00186402" w:rsidRPr="00576DC7">
        <w:t xml:space="preserve"> </w:t>
      </w:r>
      <w:bookmarkEnd w:id="92"/>
      <w:r w:rsidR="005D7843">
        <w:rPr>
          <w:color w:val="0000FF"/>
        </w:rPr>
        <w:br w:type="page"/>
      </w:r>
    </w:p>
    <w:p w14:paraId="3ACC7993" w14:textId="1EA7342A" w:rsidR="00865931" w:rsidRPr="00712254" w:rsidRDefault="00865931" w:rsidP="00947F4E">
      <w:pPr>
        <w:pStyle w:val="ChartMainHeading"/>
      </w:pPr>
      <w:r w:rsidRPr="00576DC7">
        <w:lastRenderedPageBreak/>
        <w:t>Chart 3.</w:t>
      </w:r>
      <w:r w:rsidR="00075357" w:rsidRPr="00576DC7">
        <w:t>8</w:t>
      </w:r>
      <w:r w:rsidRPr="00576DC7">
        <w:t>: Average annual growth in major payments over the medium term</w:t>
      </w:r>
    </w:p>
    <w:p w14:paraId="21022735" w14:textId="6A6BDD8E" w:rsidR="00947F4E" w:rsidRPr="00712254" w:rsidRDefault="00000000" w:rsidP="00865931">
      <w:pPr>
        <w:pStyle w:val="ChartGraphic"/>
      </w:pPr>
      <w:bookmarkStart w:id="93" w:name="_1803884455"/>
      <w:bookmarkStart w:id="94" w:name="_1803883610"/>
      <w:bookmarkStart w:id="95" w:name="_1803884764"/>
      <w:bookmarkStart w:id="96" w:name="_1804092380"/>
      <w:bookmarkStart w:id="97" w:name="_1804106125"/>
      <w:bookmarkEnd w:id="93"/>
      <w:bookmarkEnd w:id="94"/>
      <w:bookmarkEnd w:id="95"/>
      <w:bookmarkEnd w:id="96"/>
      <w:bookmarkEnd w:id="97"/>
      <w:r>
        <w:pict w14:anchorId="0ADA0E86">
          <v:shape id="_x0000_i1032" type="#_x0000_t75" alt="The chart shows the growth of the fastest growing major payment categories over the projections period (2025–26 to 2035–36) compared to MYEFO 2024–25 (2024-25to 2034-35). Growth rates are calculated as annual average growth. Interest is the fastest growing payment at 9.5% compared to 10.9 % at MYEFO. The National Disability Insurance Scheme is the second fastest growing payment at 8.1% compared to 8.2% at MYEFO. Defence is the third fastest growing payment at 6.3%, compared to 6.6% at MYEFO. Hospitals is projected to grow at 5.9% compared to 6.5% at MYEFO. Medical Benefits is projected to grow at 5.6% compared to 5.5% at MYEFO. Aged Care is projected to grow at 5.2%, unchanged from MYEFO and Child Care subsidy is projected to grow at 5.1%, compared to 5.5% at MYEFO." style="width:378.75pt;height:231.75pt">
            <v:imagedata r:id="rId26" o:title=""/>
          </v:shape>
        </w:pict>
      </w:r>
    </w:p>
    <w:p w14:paraId="5160C1DC" w14:textId="1C838A68" w:rsidR="00865931" w:rsidRPr="00576DC7" w:rsidRDefault="00865931" w:rsidP="00865931">
      <w:pPr>
        <w:pStyle w:val="ChartandTableFootnote"/>
        <w:rPr>
          <w:color w:val="auto"/>
        </w:rPr>
      </w:pPr>
      <w:r w:rsidRPr="00576DC7">
        <w:rPr>
          <w:color w:val="auto"/>
        </w:rPr>
        <w:t xml:space="preserve">Source: </w:t>
      </w:r>
      <w:r w:rsidRPr="00576DC7">
        <w:rPr>
          <w:color w:val="auto"/>
        </w:rPr>
        <w:tab/>
        <w:t>Treasury.</w:t>
      </w:r>
    </w:p>
    <w:p w14:paraId="07F9FD60" w14:textId="00461AEC" w:rsidR="00865931" w:rsidRPr="00712254" w:rsidRDefault="00865931" w:rsidP="00865931">
      <w:pPr>
        <w:pStyle w:val="ChartandTableFootnote"/>
        <w:rPr>
          <w:color w:val="auto"/>
        </w:rPr>
      </w:pPr>
      <w:r w:rsidRPr="00576DC7">
        <w:rPr>
          <w:color w:val="auto"/>
        </w:rPr>
        <w:t xml:space="preserve">Note: </w:t>
      </w:r>
      <w:r w:rsidRPr="00576DC7">
        <w:rPr>
          <w:color w:val="auto"/>
        </w:rPr>
        <w:tab/>
        <w:t>Shows major payments that are growing faster than nominal GDP over the projection period. Interest refers to interest payments on Australian Government Securities. NDIS refers to the Australian Government</w:t>
      </w:r>
      <w:r w:rsidR="00404C26">
        <w:rPr>
          <w:color w:val="auto"/>
        </w:rPr>
        <w:t>’</w:t>
      </w:r>
      <w:r w:rsidRPr="00576DC7">
        <w:rPr>
          <w:color w:val="auto"/>
        </w:rPr>
        <w:t>s contribution to payments for NDIS participant supports. Growth rate for MYEFO is from 2024–25 to 2034–35. Growth rate for the 2025–26 Budget is from 2025–26 to 2035–36.</w:t>
      </w:r>
    </w:p>
    <w:p w14:paraId="1C7A074C" w14:textId="77777777" w:rsidR="00865931" w:rsidRPr="00712254" w:rsidRDefault="00865931" w:rsidP="004701E1">
      <w:pPr>
        <w:pStyle w:val="ChartLine"/>
      </w:pPr>
    </w:p>
    <w:p w14:paraId="1076A3A9" w14:textId="77777777" w:rsidR="00865931" w:rsidRPr="00712254" w:rsidRDefault="00865931" w:rsidP="00865931">
      <w:r w:rsidRPr="00712254">
        <w:br w:type="page"/>
      </w:r>
    </w:p>
    <w:p w14:paraId="0F0F0BD8" w14:textId="24237B83" w:rsidR="00B2621F" w:rsidRPr="00576DC7" w:rsidRDefault="00B2621F" w:rsidP="00B2621F">
      <w:pPr>
        <w:pStyle w:val="Heading2"/>
      </w:pPr>
      <w:bookmarkStart w:id="98" w:name="_Toc193537055"/>
      <w:r w:rsidRPr="00576DC7">
        <w:lastRenderedPageBreak/>
        <w:t>The Government</w:t>
      </w:r>
      <w:r w:rsidR="00404C26">
        <w:t>’</w:t>
      </w:r>
      <w:r w:rsidRPr="00576DC7">
        <w:t>s balance sheet</w:t>
      </w:r>
      <w:bookmarkEnd w:id="75"/>
      <w:bookmarkEnd w:id="98"/>
    </w:p>
    <w:p w14:paraId="4F462912" w14:textId="242D6850" w:rsidR="00B2621F" w:rsidRPr="00576DC7" w:rsidRDefault="00B2621F" w:rsidP="00B2621F">
      <w:r w:rsidRPr="00576DC7">
        <w:t>The balance sheet measures the value of the Government</w:t>
      </w:r>
      <w:r w:rsidR="00404C26">
        <w:t>’</w:t>
      </w:r>
      <w:r w:rsidRPr="00576DC7">
        <w:t>s assets and liabilities. Changes in the balance sheet reflect movements in the underlying cash balance, additional balance sheet commitments, and market valuation effects</w:t>
      </w:r>
      <w:r w:rsidR="00BA5E8F" w:rsidRPr="00576DC7">
        <w:t>,</w:t>
      </w:r>
      <w:r w:rsidRPr="00576DC7">
        <w:t xml:space="preserve"> including from changes in yields.</w:t>
      </w:r>
    </w:p>
    <w:p w14:paraId="51A27BF1" w14:textId="77777777" w:rsidR="00B2621F" w:rsidRPr="00576DC7" w:rsidRDefault="00B2621F" w:rsidP="00B2621F">
      <w:r w:rsidRPr="00576DC7">
        <w:t xml:space="preserve">Different balance sheet metrics measure different groupings of assets and liabilities. </w:t>
      </w:r>
    </w:p>
    <w:p w14:paraId="6179B5AC" w14:textId="77777777" w:rsidR="00B2621F" w:rsidRPr="00576DC7" w:rsidRDefault="00B2621F" w:rsidP="00A904EF">
      <w:pPr>
        <w:pStyle w:val="Bullet"/>
        <w:numPr>
          <w:ilvl w:val="0"/>
          <w:numId w:val="7"/>
        </w:numPr>
        <w:ind w:left="284" w:hanging="284"/>
      </w:pPr>
      <w:r w:rsidRPr="00576DC7">
        <w:rPr>
          <w:rStyle w:val="Strong"/>
        </w:rPr>
        <w:t>Gross debt</w:t>
      </w:r>
      <w:r w:rsidRPr="00576DC7">
        <w:t xml:space="preserve"> measures the face value of Australian Government Securities (AGS) on issue. This is the amount that the Government pays back to investors at maturity, independent of fluctuations in market prices. </w:t>
      </w:r>
    </w:p>
    <w:p w14:paraId="153B819F" w14:textId="77777777" w:rsidR="00B2621F" w:rsidRPr="00576DC7" w:rsidRDefault="00B2621F" w:rsidP="00A904EF">
      <w:pPr>
        <w:pStyle w:val="Bullet"/>
        <w:numPr>
          <w:ilvl w:val="0"/>
          <w:numId w:val="7"/>
        </w:numPr>
        <w:ind w:left="284" w:hanging="284"/>
        <w:rPr>
          <w:b/>
        </w:rPr>
      </w:pPr>
      <w:r w:rsidRPr="00576DC7">
        <w:rPr>
          <w:rStyle w:val="Strong"/>
        </w:rPr>
        <w:t>Net debt</w:t>
      </w:r>
      <w:r w:rsidRPr="00576DC7">
        <w:t xml:space="preserve"> is measured at market value and incorporates specific financial assets and liabilities and provides a broader measure of the financial obligations of the Government than gross debt.</w:t>
      </w:r>
    </w:p>
    <w:p w14:paraId="26E86716" w14:textId="16216D93" w:rsidR="00B2621F" w:rsidRPr="00576DC7" w:rsidRDefault="00B2621F" w:rsidP="00A904EF">
      <w:pPr>
        <w:pStyle w:val="Bullet"/>
        <w:numPr>
          <w:ilvl w:val="0"/>
          <w:numId w:val="7"/>
        </w:numPr>
        <w:ind w:left="284" w:hanging="284"/>
      </w:pPr>
      <w:r w:rsidRPr="00576DC7">
        <w:rPr>
          <w:rStyle w:val="Strong"/>
        </w:rPr>
        <w:t>Net financial worth</w:t>
      </w:r>
      <w:r w:rsidRPr="00576DC7">
        <w:t xml:space="preserve"> </w:t>
      </w:r>
      <w:r w:rsidRPr="00576DC7">
        <w:rPr>
          <w:lang w:eastAsia="en-US"/>
        </w:rPr>
        <w:t xml:space="preserve">is the sum of all financial assets less all liabilities. </w:t>
      </w:r>
      <w:r w:rsidRPr="00576DC7">
        <w:t>The assets of the Future Fund and the public sector superannuation liability that the Future Fund will finance are included in net financial worth.</w:t>
      </w:r>
    </w:p>
    <w:p w14:paraId="3CC784EB" w14:textId="39E62CF5" w:rsidR="00B2621F" w:rsidRPr="00576DC7" w:rsidRDefault="00B2621F" w:rsidP="00A904EF">
      <w:pPr>
        <w:pStyle w:val="Bullet"/>
        <w:numPr>
          <w:ilvl w:val="0"/>
          <w:numId w:val="7"/>
        </w:numPr>
        <w:ind w:left="284" w:hanging="284"/>
      </w:pPr>
      <w:r w:rsidRPr="00576DC7">
        <w:rPr>
          <w:rStyle w:val="Strong"/>
        </w:rPr>
        <w:t>Net worth</w:t>
      </w:r>
      <w:r w:rsidRPr="00576DC7">
        <w:rPr>
          <w:lang w:eastAsia="en-US"/>
        </w:rPr>
        <w:t xml:space="preserve"> is the sum of all assets less all liabilities. It includes non</w:t>
      </w:r>
      <w:r w:rsidR="00404C26">
        <w:rPr>
          <w:lang w:eastAsia="en-US"/>
        </w:rPr>
        <w:noBreakHyphen/>
      </w:r>
      <w:r w:rsidRPr="00576DC7">
        <w:rPr>
          <w:lang w:eastAsia="en-US"/>
        </w:rPr>
        <w:t>financial assets such as buildings and plant, equipment, and infrastructure.</w:t>
      </w:r>
    </w:p>
    <w:p w14:paraId="43A7E8CC" w14:textId="2257FA21" w:rsidR="001F1453" w:rsidRPr="00712254" w:rsidRDefault="00B2621F" w:rsidP="001F1453">
      <w:r w:rsidRPr="00576DC7">
        <w:t xml:space="preserve">Further information on definitions is available in </w:t>
      </w:r>
      <w:r w:rsidRPr="00576DC7">
        <w:rPr>
          <w:rStyle w:val="Emphasis"/>
        </w:rPr>
        <w:t>Statement</w:t>
      </w:r>
      <w:r w:rsidR="00FF439E" w:rsidRPr="00576DC7">
        <w:rPr>
          <w:rStyle w:val="Emphasis"/>
        </w:rPr>
        <w:t> </w:t>
      </w:r>
      <w:r w:rsidR="008E6EA4" w:rsidRPr="00576DC7">
        <w:rPr>
          <w:rStyle w:val="Emphasis"/>
        </w:rPr>
        <w:t>9</w:t>
      </w:r>
      <w:r w:rsidRPr="00576DC7">
        <w:rPr>
          <w:rStyle w:val="Emphasis"/>
        </w:rPr>
        <w:t>: Australian Government Budget Financial Statements.</w:t>
      </w:r>
      <w:bookmarkStart w:id="99" w:name="_Toc117356564"/>
    </w:p>
    <w:p w14:paraId="1EA1C080" w14:textId="40915433" w:rsidR="00B2621F" w:rsidRPr="00576DC7" w:rsidRDefault="00B2621F" w:rsidP="00B2621F">
      <w:pPr>
        <w:pStyle w:val="Heading3"/>
      </w:pPr>
      <w:bookmarkStart w:id="100" w:name="_Toc193537056"/>
      <w:r w:rsidRPr="00576DC7">
        <w:t>Gross debt estimates and projections</w:t>
      </w:r>
      <w:bookmarkEnd w:id="99"/>
      <w:bookmarkEnd w:id="100"/>
    </w:p>
    <w:p w14:paraId="3E62A785" w14:textId="22ED14B4" w:rsidR="00B2621F" w:rsidRPr="00576DC7" w:rsidRDefault="00B2621F" w:rsidP="00B2621F">
      <w:r w:rsidRPr="00576DC7">
        <w:t>The Government</w:t>
      </w:r>
      <w:r w:rsidR="00404C26">
        <w:t>’</w:t>
      </w:r>
      <w:r w:rsidRPr="00576DC7">
        <w:t xml:space="preserve">s responsible budget management is lowering </w:t>
      </w:r>
      <w:r w:rsidR="00B25609" w:rsidRPr="00576DC7">
        <w:t xml:space="preserve">gross </w:t>
      </w:r>
      <w:r w:rsidRPr="00576DC7">
        <w:t>debt</w:t>
      </w:r>
      <w:r w:rsidR="00404C26">
        <w:noBreakHyphen/>
      </w:r>
      <w:r w:rsidR="008D3881" w:rsidRPr="00576DC7">
        <w:t>to</w:t>
      </w:r>
      <w:r w:rsidR="00404C26">
        <w:noBreakHyphen/>
      </w:r>
      <w:r w:rsidR="008D3881" w:rsidRPr="00576DC7">
        <w:t>GDP</w:t>
      </w:r>
      <w:r w:rsidRPr="00576DC7">
        <w:t xml:space="preserve"> compared </w:t>
      </w:r>
      <w:r w:rsidR="00C30879" w:rsidRPr="00576DC7">
        <w:t xml:space="preserve">to </w:t>
      </w:r>
      <w:r w:rsidRPr="00576DC7">
        <w:t>the PEFO in every year of the forward estimates period and medium term.</w:t>
      </w:r>
    </w:p>
    <w:p w14:paraId="6F851F33" w14:textId="2AFCE80B" w:rsidR="00583266" w:rsidRPr="00576DC7" w:rsidRDefault="00583266" w:rsidP="00583266">
      <w:r w:rsidRPr="00576DC7">
        <w:t>Gross debt is estimated to be $177 billion lower in 2024</w:t>
      </w:r>
      <w:r w:rsidR="004A672D" w:rsidRPr="00576DC7">
        <w:t>–</w:t>
      </w:r>
      <w:r w:rsidRPr="00576DC7">
        <w:t xml:space="preserve">25 than estimated in </w:t>
      </w:r>
      <w:r w:rsidR="00D02A91" w:rsidRPr="00576DC7">
        <w:t xml:space="preserve">the </w:t>
      </w:r>
      <w:r w:rsidRPr="00576DC7">
        <w:t xml:space="preserve">PEFO. </w:t>
      </w:r>
    </w:p>
    <w:p w14:paraId="7197E8EC" w14:textId="011C951E" w:rsidR="00627275" w:rsidRPr="00576DC7" w:rsidRDefault="00644C49" w:rsidP="00644C49">
      <w:r w:rsidRPr="00576DC7">
        <w:t xml:space="preserve">Gross debt is estimated to be </w:t>
      </w:r>
      <w:r w:rsidR="002C755B" w:rsidRPr="00576DC7">
        <w:t>35.5</w:t>
      </w:r>
      <w:r w:rsidR="0090309A" w:rsidRPr="00576DC7">
        <w:t> </w:t>
      </w:r>
      <w:r w:rsidRPr="00576DC7">
        <w:t xml:space="preserve">per cent of GDP </w:t>
      </w:r>
      <w:proofErr w:type="gramStart"/>
      <w:r w:rsidRPr="00576DC7">
        <w:t>at</w:t>
      </w:r>
      <w:proofErr w:type="gramEnd"/>
      <w:r w:rsidRPr="00576DC7">
        <w:t xml:space="preserve"> 30 June 2026</w:t>
      </w:r>
      <w:r w:rsidR="00A82596" w:rsidRPr="00576DC7">
        <w:t xml:space="preserve"> (Table 3.</w:t>
      </w:r>
      <w:r w:rsidR="005C1D01" w:rsidRPr="00576DC7">
        <w:t>5</w:t>
      </w:r>
      <w:r w:rsidR="00A82596" w:rsidRPr="00576DC7">
        <w:t>)</w:t>
      </w:r>
      <w:r w:rsidRPr="00576DC7">
        <w:t xml:space="preserve">, </w:t>
      </w:r>
      <w:r w:rsidR="00484981" w:rsidRPr="00576DC7">
        <w:t>0.5</w:t>
      </w:r>
      <w:r w:rsidR="004408C7" w:rsidRPr="00576DC7">
        <w:t xml:space="preserve"> </w:t>
      </w:r>
      <w:r w:rsidRPr="00576DC7">
        <w:t xml:space="preserve">percentage </w:t>
      </w:r>
      <w:r w:rsidR="004408C7" w:rsidRPr="00576DC7">
        <w:t>points</w:t>
      </w:r>
      <w:r w:rsidRPr="00576DC7">
        <w:t xml:space="preserve"> and $</w:t>
      </w:r>
      <w:r w:rsidR="00484981" w:rsidRPr="00576DC7">
        <w:t>6</w:t>
      </w:r>
      <w:r w:rsidRPr="00576DC7">
        <w:t> billion lower than estimated at</w:t>
      </w:r>
      <w:r w:rsidR="009A656D" w:rsidRPr="00576DC7">
        <w:t xml:space="preserve"> MYEFO and </w:t>
      </w:r>
      <w:r w:rsidR="0000794F" w:rsidRPr="00576DC7">
        <w:t>9.2</w:t>
      </w:r>
      <w:r w:rsidR="0090309A" w:rsidRPr="00576DC7">
        <w:t> </w:t>
      </w:r>
      <w:r w:rsidR="009A656D" w:rsidRPr="00576DC7">
        <w:t>percentage points and $</w:t>
      </w:r>
      <w:r w:rsidR="0000794F" w:rsidRPr="00576DC7">
        <w:t>147</w:t>
      </w:r>
      <w:r w:rsidR="0090309A" w:rsidRPr="00576DC7">
        <w:t> </w:t>
      </w:r>
      <w:r w:rsidR="009A656D" w:rsidRPr="00576DC7">
        <w:t xml:space="preserve">billion lower than </w:t>
      </w:r>
      <w:r w:rsidRPr="00576DC7">
        <w:t xml:space="preserve">the PEFO. </w:t>
      </w:r>
    </w:p>
    <w:p w14:paraId="187C9598" w14:textId="07E89804" w:rsidR="00627275" w:rsidRDefault="009A656D" w:rsidP="00143FB1">
      <w:r w:rsidRPr="00576DC7">
        <w:t xml:space="preserve">By the end of the forward estimates, gross debt </w:t>
      </w:r>
      <w:r w:rsidR="007439A7" w:rsidRPr="00576DC7">
        <w:t>is lower than MYEFO in nominal terms</w:t>
      </w:r>
      <w:r w:rsidR="00F47B87" w:rsidRPr="00576DC7">
        <w:t>,</w:t>
      </w:r>
      <w:r w:rsidR="007439A7" w:rsidRPr="00576DC7">
        <w:t xml:space="preserve"> driven by the improved budget position.</w:t>
      </w:r>
      <w:r w:rsidR="00196DA9" w:rsidRPr="00576DC7">
        <w:t xml:space="preserve"> </w:t>
      </w:r>
      <w:r w:rsidR="007439A7" w:rsidRPr="00576DC7">
        <w:t xml:space="preserve">The slight </w:t>
      </w:r>
      <w:r w:rsidR="0033780A" w:rsidRPr="00576DC7">
        <w:t>increase in debt</w:t>
      </w:r>
      <w:r w:rsidR="00404C26">
        <w:noBreakHyphen/>
      </w:r>
      <w:r w:rsidR="0033780A" w:rsidRPr="00576DC7">
        <w:t>to</w:t>
      </w:r>
      <w:r w:rsidR="00404C26">
        <w:noBreakHyphen/>
      </w:r>
      <w:r w:rsidR="0033780A" w:rsidRPr="00576DC7">
        <w:t>GDP</w:t>
      </w:r>
      <w:r w:rsidR="007A0073" w:rsidRPr="00576DC7">
        <w:t xml:space="preserve"> since MYEFO</w:t>
      </w:r>
      <w:r w:rsidR="00554AB8" w:rsidRPr="00576DC7">
        <w:t xml:space="preserve"> </w:t>
      </w:r>
      <w:r w:rsidR="00DE1873" w:rsidRPr="00576DC7">
        <w:t>reflects the impact of</w:t>
      </w:r>
      <w:r w:rsidR="004D6770" w:rsidRPr="00576DC7">
        <w:t xml:space="preserve"> </w:t>
      </w:r>
      <w:r w:rsidR="00DE1873" w:rsidRPr="00576DC7">
        <w:t>downward revisions to nominal GDP</w:t>
      </w:r>
      <w:r w:rsidR="007B5511" w:rsidRPr="00576DC7">
        <w:t>.</w:t>
      </w:r>
      <w:r w:rsidR="00856AC7" w:rsidRPr="00576DC7">
        <w:t xml:space="preserve"> </w:t>
      </w:r>
    </w:p>
    <w:p w14:paraId="32AD49F2" w14:textId="5FCF7166" w:rsidR="001F1F75" w:rsidRPr="0063016B" w:rsidRDefault="00644C49" w:rsidP="003A48F8">
      <w:r w:rsidRPr="00576DC7">
        <w:t>Gross debt is expected to peak</w:t>
      </w:r>
      <w:r w:rsidR="009A656D" w:rsidRPr="00576DC7">
        <w:t xml:space="preserve"> at </w:t>
      </w:r>
      <w:r w:rsidR="00F02A96" w:rsidRPr="00576DC7">
        <w:t>37.0</w:t>
      </w:r>
      <w:r w:rsidR="005644AF" w:rsidRPr="00576DC7">
        <w:t xml:space="preserve"> per cent of GDP </w:t>
      </w:r>
      <w:proofErr w:type="gramStart"/>
      <w:r w:rsidR="005644AF" w:rsidRPr="00576DC7">
        <w:t>at</w:t>
      </w:r>
      <w:proofErr w:type="gramEnd"/>
      <w:r w:rsidR="005644AF" w:rsidRPr="00576DC7">
        <w:t xml:space="preserve"> </w:t>
      </w:r>
      <w:r w:rsidR="009A656D" w:rsidRPr="00576DC7">
        <w:t xml:space="preserve">30 June </w:t>
      </w:r>
      <w:r w:rsidR="002800F0" w:rsidRPr="00576DC7">
        <w:t>2030</w:t>
      </w:r>
      <w:r w:rsidR="009A656D" w:rsidRPr="00576DC7">
        <w:t xml:space="preserve">, </w:t>
      </w:r>
      <w:r w:rsidR="00EF325F" w:rsidRPr="00576DC7">
        <w:t>7.9</w:t>
      </w:r>
      <w:r w:rsidR="0090309A" w:rsidRPr="00576DC7">
        <w:t> </w:t>
      </w:r>
      <w:r w:rsidRPr="00576DC7">
        <w:t xml:space="preserve">percentage points lower than the forecast peak at the PEFO. </w:t>
      </w:r>
      <w:r w:rsidR="006C4ADB">
        <w:br w:type="page"/>
      </w:r>
    </w:p>
    <w:p w14:paraId="3EC2909D" w14:textId="0A5C12F6" w:rsidR="006815AF" w:rsidRDefault="009D0040" w:rsidP="006815AF">
      <w:pPr>
        <w:pStyle w:val="TableHeading"/>
        <w:rPr>
          <w:rFonts w:asciiTheme="minorHAnsi" w:eastAsiaTheme="minorEastAsia" w:hAnsiTheme="minorHAnsi" w:cstheme="minorBidi"/>
          <w:sz w:val="22"/>
          <w:szCs w:val="22"/>
          <w:lang w:eastAsia="en-US"/>
        </w:rPr>
      </w:pPr>
      <w:r w:rsidRPr="00576DC7">
        <w:lastRenderedPageBreak/>
        <w:t>Table 3.</w:t>
      </w:r>
      <w:r w:rsidR="005C1D01" w:rsidRPr="00576DC7">
        <w:t>5</w:t>
      </w:r>
      <w:r w:rsidRPr="00576DC7">
        <w:t>: Australian Government general government sector balance sheet aggregates</w:t>
      </w:r>
      <w:r w:rsidRPr="00576DC7">
        <w:rPr>
          <w:vertAlign w:val="superscript"/>
        </w:rPr>
        <w:t>(a)</w:t>
      </w:r>
      <w:r w:rsidR="00C05D00" w:rsidRPr="00576DC7">
        <w:t xml:space="preserve"> </w:t>
      </w:r>
      <w:bookmarkStart w:id="101" w:name="_1803793635"/>
      <w:bookmarkStart w:id="102" w:name="_1803803598"/>
      <w:bookmarkStart w:id="103" w:name="_1803822478"/>
      <w:bookmarkStart w:id="104" w:name="_1804082948"/>
      <w:bookmarkStart w:id="105" w:name="_1804085215"/>
      <w:bookmarkStart w:id="106" w:name="_1804085449"/>
      <w:bookmarkStart w:id="107" w:name="_1804084108"/>
      <w:bookmarkStart w:id="108" w:name="_1804082378"/>
      <w:bookmarkStart w:id="109" w:name="_1804082912"/>
      <w:bookmarkStart w:id="110" w:name="_1804083789"/>
      <w:bookmarkStart w:id="111" w:name="_1804054097"/>
      <w:bookmarkStart w:id="112" w:name="_1804053248"/>
      <w:bookmarkStart w:id="113" w:name="_1804053781"/>
      <w:bookmarkStart w:id="114" w:name="_1804053539"/>
      <w:bookmarkStart w:id="115" w:name="_1803883750"/>
      <w:bookmarkStart w:id="116" w:name="_1803794610"/>
      <w:bookmarkStart w:id="117" w:name="_1803821928"/>
      <w:bookmarkStart w:id="118" w:name="_1803821858"/>
      <w:bookmarkStart w:id="119" w:name="_1803822555"/>
      <w:bookmarkStart w:id="120" w:name="_1803821265"/>
      <w:bookmarkStart w:id="121" w:name="_1803821683"/>
      <w:bookmarkStart w:id="122" w:name="_1803821298"/>
      <w:bookmarkStart w:id="123" w:name="_1803821192"/>
      <w:bookmarkStart w:id="124" w:name="_1803824273"/>
      <w:bookmarkStart w:id="125" w:name="_1803824104"/>
      <w:bookmarkStart w:id="126" w:name="_1803823919"/>
      <w:bookmarkStart w:id="127" w:name="_1803823717"/>
      <w:bookmarkStart w:id="128" w:name="_1803823260"/>
      <w:bookmarkStart w:id="129" w:name="_1803816753"/>
      <w:bookmarkStart w:id="130" w:name="_1803823112"/>
      <w:bookmarkStart w:id="131" w:name="_1803891223"/>
      <w:bookmarkStart w:id="132" w:name="_1803892325"/>
      <w:bookmarkStart w:id="133" w:name="_180408289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tbl>
      <w:tblPr>
        <w:tblW w:w="7710" w:type="dxa"/>
        <w:tblCellMar>
          <w:left w:w="0" w:type="dxa"/>
          <w:right w:w="28" w:type="dxa"/>
        </w:tblCellMar>
        <w:tblLook w:val="04A0" w:firstRow="1" w:lastRow="0" w:firstColumn="1" w:lastColumn="0" w:noHBand="0" w:noVBand="1"/>
      </w:tblPr>
      <w:tblGrid>
        <w:gridCol w:w="2605"/>
        <w:gridCol w:w="851"/>
        <w:gridCol w:w="124"/>
        <w:gridCol w:w="839"/>
        <w:gridCol w:w="823"/>
        <w:gridCol w:w="823"/>
        <w:gridCol w:w="823"/>
        <w:gridCol w:w="822"/>
      </w:tblGrid>
      <w:tr w:rsidR="006815AF" w:rsidRPr="006815AF" w14:paraId="34F44F6F" w14:textId="77777777" w:rsidTr="591FF694">
        <w:trPr>
          <w:trHeight w:hRule="exact" w:val="225"/>
        </w:trPr>
        <w:tc>
          <w:tcPr>
            <w:tcW w:w="2597" w:type="dxa"/>
            <w:tcBorders>
              <w:top w:val="single" w:sz="4" w:space="0" w:color="293F5B"/>
              <w:left w:val="nil"/>
              <w:bottom w:val="nil"/>
              <w:right w:val="nil"/>
            </w:tcBorders>
            <w:shd w:val="clear" w:color="auto" w:fill="FFFFFF" w:themeFill="background1"/>
            <w:noWrap/>
            <w:vAlign w:val="center"/>
            <w:hideMark/>
          </w:tcPr>
          <w:p w14:paraId="6FF7EAC2" w14:textId="2F006F82" w:rsidR="006815AF" w:rsidRPr="006815AF" w:rsidRDefault="006815AF" w:rsidP="006815AF">
            <w:pPr>
              <w:spacing w:before="0" w:after="0" w:line="240" w:lineRule="auto"/>
              <w:rPr>
                <w:rFonts w:ascii="Arial" w:hAnsi="Arial" w:cs="Arial"/>
                <w:sz w:val="16"/>
                <w:szCs w:val="16"/>
              </w:rPr>
            </w:pPr>
            <w:r w:rsidRPr="006815AF">
              <w:rPr>
                <w:rFonts w:ascii="Arial" w:hAnsi="Arial" w:cs="Arial"/>
                <w:sz w:val="16"/>
                <w:szCs w:val="16"/>
              </w:rPr>
              <w:t> </w:t>
            </w:r>
          </w:p>
        </w:tc>
        <w:tc>
          <w:tcPr>
            <w:tcW w:w="843" w:type="dxa"/>
            <w:tcBorders>
              <w:top w:val="single" w:sz="4" w:space="0" w:color="293F5B"/>
              <w:left w:val="nil"/>
              <w:bottom w:val="single" w:sz="4" w:space="0" w:color="000000" w:themeColor="text1"/>
              <w:right w:val="nil"/>
            </w:tcBorders>
            <w:shd w:val="clear" w:color="auto" w:fill="FFFFFF" w:themeFill="background1"/>
            <w:noWrap/>
            <w:vAlign w:val="center"/>
            <w:hideMark/>
          </w:tcPr>
          <w:p w14:paraId="14F5F80F" w14:textId="77777777" w:rsidR="006815AF" w:rsidRPr="006815AF" w:rsidRDefault="006815AF" w:rsidP="006815AF">
            <w:pPr>
              <w:spacing w:before="0" w:after="0" w:line="240" w:lineRule="auto"/>
              <w:jc w:val="center"/>
              <w:rPr>
                <w:rFonts w:ascii="Arial" w:hAnsi="Arial" w:cs="Arial"/>
                <w:sz w:val="16"/>
                <w:szCs w:val="16"/>
              </w:rPr>
            </w:pPr>
            <w:r w:rsidRPr="006815AF">
              <w:rPr>
                <w:rFonts w:ascii="Arial" w:hAnsi="Arial" w:cs="Arial"/>
                <w:sz w:val="16"/>
                <w:szCs w:val="16"/>
              </w:rPr>
              <w:t>Actual</w:t>
            </w:r>
          </w:p>
        </w:tc>
        <w:tc>
          <w:tcPr>
            <w:tcW w:w="116" w:type="dxa"/>
            <w:tcBorders>
              <w:top w:val="single" w:sz="4" w:space="0" w:color="293F5B"/>
              <w:left w:val="nil"/>
              <w:bottom w:val="nil"/>
              <w:right w:val="nil"/>
            </w:tcBorders>
            <w:shd w:val="clear" w:color="auto" w:fill="FFFFFF" w:themeFill="background1"/>
            <w:noWrap/>
            <w:vAlign w:val="center"/>
            <w:hideMark/>
          </w:tcPr>
          <w:p w14:paraId="3B3A1A5C" w14:textId="77777777" w:rsidR="006815AF" w:rsidRPr="006815AF" w:rsidRDefault="006815AF" w:rsidP="006815AF">
            <w:pPr>
              <w:spacing w:before="0" w:after="0" w:line="240" w:lineRule="auto"/>
              <w:rPr>
                <w:rFonts w:ascii="Arial" w:hAnsi="Arial" w:cs="Arial"/>
                <w:sz w:val="16"/>
                <w:szCs w:val="16"/>
              </w:rPr>
            </w:pPr>
            <w:r w:rsidRPr="006815AF">
              <w:rPr>
                <w:rFonts w:ascii="Arial" w:hAnsi="Arial" w:cs="Arial"/>
                <w:sz w:val="16"/>
                <w:szCs w:val="16"/>
              </w:rPr>
              <w:t> </w:t>
            </w:r>
          </w:p>
        </w:tc>
        <w:tc>
          <w:tcPr>
            <w:tcW w:w="4154" w:type="dxa"/>
            <w:gridSpan w:val="5"/>
            <w:tcBorders>
              <w:top w:val="single" w:sz="4" w:space="0" w:color="293F5B"/>
              <w:left w:val="nil"/>
              <w:bottom w:val="single" w:sz="4" w:space="0" w:color="000000" w:themeColor="text1"/>
              <w:right w:val="nil"/>
            </w:tcBorders>
            <w:shd w:val="clear" w:color="auto" w:fill="FFFFFF" w:themeFill="background1"/>
            <w:vAlign w:val="center"/>
          </w:tcPr>
          <w:p w14:paraId="03875A8A" w14:textId="77777777" w:rsidR="006815AF" w:rsidRPr="006815AF" w:rsidRDefault="006815AF" w:rsidP="006815AF">
            <w:pPr>
              <w:spacing w:before="0" w:after="0" w:line="240" w:lineRule="auto"/>
              <w:jc w:val="center"/>
              <w:rPr>
                <w:rFonts w:ascii="Arial" w:hAnsi="Arial" w:cs="Arial"/>
                <w:sz w:val="16"/>
                <w:szCs w:val="16"/>
              </w:rPr>
            </w:pPr>
            <w:r w:rsidRPr="006815AF">
              <w:rPr>
                <w:rFonts w:ascii="Arial" w:hAnsi="Arial" w:cs="Arial"/>
                <w:sz w:val="16"/>
                <w:szCs w:val="16"/>
              </w:rPr>
              <w:t>Estimates</w:t>
            </w:r>
          </w:p>
        </w:tc>
      </w:tr>
      <w:tr w:rsidR="000C254E" w:rsidRPr="006815AF" w14:paraId="6C5A87DA"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1B982400" w14:textId="77777777" w:rsidR="006815AF" w:rsidRPr="006815AF" w:rsidRDefault="006815AF" w:rsidP="006815AF">
            <w:pPr>
              <w:spacing w:before="0" w:after="0" w:line="240" w:lineRule="auto"/>
              <w:rPr>
                <w:rFonts w:ascii="Arial" w:hAnsi="Arial" w:cs="Arial"/>
                <w:sz w:val="16"/>
                <w:szCs w:val="16"/>
              </w:rPr>
            </w:pPr>
            <w:r w:rsidRPr="006815AF">
              <w:rPr>
                <w:rFonts w:ascii="Arial" w:hAnsi="Arial" w:cs="Arial"/>
                <w:sz w:val="16"/>
                <w:szCs w:val="16"/>
              </w:rPr>
              <w:t> </w:t>
            </w:r>
          </w:p>
        </w:tc>
        <w:tc>
          <w:tcPr>
            <w:tcW w:w="843" w:type="dxa"/>
            <w:tcBorders>
              <w:top w:val="single" w:sz="4" w:space="0" w:color="293F5B"/>
              <w:left w:val="nil"/>
              <w:bottom w:val="nil"/>
              <w:right w:val="nil"/>
            </w:tcBorders>
            <w:shd w:val="clear" w:color="auto" w:fill="FFFFFF" w:themeFill="background1"/>
            <w:noWrap/>
            <w:vAlign w:val="center"/>
            <w:hideMark/>
          </w:tcPr>
          <w:p w14:paraId="36A9E333" w14:textId="3F59AC81" w:rsidR="006815AF" w:rsidRPr="006815AF" w:rsidRDefault="006815AF" w:rsidP="006815AF">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2023</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24</w:t>
            </w:r>
          </w:p>
        </w:tc>
        <w:tc>
          <w:tcPr>
            <w:tcW w:w="116" w:type="dxa"/>
            <w:tcBorders>
              <w:top w:val="nil"/>
              <w:left w:val="nil"/>
              <w:bottom w:val="nil"/>
              <w:right w:val="nil"/>
            </w:tcBorders>
            <w:shd w:val="clear" w:color="auto" w:fill="FFFFFF" w:themeFill="background1"/>
            <w:noWrap/>
            <w:vAlign w:val="center"/>
            <w:hideMark/>
          </w:tcPr>
          <w:p w14:paraId="2E7DF525" w14:textId="77777777" w:rsidR="006815AF" w:rsidRPr="006815AF" w:rsidRDefault="006815AF" w:rsidP="006815AF">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 </w:t>
            </w:r>
          </w:p>
        </w:tc>
        <w:tc>
          <w:tcPr>
            <w:tcW w:w="831" w:type="dxa"/>
            <w:tcBorders>
              <w:top w:val="single" w:sz="4" w:space="0" w:color="293F5B"/>
              <w:left w:val="nil"/>
              <w:bottom w:val="nil"/>
              <w:right w:val="nil"/>
            </w:tcBorders>
            <w:shd w:val="clear" w:color="auto" w:fill="FFFFFF" w:themeFill="background1"/>
            <w:noWrap/>
            <w:vAlign w:val="center"/>
            <w:hideMark/>
          </w:tcPr>
          <w:p w14:paraId="31324936" w14:textId="03E2381E" w:rsidR="006815AF" w:rsidRPr="006815AF" w:rsidRDefault="006815AF" w:rsidP="006815AF">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2024</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25</w:t>
            </w:r>
          </w:p>
        </w:tc>
        <w:tc>
          <w:tcPr>
            <w:tcW w:w="831" w:type="dxa"/>
            <w:tcBorders>
              <w:top w:val="single" w:sz="4" w:space="0" w:color="293F5B"/>
              <w:left w:val="nil"/>
              <w:bottom w:val="nil"/>
              <w:right w:val="nil"/>
            </w:tcBorders>
            <w:shd w:val="clear" w:color="auto" w:fill="E6F2FF"/>
            <w:vAlign w:val="center"/>
          </w:tcPr>
          <w:p w14:paraId="712F5C01" w14:textId="535AF1F7" w:rsidR="006815AF" w:rsidRDefault="006815AF" w:rsidP="006815AF">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2025</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26</w:t>
            </w:r>
          </w:p>
        </w:tc>
        <w:tc>
          <w:tcPr>
            <w:tcW w:w="831" w:type="dxa"/>
            <w:tcBorders>
              <w:top w:val="single" w:sz="4" w:space="0" w:color="293F5B"/>
              <w:left w:val="nil"/>
              <w:bottom w:val="nil"/>
              <w:right w:val="nil"/>
            </w:tcBorders>
            <w:shd w:val="clear" w:color="auto" w:fill="FFFFFF" w:themeFill="background1"/>
            <w:vAlign w:val="center"/>
          </w:tcPr>
          <w:p w14:paraId="40E985D4" w14:textId="4703847D" w:rsidR="006815AF" w:rsidRDefault="006815AF" w:rsidP="006815AF">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2026</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27</w:t>
            </w:r>
          </w:p>
        </w:tc>
        <w:tc>
          <w:tcPr>
            <w:tcW w:w="831" w:type="dxa"/>
            <w:tcBorders>
              <w:top w:val="single" w:sz="4" w:space="0" w:color="293F5B"/>
              <w:left w:val="nil"/>
              <w:bottom w:val="nil"/>
              <w:right w:val="nil"/>
            </w:tcBorders>
            <w:shd w:val="clear" w:color="auto" w:fill="FFFFFF" w:themeFill="background1"/>
            <w:vAlign w:val="center"/>
          </w:tcPr>
          <w:p w14:paraId="59BFEC68" w14:textId="7C6E27B6" w:rsidR="006815AF" w:rsidRDefault="006815AF" w:rsidP="006815AF">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2027</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28</w:t>
            </w:r>
          </w:p>
        </w:tc>
        <w:tc>
          <w:tcPr>
            <w:tcW w:w="830" w:type="dxa"/>
            <w:tcBorders>
              <w:top w:val="single" w:sz="4" w:space="0" w:color="293F5B"/>
              <w:left w:val="nil"/>
              <w:bottom w:val="nil"/>
              <w:right w:val="nil"/>
            </w:tcBorders>
            <w:shd w:val="clear" w:color="auto" w:fill="FFFFFF" w:themeFill="background1"/>
            <w:vAlign w:val="center"/>
          </w:tcPr>
          <w:p w14:paraId="32DD3C2E" w14:textId="1074B367" w:rsidR="006815AF" w:rsidRDefault="006815AF" w:rsidP="006815AF">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2028</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29</w:t>
            </w:r>
          </w:p>
        </w:tc>
      </w:tr>
      <w:tr w:rsidR="000C254E" w:rsidRPr="006815AF" w14:paraId="14E3B626"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681A998C" w14:textId="77777777" w:rsidR="006815AF" w:rsidRPr="006815AF" w:rsidRDefault="006815AF" w:rsidP="006815AF">
            <w:pPr>
              <w:spacing w:before="0" w:after="0" w:line="240" w:lineRule="auto"/>
              <w:rPr>
                <w:rFonts w:ascii="Arial" w:hAnsi="Arial" w:cs="Arial"/>
                <w:sz w:val="16"/>
                <w:szCs w:val="16"/>
              </w:rPr>
            </w:pPr>
            <w:r w:rsidRPr="006815AF">
              <w:rPr>
                <w:rFonts w:ascii="Arial" w:hAnsi="Arial" w:cs="Arial"/>
                <w:sz w:val="16"/>
                <w:szCs w:val="16"/>
              </w:rPr>
              <w:t> </w:t>
            </w:r>
          </w:p>
        </w:tc>
        <w:tc>
          <w:tcPr>
            <w:tcW w:w="843" w:type="dxa"/>
            <w:tcBorders>
              <w:top w:val="nil"/>
              <w:left w:val="nil"/>
              <w:bottom w:val="single" w:sz="4" w:space="0" w:color="293F5B"/>
              <w:right w:val="nil"/>
            </w:tcBorders>
            <w:shd w:val="clear" w:color="auto" w:fill="FFFFFF" w:themeFill="background1"/>
            <w:noWrap/>
            <w:vAlign w:val="center"/>
            <w:hideMark/>
          </w:tcPr>
          <w:p w14:paraId="5F818AAA"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$b</w:t>
            </w:r>
          </w:p>
        </w:tc>
        <w:tc>
          <w:tcPr>
            <w:tcW w:w="116" w:type="dxa"/>
            <w:tcBorders>
              <w:top w:val="nil"/>
              <w:left w:val="nil"/>
              <w:bottom w:val="nil"/>
              <w:right w:val="nil"/>
            </w:tcBorders>
            <w:shd w:val="clear" w:color="auto" w:fill="FFFFFF" w:themeFill="background1"/>
            <w:noWrap/>
            <w:vAlign w:val="center"/>
            <w:hideMark/>
          </w:tcPr>
          <w:p w14:paraId="07B190CD"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1" w:type="dxa"/>
            <w:tcBorders>
              <w:top w:val="nil"/>
              <w:left w:val="nil"/>
              <w:bottom w:val="single" w:sz="4" w:space="0" w:color="293F5B"/>
              <w:right w:val="nil"/>
            </w:tcBorders>
            <w:shd w:val="clear" w:color="auto" w:fill="FFFFFF" w:themeFill="background1"/>
            <w:noWrap/>
            <w:vAlign w:val="center"/>
            <w:hideMark/>
          </w:tcPr>
          <w:p w14:paraId="420CB14F"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$b</w:t>
            </w:r>
          </w:p>
        </w:tc>
        <w:tc>
          <w:tcPr>
            <w:tcW w:w="831" w:type="dxa"/>
            <w:tcBorders>
              <w:top w:val="nil"/>
              <w:left w:val="nil"/>
              <w:bottom w:val="single" w:sz="4" w:space="0" w:color="293F5B"/>
              <w:right w:val="nil"/>
            </w:tcBorders>
            <w:shd w:val="clear" w:color="auto" w:fill="E6F2FF"/>
            <w:vAlign w:val="center"/>
          </w:tcPr>
          <w:p w14:paraId="7BFAFD4F"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$b</w:t>
            </w:r>
          </w:p>
        </w:tc>
        <w:tc>
          <w:tcPr>
            <w:tcW w:w="831" w:type="dxa"/>
            <w:tcBorders>
              <w:top w:val="nil"/>
              <w:left w:val="nil"/>
              <w:bottom w:val="single" w:sz="4" w:space="0" w:color="293F5B"/>
              <w:right w:val="nil"/>
            </w:tcBorders>
            <w:shd w:val="clear" w:color="auto" w:fill="FFFFFF" w:themeFill="background1"/>
            <w:vAlign w:val="center"/>
          </w:tcPr>
          <w:p w14:paraId="66D4C931"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$b</w:t>
            </w:r>
          </w:p>
        </w:tc>
        <w:tc>
          <w:tcPr>
            <w:tcW w:w="831" w:type="dxa"/>
            <w:tcBorders>
              <w:top w:val="nil"/>
              <w:left w:val="nil"/>
              <w:bottom w:val="single" w:sz="4" w:space="0" w:color="293F5B"/>
              <w:right w:val="nil"/>
            </w:tcBorders>
            <w:shd w:val="clear" w:color="auto" w:fill="FFFFFF" w:themeFill="background1"/>
            <w:vAlign w:val="center"/>
          </w:tcPr>
          <w:p w14:paraId="0C3742A2"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$b</w:t>
            </w:r>
          </w:p>
        </w:tc>
        <w:tc>
          <w:tcPr>
            <w:tcW w:w="830" w:type="dxa"/>
            <w:tcBorders>
              <w:top w:val="nil"/>
              <w:left w:val="nil"/>
              <w:bottom w:val="single" w:sz="4" w:space="0" w:color="293F5B"/>
              <w:right w:val="nil"/>
            </w:tcBorders>
            <w:shd w:val="clear" w:color="auto" w:fill="FFFFFF" w:themeFill="background1"/>
            <w:vAlign w:val="center"/>
          </w:tcPr>
          <w:p w14:paraId="3F03EE8F"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$b</w:t>
            </w:r>
          </w:p>
        </w:tc>
      </w:tr>
      <w:tr w:rsidR="006815AF" w:rsidRPr="006815AF" w14:paraId="0D177AE2"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7ECF8D3E" w14:textId="77777777" w:rsidR="006815AF" w:rsidRPr="006815AF" w:rsidRDefault="006815AF" w:rsidP="006815AF">
            <w:pPr>
              <w:spacing w:before="0" w:after="0" w:line="240" w:lineRule="auto"/>
              <w:rPr>
                <w:rFonts w:ascii="Arial" w:hAnsi="Arial" w:cs="Arial"/>
                <w:b/>
                <w:bCs/>
                <w:sz w:val="16"/>
                <w:szCs w:val="16"/>
              </w:rPr>
            </w:pPr>
            <w:r w:rsidRPr="006815AF">
              <w:rPr>
                <w:rFonts w:ascii="Arial" w:hAnsi="Arial" w:cs="Arial"/>
                <w:b/>
                <w:bCs/>
                <w:sz w:val="16"/>
                <w:szCs w:val="16"/>
              </w:rPr>
              <w:t>Financial assets</w:t>
            </w:r>
          </w:p>
        </w:tc>
        <w:tc>
          <w:tcPr>
            <w:tcW w:w="843" w:type="dxa"/>
            <w:tcBorders>
              <w:top w:val="nil"/>
              <w:left w:val="nil"/>
              <w:bottom w:val="nil"/>
              <w:right w:val="nil"/>
            </w:tcBorders>
            <w:shd w:val="clear" w:color="auto" w:fill="FFFFFF" w:themeFill="background1"/>
            <w:noWrap/>
            <w:vAlign w:val="center"/>
            <w:hideMark/>
          </w:tcPr>
          <w:p w14:paraId="7B6A81A0"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637.9</w:t>
            </w:r>
          </w:p>
        </w:tc>
        <w:tc>
          <w:tcPr>
            <w:tcW w:w="116" w:type="dxa"/>
            <w:tcBorders>
              <w:top w:val="nil"/>
              <w:left w:val="nil"/>
              <w:bottom w:val="nil"/>
              <w:right w:val="nil"/>
            </w:tcBorders>
            <w:shd w:val="clear" w:color="auto" w:fill="FFFFFF" w:themeFill="background1"/>
            <w:noWrap/>
            <w:vAlign w:val="center"/>
            <w:hideMark/>
          </w:tcPr>
          <w:p w14:paraId="3FFBCBF0"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noWrap/>
            <w:vAlign w:val="center"/>
            <w:hideMark/>
          </w:tcPr>
          <w:p w14:paraId="39CB96EC"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637.0</w:t>
            </w:r>
          </w:p>
        </w:tc>
        <w:tc>
          <w:tcPr>
            <w:tcW w:w="831" w:type="dxa"/>
            <w:tcBorders>
              <w:top w:val="nil"/>
              <w:left w:val="nil"/>
              <w:bottom w:val="nil"/>
              <w:right w:val="nil"/>
            </w:tcBorders>
            <w:shd w:val="clear" w:color="auto" w:fill="E6F2FF"/>
            <w:vAlign w:val="center"/>
          </w:tcPr>
          <w:p w14:paraId="5269A251"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677.8</w:t>
            </w:r>
          </w:p>
        </w:tc>
        <w:tc>
          <w:tcPr>
            <w:tcW w:w="831" w:type="dxa"/>
            <w:tcBorders>
              <w:top w:val="nil"/>
              <w:left w:val="nil"/>
              <w:bottom w:val="nil"/>
              <w:right w:val="nil"/>
            </w:tcBorders>
            <w:shd w:val="clear" w:color="auto" w:fill="FFFFFF" w:themeFill="background1"/>
            <w:vAlign w:val="center"/>
          </w:tcPr>
          <w:p w14:paraId="3984DB50"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715.0</w:t>
            </w:r>
          </w:p>
        </w:tc>
        <w:tc>
          <w:tcPr>
            <w:tcW w:w="831" w:type="dxa"/>
            <w:tcBorders>
              <w:top w:val="nil"/>
              <w:left w:val="nil"/>
              <w:bottom w:val="nil"/>
              <w:right w:val="nil"/>
            </w:tcBorders>
            <w:shd w:val="clear" w:color="auto" w:fill="FFFFFF" w:themeFill="background1"/>
            <w:vAlign w:val="center"/>
          </w:tcPr>
          <w:p w14:paraId="38DE5664"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752.7</w:t>
            </w:r>
          </w:p>
        </w:tc>
        <w:tc>
          <w:tcPr>
            <w:tcW w:w="830" w:type="dxa"/>
            <w:tcBorders>
              <w:top w:val="nil"/>
              <w:left w:val="nil"/>
              <w:bottom w:val="nil"/>
              <w:right w:val="nil"/>
            </w:tcBorders>
            <w:shd w:val="clear" w:color="auto" w:fill="FFFFFF" w:themeFill="background1"/>
            <w:vAlign w:val="center"/>
          </w:tcPr>
          <w:p w14:paraId="44A51B5C"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789.2</w:t>
            </w:r>
          </w:p>
        </w:tc>
      </w:tr>
      <w:tr w:rsidR="006815AF" w:rsidRPr="006815AF" w14:paraId="23931245"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58D1D723" w14:textId="77777777" w:rsidR="006815AF" w:rsidRPr="006815AF" w:rsidRDefault="006815AF" w:rsidP="006815AF">
            <w:pPr>
              <w:spacing w:before="0" w:after="0" w:line="240" w:lineRule="auto"/>
              <w:rPr>
                <w:rFonts w:ascii="Arial" w:hAnsi="Arial" w:cs="Arial"/>
                <w:sz w:val="16"/>
                <w:szCs w:val="16"/>
              </w:rPr>
            </w:pPr>
            <w:r w:rsidRPr="006815AF">
              <w:rPr>
                <w:rFonts w:ascii="Arial" w:hAnsi="Arial" w:cs="Arial"/>
                <w:sz w:val="16"/>
                <w:szCs w:val="16"/>
              </w:rPr>
              <w:t>Per cent of GDP</w:t>
            </w:r>
          </w:p>
        </w:tc>
        <w:tc>
          <w:tcPr>
            <w:tcW w:w="843" w:type="dxa"/>
            <w:tcBorders>
              <w:top w:val="nil"/>
              <w:left w:val="nil"/>
              <w:bottom w:val="nil"/>
              <w:right w:val="nil"/>
            </w:tcBorders>
            <w:shd w:val="clear" w:color="auto" w:fill="FFFFFF" w:themeFill="background1"/>
            <w:noWrap/>
            <w:vAlign w:val="center"/>
            <w:hideMark/>
          </w:tcPr>
          <w:p w14:paraId="05374BE9"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23.9</w:t>
            </w:r>
          </w:p>
        </w:tc>
        <w:tc>
          <w:tcPr>
            <w:tcW w:w="116" w:type="dxa"/>
            <w:tcBorders>
              <w:top w:val="nil"/>
              <w:left w:val="nil"/>
              <w:bottom w:val="nil"/>
              <w:right w:val="nil"/>
            </w:tcBorders>
            <w:shd w:val="clear" w:color="auto" w:fill="FFFFFF" w:themeFill="background1"/>
            <w:noWrap/>
            <w:vAlign w:val="center"/>
            <w:hideMark/>
          </w:tcPr>
          <w:p w14:paraId="3567D63A"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1" w:type="dxa"/>
            <w:tcBorders>
              <w:top w:val="nil"/>
              <w:left w:val="nil"/>
              <w:bottom w:val="nil"/>
              <w:right w:val="nil"/>
            </w:tcBorders>
            <w:shd w:val="clear" w:color="auto" w:fill="FFFFFF" w:themeFill="background1"/>
            <w:noWrap/>
            <w:vAlign w:val="center"/>
            <w:hideMark/>
          </w:tcPr>
          <w:p w14:paraId="6B924BD4"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22.9</w:t>
            </w:r>
          </w:p>
        </w:tc>
        <w:tc>
          <w:tcPr>
            <w:tcW w:w="831" w:type="dxa"/>
            <w:tcBorders>
              <w:top w:val="nil"/>
              <w:left w:val="nil"/>
              <w:bottom w:val="nil"/>
              <w:right w:val="nil"/>
            </w:tcBorders>
            <w:shd w:val="clear" w:color="auto" w:fill="E6F2FF"/>
            <w:vAlign w:val="center"/>
          </w:tcPr>
          <w:p w14:paraId="6673FF45"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23.5</w:t>
            </w:r>
          </w:p>
        </w:tc>
        <w:tc>
          <w:tcPr>
            <w:tcW w:w="831" w:type="dxa"/>
            <w:tcBorders>
              <w:top w:val="nil"/>
              <w:left w:val="nil"/>
              <w:bottom w:val="nil"/>
              <w:right w:val="nil"/>
            </w:tcBorders>
            <w:shd w:val="clear" w:color="auto" w:fill="FFFFFF" w:themeFill="background1"/>
            <w:vAlign w:val="center"/>
          </w:tcPr>
          <w:p w14:paraId="0B14F2A1"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23.9</w:t>
            </w:r>
          </w:p>
        </w:tc>
        <w:tc>
          <w:tcPr>
            <w:tcW w:w="831" w:type="dxa"/>
            <w:tcBorders>
              <w:top w:val="nil"/>
              <w:left w:val="nil"/>
              <w:bottom w:val="nil"/>
              <w:right w:val="nil"/>
            </w:tcBorders>
            <w:shd w:val="clear" w:color="auto" w:fill="FFFFFF" w:themeFill="background1"/>
            <w:vAlign w:val="center"/>
          </w:tcPr>
          <w:p w14:paraId="3DACC7EE"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23.9</w:t>
            </w:r>
          </w:p>
        </w:tc>
        <w:tc>
          <w:tcPr>
            <w:tcW w:w="830" w:type="dxa"/>
            <w:tcBorders>
              <w:top w:val="nil"/>
              <w:left w:val="nil"/>
              <w:bottom w:val="nil"/>
              <w:right w:val="nil"/>
            </w:tcBorders>
            <w:shd w:val="clear" w:color="auto" w:fill="FFFFFF" w:themeFill="background1"/>
            <w:vAlign w:val="center"/>
          </w:tcPr>
          <w:p w14:paraId="287ECD34"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23.8</w:t>
            </w:r>
          </w:p>
        </w:tc>
      </w:tr>
      <w:tr w:rsidR="006815AF" w:rsidRPr="006815AF" w14:paraId="6CF7A8AE" w14:textId="77777777" w:rsidTr="591FF694">
        <w:trPr>
          <w:trHeight w:hRule="exact" w:val="60"/>
        </w:trPr>
        <w:tc>
          <w:tcPr>
            <w:tcW w:w="2597" w:type="dxa"/>
            <w:tcBorders>
              <w:top w:val="nil"/>
              <w:left w:val="nil"/>
              <w:bottom w:val="nil"/>
              <w:right w:val="nil"/>
            </w:tcBorders>
            <w:shd w:val="clear" w:color="auto" w:fill="FFFFFF" w:themeFill="background1"/>
            <w:noWrap/>
            <w:vAlign w:val="center"/>
            <w:hideMark/>
          </w:tcPr>
          <w:p w14:paraId="5C309464" w14:textId="77777777" w:rsidR="006815AF" w:rsidRPr="006815AF" w:rsidRDefault="006815AF" w:rsidP="006815AF">
            <w:pPr>
              <w:spacing w:before="0" w:after="0" w:line="240" w:lineRule="auto"/>
              <w:rPr>
                <w:rFonts w:ascii="Arial" w:hAnsi="Arial" w:cs="Arial"/>
                <w:b/>
                <w:bCs/>
                <w:sz w:val="16"/>
                <w:szCs w:val="16"/>
              </w:rPr>
            </w:pPr>
            <w:r w:rsidRPr="006815AF">
              <w:rPr>
                <w:rFonts w:ascii="Arial" w:hAnsi="Arial" w:cs="Arial"/>
                <w:b/>
                <w:bCs/>
                <w:sz w:val="16"/>
                <w:szCs w:val="16"/>
              </w:rPr>
              <w:t> </w:t>
            </w:r>
          </w:p>
        </w:tc>
        <w:tc>
          <w:tcPr>
            <w:tcW w:w="843" w:type="dxa"/>
            <w:tcBorders>
              <w:top w:val="nil"/>
              <w:left w:val="nil"/>
              <w:bottom w:val="nil"/>
              <w:right w:val="nil"/>
            </w:tcBorders>
            <w:shd w:val="clear" w:color="auto" w:fill="FFFFFF" w:themeFill="background1"/>
            <w:noWrap/>
            <w:vAlign w:val="center"/>
            <w:hideMark/>
          </w:tcPr>
          <w:p w14:paraId="4EB9AA6D"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116" w:type="dxa"/>
            <w:tcBorders>
              <w:top w:val="nil"/>
              <w:left w:val="nil"/>
              <w:bottom w:val="nil"/>
              <w:right w:val="nil"/>
            </w:tcBorders>
            <w:shd w:val="clear" w:color="auto" w:fill="FFFFFF" w:themeFill="background1"/>
            <w:noWrap/>
            <w:vAlign w:val="center"/>
            <w:hideMark/>
          </w:tcPr>
          <w:p w14:paraId="43CBF93B"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noWrap/>
            <w:vAlign w:val="center"/>
            <w:hideMark/>
          </w:tcPr>
          <w:p w14:paraId="032519EA"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E6F2FF"/>
            <w:vAlign w:val="center"/>
          </w:tcPr>
          <w:p w14:paraId="415FD271"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1" w:type="dxa"/>
            <w:tcBorders>
              <w:top w:val="nil"/>
              <w:left w:val="nil"/>
              <w:bottom w:val="nil"/>
              <w:right w:val="nil"/>
            </w:tcBorders>
            <w:shd w:val="clear" w:color="auto" w:fill="FFFFFF" w:themeFill="background1"/>
            <w:vAlign w:val="center"/>
          </w:tcPr>
          <w:p w14:paraId="141907E1"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vAlign w:val="center"/>
          </w:tcPr>
          <w:p w14:paraId="1F501084"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0" w:type="dxa"/>
            <w:tcBorders>
              <w:top w:val="nil"/>
              <w:left w:val="nil"/>
              <w:bottom w:val="nil"/>
              <w:right w:val="nil"/>
            </w:tcBorders>
            <w:shd w:val="clear" w:color="auto" w:fill="FFFFFF" w:themeFill="background1"/>
            <w:vAlign w:val="center"/>
          </w:tcPr>
          <w:p w14:paraId="5D966042"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r>
      <w:tr w:rsidR="006815AF" w:rsidRPr="006815AF" w14:paraId="747EFCB8"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740EF9D8" w14:textId="43579B0F" w:rsidR="006815AF" w:rsidRPr="006815AF" w:rsidRDefault="006815AF" w:rsidP="006815AF">
            <w:pPr>
              <w:spacing w:before="0" w:after="0" w:line="240" w:lineRule="auto"/>
              <w:rPr>
                <w:rFonts w:ascii="Arial" w:hAnsi="Arial" w:cs="Arial"/>
                <w:b/>
                <w:bCs/>
                <w:sz w:val="16"/>
                <w:szCs w:val="16"/>
              </w:rPr>
            </w:pPr>
            <w:r w:rsidRPr="006815AF">
              <w:rPr>
                <w:rFonts w:ascii="Arial" w:hAnsi="Arial" w:cs="Arial"/>
                <w:b/>
                <w:bCs/>
                <w:sz w:val="16"/>
                <w:szCs w:val="16"/>
              </w:rPr>
              <w:t>Non</w:t>
            </w:r>
            <w:r w:rsidR="00404C26">
              <w:rPr>
                <w:rFonts w:ascii="Arial" w:hAnsi="Arial" w:cs="Arial"/>
                <w:b/>
                <w:bCs/>
                <w:sz w:val="16"/>
                <w:szCs w:val="16"/>
              </w:rPr>
              <w:noBreakHyphen/>
            </w:r>
            <w:r w:rsidRPr="006815AF">
              <w:rPr>
                <w:rFonts w:ascii="Arial" w:hAnsi="Arial" w:cs="Arial"/>
                <w:b/>
                <w:bCs/>
                <w:sz w:val="16"/>
                <w:szCs w:val="16"/>
              </w:rPr>
              <w:t>financial assets</w:t>
            </w:r>
          </w:p>
        </w:tc>
        <w:tc>
          <w:tcPr>
            <w:tcW w:w="843" w:type="dxa"/>
            <w:tcBorders>
              <w:top w:val="nil"/>
              <w:left w:val="nil"/>
              <w:bottom w:val="nil"/>
              <w:right w:val="nil"/>
            </w:tcBorders>
            <w:shd w:val="clear" w:color="auto" w:fill="FFFFFF" w:themeFill="background1"/>
            <w:noWrap/>
            <w:vAlign w:val="center"/>
            <w:hideMark/>
          </w:tcPr>
          <w:p w14:paraId="7D93BD30"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214.7</w:t>
            </w:r>
          </w:p>
        </w:tc>
        <w:tc>
          <w:tcPr>
            <w:tcW w:w="116" w:type="dxa"/>
            <w:tcBorders>
              <w:top w:val="nil"/>
              <w:left w:val="nil"/>
              <w:bottom w:val="nil"/>
              <w:right w:val="nil"/>
            </w:tcBorders>
            <w:shd w:val="clear" w:color="auto" w:fill="FFFFFF" w:themeFill="background1"/>
            <w:noWrap/>
            <w:vAlign w:val="center"/>
            <w:hideMark/>
          </w:tcPr>
          <w:p w14:paraId="27CDE608"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1" w:type="dxa"/>
            <w:tcBorders>
              <w:top w:val="nil"/>
              <w:left w:val="nil"/>
              <w:bottom w:val="nil"/>
              <w:right w:val="nil"/>
            </w:tcBorders>
            <w:shd w:val="clear" w:color="auto" w:fill="FFFFFF" w:themeFill="background1"/>
            <w:noWrap/>
            <w:vAlign w:val="center"/>
            <w:hideMark/>
          </w:tcPr>
          <w:p w14:paraId="20FE83AB"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220.6</w:t>
            </w:r>
          </w:p>
        </w:tc>
        <w:tc>
          <w:tcPr>
            <w:tcW w:w="831" w:type="dxa"/>
            <w:tcBorders>
              <w:top w:val="nil"/>
              <w:left w:val="nil"/>
              <w:bottom w:val="nil"/>
              <w:right w:val="nil"/>
            </w:tcBorders>
            <w:shd w:val="clear" w:color="auto" w:fill="E6F2FF"/>
            <w:vAlign w:val="center"/>
          </w:tcPr>
          <w:p w14:paraId="5F0E0AE4"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228.3</w:t>
            </w:r>
          </w:p>
        </w:tc>
        <w:tc>
          <w:tcPr>
            <w:tcW w:w="831" w:type="dxa"/>
            <w:tcBorders>
              <w:top w:val="nil"/>
              <w:left w:val="nil"/>
              <w:bottom w:val="nil"/>
              <w:right w:val="nil"/>
            </w:tcBorders>
            <w:shd w:val="clear" w:color="auto" w:fill="FFFFFF" w:themeFill="background1"/>
            <w:vAlign w:val="center"/>
          </w:tcPr>
          <w:p w14:paraId="38C4A984"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236.4</w:t>
            </w:r>
          </w:p>
        </w:tc>
        <w:tc>
          <w:tcPr>
            <w:tcW w:w="831" w:type="dxa"/>
            <w:tcBorders>
              <w:top w:val="nil"/>
              <w:left w:val="nil"/>
              <w:bottom w:val="nil"/>
              <w:right w:val="nil"/>
            </w:tcBorders>
            <w:shd w:val="clear" w:color="auto" w:fill="FFFFFF" w:themeFill="background1"/>
            <w:vAlign w:val="center"/>
          </w:tcPr>
          <w:p w14:paraId="6BA7FAE0"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247.6</w:t>
            </w:r>
          </w:p>
        </w:tc>
        <w:tc>
          <w:tcPr>
            <w:tcW w:w="830" w:type="dxa"/>
            <w:tcBorders>
              <w:top w:val="nil"/>
              <w:left w:val="nil"/>
              <w:bottom w:val="nil"/>
              <w:right w:val="nil"/>
            </w:tcBorders>
            <w:shd w:val="clear" w:color="auto" w:fill="FFFFFF" w:themeFill="background1"/>
            <w:vAlign w:val="center"/>
          </w:tcPr>
          <w:p w14:paraId="26505FFC"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257.3</w:t>
            </w:r>
          </w:p>
        </w:tc>
      </w:tr>
      <w:tr w:rsidR="006815AF" w:rsidRPr="006815AF" w14:paraId="2E5C1491"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46B20532" w14:textId="77777777" w:rsidR="006815AF" w:rsidRPr="006815AF" w:rsidRDefault="006815AF" w:rsidP="006815AF">
            <w:pPr>
              <w:spacing w:before="0" w:after="0" w:line="240" w:lineRule="auto"/>
              <w:rPr>
                <w:rFonts w:ascii="Arial" w:hAnsi="Arial" w:cs="Arial"/>
                <w:sz w:val="16"/>
                <w:szCs w:val="16"/>
              </w:rPr>
            </w:pPr>
            <w:r w:rsidRPr="006815AF">
              <w:rPr>
                <w:rFonts w:ascii="Arial" w:hAnsi="Arial" w:cs="Arial"/>
                <w:sz w:val="16"/>
                <w:szCs w:val="16"/>
              </w:rPr>
              <w:t>Per cent of GDP</w:t>
            </w:r>
          </w:p>
        </w:tc>
        <w:tc>
          <w:tcPr>
            <w:tcW w:w="843" w:type="dxa"/>
            <w:tcBorders>
              <w:top w:val="nil"/>
              <w:left w:val="nil"/>
              <w:bottom w:val="nil"/>
              <w:right w:val="nil"/>
            </w:tcBorders>
            <w:shd w:val="clear" w:color="auto" w:fill="FFFFFF" w:themeFill="background1"/>
            <w:noWrap/>
            <w:vAlign w:val="center"/>
            <w:hideMark/>
          </w:tcPr>
          <w:p w14:paraId="367E2DCD"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8.0</w:t>
            </w:r>
          </w:p>
        </w:tc>
        <w:tc>
          <w:tcPr>
            <w:tcW w:w="116" w:type="dxa"/>
            <w:tcBorders>
              <w:top w:val="nil"/>
              <w:left w:val="nil"/>
              <w:bottom w:val="nil"/>
              <w:right w:val="nil"/>
            </w:tcBorders>
            <w:shd w:val="clear" w:color="auto" w:fill="FFFFFF" w:themeFill="background1"/>
            <w:noWrap/>
            <w:vAlign w:val="center"/>
            <w:hideMark/>
          </w:tcPr>
          <w:p w14:paraId="21AFD4C3"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1" w:type="dxa"/>
            <w:tcBorders>
              <w:top w:val="nil"/>
              <w:left w:val="nil"/>
              <w:bottom w:val="nil"/>
              <w:right w:val="nil"/>
            </w:tcBorders>
            <w:shd w:val="clear" w:color="auto" w:fill="FFFFFF" w:themeFill="background1"/>
            <w:noWrap/>
            <w:vAlign w:val="center"/>
            <w:hideMark/>
          </w:tcPr>
          <w:p w14:paraId="7181F4A9"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7.9</w:t>
            </w:r>
          </w:p>
        </w:tc>
        <w:tc>
          <w:tcPr>
            <w:tcW w:w="831" w:type="dxa"/>
            <w:tcBorders>
              <w:top w:val="nil"/>
              <w:left w:val="nil"/>
              <w:bottom w:val="nil"/>
              <w:right w:val="nil"/>
            </w:tcBorders>
            <w:shd w:val="clear" w:color="auto" w:fill="E6F2FF"/>
            <w:vAlign w:val="center"/>
          </w:tcPr>
          <w:p w14:paraId="2193DD99"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7.9</w:t>
            </w:r>
          </w:p>
        </w:tc>
        <w:tc>
          <w:tcPr>
            <w:tcW w:w="831" w:type="dxa"/>
            <w:tcBorders>
              <w:top w:val="nil"/>
              <w:left w:val="nil"/>
              <w:bottom w:val="nil"/>
              <w:right w:val="nil"/>
            </w:tcBorders>
            <w:shd w:val="clear" w:color="auto" w:fill="FFFFFF" w:themeFill="background1"/>
            <w:vAlign w:val="center"/>
          </w:tcPr>
          <w:p w14:paraId="40A90721"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7.9</w:t>
            </w:r>
          </w:p>
        </w:tc>
        <w:tc>
          <w:tcPr>
            <w:tcW w:w="831" w:type="dxa"/>
            <w:tcBorders>
              <w:top w:val="nil"/>
              <w:left w:val="nil"/>
              <w:bottom w:val="nil"/>
              <w:right w:val="nil"/>
            </w:tcBorders>
            <w:shd w:val="clear" w:color="auto" w:fill="FFFFFF" w:themeFill="background1"/>
            <w:vAlign w:val="center"/>
          </w:tcPr>
          <w:p w14:paraId="2F8360F2"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7.9</w:t>
            </w:r>
          </w:p>
        </w:tc>
        <w:tc>
          <w:tcPr>
            <w:tcW w:w="830" w:type="dxa"/>
            <w:tcBorders>
              <w:top w:val="nil"/>
              <w:left w:val="nil"/>
              <w:bottom w:val="nil"/>
              <w:right w:val="nil"/>
            </w:tcBorders>
            <w:shd w:val="clear" w:color="auto" w:fill="FFFFFF" w:themeFill="background1"/>
            <w:vAlign w:val="center"/>
          </w:tcPr>
          <w:p w14:paraId="5E2AE33A"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7.8</w:t>
            </w:r>
          </w:p>
        </w:tc>
      </w:tr>
      <w:tr w:rsidR="006815AF" w:rsidRPr="006815AF" w14:paraId="3B06CE07" w14:textId="77777777" w:rsidTr="591FF694">
        <w:trPr>
          <w:trHeight w:hRule="exact" w:val="60"/>
        </w:trPr>
        <w:tc>
          <w:tcPr>
            <w:tcW w:w="2597" w:type="dxa"/>
            <w:tcBorders>
              <w:top w:val="nil"/>
              <w:left w:val="nil"/>
              <w:bottom w:val="nil"/>
              <w:right w:val="nil"/>
            </w:tcBorders>
            <w:shd w:val="clear" w:color="auto" w:fill="FFFFFF" w:themeFill="background1"/>
            <w:noWrap/>
            <w:vAlign w:val="center"/>
            <w:hideMark/>
          </w:tcPr>
          <w:p w14:paraId="1D8DD91E" w14:textId="77777777" w:rsidR="006815AF" w:rsidRPr="006815AF" w:rsidRDefault="006815AF" w:rsidP="006815AF">
            <w:pPr>
              <w:spacing w:before="0" w:after="0" w:line="240" w:lineRule="auto"/>
              <w:rPr>
                <w:rFonts w:ascii="Arial" w:hAnsi="Arial" w:cs="Arial"/>
                <w:sz w:val="16"/>
                <w:szCs w:val="16"/>
              </w:rPr>
            </w:pPr>
            <w:r w:rsidRPr="006815AF">
              <w:rPr>
                <w:rFonts w:ascii="Arial" w:hAnsi="Arial" w:cs="Arial"/>
                <w:sz w:val="16"/>
                <w:szCs w:val="16"/>
              </w:rPr>
              <w:t> </w:t>
            </w:r>
          </w:p>
        </w:tc>
        <w:tc>
          <w:tcPr>
            <w:tcW w:w="843" w:type="dxa"/>
            <w:tcBorders>
              <w:top w:val="nil"/>
              <w:left w:val="nil"/>
              <w:bottom w:val="nil"/>
              <w:right w:val="nil"/>
            </w:tcBorders>
            <w:shd w:val="clear" w:color="auto" w:fill="FFFFFF" w:themeFill="background1"/>
            <w:noWrap/>
            <w:vAlign w:val="center"/>
            <w:hideMark/>
          </w:tcPr>
          <w:p w14:paraId="65CF1097"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116" w:type="dxa"/>
            <w:tcBorders>
              <w:top w:val="nil"/>
              <w:left w:val="nil"/>
              <w:bottom w:val="nil"/>
              <w:right w:val="nil"/>
            </w:tcBorders>
            <w:shd w:val="clear" w:color="auto" w:fill="FFFFFF" w:themeFill="background1"/>
            <w:noWrap/>
            <w:vAlign w:val="center"/>
            <w:hideMark/>
          </w:tcPr>
          <w:p w14:paraId="53BC4FA4"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1" w:type="dxa"/>
            <w:tcBorders>
              <w:top w:val="nil"/>
              <w:left w:val="nil"/>
              <w:bottom w:val="nil"/>
              <w:right w:val="nil"/>
            </w:tcBorders>
            <w:shd w:val="clear" w:color="auto" w:fill="FFFFFF" w:themeFill="background1"/>
            <w:noWrap/>
            <w:vAlign w:val="center"/>
            <w:hideMark/>
          </w:tcPr>
          <w:p w14:paraId="7A4817CC"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1" w:type="dxa"/>
            <w:tcBorders>
              <w:top w:val="nil"/>
              <w:left w:val="nil"/>
              <w:bottom w:val="nil"/>
              <w:right w:val="nil"/>
            </w:tcBorders>
            <w:shd w:val="clear" w:color="auto" w:fill="E6F2FF"/>
            <w:vAlign w:val="center"/>
          </w:tcPr>
          <w:p w14:paraId="3AC5E96B"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1" w:type="dxa"/>
            <w:tcBorders>
              <w:top w:val="nil"/>
              <w:left w:val="nil"/>
              <w:bottom w:val="nil"/>
              <w:right w:val="nil"/>
            </w:tcBorders>
            <w:shd w:val="clear" w:color="auto" w:fill="FFFFFF" w:themeFill="background1"/>
            <w:vAlign w:val="center"/>
          </w:tcPr>
          <w:p w14:paraId="55986E89"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1" w:type="dxa"/>
            <w:tcBorders>
              <w:top w:val="nil"/>
              <w:left w:val="nil"/>
              <w:bottom w:val="nil"/>
              <w:right w:val="nil"/>
            </w:tcBorders>
            <w:shd w:val="clear" w:color="auto" w:fill="FFFFFF" w:themeFill="background1"/>
            <w:vAlign w:val="center"/>
          </w:tcPr>
          <w:p w14:paraId="53D54E3E"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0" w:type="dxa"/>
            <w:tcBorders>
              <w:top w:val="nil"/>
              <w:left w:val="nil"/>
              <w:bottom w:val="nil"/>
              <w:right w:val="nil"/>
            </w:tcBorders>
            <w:shd w:val="clear" w:color="auto" w:fill="FFFFFF" w:themeFill="background1"/>
            <w:vAlign w:val="center"/>
          </w:tcPr>
          <w:p w14:paraId="39277D83"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r>
      <w:tr w:rsidR="006815AF" w:rsidRPr="006815AF" w14:paraId="5AEBAC84"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0F1AA84E" w14:textId="77777777" w:rsidR="006815AF" w:rsidRPr="006815AF" w:rsidRDefault="006815AF" w:rsidP="006815AF">
            <w:pPr>
              <w:spacing w:before="0" w:after="0" w:line="240" w:lineRule="auto"/>
              <w:rPr>
                <w:rFonts w:ascii="Arial" w:hAnsi="Arial" w:cs="Arial"/>
                <w:b/>
                <w:bCs/>
                <w:sz w:val="16"/>
                <w:szCs w:val="16"/>
              </w:rPr>
            </w:pPr>
            <w:r w:rsidRPr="006815AF">
              <w:rPr>
                <w:rFonts w:ascii="Arial" w:hAnsi="Arial" w:cs="Arial"/>
                <w:b/>
                <w:bCs/>
                <w:sz w:val="16"/>
                <w:szCs w:val="16"/>
              </w:rPr>
              <w:t>Total assets</w:t>
            </w:r>
          </w:p>
        </w:tc>
        <w:tc>
          <w:tcPr>
            <w:tcW w:w="843" w:type="dxa"/>
            <w:tcBorders>
              <w:top w:val="nil"/>
              <w:left w:val="nil"/>
              <w:bottom w:val="nil"/>
              <w:right w:val="nil"/>
            </w:tcBorders>
            <w:shd w:val="clear" w:color="auto" w:fill="FFFFFF" w:themeFill="background1"/>
            <w:noWrap/>
            <w:vAlign w:val="center"/>
            <w:hideMark/>
          </w:tcPr>
          <w:p w14:paraId="0CB76FF0"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852.6</w:t>
            </w:r>
          </w:p>
        </w:tc>
        <w:tc>
          <w:tcPr>
            <w:tcW w:w="116" w:type="dxa"/>
            <w:tcBorders>
              <w:top w:val="nil"/>
              <w:left w:val="nil"/>
              <w:bottom w:val="nil"/>
              <w:right w:val="nil"/>
            </w:tcBorders>
            <w:shd w:val="clear" w:color="auto" w:fill="FFFFFF" w:themeFill="background1"/>
            <w:noWrap/>
            <w:vAlign w:val="center"/>
            <w:hideMark/>
          </w:tcPr>
          <w:p w14:paraId="744DF51E"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noWrap/>
            <w:vAlign w:val="center"/>
            <w:hideMark/>
          </w:tcPr>
          <w:p w14:paraId="6DC1832C"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857.6</w:t>
            </w:r>
          </w:p>
        </w:tc>
        <w:tc>
          <w:tcPr>
            <w:tcW w:w="831" w:type="dxa"/>
            <w:tcBorders>
              <w:top w:val="nil"/>
              <w:left w:val="nil"/>
              <w:bottom w:val="nil"/>
              <w:right w:val="nil"/>
            </w:tcBorders>
            <w:shd w:val="clear" w:color="auto" w:fill="E6F2FF"/>
            <w:vAlign w:val="center"/>
          </w:tcPr>
          <w:p w14:paraId="33D211D1"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906.1</w:t>
            </w:r>
          </w:p>
        </w:tc>
        <w:tc>
          <w:tcPr>
            <w:tcW w:w="831" w:type="dxa"/>
            <w:tcBorders>
              <w:top w:val="nil"/>
              <w:left w:val="nil"/>
              <w:bottom w:val="nil"/>
              <w:right w:val="nil"/>
            </w:tcBorders>
            <w:shd w:val="clear" w:color="auto" w:fill="FFFFFF" w:themeFill="background1"/>
            <w:vAlign w:val="center"/>
          </w:tcPr>
          <w:p w14:paraId="1D0248E2"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951.3</w:t>
            </w:r>
          </w:p>
        </w:tc>
        <w:tc>
          <w:tcPr>
            <w:tcW w:w="831" w:type="dxa"/>
            <w:tcBorders>
              <w:top w:val="nil"/>
              <w:left w:val="nil"/>
              <w:bottom w:val="nil"/>
              <w:right w:val="nil"/>
            </w:tcBorders>
            <w:shd w:val="clear" w:color="auto" w:fill="FFFFFF" w:themeFill="background1"/>
            <w:vAlign w:val="center"/>
          </w:tcPr>
          <w:p w14:paraId="7BB2C44A"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1,000.3</w:t>
            </w:r>
          </w:p>
        </w:tc>
        <w:tc>
          <w:tcPr>
            <w:tcW w:w="830" w:type="dxa"/>
            <w:tcBorders>
              <w:top w:val="nil"/>
              <w:left w:val="nil"/>
              <w:bottom w:val="nil"/>
              <w:right w:val="nil"/>
            </w:tcBorders>
            <w:shd w:val="clear" w:color="auto" w:fill="FFFFFF" w:themeFill="background1"/>
            <w:vAlign w:val="center"/>
          </w:tcPr>
          <w:p w14:paraId="142141F2"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1,046.5</w:t>
            </w:r>
          </w:p>
        </w:tc>
      </w:tr>
      <w:tr w:rsidR="006815AF" w:rsidRPr="006815AF" w14:paraId="7D045A95"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1E46285C" w14:textId="77777777" w:rsidR="006815AF" w:rsidRPr="006815AF" w:rsidRDefault="006815AF" w:rsidP="006815AF">
            <w:pPr>
              <w:spacing w:before="0" w:after="0" w:line="240" w:lineRule="auto"/>
              <w:rPr>
                <w:rFonts w:ascii="Arial" w:hAnsi="Arial" w:cs="Arial"/>
                <w:sz w:val="16"/>
                <w:szCs w:val="16"/>
              </w:rPr>
            </w:pPr>
            <w:r w:rsidRPr="006815AF">
              <w:rPr>
                <w:rFonts w:ascii="Arial" w:hAnsi="Arial" w:cs="Arial"/>
                <w:sz w:val="16"/>
                <w:szCs w:val="16"/>
              </w:rPr>
              <w:t>Per cent of GDP</w:t>
            </w:r>
          </w:p>
        </w:tc>
        <w:tc>
          <w:tcPr>
            <w:tcW w:w="843" w:type="dxa"/>
            <w:tcBorders>
              <w:top w:val="nil"/>
              <w:left w:val="nil"/>
              <w:bottom w:val="nil"/>
              <w:right w:val="nil"/>
            </w:tcBorders>
            <w:shd w:val="clear" w:color="auto" w:fill="FFFFFF" w:themeFill="background1"/>
            <w:noWrap/>
            <w:vAlign w:val="center"/>
            <w:hideMark/>
          </w:tcPr>
          <w:p w14:paraId="04871430"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31.9</w:t>
            </w:r>
          </w:p>
        </w:tc>
        <w:tc>
          <w:tcPr>
            <w:tcW w:w="116" w:type="dxa"/>
            <w:tcBorders>
              <w:top w:val="nil"/>
              <w:left w:val="nil"/>
              <w:bottom w:val="nil"/>
              <w:right w:val="nil"/>
            </w:tcBorders>
            <w:shd w:val="clear" w:color="auto" w:fill="FFFFFF" w:themeFill="background1"/>
            <w:noWrap/>
            <w:vAlign w:val="center"/>
            <w:hideMark/>
          </w:tcPr>
          <w:p w14:paraId="4D1E22D8"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1" w:type="dxa"/>
            <w:tcBorders>
              <w:top w:val="nil"/>
              <w:left w:val="nil"/>
              <w:bottom w:val="nil"/>
              <w:right w:val="nil"/>
            </w:tcBorders>
            <w:shd w:val="clear" w:color="auto" w:fill="FFFFFF" w:themeFill="background1"/>
            <w:noWrap/>
            <w:vAlign w:val="center"/>
            <w:hideMark/>
          </w:tcPr>
          <w:p w14:paraId="182B9528"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30.8</w:t>
            </w:r>
          </w:p>
        </w:tc>
        <w:tc>
          <w:tcPr>
            <w:tcW w:w="831" w:type="dxa"/>
            <w:tcBorders>
              <w:top w:val="nil"/>
              <w:left w:val="nil"/>
              <w:bottom w:val="nil"/>
              <w:right w:val="nil"/>
            </w:tcBorders>
            <w:shd w:val="clear" w:color="auto" w:fill="E6F2FF"/>
            <w:vAlign w:val="center"/>
          </w:tcPr>
          <w:p w14:paraId="5B05ED75"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31.5</w:t>
            </w:r>
          </w:p>
        </w:tc>
        <w:tc>
          <w:tcPr>
            <w:tcW w:w="831" w:type="dxa"/>
            <w:tcBorders>
              <w:top w:val="nil"/>
              <w:left w:val="nil"/>
              <w:bottom w:val="nil"/>
              <w:right w:val="nil"/>
            </w:tcBorders>
            <w:shd w:val="clear" w:color="auto" w:fill="FFFFFF" w:themeFill="background1"/>
            <w:vAlign w:val="center"/>
          </w:tcPr>
          <w:p w14:paraId="0D7377C0"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31.8</w:t>
            </w:r>
          </w:p>
        </w:tc>
        <w:tc>
          <w:tcPr>
            <w:tcW w:w="831" w:type="dxa"/>
            <w:tcBorders>
              <w:top w:val="nil"/>
              <w:left w:val="nil"/>
              <w:bottom w:val="nil"/>
              <w:right w:val="nil"/>
            </w:tcBorders>
            <w:shd w:val="clear" w:color="auto" w:fill="FFFFFF" w:themeFill="background1"/>
            <w:vAlign w:val="center"/>
          </w:tcPr>
          <w:p w14:paraId="21C5B6DA"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31.8</w:t>
            </w:r>
          </w:p>
        </w:tc>
        <w:tc>
          <w:tcPr>
            <w:tcW w:w="830" w:type="dxa"/>
            <w:tcBorders>
              <w:top w:val="nil"/>
              <w:left w:val="nil"/>
              <w:bottom w:val="nil"/>
              <w:right w:val="nil"/>
            </w:tcBorders>
            <w:shd w:val="clear" w:color="auto" w:fill="FFFFFF" w:themeFill="background1"/>
            <w:vAlign w:val="center"/>
          </w:tcPr>
          <w:p w14:paraId="39048237"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31.5</w:t>
            </w:r>
          </w:p>
        </w:tc>
      </w:tr>
      <w:tr w:rsidR="006815AF" w:rsidRPr="006815AF" w14:paraId="2279F022" w14:textId="77777777" w:rsidTr="591FF694">
        <w:trPr>
          <w:trHeight w:hRule="exact" w:val="60"/>
        </w:trPr>
        <w:tc>
          <w:tcPr>
            <w:tcW w:w="2597" w:type="dxa"/>
            <w:tcBorders>
              <w:top w:val="nil"/>
              <w:left w:val="nil"/>
              <w:bottom w:val="nil"/>
              <w:right w:val="nil"/>
            </w:tcBorders>
            <w:shd w:val="clear" w:color="auto" w:fill="FFFFFF" w:themeFill="background1"/>
            <w:noWrap/>
            <w:vAlign w:val="center"/>
            <w:hideMark/>
          </w:tcPr>
          <w:p w14:paraId="2B1407D5" w14:textId="77777777" w:rsidR="006815AF" w:rsidRPr="006815AF" w:rsidRDefault="006815AF" w:rsidP="006815AF">
            <w:pPr>
              <w:spacing w:before="0" w:after="0" w:line="240" w:lineRule="auto"/>
              <w:rPr>
                <w:rFonts w:ascii="Arial" w:hAnsi="Arial" w:cs="Arial"/>
                <w:b/>
                <w:bCs/>
                <w:sz w:val="16"/>
                <w:szCs w:val="16"/>
              </w:rPr>
            </w:pPr>
            <w:r w:rsidRPr="006815AF">
              <w:rPr>
                <w:rFonts w:ascii="Arial" w:hAnsi="Arial" w:cs="Arial"/>
                <w:b/>
                <w:bCs/>
                <w:sz w:val="16"/>
                <w:szCs w:val="16"/>
              </w:rPr>
              <w:t> </w:t>
            </w:r>
          </w:p>
        </w:tc>
        <w:tc>
          <w:tcPr>
            <w:tcW w:w="843" w:type="dxa"/>
            <w:tcBorders>
              <w:top w:val="nil"/>
              <w:left w:val="nil"/>
              <w:bottom w:val="nil"/>
              <w:right w:val="nil"/>
            </w:tcBorders>
            <w:shd w:val="clear" w:color="auto" w:fill="FFFFFF" w:themeFill="background1"/>
            <w:noWrap/>
            <w:vAlign w:val="center"/>
            <w:hideMark/>
          </w:tcPr>
          <w:p w14:paraId="3A7D3A0A"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116" w:type="dxa"/>
            <w:tcBorders>
              <w:top w:val="nil"/>
              <w:left w:val="nil"/>
              <w:bottom w:val="nil"/>
              <w:right w:val="nil"/>
            </w:tcBorders>
            <w:shd w:val="clear" w:color="auto" w:fill="FFFFFF" w:themeFill="background1"/>
            <w:noWrap/>
            <w:vAlign w:val="center"/>
            <w:hideMark/>
          </w:tcPr>
          <w:p w14:paraId="71286C4B"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noWrap/>
            <w:vAlign w:val="center"/>
            <w:hideMark/>
          </w:tcPr>
          <w:p w14:paraId="36CF7135"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E6F2FF"/>
            <w:vAlign w:val="center"/>
          </w:tcPr>
          <w:p w14:paraId="4F36D0C0"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vAlign w:val="center"/>
          </w:tcPr>
          <w:p w14:paraId="04F32F12"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vAlign w:val="center"/>
          </w:tcPr>
          <w:p w14:paraId="00616670"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0" w:type="dxa"/>
            <w:tcBorders>
              <w:top w:val="nil"/>
              <w:left w:val="nil"/>
              <w:bottom w:val="nil"/>
              <w:right w:val="nil"/>
            </w:tcBorders>
            <w:shd w:val="clear" w:color="auto" w:fill="FFFFFF" w:themeFill="background1"/>
            <w:vAlign w:val="center"/>
          </w:tcPr>
          <w:p w14:paraId="33A38033"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r>
      <w:tr w:rsidR="006815AF" w:rsidRPr="006815AF" w14:paraId="3DCBEF6E"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3AFE14C7" w14:textId="77777777" w:rsidR="006815AF" w:rsidRPr="006815AF" w:rsidRDefault="006815AF" w:rsidP="006815AF">
            <w:pPr>
              <w:spacing w:before="0" w:after="0" w:line="240" w:lineRule="auto"/>
              <w:rPr>
                <w:rFonts w:ascii="Arial" w:hAnsi="Arial" w:cs="Arial"/>
                <w:b/>
                <w:bCs/>
                <w:sz w:val="16"/>
                <w:szCs w:val="16"/>
              </w:rPr>
            </w:pPr>
            <w:r w:rsidRPr="006815AF">
              <w:rPr>
                <w:rFonts w:ascii="Arial" w:hAnsi="Arial" w:cs="Arial"/>
                <w:b/>
                <w:bCs/>
                <w:sz w:val="16"/>
                <w:szCs w:val="16"/>
              </w:rPr>
              <w:t>Total liabilities</w:t>
            </w:r>
          </w:p>
        </w:tc>
        <w:tc>
          <w:tcPr>
            <w:tcW w:w="843" w:type="dxa"/>
            <w:tcBorders>
              <w:top w:val="nil"/>
              <w:left w:val="nil"/>
              <w:bottom w:val="nil"/>
              <w:right w:val="nil"/>
            </w:tcBorders>
            <w:shd w:val="clear" w:color="auto" w:fill="FFFFFF" w:themeFill="background1"/>
            <w:noWrap/>
            <w:vAlign w:val="center"/>
            <w:hideMark/>
          </w:tcPr>
          <w:p w14:paraId="406FFA9F"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1,384.3</w:t>
            </w:r>
          </w:p>
        </w:tc>
        <w:tc>
          <w:tcPr>
            <w:tcW w:w="116" w:type="dxa"/>
            <w:tcBorders>
              <w:top w:val="nil"/>
              <w:left w:val="nil"/>
              <w:bottom w:val="nil"/>
              <w:right w:val="nil"/>
            </w:tcBorders>
            <w:shd w:val="clear" w:color="auto" w:fill="FFFFFF" w:themeFill="background1"/>
            <w:noWrap/>
            <w:vAlign w:val="center"/>
            <w:hideMark/>
          </w:tcPr>
          <w:p w14:paraId="22EE87EB"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noWrap/>
            <w:vAlign w:val="center"/>
            <w:hideMark/>
          </w:tcPr>
          <w:p w14:paraId="33E11A43"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1,428.1</w:t>
            </w:r>
          </w:p>
        </w:tc>
        <w:tc>
          <w:tcPr>
            <w:tcW w:w="831" w:type="dxa"/>
            <w:tcBorders>
              <w:top w:val="nil"/>
              <w:left w:val="nil"/>
              <w:bottom w:val="nil"/>
              <w:right w:val="nil"/>
            </w:tcBorders>
            <w:shd w:val="clear" w:color="auto" w:fill="E6F2FF"/>
            <w:vAlign w:val="center"/>
          </w:tcPr>
          <w:p w14:paraId="5DB958A6"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1,527.9</w:t>
            </w:r>
          </w:p>
        </w:tc>
        <w:tc>
          <w:tcPr>
            <w:tcW w:w="831" w:type="dxa"/>
            <w:tcBorders>
              <w:top w:val="nil"/>
              <w:left w:val="nil"/>
              <w:bottom w:val="nil"/>
              <w:right w:val="nil"/>
            </w:tcBorders>
            <w:shd w:val="clear" w:color="auto" w:fill="FFFFFF" w:themeFill="background1"/>
            <w:vAlign w:val="center"/>
          </w:tcPr>
          <w:p w14:paraId="2A8AD01E"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1,610.6</w:t>
            </w:r>
          </w:p>
        </w:tc>
        <w:tc>
          <w:tcPr>
            <w:tcW w:w="831" w:type="dxa"/>
            <w:tcBorders>
              <w:top w:val="nil"/>
              <w:left w:val="nil"/>
              <w:bottom w:val="nil"/>
              <w:right w:val="nil"/>
            </w:tcBorders>
            <w:shd w:val="clear" w:color="auto" w:fill="FFFFFF" w:themeFill="background1"/>
            <w:vAlign w:val="center"/>
          </w:tcPr>
          <w:p w14:paraId="2A5ED362"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1,701.0</w:t>
            </w:r>
          </w:p>
        </w:tc>
        <w:tc>
          <w:tcPr>
            <w:tcW w:w="830" w:type="dxa"/>
            <w:tcBorders>
              <w:top w:val="nil"/>
              <w:left w:val="nil"/>
              <w:bottom w:val="nil"/>
              <w:right w:val="nil"/>
            </w:tcBorders>
            <w:shd w:val="clear" w:color="auto" w:fill="FFFFFF" w:themeFill="background1"/>
            <w:vAlign w:val="center"/>
          </w:tcPr>
          <w:p w14:paraId="12E03131"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1,786.6</w:t>
            </w:r>
          </w:p>
        </w:tc>
      </w:tr>
      <w:tr w:rsidR="006815AF" w:rsidRPr="006815AF" w14:paraId="7DF83685"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53AD2581" w14:textId="77777777" w:rsidR="006815AF" w:rsidRPr="006815AF" w:rsidRDefault="006815AF" w:rsidP="006815AF">
            <w:pPr>
              <w:spacing w:before="0" w:after="0" w:line="240" w:lineRule="auto"/>
              <w:rPr>
                <w:rFonts w:ascii="Arial" w:hAnsi="Arial" w:cs="Arial"/>
                <w:sz w:val="16"/>
                <w:szCs w:val="16"/>
              </w:rPr>
            </w:pPr>
            <w:r w:rsidRPr="006815AF">
              <w:rPr>
                <w:rFonts w:ascii="Arial" w:hAnsi="Arial" w:cs="Arial"/>
                <w:sz w:val="16"/>
                <w:szCs w:val="16"/>
              </w:rPr>
              <w:t>Per cent of GDP</w:t>
            </w:r>
          </w:p>
        </w:tc>
        <w:tc>
          <w:tcPr>
            <w:tcW w:w="843" w:type="dxa"/>
            <w:tcBorders>
              <w:top w:val="nil"/>
              <w:left w:val="nil"/>
              <w:bottom w:val="nil"/>
              <w:right w:val="nil"/>
            </w:tcBorders>
            <w:shd w:val="clear" w:color="auto" w:fill="FFFFFF" w:themeFill="background1"/>
            <w:noWrap/>
            <w:vAlign w:val="center"/>
            <w:hideMark/>
          </w:tcPr>
          <w:p w14:paraId="348497D6"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51.8</w:t>
            </w:r>
          </w:p>
        </w:tc>
        <w:tc>
          <w:tcPr>
            <w:tcW w:w="116" w:type="dxa"/>
            <w:tcBorders>
              <w:top w:val="nil"/>
              <w:left w:val="nil"/>
              <w:bottom w:val="nil"/>
              <w:right w:val="nil"/>
            </w:tcBorders>
            <w:shd w:val="clear" w:color="auto" w:fill="FFFFFF" w:themeFill="background1"/>
            <w:noWrap/>
            <w:vAlign w:val="center"/>
            <w:hideMark/>
          </w:tcPr>
          <w:p w14:paraId="5DC1BBA4"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1" w:type="dxa"/>
            <w:tcBorders>
              <w:top w:val="nil"/>
              <w:left w:val="nil"/>
              <w:bottom w:val="nil"/>
              <w:right w:val="nil"/>
            </w:tcBorders>
            <w:shd w:val="clear" w:color="auto" w:fill="FFFFFF" w:themeFill="background1"/>
            <w:noWrap/>
            <w:vAlign w:val="center"/>
            <w:hideMark/>
          </w:tcPr>
          <w:p w14:paraId="6C4866AE"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51.2</w:t>
            </w:r>
          </w:p>
        </w:tc>
        <w:tc>
          <w:tcPr>
            <w:tcW w:w="831" w:type="dxa"/>
            <w:tcBorders>
              <w:top w:val="nil"/>
              <w:left w:val="nil"/>
              <w:bottom w:val="nil"/>
              <w:right w:val="nil"/>
            </w:tcBorders>
            <w:shd w:val="clear" w:color="auto" w:fill="E6F2FF"/>
            <w:vAlign w:val="center"/>
          </w:tcPr>
          <w:p w14:paraId="309814D4"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53.1</w:t>
            </w:r>
          </w:p>
        </w:tc>
        <w:tc>
          <w:tcPr>
            <w:tcW w:w="831" w:type="dxa"/>
            <w:tcBorders>
              <w:top w:val="nil"/>
              <w:left w:val="nil"/>
              <w:bottom w:val="nil"/>
              <w:right w:val="nil"/>
            </w:tcBorders>
            <w:shd w:val="clear" w:color="auto" w:fill="FFFFFF" w:themeFill="background1"/>
            <w:vAlign w:val="center"/>
          </w:tcPr>
          <w:p w14:paraId="5563C6FB"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53.8</w:t>
            </w:r>
          </w:p>
        </w:tc>
        <w:tc>
          <w:tcPr>
            <w:tcW w:w="831" w:type="dxa"/>
            <w:tcBorders>
              <w:top w:val="nil"/>
              <w:left w:val="nil"/>
              <w:bottom w:val="nil"/>
              <w:right w:val="nil"/>
            </w:tcBorders>
            <w:shd w:val="clear" w:color="auto" w:fill="FFFFFF" w:themeFill="background1"/>
            <w:vAlign w:val="center"/>
          </w:tcPr>
          <w:p w14:paraId="6FD56D56"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54.0</w:t>
            </w:r>
          </w:p>
        </w:tc>
        <w:tc>
          <w:tcPr>
            <w:tcW w:w="830" w:type="dxa"/>
            <w:tcBorders>
              <w:top w:val="nil"/>
              <w:left w:val="nil"/>
              <w:bottom w:val="nil"/>
              <w:right w:val="nil"/>
            </w:tcBorders>
            <w:shd w:val="clear" w:color="auto" w:fill="FFFFFF" w:themeFill="background1"/>
            <w:vAlign w:val="center"/>
          </w:tcPr>
          <w:p w14:paraId="69D07A7E"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53.8</w:t>
            </w:r>
          </w:p>
        </w:tc>
      </w:tr>
      <w:tr w:rsidR="006815AF" w:rsidRPr="006815AF" w14:paraId="339B4DE9" w14:textId="77777777" w:rsidTr="591FF694">
        <w:trPr>
          <w:trHeight w:hRule="exact" w:val="60"/>
        </w:trPr>
        <w:tc>
          <w:tcPr>
            <w:tcW w:w="2597" w:type="dxa"/>
            <w:tcBorders>
              <w:top w:val="nil"/>
              <w:left w:val="nil"/>
              <w:bottom w:val="nil"/>
              <w:right w:val="nil"/>
            </w:tcBorders>
            <w:shd w:val="clear" w:color="auto" w:fill="FFFFFF" w:themeFill="background1"/>
            <w:noWrap/>
            <w:vAlign w:val="center"/>
            <w:hideMark/>
          </w:tcPr>
          <w:p w14:paraId="36508B19" w14:textId="77777777" w:rsidR="006815AF" w:rsidRPr="006815AF" w:rsidRDefault="006815AF" w:rsidP="006815AF">
            <w:pPr>
              <w:spacing w:before="0" w:after="0" w:line="240" w:lineRule="auto"/>
              <w:rPr>
                <w:rFonts w:ascii="Arial" w:hAnsi="Arial" w:cs="Arial"/>
                <w:b/>
                <w:bCs/>
                <w:sz w:val="16"/>
                <w:szCs w:val="16"/>
              </w:rPr>
            </w:pPr>
            <w:r w:rsidRPr="006815AF">
              <w:rPr>
                <w:rFonts w:ascii="Arial" w:hAnsi="Arial" w:cs="Arial"/>
                <w:b/>
                <w:bCs/>
                <w:sz w:val="16"/>
                <w:szCs w:val="16"/>
              </w:rPr>
              <w:t> </w:t>
            </w:r>
          </w:p>
        </w:tc>
        <w:tc>
          <w:tcPr>
            <w:tcW w:w="843" w:type="dxa"/>
            <w:tcBorders>
              <w:top w:val="nil"/>
              <w:left w:val="nil"/>
              <w:bottom w:val="nil"/>
              <w:right w:val="nil"/>
            </w:tcBorders>
            <w:shd w:val="clear" w:color="auto" w:fill="FFFFFF" w:themeFill="background1"/>
            <w:noWrap/>
            <w:vAlign w:val="center"/>
            <w:hideMark/>
          </w:tcPr>
          <w:p w14:paraId="4AF4FE72"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116" w:type="dxa"/>
            <w:tcBorders>
              <w:top w:val="nil"/>
              <w:left w:val="nil"/>
              <w:bottom w:val="nil"/>
              <w:right w:val="nil"/>
            </w:tcBorders>
            <w:shd w:val="clear" w:color="auto" w:fill="FFFFFF" w:themeFill="background1"/>
            <w:noWrap/>
            <w:vAlign w:val="center"/>
            <w:hideMark/>
          </w:tcPr>
          <w:p w14:paraId="33D23661"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noWrap/>
            <w:vAlign w:val="center"/>
            <w:hideMark/>
          </w:tcPr>
          <w:p w14:paraId="227CEE59"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E6F2FF"/>
            <w:vAlign w:val="center"/>
          </w:tcPr>
          <w:p w14:paraId="2DD08E45"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vAlign w:val="center"/>
          </w:tcPr>
          <w:p w14:paraId="34EEC0EA"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vAlign w:val="center"/>
          </w:tcPr>
          <w:p w14:paraId="466B8E4D"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0" w:type="dxa"/>
            <w:tcBorders>
              <w:top w:val="nil"/>
              <w:left w:val="nil"/>
              <w:bottom w:val="nil"/>
              <w:right w:val="nil"/>
            </w:tcBorders>
            <w:shd w:val="clear" w:color="auto" w:fill="FFFFFF" w:themeFill="background1"/>
            <w:vAlign w:val="center"/>
          </w:tcPr>
          <w:p w14:paraId="273EE9C7"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r>
      <w:tr w:rsidR="006815AF" w:rsidRPr="006815AF" w14:paraId="7B2EA9C7"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6808BC95" w14:textId="77777777" w:rsidR="006815AF" w:rsidRPr="006815AF" w:rsidRDefault="006815AF" w:rsidP="006815AF">
            <w:pPr>
              <w:spacing w:before="0" w:after="0" w:line="240" w:lineRule="auto"/>
              <w:rPr>
                <w:rFonts w:ascii="Arial" w:hAnsi="Arial" w:cs="Arial"/>
                <w:b/>
                <w:bCs/>
                <w:sz w:val="16"/>
                <w:szCs w:val="16"/>
              </w:rPr>
            </w:pPr>
            <w:r w:rsidRPr="006815AF">
              <w:rPr>
                <w:rFonts w:ascii="Arial" w:hAnsi="Arial" w:cs="Arial"/>
                <w:b/>
                <w:bCs/>
                <w:sz w:val="16"/>
                <w:szCs w:val="16"/>
              </w:rPr>
              <w:t>Net worth</w:t>
            </w:r>
          </w:p>
        </w:tc>
        <w:tc>
          <w:tcPr>
            <w:tcW w:w="843" w:type="dxa"/>
            <w:tcBorders>
              <w:top w:val="nil"/>
              <w:left w:val="nil"/>
              <w:bottom w:val="nil"/>
              <w:right w:val="nil"/>
            </w:tcBorders>
            <w:shd w:val="clear" w:color="auto" w:fill="FFFFFF" w:themeFill="background1"/>
            <w:noWrap/>
            <w:vAlign w:val="center"/>
            <w:hideMark/>
          </w:tcPr>
          <w:p w14:paraId="32379146" w14:textId="6189F925" w:rsidR="006815AF" w:rsidRPr="006815AF" w:rsidRDefault="00404C26" w:rsidP="006815AF">
            <w:pPr>
              <w:spacing w:before="0" w:after="0" w:line="240" w:lineRule="auto"/>
              <w:jc w:val="right"/>
              <w:rPr>
                <w:rFonts w:ascii="Arial" w:hAnsi="Arial" w:cs="Arial"/>
                <w:b/>
                <w:bCs/>
                <w:sz w:val="16"/>
                <w:szCs w:val="16"/>
              </w:rPr>
            </w:pPr>
            <w:r>
              <w:rPr>
                <w:rFonts w:ascii="Arial" w:hAnsi="Arial" w:cs="Arial"/>
                <w:b/>
                <w:bCs/>
                <w:sz w:val="16"/>
                <w:szCs w:val="16"/>
              </w:rPr>
              <w:noBreakHyphen/>
            </w:r>
            <w:r w:rsidR="006815AF" w:rsidRPr="006815AF">
              <w:rPr>
                <w:rFonts w:ascii="Arial" w:hAnsi="Arial" w:cs="Arial"/>
                <w:b/>
                <w:bCs/>
                <w:sz w:val="16"/>
                <w:szCs w:val="16"/>
              </w:rPr>
              <w:t>531.6</w:t>
            </w:r>
          </w:p>
        </w:tc>
        <w:tc>
          <w:tcPr>
            <w:tcW w:w="116" w:type="dxa"/>
            <w:tcBorders>
              <w:top w:val="nil"/>
              <w:left w:val="nil"/>
              <w:bottom w:val="nil"/>
              <w:right w:val="nil"/>
            </w:tcBorders>
            <w:shd w:val="clear" w:color="auto" w:fill="FFFFFF" w:themeFill="background1"/>
            <w:noWrap/>
            <w:vAlign w:val="center"/>
            <w:hideMark/>
          </w:tcPr>
          <w:p w14:paraId="18CCE88C"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noWrap/>
            <w:vAlign w:val="center"/>
            <w:hideMark/>
          </w:tcPr>
          <w:p w14:paraId="08020C98" w14:textId="680FC9BE" w:rsidR="006815AF" w:rsidRPr="006815AF" w:rsidRDefault="00404C26" w:rsidP="006815AF">
            <w:pPr>
              <w:spacing w:before="0" w:after="0" w:line="240" w:lineRule="auto"/>
              <w:jc w:val="right"/>
              <w:rPr>
                <w:rFonts w:ascii="Arial" w:hAnsi="Arial" w:cs="Arial"/>
                <w:b/>
                <w:bCs/>
                <w:sz w:val="16"/>
                <w:szCs w:val="16"/>
              </w:rPr>
            </w:pPr>
            <w:r>
              <w:rPr>
                <w:rFonts w:ascii="Arial" w:hAnsi="Arial" w:cs="Arial"/>
                <w:b/>
                <w:bCs/>
                <w:sz w:val="16"/>
                <w:szCs w:val="16"/>
              </w:rPr>
              <w:noBreakHyphen/>
            </w:r>
            <w:r w:rsidR="006815AF" w:rsidRPr="006815AF">
              <w:rPr>
                <w:rFonts w:ascii="Arial" w:hAnsi="Arial" w:cs="Arial"/>
                <w:b/>
                <w:bCs/>
                <w:sz w:val="16"/>
                <w:szCs w:val="16"/>
              </w:rPr>
              <w:t>570.5</w:t>
            </w:r>
          </w:p>
        </w:tc>
        <w:tc>
          <w:tcPr>
            <w:tcW w:w="831" w:type="dxa"/>
            <w:tcBorders>
              <w:top w:val="nil"/>
              <w:left w:val="nil"/>
              <w:bottom w:val="nil"/>
              <w:right w:val="nil"/>
            </w:tcBorders>
            <w:shd w:val="clear" w:color="auto" w:fill="E6F2FF"/>
            <w:vAlign w:val="center"/>
          </w:tcPr>
          <w:p w14:paraId="51A9CC81" w14:textId="74002793" w:rsidR="006815AF" w:rsidRPr="006815AF" w:rsidRDefault="00404C26" w:rsidP="006815AF">
            <w:pPr>
              <w:spacing w:before="0" w:after="0" w:line="240" w:lineRule="auto"/>
              <w:jc w:val="right"/>
              <w:rPr>
                <w:rFonts w:ascii="Arial" w:hAnsi="Arial" w:cs="Arial"/>
                <w:b/>
                <w:bCs/>
                <w:sz w:val="16"/>
                <w:szCs w:val="16"/>
              </w:rPr>
            </w:pPr>
            <w:r>
              <w:rPr>
                <w:rFonts w:ascii="Arial" w:hAnsi="Arial" w:cs="Arial"/>
                <w:b/>
                <w:bCs/>
                <w:sz w:val="16"/>
                <w:szCs w:val="16"/>
              </w:rPr>
              <w:noBreakHyphen/>
            </w:r>
            <w:r w:rsidR="006815AF" w:rsidRPr="006815AF">
              <w:rPr>
                <w:rFonts w:ascii="Arial" w:hAnsi="Arial" w:cs="Arial"/>
                <w:b/>
                <w:bCs/>
                <w:sz w:val="16"/>
                <w:szCs w:val="16"/>
              </w:rPr>
              <w:t>621.8</w:t>
            </w:r>
          </w:p>
        </w:tc>
        <w:tc>
          <w:tcPr>
            <w:tcW w:w="831" w:type="dxa"/>
            <w:tcBorders>
              <w:top w:val="nil"/>
              <w:left w:val="nil"/>
              <w:bottom w:val="nil"/>
              <w:right w:val="nil"/>
            </w:tcBorders>
            <w:shd w:val="clear" w:color="auto" w:fill="FFFFFF" w:themeFill="background1"/>
            <w:vAlign w:val="center"/>
          </w:tcPr>
          <w:p w14:paraId="7A174DEC" w14:textId="73F0D4B4" w:rsidR="006815AF" w:rsidRPr="006815AF" w:rsidRDefault="00404C26" w:rsidP="006815AF">
            <w:pPr>
              <w:spacing w:before="0" w:after="0" w:line="240" w:lineRule="auto"/>
              <w:jc w:val="right"/>
              <w:rPr>
                <w:rFonts w:ascii="Arial" w:hAnsi="Arial" w:cs="Arial"/>
                <w:b/>
                <w:bCs/>
                <w:sz w:val="16"/>
                <w:szCs w:val="16"/>
              </w:rPr>
            </w:pPr>
            <w:r>
              <w:rPr>
                <w:rFonts w:ascii="Arial" w:hAnsi="Arial" w:cs="Arial"/>
                <w:b/>
                <w:bCs/>
                <w:sz w:val="16"/>
                <w:szCs w:val="16"/>
              </w:rPr>
              <w:noBreakHyphen/>
            </w:r>
            <w:r w:rsidR="006815AF" w:rsidRPr="006815AF">
              <w:rPr>
                <w:rFonts w:ascii="Arial" w:hAnsi="Arial" w:cs="Arial"/>
                <w:b/>
                <w:bCs/>
                <w:sz w:val="16"/>
                <w:szCs w:val="16"/>
              </w:rPr>
              <w:t>659.2</w:t>
            </w:r>
          </w:p>
        </w:tc>
        <w:tc>
          <w:tcPr>
            <w:tcW w:w="831" w:type="dxa"/>
            <w:tcBorders>
              <w:top w:val="nil"/>
              <w:left w:val="nil"/>
              <w:bottom w:val="nil"/>
              <w:right w:val="nil"/>
            </w:tcBorders>
            <w:shd w:val="clear" w:color="auto" w:fill="FFFFFF" w:themeFill="background1"/>
            <w:vAlign w:val="center"/>
          </w:tcPr>
          <w:p w14:paraId="6B154780" w14:textId="693396C9" w:rsidR="006815AF" w:rsidRPr="006815AF" w:rsidRDefault="00404C26" w:rsidP="006815AF">
            <w:pPr>
              <w:spacing w:before="0" w:after="0" w:line="240" w:lineRule="auto"/>
              <w:jc w:val="right"/>
              <w:rPr>
                <w:rFonts w:ascii="Arial" w:hAnsi="Arial" w:cs="Arial"/>
                <w:b/>
                <w:bCs/>
                <w:sz w:val="16"/>
                <w:szCs w:val="16"/>
              </w:rPr>
            </w:pPr>
            <w:r>
              <w:rPr>
                <w:rFonts w:ascii="Arial" w:hAnsi="Arial" w:cs="Arial"/>
                <w:b/>
                <w:bCs/>
                <w:sz w:val="16"/>
                <w:szCs w:val="16"/>
              </w:rPr>
              <w:noBreakHyphen/>
            </w:r>
            <w:r w:rsidR="006815AF" w:rsidRPr="006815AF">
              <w:rPr>
                <w:rFonts w:ascii="Arial" w:hAnsi="Arial" w:cs="Arial"/>
                <w:b/>
                <w:bCs/>
                <w:sz w:val="16"/>
                <w:szCs w:val="16"/>
              </w:rPr>
              <w:t>700.7</w:t>
            </w:r>
          </w:p>
        </w:tc>
        <w:tc>
          <w:tcPr>
            <w:tcW w:w="830" w:type="dxa"/>
            <w:tcBorders>
              <w:top w:val="nil"/>
              <w:left w:val="nil"/>
              <w:bottom w:val="nil"/>
              <w:right w:val="nil"/>
            </w:tcBorders>
            <w:shd w:val="clear" w:color="auto" w:fill="FFFFFF" w:themeFill="background1"/>
            <w:vAlign w:val="center"/>
          </w:tcPr>
          <w:p w14:paraId="2A64E194" w14:textId="79A3E4DC" w:rsidR="006815AF" w:rsidRPr="006815AF" w:rsidRDefault="00404C26" w:rsidP="006815AF">
            <w:pPr>
              <w:spacing w:before="0" w:after="0" w:line="240" w:lineRule="auto"/>
              <w:jc w:val="right"/>
              <w:rPr>
                <w:rFonts w:ascii="Arial" w:hAnsi="Arial" w:cs="Arial"/>
                <w:b/>
                <w:bCs/>
                <w:sz w:val="16"/>
                <w:szCs w:val="16"/>
              </w:rPr>
            </w:pPr>
            <w:r>
              <w:rPr>
                <w:rFonts w:ascii="Arial" w:hAnsi="Arial" w:cs="Arial"/>
                <w:b/>
                <w:bCs/>
                <w:sz w:val="16"/>
                <w:szCs w:val="16"/>
              </w:rPr>
              <w:noBreakHyphen/>
            </w:r>
            <w:r w:rsidR="006815AF" w:rsidRPr="006815AF">
              <w:rPr>
                <w:rFonts w:ascii="Arial" w:hAnsi="Arial" w:cs="Arial"/>
                <w:b/>
                <w:bCs/>
                <w:sz w:val="16"/>
                <w:szCs w:val="16"/>
              </w:rPr>
              <w:t>740.1</w:t>
            </w:r>
          </w:p>
        </w:tc>
      </w:tr>
      <w:tr w:rsidR="006815AF" w:rsidRPr="006815AF" w14:paraId="63DA41AE"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48342E47" w14:textId="77777777" w:rsidR="006815AF" w:rsidRPr="006815AF" w:rsidRDefault="006815AF" w:rsidP="006815AF">
            <w:pPr>
              <w:spacing w:before="0" w:after="0" w:line="240" w:lineRule="auto"/>
              <w:rPr>
                <w:rFonts w:ascii="Arial" w:hAnsi="Arial" w:cs="Arial"/>
                <w:sz w:val="16"/>
                <w:szCs w:val="16"/>
              </w:rPr>
            </w:pPr>
            <w:r w:rsidRPr="006815AF">
              <w:rPr>
                <w:rFonts w:ascii="Arial" w:hAnsi="Arial" w:cs="Arial"/>
                <w:sz w:val="16"/>
                <w:szCs w:val="16"/>
              </w:rPr>
              <w:t>Per cent of GDP</w:t>
            </w:r>
          </w:p>
        </w:tc>
        <w:tc>
          <w:tcPr>
            <w:tcW w:w="843" w:type="dxa"/>
            <w:tcBorders>
              <w:top w:val="nil"/>
              <w:left w:val="nil"/>
              <w:bottom w:val="nil"/>
              <w:right w:val="nil"/>
            </w:tcBorders>
            <w:shd w:val="clear" w:color="auto" w:fill="FFFFFF" w:themeFill="background1"/>
            <w:noWrap/>
            <w:vAlign w:val="center"/>
            <w:hideMark/>
          </w:tcPr>
          <w:p w14:paraId="14E044B8" w14:textId="6812D657" w:rsidR="006815AF" w:rsidRPr="006815AF" w:rsidRDefault="00404C26" w:rsidP="006815AF">
            <w:pPr>
              <w:spacing w:before="0" w:after="0" w:line="240" w:lineRule="auto"/>
              <w:jc w:val="right"/>
              <w:rPr>
                <w:rFonts w:ascii="Arial" w:hAnsi="Arial" w:cs="Arial"/>
                <w:sz w:val="16"/>
                <w:szCs w:val="16"/>
              </w:rPr>
            </w:pPr>
            <w:r>
              <w:rPr>
                <w:rFonts w:ascii="Arial" w:hAnsi="Arial" w:cs="Arial"/>
                <w:sz w:val="16"/>
                <w:szCs w:val="16"/>
              </w:rPr>
              <w:noBreakHyphen/>
            </w:r>
            <w:r w:rsidR="006815AF" w:rsidRPr="006815AF">
              <w:rPr>
                <w:rFonts w:ascii="Arial" w:hAnsi="Arial" w:cs="Arial"/>
                <w:sz w:val="16"/>
                <w:szCs w:val="16"/>
              </w:rPr>
              <w:t>19.9</w:t>
            </w:r>
          </w:p>
        </w:tc>
        <w:tc>
          <w:tcPr>
            <w:tcW w:w="116" w:type="dxa"/>
            <w:tcBorders>
              <w:top w:val="nil"/>
              <w:left w:val="nil"/>
              <w:bottom w:val="nil"/>
              <w:right w:val="nil"/>
            </w:tcBorders>
            <w:shd w:val="clear" w:color="auto" w:fill="FFFFFF" w:themeFill="background1"/>
            <w:noWrap/>
            <w:vAlign w:val="center"/>
            <w:hideMark/>
          </w:tcPr>
          <w:p w14:paraId="7AB90209"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1" w:type="dxa"/>
            <w:tcBorders>
              <w:top w:val="nil"/>
              <w:left w:val="nil"/>
              <w:bottom w:val="nil"/>
              <w:right w:val="nil"/>
            </w:tcBorders>
            <w:shd w:val="clear" w:color="auto" w:fill="FFFFFF" w:themeFill="background1"/>
            <w:noWrap/>
            <w:vAlign w:val="center"/>
            <w:hideMark/>
          </w:tcPr>
          <w:p w14:paraId="26900024" w14:textId="155574B3" w:rsidR="006815AF" w:rsidRPr="006815AF" w:rsidRDefault="00404C26" w:rsidP="006815AF">
            <w:pPr>
              <w:spacing w:before="0" w:after="0" w:line="240" w:lineRule="auto"/>
              <w:jc w:val="right"/>
              <w:rPr>
                <w:rFonts w:ascii="Arial" w:hAnsi="Arial" w:cs="Arial"/>
                <w:sz w:val="16"/>
                <w:szCs w:val="16"/>
              </w:rPr>
            </w:pPr>
            <w:r>
              <w:rPr>
                <w:rFonts w:ascii="Arial" w:hAnsi="Arial" w:cs="Arial"/>
                <w:sz w:val="16"/>
                <w:szCs w:val="16"/>
              </w:rPr>
              <w:noBreakHyphen/>
            </w:r>
            <w:r w:rsidR="006815AF" w:rsidRPr="006815AF">
              <w:rPr>
                <w:rFonts w:ascii="Arial" w:hAnsi="Arial" w:cs="Arial"/>
                <w:sz w:val="16"/>
                <w:szCs w:val="16"/>
              </w:rPr>
              <w:t>20.5</w:t>
            </w:r>
          </w:p>
        </w:tc>
        <w:tc>
          <w:tcPr>
            <w:tcW w:w="831" w:type="dxa"/>
            <w:tcBorders>
              <w:top w:val="nil"/>
              <w:left w:val="nil"/>
              <w:bottom w:val="nil"/>
              <w:right w:val="nil"/>
            </w:tcBorders>
            <w:shd w:val="clear" w:color="auto" w:fill="E6F2FF"/>
            <w:vAlign w:val="center"/>
          </w:tcPr>
          <w:p w14:paraId="7D623C11" w14:textId="3A49BAF5" w:rsidR="006815AF" w:rsidRPr="006815AF" w:rsidRDefault="00404C26" w:rsidP="006815AF">
            <w:pPr>
              <w:spacing w:before="0" w:after="0" w:line="240" w:lineRule="auto"/>
              <w:jc w:val="right"/>
              <w:rPr>
                <w:rFonts w:ascii="Arial" w:hAnsi="Arial" w:cs="Arial"/>
                <w:sz w:val="16"/>
                <w:szCs w:val="16"/>
              </w:rPr>
            </w:pPr>
            <w:r>
              <w:rPr>
                <w:rFonts w:ascii="Arial" w:hAnsi="Arial" w:cs="Arial"/>
                <w:sz w:val="16"/>
                <w:szCs w:val="16"/>
              </w:rPr>
              <w:noBreakHyphen/>
            </w:r>
            <w:r w:rsidR="006815AF" w:rsidRPr="006815AF">
              <w:rPr>
                <w:rFonts w:ascii="Arial" w:hAnsi="Arial" w:cs="Arial"/>
                <w:sz w:val="16"/>
                <w:szCs w:val="16"/>
              </w:rPr>
              <w:t>21.6</w:t>
            </w:r>
          </w:p>
        </w:tc>
        <w:tc>
          <w:tcPr>
            <w:tcW w:w="831" w:type="dxa"/>
            <w:tcBorders>
              <w:top w:val="nil"/>
              <w:left w:val="nil"/>
              <w:bottom w:val="nil"/>
              <w:right w:val="nil"/>
            </w:tcBorders>
            <w:shd w:val="clear" w:color="auto" w:fill="FFFFFF" w:themeFill="background1"/>
            <w:vAlign w:val="center"/>
          </w:tcPr>
          <w:p w14:paraId="3CA753F5" w14:textId="4E173D69" w:rsidR="006815AF" w:rsidRPr="006815AF" w:rsidRDefault="00404C26" w:rsidP="006815AF">
            <w:pPr>
              <w:spacing w:before="0" w:after="0" w:line="240" w:lineRule="auto"/>
              <w:jc w:val="right"/>
              <w:rPr>
                <w:rFonts w:ascii="Arial" w:hAnsi="Arial" w:cs="Arial"/>
                <w:sz w:val="16"/>
                <w:szCs w:val="16"/>
              </w:rPr>
            </w:pPr>
            <w:r>
              <w:rPr>
                <w:rFonts w:ascii="Arial" w:hAnsi="Arial" w:cs="Arial"/>
                <w:sz w:val="16"/>
                <w:szCs w:val="16"/>
              </w:rPr>
              <w:noBreakHyphen/>
            </w:r>
            <w:r w:rsidR="006815AF" w:rsidRPr="006815AF">
              <w:rPr>
                <w:rFonts w:ascii="Arial" w:hAnsi="Arial" w:cs="Arial"/>
                <w:sz w:val="16"/>
                <w:szCs w:val="16"/>
              </w:rPr>
              <w:t>22.0</w:t>
            </w:r>
          </w:p>
        </w:tc>
        <w:tc>
          <w:tcPr>
            <w:tcW w:w="831" w:type="dxa"/>
            <w:tcBorders>
              <w:top w:val="nil"/>
              <w:left w:val="nil"/>
              <w:bottom w:val="nil"/>
              <w:right w:val="nil"/>
            </w:tcBorders>
            <w:shd w:val="clear" w:color="auto" w:fill="FFFFFF" w:themeFill="background1"/>
            <w:vAlign w:val="center"/>
          </w:tcPr>
          <w:p w14:paraId="7A4CBA8A" w14:textId="2DF1FB9C" w:rsidR="006815AF" w:rsidRPr="006815AF" w:rsidRDefault="00404C26" w:rsidP="006815AF">
            <w:pPr>
              <w:spacing w:before="0" w:after="0" w:line="240" w:lineRule="auto"/>
              <w:jc w:val="right"/>
              <w:rPr>
                <w:rFonts w:ascii="Arial" w:hAnsi="Arial" w:cs="Arial"/>
                <w:sz w:val="16"/>
                <w:szCs w:val="16"/>
              </w:rPr>
            </w:pPr>
            <w:r>
              <w:rPr>
                <w:rFonts w:ascii="Arial" w:hAnsi="Arial" w:cs="Arial"/>
                <w:sz w:val="16"/>
                <w:szCs w:val="16"/>
              </w:rPr>
              <w:noBreakHyphen/>
            </w:r>
            <w:r w:rsidR="006815AF" w:rsidRPr="006815AF">
              <w:rPr>
                <w:rFonts w:ascii="Arial" w:hAnsi="Arial" w:cs="Arial"/>
                <w:sz w:val="16"/>
                <w:szCs w:val="16"/>
              </w:rPr>
              <w:t>22.3</w:t>
            </w:r>
          </w:p>
        </w:tc>
        <w:tc>
          <w:tcPr>
            <w:tcW w:w="830" w:type="dxa"/>
            <w:tcBorders>
              <w:top w:val="nil"/>
              <w:left w:val="nil"/>
              <w:bottom w:val="nil"/>
              <w:right w:val="nil"/>
            </w:tcBorders>
            <w:shd w:val="clear" w:color="auto" w:fill="FFFFFF" w:themeFill="background1"/>
            <w:vAlign w:val="center"/>
          </w:tcPr>
          <w:p w14:paraId="6C9D267C" w14:textId="523EC5C9" w:rsidR="006815AF" w:rsidRPr="006815AF" w:rsidRDefault="00404C26" w:rsidP="006815AF">
            <w:pPr>
              <w:spacing w:before="0" w:after="0" w:line="240" w:lineRule="auto"/>
              <w:jc w:val="right"/>
              <w:rPr>
                <w:rFonts w:ascii="Arial" w:hAnsi="Arial" w:cs="Arial"/>
                <w:sz w:val="16"/>
                <w:szCs w:val="16"/>
              </w:rPr>
            </w:pPr>
            <w:r>
              <w:rPr>
                <w:rFonts w:ascii="Arial" w:hAnsi="Arial" w:cs="Arial"/>
                <w:sz w:val="16"/>
                <w:szCs w:val="16"/>
              </w:rPr>
              <w:noBreakHyphen/>
            </w:r>
            <w:r w:rsidR="006815AF" w:rsidRPr="006815AF">
              <w:rPr>
                <w:rFonts w:ascii="Arial" w:hAnsi="Arial" w:cs="Arial"/>
                <w:sz w:val="16"/>
                <w:szCs w:val="16"/>
              </w:rPr>
              <w:t>22.3</w:t>
            </w:r>
          </w:p>
        </w:tc>
      </w:tr>
      <w:tr w:rsidR="006815AF" w:rsidRPr="006815AF" w14:paraId="69722C04" w14:textId="77777777" w:rsidTr="591FF694">
        <w:trPr>
          <w:trHeight w:hRule="exact" w:val="60"/>
        </w:trPr>
        <w:tc>
          <w:tcPr>
            <w:tcW w:w="2597" w:type="dxa"/>
            <w:tcBorders>
              <w:top w:val="nil"/>
              <w:left w:val="nil"/>
              <w:bottom w:val="nil"/>
              <w:right w:val="nil"/>
            </w:tcBorders>
            <w:shd w:val="clear" w:color="auto" w:fill="FFFFFF" w:themeFill="background1"/>
            <w:noWrap/>
            <w:vAlign w:val="center"/>
            <w:hideMark/>
          </w:tcPr>
          <w:p w14:paraId="471699EF" w14:textId="77777777" w:rsidR="006815AF" w:rsidRPr="006815AF" w:rsidRDefault="006815AF" w:rsidP="006815AF">
            <w:pPr>
              <w:spacing w:before="0" w:after="0" w:line="240" w:lineRule="auto"/>
              <w:rPr>
                <w:rFonts w:ascii="Arial" w:hAnsi="Arial" w:cs="Arial"/>
                <w:b/>
                <w:bCs/>
                <w:sz w:val="16"/>
                <w:szCs w:val="16"/>
              </w:rPr>
            </w:pPr>
            <w:r w:rsidRPr="006815AF">
              <w:rPr>
                <w:rFonts w:ascii="Arial" w:hAnsi="Arial" w:cs="Arial"/>
                <w:b/>
                <w:bCs/>
                <w:sz w:val="16"/>
                <w:szCs w:val="16"/>
              </w:rPr>
              <w:t> </w:t>
            </w:r>
          </w:p>
        </w:tc>
        <w:tc>
          <w:tcPr>
            <w:tcW w:w="843" w:type="dxa"/>
            <w:tcBorders>
              <w:top w:val="nil"/>
              <w:left w:val="nil"/>
              <w:bottom w:val="nil"/>
              <w:right w:val="nil"/>
            </w:tcBorders>
            <w:shd w:val="clear" w:color="auto" w:fill="FFFFFF" w:themeFill="background1"/>
            <w:noWrap/>
            <w:vAlign w:val="center"/>
            <w:hideMark/>
          </w:tcPr>
          <w:p w14:paraId="491C4AFA"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116" w:type="dxa"/>
            <w:tcBorders>
              <w:top w:val="nil"/>
              <w:left w:val="nil"/>
              <w:bottom w:val="nil"/>
              <w:right w:val="nil"/>
            </w:tcBorders>
            <w:shd w:val="clear" w:color="auto" w:fill="FFFFFF" w:themeFill="background1"/>
            <w:noWrap/>
            <w:vAlign w:val="center"/>
            <w:hideMark/>
          </w:tcPr>
          <w:p w14:paraId="5D753AE6"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noWrap/>
            <w:vAlign w:val="center"/>
            <w:hideMark/>
          </w:tcPr>
          <w:p w14:paraId="756180D6"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E6F2FF"/>
            <w:vAlign w:val="center"/>
          </w:tcPr>
          <w:p w14:paraId="3898988A"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vAlign w:val="center"/>
          </w:tcPr>
          <w:p w14:paraId="5120B748"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vAlign w:val="center"/>
          </w:tcPr>
          <w:p w14:paraId="6F241421"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0" w:type="dxa"/>
            <w:tcBorders>
              <w:top w:val="nil"/>
              <w:left w:val="nil"/>
              <w:bottom w:val="nil"/>
              <w:right w:val="nil"/>
            </w:tcBorders>
            <w:shd w:val="clear" w:color="auto" w:fill="FFFFFF" w:themeFill="background1"/>
            <w:vAlign w:val="center"/>
          </w:tcPr>
          <w:p w14:paraId="5625210F"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r>
      <w:tr w:rsidR="006815AF" w:rsidRPr="006815AF" w14:paraId="2DBAC8AE"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5C0F810C" w14:textId="77777777" w:rsidR="006815AF" w:rsidRPr="006815AF" w:rsidRDefault="006815AF" w:rsidP="006815AF">
            <w:pPr>
              <w:spacing w:before="0" w:after="0" w:line="240" w:lineRule="auto"/>
              <w:rPr>
                <w:rFonts w:ascii="Arial" w:hAnsi="Arial" w:cs="Arial"/>
                <w:b/>
                <w:bCs/>
                <w:sz w:val="16"/>
                <w:szCs w:val="16"/>
              </w:rPr>
            </w:pPr>
            <w:r w:rsidRPr="006815AF">
              <w:rPr>
                <w:rFonts w:ascii="Arial" w:hAnsi="Arial" w:cs="Arial"/>
                <w:b/>
                <w:bCs/>
                <w:sz w:val="16"/>
                <w:szCs w:val="16"/>
              </w:rPr>
              <w:t xml:space="preserve">Net financial worth(b) </w:t>
            </w:r>
          </w:p>
        </w:tc>
        <w:tc>
          <w:tcPr>
            <w:tcW w:w="843" w:type="dxa"/>
            <w:tcBorders>
              <w:top w:val="nil"/>
              <w:left w:val="nil"/>
              <w:bottom w:val="nil"/>
              <w:right w:val="nil"/>
            </w:tcBorders>
            <w:shd w:val="clear" w:color="auto" w:fill="FFFFFF" w:themeFill="background1"/>
            <w:noWrap/>
            <w:vAlign w:val="center"/>
            <w:hideMark/>
          </w:tcPr>
          <w:p w14:paraId="59D6A344" w14:textId="3F2E5BC9" w:rsidR="006815AF" w:rsidRPr="006815AF" w:rsidRDefault="00404C26" w:rsidP="006815AF">
            <w:pPr>
              <w:spacing w:before="0" w:after="0" w:line="240" w:lineRule="auto"/>
              <w:jc w:val="right"/>
              <w:rPr>
                <w:rFonts w:ascii="Arial" w:hAnsi="Arial" w:cs="Arial"/>
                <w:b/>
                <w:bCs/>
                <w:sz w:val="16"/>
                <w:szCs w:val="16"/>
              </w:rPr>
            </w:pPr>
            <w:r>
              <w:rPr>
                <w:rFonts w:ascii="Arial" w:hAnsi="Arial" w:cs="Arial"/>
                <w:b/>
                <w:bCs/>
                <w:sz w:val="16"/>
                <w:szCs w:val="16"/>
              </w:rPr>
              <w:noBreakHyphen/>
            </w:r>
            <w:r w:rsidR="006815AF" w:rsidRPr="006815AF">
              <w:rPr>
                <w:rFonts w:ascii="Arial" w:hAnsi="Arial" w:cs="Arial"/>
                <w:b/>
                <w:bCs/>
                <w:sz w:val="16"/>
                <w:szCs w:val="16"/>
              </w:rPr>
              <w:t>746.3</w:t>
            </w:r>
          </w:p>
        </w:tc>
        <w:tc>
          <w:tcPr>
            <w:tcW w:w="116" w:type="dxa"/>
            <w:tcBorders>
              <w:top w:val="nil"/>
              <w:left w:val="nil"/>
              <w:bottom w:val="nil"/>
              <w:right w:val="nil"/>
            </w:tcBorders>
            <w:shd w:val="clear" w:color="auto" w:fill="FFFFFF" w:themeFill="background1"/>
            <w:noWrap/>
            <w:vAlign w:val="center"/>
            <w:hideMark/>
          </w:tcPr>
          <w:p w14:paraId="1A4255DA"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noWrap/>
            <w:vAlign w:val="center"/>
            <w:hideMark/>
          </w:tcPr>
          <w:p w14:paraId="7DE4401E" w14:textId="13DDD838" w:rsidR="006815AF" w:rsidRPr="006815AF" w:rsidRDefault="00404C26" w:rsidP="006815AF">
            <w:pPr>
              <w:spacing w:before="0" w:after="0" w:line="240" w:lineRule="auto"/>
              <w:jc w:val="right"/>
              <w:rPr>
                <w:rFonts w:ascii="Arial" w:hAnsi="Arial" w:cs="Arial"/>
                <w:b/>
                <w:bCs/>
                <w:sz w:val="16"/>
                <w:szCs w:val="16"/>
              </w:rPr>
            </w:pPr>
            <w:r>
              <w:rPr>
                <w:rFonts w:ascii="Arial" w:hAnsi="Arial" w:cs="Arial"/>
                <w:b/>
                <w:bCs/>
                <w:sz w:val="16"/>
                <w:szCs w:val="16"/>
              </w:rPr>
              <w:noBreakHyphen/>
            </w:r>
            <w:r w:rsidR="006815AF" w:rsidRPr="006815AF">
              <w:rPr>
                <w:rFonts w:ascii="Arial" w:hAnsi="Arial" w:cs="Arial"/>
                <w:b/>
                <w:bCs/>
                <w:sz w:val="16"/>
                <w:szCs w:val="16"/>
              </w:rPr>
              <w:t>791.1</w:t>
            </w:r>
          </w:p>
        </w:tc>
        <w:tc>
          <w:tcPr>
            <w:tcW w:w="831" w:type="dxa"/>
            <w:tcBorders>
              <w:top w:val="nil"/>
              <w:left w:val="nil"/>
              <w:bottom w:val="nil"/>
              <w:right w:val="nil"/>
            </w:tcBorders>
            <w:shd w:val="clear" w:color="auto" w:fill="E6F2FF"/>
            <w:vAlign w:val="center"/>
          </w:tcPr>
          <w:p w14:paraId="387CBA62" w14:textId="1CE63CF7" w:rsidR="006815AF" w:rsidRPr="006815AF" w:rsidRDefault="00404C26" w:rsidP="006815AF">
            <w:pPr>
              <w:spacing w:before="0" w:after="0" w:line="240" w:lineRule="auto"/>
              <w:jc w:val="right"/>
              <w:rPr>
                <w:rFonts w:ascii="Arial" w:hAnsi="Arial" w:cs="Arial"/>
                <w:b/>
                <w:bCs/>
                <w:sz w:val="16"/>
                <w:szCs w:val="16"/>
              </w:rPr>
            </w:pPr>
            <w:r>
              <w:rPr>
                <w:rFonts w:ascii="Arial" w:hAnsi="Arial" w:cs="Arial"/>
                <w:b/>
                <w:bCs/>
                <w:sz w:val="16"/>
                <w:szCs w:val="16"/>
              </w:rPr>
              <w:noBreakHyphen/>
            </w:r>
            <w:r w:rsidR="006815AF" w:rsidRPr="006815AF">
              <w:rPr>
                <w:rFonts w:ascii="Arial" w:hAnsi="Arial" w:cs="Arial"/>
                <w:b/>
                <w:bCs/>
                <w:sz w:val="16"/>
                <w:szCs w:val="16"/>
              </w:rPr>
              <w:t>850.1</w:t>
            </w:r>
          </w:p>
        </w:tc>
        <w:tc>
          <w:tcPr>
            <w:tcW w:w="831" w:type="dxa"/>
            <w:tcBorders>
              <w:top w:val="nil"/>
              <w:left w:val="nil"/>
              <w:bottom w:val="nil"/>
              <w:right w:val="nil"/>
            </w:tcBorders>
            <w:shd w:val="clear" w:color="auto" w:fill="FFFFFF" w:themeFill="background1"/>
            <w:vAlign w:val="center"/>
          </w:tcPr>
          <w:p w14:paraId="24070244" w14:textId="4C4E1AB4" w:rsidR="006815AF" w:rsidRPr="006815AF" w:rsidRDefault="00404C26" w:rsidP="006815AF">
            <w:pPr>
              <w:spacing w:before="0" w:after="0" w:line="240" w:lineRule="auto"/>
              <w:jc w:val="right"/>
              <w:rPr>
                <w:rFonts w:ascii="Arial" w:hAnsi="Arial" w:cs="Arial"/>
                <w:b/>
                <w:bCs/>
                <w:sz w:val="16"/>
                <w:szCs w:val="16"/>
              </w:rPr>
            </w:pPr>
            <w:r>
              <w:rPr>
                <w:rFonts w:ascii="Arial" w:hAnsi="Arial" w:cs="Arial"/>
                <w:b/>
                <w:bCs/>
                <w:sz w:val="16"/>
                <w:szCs w:val="16"/>
              </w:rPr>
              <w:noBreakHyphen/>
            </w:r>
            <w:r w:rsidR="006815AF" w:rsidRPr="006815AF">
              <w:rPr>
                <w:rFonts w:ascii="Arial" w:hAnsi="Arial" w:cs="Arial"/>
                <w:b/>
                <w:bCs/>
                <w:sz w:val="16"/>
                <w:szCs w:val="16"/>
              </w:rPr>
              <w:t>895.6</w:t>
            </w:r>
          </w:p>
        </w:tc>
        <w:tc>
          <w:tcPr>
            <w:tcW w:w="831" w:type="dxa"/>
            <w:tcBorders>
              <w:top w:val="nil"/>
              <w:left w:val="nil"/>
              <w:bottom w:val="nil"/>
              <w:right w:val="nil"/>
            </w:tcBorders>
            <w:shd w:val="clear" w:color="auto" w:fill="FFFFFF" w:themeFill="background1"/>
            <w:vAlign w:val="center"/>
          </w:tcPr>
          <w:p w14:paraId="3BEEBB2D" w14:textId="5847526B" w:rsidR="006815AF" w:rsidRPr="006815AF" w:rsidRDefault="00404C26" w:rsidP="006815AF">
            <w:pPr>
              <w:spacing w:before="0" w:after="0" w:line="240" w:lineRule="auto"/>
              <w:jc w:val="right"/>
              <w:rPr>
                <w:rFonts w:ascii="Arial" w:hAnsi="Arial" w:cs="Arial"/>
                <w:b/>
                <w:bCs/>
                <w:sz w:val="16"/>
                <w:szCs w:val="16"/>
              </w:rPr>
            </w:pPr>
            <w:r>
              <w:rPr>
                <w:rFonts w:ascii="Arial" w:hAnsi="Arial" w:cs="Arial"/>
                <w:b/>
                <w:bCs/>
                <w:sz w:val="16"/>
                <w:szCs w:val="16"/>
              </w:rPr>
              <w:noBreakHyphen/>
            </w:r>
            <w:r w:rsidR="006815AF" w:rsidRPr="006815AF">
              <w:rPr>
                <w:rFonts w:ascii="Arial" w:hAnsi="Arial" w:cs="Arial"/>
                <w:b/>
                <w:bCs/>
                <w:sz w:val="16"/>
                <w:szCs w:val="16"/>
              </w:rPr>
              <w:t>948.3</w:t>
            </w:r>
          </w:p>
        </w:tc>
        <w:tc>
          <w:tcPr>
            <w:tcW w:w="830" w:type="dxa"/>
            <w:tcBorders>
              <w:top w:val="nil"/>
              <w:left w:val="nil"/>
              <w:bottom w:val="nil"/>
              <w:right w:val="nil"/>
            </w:tcBorders>
            <w:shd w:val="clear" w:color="auto" w:fill="FFFFFF" w:themeFill="background1"/>
            <w:vAlign w:val="center"/>
          </w:tcPr>
          <w:p w14:paraId="508F8A55" w14:textId="64CF875F" w:rsidR="006815AF" w:rsidRPr="006815AF" w:rsidRDefault="00404C26" w:rsidP="006815AF">
            <w:pPr>
              <w:spacing w:before="0" w:after="0" w:line="240" w:lineRule="auto"/>
              <w:jc w:val="right"/>
              <w:rPr>
                <w:rFonts w:ascii="Arial" w:hAnsi="Arial" w:cs="Arial"/>
                <w:b/>
                <w:bCs/>
                <w:sz w:val="16"/>
                <w:szCs w:val="16"/>
              </w:rPr>
            </w:pPr>
            <w:r>
              <w:rPr>
                <w:rFonts w:ascii="Arial" w:hAnsi="Arial" w:cs="Arial"/>
                <w:b/>
                <w:bCs/>
                <w:sz w:val="16"/>
                <w:szCs w:val="16"/>
              </w:rPr>
              <w:noBreakHyphen/>
            </w:r>
            <w:r w:rsidR="006815AF" w:rsidRPr="006815AF">
              <w:rPr>
                <w:rFonts w:ascii="Arial" w:hAnsi="Arial" w:cs="Arial"/>
                <w:b/>
                <w:bCs/>
                <w:sz w:val="16"/>
                <w:szCs w:val="16"/>
              </w:rPr>
              <w:t>997.4</w:t>
            </w:r>
          </w:p>
        </w:tc>
      </w:tr>
      <w:tr w:rsidR="006815AF" w:rsidRPr="006815AF" w14:paraId="1DEA6818"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71B180F7" w14:textId="77777777" w:rsidR="006815AF" w:rsidRPr="006815AF" w:rsidRDefault="006815AF" w:rsidP="006815AF">
            <w:pPr>
              <w:spacing w:before="0" w:after="0" w:line="240" w:lineRule="auto"/>
              <w:rPr>
                <w:rFonts w:ascii="Arial" w:hAnsi="Arial" w:cs="Arial"/>
                <w:sz w:val="16"/>
                <w:szCs w:val="16"/>
              </w:rPr>
            </w:pPr>
            <w:r w:rsidRPr="006815AF">
              <w:rPr>
                <w:rFonts w:ascii="Arial" w:hAnsi="Arial" w:cs="Arial"/>
                <w:sz w:val="16"/>
                <w:szCs w:val="16"/>
              </w:rPr>
              <w:t>Per cent of GDP</w:t>
            </w:r>
          </w:p>
        </w:tc>
        <w:tc>
          <w:tcPr>
            <w:tcW w:w="843" w:type="dxa"/>
            <w:tcBorders>
              <w:top w:val="nil"/>
              <w:left w:val="nil"/>
              <w:bottom w:val="nil"/>
              <w:right w:val="nil"/>
            </w:tcBorders>
            <w:shd w:val="clear" w:color="auto" w:fill="FFFFFF" w:themeFill="background1"/>
            <w:noWrap/>
            <w:vAlign w:val="center"/>
            <w:hideMark/>
          </w:tcPr>
          <w:p w14:paraId="41AD880E" w14:textId="13B3DEA0" w:rsidR="006815AF" w:rsidRPr="006815AF" w:rsidRDefault="00404C26" w:rsidP="006815AF">
            <w:pPr>
              <w:spacing w:before="0" w:after="0" w:line="240" w:lineRule="auto"/>
              <w:jc w:val="right"/>
              <w:rPr>
                <w:rFonts w:ascii="Arial" w:hAnsi="Arial" w:cs="Arial"/>
                <w:sz w:val="16"/>
                <w:szCs w:val="16"/>
              </w:rPr>
            </w:pPr>
            <w:r>
              <w:rPr>
                <w:rFonts w:ascii="Arial" w:hAnsi="Arial" w:cs="Arial"/>
                <w:sz w:val="16"/>
                <w:szCs w:val="16"/>
              </w:rPr>
              <w:noBreakHyphen/>
            </w:r>
            <w:r w:rsidR="006815AF" w:rsidRPr="006815AF">
              <w:rPr>
                <w:rFonts w:ascii="Arial" w:hAnsi="Arial" w:cs="Arial"/>
                <w:sz w:val="16"/>
                <w:szCs w:val="16"/>
              </w:rPr>
              <w:t>27.9</w:t>
            </w:r>
          </w:p>
        </w:tc>
        <w:tc>
          <w:tcPr>
            <w:tcW w:w="116" w:type="dxa"/>
            <w:tcBorders>
              <w:top w:val="nil"/>
              <w:left w:val="nil"/>
              <w:bottom w:val="nil"/>
              <w:right w:val="nil"/>
            </w:tcBorders>
            <w:shd w:val="clear" w:color="auto" w:fill="FFFFFF" w:themeFill="background1"/>
            <w:noWrap/>
            <w:vAlign w:val="center"/>
            <w:hideMark/>
          </w:tcPr>
          <w:p w14:paraId="39495289"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1" w:type="dxa"/>
            <w:tcBorders>
              <w:top w:val="nil"/>
              <w:left w:val="nil"/>
              <w:bottom w:val="nil"/>
              <w:right w:val="nil"/>
            </w:tcBorders>
            <w:shd w:val="clear" w:color="auto" w:fill="FFFFFF" w:themeFill="background1"/>
            <w:noWrap/>
            <w:vAlign w:val="center"/>
            <w:hideMark/>
          </w:tcPr>
          <w:p w14:paraId="4CF01641" w14:textId="4D3B9884" w:rsidR="006815AF" w:rsidRPr="006815AF" w:rsidRDefault="00404C26" w:rsidP="006815AF">
            <w:pPr>
              <w:spacing w:before="0" w:after="0" w:line="240" w:lineRule="auto"/>
              <w:jc w:val="right"/>
              <w:rPr>
                <w:rFonts w:ascii="Arial" w:hAnsi="Arial" w:cs="Arial"/>
                <w:sz w:val="16"/>
                <w:szCs w:val="16"/>
              </w:rPr>
            </w:pPr>
            <w:r>
              <w:rPr>
                <w:rFonts w:ascii="Arial" w:hAnsi="Arial" w:cs="Arial"/>
                <w:sz w:val="16"/>
                <w:szCs w:val="16"/>
              </w:rPr>
              <w:noBreakHyphen/>
            </w:r>
            <w:r w:rsidR="006815AF" w:rsidRPr="006815AF">
              <w:rPr>
                <w:rFonts w:ascii="Arial" w:hAnsi="Arial" w:cs="Arial"/>
                <w:sz w:val="16"/>
                <w:szCs w:val="16"/>
              </w:rPr>
              <w:t>28.4</w:t>
            </w:r>
          </w:p>
        </w:tc>
        <w:tc>
          <w:tcPr>
            <w:tcW w:w="831" w:type="dxa"/>
            <w:tcBorders>
              <w:top w:val="nil"/>
              <w:left w:val="nil"/>
              <w:bottom w:val="nil"/>
              <w:right w:val="nil"/>
            </w:tcBorders>
            <w:shd w:val="clear" w:color="auto" w:fill="E6F2FF"/>
            <w:vAlign w:val="center"/>
          </w:tcPr>
          <w:p w14:paraId="31929634" w14:textId="58361AB2" w:rsidR="006815AF" w:rsidRPr="006815AF" w:rsidRDefault="00404C26" w:rsidP="006815AF">
            <w:pPr>
              <w:spacing w:before="0" w:after="0" w:line="240" w:lineRule="auto"/>
              <w:jc w:val="right"/>
              <w:rPr>
                <w:rFonts w:ascii="Arial" w:hAnsi="Arial" w:cs="Arial"/>
                <w:sz w:val="16"/>
                <w:szCs w:val="16"/>
              </w:rPr>
            </w:pPr>
            <w:r>
              <w:rPr>
                <w:rFonts w:ascii="Arial" w:hAnsi="Arial" w:cs="Arial"/>
                <w:sz w:val="16"/>
                <w:szCs w:val="16"/>
              </w:rPr>
              <w:noBreakHyphen/>
            </w:r>
            <w:r w:rsidR="006815AF" w:rsidRPr="006815AF">
              <w:rPr>
                <w:rFonts w:ascii="Arial" w:hAnsi="Arial" w:cs="Arial"/>
                <w:sz w:val="16"/>
                <w:szCs w:val="16"/>
              </w:rPr>
              <w:t>29.5</w:t>
            </w:r>
          </w:p>
        </w:tc>
        <w:tc>
          <w:tcPr>
            <w:tcW w:w="831" w:type="dxa"/>
            <w:tcBorders>
              <w:top w:val="nil"/>
              <w:left w:val="nil"/>
              <w:bottom w:val="nil"/>
              <w:right w:val="nil"/>
            </w:tcBorders>
            <w:shd w:val="clear" w:color="auto" w:fill="FFFFFF" w:themeFill="background1"/>
            <w:vAlign w:val="center"/>
          </w:tcPr>
          <w:p w14:paraId="5F991385" w14:textId="6F431E97" w:rsidR="006815AF" w:rsidRPr="006815AF" w:rsidRDefault="00404C26" w:rsidP="006815AF">
            <w:pPr>
              <w:spacing w:before="0" w:after="0" w:line="240" w:lineRule="auto"/>
              <w:jc w:val="right"/>
              <w:rPr>
                <w:rFonts w:ascii="Arial" w:hAnsi="Arial" w:cs="Arial"/>
                <w:sz w:val="16"/>
                <w:szCs w:val="16"/>
              </w:rPr>
            </w:pPr>
            <w:r>
              <w:rPr>
                <w:rFonts w:ascii="Arial" w:hAnsi="Arial" w:cs="Arial"/>
                <w:sz w:val="16"/>
                <w:szCs w:val="16"/>
              </w:rPr>
              <w:noBreakHyphen/>
            </w:r>
            <w:r w:rsidR="006815AF" w:rsidRPr="006815AF">
              <w:rPr>
                <w:rFonts w:ascii="Arial" w:hAnsi="Arial" w:cs="Arial"/>
                <w:sz w:val="16"/>
                <w:szCs w:val="16"/>
              </w:rPr>
              <w:t>29.9</w:t>
            </w:r>
          </w:p>
        </w:tc>
        <w:tc>
          <w:tcPr>
            <w:tcW w:w="831" w:type="dxa"/>
            <w:tcBorders>
              <w:top w:val="nil"/>
              <w:left w:val="nil"/>
              <w:bottom w:val="nil"/>
              <w:right w:val="nil"/>
            </w:tcBorders>
            <w:shd w:val="clear" w:color="auto" w:fill="FFFFFF" w:themeFill="background1"/>
            <w:vAlign w:val="center"/>
          </w:tcPr>
          <w:p w14:paraId="0E8EABDD" w14:textId="078EEC83" w:rsidR="006815AF" w:rsidRPr="006815AF" w:rsidRDefault="00404C26" w:rsidP="006815AF">
            <w:pPr>
              <w:spacing w:before="0" w:after="0" w:line="240" w:lineRule="auto"/>
              <w:jc w:val="right"/>
              <w:rPr>
                <w:rFonts w:ascii="Arial" w:hAnsi="Arial" w:cs="Arial"/>
                <w:sz w:val="16"/>
                <w:szCs w:val="16"/>
              </w:rPr>
            </w:pPr>
            <w:r>
              <w:rPr>
                <w:rFonts w:ascii="Arial" w:hAnsi="Arial" w:cs="Arial"/>
                <w:sz w:val="16"/>
                <w:szCs w:val="16"/>
              </w:rPr>
              <w:noBreakHyphen/>
            </w:r>
            <w:r w:rsidR="006815AF" w:rsidRPr="006815AF">
              <w:rPr>
                <w:rFonts w:ascii="Arial" w:hAnsi="Arial" w:cs="Arial"/>
                <w:sz w:val="16"/>
                <w:szCs w:val="16"/>
              </w:rPr>
              <w:t>30.1</w:t>
            </w:r>
          </w:p>
        </w:tc>
        <w:tc>
          <w:tcPr>
            <w:tcW w:w="830" w:type="dxa"/>
            <w:tcBorders>
              <w:top w:val="nil"/>
              <w:left w:val="nil"/>
              <w:bottom w:val="nil"/>
              <w:right w:val="nil"/>
            </w:tcBorders>
            <w:shd w:val="clear" w:color="auto" w:fill="FFFFFF" w:themeFill="background1"/>
            <w:vAlign w:val="center"/>
          </w:tcPr>
          <w:p w14:paraId="1263E8E6" w14:textId="4C4C6EEA" w:rsidR="006815AF" w:rsidRPr="006815AF" w:rsidRDefault="00404C26" w:rsidP="006815AF">
            <w:pPr>
              <w:spacing w:before="0" w:after="0" w:line="240" w:lineRule="auto"/>
              <w:jc w:val="right"/>
              <w:rPr>
                <w:rFonts w:ascii="Arial" w:hAnsi="Arial" w:cs="Arial"/>
                <w:sz w:val="16"/>
                <w:szCs w:val="16"/>
              </w:rPr>
            </w:pPr>
            <w:r>
              <w:rPr>
                <w:rFonts w:ascii="Arial" w:hAnsi="Arial" w:cs="Arial"/>
                <w:sz w:val="16"/>
                <w:szCs w:val="16"/>
              </w:rPr>
              <w:noBreakHyphen/>
            </w:r>
            <w:r w:rsidR="006815AF" w:rsidRPr="006815AF">
              <w:rPr>
                <w:rFonts w:ascii="Arial" w:hAnsi="Arial" w:cs="Arial"/>
                <w:sz w:val="16"/>
                <w:szCs w:val="16"/>
              </w:rPr>
              <w:t>30.0</w:t>
            </w:r>
          </w:p>
        </w:tc>
      </w:tr>
      <w:tr w:rsidR="006815AF" w:rsidRPr="006815AF" w14:paraId="000359A2" w14:textId="77777777" w:rsidTr="591FF694">
        <w:trPr>
          <w:trHeight w:hRule="exact" w:val="60"/>
        </w:trPr>
        <w:tc>
          <w:tcPr>
            <w:tcW w:w="2597" w:type="dxa"/>
            <w:tcBorders>
              <w:top w:val="nil"/>
              <w:left w:val="nil"/>
              <w:bottom w:val="nil"/>
              <w:right w:val="nil"/>
            </w:tcBorders>
            <w:shd w:val="clear" w:color="auto" w:fill="FFFFFF" w:themeFill="background1"/>
            <w:noWrap/>
            <w:vAlign w:val="center"/>
            <w:hideMark/>
          </w:tcPr>
          <w:p w14:paraId="44A81E76" w14:textId="77777777" w:rsidR="006815AF" w:rsidRPr="006815AF" w:rsidRDefault="006815AF" w:rsidP="006815AF">
            <w:pPr>
              <w:spacing w:before="0" w:after="0" w:line="240" w:lineRule="auto"/>
              <w:rPr>
                <w:rFonts w:ascii="Arial" w:hAnsi="Arial" w:cs="Arial"/>
                <w:b/>
                <w:bCs/>
                <w:sz w:val="16"/>
                <w:szCs w:val="16"/>
              </w:rPr>
            </w:pPr>
            <w:r w:rsidRPr="006815AF">
              <w:rPr>
                <w:rFonts w:ascii="Arial" w:hAnsi="Arial" w:cs="Arial"/>
                <w:b/>
                <w:bCs/>
                <w:sz w:val="16"/>
                <w:szCs w:val="16"/>
              </w:rPr>
              <w:t> </w:t>
            </w:r>
          </w:p>
        </w:tc>
        <w:tc>
          <w:tcPr>
            <w:tcW w:w="843" w:type="dxa"/>
            <w:tcBorders>
              <w:top w:val="nil"/>
              <w:left w:val="nil"/>
              <w:bottom w:val="nil"/>
              <w:right w:val="nil"/>
            </w:tcBorders>
            <w:shd w:val="clear" w:color="auto" w:fill="FFFFFF" w:themeFill="background1"/>
            <w:noWrap/>
            <w:vAlign w:val="center"/>
            <w:hideMark/>
          </w:tcPr>
          <w:p w14:paraId="00A5621F"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116" w:type="dxa"/>
            <w:tcBorders>
              <w:top w:val="nil"/>
              <w:left w:val="nil"/>
              <w:bottom w:val="nil"/>
              <w:right w:val="nil"/>
            </w:tcBorders>
            <w:shd w:val="clear" w:color="auto" w:fill="FFFFFF" w:themeFill="background1"/>
            <w:noWrap/>
            <w:vAlign w:val="center"/>
            <w:hideMark/>
          </w:tcPr>
          <w:p w14:paraId="63B1FD27"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noWrap/>
            <w:vAlign w:val="center"/>
            <w:hideMark/>
          </w:tcPr>
          <w:p w14:paraId="3E499C5B"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E6F2FF"/>
            <w:vAlign w:val="center"/>
          </w:tcPr>
          <w:p w14:paraId="29003689"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vAlign w:val="center"/>
          </w:tcPr>
          <w:p w14:paraId="0838F9B1"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vAlign w:val="center"/>
          </w:tcPr>
          <w:p w14:paraId="0CCFBF90"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0" w:type="dxa"/>
            <w:tcBorders>
              <w:top w:val="nil"/>
              <w:left w:val="nil"/>
              <w:bottom w:val="nil"/>
              <w:right w:val="nil"/>
            </w:tcBorders>
            <w:shd w:val="clear" w:color="auto" w:fill="FFFFFF" w:themeFill="background1"/>
            <w:vAlign w:val="center"/>
          </w:tcPr>
          <w:p w14:paraId="18F4BD00"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r>
      <w:tr w:rsidR="006815AF" w:rsidRPr="006815AF" w14:paraId="33703022"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1B924AE9" w14:textId="7E131782" w:rsidR="006815AF" w:rsidRPr="001671A2" w:rsidRDefault="006815AF" w:rsidP="006815AF">
            <w:pPr>
              <w:spacing w:before="0" w:after="0" w:line="240" w:lineRule="auto"/>
              <w:rPr>
                <w:rFonts w:ascii="Arial" w:hAnsi="Arial" w:cs="Arial"/>
                <w:b/>
                <w:bCs/>
                <w:color w:val="000000"/>
                <w:sz w:val="16"/>
                <w:szCs w:val="16"/>
                <w:highlight w:val="cyan"/>
              </w:rPr>
            </w:pPr>
            <w:r w:rsidRPr="00576DC7">
              <w:rPr>
                <w:rFonts w:ascii="Arial" w:hAnsi="Arial" w:cs="Arial"/>
                <w:b/>
                <w:sz w:val="16"/>
                <w:szCs w:val="16"/>
              </w:rPr>
              <w:t>Gross debt(</w:t>
            </w:r>
            <w:r w:rsidR="00BC5750" w:rsidRPr="00576DC7">
              <w:rPr>
                <w:rFonts w:ascii="Arial" w:hAnsi="Arial" w:cs="Arial"/>
                <w:b/>
                <w:sz w:val="16"/>
                <w:szCs w:val="16"/>
              </w:rPr>
              <w:t>c</w:t>
            </w:r>
            <w:r w:rsidRPr="00576DC7">
              <w:rPr>
                <w:rFonts w:ascii="Arial" w:hAnsi="Arial" w:cs="Arial"/>
                <w:b/>
                <w:sz w:val="16"/>
                <w:szCs w:val="16"/>
              </w:rPr>
              <w:t>)</w:t>
            </w:r>
          </w:p>
        </w:tc>
        <w:tc>
          <w:tcPr>
            <w:tcW w:w="843" w:type="dxa"/>
            <w:tcBorders>
              <w:top w:val="nil"/>
              <w:left w:val="nil"/>
              <w:bottom w:val="nil"/>
              <w:right w:val="nil"/>
            </w:tcBorders>
            <w:shd w:val="clear" w:color="auto" w:fill="FFFFFF" w:themeFill="background1"/>
            <w:noWrap/>
            <w:vAlign w:val="center"/>
            <w:hideMark/>
          </w:tcPr>
          <w:p w14:paraId="565082D1" w14:textId="77777777" w:rsidR="006815AF" w:rsidRPr="001671A2" w:rsidRDefault="006815AF" w:rsidP="006815AF">
            <w:pPr>
              <w:spacing w:before="0" w:after="0" w:line="240" w:lineRule="auto"/>
              <w:jc w:val="right"/>
              <w:rPr>
                <w:rFonts w:ascii="Arial" w:hAnsi="Arial" w:cs="Arial"/>
                <w:b/>
                <w:bCs/>
                <w:sz w:val="16"/>
                <w:szCs w:val="16"/>
                <w:highlight w:val="cyan"/>
              </w:rPr>
            </w:pPr>
            <w:r w:rsidRPr="00576DC7">
              <w:rPr>
                <w:rFonts w:ascii="Arial" w:hAnsi="Arial" w:cs="Arial"/>
                <w:b/>
                <w:bCs/>
                <w:sz w:val="16"/>
                <w:szCs w:val="16"/>
              </w:rPr>
              <w:t>906.9</w:t>
            </w:r>
          </w:p>
        </w:tc>
        <w:tc>
          <w:tcPr>
            <w:tcW w:w="116" w:type="dxa"/>
            <w:tcBorders>
              <w:top w:val="nil"/>
              <w:left w:val="nil"/>
              <w:bottom w:val="nil"/>
              <w:right w:val="nil"/>
            </w:tcBorders>
            <w:shd w:val="clear" w:color="auto" w:fill="FFFFFF" w:themeFill="background1"/>
            <w:noWrap/>
            <w:vAlign w:val="center"/>
            <w:hideMark/>
          </w:tcPr>
          <w:p w14:paraId="69B7801A" w14:textId="77777777" w:rsidR="006815AF" w:rsidRPr="001671A2" w:rsidRDefault="006815AF" w:rsidP="006815AF">
            <w:pPr>
              <w:spacing w:before="0" w:after="0" w:line="240" w:lineRule="auto"/>
              <w:jc w:val="right"/>
              <w:rPr>
                <w:rFonts w:ascii="Arial" w:hAnsi="Arial" w:cs="Arial"/>
                <w:color w:val="FF0000"/>
                <w:sz w:val="16"/>
                <w:szCs w:val="16"/>
                <w:highlight w:val="cyan"/>
              </w:rPr>
            </w:pPr>
            <w:r w:rsidRPr="00576DC7">
              <w:rPr>
                <w:rFonts w:ascii="Arial" w:hAnsi="Arial" w:cs="Arial"/>
                <w:sz w:val="16"/>
                <w:szCs w:val="16"/>
              </w:rPr>
              <w:t> </w:t>
            </w:r>
          </w:p>
        </w:tc>
        <w:tc>
          <w:tcPr>
            <w:tcW w:w="831" w:type="dxa"/>
            <w:tcBorders>
              <w:top w:val="nil"/>
              <w:left w:val="nil"/>
              <w:bottom w:val="nil"/>
              <w:right w:val="nil"/>
            </w:tcBorders>
            <w:shd w:val="clear" w:color="auto" w:fill="FFFFFF" w:themeFill="background1"/>
            <w:noWrap/>
            <w:vAlign w:val="center"/>
            <w:hideMark/>
          </w:tcPr>
          <w:p w14:paraId="3FBA4474" w14:textId="77777777" w:rsidR="006815AF" w:rsidRPr="001671A2" w:rsidRDefault="006815AF" w:rsidP="006815AF">
            <w:pPr>
              <w:spacing w:before="0" w:after="0" w:line="240" w:lineRule="auto"/>
              <w:jc w:val="right"/>
              <w:rPr>
                <w:rFonts w:ascii="Arial" w:hAnsi="Arial" w:cs="Arial"/>
                <w:b/>
                <w:bCs/>
                <w:sz w:val="16"/>
                <w:szCs w:val="16"/>
                <w:highlight w:val="cyan"/>
              </w:rPr>
            </w:pPr>
            <w:r w:rsidRPr="00576DC7">
              <w:rPr>
                <w:rFonts w:ascii="Arial" w:hAnsi="Arial" w:cs="Arial"/>
                <w:b/>
                <w:bCs/>
                <w:sz w:val="16"/>
                <w:szCs w:val="16"/>
              </w:rPr>
              <w:t>940.0</w:t>
            </w:r>
          </w:p>
        </w:tc>
        <w:tc>
          <w:tcPr>
            <w:tcW w:w="831" w:type="dxa"/>
            <w:tcBorders>
              <w:top w:val="nil"/>
              <w:left w:val="nil"/>
              <w:bottom w:val="nil"/>
              <w:right w:val="nil"/>
            </w:tcBorders>
            <w:shd w:val="clear" w:color="auto" w:fill="E6F2FF"/>
            <w:vAlign w:val="center"/>
          </w:tcPr>
          <w:p w14:paraId="67E0FC44" w14:textId="77777777" w:rsidR="006815AF" w:rsidRPr="001671A2" w:rsidRDefault="006815AF" w:rsidP="006815AF">
            <w:pPr>
              <w:spacing w:before="0" w:after="0" w:line="240" w:lineRule="auto"/>
              <w:jc w:val="right"/>
              <w:rPr>
                <w:rFonts w:ascii="Arial" w:hAnsi="Arial" w:cs="Arial"/>
                <w:b/>
                <w:bCs/>
                <w:sz w:val="16"/>
                <w:szCs w:val="16"/>
                <w:highlight w:val="cyan"/>
              </w:rPr>
            </w:pPr>
            <w:r w:rsidRPr="00576DC7">
              <w:rPr>
                <w:rFonts w:ascii="Arial" w:hAnsi="Arial" w:cs="Arial"/>
                <w:b/>
                <w:bCs/>
                <w:sz w:val="16"/>
                <w:szCs w:val="16"/>
              </w:rPr>
              <w:t>1,022.0</w:t>
            </w:r>
          </w:p>
        </w:tc>
        <w:tc>
          <w:tcPr>
            <w:tcW w:w="831" w:type="dxa"/>
            <w:tcBorders>
              <w:top w:val="nil"/>
              <w:left w:val="nil"/>
              <w:bottom w:val="nil"/>
              <w:right w:val="nil"/>
            </w:tcBorders>
            <w:shd w:val="clear" w:color="auto" w:fill="FFFFFF" w:themeFill="background1"/>
            <w:vAlign w:val="center"/>
          </w:tcPr>
          <w:p w14:paraId="3D3AACA6" w14:textId="77777777" w:rsidR="006815AF" w:rsidRPr="001671A2" w:rsidRDefault="006815AF" w:rsidP="006815AF">
            <w:pPr>
              <w:spacing w:before="0" w:after="0" w:line="240" w:lineRule="auto"/>
              <w:jc w:val="right"/>
              <w:rPr>
                <w:rFonts w:ascii="Arial" w:hAnsi="Arial" w:cs="Arial"/>
                <w:b/>
                <w:bCs/>
                <w:sz w:val="16"/>
                <w:szCs w:val="16"/>
                <w:highlight w:val="cyan"/>
              </w:rPr>
            </w:pPr>
            <w:r w:rsidRPr="00576DC7">
              <w:rPr>
                <w:rFonts w:ascii="Arial" w:hAnsi="Arial" w:cs="Arial"/>
                <w:b/>
                <w:bCs/>
                <w:sz w:val="16"/>
                <w:szCs w:val="16"/>
              </w:rPr>
              <w:t>1,092.0</w:t>
            </w:r>
          </w:p>
        </w:tc>
        <w:tc>
          <w:tcPr>
            <w:tcW w:w="831" w:type="dxa"/>
            <w:tcBorders>
              <w:top w:val="nil"/>
              <w:left w:val="nil"/>
              <w:bottom w:val="nil"/>
              <w:right w:val="nil"/>
            </w:tcBorders>
            <w:shd w:val="clear" w:color="auto" w:fill="FFFFFF" w:themeFill="background1"/>
            <w:vAlign w:val="center"/>
          </w:tcPr>
          <w:p w14:paraId="0EFE1E05" w14:textId="77777777" w:rsidR="006815AF" w:rsidRPr="001671A2" w:rsidRDefault="006815AF" w:rsidP="006815AF">
            <w:pPr>
              <w:spacing w:before="0" w:after="0" w:line="240" w:lineRule="auto"/>
              <w:jc w:val="right"/>
              <w:rPr>
                <w:rFonts w:ascii="Arial" w:hAnsi="Arial" w:cs="Arial"/>
                <w:b/>
                <w:bCs/>
                <w:sz w:val="16"/>
                <w:szCs w:val="16"/>
                <w:highlight w:val="cyan"/>
              </w:rPr>
            </w:pPr>
            <w:r w:rsidRPr="00576DC7">
              <w:rPr>
                <w:rFonts w:ascii="Arial" w:hAnsi="Arial" w:cs="Arial"/>
                <w:b/>
                <w:bCs/>
                <w:sz w:val="16"/>
                <w:szCs w:val="16"/>
              </w:rPr>
              <w:t>1,161.0</w:t>
            </w:r>
          </w:p>
        </w:tc>
        <w:tc>
          <w:tcPr>
            <w:tcW w:w="830" w:type="dxa"/>
            <w:tcBorders>
              <w:top w:val="nil"/>
              <w:left w:val="nil"/>
              <w:bottom w:val="nil"/>
              <w:right w:val="nil"/>
            </w:tcBorders>
            <w:shd w:val="clear" w:color="auto" w:fill="FFFFFF" w:themeFill="background1"/>
            <w:vAlign w:val="center"/>
          </w:tcPr>
          <w:p w14:paraId="45D264C2" w14:textId="77777777" w:rsidR="006815AF" w:rsidRPr="00576DC7" w:rsidRDefault="006815AF" w:rsidP="006815AF">
            <w:pPr>
              <w:spacing w:before="0" w:after="0" w:line="240" w:lineRule="auto"/>
              <w:jc w:val="right"/>
              <w:rPr>
                <w:rFonts w:ascii="Arial" w:hAnsi="Arial" w:cs="Arial"/>
                <w:b/>
                <w:bCs/>
                <w:sz w:val="16"/>
                <w:szCs w:val="16"/>
              </w:rPr>
            </w:pPr>
            <w:r w:rsidRPr="00576DC7">
              <w:rPr>
                <w:rFonts w:ascii="Arial" w:hAnsi="Arial" w:cs="Arial"/>
                <w:b/>
                <w:bCs/>
                <w:sz w:val="16"/>
                <w:szCs w:val="16"/>
              </w:rPr>
              <w:t>1,223.0</w:t>
            </w:r>
          </w:p>
        </w:tc>
      </w:tr>
      <w:tr w:rsidR="006815AF" w:rsidRPr="006815AF" w14:paraId="38455DE5"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71F35107" w14:textId="77777777" w:rsidR="006815AF" w:rsidRPr="001671A2" w:rsidRDefault="006815AF" w:rsidP="006815AF">
            <w:pPr>
              <w:spacing w:before="0" w:after="0" w:line="240" w:lineRule="auto"/>
              <w:rPr>
                <w:rFonts w:ascii="Arial" w:hAnsi="Arial" w:cs="Arial"/>
                <w:sz w:val="16"/>
                <w:szCs w:val="16"/>
                <w:highlight w:val="cyan"/>
              </w:rPr>
            </w:pPr>
            <w:r w:rsidRPr="00576DC7">
              <w:rPr>
                <w:rFonts w:ascii="Arial" w:hAnsi="Arial" w:cs="Arial"/>
                <w:sz w:val="16"/>
                <w:szCs w:val="16"/>
              </w:rPr>
              <w:t>Per cent of GDP</w:t>
            </w:r>
          </w:p>
        </w:tc>
        <w:tc>
          <w:tcPr>
            <w:tcW w:w="843" w:type="dxa"/>
            <w:tcBorders>
              <w:top w:val="nil"/>
              <w:left w:val="nil"/>
              <w:bottom w:val="nil"/>
              <w:right w:val="nil"/>
            </w:tcBorders>
            <w:shd w:val="clear" w:color="auto" w:fill="FFFFFF" w:themeFill="background1"/>
            <w:noWrap/>
            <w:vAlign w:val="center"/>
            <w:hideMark/>
          </w:tcPr>
          <w:p w14:paraId="1E788117" w14:textId="77777777" w:rsidR="006815AF" w:rsidRPr="001671A2" w:rsidRDefault="006815AF" w:rsidP="006815AF">
            <w:pPr>
              <w:spacing w:before="0" w:after="0" w:line="240" w:lineRule="auto"/>
              <w:jc w:val="right"/>
              <w:rPr>
                <w:rFonts w:ascii="Arial" w:hAnsi="Arial" w:cs="Arial"/>
                <w:sz w:val="16"/>
                <w:szCs w:val="16"/>
                <w:highlight w:val="cyan"/>
              </w:rPr>
            </w:pPr>
            <w:r w:rsidRPr="00576DC7">
              <w:rPr>
                <w:rFonts w:ascii="Arial" w:hAnsi="Arial" w:cs="Arial"/>
                <w:sz w:val="16"/>
                <w:szCs w:val="16"/>
              </w:rPr>
              <w:t>33.9</w:t>
            </w:r>
          </w:p>
        </w:tc>
        <w:tc>
          <w:tcPr>
            <w:tcW w:w="116" w:type="dxa"/>
            <w:tcBorders>
              <w:top w:val="nil"/>
              <w:left w:val="nil"/>
              <w:bottom w:val="nil"/>
              <w:right w:val="nil"/>
            </w:tcBorders>
            <w:shd w:val="clear" w:color="auto" w:fill="FFFFFF" w:themeFill="background1"/>
            <w:noWrap/>
            <w:vAlign w:val="center"/>
            <w:hideMark/>
          </w:tcPr>
          <w:p w14:paraId="0FFD1976" w14:textId="77777777" w:rsidR="006815AF" w:rsidRPr="001671A2" w:rsidRDefault="006815AF" w:rsidP="006815AF">
            <w:pPr>
              <w:spacing w:before="0" w:after="0" w:line="240" w:lineRule="auto"/>
              <w:jc w:val="right"/>
              <w:rPr>
                <w:rFonts w:ascii="Arial" w:hAnsi="Arial" w:cs="Arial"/>
                <w:sz w:val="16"/>
                <w:szCs w:val="16"/>
                <w:highlight w:val="cyan"/>
              </w:rPr>
            </w:pPr>
            <w:r w:rsidRPr="00576DC7">
              <w:rPr>
                <w:rFonts w:ascii="Arial" w:hAnsi="Arial" w:cs="Arial"/>
                <w:sz w:val="16"/>
                <w:szCs w:val="16"/>
              </w:rPr>
              <w:t> </w:t>
            </w:r>
          </w:p>
        </w:tc>
        <w:tc>
          <w:tcPr>
            <w:tcW w:w="831" w:type="dxa"/>
            <w:tcBorders>
              <w:top w:val="nil"/>
              <w:left w:val="nil"/>
              <w:bottom w:val="nil"/>
              <w:right w:val="nil"/>
            </w:tcBorders>
            <w:shd w:val="clear" w:color="auto" w:fill="FFFFFF" w:themeFill="background1"/>
            <w:noWrap/>
            <w:vAlign w:val="center"/>
            <w:hideMark/>
          </w:tcPr>
          <w:p w14:paraId="7BC68FFE" w14:textId="77777777" w:rsidR="006815AF" w:rsidRPr="001671A2" w:rsidRDefault="006815AF" w:rsidP="006815AF">
            <w:pPr>
              <w:spacing w:before="0" w:after="0" w:line="240" w:lineRule="auto"/>
              <w:jc w:val="right"/>
              <w:rPr>
                <w:rFonts w:ascii="Arial" w:hAnsi="Arial" w:cs="Arial"/>
                <w:sz w:val="16"/>
                <w:szCs w:val="16"/>
                <w:highlight w:val="cyan"/>
              </w:rPr>
            </w:pPr>
            <w:r w:rsidRPr="00576DC7">
              <w:rPr>
                <w:rFonts w:ascii="Arial" w:hAnsi="Arial" w:cs="Arial"/>
                <w:sz w:val="16"/>
                <w:szCs w:val="16"/>
              </w:rPr>
              <w:t>33.7</w:t>
            </w:r>
          </w:p>
        </w:tc>
        <w:tc>
          <w:tcPr>
            <w:tcW w:w="831" w:type="dxa"/>
            <w:tcBorders>
              <w:top w:val="nil"/>
              <w:left w:val="nil"/>
              <w:bottom w:val="nil"/>
              <w:right w:val="nil"/>
            </w:tcBorders>
            <w:shd w:val="clear" w:color="auto" w:fill="E6F2FF"/>
            <w:vAlign w:val="center"/>
          </w:tcPr>
          <w:p w14:paraId="0B8EF219" w14:textId="77777777" w:rsidR="006815AF" w:rsidRPr="001671A2" w:rsidRDefault="006815AF" w:rsidP="006815AF">
            <w:pPr>
              <w:spacing w:before="0" w:after="0" w:line="240" w:lineRule="auto"/>
              <w:jc w:val="right"/>
              <w:rPr>
                <w:rFonts w:ascii="Arial" w:hAnsi="Arial" w:cs="Arial"/>
                <w:sz w:val="16"/>
                <w:szCs w:val="16"/>
                <w:highlight w:val="cyan"/>
              </w:rPr>
            </w:pPr>
            <w:r w:rsidRPr="00576DC7">
              <w:rPr>
                <w:rFonts w:ascii="Arial" w:hAnsi="Arial" w:cs="Arial"/>
                <w:sz w:val="16"/>
                <w:szCs w:val="16"/>
              </w:rPr>
              <w:t>35.5</w:t>
            </w:r>
          </w:p>
        </w:tc>
        <w:tc>
          <w:tcPr>
            <w:tcW w:w="831" w:type="dxa"/>
            <w:tcBorders>
              <w:top w:val="nil"/>
              <w:left w:val="nil"/>
              <w:bottom w:val="nil"/>
              <w:right w:val="nil"/>
            </w:tcBorders>
            <w:shd w:val="clear" w:color="auto" w:fill="FFFFFF" w:themeFill="background1"/>
            <w:vAlign w:val="center"/>
          </w:tcPr>
          <w:p w14:paraId="05EA4F13" w14:textId="77777777" w:rsidR="006815AF" w:rsidRPr="001671A2" w:rsidRDefault="006815AF" w:rsidP="006815AF">
            <w:pPr>
              <w:spacing w:before="0" w:after="0" w:line="240" w:lineRule="auto"/>
              <w:jc w:val="right"/>
              <w:rPr>
                <w:rFonts w:ascii="Arial" w:hAnsi="Arial" w:cs="Arial"/>
                <w:sz w:val="16"/>
                <w:szCs w:val="16"/>
                <w:highlight w:val="cyan"/>
              </w:rPr>
            </w:pPr>
            <w:r w:rsidRPr="00576DC7">
              <w:rPr>
                <w:rFonts w:ascii="Arial" w:hAnsi="Arial" w:cs="Arial"/>
                <w:sz w:val="16"/>
                <w:szCs w:val="16"/>
              </w:rPr>
              <w:t>36.5</w:t>
            </w:r>
          </w:p>
        </w:tc>
        <w:tc>
          <w:tcPr>
            <w:tcW w:w="831" w:type="dxa"/>
            <w:tcBorders>
              <w:top w:val="nil"/>
              <w:left w:val="nil"/>
              <w:bottom w:val="nil"/>
              <w:right w:val="nil"/>
            </w:tcBorders>
            <w:shd w:val="clear" w:color="auto" w:fill="FFFFFF" w:themeFill="background1"/>
            <w:vAlign w:val="center"/>
          </w:tcPr>
          <w:p w14:paraId="08E842E7" w14:textId="77777777" w:rsidR="006815AF" w:rsidRPr="001671A2" w:rsidRDefault="006815AF" w:rsidP="006815AF">
            <w:pPr>
              <w:spacing w:before="0" w:after="0" w:line="240" w:lineRule="auto"/>
              <w:jc w:val="right"/>
              <w:rPr>
                <w:rFonts w:ascii="Arial" w:hAnsi="Arial" w:cs="Arial"/>
                <w:sz w:val="16"/>
                <w:szCs w:val="16"/>
                <w:highlight w:val="cyan"/>
              </w:rPr>
            </w:pPr>
            <w:r w:rsidRPr="00576DC7">
              <w:rPr>
                <w:rFonts w:ascii="Arial" w:hAnsi="Arial" w:cs="Arial"/>
                <w:sz w:val="16"/>
                <w:szCs w:val="16"/>
              </w:rPr>
              <w:t>36.9</w:t>
            </w:r>
          </w:p>
        </w:tc>
        <w:tc>
          <w:tcPr>
            <w:tcW w:w="830" w:type="dxa"/>
            <w:tcBorders>
              <w:top w:val="nil"/>
              <w:left w:val="nil"/>
              <w:bottom w:val="nil"/>
              <w:right w:val="nil"/>
            </w:tcBorders>
            <w:shd w:val="clear" w:color="auto" w:fill="FFFFFF" w:themeFill="background1"/>
            <w:vAlign w:val="center"/>
          </w:tcPr>
          <w:p w14:paraId="515B57D5" w14:textId="77777777" w:rsidR="006815AF" w:rsidRPr="00576DC7" w:rsidRDefault="006815AF" w:rsidP="006815AF">
            <w:pPr>
              <w:spacing w:before="0" w:after="0" w:line="240" w:lineRule="auto"/>
              <w:jc w:val="right"/>
              <w:rPr>
                <w:rFonts w:ascii="Arial" w:hAnsi="Arial" w:cs="Arial"/>
                <w:sz w:val="16"/>
                <w:szCs w:val="16"/>
              </w:rPr>
            </w:pPr>
            <w:r w:rsidRPr="00576DC7">
              <w:rPr>
                <w:rFonts w:ascii="Arial" w:hAnsi="Arial" w:cs="Arial"/>
                <w:sz w:val="16"/>
                <w:szCs w:val="16"/>
              </w:rPr>
              <w:t>36.8</w:t>
            </w:r>
          </w:p>
        </w:tc>
      </w:tr>
      <w:tr w:rsidR="006815AF" w:rsidRPr="006815AF" w14:paraId="45E9CD48" w14:textId="77777777" w:rsidTr="591FF694">
        <w:trPr>
          <w:trHeight w:hRule="exact" w:val="60"/>
        </w:trPr>
        <w:tc>
          <w:tcPr>
            <w:tcW w:w="2597" w:type="dxa"/>
            <w:tcBorders>
              <w:top w:val="nil"/>
              <w:left w:val="nil"/>
              <w:bottom w:val="nil"/>
              <w:right w:val="nil"/>
            </w:tcBorders>
            <w:shd w:val="clear" w:color="auto" w:fill="FFFFFF" w:themeFill="background1"/>
            <w:noWrap/>
            <w:vAlign w:val="center"/>
            <w:hideMark/>
          </w:tcPr>
          <w:p w14:paraId="582FFA06" w14:textId="77777777" w:rsidR="006815AF" w:rsidRPr="006815AF" w:rsidRDefault="006815AF" w:rsidP="006815AF">
            <w:pPr>
              <w:spacing w:before="0" w:after="0" w:line="240" w:lineRule="auto"/>
              <w:rPr>
                <w:rFonts w:ascii="Arial" w:hAnsi="Arial" w:cs="Arial"/>
                <w:b/>
                <w:bCs/>
                <w:sz w:val="16"/>
                <w:szCs w:val="16"/>
              </w:rPr>
            </w:pPr>
            <w:r w:rsidRPr="006815AF">
              <w:rPr>
                <w:rFonts w:ascii="Arial" w:hAnsi="Arial" w:cs="Arial"/>
                <w:b/>
                <w:bCs/>
                <w:sz w:val="16"/>
                <w:szCs w:val="16"/>
              </w:rPr>
              <w:t> </w:t>
            </w:r>
          </w:p>
        </w:tc>
        <w:tc>
          <w:tcPr>
            <w:tcW w:w="843" w:type="dxa"/>
            <w:tcBorders>
              <w:top w:val="nil"/>
              <w:left w:val="nil"/>
              <w:bottom w:val="nil"/>
              <w:right w:val="nil"/>
            </w:tcBorders>
            <w:shd w:val="clear" w:color="auto" w:fill="FFFFFF" w:themeFill="background1"/>
            <w:noWrap/>
            <w:vAlign w:val="center"/>
            <w:hideMark/>
          </w:tcPr>
          <w:p w14:paraId="43979E3B"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116" w:type="dxa"/>
            <w:tcBorders>
              <w:top w:val="nil"/>
              <w:left w:val="nil"/>
              <w:bottom w:val="nil"/>
              <w:right w:val="nil"/>
            </w:tcBorders>
            <w:shd w:val="clear" w:color="auto" w:fill="FFFFFF" w:themeFill="background1"/>
            <w:noWrap/>
            <w:vAlign w:val="center"/>
            <w:hideMark/>
          </w:tcPr>
          <w:p w14:paraId="2A9E2669"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noWrap/>
            <w:vAlign w:val="center"/>
            <w:hideMark/>
          </w:tcPr>
          <w:p w14:paraId="10344FFB"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E6F2FF"/>
            <w:vAlign w:val="center"/>
          </w:tcPr>
          <w:p w14:paraId="41ED0EC0"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vAlign w:val="center"/>
          </w:tcPr>
          <w:p w14:paraId="3E5BA8ED"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vAlign w:val="center"/>
          </w:tcPr>
          <w:p w14:paraId="5D6C6962"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0" w:type="dxa"/>
            <w:tcBorders>
              <w:top w:val="nil"/>
              <w:left w:val="nil"/>
              <w:bottom w:val="nil"/>
              <w:right w:val="nil"/>
            </w:tcBorders>
            <w:shd w:val="clear" w:color="auto" w:fill="FFFFFF" w:themeFill="background1"/>
            <w:vAlign w:val="center"/>
          </w:tcPr>
          <w:p w14:paraId="2313B3EA"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r>
      <w:tr w:rsidR="006815AF" w:rsidRPr="006815AF" w14:paraId="76077BA1"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3575229E" w14:textId="77777777" w:rsidR="006815AF" w:rsidRPr="006815AF" w:rsidRDefault="006815AF" w:rsidP="006815AF">
            <w:pPr>
              <w:spacing w:before="0" w:after="0" w:line="240" w:lineRule="auto"/>
              <w:rPr>
                <w:rFonts w:ascii="Arial" w:hAnsi="Arial" w:cs="Arial"/>
                <w:b/>
                <w:bCs/>
                <w:sz w:val="16"/>
                <w:szCs w:val="16"/>
              </w:rPr>
            </w:pPr>
            <w:r w:rsidRPr="006815AF">
              <w:rPr>
                <w:rFonts w:ascii="Arial" w:hAnsi="Arial" w:cs="Arial"/>
                <w:b/>
                <w:bCs/>
                <w:sz w:val="16"/>
                <w:szCs w:val="16"/>
              </w:rPr>
              <w:t>Net debt(d)</w:t>
            </w:r>
          </w:p>
        </w:tc>
        <w:tc>
          <w:tcPr>
            <w:tcW w:w="843" w:type="dxa"/>
            <w:tcBorders>
              <w:top w:val="nil"/>
              <w:left w:val="nil"/>
              <w:bottom w:val="nil"/>
              <w:right w:val="nil"/>
            </w:tcBorders>
            <w:shd w:val="clear" w:color="auto" w:fill="FFFFFF" w:themeFill="background1"/>
            <w:noWrap/>
            <w:vAlign w:val="center"/>
            <w:hideMark/>
          </w:tcPr>
          <w:p w14:paraId="69BDCA9B"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491.5</w:t>
            </w:r>
          </w:p>
        </w:tc>
        <w:tc>
          <w:tcPr>
            <w:tcW w:w="116" w:type="dxa"/>
            <w:tcBorders>
              <w:top w:val="nil"/>
              <w:left w:val="nil"/>
              <w:bottom w:val="nil"/>
              <w:right w:val="nil"/>
            </w:tcBorders>
            <w:shd w:val="clear" w:color="auto" w:fill="FFFFFF" w:themeFill="background1"/>
            <w:noWrap/>
            <w:vAlign w:val="center"/>
            <w:hideMark/>
          </w:tcPr>
          <w:p w14:paraId="311299E4"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noWrap/>
            <w:vAlign w:val="center"/>
            <w:hideMark/>
          </w:tcPr>
          <w:p w14:paraId="31A683CA"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556.0</w:t>
            </w:r>
          </w:p>
        </w:tc>
        <w:tc>
          <w:tcPr>
            <w:tcW w:w="831" w:type="dxa"/>
            <w:tcBorders>
              <w:top w:val="nil"/>
              <w:left w:val="nil"/>
              <w:bottom w:val="nil"/>
              <w:right w:val="nil"/>
            </w:tcBorders>
            <w:shd w:val="clear" w:color="auto" w:fill="E6F2FF"/>
            <w:vAlign w:val="center"/>
          </w:tcPr>
          <w:p w14:paraId="5C1AAC8E"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620.3</w:t>
            </w:r>
          </w:p>
        </w:tc>
        <w:tc>
          <w:tcPr>
            <w:tcW w:w="831" w:type="dxa"/>
            <w:tcBorders>
              <w:top w:val="nil"/>
              <w:left w:val="nil"/>
              <w:bottom w:val="nil"/>
              <w:right w:val="nil"/>
            </w:tcBorders>
            <w:shd w:val="clear" w:color="auto" w:fill="FFFFFF" w:themeFill="background1"/>
            <w:vAlign w:val="center"/>
          </w:tcPr>
          <w:p w14:paraId="065AAB11"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676.3</w:t>
            </w:r>
          </w:p>
        </w:tc>
        <w:tc>
          <w:tcPr>
            <w:tcW w:w="831" w:type="dxa"/>
            <w:tcBorders>
              <w:top w:val="nil"/>
              <w:left w:val="nil"/>
              <w:bottom w:val="nil"/>
              <w:right w:val="nil"/>
            </w:tcBorders>
            <w:shd w:val="clear" w:color="auto" w:fill="FFFFFF" w:themeFill="background1"/>
            <w:vAlign w:val="center"/>
          </w:tcPr>
          <w:p w14:paraId="5F6158BB"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714.1</w:t>
            </w:r>
          </w:p>
        </w:tc>
        <w:tc>
          <w:tcPr>
            <w:tcW w:w="830" w:type="dxa"/>
            <w:tcBorders>
              <w:top w:val="nil"/>
              <w:left w:val="nil"/>
              <w:bottom w:val="nil"/>
              <w:right w:val="nil"/>
            </w:tcBorders>
            <w:shd w:val="clear" w:color="auto" w:fill="FFFFFF" w:themeFill="background1"/>
            <w:vAlign w:val="center"/>
          </w:tcPr>
          <w:p w14:paraId="3495E88F"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768.2</w:t>
            </w:r>
          </w:p>
        </w:tc>
      </w:tr>
      <w:tr w:rsidR="006815AF" w:rsidRPr="006815AF" w14:paraId="69774B58"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181ECCD9" w14:textId="77777777" w:rsidR="006815AF" w:rsidRPr="006815AF" w:rsidRDefault="006815AF" w:rsidP="006815AF">
            <w:pPr>
              <w:spacing w:before="0" w:after="0" w:line="240" w:lineRule="auto"/>
              <w:rPr>
                <w:rFonts w:ascii="Arial" w:hAnsi="Arial" w:cs="Arial"/>
                <w:sz w:val="16"/>
                <w:szCs w:val="16"/>
              </w:rPr>
            </w:pPr>
            <w:r w:rsidRPr="006815AF">
              <w:rPr>
                <w:rFonts w:ascii="Arial" w:hAnsi="Arial" w:cs="Arial"/>
                <w:sz w:val="16"/>
                <w:szCs w:val="16"/>
              </w:rPr>
              <w:t>Per cent of GDP</w:t>
            </w:r>
          </w:p>
        </w:tc>
        <w:tc>
          <w:tcPr>
            <w:tcW w:w="843" w:type="dxa"/>
            <w:tcBorders>
              <w:top w:val="nil"/>
              <w:left w:val="nil"/>
              <w:bottom w:val="nil"/>
              <w:right w:val="nil"/>
            </w:tcBorders>
            <w:shd w:val="clear" w:color="auto" w:fill="FFFFFF" w:themeFill="background1"/>
            <w:noWrap/>
            <w:vAlign w:val="center"/>
            <w:hideMark/>
          </w:tcPr>
          <w:p w14:paraId="70A54FF6"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18.4</w:t>
            </w:r>
          </w:p>
        </w:tc>
        <w:tc>
          <w:tcPr>
            <w:tcW w:w="116" w:type="dxa"/>
            <w:tcBorders>
              <w:top w:val="nil"/>
              <w:left w:val="nil"/>
              <w:bottom w:val="nil"/>
              <w:right w:val="nil"/>
            </w:tcBorders>
            <w:shd w:val="clear" w:color="auto" w:fill="FFFFFF" w:themeFill="background1"/>
            <w:noWrap/>
            <w:vAlign w:val="center"/>
            <w:hideMark/>
          </w:tcPr>
          <w:p w14:paraId="10F973E0"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1" w:type="dxa"/>
            <w:tcBorders>
              <w:top w:val="nil"/>
              <w:left w:val="nil"/>
              <w:bottom w:val="nil"/>
              <w:right w:val="nil"/>
            </w:tcBorders>
            <w:shd w:val="clear" w:color="auto" w:fill="FFFFFF" w:themeFill="background1"/>
            <w:noWrap/>
            <w:vAlign w:val="center"/>
            <w:hideMark/>
          </w:tcPr>
          <w:p w14:paraId="4CDF143E"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19.9</w:t>
            </w:r>
          </w:p>
        </w:tc>
        <w:tc>
          <w:tcPr>
            <w:tcW w:w="831" w:type="dxa"/>
            <w:tcBorders>
              <w:top w:val="nil"/>
              <w:left w:val="nil"/>
              <w:bottom w:val="nil"/>
              <w:right w:val="nil"/>
            </w:tcBorders>
            <w:shd w:val="clear" w:color="auto" w:fill="E6F2FF"/>
            <w:vAlign w:val="center"/>
          </w:tcPr>
          <w:p w14:paraId="25186D62"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21.5</w:t>
            </w:r>
          </w:p>
        </w:tc>
        <w:tc>
          <w:tcPr>
            <w:tcW w:w="831" w:type="dxa"/>
            <w:tcBorders>
              <w:top w:val="nil"/>
              <w:left w:val="nil"/>
              <w:bottom w:val="nil"/>
              <w:right w:val="nil"/>
            </w:tcBorders>
            <w:shd w:val="clear" w:color="auto" w:fill="FFFFFF" w:themeFill="background1"/>
            <w:vAlign w:val="center"/>
          </w:tcPr>
          <w:p w14:paraId="352920CB"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22.6</w:t>
            </w:r>
          </w:p>
        </w:tc>
        <w:tc>
          <w:tcPr>
            <w:tcW w:w="831" w:type="dxa"/>
            <w:tcBorders>
              <w:top w:val="nil"/>
              <w:left w:val="nil"/>
              <w:bottom w:val="nil"/>
              <w:right w:val="nil"/>
            </w:tcBorders>
            <w:shd w:val="clear" w:color="auto" w:fill="FFFFFF" w:themeFill="background1"/>
            <w:vAlign w:val="center"/>
          </w:tcPr>
          <w:p w14:paraId="05DBDD92"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22.7</w:t>
            </w:r>
          </w:p>
        </w:tc>
        <w:tc>
          <w:tcPr>
            <w:tcW w:w="830" w:type="dxa"/>
            <w:tcBorders>
              <w:top w:val="nil"/>
              <w:left w:val="nil"/>
              <w:bottom w:val="nil"/>
              <w:right w:val="nil"/>
            </w:tcBorders>
            <w:shd w:val="clear" w:color="auto" w:fill="FFFFFF" w:themeFill="background1"/>
            <w:vAlign w:val="center"/>
          </w:tcPr>
          <w:p w14:paraId="5ECFEB00"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23.1</w:t>
            </w:r>
          </w:p>
        </w:tc>
      </w:tr>
      <w:tr w:rsidR="006815AF" w:rsidRPr="006815AF" w14:paraId="01A6E6F5" w14:textId="77777777" w:rsidTr="591FF694">
        <w:trPr>
          <w:trHeight w:hRule="exact" w:val="60"/>
        </w:trPr>
        <w:tc>
          <w:tcPr>
            <w:tcW w:w="2597" w:type="dxa"/>
            <w:tcBorders>
              <w:top w:val="nil"/>
              <w:left w:val="nil"/>
              <w:bottom w:val="nil"/>
              <w:right w:val="nil"/>
            </w:tcBorders>
            <w:shd w:val="clear" w:color="auto" w:fill="FFFFFF" w:themeFill="background1"/>
            <w:noWrap/>
            <w:vAlign w:val="center"/>
            <w:hideMark/>
          </w:tcPr>
          <w:p w14:paraId="209261D6" w14:textId="77777777" w:rsidR="006815AF" w:rsidRPr="006815AF" w:rsidRDefault="006815AF" w:rsidP="006815AF">
            <w:pPr>
              <w:spacing w:before="0" w:after="0" w:line="240" w:lineRule="auto"/>
              <w:rPr>
                <w:rFonts w:ascii="Arial" w:hAnsi="Arial" w:cs="Arial"/>
                <w:color w:val="0000FF"/>
                <w:sz w:val="16"/>
                <w:szCs w:val="16"/>
              </w:rPr>
            </w:pPr>
            <w:r w:rsidRPr="006815AF">
              <w:rPr>
                <w:rFonts w:ascii="Arial" w:hAnsi="Arial" w:cs="Arial"/>
                <w:color w:val="0000FF"/>
                <w:sz w:val="16"/>
                <w:szCs w:val="16"/>
              </w:rPr>
              <w:t> </w:t>
            </w:r>
          </w:p>
        </w:tc>
        <w:tc>
          <w:tcPr>
            <w:tcW w:w="843" w:type="dxa"/>
            <w:tcBorders>
              <w:top w:val="nil"/>
              <w:left w:val="nil"/>
              <w:bottom w:val="nil"/>
              <w:right w:val="nil"/>
            </w:tcBorders>
            <w:shd w:val="clear" w:color="auto" w:fill="FFFFFF" w:themeFill="background1"/>
            <w:noWrap/>
            <w:vAlign w:val="center"/>
            <w:hideMark/>
          </w:tcPr>
          <w:p w14:paraId="2AC013AE" w14:textId="77777777" w:rsidR="006815AF" w:rsidRPr="006815AF" w:rsidRDefault="006815AF" w:rsidP="006815AF">
            <w:pPr>
              <w:spacing w:before="0" w:after="0" w:line="240" w:lineRule="auto"/>
              <w:jc w:val="right"/>
              <w:rPr>
                <w:rFonts w:ascii="Arial" w:hAnsi="Arial" w:cs="Arial"/>
                <w:color w:val="0000FF"/>
                <w:sz w:val="16"/>
                <w:szCs w:val="16"/>
              </w:rPr>
            </w:pPr>
            <w:r w:rsidRPr="006815AF">
              <w:rPr>
                <w:rFonts w:ascii="Arial" w:hAnsi="Arial" w:cs="Arial"/>
                <w:color w:val="0000FF"/>
                <w:sz w:val="16"/>
                <w:szCs w:val="16"/>
              </w:rPr>
              <w:t> </w:t>
            </w:r>
          </w:p>
        </w:tc>
        <w:tc>
          <w:tcPr>
            <w:tcW w:w="116" w:type="dxa"/>
            <w:tcBorders>
              <w:top w:val="nil"/>
              <w:left w:val="nil"/>
              <w:bottom w:val="nil"/>
              <w:right w:val="nil"/>
            </w:tcBorders>
            <w:shd w:val="clear" w:color="auto" w:fill="FFFFFF" w:themeFill="background1"/>
            <w:noWrap/>
            <w:vAlign w:val="center"/>
            <w:hideMark/>
          </w:tcPr>
          <w:p w14:paraId="25BFB1E2" w14:textId="77777777" w:rsidR="006815AF" w:rsidRPr="006815AF" w:rsidRDefault="006815AF" w:rsidP="006815AF">
            <w:pPr>
              <w:spacing w:before="0" w:after="0" w:line="240" w:lineRule="auto"/>
              <w:jc w:val="right"/>
              <w:rPr>
                <w:rFonts w:ascii="Arial" w:hAnsi="Arial" w:cs="Arial"/>
                <w:color w:val="0000FF"/>
                <w:sz w:val="16"/>
                <w:szCs w:val="16"/>
              </w:rPr>
            </w:pPr>
            <w:r w:rsidRPr="006815AF">
              <w:rPr>
                <w:rFonts w:ascii="Arial" w:hAnsi="Arial" w:cs="Arial"/>
                <w:color w:val="0000FF"/>
                <w:sz w:val="16"/>
                <w:szCs w:val="16"/>
              </w:rPr>
              <w:t> </w:t>
            </w:r>
          </w:p>
        </w:tc>
        <w:tc>
          <w:tcPr>
            <w:tcW w:w="831" w:type="dxa"/>
            <w:tcBorders>
              <w:top w:val="nil"/>
              <w:left w:val="nil"/>
              <w:bottom w:val="nil"/>
              <w:right w:val="nil"/>
            </w:tcBorders>
            <w:shd w:val="clear" w:color="auto" w:fill="FFFFFF" w:themeFill="background1"/>
            <w:noWrap/>
            <w:vAlign w:val="center"/>
            <w:hideMark/>
          </w:tcPr>
          <w:p w14:paraId="4618035E" w14:textId="77777777" w:rsidR="006815AF" w:rsidRPr="006815AF" w:rsidRDefault="006815AF" w:rsidP="006815AF">
            <w:pPr>
              <w:spacing w:before="0" w:after="0" w:line="240" w:lineRule="auto"/>
              <w:jc w:val="right"/>
              <w:rPr>
                <w:rFonts w:ascii="Arial" w:hAnsi="Arial" w:cs="Arial"/>
                <w:color w:val="0000FF"/>
                <w:sz w:val="16"/>
                <w:szCs w:val="16"/>
              </w:rPr>
            </w:pPr>
            <w:r w:rsidRPr="006815AF">
              <w:rPr>
                <w:rFonts w:ascii="Arial" w:hAnsi="Arial" w:cs="Arial"/>
                <w:color w:val="0000FF"/>
                <w:sz w:val="16"/>
                <w:szCs w:val="16"/>
              </w:rPr>
              <w:t> </w:t>
            </w:r>
          </w:p>
        </w:tc>
        <w:tc>
          <w:tcPr>
            <w:tcW w:w="831" w:type="dxa"/>
            <w:tcBorders>
              <w:top w:val="nil"/>
              <w:left w:val="nil"/>
              <w:bottom w:val="nil"/>
              <w:right w:val="nil"/>
            </w:tcBorders>
            <w:shd w:val="clear" w:color="auto" w:fill="E6F2FF"/>
            <w:vAlign w:val="center"/>
          </w:tcPr>
          <w:p w14:paraId="224605F1" w14:textId="77777777" w:rsidR="006815AF" w:rsidRPr="006815AF" w:rsidRDefault="006815AF" w:rsidP="006815AF">
            <w:pPr>
              <w:spacing w:before="0" w:after="0" w:line="240" w:lineRule="auto"/>
              <w:jc w:val="right"/>
              <w:rPr>
                <w:rFonts w:ascii="Arial" w:hAnsi="Arial" w:cs="Arial"/>
                <w:color w:val="0000FF"/>
                <w:sz w:val="16"/>
                <w:szCs w:val="16"/>
              </w:rPr>
            </w:pPr>
            <w:r w:rsidRPr="006815AF">
              <w:rPr>
                <w:rFonts w:ascii="Arial" w:hAnsi="Arial" w:cs="Arial"/>
                <w:color w:val="0000FF"/>
                <w:sz w:val="16"/>
                <w:szCs w:val="16"/>
              </w:rPr>
              <w:t> </w:t>
            </w:r>
          </w:p>
        </w:tc>
        <w:tc>
          <w:tcPr>
            <w:tcW w:w="831" w:type="dxa"/>
            <w:tcBorders>
              <w:top w:val="nil"/>
              <w:left w:val="nil"/>
              <w:bottom w:val="nil"/>
              <w:right w:val="nil"/>
            </w:tcBorders>
            <w:shd w:val="clear" w:color="auto" w:fill="FFFFFF" w:themeFill="background1"/>
            <w:vAlign w:val="center"/>
          </w:tcPr>
          <w:p w14:paraId="735EAB64" w14:textId="77777777" w:rsidR="006815AF" w:rsidRPr="006815AF" w:rsidRDefault="006815AF" w:rsidP="006815AF">
            <w:pPr>
              <w:spacing w:before="0" w:after="0" w:line="240" w:lineRule="auto"/>
              <w:jc w:val="right"/>
              <w:rPr>
                <w:rFonts w:ascii="Arial" w:hAnsi="Arial" w:cs="Arial"/>
                <w:color w:val="0000FF"/>
                <w:sz w:val="16"/>
                <w:szCs w:val="16"/>
              </w:rPr>
            </w:pPr>
            <w:r w:rsidRPr="006815AF">
              <w:rPr>
                <w:rFonts w:ascii="Arial" w:hAnsi="Arial" w:cs="Arial"/>
                <w:color w:val="0000FF"/>
                <w:sz w:val="16"/>
                <w:szCs w:val="16"/>
              </w:rPr>
              <w:t> </w:t>
            </w:r>
          </w:p>
        </w:tc>
        <w:tc>
          <w:tcPr>
            <w:tcW w:w="831" w:type="dxa"/>
            <w:tcBorders>
              <w:top w:val="nil"/>
              <w:left w:val="nil"/>
              <w:bottom w:val="nil"/>
              <w:right w:val="nil"/>
            </w:tcBorders>
            <w:shd w:val="clear" w:color="auto" w:fill="FFFFFF" w:themeFill="background1"/>
            <w:vAlign w:val="center"/>
          </w:tcPr>
          <w:p w14:paraId="11E2080D" w14:textId="77777777" w:rsidR="006815AF" w:rsidRPr="006815AF" w:rsidRDefault="006815AF" w:rsidP="006815AF">
            <w:pPr>
              <w:spacing w:before="0" w:after="0" w:line="240" w:lineRule="auto"/>
              <w:jc w:val="right"/>
              <w:rPr>
                <w:rFonts w:ascii="Arial" w:hAnsi="Arial" w:cs="Arial"/>
                <w:color w:val="0000FF"/>
                <w:sz w:val="16"/>
                <w:szCs w:val="16"/>
              </w:rPr>
            </w:pPr>
            <w:r w:rsidRPr="006815AF">
              <w:rPr>
                <w:rFonts w:ascii="Arial" w:hAnsi="Arial" w:cs="Arial"/>
                <w:color w:val="0000FF"/>
                <w:sz w:val="16"/>
                <w:szCs w:val="16"/>
              </w:rPr>
              <w:t> </w:t>
            </w:r>
          </w:p>
        </w:tc>
        <w:tc>
          <w:tcPr>
            <w:tcW w:w="830" w:type="dxa"/>
            <w:tcBorders>
              <w:top w:val="nil"/>
              <w:left w:val="nil"/>
              <w:bottom w:val="nil"/>
              <w:right w:val="nil"/>
            </w:tcBorders>
            <w:shd w:val="clear" w:color="auto" w:fill="FFFFFF" w:themeFill="background1"/>
            <w:vAlign w:val="center"/>
          </w:tcPr>
          <w:p w14:paraId="275BA3C8" w14:textId="77777777" w:rsidR="006815AF" w:rsidRPr="006815AF" w:rsidRDefault="006815AF" w:rsidP="006815AF">
            <w:pPr>
              <w:spacing w:before="0" w:after="0" w:line="240" w:lineRule="auto"/>
              <w:jc w:val="right"/>
              <w:rPr>
                <w:rFonts w:ascii="Arial" w:hAnsi="Arial" w:cs="Arial"/>
                <w:color w:val="0000FF"/>
                <w:sz w:val="16"/>
                <w:szCs w:val="16"/>
              </w:rPr>
            </w:pPr>
            <w:r w:rsidRPr="006815AF">
              <w:rPr>
                <w:rFonts w:ascii="Arial" w:hAnsi="Arial" w:cs="Arial"/>
                <w:color w:val="0000FF"/>
                <w:sz w:val="16"/>
                <w:szCs w:val="16"/>
              </w:rPr>
              <w:t> </w:t>
            </w:r>
          </w:p>
        </w:tc>
      </w:tr>
      <w:tr w:rsidR="006815AF" w:rsidRPr="006815AF" w14:paraId="391EC308"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7AF6FA6D" w14:textId="77777777" w:rsidR="006815AF" w:rsidRPr="006815AF" w:rsidRDefault="006815AF" w:rsidP="006815AF">
            <w:pPr>
              <w:spacing w:before="0" w:after="0" w:line="240" w:lineRule="auto"/>
              <w:rPr>
                <w:rFonts w:ascii="Arial" w:hAnsi="Arial" w:cs="Arial"/>
                <w:b/>
                <w:bCs/>
                <w:sz w:val="16"/>
                <w:szCs w:val="16"/>
              </w:rPr>
            </w:pPr>
            <w:r w:rsidRPr="006815AF">
              <w:rPr>
                <w:rFonts w:ascii="Arial" w:hAnsi="Arial" w:cs="Arial"/>
                <w:b/>
                <w:bCs/>
                <w:sz w:val="16"/>
                <w:szCs w:val="16"/>
              </w:rPr>
              <w:t>Total interest payments</w:t>
            </w:r>
          </w:p>
        </w:tc>
        <w:tc>
          <w:tcPr>
            <w:tcW w:w="843" w:type="dxa"/>
            <w:tcBorders>
              <w:top w:val="nil"/>
              <w:left w:val="nil"/>
              <w:bottom w:val="nil"/>
              <w:right w:val="nil"/>
            </w:tcBorders>
            <w:shd w:val="clear" w:color="auto" w:fill="FFFFFF" w:themeFill="background1"/>
            <w:noWrap/>
            <w:vAlign w:val="center"/>
            <w:hideMark/>
          </w:tcPr>
          <w:p w14:paraId="6FF214FE"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22.8</w:t>
            </w:r>
          </w:p>
        </w:tc>
        <w:tc>
          <w:tcPr>
            <w:tcW w:w="116" w:type="dxa"/>
            <w:tcBorders>
              <w:top w:val="nil"/>
              <w:left w:val="nil"/>
              <w:bottom w:val="nil"/>
              <w:right w:val="nil"/>
            </w:tcBorders>
            <w:shd w:val="clear" w:color="auto" w:fill="FFFFFF" w:themeFill="background1"/>
            <w:noWrap/>
            <w:vAlign w:val="center"/>
            <w:hideMark/>
          </w:tcPr>
          <w:p w14:paraId="351C4125"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noWrap/>
            <w:vAlign w:val="center"/>
            <w:hideMark/>
          </w:tcPr>
          <w:p w14:paraId="17FBFF70"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24.4</w:t>
            </w:r>
          </w:p>
        </w:tc>
        <w:tc>
          <w:tcPr>
            <w:tcW w:w="831" w:type="dxa"/>
            <w:tcBorders>
              <w:top w:val="nil"/>
              <w:left w:val="nil"/>
              <w:bottom w:val="nil"/>
              <w:right w:val="nil"/>
            </w:tcBorders>
            <w:shd w:val="clear" w:color="auto" w:fill="E6F2FF"/>
            <w:vAlign w:val="center"/>
          </w:tcPr>
          <w:p w14:paraId="39831ABE"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27.9</w:t>
            </w:r>
          </w:p>
        </w:tc>
        <w:tc>
          <w:tcPr>
            <w:tcW w:w="831" w:type="dxa"/>
            <w:tcBorders>
              <w:top w:val="nil"/>
              <w:left w:val="nil"/>
              <w:bottom w:val="nil"/>
              <w:right w:val="nil"/>
            </w:tcBorders>
            <w:shd w:val="clear" w:color="auto" w:fill="FFFFFF" w:themeFill="background1"/>
            <w:vAlign w:val="center"/>
          </w:tcPr>
          <w:p w14:paraId="75A5C78F"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30.2</w:t>
            </w:r>
          </w:p>
        </w:tc>
        <w:tc>
          <w:tcPr>
            <w:tcW w:w="831" w:type="dxa"/>
            <w:tcBorders>
              <w:top w:val="nil"/>
              <w:left w:val="nil"/>
              <w:bottom w:val="nil"/>
              <w:right w:val="nil"/>
            </w:tcBorders>
            <w:shd w:val="clear" w:color="auto" w:fill="FFFFFF" w:themeFill="background1"/>
            <w:vAlign w:val="center"/>
          </w:tcPr>
          <w:p w14:paraId="73E59F4C"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36.7</w:t>
            </w:r>
          </w:p>
        </w:tc>
        <w:tc>
          <w:tcPr>
            <w:tcW w:w="830" w:type="dxa"/>
            <w:tcBorders>
              <w:top w:val="nil"/>
              <w:left w:val="nil"/>
              <w:bottom w:val="nil"/>
              <w:right w:val="nil"/>
            </w:tcBorders>
            <w:shd w:val="clear" w:color="auto" w:fill="FFFFFF" w:themeFill="background1"/>
            <w:vAlign w:val="center"/>
          </w:tcPr>
          <w:p w14:paraId="4B1D2B9B"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38.2</w:t>
            </w:r>
          </w:p>
        </w:tc>
      </w:tr>
      <w:tr w:rsidR="006815AF" w:rsidRPr="006815AF" w14:paraId="7EB9530A"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6C2CEF0F" w14:textId="77777777" w:rsidR="006815AF" w:rsidRPr="006815AF" w:rsidRDefault="006815AF" w:rsidP="006815AF">
            <w:pPr>
              <w:spacing w:before="0" w:after="0" w:line="240" w:lineRule="auto"/>
              <w:rPr>
                <w:rFonts w:ascii="Arial" w:hAnsi="Arial" w:cs="Arial"/>
                <w:sz w:val="16"/>
                <w:szCs w:val="16"/>
              </w:rPr>
            </w:pPr>
            <w:r w:rsidRPr="006815AF">
              <w:rPr>
                <w:rFonts w:ascii="Arial" w:hAnsi="Arial" w:cs="Arial"/>
                <w:sz w:val="16"/>
                <w:szCs w:val="16"/>
              </w:rPr>
              <w:t>Per cent of GDP</w:t>
            </w:r>
          </w:p>
        </w:tc>
        <w:tc>
          <w:tcPr>
            <w:tcW w:w="843" w:type="dxa"/>
            <w:tcBorders>
              <w:top w:val="nil"/>
              <w:left w:val="nil"/>
              <w:bottom w:val="nil"/>
              <w:right w:val="nil"/>
            </w:tcBorders>
            <w:shd w:val="clear" w:color="auto" w:fill="FFFFFF" w:themeFill="background1"/>
            <w:noWrap/>
            <w:vAlign w:val="center"/>
            <w:hideMark/>
          </w:tcPr>
          <w:p w14:paraId="12DBF489"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0.9</w:t>
            </w:r>
          </w:p>
        </w:tc>
        <w:tc>
          <w:tcPr>
            <w:tcW w:w="116" w:type="dxa"/>
            <w:tcBorders>
              <w:top w:val="nil"/>
              <w:left w:val="nil"/>
              <w:bottom w:val="nil"/>
              <w:right w:val="nil"/>
            </w:tcBorders>
            <w:shd w:val="clear" w:color="auto" w:fill="FFFFFF" w:themeFill="background1"/>
            <w:noWrap/>
            <w:vAlign w:val="center"/>
            <w:hideMark/>
          </w:tcPr>
          <w:p w14:paraId="1B40D668"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1" w:type="dxa"/>
            <w:tcBorders>
              <w:top w:val="nil"/>
              <w:left w:val="nil"/>
              <w:bottom w:val="nil"/>
              <w:right w:val="nil"/>
            </w:tcBorders>
            <w:shd w:val="clear" w:color="auto" w:fill="FFFFFF" w:themeFill="background1"/>
            <w:noWrap/>
            <w:vAlign w:val="center"/>
            <w:hideMark/>
          </w:tcPr>
          <w:p w14:paraId="216E14D2"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0.9</w:t>
            </w:r>
          </w:p>
        </w:tc>
        <w:tc>
          <w:tcPr>
            <w:tcW w:w="831" w:type="dxa"/>
            <w:tcBorders>
              <w:top w:val="nil"/>
              <w:left w:val="nil"/>
              <w:bottom w:val="nil"/>
              <w:right w:val="nil"/>
            </w:tcBorders>
            <w:shd w:val="clear" w:color="auto" w:fill="E6F2FF"/>
            <w:vAlign w:val="center"/>
          </w:tcPr>
          <w:p w14:paraId="1721893E"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1.0</w:t>
            </w:r>
          </w:p>
        </w:tc>
        <w:tc>
          <w:tcPr>
            <w:tcW w:w="831" w:type="dxa"/>
            <w:tcBorders>
              <w:top w:val="nil"/>
              <w:left w:val="nil"/>
              <w:bottom w:val="nil"/>
              <w:right w:val="nil"/>
            </w:tcBorders>
            <w:shd w:val="clear" w:color="auto" w:fill="FFFFFF" w:themeFill="background1"/>
            <w:vAlign w:val="center"/>
          </w:tcPr>
          <w:p w14:paraId="7C9AD7E7"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1.0</w:t>
            </w:r>
          </w:p>
        </w:tc>
        <w:tc>
          <w:tcPr>
            <w:tcW w:w="831" w:type="dxa"/>
            <w:tcBorders>
              <w:top w:val="nil"/>
              <w:left w:val="nil"/>
              <w:bottom w:val="nil"/>
              <w:right w:val="nil"/>
            </w:tcBorders>
            <w:shd w:val="clear" w:color="auto" w:fill="FFFFFF" w:themeFill="background1"/>
            <w:vAlign w:val="center"/>
          </w:tcPr>
          <w:p w14:paraId="5B59A497"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1.2</w:t>
            </w:r>
          </w:p>
        </w:tc>
        <w:tc>
          <w:tcPr>
            <w:tcW w:w="830" w:type="dxa"/>
            <w:tcBorders>
              <w:top w:val="nil"/>
              <w:left w:val="nil"/>
              <w:bottom w:val="nil"/>
              <w:right w:val="nil"/>
            </w:tcBorders>
            <w:shd w:val="clear" w:color="auto" w:fill="FFFFFF" w:themeFill="background1"/>
            <w:vAlign w:val="center"/>
          </w:tcPr>
          <w:p w14:paraId="190C0F72"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1.2</w:t>
            </w:r>
          </w:p>
        </w:tc>
      </w:tr>
      <w:tr w:rsidR="006815AF" w:rsidRPr="006815AF" w14:paraId="5F4F2E92" w14:textId="77777777" w:rsidTr="591FF694">
        <w:trPr>
          <w:trHeight w:hRule="exact" w:val="60"/>
        </w:trPr>
        <w:tc>
          <w:tcPr>
            <w:tcW w:w="2597" w:type="dxa"/>
            <w:tcBorders>
              <w:top w:val="nil"/>
              <w:left w:val="nil"/>
              <w:bottom w:val="nil"/>
              <w:right w:val="nil"/>
            </w:tcBorders>
            <w:shd w:val="clear" w:color="auto" w:fill="FFFFFF" w:themeFill="background1"/>
            <w:noWrap/>
            <w:vAlign w:val="center"/>
            <w:hideMark/>
          </w:tcPr>
          <w:p w14:paraId="26B3A38A" w14:textId="77777777" w:rsidR="006815AF" w:rsidRPr="006815AF" w:rsidRDefault="006815AF" w:rsidP="006815AF">
            <w:pPr>
              <w:spacing w:before="0" w:after="0" w:line="240" w:lineRule="auto"/>
              <w:rPr>
                <w:rFonts w:ascii="Arial" w:hAnsi="Arial" w:cs="Arial"/>
                <w:color w:val="0000FF"/>
                <w:sz w:val="16"/>
                <w:szCs w:val="16"/>
              </w:rPr>
            </w:pPr>
            <w:r w:rsidRPr="006815AF">
              <w:rPr>
                <w:rFonts w:ascii="Arial" w:hAnsi="Arial" w:cs="Arial"/>
                <w:color w:val="0000FF"/>
                <w:sz w:val="16"/>
                <w:szCs w:val="16"/>
              </w:rPr>
              <w:t> </w:t>
            </w:r>
          </w:p>
        </w:tc>
        <w:tc>
          <w:tcPr>
            <w:tcW w:w="843" w:type="dxa"/>
            <w:tcBorders>
              <w:top w:val="nil"/>
              <w:left w:val="nil"/>
              <w:bottom w:val="nil"/>
              <w:right w:val="nil"/>
            </w:tcBorders>
            <w:shd w:val="clear" w:color="auto" w:fill="FFFFFF" w:themeFill="background1"/>
            <w:noWrap/>
            <w:vAlign w:val="center"/>
            <w:hideMark/>
          </w:tcPr>
          <w:p w14:paraId="5495B72E" w14:textId="77777777" w:rsidR="006815AF" w:rsidRPr="006815AF" w:rsidRDefault="006815AF" w:rsidP="006815AF">
            <w:pPr>
              <w:spacing w:before="0" w:after="0" w:line="240" w:lineRule="auto"/>
              <w:jc w:val="right"/>
              <w:rPr>
                <w:rFonts w:ascii="Arial" w:hAnsi="Arial" w:cs="Arial"/>
                <w:color w:val="0000FF"/>
                <w:sz w:val="16"/>
                <w:szCs w:val="16"/>
              </w:rPr>
            </w:pPr>
            <w:r w:rsidRPr="006815AF">
              <w:rPr>
                <w:rFonts w:ascii="Arial" w:hAnsi="Arial" w:cs="Arial"/>
                <w:color w:val="0000FF"/>
                <w:sz w:val="16"/>
                <w:szCs w:val="16"/>
              </w:rPr>
              <w:t> </w:t>
            </w:r>
          </w:p>
        </w:tc>
        <w:tc>
          <w:tcPr>
            <w:tcW w:w="116" w:type="dxa"/>
            <w:tcBorders>
              <w:top w:val="nil"/>
              <w:left w:val="nil"/>
              <w:bottom w:val="nil"/>
              <w:right w:val="nil"/>
            </w:tcBorders>
            <w:shd w:val="clear" w:color="auto" w:fill="FFFFFF" w:themeFill="background1"/>
            <w:noWrap/>
            <w:vAlign w:val="center"/>
            <w:hideMark/>
          </w:tcPr>
          <w:p w14:paraId="0EA13595" w14:textId="77777777" w:rsidR="006815AF" w:rsidRPr="006815AF" w:rsidRDefault="006815AF" w:rsidP="006815AF">
            <w:pPr>
              <w:spacing w:before="0" w:after="0" w:line="240" w:lineRule="auto"/>
              <w:jc w:val="right"/>
              <w:rPr>
                <w:rFonts w:ascii="Arial" w:hAnsi="Arial" w:cs="Arial"/>
                <w:color w:val="0000FF"/>
                <w:sz w:val="16"/>
                <w:szCs w:val="16"/>
              </w:rPr>
            </w:pPr>
            <w:r w:rsidRPr="006815AF">
              <w:rPr>
                <w:rFonts w:ascii="Arial" w:hAnsi="Arial" w:cs="Arial"/>
                <w:color w:val="0000FF"/>
                <w:sz w:val="16"/>
                <w:szCs w:val="16"/>
              </w:rPr>
              <w:t> </w:t>
            </w:r>
          </w:p>
        </w:tc>
        <w:tc>
          <w:tcPr>
            <w:tcW w:w="831" w:type="dxa"/>
            <w:tcBorders>
              <w:top w:val="nil"/>
              <w:left w:val="nil"/>
              <w:bottom w:val="nil"/>
              <w:right w:val="nil"/>
            </w:tcBorders>
            <w:shd w:val="clear" w:color="auto" w:fill="FFFFFF" w:themeFill="background1"/>
            <w:noWrap/>
            <w:vAlign w:val="center"/>
            <w:hideMark/>
          </w:tcPr>
          <w:p w14:paraId="59914EBF" w14:textId="77777777" w:rsidR="006815AF" w:rsidRPr="006815AF" w:rsidRDefault="006815AF" w:rsidP="006815AF">
            <w:pPr>
              <w:spacing w:before="0" w:after="0" w:line="240" w:lineRule="auto"/>
              <w:jc w:val="right"/>
              <w:rPr>
                <w:rFonts w:ascii="Arial" w:hAnsi="Arial" w:cs="Arial"/>
                <w:color w:val="0000FF"/>
                <w:sz w:val="16"/>
                <w:szCs w:val="16"/>
              </w:rPr>
            </w:pPr>
            <w:r w:rsidRPr="006815AF">
              <w:rPr>
                <w:rFonts w:ascii="Arial" w:hAnsi="Arial" w:cs="Arial"/>
                <w:color w:val="0000FF"/>
                <w:sz w:val="16"/>
                <w:szCs w:val="16"/>
              </w:rPr>
              <w:t> </w:t>
            </w:r>
          </w:p>
        </w:tc>
        <w:tc>
          <w:tcPr>
            <w:tcW w:w="831" w:type="dxa"/>
            <w:tcBorders>
              <w:top w:val="nil"/>
              <w:left w:val="nil"/>
              <w:bottom w:val="nil"/>
              <w:right w:val="nil"/>
            </w:tcBorders>
            <w:shd w:val="clear" w:color="auto" w:fill="E6F2FF"/>
            <w:vAlign w:val="center"/>
          </w:tcPr>
          <w:p w14:paraId="3686E960" w14:textId="77777777" w:rsidR="006815AF" w:rsidRPr="006815AF" w:rsidRDefault="006815AF" w:rsidP="006815AF">
            <w:pPr>
              <w:spacing w:before="0" w:after="0" w:line="240" w:lineRule="auto"/>
              <w:jc w:val="right"/>
              <w:rPr>
                <w:rFonts w:ascii="Arial" w:hAnsi="Arial" w:cs="Arial"/>
                <w:color w:val="0000FF"/>
                <w:sz w:val="16"/>
                <w:szCs w:val="16"/>
              </w:rPr>
            </w:pPr>
            <w:r w:rsidRPr="006815AF">
              <w:rPr>
                <w:rFonts w:ascii="Arial" w:hAnsi="Arial" w:cs="Arial"/>
                <w:color w:val="0000FF"/>
                <w:sz w:val="16"/>
                <w:szCs w:val="16"/>
              </w:rPr>
              <w:t> </w:t>
            </w:r>
          </w:p>
        </w:tc>
        <w:tc>
          <w:tcPr>
            <w:tcW w:w="831" w:type="dxa"/>
            <w:tcBorders>
              <w:top w:val="nil"/>
              <w:left w:val="nil"/>
              <w:bottom w:val="nil"/>
              <w:right w:val="nil"/>
            </w:tcBorders>
            <w:shd w:val="clear" w:color="auto" w:fill="FFFFFF" w:themeFill="background1"/>
            <w:vAlign w:val="center"/>
          </w:tcPr>
          <w:p w14:paraId="70B3E89B" w14:textId="77777777" w:rsidR="006815AF" w:rsidRPr="006815AF" w:rsidRDefault="006815AF" w:rsidP="006815AF">
            <w:pPr>
              <w:spacing w:before="0" w:after="0" w:line="240" w:lineRule="auto"/>
              <w:jc w:val="right"/>
              <w:rPr>
                <w:rFonts w:ascii="Arial" w:hAnsi="Arial" w:cs="Arial"/>
                <w:color w:val="0000FF"/>
                <w:sz w:val="16"/>
                <w:szCs w:val="16"/>
              </w:rPr>
            </w:pPr>
            <w:r w:rsidRPr="006815AF">
              <w:rPr>
                <w:rFonts w:ascii="Arial" w:hAnsi="Arial" w:cs="Arial"/>
                <w:color w:val="0000FF"/>
                <w:sz w:val="16"/>
                <w:szCs w:val="16"/>
              </w:rPr>
              <w:t> </w:t>
            </w:r>
          </w:p>
        </w:tc>
        <w:tc>
          <w:tcPr>
            <w:tcW w:w="831" w:type="dxa"/>
            <w:tcBorders>
              <w:top w:val="nil"/>
              <w:left w:val="nil"/>
              <w:bottom w:val="nil"/>
              <w:right w:val="nil"/>
            </w:tcBorders>
            <w:shd w:val="clear" w:color="auto" w:fill="FFFFFF" w:themeFill="background1"/>
            <w:vAlign w:val="center"/>
          </w:tcPr>
          <w:p w14:paraId="40EF6F41" w14:textId="77777777" w:rsidR="006815AF" w:rsidRPr="006815AF" w:rsidRDefault="006815AF" w:rsidP="006815AF">
            <w:pPr>
              <w:spacing w:before="0" w:after="0" w:line="240" w:lineRule="auto"/>
              <w:jc w:val="right"/>
              <w:rPr>
                <w:rFonts w:ascii="Arial" w:hAnsi="Arial" w:cs="Arial"/>
                <w:color w:val="0000FF"/>
                <w:sz w:val="16"/>
                <w:szCs w:val="16"/>
              </w:rPr>
            </w:pPr>
            <w:r w:rsidRPr="006815AF">
              <w:rPr>
                <w:rFonts w:ascii="Arial" w:hAnsi="Arial" w:cs="Arial"/>
                <w:color w:val="0000FF"/>
                <w:sz w:val="16"/>
                <w:szCs w:val="16"/>
              </w:rPr>
              <w:t> </w:t>
            </w:r>
          </w:p>
        </w:tc>
        <w:tc>
          <w:tcPr>
            <w:tcW w:w="830" w:type="dxa"/>
            <w:tcBorders>
              <w:top w:val="nil"/>
              <w:left w:val="nil"/>
              <w:bottom w:val="nil"/>
              <w:right w:val="nil"/>
            </w:tcBorders>
            <w:shd w:val="clear" w:color="auto" w:fill="FFFFFF" w:themeFill="background1"/>
            <w:vAlign w:val="center"/>
          </w:tcPr>
          <w:p w14:paraId="3C8BEEA6" w14:textId="77777777" w:rsidR="006815AF" w:rsidRPr="006815AF" w:rsidRDefault="006815AF" w:rsidP="006815AF">
            <w:pPr>
              <w:spacing w:before="0" w:after="0" w:line="240" w:lineRule="auto"/>
              <w:jc w:val="right"/>
              <w:rPr>
                <w:rFonts w:ascii="Arial" w:hAnsi="Arial" w:cs="Arial"/>
                <w:color w:val="0000FF"/>
                <w:sz w:val="16"/>
                <w:szCs w:val="16"/>
              </w:rPr>
            </w:pPr>
            <w:r w:rsidRPr="006815AF">
              <w:rPr>
                <w:rFonts w:ascii="Arial" w:hAnsi="Arial" w:cs="Arial"/>
                <w:color w:val="0000FF"/>
                <w:sz w:val="16"/>
                <w:szCs w:val="16"/>
              </w:rPr>
              <w:t> </w:t>
            </w:r>
          </w:p>
        </w:tc>
      </w:tr>
      <w:tr w:rsidR="006815AF" w:rsidRPr="006815AF" w14:paraId="35AE08E9" w14:textId="77777777" w:rsidTr="591FF694">
        <w:trPr>
          <w:trHeight w:hRule="exact" w:val="225"/>
        </w:trPr>
        <w:tc>
          <w:tcPr>
            <w:tcW w:w="2597" w:type="dxa"/>
            <w:tcBorders>
              <w:top w:val="nil"/>
              <w:left w:val="nil"/>
              <w:bottom w:val="nil"/>
              <w:right w:val="nil"/>
            </w:tcBorders>
            <w:shd w:val="clear" w:color="auto" w:fill="FFFFFF" w:themeFill="background1"/>
            <w:noWrap/>
            <w:vAlign w:val="center"/>
            <w:hideMark/>
          </w:tcPr>
          <w:p w14:paraId="7BBA6FD3" w14:textId="77777777" w:rsidR="006815AF" w:rsidRPr="006815AF" w:rsidRDefault="006815AF" w:rsidP="006815AF">
            <w:pPr>
              <w:spacing w:before="0" w:after="0" w:line="240" w:lineRule="auto"/>
              <w:rPr>
                <w:rFonts w:ascii="Arial" w:hAnsi="Arial" w:cs="Arial"/>
                <w:b/>
                <w:bCs/>
                <w:color w:val="000000"/>
                <w:sz w:val="16"/>
                <w:szCs w:val="16"/>
              </w:rPr>
            </w:pPr>
            <w:r w:rsidRPr="591FF694">
              <w:rPr>
                <w:rFonts w:ascii="Arial" w:hAnsi="Arial" w:cs="Arial"/>
                <w:b/>
                <w:color w:val="000000" w:themeColor="text1"/>
                <w:sz w:val="16"/>
                <w:szCs w:val="16"/>
              </w:rPr>
              <w:t>Net interest payments(e)</w:t>
            </w:r>
          </w:p>
        </w:tc>
        <w:tc>
          <w:tcPr>
            <w:tcW w:w="843" w:type="dxa"/>
            <w:tcBorders>
              <w:top w:val="nil"/>
              <w:left w:val="nil"/>
              <w:bottom w:val="nil"/>
              <w:right w:val="nil"/>
            </w:tcBorders>
            <w:shd w:val="clear" w:color="auto" w:fill="FFFFFF" w:themeFill="background1"/>
            <w:noWrap/>
            <w:vAlign w:val="center"/>
            <w:hideMark/>
          </w:tcPr>
          <w:p w14:paraId="3A60FB39"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12.3</w:t>
            </w:r>
          </w:p>
        </w:tc>
        <w:tc>
          <w:tcPr>
            <w:tcW w:w="116" w:type="dxa"/>
            <w:tcBorders>
              <w:top w:val="nil"/>
              <w:left w:val="nil"/>
              <w:bottom w:val="nil"/>
              <w:right w:val="nil"/>
            </w:tcBorders>
            <w:shd w:val="clear" w:color="auto" w:fill="FFFFFF" w:themeFill="background1"/>
            <w:noWrap/>
            <w:vAlign w:val="center"/>
            <w:hideMark/>
          </w:tcPr>
          <w:p w14:paraId="35928011"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 </w:t>
            </w:r>
          </w:p>
        </w:tc>
        <w:tc>
          <w:tcPr>
            <w:tcW w:w="831" w:type="dxa"/>
            <w:tcBorders>
              <w:top w:val="nil"/>
              <w:left w:val="nil"/>
              <w:bottom w:val="nil"/>
              <w:right w:val="nil"/>
            </w:tcBorders>
            <w:shd w:val="clear" w:color="auto" w:fill="FFFFFF" w:themeFill="background1"/>
            <w:noWrap/>
            <w:vAlign w:val="center"/>
            <w:hideMark/>
          </w:tcPr>
          <w:p w14:paraId="5047D528"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14.9</w:t>
            </w:r>
          </w:p>
        </w:tc>
        <w:tc>
          <w:tcPr>
            <w:tcW w:w="831" w:type="dxa"/>
            <w:tcBorders>
              <w:top w:val="nil"/>
              <w:left w:val="nil"/>
              <w:bottom w:val="nil"/>
              <w:right w:val="nil"/>
            </w:tcBorders>
            <w:shd w:val="clear" w:color="auto" w:fill="E6F2FF"/>
            <w:vAlign w:val="center"/>
          </w:tcPr>
          <w:p w14:paraId="6EC93639"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18.5</w:t>
            </w:r>
          </w:p>
        </w:tc>
        <w:tc>
          <w:tcPr>
            <w:tcW w:w="831" w:type="dxa"/>
            <w:tcBorders>
              <w:top w:val="nil"/>
              <w:left w:val="nil"/>
              <w:bottom w:val="nil"/>
              <w:right w:val="nil"/>
            </w:tcBorders>
            <w:shd w:val="clear" w:color="auto" w:fill="FFFFFF" w:themeFill="background1"/>
            <w:vAlign w:val="center"/>
          </w:tcPr>
          <w:p w14:paraId="3832089E"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21.2</w:t>
            </w:r>
          </w:p>
        </w:tc>
        <w:tc>
          <w:tcPr>
            <w:tcW w:w="831" w:type="dxa"/>
            <w:tcBorders>
              <w:top w:val="nil"/>
              <w:left w:val="nil"/>
              <w:bottom w:val="nil"/>
              <w:right w:val="nil"/>
            </w:tcBorders>
            <w:shd w:val="clear" w:color="auto" w:fill="FFFFFF" w:themeFill="background1"/>
            <w:vAlign w:val="center"/>
          </w:tcPr>
          <w:p w14:paraId="72815C0E"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26.9</w:t>
            </w:r>
          </w:p>
        </w:tc>
        <w:tc>
          <w:tcPr>
            <w:tcW w:w="830" w:type="dxa"/>
            <w:tcBorders>
              <w:top w:val="nil"/>
              <w:left w:val="nil"/>
              <w:bottom w:val="nil"/>
              <w:right w:val="nil"/>
            </w:tcBorders>
            <w:shd w:val="clear" w:color="auto" w:fill="FFFFFF" w:themeFill="background1"/>
            <w:vAlign w:val="center"/>
          </w:tcPr>
          <w:p w14:paraId="67B569F0" w14:textId="77777777" w:rsidR="006815AF" w:rsidRPr="006815AF" w:rsidRDefault="006815AF" w:rsidP="006815AF">
            <w:pPr>
              <w:spacing w:before="0" w:after="0" w:line="240" w:lineRule="auto"/>
              <w:jc w:val="right"/>
              <w:rPr>
                <w:rFonts w:ascii="Arial" w:hAnsi="Arial" w:cs="Arial"/>
                <w:b/>
                <w:bCs/>
                <w:sz w:val="16"/>
                <w:szCs w:val="16"/>
              </w:rPr>
            </w:pPr>
            <w:r w:rsidRPr="006815AF">
              <w:rPr>
                <w:rFonts w:ascii="Arial" w:hAnsi="Arial" w:cs="Arial"/>
                <w:b/>
                <w:bCs/>
                <w:sz w:val="16"/>
                <w:szCs w:val="16"/>
              </w:rPr>
              <w:t>28.1</w:t>
            </w:r>
          </w:p>
        </w:tc>
      </w:tr>
      <w:tr w:rsidR="006815AF" w:rsidRPr="006815AF" w14:paraId="1F951E6D" w14:textId="77777777" w:rsidTr="591FF694">
        <w:trPr>
          <w:trHeight w:hRule="exact" w:val="225"/>
        </w:trPr>
        <w:tc>
          <w:tcPr>
            <w:tcW w:w="2597" w:type="dxa"/>
            <w:tcBorders>
              <w:top w:val="nil"/>
              <w:left w:val="nil"/>
              <w:bottom w:val="single" w:sz="4" w:space="0" w:color="293F5B"/>
              <w:right w:val="nil"/>
            </w:tcBorders>
            <w:shd w:val="clear" w:color="auto" w:fill="FFFFFF" w:themeFill="background1"/>
            <w:noWrap/>
            <w:vAlign w:val="center"/>
            <w:hideMark/>
          </w:tcPr>
          <w:p w14:paraId="70989B9F" w14:textId="77777777" w:rsidR="006815AF" w:rsidRPr="006815AF" w:rsidRDefault="006815AF" w:rsidP="006815AF">
            <w:pPr>
              <w:spacing w:before="0" w:after="0" w:line="240" w:lineRule="auto"/>
              <w:rPr>
                <w:rFonts w:ascii="Arial" w:hAnsi="Arial" w:cs="Arial"/>
                <w:sz w:val="16"/>
                <w:szCs w:val="16"/>
              </w:rPr>
            </w:pPr>
            <w:r w:rsidRPr="006815AF">
              <w:rPr>
                <w:rFonts w:ascii="Arial" w:hAnsi="Arial" w:cs="Arial"/>
                <w:sz w:val="16"/>
                <w:szCs w:val="16"/>
              </w:rPr>
              <w:t>Per cent of GDP</w:t>
            </w:r>
          </w:p>
        </w:tc>
        <w:tc>
          <w:tcPr>
            <w:tcW w:w="843" w:type="dxa"/>
            <w:tcBorders>
              <w:top w:val="nil"/>
              <w:left w:val="nil"/>
              <w:bottom w:val="single" w:sz="4" w:space="0" w:color="293F5B"/>
              <w:right w:val="nil"/>
            </w:tcBorders>
            <w:shd w:val="clear" w:color="auto" w:fill="FFFFFF" w:themeFill="background1"/>
            <w:noWrap/>
            <w:vAlign w:val="center"/>
            <w:hideMark/>
          </w:tcPr>
          <w:p w14:paraId="29971FD2"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0.5</w:t>
            </w:r>
          </w:p>
        </w:tc>
        <w:tc>
          <w:tcPr>
            <w:tcW w:w="116" w:type="dxa"/>
            <w:tcBorders>
              <w:top w:val="nil"/>
              <w:left w:val="nil"/>
              <w:bottom w:val="single" w:sz="4" w:space="0" w:color="293F5B"/>
              <w:right w:val="nil"/>
            </w:tcBorders>
            <w:shd w:val="clear" w:color="auto" w:fill="FFFFFF" w:themeFill="background1"/>
            <w:noWrap/>
            <w:vAlign w:val="center"/>
            <w:hideMark/>
          </w:tcPr>
          <w:p w14:paraId="25AC74E9"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 </w:t>
            </w:r>
          </w:p>
        </w:tc>
        <w:tc>
          <w:tcPr>
            <w:tcW w:w="831" w:type="dxa"/>
            <w:tcBorders>
              <w:top w:val="nil"/>
              <w:left w:val="nil"/>
              <w:bottom w:val="single" w:sz="4" w:space="0" w:color="293F5B"/>
              <w:right w:val="nil"/>
            </w:tcBorders>
            <w:shd w:val="clear" w:color="auto" w:fill="FFFFFF" w:themeFill="background1"/>
            <w:noWrap/>
            <w:vAlign w:val="center"/>
            <w:hideMark/>
          </w:tcPr>
          <w:p w14:paraId="640DDC45"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0.5</w:t>
            </w:r>
          </w:p>
        </w:tc>
        <w:tc>
          <w:tcPr>
            <w:tcW w:w="831" w:type="dxa"/>
            <w:tcBorders>
              <w:top w:val="nil"/>
              <w:left w:val="nil"/>
              <w:bottom w:val="single" w:sz="4" w:space="0" w:color="293F5B"/>
              <w:right w:val="nil"/>
            </w:tcBorders>
            <w:shd w:val="clear" w:color="auto" w:fill="E6F2FF"/>
            <w:vAlign w:val="center"/>
          </w:tcPr>
          <w:p w14:paraId="02C823CE"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0.6</w:t>
            </w:r>
          </w:p>
        </w:tc>
        <w:tc>
          <w:tcPr>
            <w:tcW w:w="831" w:type="dxa"/>
            <w:tcBorders>
              <w:top w:val="nil"/>
              <w:left w:val="nil"/>
              <w:bottom w:val="single" w:sz="4" w:space="0" w:color="293F5B"/>
              <w:right w:val="nil"/>
            </w:tcBorders>
            <w:shd w:val="clear" w:color="auto" w:fill="FFFFFF" w:themeFill="background1"/>
            <w:vAlign w:val="center"/>
          </w:tcPr>
          <w:p w14:paraId="5312360E"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0.7</w:t>
            </w:r>
          </w:p>
        </w:tc>
        <w:tc>
          <w:tcPr>
            <w:tcW w:w="831" w:type="dxa"/>
            <w:tcBorders>
              <w:top w:val="nil"/>
              <w:left w:val="nil"/>
              <w:bottom w:val="single" w:sz="4" w:space="0" w:color="293F5B"/>
              <w:right w:val="nil"/>
            </w:tcBorders>
            <w:shd w:val="clear" w:color="auto" w:fill="FFFFFF" w:themeFill="background1"/>
            <w:vAlign w:val="center"/>
          </w:tcPr>
          <w:p w14:paraId="7CB094F8"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0.9</w:t>
            </w:r>
          </w:p>
        </w:tc>
        <w:tc>
          <w:tcPr>
            <w:tcW w:w="830" w:type="dxa"/>
            <w:tcBorders>
              <w:top w:val="nil"/>
              <w:left w:val="nil"/>
              <w:bottom w:val="single" w:sz="4" w:space="0" w:color="293F5B"/>
              <w:right w:val="nil"/>
            </w:tcBorders>
            <w:shd w:val="clear" w:color="auto" w:fill="FFFFFF" w:themeFill="background1"/>
            <w:vAlign w:val="center"/>
          </w:tcPr>
          <w:p w14:paraId="1D4FF5CB" w14:textId="77777777" w:rsidR="006815AF" w:rsidRPr="006815AF" w:rsidRDefault="006815AF" w:rsidP="006815AF">
            <w:pPr>
              <w:spacing w:before="0" w:after="0" w:line="240" w:lineRule="auto"/>
              <w:jc w:val="right"/>
              <w:rPr>
                <w:rFonts w:ascii="Arial" w:hAnsi="Arial" w:cs="Arial"/>
                <w:sz w:val="16"/>
                <w:szCs w:val="16"/>
              </w:rPr>
            </w:pPr>
            <w:r w:rsidRPr="006815AF">
              <w:rPr>
                <w:rFonts w:ascii="Arial" w:hAnsi="Arial" w:cs="Arial"/>
                <w:sz w:val="16"/>
                <w:szCs w:val="16"/>
              </w:rPr>
              <w:t>0.8</w:t>
            </w:r>
          </w:p>
        </w:tc>
      </w:tr>
    </w:tbl>
    <w:p w14:paraId="3C588B30" w14:textId="7FA1AF9D" w:rsidR="009D0040" w:rsidRPr="00CF5BBF" w:rsidRDefault="009D0040" w:rsidP="00F653D1">
      <w:pPr>
        <w:pStyle w:val="ChartandTableFootnoteAlpha"/>
        <w:numPr>
          <w:ilvl w:val="0"/>
          <w:numId w:val="11"/>
        </w:numPr>
        <w:rPr>
          <w:rFonts w:cs="Arial"/>
        </w:rPr>
      </w:pPr>
      <w:r w:rsidRPr="00576DC7">
        <w:rPr>
          <w:color w:val="auto"/>
        </w:rPr>
        <w:t>Assets, liabilities, net worth, net financial worth, gross debt and net debt are presented as at the end of each financial year.</w:t>
      </w:r>
    </w:p>
    <w:p w14:paraId="25992BCB" w14:textId="4A8EBF37" w:rsidR="009D0040" w:rsidRPr="00185942" w:rsidRDefault="009D0040" w:rsidP="009D0040">
      <w:pPr>
        <w:pStyle w:val="ChartandTableFootnoteAlpha"/>
      </w:pPr>
      <w:r w:rsidRPr="00576DC7">
        <w:rPr>
          <w:color w:val="auto"/>
        </w:rPr>
        <w:t>Net financial worth equals total financial assets minus total liabilities.</w:t>
      </w:r>
      <w:r w:rsidRPr="00E04741">
        <w:rPr>
          <w:color w:val="auto"/>
        </w:rPr>
        <w:t xml:space="preserve"> </w:t>
      </w:r>
    </w:p>
    <w:p w14:paraId="0031DD65" w14:textId="596AA781" w:rsidR="009D0040" w:rsidRPr="00712254" w:rsidRDefault="009D0040" w:rsidP="009D0040">
      <w:pPr>
        <w:pStyle w:val="ChartandTableFootnoteAlpha"/>
        <w:rPr>
          <w:color w:val="auto"/>
        </w:rPr>
      </w:pPr>
      <w:r w:rsidRPr="00576DC7">
        <w:rPr>
          <w:color w:val="auto"/>
        </w:rPr>
        <w:t>Gross debt measures the face value of AGS on issue.</w:t>
      </w:r>
      <w:r w:rsidRPr="00712254">
        <w:rPr>
          <w:color w:val="auto"/>
        </w:rPr>
        <w:t xml:space="preserve"> </w:t>
      </w:r>
    </w:p>
    <w:p w14:paraId="14072C95" w14:textId="64E603FF" w:rsidR="009D0040" w:rsidRPr="00712254" w:rsidRDefault="009D0040" w:rsidP="009D0040">
      <w:pPr>
        <w:pStyle w:val="ChartandTableFootnoteAlpha"/>
        <w:rPr>
          <w:color w:val="auto"/>
        </w:rPr>
      </w:pPr>
      <w:r w:rsidRPr="00576DC7">
        <w:rPr>
          <w:color w:val="auto"/>
        </w:rPr>
        <w:t>Net debt is the sum of interest</w:t>
      </w:r>
      <w:r w:rsidR="00404C26">
        <w:rPr>
          <w:color w:val="auto"/>
        </w:rPr>
        <w:noBreakHyphen/>
      </w:r>
      <w:r w:rsidRPr="00576DC7">
        <w:rPr>
          <w:color w:val="auto"/>
        </w:rPr>
        <w:t>bearing liabilities (which includes AGS on issue measured at market value) less the sum of selected financial assets (cash and deposits, advances paid and investments, loans and placements).</w:t>
      </w:r>
    </w:p>
    <w:p w14:paraId="72460F24" w14:textId="6828858B" w:rsidR="009D0040" w:rsidRPr="00712254" w:rsidRDefault="009D0040" w:rsidP="009D0040">
      <w:pPr>
        <w:pStyle w:val="ChartandTableFootnoteAlpha"/>
        <w:rPr>
          <w:rFonts w:eastAsiaTheme="minorEastAsia"/>
          <w:color w:val="auto"/>
          <w:lang w:eastAsia="en-US"/>
        </w:rPr>
      </w:pPr>
      <w:r w:rsidRPr="00576DC7">
        <w:rPr>
          <w:rFonts w:eastAsiaTheme="minorEastAsia"/>
          <w:color w:val="auto"/>
          <w:lang w:eastAsia="en-US"/>
        </w:rPr>
        <w:t>Net interest payments are equal to the difference between interest payments and interest receipts.</w:t>
      </w:r>
    </w:p>
    <w:p w14:paraId="04BFDD70" w14:textId="77777777" w:rsidR="009D0040" w:rsidRPr="00712254" w:rsidRDefault="009D0040" w:rsidP="0098414C">
      <w:pPr>
        <w:pStyle w:val="TableLine"/>
      </w:pPr>
    </w:p>
    <w:p w14:paraId="4F9EB308" w14:textId="77777777" w:rsidR="009D0040" w:rsidRPr="00712254" w:rsidRDefault="009D0040" w:rsidP="009D0040">
      <w:r w:rsidRPr="00712254">
        <w:br w:type="page"/>
      </w:r>
    </w:p>
    <w:p w14:paraId="27844866" w14:textId="75E86E24" w:rsidR="00644C49" w:rsidRPr="00576DC7" w:rsidRDefault="00C25D1D" w:rsidP="00B51F7C">
      <w:pPr>
        <w:pStyle w:val="Heading3"/>
        <w:rPr>
          <w:b w:val="0"/>
        </w:rPr>
      </w:pPr>
      <w:bookmarkStart w:id="134" w:name="_Toc193537057"/>
      <w:r w:rsidRPr="00576DC7">
        <w:rPr>
          <w:rStyle w:val="Heading4Char"/>
        </w:rPr>
        <w:lastRenderedPageBreak/>
        <w:t>Interest payments</w:t>
      </w:r>
      <w:bookmarkEnd w:id="134"/>
    </w:p>
    <w:p w14:paraId="0562C28D" w14:textId="188BC427" w:rsidR="008209C5" w:rsidRPr="00576DC7" w:rsidRDefault="008209C5" w:rsidP="008209C5">
      <w:r w:rsidRPr="00576DC7">
        <w:t xml:space="preserve">Interest payments have </w:t>
      </w:r>
      <w:r w:rsidR="0025466F" w:rsidRPr="00576DC7">
        <w:t>de</w:t>
      </w:r>
      <w:r w:rsidRPr="00576DC7">
        <w:t>creased since</w:t>
      </w:r>
      <w:r w:rsidR="00665DBA" w:rsidRPr="00576DC7">
        <w:t xml:space="preserve"> MYEFO</w:t>
      </w:r>
      <w:r w:rsidRPr="00576DC7">
        <w:t xml:space="preserve">, driven by </w:t>
      </w:r>
      <w:r w:rsidR="003617DE" w:rsidRPr="00576DC7">
        <w:t>lower</w:t>
      </w:r>
      <w:r w:rsidRPr="00576DC7">
        <w:t xml:space="preserve"> yields</w:t>
      </w:r>
      <w:r w:rsidR="005A32DC" w:rsidRPr="00576DC7">
        <w:t xml:space="preserve"> and a lower financing task from the improved budget position.</w:t>
      </w:r>
      <w:r w:rsidRPr="00576DC7">
        <w:t xml:space="preserve"> Over the forward estimates, bond yields are assumed to remain fixed at a recent average of daily spot rates at the time of the </w:t>
      </w:r>
      <w:r w:rsidR="00EF7A96" w:rsidRPr="00576DC7">
        <w:t xml:space="preserve">budget </w:t>
      </w:r>
      <w:r w:rsidRPr="00576DC7">
        <w:t xml:space="preserve">update. Since </w:t>
      </w:r>
      <w:r w:rsidR="009231D8" w:rsidRPr="00576DC7">
        <w:t>MYEFO</w:t>
      </w:r>
      <w:r w:rsidRPr="00576DC7">
        <w:t xml:space="preserve">, the assumed weighted average cost of borrowing for issuance of Treasury Bonds in the forward estimates has </w:t>
      </w:r>
      <w:r w:rsidR="009231D8" w:rsidRPr="00576DC7">
        <w:t>decreased</w:t>
      </w:r>
      <w:r w:rsidRPr="00576DC7">
        <w:t xml:space="preserve"> from 4.</w:t>
      </w:r>
      <w:r w:rsidR="009231D8" w:rsidRPr="00576DC7">
        <w:t>4</w:t>
      </w:r>
      <w:r w:rsidRPr="00576DC7">
        <w:t xml:space="preserve"> to </w:t>
      </w:r>
      <w:r w:rsidR="006717A4" w:rsidRPr="00576DC7">
        <w:t>4.3</w:t>
      </w:r>
      <w:r w:rsidR="00FF439E" w:rsidRPr="00576DC7">
        <w:t> </w:t>
      </w:r>
      <w:r w:rsidRPr="00576DC7">
        <w:t>per</w:t>
      </w:r>
      <w:r w:rsidR="00FF439E" w:rsidRPr="00576DC7">
        <w:t> </w:t>
      </w:r>
      <w:r w:rsidRPr="00576DC7">
        <w:t xml:space="preserve">cent, broadly reflecting </w:t>
      </w:r>
      <w:r w:rsidR="001D74BE" w:rsidRPr="00576DC7">
        <w:t>movements</w:t>
      </w:r>
      <w:r w:rsidRPr="00576DC7">
        <w:t xml:space="preserve"> in yields globally.</w:t>
      </w:r>
      <w:r w:rsidR="0021758E" w:rsidRPr="00576DC7">
        <w:t xml:space="preserve"> This remains higher than the weighted average yield of 2.2 per cent at the 2022 PEFO.</w:t>
      </w:r>
    </w:p>
    <w:p w14:paraId="6000FFED" w14:textId="52D5FA19" w:rsidR="008209C5" w:rsidRPr="00002169" w:rsidRDefault="008209C5" w:rsidP="008209C5">
      <w:r w:rsidRPr="00576DC7">
        <w:t xml:space="preserve">Total interest payments are estimated to be </w:t>
      </w:r>
      <w:r w:rsidR="009740FC" w:rsidRPr="00576DC7">
        <w:t xml:space="preserve">1.0 </w:t>
      </w:r>
      <w:r w:rsidRPr="00576DC7">
        <w:t>per</w:t>
      </w:r>
      <w:r w:rsidR="00FF439E" w:rsidRPr="00576DC7">
        <w:t> </w:t>
      </w:r>
      <w:r w:rsidRPr="00576DC7">
        <w:t>cent of GDP in 202</w:t>
      </w:r>
      <w:r w:rsidR="00362E48" w:rsidRPr="00576DC7">
        <w:t>5</w:t>
      </w:r>
      <w:r w:rsidRPr="00576DC7">
        <w:t>–2</w:t>
      </w:r>
      <w:r w:rsidR="00362E48" w:rsidRPr="00576DC7">
        <w:t>6</w:t>
      </w:r>
      <w:r w:rsidRPr="00576DC7">
        <w:t xml:space="preserve">, </w:t>
      </w:r>
      <w:r w:rsidR="009740FC" w:rsidRPr="00576DC7">
        <w:t>unchanged from the estimate at</w:t>
      </w:r>
      <w:r w:rsidR="00362E48" w:rsidRPr="00576DC7" w:rsidDel="009740FC">
        <w:t xml:space="preserve"> </w:t>
      </w:r>
      <w:r w:rsidR="00362E48" w:rsidRPr="00576DC7">
        <w:t>MYEFO</w:t>
      </w:r>
      <w:r w:rsidRPr="00576DC7">
        <w:t>.</w:t>
      </w:r>
      <w:r w:rsidRPr="00002169">
        <w:t xml:space="preserve"> </w:t>
      </w:r>
      <w:r w:rsidRPr="00576DC7">
        <w:t xml:space="preserve">Interest payments are estimated to peak at </w:t>
      </w:r>
      <w:r w:rsidR="004104E5" w:rsidRPr="00576DC7">
        <w:t>1.6</w:t>
      </w:r>
      <w:r w:rsidR="00FF439E" w:rsidRPr="00576DC7">
        <w:t> </w:t>
      </w:r>
      <w:r w:rsidRPr="00576DC7">
        <w:t>per</w:t>
      </w:r>
      <w:r w:rsidR="00FF439E" w:rsidRPr="00576DC7">
        <w:t> </w:t>
      </w:r>
      <w:r w:rsidRPr="00576DC7">
        <w:t xml:space="preserve">cent of GDP in </w:t>
      </w:r>
      <w:r w:rsidR="00A615D5" w:rsidRPr="00576DC7">
        <w:t>20</w:t>
      </w:r>
      <w:r w:rsidR="003A5C33" w:rsidRPr="00576DC7">
        <w:t>32</w:t>
      </w:r>
      <w:r w:rsidR="00B961F4" w:rsidRPr="00576DC7">
        <w:t>–</w:t>
      </w:r>
      <w:r w:rsidR="003A5C33" w:rsidRPr="00576DC7">
        <w:t>33</w:t>
      </w:r>
      <w:r w:rsidRPr="00576DC7">
        <w:t xml:space="preserve">. By </w:t>
      </w:r>
      <w:r w:rsidR="00A615D5" w:rsidRPr="00576DC7">
        <w:t>2034</w:t>
      </w:r>
      <w:r w:rsidR="009E4E93" w:rsidRPr="00576DC7">
        <w:t>–</w:t>
      </w:r>
      <w:r w:rsidR="00A615D5" w:rsidRPr="00576DC7">
        <w:t>35</w:t>
      </w:r>
      <w:r w:rsidRPr="00576DC7">
        <w:t xml:space="preserve">, interest payments are </w:t>
      </w:r>
      <w:r w:rsidR="00B86BAB" w:rsidRPr="00576DC7">
        <w:t>broadly unchanged from the</w:t>
      </w:r>
      <w:r w:rsidRPr="00576DC7">
        <w:t xml:space="preserve"> 2024–25 </w:t>
      </w:r>
      <w:r w:rsidR="000F7C7D" w:rsidRPr="00576DC7">
        <w:t>MYEFO</w:t>
      </w:r>
      <w:r w:rsidRPr="00576DC7">
        <w:t>.</w:t>
      </w:r>
    </w:p>
    <w:p w14:paraId="0D1AD888" w14:textId="291873FE" w:rsidR="00B2621F" w:rsidRDefault="008D1280" w:rsidP="00FF439E">
      <w:r w:rsidRPr="00576DC7">
        <w:rPr>
          <w:rStyle w:val="Emphasis"/>
        </w:rPr>
        <w:t>Statement</w:t>
      </w:r>
      <w:r w:rsidR="00FF439E" w:rsidRPr="00576DC7">
        <w:rPr>
          <w:rStyle w:val="Emphasis"/>
        </w:rPr>
        <w:t> </w:t>
      </w:r>
      <w:r w:rsidR="00A52932" w:rsidRPr="00576DC7">
        <w:rPr>
          <w:rStyle w:val="Emphasis"/>
        </w:rPr>
        <w:t>6</w:t>
      </w:r>
      <w:r w:rsidR="008209C5" w:rsidRPr="00576DC7">
        <w:rPr>
          <w:rStyle w:val="Emphasis"/>
        </w:rPr>
        <w:t xml:space="preserve">: Debt Statement </w:t>
      </w:r>
      <w:r w:rsidR="008209C5" w:rsidRPr="00576DC7">
        <w:t>contains further information on yield assumptions and interest payments.</w:t>
      </w:r>
      <w:r w:rsidR="008D4813" w:rsidRPr="00002169">
        <w:t xml:space="preserve"> </w:t>
      </w:r>
      <w:r w:rsidR="00181E04" w:rsidRPr="00576DC7">
        <w:rPr>
          <w:rStyle w:val="Emphasis"/>
        </w:rPr>
        <w:t>Statement</w:t>
      </w:r>
      <w:r w:rsidR="00FF439E" w:rsidRPr="00576DC7">
        <w:rPr>
          <w:rStyle w:val="Emphasis"/>
        </w:rPr>
        <w:t> </w:t>
      </w:r>
      <w:r w:rsidR="001B2360" w:rsidRPr="00576DC7">
        <w:rPr>
          <w:rStyle w:val="Emphasis"/>
        </w:rPr>
        <w:t>7: Forecasting Performance and</w:t>
      </w:r>
      <w:r w:rsidR="008209C5" w:rsidRPr="00576DC7">
        <w:rPr>
          <w:rStyle w:val="Emphasis"/>
        </w:rPr>
        <w:t xml:space="preserve"> Sensitivity Analysis</w:t>
      </w:r>
      <w:r w:rsidR="008209C5" w:rsidRPr="00576DC7">
        <w:t xml:space="preserve"> contains information on the impact on the underlying cash balance and gross debt if the future trajectory for yields is higher or lower than assumed.</w:t>
      </w:r>
      <w:r w:rsidR="008D4813">
        <w:t xml:space="preserve"> </w:t>
      </w:r>
    </w:p>
    <w:p w14:paraId="59F18517" w14:textId="0F5B2B85" w:rsidR="00B2621F" w:rsidRPr="00576DC7" w:rsidRDefault="00B2621F" w:rsidP="00B2621F">
      <w:pPr>
        <w:pStyle w:val="Heading3"/>
      </w:pPr>
      <w:bookmarkStart w:id="135" w:name="_Toc117356565"/>
      <w:bookmarkStart w:id="136" w:name="_Toc193537058"/>
      <w:r w:rsidRPr="00576DC7">
        <w:t>Net debt estimates and projections</w:t>
      </w:r>
      <w:bookmarkEnd w:id="135"/>
      <w:bookmarkEnd w:id="136"/>
    </w:p>
    <w:p w14:paraId="7BF635F4" w14:textId="33318F82" w:rsidR="007259BB" w:rsidRDefault="00B2621F" w:rsidP="00B2621F">
      <w:r w:rsidRPr="00576DC7">
        <w:t xml:space="preserve">Net debt is estimated to be </w:t>
      </w:r>
      <w:r w:rsidR="00CA73D5" w:rsidRPr="00576DC7">
        <w:t>21.5</w:t>
      </w:r>
      <w:r w:rsidRPr="00576DC7">
        <w:t> per cent of GDP ($</w:t>
      </w:r>
      <w:r w:rsidR="00A766DA" w:rsidRPr="00576DC7">
        <w:t>620.3</w:t>
      </w:r>
      <w:r w:rsidRPr="00576DC7">
        <w:t xml:space="preserve"> billion) </w:t>
      </w:r>
      <w:proofErr w:type="gramStart"/>
      <w:r w:rsidRPr="00576DC7">
        <w:t>at</w:t>
      </w:r>
      <w:proofErr w:type="gramEnd"/>
      <w:r w:rsidRPr="00576DC7">
        <w:t xml:space="preserve"> 30 June 202</w:t>
      </w:r>
      <w:r w:rsidR="00A53D2C" w:rsidRPr="00576DC7">
        <w:t>6</w:t>
      </w:r>
      <w:r w:rsidRPr="00576DC7">
        <w:t xml:space="preserve"> (Table 3.</w:t>
      </w:r>
      <w:r w:rsidR="000C729B" w:rsidRPr="00576DC7">
        <w:t>5</w:t>
      </w:r>
      <w:r w:rsidRPr="00576DC7">
        <w:t>);</w:t>
      </w:r>
      <w:r w:rsidR="00155D64" w:rsidRPr="008D283E">
        <w:t xml:space="preserve"> </w:t>
      </w:r>
      <w:r w:rsidR="001A11CE" w:rsidRPr="00576DC7">
        <w:t>11.5</w:t>
      </w:r>
      <w:r w:rsidR="0090309A" w:rsidRPr="00576DC7">
        <w:t> </w:t>
      </w:r>
      <w:r w:rsidR="007A20CE" w:rsidRPr="00576DC7">
        <w:t>percentage points</w:t>
      </w:r>
      <w:r w:rsidRPr="00576DC7" w:rsidDel="00740745">
        <w:t xml:space="preserve"> </w:t>
      </w:r>
      <w:r w:rsidR="00740745" w:rsidRPr="00576DC7">
        <w:t>lower</w:t>
      </w:r>
      <w:r w:rsidRPr="00576DC7">
        <w:t xml:space="preserve"> than </w:t>
      </w:r>
      <w:r w:rsidR="007A20CE" w:rsidRPr="00576DC7">
        <w:t xml:space="preserve">estimated at </w:t>
      </w:r>
      <w:r w:rsidRPr="00576DC7">
        <w:t xml:space="preserve">the </w:t>
      </w:r>
      <w:r w:rsidR="007A20CE" w:rsidRPr="00576DC7">
        <w:t>PEFO</w:t>
      </w:r>
      <w:r w:rsidR="007A20CE" w:rsidRPr="00FF0A25">
        <w:t xml:space="preserve"> </w:t>
      </w:r>
      <w:r w:rsidR="007A20CE" w:rsidRPr="00576DC7">
        <w:t xml:space="preserve">and </w:t>
      </w:r>
      <w:r w:rsidR="007008F0" w:rsidRPr="00576DC7">
        <w:t>0</w:t>
      </w:r>
      <w:r w:rsidR="007A20CE" w:rsidRPr="00576DC7">
        <w:t>.</w:t>
      </w:r>
      <w:r w:rsidR="007008F0" w:rsidRPr="00576DC7">
        <w:t>2</w:t>
      </w:r>
      <w:r w:rsidR="007A20CE" w:rsidRPr="00576DC7">
        <w:t> percentage points higher than estimated</w:t>
      </w:r>
      <w:r w:rsidRPr="00576DC7">
        <w:t xml:space="preserve"> at MYEFO.</w:t>
      </w:r>
      <w:r w:rsidR="00563A6F" w:rsidRPr="00576DC7">
        <w:t xml:space="preserve"> </w:t>
      </w:r>
      <w:r w:rsidR="007259BB" w:rsidRPr="00576DC7">
        <w:t>Net debt relative to GDP is expected to be higher in the forward estimates compared to MYEFO</w:t>
      </w:r>
      <w:r w:rsidR="00EF1CE8" w:rsidRPr="00576DC7">
        <w:t>,</w:t>
      </w:r>
      <w:r w:rsidR="007264D9" w:rsidRPr="00576DC7">
        <w:t xml:space="preserve"> </w:t>
      </w:r>
      <w:r w:rsidR="007259BB" w:rsidRPr="00576DC7">
        <w:t>reflect</w:t>
      </w:r>
      <w:r w:rsidR="00E369AA" w:rsidRPr="00576DC7">
        <w:t>ing</w:t>
      </w:r>
      <w:r w:rsidR="007259BB" w:rsidRPr="00576DC7">
        <w:t xml:space="preserve"> a </w:t>
      </w:r>
      <w:r w:rsidR="001C621F" w:rsidRPr="00576DC7">
        <w:t xml:space="preserve">reduction in </w:t>
      </w:r>
      <w:r w:rsidR="00A55944" w:rsidRPr="00576DC7">
        <w:t>Future Fund</w:t>
      </w:r>
      <w:r w:rsidR="00FC5816" w:rsidRPr="00576DC7">
        <w:t xml:space="preserve"> </w:t>
      </w:r>
      <w:r w:rsidR="001C621F" w:rsidRPr="00576DC7">
        <w:t>investments</w:t>
      </w:r>
      <w:r w:rsidR="00127C3D" w:rsidRPr="00576DC7">
        <w:t>,</w:t>
      </w:r>
      <w:r w:rsidR="001C621F" w:rsidRPr="00576DC7">
        <w:t xml:space="preserve"> loans and plac</w:t>
      </w:r>
      <w:r w:rsidR="002147A3" w:rsidRPr="00576DC7">
        <w:t>e</w:t>
      </w:r>
      <w:r w:rsidR="001C621F" w:rsidRPr="00576DC7">
        <w:t>ments</w:t>
      </w:r>
      <w:r w:rsidR="007067E5" w:rsidRPr="00576DC7">
        <w:t xml:space="preserve"> and the impact of lower yields o</w:t>
      </w:r>
      <w:r w:rsidR="00C54898" w:rsidRPr="00576DC7">
        <w:t>n</w:t>
      </w:r>
      <w:r w:rsidR="007067E5" w:rsidRPr="00576DC7">
        <w:t xml:space="preserve"> AGS</w:t>
      </w:r>
      <w:r w:rsidR="001C621F" w:rsidRPr="00576DC7">
        <w:t xml:space="preserve">. </w:t>
      </w:r>
    </w:p>
    <w:p w14:paraId="4A1FC2D4" w14:textId="208B5911" w:rsidR="00B2621F" w:rsidRPr="00712254" w:rsidRDefault="00B2621F" w:rsidP="00B2621F">
      <w:pPr>
        <w:pStyle w:val="ChartMainHeading"/>
      </w:pPr>
      <w:r w:rsidRPr="00576DC7">
        <w:t>Chart 3.</w:t>
      </w:r>
      <w:r w:rsidR="001E3974" w:rsidRPr="00576DC7">
        <w:t>9</w:t>
      </w:r>
      <w:r w:rsidRPr="00576DC7">
        <w:t>: Net debt</w:t>
      </w:r>
    </w:p>
    <w:p w14:paraId="3F822BF6" w14:textId="2C63F7C3" w:rsidR="00B2621F" w:rsidRPr="00712254" w:rsidRDefault="00000000" w:rsidP="00B2621F">
      <w:pPr>
        <w:pStyle w:val="ChartGraphic"/>
      </w:pPr>
      <w:r>
        <w:pict w14:anchorId="72547045">
          <v:shape id="_x0000_i1033" type="#_x0000_t75" alt="This line chart compares projections of net debt as a share of GDP at the 2025-26 Budget and the 2024-25 MYEFO. In the 2025-26 Budget, net debt is projected to increase from 19.9 per cent of GDP in 2024-25 to 23.8 per cent of GDP in 2029-30, before declining to 20.2 per cent of GDP in 2035-36. Compared to the 2024-25 MYEFO, net debt is slightly higher over the entire projection period." style="width:379.5pt;height:204.75pt">
            <v:imagedata r:id="rId27" o:title=""/>
          </v:shape>
        </w:pict>
      </w:r>
    </w:p>
    <w:p w14:paraId="7FDD5A40" w14:textId="08AC74B8" w:rsidR="00B2621F" w:rsidRPr="00712254" w:rsidRDefault="00B2621F" w:rsidP="00B2621F">
      <w:pPr>
        <w:pStyle w:val="ChartandTableFootnote"/>
        <w:tabs>
          <w:tab w:val="right" w:pos="7710"/>
        </w:tabs>
        <w:rPr>
          <w:color w:val="auto"/>
        </w:rPr>
      </w:pPr>
      <w:r w:rsidRPr="00576DC7">
        <w:rPr>
          <w:color w:val="auto"/>
        </w:rPr>
        <w:t>Source:</w:t>
      </w:r>
      <w:r w:rsidRPr="00576DC7">
        <w:rPr>
          <w:color w:val="auto"/>
        </w:rPr>
        <w:tab/>
        <w:t>Treasury.</w:t>
      </w:r>
      <w:r w:rsidRPr="00712254">
        <w:rPr>
          <w:color w:val="auto"/>
        </w:rPr>
        <w:t xml:space="preserve"> </w:t>
      </w:r>
    </w:p>
    <w:p w14:paraId="69DC39F1" w14:textId="77777777" w:rsidR="00B2621F" w:rsidRPr="00712254" w:rsidRDefault="00B2621F" w:rsidP="004701E1">
      <w:pPr>
        <w:pStyle w:val="ChartLine"/>
      </w:pPr>
    </w:p>
    <w:p w14:paraId="5163D45E" w14:textId="401C38EA" w:rsidR="00047AA4" w:rsidRPr="00047AA4" w:rsidRDefault="00047AA4" w:rsidP="00B2621F">
      <w:r w:rsidRPr="00576DC7">
        <w:lastRenderedPageBreak/>
        <w:t xml:space="preserve">Net debt is higher than estimated at MYEFO over the entire projection period. Net debt is projected to be 20.2 per cent of GDP </w:t>
      </w:r>
      <w:proofErr w:type="gramStart"/>
      <w:r w:rsidRPr="00576DC7">
        <w:t>at</w:t>
      </w:r>
      <w:proofErr w:type="gramEnd"/>
      <w:r w:rsidRPr="00576DC7">
        <w:t xml:space="preserve"> 30 June 2036 (Chart 3.</w:t>
      </w:r>
      <w:r w:rsidR="0081727C" w:rsidRPr="00576DC7">
        <w:t>9</w:t>
      </w:r>
      <w:r w:rsidRPr="00576DC7">
        <w:t>).</w:t>
      </w:r>
      <w:r w:rsidRPr="00712254">
        <w:t xml:space="preserve"> </w:t>
      </w:r>
    </w:p>
    <w:p w14:paraId="40A7B395" w14:textId="24E175FF" w:rsidR="00B2621F" w:rsidRPr="00712254" w:rsidRDefault="00B2621F" w:rsidP="00B2621F">
      <w:r w:rsidRPr="00576DC7">
        <w:t xml:space="preserve">Further information on gross debt and net debt estimates across the forward estimates period is provided in </w:t>
      </w:r>
      <w:r w:rsidRPr="00576DC7">
        <w:rPr>
          <w:rStyle w:val="Emphasis"/>
        </w:rPr>
        <w:t>Statement</w:t>
      </w:r>
      <w:r w:rsidR="00371405" w:rsidRPr="00576DC7">
        <w:rPr>
          <w:rStyle w:val="Emphasis"/>
        </w:rPr>
        <w:t> </w:t>
      </w:r>
      <w:r w:rsidR="00255844" w:rsidRPr="00576DC7">
        <w:rPr>
          <w:rStyle w:val="Emphasis"/>
        </w:rPr>
        <w:t>6</w:t>
      </w:r>
      <w:r w:rsidRPr="00576DC7">
        <w:rPr>
          <w:rStyle w:val="Emphasis"/>
        </w:rPr>
        <w:t>: Debt Statement</w:t>
      </w:r>
      <w:r w:rsidRPr="00576DC7">
        <w:t xml:space="preserve">. </w:t>
      </w:r>
    </w:p>
    <w:p w14:paraId="7CA13D95" w14:textId="08541DF7" w:rsidR="00B2621F" w:rsidRPr="00576DC7" w:rsidRDefault="00B2621F" w:rsidP="00B2621F">
      <w:pPr>
        <w:pStyle w:val="Heading3"/>
      </w:pPr>
      <w:bookmarkStart w:id="137" w:name="_Toc117356566"/>
      <w:bookmarkStart w:id="138" w:name="_Toc193537059"/>
      <w:r w:rsidRPr="00576DC7">
        <w:t>Net financial worth and net worth estimates and projections</w:t>
      </w:r>
      <w:bookmarkEnd w:id="137"/>
      <w:bookmarkEnd w:id="138"/>
    </w:p>
    <w:p w14:paraId="50C470E4" w14:textId="762BC5E7" w:rsidR="00B2621F" w:rsidRPr="00712254" w:rsidRDefault="00B2621F" w:rsidP="00B2621F">
      <w:pPr>
        <w:rPr>
          <w:lang w:eastAsia="en-US"/>
        </w:rPr>
      </w:pPr>
      <w:r w:rsidRPr="00576DC7">
        <w:rPr>
          <w:lang w:eastAsia="en-US"/>
        </w:rPr>
        <w:t xml:space="preserve">Net financial worth is estimated to be minus </w:t>
      </w:r>
      <w:r w:rsidR="00802301" w:rsidRPr="00576DC7">
        <w:rPr>
          <w:lang w:eastAsia="en-US"/>
        </w:rPr>
        <w:t>29.5</w:t>
      </w:r>
      <w:r w:rsidRPr="00576DC7">
        <w:rPr>
          <w:lang w:eastAsia="en-US"/>
        </w:rPr>
        <w:t> per cent of GDP (minus $</w:t>
      </w:r>
      <w:r w:rsidR="00F34CC2" w:rsidRPr="00576DC7">
        <w:rPr>
          <w:lang w:eastAsia="en-US"/>
        </w:rPr>
        <w:t>850.1</w:t>
      </w:r>
      <w:r w:rsidRPr="00576DC7">
        <w:rPr>
          <w:lang w:eastAsia="en-US"/>
        </w:rPr>
        <w:t xml:space="preserve"> billion) </w:t>
      </w:r>
      <w:proofErr w:type="gramStart"/>
      <w:r w:rsidRPr="00576DC7">
        <w:rPr>
          <w:lang w:eastAsia="en-US"/>
        </w:rPr>
        <w:t>at</w:t>
      </w:r>
      <w:proofErr w:type="gramEnd"/>
      <w:r w:rsidRPr="00576DC7">
        <w:rPr>
          <w:lang w:eastAsia="en-US"/>
        </w:rPr>
        <w:t xml:space="preserve"> 30 June 202</w:t>
      </w:r>
      <w:r w:rsidR="00A45F63" w:rsidRPr="00576DC7">
        <w:rPr>
          <w:lang w:eastAsia="en-US"/>
        </w:rPr>
        <w:t>6</w:t>
      </w:r>
      <w:r w:rsidRPr="00576DC7">
        <w:rPr>
          <w:lang w:eastAsia="en-US"/>
        </w:rPr>
        <w:t xml:space="preserve"> </w:t>
      </w:r>
      <w:r w:rsidRPr="00576DC7">
        <w:t>(Table 3.</w:t>
      </w:r>
      <w:r w:rsidR="001B57F2" w:rsidRPr="00576DC7">
        <w:t>5</w:t>
      </w:r>
      <w:r w:rsidRPr="00576DC7">
        <w:t>)</w:t>
      </w:r>
      <w:r w:rsidRPr="00576DC7">
        <w:rPr>
          <w:lang w:eastAsia="en-US"/>
        </w:rPr>
        <w:t xml:space="preserve">, compared with the estimate of minus </w:t>
      </w:r>
      <w:r w:rsidR="000306F2" w:rsidRPr="00576DC7">
        <w:rPr>
          <w:lang w:eastAsia="en-US"/>
        </w:rPr>
        <w:t>30.0</w:t>
      </w:r>
      <w:r w:rsidRPr="00576DC7">
        <w:rPr>
          <w:lang w:eastAsia="en-US"/>
        </w:rPr>
        <w:t> per cent of GDP (minus</w:t>
      </w:r>
      <w:r w:rsidR="006E1E83" w:rsidRPr="00576DC7">
        <w:rPr>
          <w:lang w:eastAsia="en-US"/>
        </w:rPr>
        <w:t> </w:t>
      </w:r>
      <w:r w:rsidRPr="00576DC7">
        <w:rPr>
          <w:lang w:eastAsia="en-US"/>
        </w:rPr>
        <w:t>$</w:t>
      </w:r>
      <w:r w:rsidR="00147ECB" w:rsidRPr="00576DC7">
        <w:rPr>
          <w:lang w:eastAsia="en-US"/>
        </w:rPr>
        <w:t>856.8</w:t>
      </w:r>
      <w:r w:rsidRPr="00576DC7">
        <w:rPr>
          <w:lang w:eastAsia="en-US"/>
        </w:rPr>
        <w:t> billion) at MYEFO.</w:t>
      </w:r>
      <w:r w:rsidRPr="00712254">
        <w:rPr>
          <w:lang w:eastAsia="en-US"/>
        </w:rPr>
        <w:t xml:space="preserve"> </w:t>
      </w:r>
    </w:p>
    <w:p w14:paraId="1B2BCD19" w14:textId="68AAA93F" w:rsidR="00B2621F" w:rsidRPr="00712254" w:rsidRDefault="00B2621F" w:rsidP="00B2621F">
      <w:r w:rsidRPr="00576DC7">
        <w:t xml:space="preserve">Net financial worth is projected to deteriorate to minus </w:t>
      </w:r>
      <w:r w:rsidR="00BD4E2E" w:rsidRPr="00576DC7">
        <w:t>30.</w:t>
      </w:r>
      <w:r w:rsidR="00513C8B" w:rsidRPr="00576DC7">
        <w:t>1</w:t>
      </w:r>
      <w:r w:rsidRPr="00576DC7">
        <w:t xml:space="preserve"> per cent of GDP </w:t>
      </w:r>
      <w:proofErr w:type="gramStart"/>
      <w:r w:rsidRPr="00576DC7">
        <w:t>at</w:t>
      </w:r>
      <w:proofErr w:type="gramEnd"/>
      <w:r w:rsidRPr="00576DC7">
        <w:t xml:space="preserve"> 30 June 202</w:t>
      </w:r>
      <w:r w:rsidR="00513C8B" w:rsidRPr="00576DC7">
        <w:t>8</w:t>
      </w:r>
      <w:r w:rsidRPr="00576DC7">
        <w:t xml:space="preserve"> before improving to minus </w:t>
      </w:r>
      <w:r w:rsidR="00796F54" w:rsidRPr="00576DC7">
        <w:t>24.3</w:t>
      </w:r>
      <w:r w:rsidRPr="00576DC7">
        <w:t xml:space="preserve"> per cent of GDP </w:t>
      </w:r>
      <w:r w:rsidR="007B41CD" w:rsidRPr="00576DC7">
        <w:t xml:space="preserve">by the end of </w:t>
      </w:r>
      <w:r w:rsidRPr="00576DC7">
        <w:t>the medium term (Chart 3.</w:t>
      </w:r>
      <w:r w:rsidR="00CC787C" w:rsidRPr="00576DC7">
        <w:t>1</w:t>
      </w:r>
      <w:r w:rsidR="001E3974" w:rsidRPr="00576DC7">
        <w:t>0</w:t>
      </w:r>
      <w:r w:rsidRPr="00576DC7">
        <w:t>).</w:t>
      </w:r>
      <w:r w:rsidRPr="00712254">
        <w:rPr>
          <w:lang w:eastAsia="en-US"/>
        </w:rPr>
        <w:t xml:space="preserve"> </w:t>
      </w:r>
    </w:p>
    <w:p w14:paraId="7A67EBA1" w14:textId="3298B7F8" w:rsidR="00B2621F" w:rsidRPr="00712254" w:rsidRDefault="00B2621F" w:rsidP="00B2621F">
      <w:pPr>
        <w:pStyle w:val="ChartMainHeading"/>
      </w:pPr>
      <w:r w:rsidRPr="00576DC7">
        <w:t>Chart 3.</w:t>
      </w:r>
      <w:r w:rsidR="00787ABE" w:rsidRPr="00576DC7">
        <w:t>1</w:t>
      </w:r>
      <w:r w:rsidR="001E3974" w:rsidRPr="00576DC7">
        <w:t>0</w:t>
      </w:r>
      <w:r w:rsidRPr="00576DC7">
        <w:t xml:space="preserve"> Net financial worth</w:t>
      </w:r>
    </w:p>
    <w:p w14:paraId="12A86F48" w14:textId="12C756A7" w:rsidR="00B51F7C" w:rsidRDefault="00000000" w:rsidP="00B51F7C">
      <w:pPr>
        <w:pStyle w:val="ChartGraphic"/>
      </w:pPr>
      <w:r>
        <w:pict w14:anchorId="74699D60">
          <v:shape id="_x0000_i1034" type="#_x0000_t75" alt="This line chart compares projections of net financial worth as a share of GDP at the 2025-26 Budget and the 2024-25 MYEFO. Net financial worth is estimated to be -28.4 per cent of GDP in 2024-25. It is expected to improve throughout the medium term to -24.3 per cent in 2035-36. Net financial worth is lower in the medium term compared to the 2024-25 MYEFO." style="width:367.5pt;height:201.75pt">
            <v:imagedata r:id="rId28" o:title=""/>
          </v:shape>
        </w:pict>
      </w:r>
    </w:p>
    <w:p w14:paraId="7FC77E7D" w14:textId="0038810B" w:rsidR="00B2621F" w:rsidRPr="00712254" w:rsidRDefault="2DE18578" w:rsidP="00B51F7C">
      <w:pPr>
        <w:pStyle w:val="ChartandTableFootnote"/>
      </w:pPr>
      <w:r w:rsidRPr="00576DC7">
        <w:rPr>
          <w:color w:val="auto"/>
        </w:rPr>
        <w:t xml:space="preserve">Source: </w:t>
      </w:r>
      <w:r w:rsidR="00B2621F" w:rsidRPr="00576DC7">
        <w:rPr>
          <w:color w:val="auto"/>
        </w:rPr>
        <w:tab/>
      </w:r>
      <w:r w:rsidRPr="00576DC7">
        <w:rPr>
          <w:color w:val="auto"/>
        </w:rPr>
        <w:t>Treasury.</w:t>
      </w:r>
      <w:r w:rsidRPr="00712254">
        <w:rPr>
          <w:lang w:eastAsia="en-US"/>
        </w:rPr>
        <w:t xml:space="preserve"> </w:t>
      </w:r>
    </w:p>
    <w:p w14:paraId="234C7D1E" w14:textId="41E67876" w:rsidR="00B2621F" w:rsidRPr="00712254" w:rsidRDefault="00B2621F" w:rsidP="004701E1">
      <w:pPr>
        <w:pStyle w:val="ChartLine"/>
        <w:rPr>
          <w:lang w:eastAsia="en-US"/>
        </w:rPr>
      </w:pPr>
    </w:p>
    <w:p w14:paraId="39AE0F6B" w14:textId="737DD0F0" w:rsidR="00460F98" w:rsidRPr="00712254" w:rsidRDefault="00B2621F" w:rsidP="00B2621F">
      <w:r w:rsidRPr="00576DC7">
        <w:rPr>
          <w:lang w:eastAsia="en-US"/>
        </w:rPr>
        <w:t xml:space="preserve">Net worth is estimated to be minus </w:t>
      </w:r>
      <w:r w:rsidR="003330A2" w:rsidRPr="00576DC7">
        <w:rPr>
          <w:lang w:eastAsia="en-US"/>
        </w:rPr>
        <w:t>21.6</w:t>
      </w:r>
      <w:r w:rsidRPr="00576DC7">
        <w:rPr>
          <w:lang w:eastAsia="en-US"/>
        </w:rPr>
        <w:t> per cent of GDP (minus $</w:t>
      </w:r>
      <w:r w:rsidR="00430529" w:rsidRPr="00576DC7">
        <w:rPr>
          <w:lang w:eastAsia="en-US"/>
        </w:rPr>
        <w:t>621.8</w:t>
      </w:r>
      <w:r w:rsidRPr="00576DC7">
        <w:rPr>
          <w:lang w:eastAsia="en-US"/>
        </w:rPr>
        <w:t xml:space="preserve"> billion) </w:t>
      </w:r>
      <w:proofErr w:type="gramStart"/>
      <w:r w:rsidRPr="00576DC7">
        <w:rPr>
          <w:lang w:eastAsia="en-US"/>
        </w:rPr>
        <w:t>at</w:t>
      </w:r>
      <w:proofErr w:type="gramEnd"/>
      <w:r w:rsidRPr="00576DC7">
        <w:rPr>
          <w:lang w:eastAsia="en-US"/>
        </w:rPr>
        <w:t xml:space="preserve"> 30 June 202</w:t>
      </w:r>
      <w:r w:rsidR="00A076CF" w:rsidRPr="00576DC7">
        <w:rPr>
          <w:lang w:eastAsia="en-US"/>
        </w:rPr>
        <w:t>6</w:t>
      </w:r>
      <w:r w:rsidRPr="00576DC7">
        <w:rPr>
          <w:lang w:eastAsia="en-US"/>
        </w:rPr>
        <w:t xml:space="preserve"> </w:t>
      </w:r>
      <w:r w:rsidRPr="00576DC7">
        <w:t>(Table 3.</w:t>
      </w:r>
      <w:r w:rsidR="001B57F2" w:rsidRPr="00576DC7">
        <w:t>5</w:t>
      </w:r>
      <w:r w:rsidRPr="00576DC7">
        <w:t>)</w:t>
      </w:r>
      <w:r w:rsidRPr="00576DC7">
        <w:rPr>
          <w:lang w:eastAsia="en-US"/>
        </w:rPr>
        <w:t xml:space="preserve">, </w:t>
      </w:r>
      <w:r w:rsidRPr="00576DC7">
        <w:t>compared</w:t>
      </w:r>
      <w:r w:rsidRPr="00576DC7">
        <w:rPr>
          <w:lang w:eastAsia="en-US"/>
        </w:rPr>
        <w:t xml:space="preserve"> with the estimate of minus </w:t>
      </w:r>
      <w:r w:rsidR="00D753A1" w:rsidRPr="00576DC7">
        <w:rPr>
          <w:lang w:eastAsia="en-US"/>
        </w:rPr>
        <w:t>22.0</w:t>
      </w:r>
      <w:r w:rsidRPr="00576DC7">
        <w:rPr>
          <w:lang w:eastAsia="en-US"/>
        </w:rPr>
        <w:t> per cent of GDP (minus $</w:t>
      </w:r>
      <w:r w:rsidR="001C375F" w:rsidRPr="00576DC7">
        <w:rPr>
          <w:lang w:eastAsia="en-US"/>
        </w:rPr>
        <w:t>62</w:t>
      </w:r>
      <w:r w:rsidR="00ED59E5" w:rsidRPr="00576DC7">
        <w:rPr>
          <w:lang w:eastAsia="en-US"/>
        </w:rPr>
        <w:t>8</w:t>
      </w:r>
      <w:r w:rsidRPr="00576DC7">
        <w:rPr>
          <w:lang w:eastAsia="en-US"/>
        </w:rPr>
        <w:t>.</w:t>
      </w:r>
      <w:r w:rsidR="001C375F" w:rsidRPr="00576DC7">
        <w:rPr>
          <w:lang w:eastAsia="en-US"/>
        </w:rPr>
        <w:t>9</w:t>
      </w:r>
      <w:r w:rsidRPr="00576DC7">
        <w:rPr>
          <w:lang w:eastAsia="en-US"/>
        </w:rPr>
        <w:t xml:space="preserve"> billion) at MYEFO. Net worth is projected to deteriorate to minus </w:t>
      </w:r>
      <w:r w:rsidR="0098607C" w:rsidRPr="00576DC7">
        <w:rPr>
          <w:lang w:eastAsia="en-US"/>
        </w:rPr>
        <w:t>22.3</w:t>
      </w:r>
      <w:r w:rsidRPr="00576DC7">
        <w:rPr>
          <w:lang w:eastAsia="en-US"/>
        </w:rPr>
        <w:t xml:space="preserve"> per cent of GDP </w:t>
      </w:r>
      <w:proofErr w:type="gramStart"/>
      <w:r w:rsidRPr="00576DC7">
        <w:rPr>
          <w:lang w:eastAsia="en-US"/>
        </w:rPr>
        <w:t>at</w:t>
      </w:r>
      <w:proofErr w:type="gramEnd"/>
      <w:r w:rsidRPr="00576DC7">
        <w:rPr>
          <w:lang w:eastAsia="en-US"/>
        </w:rPr>
        <w:t xml:space="preserve"> 30 June 202</w:t>
      </w:r>
      <w:r w:rsidR="000D3D1B" w:rsidRPr="00576DC7">
        <w:rPr>
          <w:lang w:eastAsia="en-US"/>
        </w:rPr>
        <w:t>9</w:t>
      </w:r>
      <w:r w:rsidRPr="00576DC7">
        <w:rPr>
          <w:lang w:eastAsia="en-US"/>
        </w:rPr>
        <w:t xml:space="preserve"> before improving over the medium term.</w:t>
      </w:r>
    </w:p>
    <w:p w14:paraId="24B90965" w14:textId="60205987" w:rsidR="00B2621F" w:rsidRPr="00712254" w:rsidRDefault="00B2621F" w:rsidP="00B2621F">
      <w:r w:rsidRPr="00576DC7">
        <w:t xml:space="preserve">The </w:t>
      </w:r>
      <w:r w:rsidR="00E84A02" w:rsidRPr="00576DC7">
        <w:t>improvement</w:t>
      </w:r>
      <w:r w:rsidRPr="00576DC7">
        <w:t xml:space="preserve"> in net worth and net financial worth over the forward estimates period relative to MYEFO largely reflects </w:t>
      </w:r>
      <w:r w:rsidR="00E84A02" w:rsidRPr="00576DC7">
        <w:t xml:space="preserve">an increase in assets </w:t>
      </w:r>
      <w:r w:rsidR="00325F98" w:rsidRPr="00576DC7">
        <w:t>held by the</w:t>
      </w:r>
      <w:r w:rsidR="00560CA6" w:rsidRPr="00576DC7">
        <w:t xml:space="preserve"> Future Fund</w:t>
      </w:r>
      <w:r w:rsidRPr="00576DC7">
        <w:t>.</w:t>
      </w:r>
      <w:r w:rsidRPr="00712254">
        <w:t xml:space="preserve"> </w:t>
      </w:r>
    </w:p>
    <w:p w14:paraId="3EC14835" w14:textId="07007340" w:rsidR="00B2621F" w:rsidRPr="00712254" w:rsidRDefault="00B2621F" w:rsidP="00B2621F">
      <w:r w:rsidRPr="00576DC7">
        <w:t xml:space="preserve">Net worth and net financial worth as a share of the economy </w:t>
      </w:r>
      <w:r w:rsidR="00ED7B79" w:rsidRPr="00576DC7">
        <w:t>improve</w:t>
      </w:r>
      <w:r w:rsidRPr="00576DC7">
        <w:t xml:space="preserve"> over the medium term as debt</w:t>
      </w:r>
      <w:r w:rsidR="00404C26">
        <w:noBreakHyphen/>
      </w:r>
      <w:r w:rsidRPr="00576DC7">
        <w:t>to</w:t>
      </w:r>
      <w:r w:rsidR="00404C26">
        <w:noBreakHyphen/>
      </w:r>
      <w:r w:rsidRPr="00576DC7">
        <w:t>GDP is reduced.</w:t>
      </w:r>
      <w:r w:rsidRPr="00712254">
        <w:br w:type="page"/>
      </w:r>
    </w:p>
    <w:p w14:paraId="00ADAFE0" w14:textId="7BD4941A" w:rsidR="00B2621F" w:rsidRPr="00576DC7" w:rsidRDefault="00B2621F" w:rsidP="00B2621F">
      <w:pPr>
        <w:pStyle w:val="Heading2"/>
        <w:rPr>
          <w:rFonts w:eastAsiaTheme="minorEastAsia"/>
        </w:rPr>
      </w:pPr>
      <w:bookmarkStart w:id="139" w:name="_Toc193537060"/>
      <w:bookmarkStart w:id="140" w:name="_Toc117356571"/>
      <w:r w:rsidRPr="00576DC7">
        <w:rPr>
          <w:rFonts w:eastAsiaTheme="minorEastAsia"/>
        </w:rPr>
        <w:lastRenderedPageBreak/>
        <w:t>Fiscal impacts of the net zero transformation</w:t>
      </w:r>
      <w:bookmarkEnd w:id="139"/>
    </w:p>
    <w:p w14:paraId="3356B66E" w14:textId="53DA6153" w:rsidR="00BE0A31" w:rsidRPr="009D069B" w:rsidRDefault="00BE0A31" w:rsidP="0098414C">
      <w:pPr>
        <w:rPr>
          <w:rFonts w:eastAsiaTheme="minorHAnsi"/>
        </w:rPr>
      </w:pPr>
      <w:bookmarkStart w:id="141" w:name="_Toc165293260"/>
      <w:bookmarkStart w:id="142" w:name="_Toc166355407"/>
      <w:bookmarkStart w:id="143" w:name="_Toc164773498"/>
      <w:r w:rsidRPr="00576DC7">
        <w:rPr>
          <w:rFonts w:eastAsiaTheme="minorHAnsi"/>
        </w:rPr>
        <w:t>Climate change and global climate action will have profound impacts on the economy, reshaping Australia</w:t>
      </w:r>
      <w:r w:rsidR="00404C26">
        <w:rPr>
          <w:rFonts w:eastAsiaTheme="minorHAnsi"/>
        </w:rPr>
        <w:t>’</w:t>
      </w:r>
      <w:r w:rsidRPr="00576DC7">
        <w:rPr>
          <w:rFonts w:eastAsiaTheme="minorHAnsi"/>
        </w:rPr>
        <w:t>s industry mix and requiring effective mitigation and adaptation to manage climate impacts like more severe floods and bushfires. At the same time, the net zero transformation presents new opportunities for Australia</w:t>
      </w:r>
      <w:r w:rsidR="00404C26">
        <w:rPr>
          <w:rFonts w:eastAsiaTheme="minorHAnsi"/>
        </w:rPr>
        <w:t>’</w:t>
      </w:r>
      <w:r w:rsidRPr="00576DC7">
        <w:rPr>
          <w:rFonts w:eastAsiaTheme="minorHAnsi"/>
        </w:rPr>
        <w:t>s industries, regions and communities. Achieving Australia</w:t>
      </w:r>
      <w:r w:rsidR="00404C26">
        <w:rPr>
          <w:rFonts w:eastAsiaTheme="minorHAnsi"/>
        </w:rPr>
        <w:t>’</w:t>
      </w:r>
      <w:r w:rsidRPr="00576DC7">
        <w:rPr>
          <w:rFonts w:eastAsiaTheme="minorHAnsi"/>
        </w:rPr>
        <w:t>s emissions reduction commitments and realising the opportunities that accompany the transition will require significant investment by governments and the private sector.</w:t>
      </w:r>
      <w:r w:rsidR="009112AF" w:rsidRPr="00576DC7">
        <w:rPr>
          <w:rFonts w:eastAsiaTheme="minorHAnsi"/>
        </w:rPr>
        <w:t xml:space="preserve"> </w:t>
      </w:r>
    </w:p>
    <w:p w14:paraId="20A15708" w14:textId="152BFECB" w:rsidR="001B7A77" w:rsidRPr="00C8308E" w:rsidRDefault="001B7A77" w:rsidP="0098414C">
      <w:r w:rsidRPr="00576DC7">
        <w:t>The Government is committed to improving the transparency of public money committed to climate action. It recognises the importance of identifying, disclosing, and tracking net zero spending in improving Australia</w:t>
      </w:r>
      <w:r w:rsidR="00404C26">
        <w:t>’</w:t>
      </w:r>
      <w:r w:rsidRPr="00576DC7">
        <w:t>s response to climate change and aligning with international efforts. Accounting for net zero spending comprehensively is challenging as it cuts across many portfolios, ranging from energy to health. Existing budget systems</w:t>
      </w:r>
      <w:r w:rsidRPr="00576DC7" w:rsidDel="00E97797">
        <w:t xml:space="preserve"> </w:t>
      </w:r>
      <w:r w:rsidRPr="00576DC7">
        <w:t>do not readily facilitate reporting net zero spending on established programs. For this reason, reporting of net zero spending focuses on new</w:t>
      </w:r>
      <w:r w:rsidRPr="00576DC7" w:rsidDel="00A04426">
        <w:t xml:space="preserve"> </w:t>
      </w:r>
      <w:r w:rsidRPr="00576DC7">
        <w:t>measures.</w:t>
      </w:r>
    </w:p>
    <w:p w14:paraId="75BB99FB" w14:textId="552A7A2C" w:rsidR="00C8308E" w:rsidRPr="00576DC7" w:rsidRDefault="00C8308E" w:rsidP="00FE185E">
      <w:pPr>
        <w:pStyle w:val="Heading3"/>
        <w:rPr>
          <w:b w:val="0"/>
          <w:szCs w:val="22"/>
        </w:rPr>
      </w:pPr>
      <w:bookmarkStart w:id="144" w:name="_Toc193537061"/>
      <w:r w:rsidRPr="00576DC7">
        <w:rPr>
          <w:szCs w:val="22"/>
        </w:rPr>
        <w:t>Australia</w:t>
      </w:r>
      <w:r w:rsidR="00404C26">
        <w:rPr>
          <w:b w:val="0"/>
          <w:szCs w:val="22"/>
        </w:rPr>
        <w:t>’</w:t>
      </w:r>
      <w:r w:rsidRPr="00576DC7">
        <w:rPr>
          <w:b w:val="0"/>
          <w:szCs w:val="22"/>
        </w:rPr>
        <w:t>s classification approach</w:t>
      </w:r>
      <w:bookmarkEnd w:id="144"/>
      <w:r w:rsidRPr="00576DC7">
        <w:rPr>
          <w:b w:val="0"/>
          <w:szCs w:val="22"/>
        </w:rPr>
        <w:t xml:space="preserve"> </w:t>
      </w:r>
    </w:p>
    <w:p w14:paraId="0D1391E2" w14:textId="641A874A" w:rsidR="008677E3" w:rsidRPr="00576DC7" w:rsidRDefault="008677E3" w:rsidP="0098414C">
      <w:pPr>
        <w:rPr>
          <w:rFonts w:eastAsiaTheme="minorHAnsi"/>
        </w:rPr>
      </w:pPr>
      <w:r w:rsidRPr="00576DC7">
        <w:rPr>
          <w:rFonts w:eastAsiaTheme="minorHAnsi"/>
        </w:rPr>
        <w:t>The 2025</w:t>
      </w:r>
      <w:r w:rsidR="0062583F" w:rsidRPr="00576DC7">
        <w:rPr>
          <w:rFonts w:eastAsiaTheme="minorHAnsi"/>
        </w:rPr>
        <w:t>–</w:t>
      </w:r>
      <w:r w:rsidRPr="00576DC7">
        <w:rPr>
          <w:rFonts w:eastAsiaTheme="minorHAnsi"/>
        </w:rPr>
        <w:t>26 Budget continues the practice introduced in the 2022</w:t>
      </w:r>
      <w:r w:rsidR="0062583F" w:rsidRPr="00576DC7">
        <w:rPr>
          <w:rFonts w:eastAsiaTheme="minorHAnsi"/>
        </w:rPr>
        <w:t>–</w:t>
      </w:r>
      <w:r w:rsidRPr="00576DC7">
        <w:rPr>
          <w:rFonts w:eastAsiaTheme="minorHAnsi"/>
        </w:rPr>
        <w:t xml:space="preserve">23 </w:t>
      </w:r>
      <w:r w:rsidR="00F81D73" w:rsidRPr="00576DC7">
        <w:rPr>
          <w:rFonts w:eastAsiaTheme="minorHAnsi"/>
        </w:rPr>
        <w:t xml:space="preserve">October </w:t>
      </w:r>
      <w:r w:rsidRPr="00576DC7">
        <w:rPr>
          <w:rFonts w:eastAsiaTheme="minorHAnsi"/>
        </w:rPr>
        <w:t>Budget of transparently reporting new climate</w:t>
      </w:r>
      <w:r w:rsidR="00404C26">
        <w:rPr>
          <w:rFonts w:eastAsiaTheme="minorHAnsi"/>
        </w:rPr>
        <w:noBreakHyphen/>
      </w:r>
      <w:r w:rsidRPr="00576DC7">
        <w:rPr>
          <w:rFonts w:eastAsiaTheme="minorHAnsi"/>
        </w:rPr>
        <w:t>related spending. It adopts the five</w:t>
      </w:r>
      <w:r w:rsidR="00404C26">
        <w:rPr>
          <w:rFonts w:eastAsiaTheme="minorHAnsi"/>
        </w:rPr>
        <w:noBreakHyphen/>
      </w:r>
      <w:r w:rsidRPr="00576DC7">
        <w:rPr>
          <w:rFonts w:eastAsiaTheme="minorHAnsi"/>
        </w:rPr>
        <w:t>part classification outlined in detail in the 2024</w:t>
      </w:r>
      <w:r w:rsidR="0062583F" w:rsidRPr="00576DC7">
        <w:rPr>
          <w:rFonts w:eastAsiaTheme="minorHAnsi"/>
        </w:rPr>
        <w:t>–</w:t>
      </w:r>
      <w:r w:rsidRPr="00576DC7">
        <w:rPr>
          <w:rFonts w:eastAsiaTheme="minorHAnsi"/>
        </w:rPr>
        <w:t xml:space="preserve">25 Budget: </w:t>
      </w:r>
    </w:p>
    <w:p w14:paraId="42D044DF" w14:textId="79070D4E" w:rsidR="008677E3" w:rsidRPr="00576DC7" w:rsidRDefault="008677E3" w:rsidP="0098414C">
      <w:pPr>
        <w:pStyle w:val="Bullet"/>
      </w:pPr>
      <w:r w:rsidRPr="00576DC7">
        <w:t>Reducing emissions in Australia</w:t>
      </w:r>
      <w:r w:rsidR="00404C26">
        <w:t>’</w:t>
      </w:r>
      <w:r w:rsidRPr="00576DC7">
        <w:t>s energy system and broader economy</w:t>
      </w:r>
    </w:p>
    <w:p w14:paraId="4AEEFA93" w14:textId="77777777" w:rsidR="008677E3" w:rsidRPr="00576DC7" w:rsidRDefault="008677E3" w:rsidP="0098414C">
      <w:pPr>
        <w:pStyle w:val="Bullet"/>
      </w:pPr>
      <w:r w:rsidRPr="00576DC7">
        <w:t>Strengthening net zero industries and skills</w:t>
      </w:r>
    </w:p>
    <w:p w14:paraId="4D0FB1E4" w14:textId="77777777" w:rsidR="008677E3" w:rsidRPr="00576DC7" w:rsidRDefault="008677E3" w:rsidP="0098414C">
      <w:pPr>
        <w:pStyle w:val="Bullet"/>
      </w:pPr>
      <w:r w:rsidRPr="00576DC7">
        <w:t>Adapting to climate change and improving climate and disaster resilience</w:t>
      </w:r>
    </w:p>
    <w:p w14:paraId="6E286585" w14:textId="77777777" w:rsidR="008677E3" w:rsidRPr="00576DC7" w:rsidRDefault="008677E3" w:rsidP="0098414C">
      <w:pPr>
        <w:pStyle w:val="Bullet"/>
      </w:pPr>
      <w:r w:rsidRPr="00576DC7">
        <w:t>International climate leadership</w:t>
      </w:r>
    </w:p>
    <w:p w14:paraId="1ECB9C86" w14:textId="77777777" w:rsidR="008677E3" w:rsidRPr="00576DC7" w:rsidRDefault="008677E3" w:rsidP="0098414C">
      <w:pPr>
        <w:pStyle w:val="Bullet"/>
      </w:pPr>
      <w:r w:rsidRPr="00576DC7">
        <w:t>Building Australian Government climate capability</w:t>
      </w:r>
    </w:p>
    <w:p w14:paraId="0440883D" w14:textId="09569544" w:rsidR="008677E3" w:rsidRPr="00576DC7" w:rsidRDefault="008677E3" w:rsidP="0098414C">
      <w:r w:rsidRPr="00576DC7">
        <w:t>In the 2025</w:t>
      </w:r>
      <w:r w:rsidR="0062583F" w:rsidRPr="00576DC7">
        <w:t>–</w:t>
      </w:r>
      <w:r w:rsidRPr="00576DC7">
        <w:t>26 Budget, new measures from 2024</w:t>
      </w:r>
      <w:r w:rsidR="0062583F" w:rsidRPr="00576DC7">
        <w:t>–</w:t>
      </w:r>
      <w:r w:rsidRPr="00576DC7">
        <w:t xml:space="preserve">25 MYEFO are also reported, to provide a comprehensive update on </w:t>
      </w:r>
      <w:r w:rsidR="002B7528" w:rsidRPr="00576DC7">
        <w:t xml:space="preserve">net zero </w:t>
      </w:r>
      <w:r w:rsidRPr="00576DC7">
        <w:t>spending since the 2024</w:t>
      </w:r>
      <w:r w:rsidR="0062583F" w:rsidRPr="00576DC7">
        <w:t>–</w:t>
      </w:r>
      <w:r w:rsidRPr="00576DC7">
        <w:t xml:space="preserve">25 Budget. </w:t>
      </w:r>
    </w:p>
    <w:p w14:paraId="3AB7518B" w14:textId="2CB16251" w:rsidR="008677E3" w:rsidRPr="00576DC7" w:rsidRDefault="008677E3" w:rsidP="008677E3">
      <w:pPr>
        <w:spacing w:before="120" w:after="120" w:line="240" w:lineRule="auto"/>
      </w:pPr>
      <w:r w:rsidRPr="00576DC7">
        <w:t xml:space="preserve">Where policies </w:t>
      </w:r>
      <w:r w:rsidR="00563391" w:rsidRPr="00576DC7">
        <w:t>contribute to multiple net zero objectives</w:t>
      </w:r>
      <w:r w:rsidRPr="00576DC7">
        <w:t>,</w:t>
      </w:r>
      <w:r w:rsidR="00563391" w:rsidRPr="00576DC7">
        <w:t xml:space="preserve"> spending is classified into the most appropriate category based on its primary purpose. </w:t>
      </w:r>
      <w:r w:rsidRPr="00576DC7">
        <w:t>Policies that</w:t>
      </w:r>
      <w:r w:rsidR="00563391" w:rsidRPr="00576DC7">
        <w:t xml:space="preserve"> contribute indirectly to net zero objectives</w:t>
      </w:r>
      <w:r w:rsidRPr="00576DC7">
        <w:t xml:space="preserve"> are </w:t>
      </w:r>
      <w:r w:rsidR="00563391" w:rsidRPr="00576DC7">
        <w:t xml:space="preserve">not included in </w:t>
      </w:r>
      <w:r w:rsidRPr="00576DC7">
        <w:t xml:space="preserve">this classification approach. </w:t>
      </w:r>
    </w:p>
    <w:p w14:paraId="1144FF7E" w14:textId="77777777" w:rsidR="004C6114" w:rsidRPr="00576DC7" w:rsidRDefault="004C6114">
      <w:pPr>
        <w:spacing w:before="0" w:after="160" w:line="259" w:lineRule="auto"/>
      </w:pPr>
      <w:r w:rsidRPr="00576DC7">
        <w:br w:type="page"/>
      </w:r>
    </w:p>
    <w:p w14:paraId="25C022FB" w14:textId="07A99EFD" w:rsidR="008677E3" w:rsidRPr="00576DC7" w:rsidRDefault="008677E3" w:rsidP="008677E3">
      <w:r w:rsidRPr="00576DC7">
        <w:lastRenderedPageBreak/>
        <w:t>The 2025</w:t>
      </w:r>
      <w:r w:rsidR="0062583F" w:rsidRPr="00576DC7">
        <w:t>–</w:t>
      </w:r>
      <w:r w:rsidRPr="00576DC7">
        <w:t xml:space="preserve">26 Budget leverages established delivery vehicles, such as the Clean Energy Finance Corporation and Rewiring the Nation program, to invest in the next horizon of emissions reduction technologies and additional renewable energy capacity. Additional investments in these programs are included as new spending this Budget. The Government has also made significant new </w:t>
      </w:r>
      <w:r w:rsidR="008D7ED6" w:rsidRPr="00576DC7">
        <w:t xml:space="preserve">allocations </w:t>
      </w:r>
      <w:r w:rsidRPr="00576DC7">
        <w:t>from within existing funds, such as the $750 million for green metals, $500 million for clean energy technology manufacturing capabilities and $250 million for low carbon liquid fuels identified from the Future Made in Australia Innovation Fund. These are not included as new spending.</w:t>
      </w:r>
    </w:p>
    <w:p w14:paraId="570AB6B9" w14:textId="352485B6" w:rsidR="008677E3" w:rsidRPr="00576DC7" w:rsidRDefault="008677E3" w:rsidP="008677E3">
      <w:r w:rsidRPr="00576DC7">
        <w:t>This reporting framework maintains alignment with international best practice and recent budgets. It will continue to evolve over time as the Government works with and learns from reporting entities and partners around the world.</w:t>
      </w:r>
      <w:r w:rsidRPr="00C8308E">
        <w:t xml:space="preserve"> </w:t>
      </w:r>
      <w:r w:rsidRPr="00576DC7">
        <w:t>Australian Government green bonds have contributed to financing programs that support climate mitigation, climate adaptation and improved environmental outcomes.</w:t>
      </w:r>
    </w:p>
    <w:p w14:paraId="1F6CACE3" w14:textId="6209838B" w:rsidR="006B4F5C" w:rsidRDefault="008677E3" w:rsidP="00ED4C29">
      <w:pPr>
        <w:spacing w:before="120" w:after="120" w:line="240" w:lineRule="auto"/>
      </w:pPr>
      <w:r w:rsidRPr="00576DC7">
        <w:t>Reporting climate</w:t>
      </w:r>
      <w:r w:rsidR="00404C26">
        <w:noBreakHyphen/>
      </w:r>
      <w:r w:rsidRPr="00576DC7">
        <w:t>related spending categories as part of the budget process</w:t>
      </w:r>
      <w:r w:rsidRPr="00576DC7" w:rsidDel="00B9741F">
        <w:t xml:space="preserve"> </w:t>
      </w:r>
      <w:r w:rsidRPr="00576DC7">
        <w:t xml:space="preserve">is complementary to the reporting associated with </w:t>
      </w:r>
      <w:r w:rsidR="00563391" w:rsidRPr="00576DC7">
        <w:t xml:space="preserve">the </w:t>
      </w:r>
      <w:r w:rsidRPr="00576DC7">
        <w:t>issuance of green bonds (see Box 3.</w:t>
      </w:r>
      <w:r w:rsidR="002C2496" w:rsidRPr="00576DC7">
        <w:t>3</w:t>
      </w:r>
      <w:r w:rsidRPr="00576DC7">
        <w:t xml:space="preserve">). </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6B4F5C" w:rsidRPr="00C8308E" w14:paraId="08E3ADDF" w14:textId="77777777" w:rsidTr="00A85092">
        <w:trPr>
          <w:cantSplit/>
        </w:trPr>
        <w:tc>
          <w:tcPr>
            <w:tcW w:w="5000" w:type="pct"/>
            <w:shd w:val="clear" w:color="auto" w:fill="E6F2FF"/>
          </w:tcPr>
          <w:p w14:paraId="44D07520" w14:textId="3E29BB76" w:rsidR="007E39E7" w:rsidRPr="00576DC7" w:rsidRDefault="007E39E7" w:rsidP="00D15333">
            <w:pPr>
              <w:pStyle w:val="BoxHeading"/>
              <w:rPr>
                <w:b w:val="0"/>
              </w:rPr>
            </w:pPr>
            <w:r w:rsidRPr="00576DC7">
              <w:lastRenderedPageBreak/>
              <w:t>Box 3.</w:t>
            </w:r>
            <w:r w:rsidR="002C2496" w:rsidRPr="00576DC7">
              <w:t>3</w:t>
            </w:r>
            <w:r w:rsidRPr="00576DC7">
              <w:t>: Financing climate programs through green bonds</w:t>
            </w:r>
          </w:p>
          <w:p w14:paraId="0C2A2844" w14:textId="58AD45F5" w:rsidR="007E39E7" w:rsidRPr="00576DC7" w:rsidRDefault="007E39E7" w:rsidP="007E39E7">
            <w:pPr>
              <w:spacing w:before="120" w:after="120" w:line="240" w:lineRule="auto"/>
            </w:pPr>
            <w:r w:rsidRPr="00576DC7">
              <w:t>Green bonds help mobilise capital toward public projects to drive Australia</w:t>
            </w:r>
            <w:r w:rsidR="00404C26">
              <w:t>’</w:t>
            </w:r>
            <w:r w:rsidRPr="00576DC7">
              <w:t>s net</w:t>
            </w:r>
            <w:r w:rsidR="00B94C98" w:rsidRPr="00576DC7">
              <w:t> </w:t>
            </w:r>
            <w:r w:rsidRPr="00576DC7">
              <w:t>zero transformation and support Australia</w:t>
            </w:r>
            <w:r w:rsidR="00404C26">
              <w:t>’</w:t>
            </w:r>
            <w:r w:rsidRPr="00576DC7">
              <w:t xml:space="preserve">s environmental goals. </w:t>
            </w:r>
          </w:p>
          <w:p w14:paraId="485771CC" w14:textId="5D9AD068" w:rsidR="007E39E7" w:rsidRPr="00576DC7" w:rsidRDefault="007E39E7" w:rsidP="007E39E7">
            <w:pPr>
              <w:spacing w:before="120" w:after="120" w:line="240" w:lineRule="auto"/>
            </w:pPr>
            <w:r w:rsidRPr="00576DC7">
              <w:t>In June 2024, the Government issued the first Green Treasury Bond. The $7 billion issuance attracted strong demand with more than $22 billion in bids from 105</w:t>
            </w:r>
            <w:r w:rsidR="00B94C98" w:rsidRPr="00576DC7">
              <w:t> </w:t>
            </w:r>
            <w:r w:rsidRPr="00576DC7">
              <w:t>investor institutions, of which 17 were new to Australian Government syndicated issues.</w:t>
            </w:r>
            <w:r w:rsidR="00E7284A" w:rsidRPr="00576DC7">
              <w:t xml:space="preserve"> The Australian Office of </w:t>
            </w:r>
            <w:r w:rsidR="003445CE" w:rsidRPr="00576DC7">
              <w:t xml:space="preserve">Financial Management </w:t>
            </w:r>
            <w:r w:rsidR="00E7284A" w:rsidRPr="00576DC7">
              <w:t>and market participants estimated a green premium of approximately 2 basis points f</w:t>
            </w:r>
            <w:r w:rsidR="003445CE" w:rsidRPr="00576DC7">
              <w:t xml:space="preserve">rom the inaugural issuance. </w:t>
            </w:r>
          </w:p>
          <w:p w14:paraId="5DB588AF" w14:textId="63087969" w:rsidR="007E39E7" w:rsidRPr="00576DC7" w:rsidRDefault="007E39E7" w:rsidP="007E39E7">
            <w:pPr>
              <w:spacing w:before="120" w:after="120" w:line="240" w:lineRule="auto"/>
            </w:pPr>
            <w:r w:rsidRPr="00576DC7">
              <w:t>The Treasury released the first Green Treasury Bond Allocation and Impact Report in February 2025. This report presents allocation data for eligible projects financed by green bonds in 2022</w:t>
            </w:r>
            <w:r w:rsidR="00CC4FC7" w:rsidRPr="00576DC7">
              <w:t>–</w:t>
            </w:r>
            <w:r w:rsidRPr="00576DC7">
              <w:t>23 and 2023</w:t>
            </w:r>
            <w:r w:rsidR="00CC4FC7" w:rsidRPr="00576DC7">
              <w:t>–</w:t>
            </w:r>
            <w:r w:rsidRPr="00576DC7">
              <w:t>24, and the climate and environmental impact of these projects. Green bonds reporting represents a new type of disclosure and increases transparency for the Government</w:t>
            </w:r>
            <w:r w:rsidR="00404C26">
              <w:t>’</w:t>
            </w:r>
            <w:r w:rsidRPr="00576DC7">
              <w:t>s climate and environmental programs.</w:t>
            </w:r>
          </w:p>
          <w:p w14:paraId="184978CB" w14:textId="0AB4B68E" w:rsidR="007E39E7" w:rsidRPr="00576DC7" w:rsidRDefault="007E39E7" w:rsidP="007E39E7">
            <w:pPr>
              <w:spacing w:before="120" w:after="120" w:line="240" w:lineRule="auto"/>
            </w:pPr>
            <w:r w:rsidRPr="00576DC7">
              <w:t xml:space="preserve">Of the $7.0 billion raised, $2.5 billion has been allocated to eligible projects in </w:t>
            </w:r>
            <w:r w:rsidR="002E0F4C">
              <w:br/>
            </w:r>
            <w:r w:rsidRPr="00576DC7">
              <w:t>2022</w:t>
            </w:r>
            <w:r w:rsidR="00CC4FC7" w:rsidRPr="00576DC7">
              <w:t>–</w:t>
            </w:r>
            <w:r w:rsidRPr="00576DC7">
              <w:t>23, and $2.9 billion has been allocated to eligible projects in 2023</w:t>
            </w:r>
            <w:r w:rsidR="00CC4FC7" w:rsidRPr="00576DC7">
              <w:t>–</w:t>
            </w:r>
            <w:r w:rsidRPr="00576DC7">
              <w:t>24. The remaining $1.6 billion will be allocated to eligible projects in future years (Chart</w:t>
            </w:r>
            <w:r w:rsidR="00B94C98" w:rsidRPr="00576DC7">
              <w:t> </w:t>
            </w:r>
            <w:r w:rsidRPr="00576DC7">
              <w:t>3.</w:t>
            </w:r>
            <w:r w:rsidR="00D92B66" w:rsidRPr="00576DC7">
              <w:t>1</w:t>
            </w:r>
            <w:r w:rsidR="00B76996" w:rsidRPr="00576DC7">
              <w:t>1</w:t>
            </w:r>
            <w:r w:rsidRPr="00576DC7">
              <w:t>).</w:t>
            </w:r>
          </w:p>
          <w:p w14:paraId="55ABC7B4" w14:textId="3804E2E1" w:rsidR="007E39E7" w:rsidRPr="00576DC7" w:rsidRDefault="007E39E7" w:rsidP="007E39E7">
            <w:pPr>
              <w:spacing w:before="120" w:after="120" w:line="240" w:lineRule="auto"/>
            </w:pPr>
            <w:r w:rsidRPr="00576DC7">
              <w:t xml:space="preserve">Government programs financed through green bonds </w:t>
            </w:r>
            <w:r w:rsidR="00256F1E" w:rsidRPr="00576DC7">
              <w:t xml:space="preserve">deliver </w:t>
            </w:r>
            <w:r w:rsidR="00D8366D" w:rsidRPr="00576DC7">
              <w:t>electric vehicle</w:t>
            </w:r>
            <w:r w:rsidR="00256F1E" w:rsidRPr="00576DC7">
              <w:t xml:space="preserve"> chargers through the Driving the Nation</w:t>
            </w:r>
            <w:r w:rsidRPr="00576DC7">
              <w:t xml:space="preserve"> Fund</w:t>
            </w:r>
            <w:r w:rsidR="00256F1E" w:rsidRPr="00576DC7">
              <w:t xml:space="preserve">, </w:t>
            </w:r>
            <w:r w:rsidR="004C09F0" w:rsidRPr="00576DC7">
              <w:t xml:space="preserve">support climate change </w:t>
            </w:r>
            <w:r w:rsidR="000A0268" w:rsidRPr="00576DC7">
              <w:t>action in the Indo</w:t>
            </w:r>
            <w:r w:rsidR="00404C26">
              <w:noBreakHyphen/>
            </w:r>
            <w:r w:rsidR="000A0268" w:rsidRPr="00576DC7">
              <w:t xml:space="preserve">Pacific region </w:t>
            </w:r>
            <w:r w:rsidR="00A56414" w:rsidRPr="00576DC7">
              <w:t>and protect the Great Barrier Reef</w:t>
            </w:r>
            <w:r w:rsidR="00E40C0F" w:rsidRPr="00576DC7">
              <w:t xml:space="preserve"> </w:t>
            </w:r>
            <w:r w:rsidRPr="00576DC7">
              <w:t>(Chart 3.</w:t>
            </w:r>
            <w:r w:rsidR="00E1504A" w:rsidRPr="00576DC7">
              <w:t>1</w:t>
            </w:r>
            <w:r w:rsidR="00B76996" w:rsidRPr="00576DC7">
              <w:t>2</w:t>
            </w:r>
            <w:r w:rsidRPr="00576DC7">
              <w:t xml:space="preserve">). </w:t>
            </w:r>
            <w:r w:rsidR="00D62571" w:rsidRPr="00576DC7">
              <w:t>Green Treasury Bond proceeds</w:t>
            </w:r>
            <w:r w:rsidRPr="00576DC7">
              <w:t xml:space="preserve"> have contributed to a range of climate and environmental impacts, including:</w:t>
            </w:r>
          </w:p>
          <w:p w14:paraId="3A193AEE" w14:textId="38946C67" w:rsidR="007E39E7" w:rsidRPr="00576DC7" w:rsidRDefault="007E39E7" w:rsidP="00A864AF">
            <w:pPr>
              <w:pStyle w:val="BoxBullet"/>
            </w:pPr>
            <w:r w:rsidRPr="00576DC7">
              <w:t>4,600</w:t>
            </w:r>
            <w:r w:rsidR="00B70FEA" w:rsidRPr="00576DC7">
              <w:t xml:space="preserve"> </w:t>
            </w:r>
            <w:r w:rsidRPr="00576DC7">
              <w:t>GWh of expected renewable energy generation;</w:t>
            </w:r>
          </w:p>
          <w:p w14:paraId="74F67D92" w14:textId="3A4D1419" w:rsidR="007E39E7" w:rsidRPr="00576DC7" w:rsidRDefault="007E39E7" w:rsidP="00A864AF">
            <w:pPr>
              <w:pStyle w:val="BoxBullet"/>
            </w:pPr>
            <w:r w:rsidRPr="00576DC7">
              <w:t>103.4</w:t>
            </w:r>
            <w:r w:rsidR="00B70FEA" w:rsidRPr="00576DC7">
              <w:t xml:space="preserve"> </w:t>
            </w:r>
            <w:r w:rsidRPr="00576DC7">
              <w:t>km of electric rail track built or upgraded;</w:t>
            </w:r>
          </w:p>
          <w:p w14:paraId="2F3C4453" w14:textId="6CBD887B" w:rsidR="007E39E7" w:rsidRDefault="007E39E7" w:rsidP="00A864AF">
            <w:pPr>
              <w:pStyle w:val="BoxBullet"/>
            </w:pPr>
            <w:r w:rsidRPr="00576DC7">
              <w:t>5,564 hectares of koala habitat improved and managed.</w:t>
            </w:r>
            <w:r w:rsidR="00165584" w:rsidRPr="00576DC7">
              <w:t xml:space="preserve"> </w:t>
            </w:r>
          </w:p>
          <w:p w14:paraId="2E2059B6" w14:textId="530DF257" w:rsidR="007E39E7" w:rsidRPr="00637480" w:rsidRDefault="00E85A3E" w:rsidP="00F22922">
            <w:pPr>
              <w:pStyle w:val="Box-continuedon"/>
              <w:rPr>
                <w:rFonts w:eastAsiaTheme="minorEastAsia"/>
              </w:rPr>
            </w:pPr>
            <w:proofErr w:type="gramStart"/>
            <w:r>
              <w:rPr>
                <w:rFonts w:eastAsiaTheme="minorEastAsia"/>
              </w:rPr>
              <w:t>c</w:t>
            </w:r>
            <w:r w:rsidR="00F22922">
              <w:rPr>
                <w:rFonts w:eastAsiaTheme="minorEastAsia"/>
              </w:rPr>
              <w:t>ontinued on</w:t>
            </w:r>
            <w:proofErr w:type="gramEnd"/>
            <w:r w:rsidR="00F22922">
              <w:rPr>
                <w:rFonts w:eastAsiaTheme="minorEastAsia"/>
              </w:rPr>
              <w:t xml:space="preserve"> next page</w:t>
            </w:r>
          </w:p>
        </w:tc>
      </w:tr>
    </w:tbl>
    <w:p w14:paraId="3CDA1529" w14:textId="77777777" w:rsidR="002435A6" w:rsidRDefault="002435A6" w:rsidP="00E85A3E">
      <w:pPr>
        <w:rPr>
          <w:rFonts w:eastAsiaTheme="minorEastAsia"/>
        </w:rPr>
      </w:pP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2435A6" w14:paraId="3C59D3D8" w14:textId="77777777" w:rsidTr="007913DD">
        <w:trPr>
          <w:cantSplit/>
        </w:trPr>
        <w:tc>
          <w:tcPr>
            <w:tcW w:w="5000" w:type="pct"/>
            <w:shd w:val="clear" w:color="auto" w:fill="E6F2FF"/>
          </w:tcPr>
          <w:p w14:paraId="0786E859" w14:textId="65C5B4FF" w:rsidR="002435A6" w:rsidRDefault="002435A6" w:rsidP="00E85A3E">
            <w:pPr>
              <w:pStyle w:val="BoxHeading"/>
              <w:rPr>
                <w:rStyle w:val="BoxHeading-Continued"/>
              </w:rPr>
            </w:pPr>
            <w:r w:rsidRPr="00576DC7">
              <w:lastRenderedPageBreak/>
              <w:t xml:space="preserve">Box 3.3: Financing climate programs through green bonds </w:t>
            </w:r>
            <w:r w:rsidRPr="00576DC7">
              <w:rPr>
                <w:rStyle w:val="BoxHeading-Continued"/>
              </w:rPr>
              <w:t>(continued)</w:t>
            </w:r>
          </w:p>
          <w:tbl>
            <w:tblPr>
              <w:tblW w:w="5000" w:type="pct"/>
              <w:tblLayout w:type="fixed"/>
              <w:tblCellMar>
                <w:left w:w="0" w:type="dxa"/>
                <w:right w:w="0" w:type="dxa"/>
              </w:tblCellMar>
              <w:tblLook w:val="0000" w:firstRow="0" w:lastRow="0" w:firstColumn="0" w:lastColumn="0" w:noHBand="0" w:noVBand="0"/>
            </w:tblPr>
            <w:tblGrid>
              <w:gridCol w:w="3571"/>
              <w:gridCol w:w="3571"/>
            </w:tblGrid>
            <w:tr w:rsidR="000867FA" w14:paraId="3191188E" w14:textId="77777777" w:rsidTr="009979BD">
              <w:trPr>
                <w:cantSplit/>
              </w:trPr>
              <w:tc>
                <w:tcPr>
                  <w:tcW w:w="3571" w:type="dxa"/>
                </w:tcPr>
                <w:p w14:paraId="172B5AF6" w14:textId="6491B880" w:rsidR="000867FA" w:rsidRDefault="00FF64E8" w:rsidP="00BA765E">
                  <w:pPr>
                    <w:pStyle w:val="ChartMainHeading"/>
                  </w:pPr>
                  <w:r>
                    <w:t>C</w:t>
                  </w:r>
                  <w:r w:rsidRPr="00576DC7">
                    <w:t>hart 3.11: Allocation of green bond proceeds by financial years</w:t>
                  </w:r>
                </w:p>
              </w:tc>
              <w:tc>
                <w:tcPr>
                  <w:tcW w:w="3571" w:type="dxa"/>
                </w:tcPr>
                <w:p w14:paraId="754D4D08" w14:textId="7108FE10" w:rsidR="000867FA" w:rsidRDefault="00FF64E8" w:rsidP="00BA765E">
                  <w:pPr>
                    <w:pStyle w:val="ChartMainHeading"/>
                  </w:pPr>
                  <w:r w:rsidRPr="00576DC7">
                    <w:t>Chart 3.12: Allocation of proceeds by green bond categories</w:t>
                  </w:r>
                </w:p>
              </w:tc>
            </w:tr>
            <w:tr w:rsidR="000867FA" w14:paraId="634C0701" w14:textId="77777777" w:rsidTr="00A46A9C">
              <w:trPr>
                <w:cantSplit/>
              </w:trPr>
              <w:tc>
                <w:tcPr>
                  <w:tcW w:w="3571" w:type="dxa"/>
                </w:tcPr>
                <w:p w14:paraId="2667C1C0" w14:textId="73A42B55" w:rsidR="000867FA" w:rsidRDefault="00000000" w:rsidP="00BA765E">
                  <w:pPr>
                    <w:pStyle w:val="ChartSecondHeading"/>
                  </w:pPr>
                  <w:bookmarkStart w:id="145" w:name="_1804106131"/>
                  <w:bookmarkEnd w:id="145"/>
                  <w:r>
                    <w:pict w14:anchorId="542D946E">
                      <v:shape id="_x0000_i1035" type="#_x0000_t75" alt="This chart shows the allocation of green bonds proceeds by expenditure year. $2.5 billion has been allocated to eligible projects in 2022 23, and $2.9 billion has been allocated to eligible projects in 2023 24. The remaining $1.6 billion will be allocated to eligible projects in future years." style="width:179.25pt;height:180pt">
                        <v:imagedata r:id="rId29" o:title=""/>
                      </v:shape>
                    </w:pict>
                  </w:r>
                </w:p>
              </w:tc>
              <w:tc>
                <w:tcPr>
                  <w:tcW w:w="3571" w:type="dxa"/>
                </w:tcPr>
                <w:p w14:paraId="7580A522" w14:textId="3ABAD4F9" w:rsidR="000867FA" w:rsidRDefault="00000000" w:rsidP="00BA765E">
                  <w:pPr>
                    <w:pStyle w:val="ChartSecondHeading"/>
                  </w:pPr>
                  <w:bookmarkStart w:id="146" w:name="_1804106133"/>
                  <w:bookmarkEnd w:id="146"/>
                  <w:r>
                    <w:rPr>
                      <w:noProof/>
                    </w:rPr>
                    <w:pict w14:anchorId="0CF1FE70">
                      <v:shape id="_x0000_i1036" type="#_x0000_t75" alt="This chart shows the allocation of green bonds proceeds by green bond categories. $0.2 billion was allocated to projects supporting climate change adaptation, $1.0 billlion was allocated to projects supporting improved environmental outcomes and $4.2 billion was allocated to projects supporting climate change mitigation. " style="width:179.25pt;height:171.75pt">
                        <v:imagedata r:id="rId30" o:title=""/>
                      </v:shape>
                    </w:pict>
                  </w:r>
                </w:p>
              </w:tc>
            </w:tr>
            <w:tr w:rsidR="00C04AEE" w14:paraId="6136B8CC" w14:textId="77777777" w:rsidTr="00C04AEE">
              <w:trPr>
                <w:cantSplit/>
              </w:trPr>
              <w:tc>
                <w:tcPr>
                  <w:tcW w:w="3571" w:type="dxa"/>
                </w:tcPr>
                <w:p w14:paraId="22F81A01" w14:textId="09B7D820" w:rsidR="00C04AEE" w:rsidRPr="00576DC7" w:rsidRDefault="00C04AEE" w:rsidP="00BA765E">
                  <w:pPr>
                    <w:pStyle w:val="ChartSecondHeading"/>
                  </w:pPr>
                  <w:r w:rsidRPr="00576DC7">
                    <w:rPr>
                      <w:sz w:val="16"/>
                      <w:szCs w:val="16"/>
                    </w:rPr>
                    <w:t>Source:</w:t>
                  </w:r>
                  <w:r w:rsidRPr="00576DC7">
                    <w:rPr>
                      <w:sz w:val="16"/>
                      <w:szCs w:val="16"/>
                    </w:rPr>
                    <w:tab/>
                    <w:t xml:space="preserve"> Treasury</w:t>
                  </w:r>
                </w:p>
              </w:tc>
              <w:tc>
                <w:tcPr>
                  <w:tcW w:w="3571" w:type="dxa"/>
                </w:tcPr>
                <w:p w14:paraId="230A67A4" w14:textId="41158806" w:rsidR="00C04AEE" w:rsidRPr="00576DC7" w:rsidRDefault="00284CC7" w:rsidP="00BA765E">
                  <w:pPr>
                    <w:pStyle w:val="ChartSecondHeading"/>
                    <w:rPr>
                      <w:noProof/>
                    </w:rPr>
                  </w:pPr>
                  <w:r w:rsidRPr="00576DC7">
                    <w:rPr>
                      <w:sz w:val="16"/>
                      <w:szCs w:val="16"/>
                    </w:rPr>
                    <w:t>Source:</w:t>
                  </w:r>
                  <w:r w:rsidRPr="00576DC7">
                    <w:rPr>
                      <w:sz w:val="16"/>
                      <w:szCs w:val="16"/>
                    </w:rPr>
                    <w:tab/>
                    <w:t xml:space="preserve"> Treasury</w:t>
                  </w:r>
                </w:p>
              </w:tc>
            </w:tr>
          </w:tbl>
          <w:p w14:paraId="6D3599CA" w14:textId="4AEDDAB6" w:rsidR="00935EC4" w:rsidRPr="00B2673D" w:rsidRDefault="00A46A9C" w:rsidP="004701E1">
            <w:pPr>
              <w:pStyle w:val="ChartLine"/>
            </w:pPr>
            <w:r>
              <w:br/>
            </w:r>
          </w:p>
        </w:tc>
      </w:tr>
    </w:tbl>
    <w:p w14:paraId="02DC2D64" w14:textId="53DD2448" w:rsidR="00B2621F" w:rsidRPr="00A06385" w:rsidRDefault="00B2621F" w:rsidP="00A06385">
      <w:pPr>
        <w:pStyle w:val="Heading3"/>
      </w:pPr>
      <w:bookmarkStart w:id="147" w:name="_Toc164773501"/>
      <w:bookmarkStart w:id="148" w:name="_Toc192420149"/>
      <w:bookmarkStart w:id="149" w:name="_Toc193537062"/>
      <w:bookmarkEnd w:id="141"/>
      <w:bookmarkEnd w:id="142"/>
      <w:bookmarkEnd w:id="143"/>
      <w:r w:rsidRPr="00A06385">
        <w:t>New net zero spending measures</w:t>
      </w:r>
      <w:bookmarkEnd w:id="147"/>
      <w:bookmarkEnd w:id="148"/>
      <w:bookmarkEnd w:id="149"/>
    </w:p>
    <w:p w14:paraId="393AE208" w14:textId="1682DE20" w:rsidR="005E3F13" w:rsidRPr="00576DC7" w:rsidRDefault="00B2621F" w:rsidP="00B2621F">
      <w:r w:rsidRPr="00576DC7">
        <w:t>Table 3.</w:t>
      </w:r>
      <w:r w:rsidR="00446D50" w:rsidRPr="00576DC7">
        <w:t>6</w:t>
      </w:r>
      <w:r w:rsidRPr="00576DC7">
        <w:t xml:space="preserve"> sets out </w:t>
      </w:r>
      <w:r w:rsidR="00194618" w:rsidRPr="00576DC7">
        <w:t xml:space="preserve">$4.3 billion </w:t>
      </w:r>
      <w:r w:rsidRPr="00576DC7">
        <w:t>in</w:t>
      </w:r>
      <w:r w:rsidR="003F0852" w:rsidRPr="00576DC7">
        <w:t xml:space="preserve"> </w:t>
      </w:r>
      <w:r w:rsidR="00715A86" w:rsidRPr="00576DC7">
        <w:t>new</w:t>
      </w:r>
      <w:r w:rsidRPr="00576DC7">
        <w:t xml:space="preserve"> net zero spending commitments over the forward estimates period and </w:t>
      </w:r>
      <w:r w:rsidR="00194618" w:rsidRPr="00576DC7">
        <w:t xml:space="preserve">$6.9 billion </w:t>
      </w:r>
      <w:r w:rsidRPr="00576DC7">
        <w:t>over the medium term</w:t>
      </w:r>
      <w:r w:rsidR="00671A5D" w:rsidRPr="00576DC7">
        <w:t>, across 2024</w:t>
      </w:r>
      <w:r w:rsidR="00CE222F" w:rsidRPr="00576DC7">
        <w:t>–</w:t>
      </w:r>
      <w:r w:rsidR="00671A5D" w:rsidRPr="00576DC7">
        <w:t xml:space="preserve">25 </w:t>
      </w:r>
      <w:r w:rsidR="00C90C09" w:rsidRPr="00576DC7">
        <w:t xml:space="preserve">MYEFO </w:t>
      </w:r>
      <w:r w:rsidR="00671A5D" w:rsidRPr="00576DC7">
        <w:t>and this Budget.</w:t>
      </w:r>
      <w:r w:rsidRPr="00576DC7">
        <w:t xml:space="preserve"> </w:t>
      </w:r>
      <w:r w:rsidR="005E3F13" w:rsidRPr="00576DC7">
        <w:t xml:space="preserve">This </w:t>
      </w:r>
      <w:r w:rsidR="00CA4F4E" w:rsidRPr="00576DC7">
        <w:t>follows</w:t>
      </w:r>
      <w:r w:rsidR="005E3F13" w:rsidRPr="00576DC7">
        <w:t xml:space="preserve"> net zero spending </w:t>
      </w:r>
      <w:r w:rsidR="009C7F19" w:rsidRPr="00576DC7">
        <w:t xml:space="preserve">commitments </w:t>
      </w:r>
      <w:r w:rsidR="005E3F13" w:rsidRPr="00576DC7">
        <w:t xml:space="preserve">of </w:t>
      </w:r>
      <w:r w:rsidR="0039688B" w:rsidRPr="00576DC7">
        <w:t>$24.3</w:t>
      </w:r>
      <w:r w:rsidR="00235210" w:rsidRPr="00576DC7">
        <w:t> </w:t>
      </w:r>
      <w:r w:rsidR="0039688B" w:rsidRPr="00576DC7">
        <w:t xml:space="preserve">billion </w:t>
      </w:r>
      <w:r w:rsidR="002C011C" w:rsidRPr="00576DC7">
        <w:t xml:space="preserve">(over the medium term) </w:t>
      </w:r>
      <w:r w:rsidR="0039688B" w:rsidRPr="00576DC7">
        <w:t xml:space="preserve">in the </w:t>
      </w:r>
      <w:r w:rsidR="002C011C" w:rsidRPr="00576DC7">
        <w:t>2024</w:t>
      </w:r>
      <w:r w:rsidR="00F91CAA" w:rsidRPr="00576DC7">
        <w:t>–</w:t>
      </w:r>
      <w:r w:rsidR="002C011C" w:rsidRPr="00576DC7">
        <w:t>25 Budget,</w:t>
      </w:r>
      <w:r w:rsidR="005E3F13" w:rsidRPr="00576DC7">
        <w:t xml:space="preserve"> climate</w:t>
      </w:r>
      <w:r w:rsidR="00404C26">
        <w:noBreakHyphen/>
      </w:r>
      <w:r w:rsidR="005E3F13" w:rsidRPr="00576DC7">
        <w:t>related spending of $4.6</w:t>
      </w:r>
      <w:r w:rsidR="00235210" w:rsidRPr="00576DC7">
        <w:t> </w:t>
      </w:r>
      <w:r w:rsidR="005E3F13" w:rsidRPr="00576DC7">
        <w:t>billion (to 2030) committed in the 2023–24 Budget and the $24.9</w:t>
      </w:r>
      <w:r w:rsidR="004E54DE" w:rsidRPr="00576DC7">
        <w:t> </w:t>
      </w:r>
      <w:r w:rsidR="005E3F13" w:rsidRPr="00576DC7">
        <w:t>billion (to 2030) committed in the 2022–23 October Budget.</w:t>
      </w:r>
    </w:p>
    <w:p w14:paraId="22FE1CB5" w14:textId="77777777" w:rsidR="00B2621F" w:rsidRPr="00576DC7" w:rsidRDefault="00B2621F" w:rsidP="00B2621F">
      <w:r w:rsidRPr="00576DC7">
        <w:t xml:space="preserve">Classification of spending is informed by the net zero spending framework. The total commitment includes spending, balance sheet and tax expenditure measures and therefore presents a broader view than the impact on the underlying cash balance. </w:t>
      </w:r>
    </w:p>
    <w:p w14:paraId="6884662B" w14:textId="3A39BB8F" w:rsidR="00374DA6" w:rsidRPr="00712254" w:rsidRDefault="00B2621F" w:rsidP="00B2621F">
      <w:r w:rsidRPr="00576DC7">
        <w:t xml:space="preserve">Reporting new net zero spending measures supports transparency around the fiscal impacts of climate change and the net zero transformation. However, it does not provide a complete summary of climate action. Only measures that entail funding commitments or </w:t>
      </w:r>
      <w:r w:rsidR="00194618" w:rsidRPr="00576DC7">
        <w:t>forgone</w:t>
      </w:r>
      <w:r w:rsidRPr="00576DC7">
        <w:t xml:space="preserve"> revenue (such as tax concessions) are captured</w:t>
      </w:r>
      <w:r w:rsidR="00C3393D" w:rsidRPr="00576DC7">
        <w:t xml:space="preserve">. </w:t>
      </w:r>
      <w:r w:rsidRPr="00712254">
        <w:br w:type="page"/>
      </w:r>
    </w:p>
    <w:p w14:paraId="36486BD5" w14:textId="2AEBFC45" w:rsidR="00374DA6" w:rsidRPr="00576DC7" w:rsidRDefault="00B2621F" w:rsidP="0064604E">
      <w:pPr>
        <w:pStyle w:val="TableHeading"/>
      </w:pPr>
      <w:r w:rsidRPr="00576DC7">
        <w:lastRenderedPageBreak/>
        <w:t>Table 3.</w:t>
      </w:r>
      <w:r w:rsidR="00446D50" w:rsidRPr="00576DC7">
        <w:t>6</w:t>
      </w:r>
      <w:r w:rsidR="00B41E0C" w:rsidRPr="00576DC7">
        <w:t>:</w:t>
      </w:r>
      <w:r w:rsidRPr="00576DC7">
        <w:t xml:space="preserve"> New measures</w:t>
      </w:r>
    </w:p>
    <w:tbl>
      <w:tblPr>
        <w:tblW w:w="7811" w:type="dxa"/>
        <w:tblInd w:w="-14" w:type="dxa"/>
        <w:tblCellMar>
          <w:top w:w="28" w:type="dxa"/>
          <w:left w:w="0" w:type="dxa"/>
          <w:bottom w:w="28" w:type="dxa"/>
          <w:right w:w="28" w:type="dxa"/>
        </w:tblCellMar>
        <w:tblLook w:val="04A0" w:firstRow="1" w:lastRow="0" w:firstColumn="1" w:lastColumn="0" w:noHBand="0" w:noVBand="1"/>
      </w:tblPr>
      <w:tblGrid>
        <w:gridCol w:w="14"/>
        <w:gridCol w:w="4770"/>
        <w:gridCol w:w="1519"/>
        <w:gridCol w:w="1508"/>
      </w:tblGrid>
      <w:tr w:rsidR="00965641" w:rsidRPr="00C05BED" w14:paraId="183D43EF" w14:textId="77777777" w:rsidTr="009358CA">
        <w:trPr>
          <w:gridBefore w:val="1"/>
          <w:wBefore w:w="14" w:type="dxa"/>
          <w:trHeight w:val="645"/>
        </w:trPr>
        <w:tc>
          <w:tcPr>
            <w:tcW w:w="4770" w:type="dxa"/>
            <w:tcBorders>
              <w:top w:val="single" w:sz="4" w:space="0" w:color="293F5B"/>
              <w:left w:val="nil"/>
              <w:bottom w:val="single" w:sz="4" w:space="0" w:color="293F5B"/>
              <w:right w:val="nil"/>
            </w:tcBorders>
            <w:shd w:val="clear" w:color="auto" w:fill="auto"/>
            <w:vAlign w:val="center"/>
            <w:hideMark/>
          </w:tcPr>
          <w:p w14:paraId="2BFD84FA" w14:textId="77777777" w:rsidR="00876F6D" w:rsidRPr="00C05BED" w:rsidRDefault="00876F6D">
            <w:pPr>
              <w:spacing w:before="0" w:after="0" w:line="240" w:lineRule="auto"/>
              <w:rPr>
                <w:rFonts w:asciiTheme="majorHAnsi" w:hAnsiTheme="majorHAnsi" w:cstheme="majorHAnsi"/>
                <w:b/>
                <w:color w:val="00FFFF"/>
                <w:sz w:val="16"/>
                <w:szCs w:val="16"/>
                <w:highlight w:val="darkMagenta"/>
              </w:rPr>
            </w:pPr>
            <w:r w:rsidRPr="00576DC7">
              <w:rPr>
                <w:rFonts w:asciiTheme="majorHAnsi" w:hAnsiTheme="majorHAnsi" w:cstheme="majorHAnsi"/>
                <w:b/>
                <w:sz w:val="16"/>
                <w:szCs w:val="16"/>
              </w:rPr>
              <w:t>Total*</w:t>
            </w:r>
          </w:p>
        </w:tc>
        <w:tc>
          <w:tcPr>
            <w:tcW w:w="1519" w:type="dxa"/>
            <w:tcBorders>
              <w:top w:val="single" w:sz="4" w:space="0" w:color="293F5B"/>
              <w:left w:val="nil"/>
              <w:bottom w:val="single" w:sz="4" w:space="0" w:color="293F5B"/>
              <w:right w:val="nil"/>
            </w:tcBorders>
            <w:shd w:val="clear" w:color="auto" w:fill="auto"/>
            <w:vAlign w:val="center"/>
            <w:hideMark/>
          </w:tcPr>
          <w:p w14:paraId="37E33347" w14:textId="77777777" w:rsidR="00876F6D" w:rsidRPr="00C05BED" w:rsidRDefault="00876F6D">
            <w:pPr>
              <w:spacing w:before="0" w:after="0" w:line="240" w:lineRule="auto"/>
              <w:jc w:val="right"/>
              <w:rPr>
                <w:rFonts w:asciiTheme="majorHAnsi" w:hAnsiTheme="majorHAnsi" w:cstheme="majorHAnsi"/>
                <w:b/>
                <w:color w:val="00FFFF"/>
                <w:sz w:val="16"/>
                <w:szCs w:val="16"/>
                <w:highlight w:val="darkMagenta"/>
              </w:rPr>
            </w:pPr>
            <w:r w:rsidRPr="00576DC7">
              <w:rPr>
                <w:rFonts w:asciiTheme="majorHAnsi" w:hAnsiTheme="majorHAnsi" w:cstheme="majorHAnsi"/>
                <w:b/>
                <w:sz w:val="16"/>
                <w:szCs w:val="16"/>
              </w:rPr>
              <w:t xml:space="preserve">Forward Estimates </w:t>
            </w:r>
            <w:r w:rsidRPr="00576DC7">
              <w:rPr>
                <w:rFonts w:asciiTheme="majorHAnsi" w:hAnsiTheme="majorHAnsi" w:cstheme="majorHAnsi"/>
                <w:b/>
                <w:sz w:val="16"/>
                <w:szCs w:val="16"/>
              </w:rPr>
              <w:br/>
              <w:t>($m)</w:t>
            </w:r>
          </w:p>
        </w:tc>
        <w:tc>
          <w:tcPr>
            <w:tcW w:w="1508" w:type="dxa"/>
            <w:tcBorders>
              <w:top w:val="single" w:sz="4" w:space="0" w:color="293F5B"/>
              <w:left w:val="nil"/>
              <w:bottom w:val="single" w:sz="4" w:space="0" w:color="293F5B"/>
              <w:right w:val="nil"/>
            </w:tcBorders>
            <w:shd w:val="clear" w:color="auto" w:fill="auto"/>
            <w:vAlign w:val="center"/>
            <w:hideMark/>
          </w:tcPr>
          <w:p w14:paraId="2232F712" w14:textId="77777777" w:rsidR="00876F6D" w:rsidRPr="00576DC7" w:rsidRDefault="00876F6D">
            <w:pPr>
              <w:spacing w:before="0" w:after="0" w:line="240" w:lineRule="auto"/>
              <w:jc w:val="right"/>
              <w:rPr>
                <w:rFonts w:asciiTheme="majorHAnsi" w:hAnsiTheme="majorHAnsi" w:cstheme="majorHAnsi"/>
                <w:b/>
                <w:sz w:val="16"/>
                <w:szCs w:val="16"/>
              </w:rPr>
            </w:pPr>
            <w:r w:rsidRPr="00576DC7">
              <w:rPr>
                <w:rFonts w:asciiTheme="majorHAnsi" w:hAnsiTheme="majorHAnsi" w:cstheme="majorHAnsi"/>
                <w:b/>
                <w:sz w:val="16"/>
                <w:szCs w:val="16"/>
              </w:rPr>
              <w:t xml:space="preserve">Medium Term </w:t>
            </w:r>
            <w:r w:rsidRPr="00576DC7">
              <w:rPr>
                <w:rFonts w:asciiTheme="majorHAnsi" w:hAnsiTheme="majorHAnsi" w:cstheme="majorHAnsi"/>
                <w:b/>
                <w:sz w:val="16"/>
                <w:szCs w:val="16"/>
              </w:rPr>
              <w:br/>
              <w:t>($m)</w:t>
            </w:r>
          </w:p>
        </w:tc>
      </w:tr>
      <w:tr w:rsidR="0059642F" w:rsidRPr="00C05BED" w14:paraId="15CCF475" w14:textId="77777777" w:rsidTr="009358CA">
        <w:trPr>
          <w:gridBefore w:val="1"/>
          <w:wBefore w:w="14" w:type="dxa"/>
          <w:trHeight w:val="350"/>
        </w:trPr>
        <w:tc>
          <w:tcPr>
            <w:tcW w:w="4770" w:type="dxa"/>
            <w:tcBorders>
              <w:top w:val="single" w:sz="4" w:space="0" w:color="293F5B"/>
              <w:left w:val="nil"/>
              <w:bottom w:val="single" w:sz="4" w:space="0" w:color="293F5B"/>
              <w:right w:val="nil"/>
            </w:tcBorders>
            <w:shd w:val="clear" w:color="auto" w:fill="E6F2FF"/>
            <w:vAlign w:val="center"/>
            <w:hideMark/>
          </w:tcPr>
          <w:p w14:paraId="0163EBDD" w14:textId="7CCB75EC" w:rsidR="00876F6D" w:rsidRPr="00C05BED" w:rsidRDefault="00876F6D">
            <w:pPr>
              <w:spacing w:before="0" w:after="0" w:line="240" w:lineRule="auto"/>
              <w:rPr>
                <w:rFonts w:asciiTheme="majorHAnsi" w:hAnsiTheme="majorHAnsi" w:cstheme="majorHAnsi"/>
                <w:b/>
                <w:color w:val="00FFFF"/>
                <w:sz w:val="16"/>
                <w:szCs w:val="16"/>
                <w:highlight w:val="darkMagenta"/>
              </w:rPr>
            </w:pPr>
            <w:r w:rsidRPr="00576DC7">
              <w:rPr>
                <w:rFonts w:asciiTheme="majorHAnsi" w:hAnsiTheme="majorHAnsi" w:cstheme="majorHAnsi"/>
                <w:b/>
                <w:sz w:val="16"/>
                <w:szCs w:val="16"/>
              </w:rPr>
              <w:t>Reducing Emissions in Australia</w:t>
            </w:r>
            <w:r w:rsidR="00404C26">
              <w:rPr>
                <w:rFonts w:asciiTheme="majorHAnsi" w:hAnsiTheme="majorHAnsi" w:cstheme="majorHAnsi"/>
                <w:b/>
                <w:sz w:val="16"/>
                <w:szCs w:val="16"/>
              </w:rPr>
              <w:t>’</w:t>
            </w:r>
            <w:r w:rsidRPr="00576DC7">
              <w:rPr>
                <w:rFonts w:asciiTheme="majorHAnsi" w:hAnsiTheme="majorHAnsi" w:cstheme="majorHAnsi"/>
                <w:b/>
                <w:sz w:val="16"/>
                <w:szCs w:val="16"/>
              </w:rPr>
              <w:t>s energy system and broader economy</w:t>
            </w:r>
          </w:p>
        </w:tc>
        <w:tc>
          <w:tcPr>
            <w:tcW w:w="1519" w:type="dxa"/>
            <w:tcBorders>
              <w:top w:val="single" w:sz="4" w:space="0" w:color="293F5B"/>
              <w:left w:val="nil"/>
              <w:bottom w:val="single" w:sz="4" w:space="0" w:color="293F5B"/>
              <w:right w:val="nil"/>
            </w:tcBorders>
            <w:shd w:val="clear" w:color="auto" w:fill="E6F2FF"/>
            <w:vAlign w:val="center"/>
            <w:hideMark/>
          </w:tcPr>
          <w:p w14:paraId="715C2E10" w14:textId="36D3A2C0" w:rsidR="00876F6D" w:rsidRPr="00C05BED" w:rsidRDefault="00876F6D">
            <w:pPr>
              <w:spacing w:before="0" w:after="0" w:line="240" w:lineRule="auto"/>
              <w:jc w:val="right"/>
              <w:rPr>
                <w:rFonts w:asciiTheme="majorHAnsi" w:hAnsiTheme="majorHAnsi" w:cstheme="majorHAnsi"/>
                <w:b/>
                <w:color w:val="00FFFF"/>
                <w:sz w:val="16"/>
                <w:szCs w:val="16"/>
                <w:highlight w:val="darkMagenta"/>
              </w:rPr>
            </w:pPr>
            <w:r w:rsidRPr="00576DC7">
              <w:rPr>
                <w:rFonts w:asciiTheme="majorHAnsi" w:hAnsiTheme="majorHAnsi" w:cstheme="majorHAnsi"/>
                <w:b/>
                <w:sz w:val="16"/>
                <w:szCs w:val="16"/>
              </w:rPr>
              <w:t>3</w:t>
            </w:r>
            <w:r w:rsidR="00FA1963" w:rsidRPr="00576DC7">
              <w:rPr>
                <w:rFonts w:asciiTheme="majorHAnsi" w:hAnsiTheme="majorHAnsi" w:cstheme="majorHAnsi"/>
                <w:b/>
                <w:sz w:val="16"/>
                <w:szCs w:val="16"/>
              </w:rPr>
              <w:t>,</w:t>
            </w:r>
            <w:r w:rsidRPr="00576DC7">
              <w:rPr>
                <w:rFonts w:asciiTheme="majorHAnsi" w:hAnsiTheme="majorHAnsi" w:cstheme="majorHAnsi"/>
                <w:b/>
                <w:sz w:val="16"/>
                <w:szCs w:val="16"/>
              </w:rPr>
              <w:t>786.6</w:t>
            </w:r>
          </w:p>
        </w:tc>
        <w:tc>
          <w:tcPr>
            <w:tcW w:w="1508" w:type="dxa"/>
            <w:tcBorders>
              <w:top w:val="single" w:sz="4" w:space="0" w:color="293F5B"/>
              <w:left w:val="nil"/>
              <w:bottom w:val="single" w:sz="4" w:space="0" w:color="293F5B"/>
              <w:right w:val="nil"/>
            </w:tcBorders>
            <w:shd w:val="clear" w:color="auto" w:fill="E6F2FF"/>
            <w:vAlign w:val="center"/>
            <w:hideMark/>
          </w:tcPr>
          <w:p w14:paraId="785FFF2A" w14:textId="70176F79" w:rsidR="00876F6D" w:rsidRPr="00576DC7" w:rsidRDefault="00876F6D">
            <w:pPr>
              <w:spacing w:before="0" w:after="0" w:line="240" w:lineRule="auto"/>
              <w:jc w:val="right"/>
              <w:rPr>
                <w:rFonts w:asciiTheme="majorHAnsi" w:hAnsiTheme="majorHAnsi" w:cstheme="majorHAnsi"/>
                <w:b/>
                <w:sz w:val="16"/>
                <w:szCs w:val="16"/>
              </w:rPr>
            </w:pPr>
            <w:r w:rsidRPr="00576DC7">
              <w:rPr>
                <w:rFonts w:asciiTheme="majorHAnsi" w:hAnsiTheme="majorHAnsi" w:cstheme="majorHAnsi"/>
                <w:b/>
                <w:sz w:val="16"/>
                <w:szCs w:val="16"/>
              </w:rPr>
              <w:t>3</w:t>
            </w:r>
            <w:r w:rsidR="00FA1963" w:rsidRPr="00576DC7">
              <w:rPr>
                <w:rFonts w:asciiTheme="majorHAnsi" w:hAnsiTheme="majorHAnsi" w:cstheme="majorHAnsi"/>
                <w:b/>
                <w:sz w:val="16"/>
                <w:szCs w:val="16"/>
              </w:rPr>
              <w:t>,</w:t>
            </w:r>
            <w:r w:rsidRPr="00576DC7">
              <w:rPr>
                <w:rFonts w:asciiTheme="majorHAnsi" w:hAnsiTheme="majorHAnsi" w:cstheme="majorHAnsi"/>
                <w:b/>
                <w:sz w:val="16"/>
                <w:szCs w:val="16"/>
              </w:rPr>
              <w:t>791.6</w:t>
            </w:r>
          </w:p>
        </w:tc>
      </w:tr>
      <w:tr w:rsidR="002F1429" w:rsidRPr="00C05BED" w14:paraId="0FE9D493" w14:textId="77777777" w:rsidTr="009358CA">
        <w:trPr>
          <w:gridBefore w:val="1"/>
          <w:wBefore w:w="14" w:type="dxa"/>
          <w:trHeight w:val="173"/>
        </w:trPr>
        <w:tc>
          <w:tcPr>
            <w:tcW w:w="4770" w:type="dxa"/>
            <w:tcBorders>
              <w:top w:val="single" w:sz="4" w:space="0" w:color="293F5B"/>
              <w:left w:val="nil"/>
              <w:bottom w:val="single" w:sz="4" w:space="0" w:color="293F5B"/>
              <w:right w:val="nil"/>
            </w:tcBorders>
            <w:shd w:val="clear" w:color="auto" w:fill="auto"/>
            <w:vAlign w:val="center"/>
          </w:tcPr>
          <w:p w14:paraId="72CAEC44" w14:textId="331131B7" w:rsidR="00876F6D" w:rsidRPr="00C05BED" w:rsidRDefault="00876F6D">
            <w:pPr>
              <w:spacing w:before="0" w:after="0" w:line="240" w:lineRule="auto"/>
              <w:rPr>
                <w:rFonts w:asciiTheme="majorHAnsi" w:hAnsiTheme="majorHAnsi" w:cstheme="majorHAnsi"/>
                <w:color w:val="00FFFF"/>
                <w:sz w:val="16"/>
                <w:szCs w:val="16"/>
                <w:highlight w:val="darkMagenta"/>
                <w:vertAlign w:val="superscript"/>
              </w:rPr>
            </w:pPr>
            <w:r w:rsidRPr="00576DC7">
              <w:rPr>
                <w:rFonts w:asciiTheme="majorHAnsi" w:hAnsiTheme="majorHAnsi" w:cstheme="majorHAnsi"/>
                <w:sz w:val="16"/>
                <w:szCs w:val="16"/>
              </w:rPr>
              <w:t>Enabling a Reliable and Secure Energy Transition</w:t>
            </w:r>
            <w:r w:rsidR="007C3BAD" w:rsidRPr="00576DC7">
              <w:rPr>
                <w:rFonts w:asciiTheme="majorHAnsi" w:hAnsiTheme="majorHAnsi" w:cstheme="majorHAnsi"/>
                <w:sz w:val="16"/>
                <w:szCs w:val="16"/>
                <w:vertAlign w:val="superscript"/>
              </w:rPr>
              <w:t>(a)</w:t>
            </w:r>
          </w:p>
        </w:tc>
        <w:tc>
          <w:tcPr>
            <w:tcW w:w="1519" w:type="dxa"/>
            <w:tcBorders>
              <w:top w:val="single" w:sz="4" w:space="0" w:color="293F5B"/>
              <w:left w:val="nil"/>
              <w:bottom w:val="single" w:sz="4" w:space="0" w:color="293F5B"/>
              <w:right w:val="nil"/>
            </w:tcBorders>
            <w:shd w:val="clear" w:color="auto" w:fill="auto"/>
            <w:vAlign w:val="center"/>
            <w:hideMark/>
          </w:tcPr>
          <w:p w14:paraId="6DD6DCA5" w14:textId="77777777" w:rsidR="00876F6D" w:rsidRPr="00C05BED" w:rsidRDefault="00876F6D">
            <w:pPr>
              <w:spacing w:before="0" w:after="0" w:line="240" w:lineRule="auto"/>
              <w:jc w:val="right"/>
              <w:rPr>
                <w:rFonts w:asciiTheme="majorHAnsi" w:hAnsiTheme="majorHAnsi" w:cstheme="majorBidi"/>
                <w:color w:val="00FFFF"/>
                <w:sz w:val="16"/>
                <w:szCs w:val="16"/>
                <w:highlight w:val="darkMagenta"/>
              </w:rPr>
            </w:pPr>
            <w:r w:rsidRPr="00576DC7">
              <w:rPr>
                <w:rFonts w:asciiTheme="majorHAnsi" w:hAnsiTheme="majorHAnsi"/>
                <w:sz w:val="16"/>
                <w:szCs w:val="16"/>
              </w:rPr>
              <w:t>40.4</w:t>
            </w:r>
          </w:p>
        </w:tc>
        <w:tc>
          <w:tcPr>
            <w:tcW w:w="1508" w:type="dxa"/>
            <w:tcBorders>
              <w:top w:val="single" w:sz="4" w:space="0" w:color="293F5B"/>
              <w:left w:val="nil"/>
              <w:bottom w:val="single" w:sz="4" w:space="0" w:color="293F5B"/>
              <w:right w:val="nil"/>
            </w:tcBorders>
            <w:shd w:val="clear" w:color="auto" w:fill="auto"/>
            <w:vAlign w:val="center"/>
            <w:hideMark/>
          </w:tcPr>
          <w:p w14:paraId="66DB8E2A" w14:textId="77777777" w:rsidR="00876F6D" w:rsidRPr="00576DC7" w:rsidRDefault="00876F6D">
            <w:pPr>
              <w:spacing w:before="0" w:after="0" w:line="240" w:lineRule="auto"/>
              <w:jc w:val="right"/>
              <w:rPr>
                <w:rFonts w:asciiTheme="majorHAnsi" w:hAnsiTheme="majorHAnsi" w:cstheme="majorBidi"/>
                <w:sz w:val="16"/>
                <w:szCs w:val="16"/>
              </w:rPr>
            </w:pPr>
            <w:r w:rsidRPr="00576DC7">
              <w:rPr>
                <w:rFonts w:asciiTheme="majorHAnsi" w:hAnsiTheme="majorHAnsi"/>
                <w:sz w:val="16"/>
                <w:szCs w:val="16"/>
              </w:rPr>
              <w:t>45.3</w:t>
            </w:r>
          </w:p>
        </w:tc>
      </w:tr>
      <w:tr w:rsidR="002F1429" w:rsidRPr="00C05BED" w14:paraId="3DAB2691" w14:textId="77777777" w:rsidTr="009358CA">
        <w:trPr>
          <w:gridBefore w:val="1"/>
          <w:wBefore w:w="14" w:type="dxa"/>
          <w:trHeight w:val="104"/>
        </w:trPr>
        <w:tc>
          <w:tcPr>
            <w:tcW w:w="4770" w:type="dxa"/>
            <w:tcBorders>
              <w:top w:val="single" w:sz="4" w:space="0" w:color="293F5B"/>
              <w:left w:val="nil"/>
              <w:bottom w:val="single" w:sz="4" w:space="0" w:color="293F5B"/>
              <w:right w:val="nil"/>
            </w:tcBorders>
            <w:shd w:val="clear" w:color="auto" w:fill="auto"/>
            <w:vAlign w:val="center"/>
          </w:tcPr>
          <w:p w14:paraId="188CD3C9" w14:textId="64B6FE0A" w:rsidR="00876F6D" w:rsidRPr="00C05BED" w:rsidRDefault="00876F6D">
            <w:pPr>
              <w:spacing w:before="0" w:after="0" w:line="240" w:lineRule="auto"/>
              <w:rPr>
                <w:rFonts w:asciiTheme="majorHAnsi" w:hAnsiTheme="majorHAnsi" w:cstheme="majorHAnsi"/>
                <w:color w:val="00FFFF"/>
                <w:sz w:val="16"/>
                <w:szCs w:val="16"/>
                <w:highlight w:val="darkMagenta"/>
                <w:vertAlign w:val="superscript"/>
              </w:rPr>
            </w:pPr>
            <w:r w:rsidRPr="00576DC7">
              <w:rPr>
                <w:rFonts w:asciiTheme="majorHAnsi" w:hAnsiTheme="majorHAnsi" w:cstheme="majorHAnsi"/>
                <w:sz w:val="16"/>
                <w:szCs w:val="16"/>
              </w:rPr>
              <w:t>Rewiring the Nation – recapitalisation</w:t>
            </w:r>
            <w:r w:rsidR="007C3BAD" w:rsidRPr="00576DC7">
              <w:rPr>
                <w:rFonts w:asciiTheme="majorHAnsi" w:hAnsiTheme="majorHAnsi" w:cstheme="majorHAnsi"/>
                <w:sz w:val="16"/>
                <w:szCs w:val="16"/>
                <w:vertAlign w:val="superscript"/>
              </w:rPr>
              <w:t>(b)</w:t>
            </w:r>
          </w:p>
        </w:tc>
        <w:tc>
          <w:tcPr>
            <w:tcW w:w="1519" w:type="dxa"/>
            <w:tcBorders>
              <w:top w:val="single" w:sz="4" w:space="0" w:color="293F5B"/>
              <w:left w:val="nil"/>
              <w:bottom w:val="single" w:sz="4" w:space="0" w:color="293F5B"/>
              <w:right w:val="nil"/>
            </w:tcBorders>
            <w:shd w:val="clear" w:color="auto" w:fill="auto"/>
            <w:vAlign w:val="center"/>
            <w:hideMark/>
          </w:tcPr>
          <w:p w14:paraId="6DA58B53" w14:textId="77777777" w:rsidR="00876F6D" w:rsidRPr="00C05BED" w:rsidRDefault="00876F6D">
            <w:pPr>
              <w:spacing w:before="0" w:after="0" w:line="240" w:lineRule="auto"/>
              <w:jc w:val="right"/>
              <w:rPr>
                <w:rFonts w:asciiTheme="majorHAnsi" w:hAnsiTheme="majorHAnsi" w:cstheme="majorBidi"/>
                <w:color w:val="00FFFF"/>
                <w:sz w:val="16"/>
                <w:szCs w:val="16"/>
                <w:highlight w:val="darkMagenta"/>
              </w:rPr>
            </w:pPr>
            <w:r w:rsidRPr="00576DC7">
              <w:rPr>
                <w:rFonts w:asciiTheme="majorHAnsi" w:hAnsiTheme="majorHAnsi"/>
                <w:sz w:val="16"/>
                <w:szCs w:val="16"/>
              </w:rPr>
              <w:t>1,246.9</w:t>
            </w:r>
          </w:p>
        </w:tc>
        <w:tc>
          <w:tcPr>
            <w:tcW w:w="1508" w:type="dxa"/>
            <w:tcBorders>
              <w:top w:val="single" w:sz="4" w:space="0" w:color="293F5B"/>
              <w:left w:val="nil"/>
              <w:bottom w:val="single" w:sz="4" w:space="0" w:color="293F5B"/>
              <w:right w:val="nil"/>
            </w:tcBorders>
            <w:shd w:val="clear" w:color="auto" w:fill="auto"/>
            <w:vAlign w:val="center"/>
            <w:hideMark/>
          </w:tcPr>
          <w:p w14:paraId="02DEF008" w14:textId="77777777" w:rsidR="00876F6D" w:rsidRPr="00576DC7" w:rsidRDefault="00876F6D">
            <w:pPr>
              <w:spacing w:before="0" w:after="0" w:line="240" w:lineRule="auto"/>
              <w:jc w:val="right"/>
              <w:rPr>
                <w:rFonts w:asciiTheme="majorHAnsi" w:hAnsiTheme="majorHAnsi" w:cstheme="majorBidi"/>
                <w:sz w:val="16"/>
                <w:szCs w:val="16"/>
              </w:rPr>
            </w:pPr>
            <w:r w:rsidRPr="00576DC7">
              <w:rPr>
                <w:rFonts w:asciiTheme="majorHAnsi" w:hAnsiTheme="majorHAnsi"/>
                <w:sz w:val="16"/>
                <w:szCs w:val="16"/>
              </w:rPr>
              <w:t>1,247.0</w:t>
            </w:r>
          </w:p>
        </w:tc>
      </w:tr>
      <w:tr w:rsidR="002F1429" w:rsidRPr="00C05BED" w14:paraId="5269B6D7" w14:textId="77777777" w:rsidTr="009358CA">
        <w:trPr>
          <w:gridBefore w:val="1"/>
          <w:wBefore w:w="14" w:type="dxa"/>
          <w:trHeight w:val="193"/>
        </w:trPr>
        <w:tc>
          <w:tcPr>
            <w:tcW w:w="4770" w:type="dxa"/>
            <w:tcBorders>
              <w:top w:val="single" w:sz="4" w:space="0" w:color="293F5B"/>
              <w:left w:val="nil"/>
              <w:bottom w:val="single" w:sz="4" w:space="0" w:color="293F5B"/>
              <w:right w:val="nil"/>
            </w:tcBorders>
            <w:shd w:val="clear" w:color="auto" w:fill="auto"/>
            <w:vAlign w:val="center"/>
          </w:tcPr>
          <w:p w14:paraId="69F36357" w14:textId="1681BE42" w:rsidR="00876F6D" w:rsidRPr="00C05BED" w:rsidRDefault="00876F6D">
            <w:pPr>
              <w:spacing w:before="0" w:after="0" w:line="240" w:lineRule="auto"/>
              <w:rPr>
                <w:rFonts w:asciiTheme="majorHAnsi" w:hAnsiTheme="majorHAnsi" w:cstheme="majorHAnsi"/>
                <w:color w:val="00FFFF"/>
                <w:sz w:val="16"/>
                <w:szCs w:val="16"/>
                <w:highlight w:val="darkMagenta"/>
                <w:vertAlign w:val="superscript"/>
              </w:rPr>
            </w:pPr>
            <w:r w:rsidRPr="00576DC7">
              <w:rPr>
                <w:rFonts w:asciiTheme="majorHAnsi" w:hAnsiTheme="majorHAnsi" w:cstheme="majorHAnsi"/>
                <w:sz w:val="16"/>
                <w:szCs w:val="16"/>
              </w:rPr>
              <w:t>Strengthening the Clean Energy Finance Corporation</w:t>
            </w:r>
            <w:r w:rsidR="007C3BAD" w:rsidRPr="00576DC7">
              <w:rPr>
                <w:rFonts w:asciiTheme="majorHAnsi" w:hAnsiTheme="majorHAnsi" w:cstheme="majorHAnsi"/>
                <w:sz w:val="16"/>
                <w:szCs w:val="16"/>
                <w:vertAlign w:val="superscript"/>
              </w:rPr>
              <w:t>(c)</w:t>
            </w:r>
          </w:p>
        </w:tc>
        <w:tc>
          <w:tcPr>
            <w:tcW w:w="1519" w:type="dxa"/>
            <w:tcBorders>
              <w:top w:val="single" w:sz="4" w:space="0" w:color="293F5B"/>
              <w:left w:val="nil"/>
              <w:bottom w:val="single" w:sz="4" w:space="0" w:color="293F5B"/>
              <w:right w:val="nil"/>
            </w:tcBorders>
            <w:shd w:val="clear" w:color="auto" w:fill="auto"/>
            <w:vAlign w:val="center"/>
            <w:hideMark/>
          </w:tcPr>
          <w:p w14:paraId="3936E935" w14:textId="77777777" w:rsidR="00876F6D" w:rsidRPr="00C05BED" w:rsidRDefault="00876F6D">
            <w:pPr>
              <w:spacing w:before="0" w:after="0" w:line="240" w:lineRule="auto"/>
              <w:jc w:val="right"/>
              <w:rPr>
                <w:rFonts w:asciiTheme="majorHAnsi" w:hAnsiTheme="majorHAnsi" w:cstheme="majorHAnsi"/>
                <w:color w:val="00FFFF"/>
                <w:sz w:val="16"/>
                <w:szCs w:val="16"/>
                <w:highlight w:val="darkMagenta"/>
              </w:rPr>
            </w:pPr>
            <w:r w:rsidRPr="00576DC7">
              <w:rPr>
                <w:rFonts w:asciiTheme="majorHAnsi" w:hAnsiTheme="majorHAnsi"/>
                <w:sz w:val="16"/>
                <w:szCs w:val="16"/>
              </w:rPr>
              <w:t>2,000.0</w:t>
            </w:r>
          </w:p>
        </w:tc>
        <w:tc>
          <w:tcPr>
            <w:tcW w:w="1508" w:type="dxa"/>
            <w:tcBorders>
              <w:top w:val="single" w:sz="4" w:space="0" w:color="293F5B"/>
              <w:left w:val="nil"/>
              <w:bottom w:val="single" w:sz="4" w:space="0" w:color="293F5B"/>
              <w:right w:val="nil"/>
            </w:tcBorders>
            <w:shd w:val="clear" w:color="auto" w:fill="auto"/>
            <w:vAlign w:val="center"/>
            <w:hideMark/>
          </w:tcPr>
          <w:p w14:paraId="0A9D5F9D" w14:textId="77777777" w:rsidR="00876F6D" w:rsidRPr="00576DC7" w:rsidRDefault="00876F6D">
            <w:pPr>
              <w:spacing w:before="0" w:after="0" w:line="240" w:lineRule="auto"/>
              <w:jc w:val="right"/>
              <w:rPr>
                <w:rFonts w:asciiTheme="majorHAnsi" w:hAnsiTheme="majorHAnsi" w:cstheme="majorHAnsi"/>
                <w:sz w:val="16"/>
                <w:szCs w:val="16"/>
              </w:rPr>
            </w:pPr>
            <w:r w:rsidRPr="00576DC7">
              <w:rPr>
                <w:rFonts w:asciiTheme="majorHAnsi" w:hAnsiTheme="majorHAnsi"/>
                <w:sz w:val="16"/>
                <w:szCs w:val="16"/>
              </w:rPr>
              <w:t>2,000.0</w:t>
            </w:r>
          </w:p>
        </w:tc>
      </w:tr>
      <w:tr w:rsidR="00965641" w:rsidRPr="00C05BED" w14:paraId="5FDCDBCE" w14:textId="77777777" w:rsidTr="009358CA">
        <w:trPr>
          <w:gridBefore w:val="1"/>
          <w:wBefore w:w="14" w:type="dxa"/>
          <w:trHeight w:val="125"/>
        </w:trPr>
        <w:tc>
          <w:tcPr>
            <w:tcW w:w="4770" w:type="dxa"/>
            <w:tcBorders>
              <w:top w:val="single" w:sz="4" w:space="0" w:color="293F5B"/>
              <w:left w:val="nil"/>
              <w:bottom w:val="single" w:sz="4" w:space="0" w:color="293F5B"/>
              <w:right w:val="nil"/>
            </w:tcBorders>
            <w:shd w:val="clear" w:color="auto" w:fill="auto"/>
            <w:vAlign w:val="center"/>
          </w:tcPr>
          <w:p w14:paraId="3C9847C6" w14:textId="77777777" w:rsidR="00876F6D" w:rsidRPr="00C05BED" w:rsidRDefault="00876F6D">
            <w:pPr>
              <w:spacing w:before="0" w:after="0" w:line="240" w:lineRule="auto"/>
              <w:rPr>
                <w:rFonts w:asciiTheme="majorHAnsi" w:hAnsiTheme="majorHAnsi" w:cstheme="majorHAnsi"/>
                <w:color w:val="00FFFF"/>
                <w:sz w:val="16"/>
                <w:szCs w:val="16"/>
                <w:highlight w:val="darkMagenta"/>
              </w:rPr>
            </w:pPr>
            <w:r w:rsidRPr="00576DC7">
              <w:rPr>
                <w:rFonts w:asciiTheme="majorHAnsi" w:hAnsiTheme="majorHAnsi" w:cstheme="majorHAnsi"/>
                <w:sz w:val="16"/>
                <w:szCs w:val="16"/>
              </w:rPr>
              <w:t>Expansion of Social Housing Energy Performance Initiative</w:t>
            </w:r>
          </w:p>
        </w:tc>
        <w:tc>
          <w:tcPr>
            <w:tcW w:w="1519" w:type="dxa"/>
            <w:tcBorders>
              <w:top w:val="single" w:sz="4" w:space="0" w:color="293F5B"/>
              <w:left w:val="nil"/>
              <w:bottom w:val="single" w:sz="4" w:space="0" w:color="293F5B"/>
              <w:right w:val="nil"/>
            </w:tcBorders>
            <w:shd w:val="clear" w:color="auto" w:fill="auto"/>
            <w:vAlign w:val="center"/>
            <w:hideMark/>
          </w:tcPr>
          <w:p w14:paraId="39063F76" w14:textId="77777777" w:rsidR="00876F6D" w:rsidRPr="00C05BED" w:rsidRDefault="00876F6D">
            <w:pPr>
              <w:spacing w:before="0" w:after="0" w:line="240" w:lineRule="auto"/>
              <w:jc w:val="right"/>
              <w:rPr>
                <w:rFonts w:asciiTheme="majorHAnsi" w:hAnsiTheme="majorHAnsi" w:cstheme="majorHAnsi"/>
                <w:color w:val="00FFFF"/>
                <w:sz w:val="16"/>
                <w:szCs w:val="16"/>
                <w:highlight w:val="darkMagenta"/>
              </w:rPr>
            </w:pPr>
            <w:r w:rsidRPr="00576DC7">
              <w:rPr>
                <w:rFonts w:asciiTheme="majorHAnsi" w:hAnsiTheme="majorHAnsi"/>
                <w:sz w:val="16"/>
                <w:szCs w:val="16"/>
              </w:rPr>
              <w:t>499.3</w:t>
            </w:r>
          </w:p>
        </w:tc>
        <w:tc>
          <w:tcPr>
            <w:tcW w:w="1508" w:type="dxa"/>
            <w:tcBorders>
              <w:top w:val="single" w:sz="4" w:space="0" w:color="293F5B"/>
              <w:left w:val="nil"/>
              <w:bottom w:val="single" w:sz="4" w:space="0" w:color="293F5B"/>
              <w:right w:val="nil"/>
            </w:tcBorders>
            <w:shd w:val="clear" w:color="auto" w:fill="auto"/>
            <w:vAlign w:val="center"/>
            <w:hideMark/>
          </w:tcPr>
          <w:p w14:paraId="3FBD651D" w14:textId="77777777" w:rsidR="00876F6D" w:rsidRPr="00576DC7" w:rsidRDefault="00876F6D">
            <w:pPr>
              <w:spacing w:before="0" w:after="0" w:line="240" w:lineRule="auto"/>
              <w:jc w:val="right"/>
              <w:rPr>
                <w:rFonts w:asciiTheme="majorHAnsi" w:hAnsiTheme="majorHAnsi" w:cstheme="majorHAnsi"/>
                <w:sz w:val="16"/>
                <w:szCs w:val="16"/>
              </w:rPr>
            </w:pPr>
            <w:r w:rsidRPr="00576DC7">
              <w:rPr>
                <w:rFonts w:asciiTheme="majorHAnsi" w:hAnsiTheme="majorHAnsi"/>
                <w:sz w:val="16"/>
                <w:szCs w:val="16"/>
              </w:rPr>
              <w:t>499.3</w:t>
            </w:r>
          </w:p>
        </w:tc>
      </w:tr>
      <w:tr w:rsidR="0059642F" w:rsidRPr="00C05BED" w14:paraId="41B097CE" w14:textId="77777777" w:rsidTr="009358CA">
        <w:trPr>
          <w:gridBefore w:val="1"/>
          <w:wBefore w:w="14" w:type="dxa"/>
          <w:trHeight w:val="112"/>
        </w:trPr>
        <w:tc>
          <w:tcPr>
            <w:tcW w:w="4770" w:type="dxa"/>
            <w:tcBorders>
              <w:top w:val="single" w:sz="4" w:space="0" w:color="293F5B"/>
              <w:left w:val="nil"/>
              <w:bottom w:val="single" w:sz="4" w:space="0" w:color="293F5B"/>
              <w:right w:val="nil"/>
            </w:tcBorders>
            <w:shd w:val="clear" w:color="auto" w:fill="E6F2FF"/>
            <w:vAlign w:val="center"/>
            <w:hideMark/>
          </w:tcPr>
          <w:p w14:paraId="36E9589C" w14:textId="77777777" w:rsidR="00876F6D" w:rsidRPr="00C05BED" w:rsidRDefault="00876F6D">
            <w:pPr>
              <w:spacing w:before="0" w:after="0" w:line="240" w:lineRule="auto"/>
              <w:rPr>
                <w:rFonts w:asciiTheme="majorHAnsi" w:hAnsiTheme="majorHAnsi" w:cstheme="majorHAnsi"/>
                <w:b/>
                <w:color w:val="00FFFF"/>
                <w:sz w:val="16"/>
                <w:szCs w:val="16"/>
                <w:highlight w:val="darkMagenta"/>
              </w:rPr>
            </w:pPr>
            <w:r w:rsidRPr="00576DC7">
              <w:rPr>
                <w:rFonts w:asciiTheme="majorHAnsi" w:hAnsiTheme="majorHAnsi" w:cstheme="majorHAnsi"/>
                <w:b/>
                <w:sz w:val="16"/>
                <w:szCs w:val="16"/>
              </w:rPr>
              <w:t>Strengthening net zero industries and skills</w:t>
            </w:r>
          </w:p>
        </w:tc>
        <w:tc>
          <w:tcPr>
            <w:tcW w:w="1519" w:type="dxa"/>
            <w:tcBorders>
              <w:top w:val="single" w:sz="4" w:space="0" w:color="293F5B"/>
              <w:left w:val="nil"/>
              <w:bottom w:val="single" w:sz="4" w:space="0" w:color="293F5B"/>
              <w:right w:val="nil"/>
            </w:tcBorders>
            <w:shd w:val="clear" w:color="auto" w:fill="E6F2FF"/>
            <w:vAlign w:val="center"/>
            <w:hideMark/>
          </w:tcPr>
          <w:p w14:paraId="30F92C4B" w14:textId="77777777" w:rsidR="00876F6D" w:rsidRPr="00C05BED" w:rsidRDefault="00876F6D">
            <w:pPr>
              <w:spacing w:before="0" w:after="0" w:line="240" w:lineRule="auto"/>
              <w:jc w:val="right"/>
              <w:rPr>
                <w:rFonts w:asciiTheme="majorHAnsi" w:hAnsiTheme="majorHAnsi" w:cstheme="majorHAnsi"/>
                <w:b/>
                <w:bCs/>
                <w:color w:val="00FFFF"/>
                <w:sz w:val="16"/>
                <w:szCs w:val="16"/>
                <w:highlight w:val="darkMagenta"/>
              </w:rPr>
            </w:pPr>
            <w:r w:rsidRPr="00576DC7">
              <w:rPr>
                <w:rFonts w:asciiTheme="majorHAnsi" w:hAnsiTheme="majorHAnsi" w:cstheme="majorHAnsi"/>
                <w:b/>
                <w:bCs/>
                <w:sz w:val="16"/>
                <w:szCs w:val="16"/>
              </w:rPr>
              <w:t>166.1</w:t>
            </w:r>
          </w:p>
        </w:tc>
        <w:tc>
          <w:tcPr>
            <w:tcW w:w="1508" w:type="dxa"/>
            <w:tcBorders>
              <w:top w:val="single" w:sz="4" w:space="0" w:color="293F5B"/>
              <w:left w:val="nil"/>
              <w:bottom w:val="single" w:sz="4" w:space="0" w:color="293F5B"/>
              <w:right w:val="nil"/>
            </w:tcBorders>
            <w:shd w:val="clear" w:color="auto" w:fill="E6F2FF"/>
            <w:vAlign w:val="center"/>
            <w:hideMark/>
          </w:tcPr>
          <w:p w14:paraId="622507FE" w14:textId="263CF1C0" w:rsidR="00876F6D" w:rsidRPr="00576DC7" w:rsidRDefault="00876F6D">
            <w:pPr>
              <w:spacing w:before="0" w:after="0" w:line="240" w:lineRule="auto"/>
              <w:jc w:val="right"/>
              <w:rPr>
                <w:rFonts w:asciiTheme="majorHAnsi" w:hAnsiTheme="majorHAnsi" w:cstheme="majorHAnsi"/>
                <w:b/>
                <w:bCs/>
                <w:sz w:val="16"/>
                <w:szCs w:val="16"/>
              </w:rPr>
            </w:pPr>
            <w:r w:rsidRPr="00576DC7">
              <w:rPr>
                <w:rFonts w:asciiTheme="majorHAnsi" w:hAnsiTheme="majorHAnsi" w:cstheme="majorHAnsi"/>
                <w:b/>
                <w:bCs/>
                <w:sz w:val="16"/>
                <w:szCs w:val="16"/>
              </w:rPr>
              <w:t>2</w:t>
            </w:r>
            <w:r w:rsidR="00FA1963" w:rsidRPr="00576DC7">
              <w:rPr>
                <w:rFonts w:asciiTheme="majorHAnsi" w:hAnsiTheme="majorHAnsi" w:cstheme="majorHAnsi"/>
                <w:b/>
                <w:bCs/>
                <w:sz w:val="16"/>
                <w:szCs w:val="16"/>
              </w:rPr>
              <w:t>,</w:t>
            </w:r>
            <w:r w:rsidRPr="00576DC7">
              <w:rPr>
                <w:rFonts w:asciiTheme="majorHAnsi" w:hAnsiTheme="majorHAnsi" w:cstheme="majorHAnsi"/>
                <w:b/>
                <w:bCs/>
                <w:sz w:val="16"/>
                <w:szCs w:val="16"/>
              </w:rPr>
              <w:t>448.7</w:t>
            </w:r>
          </w:p>
        </w:tc>
      </w:tr>
      <w:tr w:rsidR="00965641" w:rsidRPr="00C05BED" w14:paraId="27881A38" w14:textId="77777777" w:rsidTr="009358CA">
        <w:trPr>
          <w:gridBefore w:val="1"/>
          <w:wBefore w:w="14" w:type="dxa"/>
          <w:trHeight w:val="288"/>
        </w:trPr>
        <w:tc>
          <w:tcPr>
            <w:tcW w:w="4770" w:type="dxa"/>
            <w:tcBorders>
              <w:top w:val="single" w:sz="4" w:space="0" w:color="293F5B"/>
              <w:left w:val="nil"/>
              <w:bottom w:val="single" w:sz="4" w:space="0" w:color="293F5B"/>
              <w:right w:val="nil"/>
            </w:tcBorders>
            <w:shd w:val="clear" w:color="auto" w:fill="auto"/>
            <w:vAlign w:val="center"/>
          </w:tcPr>
          <w:p w14:paraId="2EBC8F55" w14:textId="2CB9BB50" w:rsidR="00876F6D" w:rsidRPr="00C05BED" w:rsidRDefault="00876F6D">
            <w:pPr>
              <w:spacing w:before="0" w:after="0" w:line="240" w:lineRule="auto"/>
              <w:rPr>
                <w:rFonts w:asciiTheme="majorHAnsi" w:hAnsiTheme="majorHAnsi" w:cstheme="majorHAnsi"/>
                <w:color w:val="00FFFF"/>
                <w:sz w:val="16"/>
                <w:szCs w:val="16"/>
                <w:highlight w:val="darkMagenta"/>
                <w:vertAlign w:val="superscript"/>
              </w:rPr>
            </w:pPr>
            <w:r w:rsidRPr="00576DC7">
              <w:rPr>
                <w:rFonts w:asciiTheme="majorHAnsi" w:hAnsiTheme="majorHAnsi" w:cstheme="majorHAnsi"/>
                <w:sz w:val="16"/>
                <w:szCs w:val="16"/>
              </w:rPr>
              <w:t>Future Made in Australia – accelerating investment in Australian industries</w:t>
            </w:r>
            <w:r w:rsidR="007C3BAD" w:rsidRPr="00576DC7">
              <w:rPr>
                <w:rFonts w:asciiTheme="majorHAnsi" w:hAnsiTheme="majorHAnsi" w:cstheme="majorHAnsi"/>
                <w:sz w:val="16"/>
                <w:szCs w:val="16"/>
                <w:vertAlign w:val="superscript"/>
              </w:rPr>
              <w:t>(d)</w:t>
            </w:r>
          </w:p>
        </w:tc>
        <w:tc>
          <w:tcPr>
            <w:tcW w:w="1519" w:type="dxa"/>
            <w:tcBorders>
              <w:top w:val="single" w:sz="4" w:space="0" w:color="293F5B"/>
              <w:left w:val="nil"/>
              <w:bottom w:val="single" w:sz="4" w:space="0" w:color="293F5B"/>
              <w:right w:val="nil"/>
            </w:tcBorders>
            <w:shd w:val="clear" w:color="auto" w:fill="auto"/>
            <w:vAlign w:val="center"/>
          </w:tcPr>
          <w:p w14:paraId="12D36D06" w14:textId="77777777" w:rsidR="00876F6D" w:rsidRPr="00C05BED" w:rsidRDefault="00876F6D">
            <w:pPr>
              <w:spacing w:before="0" w:after="0" w:line="240" w:lineRule="auto"/>
              <w:jc w:val="right"/>
              <w:rPr>
                <w:rFonts w:asciiTheme="majorHAnsi" w:hAnsiTheme="majorHAnsi" w:cstheme="majorHAnsi"/>
                <w:color w:val="00FFFF"/>
                <w:sz w:val="16"/>
                <w:szCs w:val="16"/>
                <w:highlight w:val="darkMagenta"/>
              </w:rPr>
            </w:pPr>
            <w:r w:rsidRPr="00576DC7">
              <w:rPr>
                <w:rFonts w:asciiTheme="majorHAnsi" w:hAnsiTheme="majorHAnsi"/>
                <w:sz w:val="16"/>
                <w:szCs w:val="16"/>
              </w:rPr>
              <w:t>166.1</w:t>
            </w:r>
          </w:p>
        </w:tc>
        <w:tc>
          <w:tcPr>
            <w:tcW w:w="1508" w:type="dxa"/>
            <w:tcBorders>
              <w:top w:val="single" w:sz="4" w:space="0" w:color="293F5B"/>
              <w:left w:val="nil"/>
              <w:bottom w:val="single" w:sz="4" w:space="0" w:color="293F5B"/>
              <w:right w:val="nil"/>
            </w:tcBorders>
            <w:shd w:val="clear" w:color="auto" w:fill="auto"/>
            <w:vAlign w:val="center"/>
            <w:hideMark/>
          </w:tcPr>
          <w:p w14:paraId="540A3B0C" w14:textId="77777777" w:rsidR="00876F6D" w:rsidRPr="00576DC7" w:rsidRDefault="00876F6D">
            <w:pPr>
              <w:spacing w:before="0" w:after="0" w:line="240" w:lineRule="auto"/>
              <w:jc w:val="right"/>
              <w:rPr>
                <w:rFonts w:asciiTheme="majorHAnsi" w:hAnsiTheme="majorHAnsi" w:cstheme="majorHAnsi"/>
                <w:sz w:val="16"/>
                <w:szCs w:val="16"/>
              </w:rPr>
            </w:pPr>
            <w:r w:rsidRPr="00576DC7">
              <w:rPr>
                <w:rFonts w:asciiTheme="majorHAnsi" w:hAnsiTheme="majorHAnsi"/>
                <w:sz w:val="16"/>
                <w:szCs w:val="16"/>
              </w:rPr>
              <w:t>464.1</w:t>
            </w:r>
          </w:p>
        </w:tc>
      </w:tr>
      <w:tr w:rsidR="00965641" w:rsidRPr="00C05BED" w14:paraId="6AED800E" w14:textId="77777777" w:rsidTr="009358CA">
        <w:trPr>
          <w:gridBefore w:val="1"/>
          <w:wBefore w:w="14" w:type="dxa"/>
          <w:trHeight w:val="180"/>
        </w:trPr>
        <w:tc>
          <w:tcPr>
            <w:tcW w:w="4770" w:type="dxa"/>
            <w:tcBorders>
              <w:top w:val="single" w:sz="4" w:space="0" w:color="293F5B"/>
              <w:left w:val="nil"/>
              <w:bottom w:val="single" w:sz="4" w:space="0" w:color="293F5B"/>
              <w:right w:val="nil"/>
            </w:tcBorders>
            <w:shd w:val="clear" w:color="auto" w:fill="auto"/>
            <w:vAlign w:val="center"/>
          </w:tcPr>
          <w:p w14:paraId="2B62AE89" w14:textId="49CE72B4" w:rsidR="00876F6D" w:rsidRPr="00C05BED" w:rsidRDefault="00876F6D">
            <w:pPr>
              <w:spacing w:before="0" w:after="0" w:line="240" w:lineRule="auto"/>
              <w:rPr>
                <w:rFonts w:asciiTheme="majorHAnsi" w:hAnsiTheme="majorHAnsi" w:cstheme="majorHAnsi"/>
                <w:color w:val="00FFFF"/>
                <w:sz w:val="16"/>
                <w:szCs w:val="16"/>
                <w:highlight w:val="darkMagenta"/>
                <w:vertAlign w:val="superscript"/>
              </w:rPr>
            </w:pPr>
            <w:r w:rsidRPr="00576DC7">
              <w:rPr>
                <w:rFonts w:asciiTheme="majorHAnsi" w:hAnsiTheme="majorHAnsi" w:cstheme="majorHAnsi"/>
                <w:sz w:val="16"/>
                <w:szCs w:val="16"/>
              </w:rPr>
              <w:t>Support for Australian Made Metals</w:t>
            </w:r>
            <w:r w:rsidR="007C3BAD" w:rsidRPr="00576DC7">
              <w:rPr>
                <w:rFonts w:asciiTheme="majorHAnsi" w:hAnsiTheme="majorHAnsi" w:cstheme="majorHAnsi"/>
                <w:sz w:val="16"/>
                <w:szCs w:val="16"/>
                <w:vertAlign w:val="superscript"/>
              </w:rPr>
              <w:t>(e)</w:t>
            </w:r>
          </w:p>
        </w:tc>
        <w:tc>
          <w:tcPr>
            <w:tcW w:w="1519" w:type="dxa"/>
            <w:tcBorders>
              <w:top w:val="single" w:sz="4" w:space="0" w:color="293F5B"/>
              <w:left w:val="nil"/>
              <w:bottom w:val="single" w:sz="4" w:space="0" w:color="293F5B"/>
              <w:right w:val="nil"/>
            </w:tcBorders>
            <w:shd w:val="clear" w:color="auto" w:fill="auto"/>
            <w:vAlign w:val="center"/>
          </w:tcPr>
          <w:p w14:paraId="03CE8F98" w14:textId="77777777" w:rsidR="00876F6D" w:rsidRPr="00C05BED" w:rsidRDefault="00876F6D">
            <w:pPr>
              <w:spacing w:before="0" w:after="0" w:line="240" w:lineRule="auto"/>
              <w:jc w:val="right"/>
              <w:rPr>
                <w:rFonts w:asciiTheme="majorHAnsi" w:hAnsiTheme="majorHAnsi" w:cstheme="majorHAnsi"/>
                <w:color w:val="00FFFF"/>
                <w:sz w:val="16"/>
                <w:szCs w:val="16"/>
                <w:highlight w:val="darkMagenta"/>
              </w:rPr>
            </w:pPr>
            <w:proofErr w:type="spellStart"/>
            <w:r w:rsidRPr="00576DC7">
              <w:rPr>
                <w:rFonts w:asciiTheme="majorHAnsi" w:hAnsiTheme="majorHAnsi"/>
                <w:sz w:val="16"/>
                <w:szCs w:val="16"/>
              </w:rPr>
              <w:t>nfp</w:t>
            </w:r>
            <w:proofErr w:type="spellEnd"/>
          </w:p>
        </w:tc>
        <w:tc>
          <w:tcPr>
            <w:tcW w:w="1508" w:type="dxa"/>
            <w:tcBorders>
              <w:top w:val="single" w:sz="4" w:space="0" w:color="293F5B"/>
              <w:left w:val="nil"/>
              <w:bottom w:val="single" w:sz="4" w:space="0" w:color="293F5B"/>
              <w:right w:val="nil"/>
            </w:tcBorders>
            <w:shd w:val="clear" w:color="auto" w:fill="auto"/>
            <w:vAlign w:val="center"/>
            <w:hideMark/>
          </w:tcPr>
          <w:p w14:paraId="26677B2F" w14:textId="77777777" w:rsidR="00876F6D" w:rsidRPr="00576DC7" w:rsidRDefault="00876F6D">
            <w:pPr>
              <w:spacing w:before="0" w:after="0" w:line="240" w:lineRule="auto"/>
              <w:jc w:val="right"/>
              <w:rPr>
                <w:rFonts w:asciiTheme="majorHAnsi" w:hAnsiTheme="majorHAnsi" w:cstheme="majorHAnsi"/>
                <w:sz w:val="16"/>
                <w:szCs w:val="16"/>
              </w:rPr>
            </w:pPr>
            <w:r w:rsidRPr="00576DC7">
              <w:rPr>
                <w:rFonts w:asciiTheme="majorHAnsi" w:hAnsiTheme="majorHAnsi"/>
                <w:sz w:val="16"/>
                <w:szCs w:val="16"/>
              </w:rPr>
              <w:t>1,984.6</w:t>
            </w:r>
          </w:p>
        </w:tc>
      </w:tr>
      <w:tr w:rsidR="00AA6BFD" w:rsidRPr="00C05BED" w14:paraId="76D4AFD7" w14:textId="77777777" w:rsidTr="009358CA">
        <w:trPr>
          <w:trHeight w:val="315"/>
        </w:trPr>
        <w:tc>
          <w:tcPr>
            <w:tcW w:w="4784" w:type="dxa"/>
            <w:gridSpan w:val="2"/>
            <w:tcBorders>
              <w:top w:val="single" w:sz="2" w:space="0" w:color="293F5B"/>
              <w:left w:val="nil"/>
              <w:bottom w:val="single" w:sz="2" w:space="0" w:color="293F5B"/>
            </w:tcBorders>
            <w:shd w:val="clear" w:color="auto" w:fill="E6F2FF"/>
            <w:vAlign w:val="center"/>
            <w:hideMark/>
          </w:tcPr>
          <w:p w14:paraId="34568BF4" w14:textId="77777777" w:rsidR="00876F6D" w:rsidRPr="00C05BED" w:rsidRDefault="00876F6D">
            <w:pPr>
              <w:spacing w:before="0" w:after="0" w:line="240" w:lineRule="auto"/>
              <w:rPr>
                <w:rFonts w:asciiTheme="majorHAnsi" w:hAnsiTheme="majorHAnsi" w:cstheme="majorHAnsi"/>
                <w:b/>
                <w:color w:val="00FFFF"/>
                <w:sz w:val="16"/>
                <w:szCs w:val="16"/>
                <w:highlight w:val="darkMagenta"/>
              </w:rPr>
            </w:pPr>
            <w:r w:rsidRPr="00576DC7">
              <w:rPr>
                <w:rFonts w:asciiTheme="majorHAnsi" w:hAnsiTheme="majorHAnsi" w:cstheme="majorHAnsi"/>
                <w:b/>
                <w:sz w:val="16"/>
                <w:szCs w:val="16"/>
              </w:rPr>
              <w:t>Adapting to climate change and improving climate and disaster resilience</w:t>
            </w:r>
          </w:p>
        </w:tc>
        <w:tc>
          <w:tcPr>
            <w:tcW w:w="1519" w:type="dxa"/>
            <w:tcBorders>
              <w:top w:val="single" w:sz="4" w:space="0" w:color="293F5B"/>
              <w:bottom w:val="single" w:sz="4" w:space="0" w:color="293F5B"/>
              <w:right w:val="nil"/>
            </w:tcBorders>
            <w:shd w:val="clear" w:color="auto" w:fill="E6F2FF"/>
            <w:vAlign w:val="center"/>
            <w:hideMark/>
          </w:tcPr>
          <w:p w14:paraId="7743D4A6" w14:textId="77777777" w:rsidR="00876F6D" w:rsidRPr="00C05BED" w:rsidRDefault="00876F6D">
            <w:pPr>
              <w:spacing w:before="0" w:after="0" w:line="240" w:lineRule="auto"/>
              <w:jc w:val="right"/>
              <w:rPr>
                <w:rFonts w:asciiTheme="majorHAnsi" w:hAnsiTheme="majorHAnsi" w:cstheme="majorHAnsi"/>
                <w:b/>
                <w:bCs/>
                <w:color w:val="00FFFF"/>
                <w:sz w:val="16"/>
                <w:szCs w:val="16"/>
                <w:highlight w:val="darkMagenta"/>
              </w:rPr>
            </w:pPr>
            <w:r w:rsidRPr="00576DC7">
              <w:rPr>
                <w:rFonts w:asciiTheme="majorHAnsi" w:hAnsiTheme="majorHAnsi"/>
                <w:b/>
                <w:bCs/>
                <w:sz w:val="16"/>
                <w:szCs w:val="16"/>
              </w:rPr>
              <w:t>354.0</w:t>
            </w:r>
          </w:p>
        </w:tc>
        <w:tc>
          <w:tcPr>
            <w:tcW w:w="1508" w:type="dxa"/>
            <w:tcBorders>
              <w:top w:val="single" w:sz="4" w:space="0" w:color="293F5B"/>
              <w:left w:val="nil"/>
              <w:bottom w:val="single" w:sz="4" w:space="0" w:color="293F5B"/>
              <w:right w:val="nil"/>
            </w:tcBorders>
            <w:shd w:val="clear" w:color="auto" w:fill="E6F2FF"/>
            <w:vAlign w:val="center"/>
            <w:hideMark/>
          </w:tcPr>
          <w:p w14:paraId="0041C950" w14:textId="77777777" w:rsidR="00876F6D" w:rsidRPr="00576DC7" w:rsidRDefault="00876F6D">
            <w:pPr>
              <w:spacing w:before="0" w:after="0" w:line="240" w:lineRule="auto"/>
              <w:jc w:val="right"/>
              <w:rPr>
                <w:rFonts w:asciiTheme="majorHAnsi" w:hAnsiTheme="majorHAnsi" w:cstheme="majorHAnsi"/>
                <w:b/>
                <w:bCs/>
                <w:sz w:val="16"/>
                <w:szCs w:val="16"/>
              </w:rPr>
            </w:pPr>
            <w:r w:rsidRPr="00576DC7">
              <w:rPr>
                <w:rFonts w:asciiTheme="majorHAnsi" w:hAnsiTheme="majorHAnsi"/>
                <w:b/>
                <w:bCs/>
                <w:sz w:val="16"/>
                <w:szCs w:val="16"/>
              </w:rPr>
              <w:t>632.5</w:t>
            </w:r>
          </w:p>
        </w:tc>
      </w:tr>
      <w:tr w:rsidR="002F1429" w:rsidRPr="00C05BED" w14:paraId="5C568553" w14:textId="77777777" w:rsidTr="009358CA">
        <w:trPr>
          <w:gridBefore w:val="1"/>
          <w:wBefore w:w="14" w:type="dxa"/>
          <w:trHeight w:val="302"/>
        </w:trPr>
        <w:tc>
          <w:tcPr>
            <w:tcW w:w="4770" w:type="dxa"/>
            <w:tcBorders>
              <w:top w:val="single" w:sz="4" w:space="0" w:color="293F5B"/>
              <w:left w:val="nil"/>
              <w:bottom w:val="single" w:sz="4" w:space="0" w:color="293F5B"/>
              <w:right w:val="nil"/>
            </w:tcBorders>
            <w:shd w:val="clear" w:color="auto" w:fill="auto"/>
            <w:vAlign w:val="center"/>
          </w:tcPr>
          <w:p w14:paraId="586ACAA2" w14:textId="6436D0BB" w:rsidR="00876F6D" w:rsidRPr="00C05BED" w:rsidRDefault="00876F6D">
            <w:pPr>
              <w:spacing w:before="0" w:after="0" w:line="240" w:lineRule="auto"/>
              <w:rPr>
                <w:rFonts w:asciiTheme="majorHAnsi" w:hAnsiTheme="majorHAnsi" w:cstheme="majorBidi"/>
                <w:color w:val="00FFFF"/>
                <w:sz w:val="16"/>
                <w:szCs w:val="16"/>
                <w:highlight w:val="darkMagenta"/>
              </w:rPr>
            </w:pPr>
            <w:r w:rsidRPr="00576DC7">
              <w:rPr>
                <w:rFonts w:asciiTheme="majorHAnsi" w:hAnsiTheme="majorHAnsi" w:cstheme="majorBidi"/>
                <w:sz w:val="16"/>
                <w:szCs w:val="16"/>
              </w:rPr>
              <w:t>Building a Better Future Through Considered Infrastructure Investment</w:t>
            </w:r>
            <w:r w:rsidR="007C3BAD" w:rsidRPr="00576DC7">
              <w:rPr>
                <w:rFonts w:asciiTheme="majorHAnsi" w:hAnsiTheme="majorHAnsi" w:cstheme="majorBidi"/>
                <w:sz w:val="16"/>
                <w:szCs w:val="16"/>
                <w:vertAlign w:val="superscript"/>
              </w:rPr>
              <w:t>(f)</w:t>
            </w:r>
          </w:p>
        </w:tc>
        <w:tc>
          <w:tcPr>
            <w:tcW w:w="1519" w:type="dxa"/>
            <w:tcBorders>
              <w:top w:val="single" w:sz="4" w:space="0" w:color="293F5B"/>
              <w:left w:val="nil"/>
              <w:bottom w:val="single" w:sz="4" w:space="0" w:color="293F5B"/>
              <w:right w:val="nil"/>
            </w:tcBorders>
            <w:shd w:val="clear" w:color="auto" w:fill="auto"/>
            <w:vAlign w:val="center"/>
          </w:tcPr>
          <w:p w14:paraId="13EC96ED" w14:textId="77777777" w:rsidR="00876F6D" w:rsidRPr="00C05BED" w:rsidRDefault="00876F6D">
            <w:pPr>
              <w:spacing w:before="0" w:after="0" w:line="240" w:lineRule="auto"/>
              <w:jc w:val="right"/>
              <w:rPr>
                <w:rFonts w:asciiTheme="majorHAnsi" w:hAnsiTheme="majorHAnsi"/>
                <w:color w:val="00FFFF"/>
                <w:sz w:val="16"/>
                <w:szCs w:val="16"/>
                <w:highlight w:val="darkMagenta"/>
              </w:rPr>
            </w:pPr>
            <w:r w:rsidRPr="00576DC7">
              <w:rPr>
                <w:rFonts w:asciiTheme="majorHAnsi" w:hAnsiTheme="majorHAnsi"/>
                <w:sz w:val="16"/>
                <w:szCs w:val="16"/>
              </w:rPr>
              <w:t>354.0</w:t>
            </w:r>
          </w:p>
        </w:tc>
        <w:tc>
          <w:tcPr>
            <w:tcW w:w="1508" w:type="dxa"/>
            <w:tcBorders>
              <w:top w:val="single" w:sz="4" w:space="0" w:color="293F5B"/>
              <w:left w:val="nil"/>
              <w:bottom w:val="single" w:sz="4" w:space="0" w:color="293F5B"/>
              <w:right w:val="nil"/>
            </w:tcBorders>
            <w:shd w:val="clear" w:color="auto" w:fill="auto"/>
            <w:vAlign w:val="center"/>
          </w:tcPr>
          <w:p w14:paraId="7666AF0D" w14:textId="77777777" w:rsidR="00876F6D" w:rsidRPr="00576DC7" w:rsidRDefault="00876F6D">
            <w:pPr>
              <w:spacing w:before="0" w:after="0" w:line="240" w:lineRule="auto"/>
              <w:jc w:val="right"/>
              <w:rPr>
                <w:rFonts w:asciiTheme="majorHAnsi" w:hAnsiTheme="majorHAnsi"/>
                <w:sz w:val="16"/>
                <w:szCs w:val="16"/>
              </w:rPr>
            </w:pPr>
            <w:r w:rsidRPr="00576DC7">
              <w:rPr>
                <w:rFonts w:asciiTheme="majorHAnsi" w:hAnsiTheme="majorHAnsi"/>
                <w:sz w:val="16"/>
                <w:szCs w:val="16"/>
              </w:rPr>
              <w:t>632.5</w:t>
            </w:r>
          </w:p>
        </w:tc>
      </w:tr>
      <w:tr w:rsidR="0059642F" w:rsidRPr="00C05BED" w14:paraId="0D45552F" w14:textId="77777777" w:rsidTr="009358CA">
        <w:trPr>
          <w:gridBefore w:val="1"/>
          <w:wBefore w:w="14" w:type="dxa"/>
          <w:trHeight w:val="120"/>
        </w:trPr>
        <w:tc>
          <w:tcPr>
            <w:tcW w:w="4770" w:type="dxa"/>
            <w:tcBorders>
              <w:top w:val="single" w:sz="4" w:space="0" w:color="293F5B"/>
              <w:left w:val="nil"/>
              <w:bottom w:val="single" w:sz="4" w:space="0" w:color="293F5B"/>
              <w:right w:val="nil"/>
            </w:tcBorders>
            <w:shd w:val="clear" w:color="auto" w:fill="E6F2FF"/>
            <w:vAlign w:val="center"/>
            <w:hideMark/>
          </w:tcPr>
          <w:p w14:paraId="7E45A7E0" w14:textId="77777777" w:rsidR="00876F6D" w:rsidRPr="00C05BED" w:rsidRDefault="00876F6D">
            <w:pPr>
              <w:spacing w:before="0" w:after="0" w:line="240" w:lineRule="auto"/>
              <w:rPr>
                <w:rFonts w:asciiTheme="majorHAnsi" w:hAnsiTheme="majorHAnsi" w:cstheme="majorHAnsi"/>
                <w:b/>
                <w:color w:val="00FFFF"/>
                <w:sz w:val="16"/>
                <w:szCs w:val="16"/>
                <w:highlight w:val="darkMagenta"/>
              </w:rPr>
            </w:pPr>
            <w:r w:rsidRPr="00576DC7">
              <w:rPr>
                <w:rFonts w:asciiTheme="majorHAnsi" w:hAnsiTheme="majorHAnsi" w:cstheme="majorHAnsi"/>
                <w:b/>
                <w:sz w:val="16"/>
                <w:szCs w:val="16"/>
              </w:rPr>
              <w:t>International climate leadership</w:t>
            </w:r>
          </w:p>
        </w:tc>
        <w:tc>
          <w:tcPr>
            <w:tcW w:w="1519" w:type="dxa"/>
            <w:tcBorders>
              <w:top w:val="single" w:sz="4" w:space="0" w:color="293F5B"/>
              <w:left w:val="nil"/>
              <w:bottom w:val="single" w:sz="4" w:space="0" w:color="293F5B"/>
              <w:right w:val="nil"/>
            </w:tcBorders>
            <w:shd w:val="clear" w:color="auto" w:fill="E6F2FF"/>
            <w:vAlign w:val="center"/>
            <w:hideMark/>
          </w:tcPr>
          <w:p w14:paraId="51463DB3" w14:textId="77777777" w:rsidR="00876F6D" w:rsidRPr="00C05BED" w:rsidRDefault="00876F6D">
            <w:pPr>
              <w:spacing w:before="0" w:after="0" w:line="240" w:lineRule="auto"/>
              <w:jc w:val="right"/>
              <w:rPr>
                <w:rFonts w:asciiTheme="majorHAnsi" w:hAnsiTheme="majorHAnsi" w:cstheme="majorHAnsi"/>
                <w:b/>
                <w:bCs/>
                <w:color w:val="00FFFF"/>
                <w:sz w:val="16"/>
                <w:szCs w:val="16"/>
                <w:highlight w:val="darkMagenta"/>
              </w:rPr>
            </w:pPr>
            <w:proofErr w:type="spellStart"/>
            <w:r w:rsidRPr="00576DC7">
              <w:rPr>
                <w:rFonts w:asciiTheme="majorHAnsi" w:hAnsiTheme="majorHAnsi" w:cstheme="majorHAnsi"/>
                <w:b/>
                <w:bCs/>
                <w:sz w:val="16"/>
                <w:szCs w:val="16"/>
              </w:rPr>
              <w:t>nfp</w:t>
            </w:r>
            <w:proofErr w:type="spellEnd"/>
          </w:p>
        </w:tc>
        <w:tc>
          <w:tcPr>
            <w:tcW w:w="1508" w:type="dxa"/>
            <w:tcBorders>
              <w:top w:val="single" w:sz="4" w:space="0" w:color="293F5B"/>
              <w:left w:val="nil"/>
              <w:bottom w:val="single" w:sz="4" w:space="0" w:color="293F5B"/>
              <w:right w:val="nil"/>
            </w:tcBorders>
            <w:shd w:val="clear" w:color="auto" w:fill="E6F2FF"/>
            <w:vAlign w:val="center"/>
            <w:hideMark/>
          </w:tcPr>
          <w:p w14:paraId="0EB9E9A7" w14:textId="77777777" w:rsidR="00876F6D" w:rsidRPr="00576DC7" w:rsidRDefault="00876F6D">
            <w:pPr>
              <w:spacing w:before="0" w:after="0" w:line="240" w:lineRule="auto"/>
              <w:jc w:val="right"/>
              <w:rPr>
                <w:rFonts w:asciiTheme="majorHAnsi" w:hAnsiTheme="majorHAnsi" w:cstheme="majorHAnsi"/>
                <w:b/>
                <w:bCs/>
                <w:sz w:val="16"/>
                <w:szCs w:val="16"/>
              </w:rPr>
            </w:pPr>
            <w:r w:rsidRPr="00576DC7">
              <w:rPr>
                <w:rFonts w:asciiTheme="majorHAnsi" w:hAnsiTheme="majorHAnsi" w:cstheme="majorBidi"/>
                <w:b/>
                <w:bCs/>
                <w:sz w:val="16"/>
                <w:szCs w:val="16"/>
              </w:rPr>
              <w:t>75.0</w:t>
            </w:r>
          </w:p>
        </w:tc>
      </w:tr>
      <w:tr w:rsidR="00965641" w:rsidRPr="00C05BED" w14:paraId="5CCEFAD4" w14:textId="77777777" w:rsidTr="009358CA">
        <w:trPr>
          <w:gridBefore w:val="1"/>
          <w:wBefore w:w="14" w:type="dxa"/>
          <w:trHeight w:val="283"/>
        </w:trPr>
        <w:tc>
          <w:tcPr>
            <w:tcW w:w="4770" w:type="dxa"/>
            <w:tcBorders>
              <w:top w:val="single" w:sz="4" w:space="0" w:color="293F5B"/>
              <w:left w:val="nil"/>
              <w:bottom w:val="single" w:sz="4" w:space="0" w:color="293F5B"/>
              <w:right w:val="nil"/>
            </w:tcBorders>
            <w:shd w:val="clear" w:color="auto" w:fill="auto"/>
            <w:vAlign w:val="center"/>
          </w:tcPr>
          <w:p w14:paraId="37E19150" w14:textId="77AF73CF" w:rsidR="00876F6D" w:rsidRPr="00C05BED" w:rsidRDefault="00876F6D">
            <w:pPr>
              <w:spacing w:before="0" w:after="0" w:line="240" w:lineRule="auto"/>
              <w:rPr>
                <w:rFonts w:asciiTheme="majorHAnsi" w:eastAsiaTheme="minorEastAsia" w:hAnsiTheme="majorHAnsi" w:cstheme="majorBidi"/>
                <w:color w:val="00FFFF"/>
                <w:sz w:val="16"/>
                <w:szCs w:val="16"/>
                <w:highlight w:val="darkMagenta"/>
                <w:vertAlign w:val="superscript"/>
              </w:rPr>
            </w:pPr>
            <w:r w:rsidRPr="00576DC7">
              <w:rPr>
                <w:rFonts w:asciiTheme="majorHAnsi" w:hAnsiTheme="majorHAnsi" w:cstheme="majorBidi"/>
                <w:sz w:val="16"/>
                <w:szCs w:val="16"/>
              </w:rPr>
              <w:t>Southeast Asia Investment Financing Facility</w:t>
            </w:r>
            <w:r w:rsidR="00E33470" w:rsidRPr="00576DC7">
              <w:rPr>
                <w:rFonts w:asciiTheme="majorHAnsi" w:hAnsiTheme="majorHAnsi" w:cstheme="majorBidi"/>
                <w:sz w:val="16"/>
                <w:szCs w:val="16"/>
              </w:rPr>
              <w:t xml:space="preserve"> – </w:t>
            </w:r>
            <w:r w:rsidRPr="00576DC7">
              <w:rPr>
                <w:rFonts w:asciiTheme="majorHAnsi" w:hAnsiTheme="majorHAnsi" w:cstheme="majorBidi"/>
                <w:sz w:val="16"/>
                <w:szCs w:val="16"/>
              </w:rPr>
              <w:t>Investment in FAST</w:t>
            </w:r>
            <w:r w:rsidR="00404C26">
              <w:rPr>
                <w:rFonts w:asciiTheme="majorHAnsi" w:hAnsiTheme="majorHAnsi" w:cstheme="majorBidi"/>
                <w:sz w:val="16"/>
                <w:szCs w:val="16"/>
              </w:rPr>
              <w:noBreakHyphen/>
            </w:r>
            <w:r w:rsidRPr="00576DC7">
              <w:rPr>
                <w:rFonts w:asciiTheme="majorHAnsi" w:hAnsiTheme="majorHAnsi" w:cstheme="majorBidi"/>
                <w:sz w:val="16"/>
                <w:szCs w:val="16"/>
              </w:rPr>
              <w:t>P Green Investments Partnership fund</w:t>
            </w:r>
            <w:r w:rsidR="007C3BAD" w:rsidRPr="00576DC7">
              <w:rPr>
                <w:rFonts w:asciiTheme="majorHAnsi" w:hAnsiTheme="majorHAnsi" w:cstheme="majorBidi"/>
                <w:sz w:val="16"/>
                <w:szCs w:val="16"/>
                <w:vertAlign w:val="superscript"/>
              </w:rPr>
              <w:t>(g)</w:t>
            </w:r>
          </w:p>
        </w:tc>
        <w:tc>
          <w:tcPr>
            <w:tcW w:w="1519" w:type="dxa"/>
            <w:tcBorders>
              <w:top w:val="single" w:sz="4" w:space="0" w:color="293F5B"/>
              <w:left w:val="nil"/>
              <w:bottom w:val="single" w:sz="4" w:space="0" w:color="293F5B"/>
              <w:right w:val="nil"/>
            </w:tcBorders>
            <w:shd w:val="clear" w:color="auto" w:fill="auto"/>
            <w:vAlign w:val="center"/>
            <w:hideMark/>
          </w:tcPr>
          <w:p w14:paraId="63908E77" w14:textId="77777777" w:rsidR="00876F6D" w:rsidRPr="00C05BED" w:rsidRDefault="00876F6D">
            <w:pPr>
              <w:spacing w:before="0" w:after="0" w:line="240" w:lineRule="auto"/>
              <w:jc w:val="right"/>
              <w:rPr>
                <w:rFonts w:asciiTheme="majorHAnsi" w:hAnsiTheme="majorHAnsi" w:cstheme="majorBidi"/>
                <w:color w:val="00FFFF"/>
                <w:sz w:val="16"/>
                <w:szCs w:val="16"/>
                <w:highlight w:val="darkMagenta"/>
              </w:rPr>
            </w:pPr>
            <w:proofErr w:type="spellStart"/>
            <w:r w:rsidRPr="00576DC7">
              <w:rPr>
                <w:rFonts w:asciiTheme="majorHAnsi" w:hAnsiTheme="majorHAnsi" w:cstheme="majorBidi"/>
                <w:sz w:val="16"/>
                <w:szCs w:val="16"/>
              </w:rPr>
              <w:t>nfp</w:t>
            </w:r>
            <w:proofErr w:type="spellEnd"/>
          </w:p>
        </w:tc>
        <w:tc>
          <w:tcPr>
            <w:tcW w:w="1508" w:type="dxa"/>
            <w:tcBorders>
              <w:top w:val="single" w:sz="4" w:space="0" w:color="293F5B"/>
              <w:left w:val="nil"/>
              <w:bottom w:val="single" w:sz="4" w:space="0" w:color="293F5B"/>
              <w:right w:val="nil"/>
            </w:tcBorders>
            <w:shd w:val="clear" w:color="auto" w:fill="auto"/>
            <w:vAlign w:val="center"/>
            <w:hideMark/>
          </w:tcPr>
          <w:p w14:paraId="3BB6545B" w14:textId="77777777" w:rsidR="00876F6D" w:rsidRPr="00576DC7" w:rsidRDefault="00876F6D">
            <w:pPr>
              <w:spacing w:before="0" w:after="0" w:line="240" w:lineRule="auto"/>
              <w:jc w:val="right"/>
              <w:rPr>
                <w:rFonts w:asciiTheme="majorHAnsi" w:hAnsiTheme="majorHAnsi" w:cstheme="majorBidi"/>
                <w:sz w:val="16"/>
                <w:szCs w:val="16"/>
              </w:rPr>
            </w:pPr>
            <w:r w:rsidRPr="00576DC7">
              <w:rPr>
                <w:rFonts w:asciiTheme="majorHAnsi" w:hAnsiTheme="majorHAnsi" w:cstheme="majorBidi"/>
                <w:sz w:val="16"/>
                <w:szCs w:val="16"/>
              </w:rPr>
              <w:t>75.0</w:t>
            </w:r>
          </w:p>
        </w:tc>
      </w:tr>
      <w:tr w:rsidR="0059642F" w:rsidRPr="00C05BED" w14:paraId="358C6F95" w14:textId="77777777" w:rsidTr="009358CA">
        <w:trPr>
          <w:gridBefore w:val="1"/>
          <w:wBefore w:w="14" w:type="dxa"/>
          <w:trHeight w:val="227"/>
        </w:trPr>
        <w:tc>
          <w:tcPr>
            <w:tcW w:w="4770" w:type="dxa"/>
            <w:tcBorders>
              <w:top w:val="single" w:sz="4" w:space="0" w:color="293F5B"/>
              <w:left w:val="nil"/>
              <w:bottom w:val="single" w:sz="4" w:space="0" w:color="293F5B"/>
              <w:right w:val="nil"/>
            </w:tcBorders>
            <w:shd w:val="clear" w:color="auto" w:fill="E6F2FF"/>
            <w:vAlign w:val="center"/>
            <w:hideMark/>
          </w:tcPr>
          <w:p w14:paraId="0B7973B5" w14:textId="77777777" w:rsidR="00876F6D" w:rsidRPr="00C05BED" w:rsidRDefault="00876F6D">
            <w:pPr>
              <w:spacing w:before="0" w:after="0" w:line="240" w:lineRule="auto"/>
              <w:rPr>
                <w:rFonts w:asciiTheme="majorHAnsi" w:hAnsiTheme="majorHAnsi" w:cstheme="majorHAnsi"/>
                <w:b/>
                <w:color w:val="00FFFF"/>
                <w:sz w:val="16"/>
                <w:szCs w:val="16"/>
                <w:highlight w:val="darkMagenta"/>
              </w:rPr>
            </w:pPr>
            <w:r w:rsidRPr="00576DC7">
              <w:rPr>
                <w:rFonts w:asciiTheme="majorHAnsi" w:hAnsiTheme="majorHAnsi" w:cstheme="majorHAnsi"/>
                <w:b/>
                <w:sz w:val="16"/>
                <w:szCs w:val="16"/>
              </w:rPr>
              <w:t>Total Net Zero Spending</w:t>
            </w:r>
          </w:p>
        </w:tc>
        <w:tc>
          <w:tcPr>
            <w:tcW w:w="1519" w:type="dxa"/>
            <w:tcBorders>
              <w:top w:val="single" w:sz="4" w:space="0" w:color="293F5B"/>
              <w:left w:val="nil"/>
              <w:bottom w:val="single" w:sz="4" w:space="0" w:color="293F5B"/>
              <w:right w:val="nil"/>
            </w:tcBorders>
            <w:shd w:val="clear" w:color="auto" w:fill="E6F2FF"/>
            <w:vAlign w:val="center"/>
          </w:tcPr>
          <w:p w14:paraId="4D588E51" w14:textId="089B5039" w:rsidR="00876F6D" w:rsidRPr="00C05BED" w:rsidRDefault="00876F6D">
            <w:pPr>
              <w:spacing w:before="0" w:after="0" w:line="240" w:lineRule="auto"/>
              <w:jc w:val="right"/>
              <w:rPr>
                <w:rFonts w:asciiTheme="majorHAnsi" w:hAnsiTheme="majorHAnsi" w:cstheme="majorHAnsi"/>
                <w:b/>
                <w:bCs/>
                <w:color w:val="00FFFF"/>
                <w:sz w:val="16"/>
                <w:szCs w:val="16"/>
                <w:highlight w:val="darkMagenta"/>
              </w:rPr>
            </w:pPr>
            <w:r w:rsidRPr="00576DC7">
              <w:rPr>
                <w:rFonts w:asciiTheme="majorHAnsi" w:hAnsiTheme="majorHAnsi" w:cstheme="majorHAnsi"/>
                <w:b/>
                <w:bCs/>
                <w:sz w:val="16"/>
                <w:szCs w:val="16"/>
              </w:rPr>
              <w:t>4</w:t>
            </w:r>
            <w:r w:rsidR="00FA1963" w:rsidRPr="00576DC7">
              <w:rPr>
                <w:rFonts w:asciiTheme="majorHAnsi" w:hAnsiTheme="majorHAnsi" w:cstheme="majorHAnsi"/>
                <w:b/>
                <w:bCs/>
                <w:sz w:val="16"/>
                <w:szCs w:val="16"/>
              </w:rPr>
              <w:t>,</w:t>
            </w:r>
            <w:r w:rsidRPr="00576DC7">
              <w:rPr>
                <w:rFonts w:asciiTheme="majorHAnsi" w:hAnsiTheme="majorHAnsi" w:cstheme="majorHAnsi"/>
                <w:b/>
                <w:bCs/>
                <w:sz w:val="16"/>
                <w:szCs w:val="16"/>
              </w:rPr>
              <w:t>306.7</w:t>
            </w:r>
          </w:p>
        </w:tc>
        <w:tc>
          <w:tcPr>
            <w:tcW w:w="1508" w:type="dxa"/>
            <w:tcBorders>
              <w:top w:val="single" w:sz="4" w:space="0" w:color="293F5B"/>
              <w:left w:val="nil"/>
              <w:bottom w:val="single" w:sz="4" w:space="0" w:color="293F5B"/>
              <w:right w:val="nil"/>
            </w:tcBorders>
            <w:shd w:val="clear" w:color="auto" w:fill="E6F2FF"/>
            <w:vAlign w:val="center"/>
          </w:tcPr>
          <w:p w14:paraId="59588FAB" w14:textId="1A7C91CD" w:rsidR="00876F6D" w:rsidRPr="00576DC7" w:rsidRDefault="00876F6D">
            <w:pPr>
              <w:spacing w:before="0" w:after="0" w:line="240" w:lineRule="auto"/>
              <w:jc w:val="right"/>
              <w:rPr>
                <w:rFonts w:asciiTheme="majorHAnsi" w:hAnsiTheme="majorHAnsi" w:cstheme="majorHAnsi"/>
                <w:b/>
                <w:bCs/>
                <w:sz w:val="16"/>
                <w:szCs w:val="16"/>
              </w:rPr>
            </w:pPr>
            <w:r w:rsidRPr="00576DC7">
              <w:rPr>
                <w:rFonts w:asciiTheme="majorHAnsi" w:hAnsiTheme="majorHAnsi" w:cstheme="majorHAnsi"/>
                <w:b/>
                <w:bCs/>
                <w:sz w:val="16"/>
                <w:szCs w:val="16"/>
              </w:rPr>
              <w:t>6</w:t>
            </w:r>
            <w:r w:rsidR="00FA1963" w:rsidRPr="00576DC7">
              <w:rPr>
                <w:rFonts w:asciiTheme="majorHAnsi" w:hAnsiTheme="majorHAnsi" w:cstheme="majorHAnsi"/>
                <w:b/>
                <w:bCs/>
                <w:sz w:val="16"/>
                <w:szCs w:val="16"/>
              </w:rPr>
              <w:t>,</w:t>
            </w:r>
            <w:r w:rsidRPr="00576DC7">
              <w:rPr>
                <w:rFonts w:asciiTheme="majorHAnsi" w:hAnsiTheme="majorHAnsi" w:cstheme="majorHAnsi"/>
                <w:b/>
                <w:bCs/>
                <w:sz w:val="16"/>
                <w:szCs w:val="16"/>
              </w:rPr>
              <w:t>947.8</w:t>
            </w:r>
          </w:p>
        </w:tc>
      </w:tr>
    </w:tbl>
    <w:p w14:paraId="67A18683" w14:textId="2531F4A0" w:rsidR="00876F6D" w:rsidRPr="00576DC7" w:rsidRDefault="00876F6D" w:rsidP="008F2ABB">
      <w:pPr>
        <w:pStyle w:val="ChartandTableFootnote"/>
        <w:tabs>
          <w:tab w:val="clear" w:pos="709"/>
          <w:tab w:val="left" w:pos="284"/>
        </w:tabs>
        <w:ind w:left="284" w:hanging="284"/>
        <w:rPr>
          <w:color w:val="auto"/>
        </w:rPr>
      </w:pPr>
      <w:r w:rsidRPr="00576DC7">
        <w:rPr>
          <w:color w:val="auto"/>
        </w:rPr>
        <w:t>*</w:t>
      </w:r>
      <w:r w:rsidR="00B5227F" w:rsidRPr="00576DC7">
        <w:rPr>
          <w:color w:val="auto"/>
        </w:rPr>
        <w:t xml:space="preserve"> </w:t>
      </w:r>
      <w:r w:rsidR="008F2ABB" w:rsidRPr="00576DC7">
        <w:rPr>
          <w:color w:val="auto"/>
        </w:rPr>
        <w:tab/>
      </w:r>
      <w:r w:rsidRPr="00576DC7">
        <w:rPr>
          <w:color w:val="auto"/>
        </w:rPr>
        <w:t>This table summarises the Government</w:t>
      </w:r>
      <w:r w:rsidR="00404C26">
        <w:rPr>
          <w:color w:val="auto"/>
        </w:rPr>
        <w:t>’</w:t>
      </w:r>
      <w:r w:rsidRPr="00576DC7">
        <w:rPr>
          <w:color w:val="auto"/>
        </w:rPr>
        <w:t>s key climate</w:t>
      </w:r>
      <w:r w:rsidR="00404C26">
        <w:rPr>
          <w:color w:val="auto"/>
        </w:rPr>
        <w:noBreakHyphen/>
      </w:r>
      <w:r w:rsidRPr="00576DC7">
        <w:rPr>
          <w:color w:val="auto"/>
        </w:rPr>
        <w:t>related spending commitments in the 2024</w:t>
      </w:r>
      <w:r w:rsidR="00576B48" w:rsidRPr="00576DC7">
        <w:rPr>
          <w:color w:val="auto"/>
        </w:rPr>
        <w:t>–</w:t>
      </w:r>
      <w:r w:rsidRPr="00576DC7">
        <w:rPr>
          <w:color w:val="auto"/>
        </w:rPr>
        <w:t>25 MYEFO and 2025</w:t>
      </w:r>
      <w:r w:rsidR="00576B48" w:rsidRPr="00576DC7">
        <w:rPr>
          <w:color w:val="auto"/>
        </w:rPr>
        <w:t>–</w:t>
      </w:r>
      <w:r w:rsidRPr="00576DC7">
        <w:rPr>
          <w:color w:val="auto"/>
        </w:rPr>
        <w:t>26 Budget to 30 June 2036 and presents a broader view than the impact on the underlying cash balance. Some measures extend beyond the end of the medium term or include both initial and ongoing funding to the end of the medium term. Figures align with the timeframes for measures reported in the 2024</w:t>
      </w:r>
      <w:r w:rsidR="00576B48" w:rsidRPr="00576DC7">
        <w:rPr>
          <w:color w:val="auto"/>
        </w:rPr>
        <w:t>–</w:t>
      </w:r>
      <w:r w:rsidRPr="00576DC7">
        <w:rPr>
          <w:color w:val="auto"/>
        </w:rPr>
        <w:t>25 MYEFO and 2025</w:t>
      </w:r>
      <w:r w:rsidR="00576B48" w:rsidRPr="00576DC7">
        <w:rPr>
          <w:color w:val="auto"/>
        </w:rPr>
        <w:t>–</w:t>
      </w:r>
      <w:r w:rsidRPr="00576DC7">
        <w:rPr>
          <w:color w:val="auto"/>
        </w:rPr>
        <w:t xml:space="preserve">26 Budget Paper No. 2, but </w:t>
      </w:r>
      <w:r w:rsidR="0013763E" w:rsidRPr="00576DC7">
        <w:rPr>
          <w:color w:val="auto"/>
        </w:rPr>
        <w:t>t</w:t>
      </w:r>
      <w:r w:rsidR="00841083" w:rsidRPr="00576DC7">
        <w:rPr>
          <w:color w:val="auto"/>
        </w:rPr>
        <w:t>imeframes for figures align with the forward estimates and medium term for the 2025</w:t>
      </w:r>
      <w:r w:rsidR="000968C1" w:rsidRPr="00576DC7">
        <w:rPr>
          <w:color w:val="auto"/>
        </w:rPr>
        <w:t>–</w:t>
      </w:r>
      <w:r w:rsidR="00841083" w:rsidRPr="00576DC7">
        <w:rPr>
          <w:color w:val="auto"/>
        </w:rPr>
        <w:t xml:space="preserve">26 Budget. Spending outlined in these measures for the purposes of this table </w:t>
      </w:r>
      <w:r w:rsidRPr="00576DC7">
        <w:rPr>
          <w:color w:val="auto"/>
        </w:rPr>
        <w:t xml:space="preserve">may differ in some instances </w:t>
      </w:r>
      <w:r w:rsidR="00841083" w:rsidRPr="00576DC7">
        <w:rPr>
          <w:color w:val="auto"/>
        </w:rPr>
        <w:t>from figures reported in the 2024</w:t>
      </w:r>
      <w:r w:rsidR="000968C1" w:rsidRPr="00576DC7">
        <w:rPr>
          <w:color w:val="auto"/>
        </w:rPr>
        <w:t>–</w:t>
      </w:r>
      <w:r w:rsidR="00C4100D" w:rsidRPr="00576DC7">
        <w:rPr>
          <w:color w:val="auto"/>
          <w:w w:val="1"/>
        </w:rPr>
        <w:t> </w:t>
      </w:r>
      <w:r w:rsidR="00841083" w:rsidRPr="00576DC7">
        <w:rPr>
          <w:color w:val="auto"/>
        </w:rPr>
        <w:t>25 MYEFO and 2025</w:t>
      </w:r>
      <w:r w:rsidR="000968C1" w:rsidRPr="00576DC7">
        <w:rPr>
          <w:color w:val="auto"/>
        </w:rPr>
        <w:t>–</w:t>
      </w:r>
      <w:r w:rsidR="00841083" w:rsidRPr="00576DC7">
        <w:rPr>
          <w:color w:val="auto"/>
        </w:rPr>
        <w:t>26 Budget Paper No.</w:t>
      </w:r>
      <w:r w:rsidR="00BF087A" w:rsidRPr="00576DC7">
        <w:rPr>
          <w:color w:val="auto"/>
        </w:rPr>
        <w:t> </w:t>
      </w:r>
      <w:r w:rsidR="00841083" w:rsidRPr="00576DC7">
        <w:rPr>
          <w:color w:val="auto"/>
        </w:rPr>
        <w:t xml:space="preserve">2 due to </w:t>
      </w:r>
      <w:r w:rsidR="006D0D4B" w:rsidRPr="00576DC7">
        <w:rPr>
          <w:color w:val="auto"/>
        </w:rPr>
        <w:t xml:space="preserve">the </w:t>
      </w:r>
      <w:r w:rsidR="00841083" w:rsidRPr="00576DC7">
        <w:rPr>
          <w:color w:val="auto"/>
        </w:rPr>
        <w:t>exclusion</w:t>
      </w:r>
      <w:r w:rsidR="006D0D4B" w:rsidRPr="00576DC7">
        <w:rPr>
          <w:color w:val="auto"/>
        </w:rPr>
        <w:t>s</w:t>
      </w:r>
      <w:r w:rsidR="00841083" w:rsidRPr="00576DC7">
        <w:rPr>
          <w:color w:val="auto"/>
        </w:rPr>
        <w:t xml:space="preserve"> described in</w:t>
      </w:r>
      <w:r w:rsidR="006D0D4B" w:rsidRPr="00576DC7">
        <w:rPr>
          <w:color w:val="auto"/>
        </w:rPr>
        <w:t xml:space="preserve"> the</w:t>
      </w:r>
      <w:r w:rsidR="00841083" w:rsidRPr="00576DC7">
        <w:rPr>
          <w:color w:val="auto"/>
        </w:rPr>
        <w:t xml:space="preserve"> footnotes.</w:t>
      </w:r>
    </w:p>
    <w:p w14:paraId="3AB23232" w14:textId="25EF48E0" w:rsidR="001257E0" w:rsidRPr="00576DC7" w:rsidRDefault="001257E0" w:rsidP="00C4100D">
      <w:pPr>
        <w:pStyle w:val="ChartandTableFootnoteAlpha"/>
        <w:numPr>
          <w:ilvl w:val="0"/>
          <w:numId w:val="13"/>
        </w:numPr>
        <w:rPr>
          <w:color w:val="auto"/>
        </w:rPr>
      </w:pPr>
      <w:r w:rsidRPr="00576DC7">
        <w:rPr>
          <w:color w:val="auto"/>
        </w:rPr>
        <w:t>The spending outlined in this measure for the purposes of this table excludes funding to support the Australian Energy Market Operator to uplift core digital systems. The cost of this measure will be partially met from savings identified in the Climate Change</w:t>
      </w:r>
      <w:r w:rsidR="00124422" w:rsidRPr="00576DC7">
        <w:rPr>
          <w:color w:val="auto"/>
        </w:rPr>
        <w:t xml:space="preserve"> and Energy </w:t>
      </w:r>
      <w:r w:rsidR="0041042D" w:rsidRPr="00576DC7">
        <w:rPr>
          <w:color w:val="auto"/>
        </w:rPr>
        <w:t>and</w:t>
      </w:r>
      <w:r w:rsidR="00124422" w:rsidRPr="00576DC7">
        <w:rPr>
          <w:color w:val="auto"/>
        </w:rPr>
        <w:t xml:space="preserve"> the Environment and Water portfolios.</w:t>
      </w:r>
    </w:p>
    <w:p w14:paraId="613C8380" w14:textId="67CB8760" w:rsidR="001257E0" w:rsidRPr="00576DC7" w:rsidRDefault="001257E0" w:rsidP="008B2739">
      <w:pPr>
        <w:pStyle w:val="ChartandTableFootnoteAlpha"/>
        <w:rPr>
          <w:color w:val="auto"/>
        </w:rPr>
      </w:pPr>
      <w:r w:rsidRPr="00576DC7">
        <w:rPr>
          <w:color w:val="auto"/>
        </w:rPr>
        <w:t>This measure contains $1.2</w:t>
      </w:r>
      <w:r w:rsidR="004259B9" w:rsidRPr="00576DC7">
        <w:rPr>
          <w:color w:val="auto"/>
        </w:rPr>
        <w:t> billion</w:t>
      </w:r>
      <w:r w:rsidRPr="00576DC7">
        <w:rPr>
          <w:color w:val="auto"/>
        </w:rPr>
        <w:t xml:space="preserve"> in funding for concessional finance.</w:t>
      </w:r>
    </w:p>
    <w:p w14:paraId="698DAF72" w14:textId="06154B17" w:rsidR="001257E0" w:rsidRPr="00576DC7" w:rsidRDefault="001257E0" w:rsidP="008B2739">
      <w:pPr>
        <w:pStyle w:val="ChartandTableFootnoteAlpha"/>
        <w:rPr>
          <w:color w:val="auto"/>
        </w:rPr>
      </w:pPr>
      <w:r w:rsidRPr="00576DC7">
        <w:rPr>
          <w:color w:val="auto"/>
        </w:rPr>
        <w:t>This measure contains $2.0</w:t>
      </w:r>
      <w:r w:rsidR="004259B9" w:rsidRPr="00576DC7">
        <w:rPr>
          <w:color w:val="auto"/>
        </w:rPr>
        <w:t> billion</w:t>
      </w:r>
      <w:r w:rsidRPr="00576DC7">
        <w:rPr>
          <w:color w:val="auto"/>
        </w:rPr>
        <w:t xml:space="preserve"> in funding for concessional finance.</w:t>
      </w:r>
    </w:p>
    <w:p w14:paraId="7B90A278" w14:textId="26AF313B" w:rsidR="001257E0" w:rsidRPr="00576DC7" w:rsidRDefault="001257E0" w:rsidP="008B2739">
      <w:pPr>
        <w:pStyle w:val="ChartandTableFootnoteAlpha"/>
        <w:rPr>
          <w:color w:val="auto"/>
        </w:rPr>
      </w:pPr>
      <w:r w:rsidRPr="00576DC7">
        <w:rPr>
          <w:color w:val="auto"/>
        </w:rPr>
        <w:t>The spending outlined in this measure for the purposes of this table excludes funding for the Australian Made Campaign Limited. The cost of this measure will be partially met from savings identified in the Industry, Science, and Resources portfolio and the Climate Change and Energy portfolio.</w:t>
      </w:r>
    </w:p>
    <w:p w14:paraId="76B5D1AC" w14:textId="6AA023D0" w:rsidR="001257E0" w:rsidRPr="00576DC7" w:rsidRDefault="001257E0" w:rsidP="008B2739">
      <w:pPr>
        <w:pStyle w:val="ChartandTableFootnoteAlpha"/>
        <w:rPr>
          <w:color w:val="auto"/>
        </w:rPr>
      </w:pPr>
      <w:r w:rsidRPr="00576DC7">
        <w:rPr>
          <w:color w:val="auto"/>
        </w:rPr>
        <w:t xml:space="preserve">The </w:t>
      </w:r>
      <w:r w:rsidR="00F61CBE" w:rsidRPr="00576DC7">
        <w:rPr>
          <w:color w:val="auto"/>
        </w:rPr>
        <w:t xml:space="preserve">funding </w:t>
      </w:r>
      <w:r w:rsidRPr="00576DC7">
        <w:rPr>
          <w:color w:val="auto"/>
        </w:rPr>
        <w:t>profile for this measure is not for publication</w:t>
      </w:r>
      <w:r w:rsidR="00F61CBE" w:rsidRPr="00576DC7">
        <w:rPr>
          <w:color w:val="auto"/>
        </w:rPr>
        <w:t xml:space="preserve"> due to commercial sensitivities. The spending outlined in this measure for the purposes of this table only includes </w:t>
      </w:r>
      <w:r w:rsidR="00800B13" w:rsidRPr="00576DC7">
        <w:rPr>
          <w:color w:val="auto"/>
        </w:rPr>
        <w:t xml:space="preserve">the </w:t>
      </w:r>
      <w:r w:rsidR="00F61CBE" w:rsidRPr="00576DC7">
        <w:rPr>
          <w:color w:val="auto"/>
        </w:rPr>
        <w:t xml:space="preserve">Green Aluminium Production Credit and </w:t>
      </w:r>
      <w:r w:rsidR="00800B13" w:rsidRPr="00576DC7">
        <w:rPr>
          <w:color w:val="auto"/>
        </w:rPr>
        <w:t>the</w:t>
      </w:r>
      <w:r w:rsidR="00F61CBE" w:rsidRPr="00576DC7">
        <w:rPr>
          <w:color w:val="auto"/>
        </w:rPr>
        <w:t xml:space="preserve"> Green Iron </w:t>
      </w:r>
      <w:r w:rsidR="00050BE1" w:rsidRPr="00576DC7">
        <w:rPr>
          <w:color w:val="auto"/>
        </w:rPr>
        <w:t>Investment</w:t>
      </w:r>
      <w:r w:rsidR="00F61CBE" w:rsidRPr="00576DC7">
        <w:rPr>
          <w:color w:val="auto"/>
        </w:rPr>
        <w:t xml:space="preserve"> Fund related funding</w:t>
      </w:r>
      <w:r w:rsidR="00E33470" w:rsidRPr="00576DC7">
        <w:rPr>
          <w:color w:val="auto"/>
        </w:rPr>
        <w:t xml:space="preserve">. </w:t>
      </w:r>
    </w:p>
    <w:p w14:paraId="3839ABE5" w14:textId="7A6A0114" w:rsidR="00876F6D" w:rsidRPr="00576DC7" w:rsidRDefault="00A93C9B" w:rsidP="008B2739">
      <w:pPr>
        <w:pStyle w:val="ChartandTableFootnoteAlpha"/>
        <w:rPr>
          <w:rFonts w:eastAsia="Book Antiqua"/>
          <w:color w:val="auto"/>
        </w:rPr>
      </w:pPr>
      <w:r w:rsidRPr="00576DC7">
        <w:rPr>
          <w:rFonts w:eastAsia="Book Antiqua"/>
          <w:color w:val="auto"/>
        </w:rPr>
        <w:t>The spending outlined in this measure for the purposes of this table includes Infrastructure Investment Program projects that support flood resilience, including upgrades to Townson Road, Burdekin Road and Garfield Road West in New South Wales</w:t>
      </w:r>
      <w:r w:rsidR="00630E8E" w:rsidRPr="00576DC7">
        <w:rPr>
          <w:rFonts w:eastAsia="Book Antiqua"/>
          <w:color w:val="auto"/>
        </w:rPr>
        <w:t>.</w:t>
      </w:r>
    </w:p>
    <w:p w14:paraId="549B816A" w14:textId="0396AA6E" w:rsidR="004449F9" w:rsidRPr="00576DC7" w:rsidRDefault="00876F6D" w:rsidP="008B2739">
      <w:pPr>
        <w:pStyle w:val="ChartandTableFootnoteAlpha"/>
        <w:rPr>
          <w:rFonts w:eastAsia="Book Antiqua"/>
          <w:color w:val="auto"/>
        </w:rPr>
      </w:pPr>
      <w:r w:rsidRPr="00576DC7">
        <w:rPr>
          <w:rFonts w:eastAsia="Book Antiqua"/>
          <w:color w:val="auto"/>
        </w:rPr>
        <w:t xml:space="preserve">The funding profile for </w:t>
      </w:r>
      <w:r w:rsidR="00A86D0F" w:rsidRPr="00576DC7">
        <w:rPr>
          <w:rFonts w:eastAsia="Book Antiqua"/>
          <w:color w:val="auto"/>
        </w:rPr>
        <w:t xml:space="preserve">this measure is not for publication due to commercial sensitivities. </w:t>
      </w:r>
    </w:p>
    <w:p w14:paraId="6524B9F3" w14:textId="3369FDB2" w:rsidR="00E12677" w:rsidRPr="00576DC7" w:rsidRDefault="00E12677" w:rsidP="00733DD8">
      <w:pPr>
        <w:pStyle w:val="TableLine"/>
      </w:pPr>
    </w:p>
    <w:p w14:paraId="2EA32E1B" w14:textId="77777777" w:rsidR="00B346ED" w:rsidRPr="00576DC7" w:rsidRDefault="00B346ED" w:rsidP="004E64AB">
      <w:r w:rsidRPr="00576DC7">
        <w:br w:type="page"/>
      </w:r>
    </w:p>
    <w:p w14:paraId="2951731F" w14:textId="3DDB8E39" w:rsidR="00B2621F" w:rsidRPr="00045045" w:rsidRDefault="00B2621F" w:rsidP="00045045">
      <w:pPr>
        <w:pStyle w:val="Heading1"/>
      </w:pPr>
      <w:r w:rsidRPr="00045045">
        <w:lastRenderedPageBreak/>
        <w:t>Appendix A: Other fiscal aggregates</w:t>
      </w:r>
      <w:bookmarkEnd w:id="140"/>
    </w:p>
    <w:p w14:paraId="34BA3B9D" w14:textId="334AACE8" w:rsidR="00B2621F" w:rsidRPr="00576DC7" w:rsidRDefault="00B2621F" w:rsidP="00045045">
      <w:pPr>
        <w:pStyle w:val="Heading2"/>
      </w:pPr>
      <w:bookmarkStart w:id="150" w:name="_Toc117356572"/>
      <w:bookmarkStart w:id="151" w:name="_Toc193537063"/>
      <w:bookmarkStart w:id="152" w:name="_Hlk193537154"/>
      <w:r w:rsidRPr="00576DC7">
        <w:t xml:space="preserve">Accrual </w:t>
      </w:r>
      <w:r w:rsidRPr="00045045">
        <w:t>aggregates</w:t>
      </w:r>
      <w:bookmarkEnd w:id="150"/>
      <w:bookmarkEnd w:id="151"/>
    </w:p>
    <w:bookmarkEnd w:id="152"/>
    <w:p w14:paraId="678DB738" w14:textId="67D00B46" w:rsidR="00B2621F" w:rsidRPr="00712254" w:rsidRDefault="00B2621F" w:rsidP="00B2621F">
      <w:r w:rsidRPr="00576DC7">
        <w:t xml:space="preserve">Accrual accounting records income and costs at the time they are incurred. Cash accounting records income and costs at </w:t>
      </w:r>
      <w:r w:rsidR="0023421C" w:rsidRPr="00576DC7">
        <w:t xml:space="preserve">the </w:t>
      </w:r>
      <w:r w:rsidRPr="00576DC7">
        <w:t xml:space="preserve">time of </w:t>
      </w:r>
      <w:r w:rsidR="00F171DA" w:rsidRPr="00576DC7">
        <w:t xml:space="preserve">the </w:t>
      </w:r>
      <w:r w:rsidRPr="00576DC7">
        <w:t>associated actual cash flow. Differences in estimates arise where there is a difference between the timing of an activity and the associated cash flow.</w:t>
      </w:r>
    </w:p>
    <w:p w14:paraId="42BAE098" w14:textId="677DFFED" w:rsidR="00B2621F" w:rsidRPr="00576DC7" w:rsidRDefault="00B2621F" w:rsidP="00702DD6">
      <w:pPr>
        <w:pStyle w:val="Heading3"/>
      </w:pPr>
      <w:bookmarkStart w:id="153" w:name="_Toc193537064"/>
      <w:r w:rsidRPr="00576DC7">
        <w:t>Net operating balance estimates</w:t>
      </w:r>
      <w:bookmarkEnd w:id="153"/>
    </w:p>
    <w:p w14:paraId="16470DB9" w14:textId="51F48EA1" w:rsidR="00B2621F" w:rsidRPr="00576DC7" w:rsidRDefault="00B2621F" w:rsidP="00B2621F">
      <w:r w:rsidRPr="00576DC7">
        <w:t>The net operating balance is an accrual measure, reflecting revenue minus expenses. It excludes the fiscal impact of the Australian Government</w:t>
      </w:r>
      <w:r w:rsidR="00404C26">
        <w:t>’</w:t>
      </w:r>
      <w:r w:rsidRPr="00576DC7">
        <w:t>s net new capital expenditure.</w:t>
      </w:r>
    </w:p>
    <w:p w14:paraId="3EE63844" w14:textId="5EF7E7A1" w:rsidR="00B2621F" w:rsidRPr="00712254" w:rsidRDefault="00B2621F" w:rsidP="00B2621F">
      <w:r w:rsidRPr="00576DC7">
        <w:t xml:space="preserve">The net operating balance is expected to be a </w:t>
      </w:r>
      <w:r w:rsidR="00155232" w:rsidRPr="00576DC7">
        <w:t>deficit</w:t>
      </w:r>
      <w:r w:rsidRPr="00576DC7">
        <w:t xml:space="preserve"> of $</w:t>
      </w:r>
      <w:r w:rsidR="00123017" w:rsidRPr="00576DC7">
        <w:t>45</w:t>
      </w:r>
      <w:r w:rsidR="008571DA" w:rsidRPr="00576DC7">
        <w:t>.</w:t>
      </w:r>
      <w:r w:rsidR="00123017" w:rsidRPr="00576DC7">
        <w:t>2</w:t>
      </w:r>
      <w:r w:rsidR="002B4DA7" w:rsidRPr="00576DC7">
        <w:t> </w:t>
      </w:r>
      <w:r w:rsidRPr="00576DC7">
        <w:t>billion (</w:t>
      </w:r>
      <w:r w:rsidR="00D6563F" w:rsidRPr="00576DC7">
        <w:t>1</w:t>
      </w:r>
      <w:r w:rsidR="008571DA" w:rsidRPr="00576DC7">
        <w:t>.</w:t>
      </w:r>
      <w:r w:rsidR="00D6563F" w:rsidRPr="00576DC7">
        <w:t>6</w:t>
      </w:r>
      <w:r w:rsidRPr="00576DC7">
        <w:t> per cent of GDP) in 202</w:t>
      </w:r>
      <w:r w:rsidR="008571DA" w:rsidRPr="00576DC7">
        <w:t>4</w:t>
      </w:r>
      <w:r w:rsidRPr="00576DC7">
        <w:t>–2</w:t>
      </w:r>
      <w:r w:rsidR="008571DA" w:rsidRPr="00576DC7">
        <w:t>5</w:t>
      </w:r>
      <w:r w:rsidRPr="00576DC7">
        <w:t xml:space="preserve"> (Table 3.</w:t>
      </w:r>
      <w:r w:rsidR="00600C83" w:rsidRPr="00576DC7">
        <w:t>7</w:t>
      </w:r>
      <w:r w:rsidRPr="00576DC7">
        <w:t>). It is expected to be a deficit of $</w:t>
      </w:r>
      <w:r w:rsidR="00C37030" w:rsidRPr="00576DC7">
        <w:t>35.4</w:t>
      </w:r>
      <w:r w:rsidR="002B4DA7" w:rsidRPr="00576DC7">
        <w:t> </w:t>
      </w:r>
      <w:r w:rsidRPr="00576DC7">
        <w:t>billion (</w:t>
      </w:r>
      <w:r w:rsidR="00C37030" w:rsidRPr="00576DC7">
        <w:t>1.2</w:t>
      </w:r>
      <w:r w:rsidRPr="00576DC7">
        <w:t> per cent</w:t>
      </w:r>
      <w:r w:rsidR="002B4DA7" w:rsidRPr="00576DC7">
        <w:t xml:space="preserve"> </w:t>
      </w:r>
      <w:r w:rsidRPr="00576DC7">
        <w:t>of</w:t>
      </w:r>
      <w:r w:rsidR="002B4DA7" w:rsidRPr="00576DC7">
        <w:t xml:space="preserve"> </w:t>
      </w:r>
      <w:r w:rsidRPr="00576DC7">
        <w:t>GDP) in 202</w:t>
      </w:r>
      <w:r w:rsidR="008571DA" w:rsidRPr="00576DC7">
        <w:t>5</w:t>
      </w:r>
      <w:r w:rsidRPr="00576DC7">
        <w:t>–2</w:t>
      </w:r>
      <w:r w:rsidR="008571DA" w:rsidRPr="00576DC7">
        <w:t>6</w:t>
      </w:r>
      <w:r w:rsidRPr="00576DC7">
        <w:t>, compared to an expected deficit of $</w:t>
      </w:r>
      <w:r w:rsidR="00A70D18" w:rsidRPr="00576DC7">
        <w:t>41</w:t>
      </w:r>
      <w:r w:rsidRPr="00576DC7">
        <w:t>.</w:t>
      </w:r>
      <w:r w:rsidR="00A70D18" w:rsidRPr="00576DC7">
        <w:t>4</w:t>
      </w:r>
      <w:r w:rsidRPr="00576DC7">
        <w:t xml:space="preserve"> billion </w:t>
      </w:r>
      <w:r w:rsidR="001A490B" w:rsidRPr="00576DC7">
        <w:t>at</w:t>
      </w:r>
      <w:r w:rsidRPr="00576DC7">
        <w:t xml:space="preserve"> MYEFO.</w:t>
      </w:r>
      <w:r w:rsidR="007318B5" w:rsidRPr="00576DC7">
        <w:t xml:space="preserve"> </w:t>
      </w:r>
    </w:p>
    <w:p w14:paraId="21095C2D" w14:textId="436A4578" w:rsidR="00B2621F" w:rsidRPr="00576DC7" w:rsidRDefault="00B2621F" w:rsidP="00702DD6">
      <w:pPr>
        <w:pStyle w:val="Heading3"/>
      </w:pPr>
      <w:bookmarkStart w:id="154" w:name="_Toc193537065"/>
      <w:r w:rsidRPr="00576DC7">
        <w:t>Fiscal balance</w:t>
      </w:r>
      <w:bookmarkEnd w:id="154"/>
    </w:p>
    <w:p w14:paraId="7F21EB28" w14:textId="7951C3EE" w:rsidR="00B2621F" w:rsidRPr="00576DC7" w:rsidRDefault="00B2621F" w:rsidP="00B2621F">
      <w:r w:rsidRPr="00576DC7">
        <w:t xml:space="preserve">The fiscal balance is the accrual equivalent of the underlying cash balance and equals the net operating balance </w:t>
      </w:r>
      <w:r w:rsidR="00852C23" w:rsidRPr="00576DC7">
        <w:t>less</w:t>
      </w:r>
      <w:r w:rsidRPr="00576DC7">
        <w:t xml:space="preserve"> net new capital investment. </w:t>
      </w:r>
    </w:p>
    <w:p w14:paraId="3D82D2A5" w14:textId="77F9C0E7" w:rsidR="00690015" w:rsidRDefault="00B2621F" w:rsidP="00F047A1">
      <w:r w:rsidRPr="00576DC7">
        <w:t xml:space="preserve">The fiscal balance is expected to be a </w:t>
      </w:r>
      <w:r w:rsidR="007822C5" w:rsidRPr="00576DC7">
        <w:t>defici</w:t>
      </w:r>
      <w:r w:rsidR="00EB47A0" w:rsidRPr="00576DC7">
        <w:t>t</w:t>
      </w:r>
      <w:r w:rsidRPr="00576DC7">
        <w:t xml:space="preserve"> of $</w:t>
      </w:r>
      <w:r w:rsidR="00EA6E5C" w:rsidRPr="00576DC7">
        <w:t>50.6</w:t>
      </w:r>
      <w:r w:rsidRPr="00576DC7">
        <w:t> billion (</w:t>
      </w:r>
      <w:r w:rsidR="005B4F11" w:rsidRPr="00576DC7">
        <w:t>1.8</w:t>
      </w:r>
      <w:r w:rsidRPr="00576DC7">
        <w:t> per cent of GDP) in 202</w:t>
      </w:r>
      <w:r w:rsidR="00944D24" w:rsidRPr="00576DC7">
        <w:t>4</w:t>
      </w:r>
      <w:r w:rsidRPr="00576DC7">
        <w:t>–2</w:t>
      </w:r>
      <w:r w:rsidR="00944D24" w:rsidRPr="00576DC7">
        <w:t>5</w:t>
      </w:r>
      <w:r w:rsidRPr="00576DC7">
        <w:t xml:space="preserve"> </w:t>
      </w:r>
      <w:r w:rsidRPr="00576DC7">
        <w:rPr>
          <w:spacing w:val="-2"/>
        </w:rPr>
        <w:t>(Table 3.</w:t>
      </w:r>
      <w:r w:rsidR="00446D50" w:rsidRPr="00576DC7">
        <w:rPr>
          <w:spacing w:val="-2"/>
        </w:rPr>
        <w:t>7</w:t>
      </w:r>
      <w:r w:rsidRPr="00576DC7">
        <w:rPr>
          <w:spacing w:val="-2"/>
        </w:rPr>
        <w:t>). It is expected to be a deficit</w:t>
      </w:r>
      <w:r w:rsidR="00B93641" w:rsidRPr="00576DC7">
        <w:rPr>
          <w:spacing w:val="-2"/>
        </w:rPr>
        <w:t xml:space="preserve"> </w:t>
      </w:r>
      <w:r w:rsidRPr="00576DC7">
        <w:rPr>
          <w:spacing w:val="-2"/>
        </w:rPr>
        <w:t>of $</w:t>
      </w:r>
      <w:r w:rsidR="00FF3720" w:rsidRPr="00576DC7">
        <w:rPr>
          <w:spacing w:val="-2"/>
        </w:rPr>
        <w:t>44.2</w:t>
      </w:r>
      <w:r w:rsidRPr="00576DC7">
        <w:rPr>
          <w:spacing w:val="-2"/>
        </w:rPr>
        <w:t> billion (</w:t>
      </w:r>
      <w:r w:rsidR="00FF3720" w:rsidRPr="00576DC7">
        <w:rPr>
          <w:spacing w:val="-2"/>
        </w:rPr>
        <w:t>1.5</w:t>
      </w:r>
      <w:r w:rsidRPr="00576DC7">
        <w:rPr>
          <w:spacing w:val="-2"/>
        </w:rPr>
        <w:t> per cent of GDP) in 202</w:t>
      </w:r>
      <w:r w:rsidR="00944D24" w:rsidRPr="00576DC7">
        <w:rPr>
          <w:spacing w:val="-2"/>
        </w:rPr>
        <w:t>5</w:t>
      </w:r>
      <w:r w:rsidRPr="00576DC7">
        <w:rPr>
          <w:spacing w:val="-2"/>
        </w:rPr>
        <w:t>–2</w:t>
      </w:r>
      <w:r w:rsidR="00944D24" w:rsidRPr="00576DC7">
        <w:rPr>
          <w:spacing w:val="-2"/>
        </w:rPr>
        <w:t>6</w:t>
      </w:r>
      <w:r w:rsidRPr="00576DC7">
        <w:rPr>
          <w:spacing w:val="-2"/>
        </w:rPr>
        <w:t>,</w:t>
      </w:r>
      <w:r w:rsidRPr="00576DC7">
        <w:t xml:space="preserve"> compared to an expected deficit of $</w:t>
      </w:r>
      <w:r w:rsidR="007C1571" w:rsidRPr="00576DC7">
        <w:t>49</w:t>
      </w:r>
      <w:r w:rsidRPr="00576DC7">
        <w:t>.</w:t>
      </w:r>
      <w:r w:rsidR="007C1571" w:rsidRPr="00576DC7">
        <w:t>7</w:t>
      </w:r>
      <w:r w:rsidR="002B4DA7" w:rsidRPr="00576DC7">
        <w:t> </w:t>
      </w:r>
      <w:r w:rsidRPr="00576DC7">
        <w:t>billion</w:t>
      </w:r>
      <w:r w:rsidRPr="00576DC7">
        <w:rPr>
          <w:spacing w:val="-2"/>
        </w:rPr>
        <w:t xml:space="preserve"> </w:t>
      </w:r>
      <w:r w:rsidR="005D2439" w:rsidRPr="00576DC7">
        <w:rPr>
          <w:spacing w:val="-2"/>
        </w:rPr>
        <w:t>at</w:t>
      </w:r>
      <w:r w:rsidRPr="00576DC7">
        <w:t xml:space="preserve"> MYEFO.</w:t>
      </w:r>
      <w:r w:rsidR="007C54B0" w:rsidRPr="00576DC7">
        <w:t xml:space="preserve"> </w:t>
      </w:r>
    </w:p>
    <w:p w14:paraId="59A03562" w14:textId="5318C2E6" w:rsidR="0063752F" w:rsidRDefault="00B2621F" w:rsidP="0063752F">
      <w:pPr>
        <w:pStyle w:val="TableHeading"/>
        <w:rPr>
          <w:rFonts w:asciiTheme="minorHAnsi" w:eastAsiaTheme="minorEastAsia" w:hAnsiTheme="minorHAnsi" w:cstheme="minorBidi"/>
          <w:sz w:val="22"/>
          <w:szCs w:val="22"/>
          <w:lang w:eastAsia="en-US"/>
        </w:rPr>
      </w:pPr>
      <w:r w:rsidRPr="00576DC7">
        <w:t>Table 3.</w:t>
      </w:r>
      <w:r w:rsidR="00446D50" w:rsidRPr="00576DC7">
        <w:t>7</w:t>
      </w:r>
      <w:r w:rsidRPr="00576DC7">
        <w:t>: Australian Government general government sector accrual aggregates</w:t>
      </w:r>
      <w:r w:rsidR="00017DC2" w:rsidRPr="00576DC7">
        <w:t xml:space="preserve"> </w:t>
      </w:r>
      <w:bookmarkStart w:id="155" w:name="_1803822488"/>
      <w:bookmarkStart w:id="156" w:name="_1804054150"/>
      <w:bookmarkStart w:id="157" w:name="_1804053290"/>
      <w:bookmarkStart w:id="158" w:name="_1804053825"/>
      <w:bookmarkStart w:id="159" w:name="_1804053574"/>
      <w:bookmarkStart w:id="160" w:name="_1803883752"/>
      <w:bookmarkStart w:id="161" w:name="_1803891224"/>
      <w:bookmarkStart w:id="162" w:name="_1803892335"/>
      <w:bookmarkEnd w:id="155"/>
      <w:bookmarkEnd w:id="156"/>
      <w:bookmarkEnd w:id="157"/>
      <w:bookmarkEnd w:id="158"/>
      <w:bookmarkEnd w:id="159"/>
      <w:bookmarkEnd w:id="160"/>
      <w:bookmarkEnd w:id="161"/>
      <w:bookmarkEnd w:id="162"/>
    </w:p>
    <w:tbl>
      <w:tblPr>
        <w:tblW w:w="7710" w:type="dxa"/>
        <w:tblCellMar>
          <w:left w:w="0" w:type="dxa"/>
          <w:right w:w="28" w:type="dxa"/>
        </w:tblCellMar>
        <w:tblLook w:val="04A0" w:firstRow="1" w:lastRow="0" w:firstColumn="1" w:lastColumn="0" w:noHBand="0" w:noVBand="1"/>
      </w:tblPr>
      <w:tblGrid>
        <w:gridCol w:w="2460"/>
        <w:gridCol w:w="737"/>
        <w:gridCol w:w="116"/>
        <w:gridCol w:w="725"/>
        <w:gridCol w:w="703"/>
        <w:gridCol w:w="703"/>
        <w:gridCol w:w="704"/>
        <w:gridCol w:w="704"/>
        <w:gridCol w:w="116"/>
        <w:gridCol w:w="742"/>
      </w:tblGrid>
      <w:tr w:rsidR="0063752F" w:rsidRPr="0063752F" w14:paraId="225949D0" w14:textId="77777777" w:rsidTr="591FF694">
        <w:trPr>
          <w:trHeight w:hRule="exact" w:val="225"/>
        </w:trPr>
        <w:tc>
          <w:tcPr>
            <w:tcW w:w="2452" w:type="dxa"/>
            <w:tcBorders>
              <w:top w:val="single" w:sz="4" w:space="0" w:color="293F5B"/>
              <w:left w:val="nil"/>
              <w:bottom w:val="nil"/>
              <w:right w:val="nil"/>
            </w:tcBorders>
            <w:shd w:val="clear" w:color="auto" w:fill="FFFFFF" w:themeFill="background1"/>
            <w:noWrap/>
            <w:vAlign w:val="center"/>
            <w:hideMark/>
          </w:tcPr>
          <w:p w14:paraId="26933226" w14:textId="75019AE5" w:rsidR="0063752F" w:rsidRPr="0063752F" w:rsidRDefault="0063752F" w:rsidP="0063752F">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9" w:type="dxa"/>
            <w:tcBorders>
              <w:top w:val="single" w:sz="4" w:space="0" w:color="293F5B"/>
              <w:left w:val="nil"/>
              <w:bottom w:val="single" w:sz="4" w:space="0" w:color="000000" w:themeColor="text1"/>
              <w:right w:val="nil"/>
            </w:tcBorders>
            <w:shd w:val="clear" w:color="auto" w:fill="FFFFFF" w:themeFill="background1"/>
            <w:noWrap/>
            <w:vAlign w:val="center"/>
            <w:hideMark/>
          </w:tcPr>
          <w:p w14:paraId="77F7AEBF" w14:textId="77777777" w:rsidR="0063752F" w:rsidRPr="0063752F" w:rsidRDefault="0063752F" w:rsidP="0063752F">
            <w:pPr>
              <w:spacing w:before="0" w:after="0" w:line="240" w:lineRule="auto"/>
              <w:jc w:val="center"/>
              <w:rPr>
                <w:rFonts w:ascii="Arial" w:hAnsi="Arial" w:cs="Arial"/>
                <w:sz w:val="16"/>
                <w:szCs w:val="16"/>
              </w:rPr>
            </w:pPr>
            <w:r w:rsidRPr="0063752F">
              <w:rPr>
                <w:rFonts w:ascii="Arial" w:hAnsi="Arial" w:cs="Arial"/>
                <w:sz w:val="16"/>
                <w:szCs w:val="16"/>
              </w:rPr>
              <w:t>Actual</w:t>
            </w:r>
          </w:p>
        </w:tc>
        <w:tc>
          <w:tcPr>
            <w:tcW w:w="108" w:type="dxa"/>
            <w:tcBorders>
              <w:top w:val="single" w:sz="4" w:space="0" w:color="293F5B"/>
              <w:left w:val="nil"/>
              <w:bottom w:val="nil"/>
              <w:right w:val="nil"/>
            </w:tcBorders>
            <w:shd w:val="clear" w:color="auto" w:fill="FFFFFF" w:themeFill="background1"/>
            <w:noWrap/>
            <w:vAlign w:val="center"/>
            <w:hideMark/>
          </w:tcPr>
          <w:p w14:paraId="73F7D882" w14:textId="77777777" w:rsidR="0063752F" w:rsidRPr="0063752F" w:rsidRDefault="0063752F" w:rsidP="0063752F">
            <w:pPr>
              <w:spacing w:before="0" w:after="0" w:line="240" w:lineRule="auto"/>
              <w:jc w:val="center"/>
              <w:rPr>
                <w:rFonts w:ascii="Arial" w:hAnsi="Arial" w:cs="Arial"/>
                <w:color w:val="000000"/>
                <w:sz w:val="16"/>
                <w:szCs w:val="16"/>
              </w:rPr>
            </w:pPr>
            <w:r w:rsidRPr="591FF694">
              <w:rPr>
                <w:rFonts w:ascii="Arial" w:hAnsi="Arial" w:cs="Arial"/>
                <w:color w:val="000000" w:themeColor="text1"/>
                <w:sz w:val="16"/>
                <w:szCs w:val="16"/>
              </w:rPr>
              <w:t> </w:t>
            </w:r>
          </w:p>
        </w:tc>
        <w:tc>
          <w:tcPr>
            <w:tcW w:w="3585" w:type="dxa"/>
            <w:gridSpan w:val="5"/>
            <w:tcBorders>
              <w:top w:val="single" w:sz="4" w:space="0" w:color="293F5B"/>
              <w:left w:val="nil"/>
              <w:bottom w:val="single" w:sz="4" w:space="0" w:color="auto"/>
              <w:right w:val="nil"/>
            </w:tcBorders>
            <w:shd w:val="clear" w:color="auto" w:fill="FFFFFF" w:themeFill="background1"/>
            <w:vAlign w:val="center"/>
          </w:tcPr>
          <w:p w14:paraId="5B89B0B2" w14:textId="77777777" w:rsidR="0063752F" w:rsidRDefault="0063752F" w:rsidP="0063752F">
            <w:pPr>
              <w:spacing w:before="0" w:after="0" w:line="240" w:lineRule="auto"/>
              <w:jc w:val="center"/>
              <w:rPr>
                <w:rFonts w:ascii="Arial" w:hAnsi="Arial" w:cs="Arial"/>
                <w:color w:val="000000" w:themeColor="text1"/>
                <w:sz w:val="16"/>
                <w:szCs w:val="16"/>
              </w:rPr>
            </w:pPr>
            <w:r w:rsidRPr="591FF694">
              <w:rPr>
                <w:rFonts w:ascii="Arial" w:hAnsi="Arial" w:cs="Arial"/>
                <w:color w:val="000000" w:themeColor="text1"/>
                <w:sz w:val="16"/>
                <w:szCs w:val="16"/>
              </w:rPr>
              <w:t>Estimates</w:t>
            </w:r>
          </w:p>
        </w:tc>
        <w:tc>
          <w:tcPr>
            <w:tcW w:w="70" w:type="pct"/>
            <w:tcBorders>
              <w:top w:val="single" w:sz="4" w:space="0" w:color="293F5B"/>
              <w:left w:val="nil"/>
              <w:bottom w:val="nil"/>
              <w:right w:val="nil"/>
            </w:tcBorders>
            <w:shd w:val="clear" w:color="000000" w:fill="FFFFFF"/>
            <w:noWrap/>
            <w:vAlign w:val="center"/>
            <w:hideMark/>
          </w:tcPr>
          <w:p w14:paraId="77849CFB" w14:textId="77777777" w:rsidR="0063752F" w:rsidRPr="0063752F" w:rsidRDefault="0063752F" w:rsidP="0063752F">
            <w:pPr>
              <w:spacing w:before="0" w:after="0" w:line="240" w:lineRule="auto"/>
              <w:rPr>
                <w:rFonts w:ascii="Arial" w:hAnsi="Arial" w:cs="Arial"/>
                <w:color w:val="000000"/>
                <w:sz w:val="16"/>
                <w:szCs w:val="16"/>
              </w:rPr>
            </w:pPr>
            <w:r w:rsidRPr="0063752F">
              <w:rPr>
                <w:rFonts w:ascii="Arial" w:hAnsi="Arial" w:cs="Arial"/>
                <w:color w:val="000000"/>
                <w:sz w:val="16"/>
                <w:szCs w:val="16"/>
              </w:rPr>
              <w:t> </w:t>
            </w:r>
          </w:p>
        </w:tc>
        <w:tc>
          <w:tcPr>
            <w:tcW w:w="473" w:type="pct"/>
            <w:tcBorders>
              <w:top w:val="single" w:sz="4" w:space="0" w:color="293F5B"/>
              <w:left w:val="nil"/>
              <w:bottom w:val="nil"/>
              <w:right w:val="nil"/>
            </w:tcBorders>
            <w:shd w:val="clear" w:color="000000" w:fill="FFFFFF"/>
            <w:noWrap/>
            <w:vAlign w:val="center"/>
            <w:hideMark/>
          </w:tcPr>
          <w:p w14:paraId="35874B1C" w14:textId="77777777" w:rsidR="0063752F" w:rsidRPr="0063752F" w:rsidRDefault="0063752F" w:rsidP="0063752F">
            <w:pPr>
              <w:spacing w:before="0" w:after="0" w:line="240" w:lineRule="auto"/>
              <w:rPr>
                <w:rFonts w:ascii="Arial" w:hAnsi="Arial" w:cs="Arial"/>
                <w:color w:val="000000"/>
                <w:sz w:val="16"/>
                <w:szCs w:val="16"/>
              </w:rPr>
            </w:pPr>
            <w:r w:rsidRPr="0063752F">
              <w:rPr>
                <w:rFonts w:ascii="Arial" w:hAnsi="Arial" w:cs="Arial"/>
                <w:color w:val="000000"/>
                <w:sz w:val="16"/>
                <w:szCs w:val="16"/>
              </w:rPr>
              <w:t> </w:t>
            </w:r>
          </w:p>
        </w:tc>
      </w:tr>
      <w:tr w:rsidR="000C254E" w:rsidRPr="0063752F" w14:paraId="15217614" w14:textId="77777777" w:rsidTr="591FF694">
        <w:trPr>
          <w:trHeight w:val="225"/>
        </w:trPr>
        <w:tc>
          <w:tcPr>
            <w:tcW w:w="2452" w:type="dxa"/>
            <w:tcBorders>
              <w:top w:val="nil"/>
              <w:left w:val="nil"/>
              <w:bottom w:val="nil"/>
              <w:right w:val="nil"/>
            </w:tcBorders>
            <w:shd w:val="clear" w:color="auto" w:fill="FFFFFF" w:themeFill="background1"/>
            <w:noWrap/>
            <w:vAlign w:val="center"/>
            <w:hideMark/>
          </w:tcPr>
          <w:p w14:paraId="567185D4" w14:textId="77777777" w:rsidR="0063752F" w:rsidRPr="0063752F" w:rsidRDefault="0063752F" w:rsidP="0063752F">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9" w:type="dxa"/>
            <w:tcBorders>
              <w:top w:val="single" w:sz="4" w:space="0" w:color="293F5B"/>
              <w:left w:val="nil"/>
              <w:bottom w:val="nil"/>
              <w:right w:val="nil"/>
            </w:tcBorders>
            <w:shd w:val="clear" w:color="auto" w:fill="FFFFFF" w:themeFill="background1"/>
            <w:noWrap/>
            <w:vAlign w:val="center"/>
            <w:hideMark/>
          </w:tcPr>
          <w:p w14:paraId="5C280AFA" w14:textId="151BC953"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2023</w:t>
            </w:r>
            <w:r w:rsidR="00404C26">
              <w:rPr>
                <w:rFonts w:ascii="Arial" w:hAnsi="Arial" w:cs="Arial"/>
                <w:sz w:val="16"/>
                <w:szCs w:val="16"/>
              </w:rPr>
              <w:noBreakHyphen/>
            </w:r>
            <w:r w:rsidRPr="0063752F">
              <w:rPr>
                <w:rFonts w:ascii="Arial" w:hAnsi="Arial" w:cs="Arial"/>
                <w:sz w:val="16"/>
                <w:szCs w:val="16"/>
              </w:rPr>
              <w:t>24</w:t>
            </w:r>
          </w:p>
        </w:tc>
        <w:tc>
          <w:tcPr>
            <w:tcW w:w="108" w:type="dxa"/>
            <w:tcBorders>
              <w:top w:val="nil"/>
              <w:left w:val="nil"/>
              <w:bottom w:val="nil"/>
              <w:right w:val="nil"/>
            </w:tcBorders>
            <w:shd w:val="clear" w:color="auto" w:fill="FFFFFF" w:themeFill="background1"/>
            <w:noWrap/>
            <w:vAlign w:val="center"/>
            <w:hideMark/>
          </w:tcPr>
          <w:p w14:paraId="073A076B" w14:textId="77777777" w:rsidR="0063752F" w:rsidRPr="0063752F" w:rsidRDefault="0063752F" w:rsidP="0063752F">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 </w:t>
            </w:r>
          </w:p>
        </w:tc>
        <w:tc>
          <w:tcPr>
            <w:tcW w:w="717" w:type="dxa"/>
            <w:tcBorders>
              <w:top w:val="single" w:sz="4" w:space="0" w:color="293F5B"/>
              <w:left w:val="nil"/>
              <w:bottom w:val="nil"/>
              <w:right w:val="nil"/>
            </w:tcBorders>
            <w:shd w:val="clear" w:color="auto" w:fill="FFFFFF" w:themeFill="background1"/>
            <w:noWrap/>
            <w:vAlign w:val="center"/>
            <w:hideMark/>
          </w:tcPr>
          <w:p w14:paraId="583B4B3E" w14:textId="3A6F6884" w:rsidR="0063752F" w:rsidRPr="0063752F" w:rsidRDefault="0063752F" w:rsidP="0063752F">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2024</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25</w:t>
            </w:r>
          </w:p>
        </w:tc>
        <w:tc>
          <w:tcPr>
            <w:tcW w:w="717" w:type="dxa"/>
            <w:tcBorders>
              <w:top w:val="single" w:sz="4" w:space="0" w:color="293F5B"/>
              <w:left w:val="nil"/>
              <w:bottom w:val="nil"/>
              <w:right w:val="nil"/>
            </w:tcBorders>
            <w:shd w:val="clear" w:color="auto" w:fill="E6F2FF"/>
            <w:vAlign w:val="center"/>
          </w:tcPr>
          <w:p w14:paraId="75C26C47" w14:textId="06AB083E" w:rsidR="0063752F" w:rsidRDefault="0063752F" w:rsidP="0063752F">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2025</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26</w:t>
            </w:r>
          </w:p>
        </w:tc>
        <w:tc>
          <w:tcPr>
            <w:tcW w:w="717" w:type="dxa"/>
            <w:tcBorders>
              <w:top w:val="single" w:sz="4" w:space="0" w:color="293F5B"/>
              <w:left w:val="nil"/>
              <w:bottom w:val="nil"/>
              <w:right w:val="nil"/>
            </w:tcBorders>
            <w:shd w:val="clear" w:color="auto" w:fill="FFFFFF" w:themeFill="background1"/>
            <w:vAlign w:val="center"/>
          </w:tcPr>
          <w:p w14:paraId="3EC0C911" w14:textId="2DE9CB71" w:rsidR="0063752F" w:rsidRDefault="0063752F" w:rsidP="0063752F">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2026</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27</w:t>
            </w:r>
          </w:p>
        </w:tc>
        <w:tc>
          <w:tcPr>
            <w:tcW w:w="717" w:type="dxa"/>
            <w:tcBorders>
              <w:top w:val="single" w:sz="4" w:space="0" w:color="293F5B"/>
              <w:left w:val="nil"/>
              <w:bottom w:val="nil"/>
              <w:right w:val="nil"/>
            </w:tcBorders>
            <w:shd w:val="clear" w:color="auto" w:fill="FFFFFF" w:themeFill="background1"/>
            <w:vAlign w:val="center"/>
          </w:tcPr>
          <w:p w14:paraId="04EE72F6" w14:textId="7BC43725" w:rsidR="0063752F" w:rsidRDefault="0063752F" w:rsidP="0063752F">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2027</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28</w:t>
            </w:r>
          </w:p>
        </w:tc>
        <w:tc>
          <w:tcPr>
            <w:tcW w:w="717" w:type="dxa"/>
            <w:tcBorders>
              <w:top w:val="single" w:sz="4" w:space="0" w:color="293F5B"/>
              <w:left w:val="nil"/>
              <w:bottom w:val="nil"/>
              <w:right w:val="nil"/>
            </w:tcBorders>
            <w:shd w:val="clear" w:color="auto" w:fill="FFFFFF" w:themeFill="background1"/>
            <w:vAlign w:val="center"/>
          </w:tcPr>
          <w:p w14:paraId="4ABCFC6B" w14:textId="441CFA77" w:rsidR="0063752F" w:rsidRDefault="0063752F" w:rsidP="0063752F">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2028</w:t>
            </w:r>
            <w:r w:rsidR="00404C26">
              <w:rPr>
                <w:rFonts w:ascii="Arial" w:hAnsi="Arial" w:cs="Arial"/>
                <w:color w:val="000000" w:themeColor="text1"/>
                <w:sz w:val="16"/>
                <w:szCs w:val="16"/>
              </w:rPr>
              <w:noBreakHyphen/>
            </w:r>
            <w:r w:rsidRPr="591FF694">
              <w:rPr>
                <w:rFonts w:ascii="Arial" w:hAnsi="Arial" w:cs="Arial"/>
                <w:color w:val="000000" w:themeColor="text1"/>
                <w:sz w:val="16"/>
                <w:szCs w:val="16"/>
              </w:rPr>
              <w:t>29</w:t>
            </w:r>
          </w:p>
        </w:tc>
        <w:tc>
          <w:tcPr>
            <w:tcW w:w="108" w:type="dxa"/>
            <w:tcBorders>
              <w:top w:val="nil"/>
              <w:left w:val="nil"/>
              <w:bottom w:val="nil"/>
              <w:right w:val="nil"/>
            </w:tcBorders>
            <w:shd w:val="clear" w:color="auto" w:fill="FFFFFF" w:themeFill="background1"/>
            <w:noWrap/>
            <w:vAlign w:val="center"/>
            <w:hideMark/>
          </w:tcPr>
          <w:p w14:paraId="4F2C5F6D" w14:textId="77777777" w:rsidR="0063752F" w:rsidRPr="0063752F" w:rsidRDefault="0063752F" w:rsidP="0063752F">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 </w:t>
            </w:r>
          </w:p>
        </w:tc>
        <w:tc>
          <w:tcPr>
            <w:tcW w:w="728" w:type="dxa"/>
            <w:tcBorders>
              <w:top w:val="single" w:sz="4" w:space="0" w:color="293F5B"/>
              <w:left w:val="nil"/>
              <w:bottom w:val="nil"/>
              <w:right w:val="nil"/>
            </w:tcBorders>
            <w:shd w:val="clear" w:color="auto" w:fill="FFFFFF" w:themeFill="background1"/>
            <w:noWrap/>
            <w:vAlign w:val="center"/>
            <w:hideMark/>
          </w:tcPr>
          <w:p w14:paraId="7455A82B" w14:textId="77777777" w:rsidR="0063752F" w:rsidRPr="0063752F" w:rsidRDefault="0063752F" w:rsidP="0063752F">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Total(a)</w:t>
            </w:r>
          </w:p>
        </w:tc>
      </w:tr>
      <w:tr w:rsidR="000C254E" w:rsidRPr="0063752F" w14:paraId="7AF1A234" w14:textId="77777777" w:rsidTr="591FF694">
        <w:trPr>
          <w:trHeight w:hRule="exact" w:val="225"/>
        </w:trPr>
        <w:tc>
          <w:tcPr>
            <w:tcW w:w="2452" w:type="dxa"/>
            <w:tcBorders>
              <w:top w:val="nil"/>
              <w:left w:val="nil"/>
              <w:bottom w:val="nil"/>
              <w:right w:val="nil"/>
            </w:tcBorders>
            <w:shd w:val="clear" w:color="auto" w:fill="FFFFFF" w:themeFill="background1"/>
            <w:noWrap/>
            <w:vAlign w:val="center"/>
            <w:hideMark/>
          </w:tcPr>
          <w:p w14:paraId="3FBBABDE" w14:textId="77777777" w:rsidR="0063752F" w:rsidRPr="0063752F" w:rsidRDefault="0063752F" w:rsidP="0063752F">
            <w:pPr>
              <w:spacing w:before="0" w:after="0" w:line="240" w:lineRule="auto"/>
              <w:rPr>
                <w:rFonts w:ascii="Arial" w:hAnsi="Arial" w:cs="Arial"/>
                <w:color w:val="000000"/>
                <w:sz w:val="16"/>
                <w:szCs w:val="16"/>
              </w:rPr>
            </w:pPr>
            <w:r w:rsidRPr="591FF694">
              <w:rPr>
                <w:rFonts w:ascii="Arial" w:hAnsi="Arial" w:cs="Arial"/>
                <w:color w:val="000000" w:themeColor="text1"/>
                <w:sz w:val="16"/>
                <w:szCs w:val="16"/>
              </w:rPr>
              <w:t> </w:t>
            </w:r>
          </w:p>
        </w:tc>
        <w:tc>
          <w:tcPr>
            <w:tcW w:w="729" w:type="dxa"/>
            <w:tcBorders>
              <w:top w:val="nil"/>
              <w:left w:val="nil"/>
              <w:bottom w:val="nil"/>
              <w:right w:val="nil"/>
            </w:tcBorders>
            <w:shd w:val="clear" w:color="auto" w:fill="FFFFFF" w:themeFill="background1"/>
            <w:noWrap/>
            <w:vAlign w:val="center"/>
            <w:hideMark/>
          </w:tcPr>
          <w:p w14:paraId="1DBD2BE2"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$b</w:t>
            </w:r>
          </w:p>
        </w:tc>
        <w:tc>
          <w:tcPr>
            <w:tcW w:w="108" w:type="dxa"/>
            <w:tcBorders>
              <w:top w:val="nil"/>
              <w:left w:val="nil"/>
              <w:bottom w:val="nil"/>
              <w:right w:val="nil"/>
            </w:tcBorders>
            <w:shd w:val="clear" w:color="auto" w:fill="FFFFFF" w:themeFill="background1"/>
            <w:noWrap/>
            <w:vAlign w:val="center"/>
            <w:hideMark/>
          </w:tcPr>
          <w:p w14:paraId="7D493478" w14:textId="77777777" w:rsidR="0063752F" w:rsidRPr="0063752F" w:rsidRDefault="0063752F" w:rsidP="0063752F">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 </w:t>
            </w:r>
          </w:p>
        </w:tc>
        <w:tc>
          <w:tcPr>
            <w:tcW w:w="717" w:type="dxa"/>
            <w:tcBorders>
              <w:top w:val="nil"/>
              <w:left w:val="nil"/>
              <w:bottom w:val="single" w:sz="4" w:space="0" w:color="293F5B"/>
              <w:right w:val="nil"/>
            </w:tcBorders>
            <w:shd w:val="clear" w:color="auto" w:fill="FFFFFF" w:themeFill="background1"/>
            <w:noWrap/>
            <w:vAlign w:val="center"/>
            <w:hideMark/>
          </w:tcPr>
          <w:p w14:paraId="7C6EE8B6" w14:textId="77777777" w:rsidR="0063752F" w:rsidRPr="0063752F" w:rsidRDefault="0063752F" w:rsidP="0063752F">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$b</w:t>
            </w:r>
          </w:p>
        </w:tc>
        <w:tc>
          <w:tcPr>
            <w:tcW w:w="717" w:type="dxa"/>
            <w:tcBorders>
              <w:top w:val="nil"/>
              <w:left w:val="nil"/>
              <w:bottom w:val="single" w:sz="4" w:space="0" w:color="293F5B"/>
              <w:right w:val="nil"/>
            </w:tcBorders>
            <w:shd w:val="clear" w:color="auto" w:fill="E6F2FF"/>
            <w:vAlign w:val="center"/>
          </w:tcPr>
          <w:p w14:paraId="45E2778B" w14:textId="77777777" w:rsidR="0063752F" w:rsidRDefault="0063752F" w:rsidP="0063752F">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$b</w:t>
            </w:r>
          </w:p>
        </w:tc>
        <w:tc>
          <w:tcPr>
            <w:tcW w:w="717" w:type="dxa"/>
            <w:tcBorders>
              <w:top w:val="nil"/>
              <w:left w:val="nil"/>
              <w:bottom w:val="single" w:sz="4" w:space="0" w:color="293F5B"/>
              <w:right w:val="nil"/>
            </w:tcBorders>
            <w:shd w:val="clear" w:color="auto" w:fill="FFFFFF" w:themeFill="background1"/>
            <w:vAlign w:val="center"/>
          </w:tcPr>
          <w:p w14:paraId="1C10D8DA" w14:textId="77777777" w:rsidR="0063752F" w:rsidRDefault="0063752F" w:rsidP="0063752F">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$b</w:t>
            </w:r>
          </w:p>
        </w:tc>
        <w:tc>
          <w:tcPr>
            <w:tcW w:w="717" w:type="dxa"/>
            <w:tcBorders>
              <w:top w:val="nil"/>
              <w:left w:val="nil"/>
              <w:bottom w:val="single" w:sz="4" w:space="0" w:color="293F5B"/>
              <w:right w:val="nil"/>
            </w:tcBorders>
            <w:shd w:val="clear" w:color="auto" w:fill="FFFFFF" w:themeFill="background1"/>
            <w:vAlign w:val="center"/>
          </w:tcPr>
          <w:p w14:paraId="4D5BF65D" w14:textId="77777777" w:rsidR="0063752F" w:rsidRDefault="0063752F" w:rsidP="0063752F">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$b</w:t>
            </w:r>
          </w:p>
        </w:tc>
        <w:tc>
          <w:tcPr>
            <w:tcW w:w="717" w:type="dxa"/>
            <w:tcBorders>
              <w:top w:val="nil"/>
              <w:left w:val="nil"/>
              <w:bottom w:val="single" w:sz="4" w:space="0" w:color="293F5B"/>
              <w:right w:val="nil"/>
            </w:tcBorders>
            <w:shd w:val="clear" w:color="auto" w:fill="FFFFFF" w:themeFill="background1"/>
            <w:vAlign w:val="center"/>
          </w:tcPr>
          <w:p w14:paraId="5C073F73" w14:textId="77777777" w:rsidR="0063752F" w:rsidRDefault="0063752F" w:rsidP="0063752F">
            <w:pPr>
              <w:spacing w:before="0" w:after="0" w:line="240" w:lineRule="auto"/>
              <w:jc w:val="right"/>
              <w:rPr>
                <w:rFonts w:ascii="Arial" w:hAnsi="Arial" w:cs="Arial"/>
                <w:color w:val="000000" w:themeColor="text1"/>
                <w:sz w:val="16"/>
                <w:szCs w:val="16"/>
              </w:rPr>
            </w:pPr>
            <w:r w:rsidRPr="591FF694">
              <w:rPr>
                <w:rFonts w:ascii="Arial" w:hAnsi="Arial" w:cs="Arial"/>
                <w:color w:val="000000" w:themeColor="text1"/>
                <w:sz w:val="16"/>
                <w:szCs w:val="16"/>
              </w:rPr>
              <w:t>$b</w:t>
            </w:r>
          </w:p>
        </w:tc>
        <w:tc>
          <w:tcPr>
            <w:tcW w:w="108" w:type="dxa"/>
            <w:tcBorders>
              <w:top w:val="nil"/>
              <w:left w:val="nil"/>
              <w:bottom w:val="nil"/>
              <w:right w:val="nil"/>
            </w:tcBorders>
            <w:shd w:val="clear" w:color="auto" w:fill="FFFFFF" w:themeFill="background1"/>
            <w:noWrap/>
            <w:vAlign w:val="center"/>
            <w:hideMark/>
          </w:tcPr>
          <w:p w14:paraId="1D1A0DAC" w14:textId="77777777" w:rsidR="0063752F" w:rsidRPr="0063752F" w:rsidRDefault="0063752F" w:rsidP="0063752F">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 </w:t>
            </w:r>
          </w:p>
        </w:tc>
        <w:tc>
          <w:tcPr>
            <w:tcW w:w="728" w:type="dxa"/>
            <w:tcBorders>
              <w:top w:val="nil"/>
              <w:left w:val="nil"/>
              <w:bottom w:val="nil"/>
              <w:right w:val="nil"/>
            </w:tcBorders>
            <w:shd w:val="clear" w:color="auto" w:fill="FFFFFF" w:themeFill="background1"/>
            <w:noWrap/>
            <w:vAlign w:val="center"/>
            <w:hideMark/>
          </w:tcPr>
          <w:p w14:paraId="0B8B52BC" w14:textId="77777777" w:rsidR="0063752F" w:rsidRPr="0063752F" w:rsidRDefault="0063752F" w:rsidP="0063752F">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$b</w:t>
            </w:r>
          </w:p>
        </w:tc>
      </w:tr>
      <w:tr w:rsidR="000C254E" w:rsidRPr="0063752F" w14:paraId="07E436C3" w14:textId="77777777" w:rsidTr="591FF694">
        <w:trPr>
          <w:trHeight w:hRule="exact" w:val="60"/>
        </w:trPr>
        <w:tc>
          <w:tcPr>
            <w:tcW w:w="2452" w:type="dxa"/>
            <w:tcBorders>
              <w:top w:val="nil"/>
              <w:left w:val="nil"/>
              <w:bottom w:val="nil"/>
              <w:right w:val="nil"/>
            </w:tcBorders>
            <w:shd w:val="clear" w:color="auto" w:fill="FFFFFF" w:themeFill="background1"/>
            <w:noWrap/>
            <w:vAlign w:val="center"/>
            <w:hideMark/>
          </w:tcPr>
          <w:p w14:paraId="22E88FAA" w14:textId="77777777" w:rsidR="0063752F" w:rsidRPr="0063752F" w:rsidRDefault="0063752F" w:rsidP="0063752F">
            <w:pPr>
              <w:spacing w:before="0" w:after="0" w:line="240" w:lineRule="auto"/>
              <w:rPr>
                <w:rFonts w:ascii="Arial" w:hAnsi="Arial" w:cs="Arial"/>
                <w:sz w:val="16"/>
                <w:szCs w:val="16"/>
              </w:rPr>
            </w:pPr>
            <w:r w:rsidRPr="0063752F">
              <w:rPr>
                <w:rFonts w:ascii="Arial" w:hAnsi="Arial" w:cs="Arial"/>
                <w:sz w:val="16"/>
                <w:szCs w:val="16"/>
              </w:rPr>
              <w:t> </w:t>
            </w:r>
          </w:p>
        </w:tc>
        <w:tc>
          <w:tcPr>
            <w:tcW w:w="729" w:type="dxa"/>
            <w:tcBorders>
              <w:top w:val="single" w:sz="4" w:space="0" w:color="293F5B"/>
              <w:left w:val="nil"/>
              <w:bottom w:val="nil"/>
              <w:right w:val="nil"/>
            </w:tcBorders>
            <w:shd w:val="clear" w:color="auto" w:fill="FFFFFF" w:themeFill="background1"/>
            <w:noWrap/>
            <w:vAlign w:val="center"/>
            <w:hideMark/>
          </w:tcPr>
          <w:p w14:paraId="4EDC4074"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108" w:type="dxa"/>
            <w:tcBorders>
              <w:top w:val="nil"/>
              <w:left w:val="nil"/>
              <w:bottom w:val="nil"/>
              <w:right w:val="nil"/>
            </w:tcBorders>
            <w:shd w:val="clear" w:color="auto" w:fill="FFFFFF" w:themeFill="background1"/>
            <w:noWrap/>
            <w:vAlign w:val="center"/>
            <w:hideMark/>
          </w:tcPr>
          <w:p w14:paraId="72A177DB"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noWrap/>
            <w:vAlign w:val="center"/>
            <w:hideMark/>
          </w:tcPr>
          <w:p w14:paraId="378004F8"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E6F2FF"/>
            <w:vAlign w:val="center"/>
          </w:tcPr>
          <w:p w14:paraId="454B7409"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vAlign w:val="center"/>
          </w:tcPr>
          <w:p w14:paraId="7AAF6438"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vAlign w:val="center"/>
          </w:tcPr>
          <w:p w14:paraId="35A4A836"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vAlign w:val="center"/>
          </w:tcPr>
          <w:p w14:paraId="08D600CE"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108" w:type="dxa"/>
            <w:tcBorders>
              <w:top w:val="nil"/>
              <w:left w:val="nil"/>
              <w:bottom w:val="nil"/>
              <w:right w:val="nil"/>
            </w:tcBorders>
            <w:shd w:val="clear" w:color="auto" w:fill="FFFFFF" w:themeFill="background1"/>
            <w:noWrap/>
            <w:vAlign w:val="center"/>
            <w:hideMark/>
          </w:tcPr>
          <w:p w14:paraId="14E98281"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28" w:type="dxa"/>
            <w:tcBorders>
              <w:top w:val="single" w:sz="4" w:space="0" w:color="293F5B"/>
              <w:left w:val="nil"/>
              <w:bottom w:val="nil"/>
              <w:right w:val="nil"/>
            </w:tcBorders>
            <w:shd w:val="clear" w:color="auto" w:fill="FFFFFF" w:themeFill="background1"/>
            <w:noWrap/>
            <w:vAlign w:val="center"/>
            <w:hideMark/>
          </w:tcPr>
          <w:p w14:paraId="5D405405" w14:textId="77777777" w:rsidR="0063752F" w:rsidRPr="0063752F" w:rsidRDefault="0063752F" w:rsidP="0063752F">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 </w:t>
            </w:r>
          </w:p>
        </w:tc>
      </w:tr>
      <w:tr w:rsidR="000C254E" w:rsidRPr="0063752F" w14:paraId="648D3DEA" w14:textId="77777777" w:rsidTr="591FF694">
        <w:trPr>
          <w:trHeight w:hRule="exact" w:val="225"/>
        </w:trPr>
        <w:tc>
          <w:tcPr>
            <w:tcW w:w="2452" w:type="dxa"/>
            <w:tcBorders>
              <w:top w:val="nil"/>
              <w:left w:val="nil"/>
              <w:bottom w:val="nil"/>
              <w:right w:val="nil"/>
            </w:tcBorders>
            <w:shd w:val="clear" w:color="auto" w:fill="FFFFFF" w:themeFill="background1"/>
            <w:noWrap/>
            <w:vAlign w:val="center"/>
            <w:hideMark/>
          </w:tcPr>
          <w:p w14:paraId="59157C61" w14:textId="77777777" w:rsidR="0063752F" w:rsidRPr="0063752F" w:rsidRDefault="0063752F" w:rsidP="0063752F">
            <w:pPr>
              <w:spacing w:before="0" w:after="0" w:line="240" w:lineRule="auto"/>
              <w:rPr>
                <w:rFonts w:ascii="Arial" w:hAnsi="Arial" w:cs="Arial"/>
                <w:b/>
                <w:bCs/>
                <w:color w:val="000000"/>
                <w:sz w:val="16"/>
                <w:szCs w:val="16"/>
              </w:rPr>
            </w:pPr>
            <w:r w:rsidRPr="591FF694">
              <w:rPr>
                <w:rFonts w:ascii="Arial" w:hAnsi="Arial" w:cs="Arial"/>
                <w:b/>
                <w:color w:val="000000" w:themeColor="text1"/>
                <w:sz w:val="16"/>
                <w:szCs w:val="16"/>
              </w:rPr>
              <w:t>Revenue</w:t>
            </w:r>
          </w:p>
        </w:tc>
        <w:tc>
          <w:tcPr>
            <w:tcW w:w="729" w:type="dxa"/>
            <w:tcBorders>
              <w:top w:val="nil"/>
              <w:left w:val="nil"/>
              <w:bottom w:val="nil"/>
              <w:right w:val="nil"/>
            </w:tcBorders>
            <w:shd w:val="clear" w:color="auto" w:fill="FFFFFF" w:themeFill="background1"/>
            <w:noWrap/>
            <w:vAlign w:val="center"/>
            <w:hideMark/>
          </w:tcPr>
          <w:p w14:paraId="28516F27" w14:textId="77777777" w:rsidR="0063752F" w:rsidRPr="0063752F" w:rsidRDefault="0063752F" w:rsidP="0063752F">
            <w:pPr>
              <w:spacing w:before="0" w:after="0" w:line="240" w:lineRule="auto"/>
              <w:jc w:val="right"/>
              <w:rPr>
                <w:rFonts w:ascii="Arial" w:hAnsi="Arial" w:cs="Arial"/>
                <w:b/>
                <w:bCs/>
                <w:color w:val="000000"/>
                <w:sz w:val="16"/>
                <w:szCs w:val="16"/>
              </w:rPr>
            </w:pPr>
            <w:r w:rsidRPr="591FF694">
              <w:rPr>
                <w:rFonts w:ascii="Arial" w:hAnsi="Arial" w:cs="Arial"/>
                <w:b/>
                <w:color w:val="000000" w:themeColor="text1"/>
                <w:sz w:val="16"/>
                <w:szCs w:val="16"/>
              </w:rPr>
              <w:t>704.5</w:t>
            </w:r>
          </w:p>
        </w:tc>
        <w:tc>
          <w:tcPr>
            <w:tcW w:w="108" w:type="dxa"/>
            <w:tcBorders>
              <w:top w:val="nil"/>
              <w:left w:val="nil"/>
              <w:bottom w:val="nil"/>
              <w:right w:val="nil"/>
            </w:tcBorders>
            <w:shd w:val="clear" w:color="auto" w:fill="FFFFFF" w:themeFill="background1"/>
            <w:noWrap/>
            <w:vAlign w:val="center"/>
            <w:hideMark/>
          </w:tcPr>
          <w:p w14:paraId="572203CF" w14:textId="77777777" w:rsidR="0063752F" w:rsidRPr="0063752F" w:rsidRDefault="0063752F" w:rsidP="0063752F">
            <w:pPr>
              <w:spacing w:before="0" w:after="0" w:line="240" w:lineRule="auto"/>
              <w:jc w:val="right"/>
              <w:rPr>
                <w:rFonts w:ascii="Arial" w:hAnsi="Arial" w:cs="Arial"/>
                <w:b/>
                <w:bCs/>
                <w:color w:val="33CCCC"/>
                <w:sz w:val="16"/>
                <w:szCs w:val="16"/>
              </w:rPr>
            </w:pPr>
            <w:r w:rsidRPr="0063752F">
              <w:rPr>
                <w:rFonts w:ascii="Arial" w:hAnsi="Arial" w:cs="Arial"/>
                <w:b/>
                <w:bCs/>
                <w:color w:val="33CCCC"/>
                <w:sz w:val="16"/>
                <w:szCs w:val="16"/>
              </w:rPr>
              <w:t> </w:t>
            </w:r>
          </w:p>
        </w:tc>
        <w:tc>
          <w:tcPr>
            <w:tcW w:w="717" w:type="dxa"/>
            <w:tcBorders>
              <w:top w:val="nil"/>
              <w:left w:val="nil"/>
              <w:bottom w:val="nil"/>
              <w:right w:val="nil"/>
            </w:tcBorders>
            <w:shd w:val="clear" w:color="auto" w:fill="FFFFFF" w:themeFill="background1"/>
            <w:noWrap/>
            <w:vAlign w:val="center"/>
            <w:hideMark/>
          </w:tcPr>
          <w:p w14:paraId="4EF8F178" w14:textId="77777777" w:rsidR="0063752F" w:rsidRPr="0063752F" w:rsidRDefault="0063752F" w:rsidP="0063752F">
            <w:pPr>
              <w:spacing w:before="0" w:after="0" w:line="240" w:lineRule="auto"/>
              <w:jc w:val="right"/>
              <w:rPr>
                <w:rFonts w:ascii="Arial" w:hAnsi="Arial" w:cs="Arial"/>
                <w:b/>
                <w:bCs/>
                <w:color w:val="000000"/>
                <w:sz w:val="16"/>
                <w:szCs w:val="16"/>
              </w:rPr>
            </w:pPr>
            <w:r w:rsidRPr="591FF694">
              <w:rPr>
                <w:rFonts w:ascii="Arial" w:hAnsi="Arial" w:cs="Arial"/>
                <w:b/>
                <w:color w:val="000000" w:themeColor="text1"/>
                <w:sz w:val="16"/>
                <w:szCs w:val="16"/>
              </w:rPr>
              <w:t>717.6</w:t>
            </w:r>
          </w:p>
        </w:tc>
        <w:tc>
          <w:tcPr>
            <w:tcW w:w="717" w:type="dxa"/>
            <w:tcBorders>
              <w:top w:val="nil"/>
              <w:left w:val="nil"/>
              <w:bottom w:val="nil"/>
              <w:right w:val="nil"/>
            </w:tcBorders>
            <w:shd w:val="clear" w:color="auto" w:fill="E6F2FF"/>
            <w:vAlign w:val="center"/>
          </w:tcPr>
          <w:p w14:paraId="3F545732" w14:textId="77777777" w:rsidR="0063752F" w:rsidRDefault="0063752F" w:rsidP="0063752F">
            <w:pPr>
              <w:spacing w:before="0" w:after="0" w:line="240" w:lineRule="auto"/>
              <w:jc w:val="right"/>
              <w:rPr>
                <w:rFonts w:ascii="Arial" w:hAnsi="Arial" w:cs="Arial"/>
                <w:b/>
                <w:color w:val="000000" w:themeColor="text1"/>
                <w:sz w:val="16"/>
                <w:szCs w:val="16"/>
              </w:rPr>
            </w:pPr>
            <w:r w:rsidRPr="591FF694">
              <w:rPr>
                <w:rFonts w:ascii="Arial" w:hAnsi="Arial" w:cs="Arial"/>
                <w:b/>
                <w:color w:val="000000" w:themeColor="text1"/>
                <w:sz w:val="16"/>
                <w:szCs w:val="16"/>
              </w:rPr>
              <w:t>750.3</w:t>
            </w:r>
          </w:p>
        </w:tc>
        <w:tc>
          <w:tcPr>
            <w:tcW w:w="717" w:type="dxa"/>
            <w:tcBorders>
              <w:top w:val="nil"/>
              <w:left w:val="nil"/>
              <w:bottom w:val="nil"/>
              <w:right w:val="nil"/>
            </w:tcBorders>
            <w:shd w:val="clear" w:color="auto" w:fill="FFFFFF" w:themeFill="background1"/>
            <w:vAlign w:val="center"/>
          </w:tcPr>
          <w:p w14:paraId="21A1E166" w14:textId="77777777" w:rsidR="0063752F" w:rsidRDefault="0063752F" w:rsidP="0063752F">
            <w:pPr>
              <w:spacing w:before="0" w:after="0" w:line="240" w:lineRule="auto"/>
              <w:jc w:val="right"/>
              <w:rPr>
                <w:rFonts w:ascii="Arial" w:hAnsi="Arial" w:cs="Arial"/>
                <w:b/>
                <w:color w:val="000000" w:themeColor="text1"/>
                <w:sz w:val="16"/>
                <w:szCs w:val="16"/>
              </w:rPr>
            </w:pPr>
            <w:r w:rsidRPr="591FF694">
              <w:rPr>
                <w:rFonts w:ascii="Arial" w:hAnsi="Arial" w:cs="Arial"/>
                <w:b/>
                <w:color w:val="000000" w:themeColor="text1"/>
                <w:sz w:val="16"/>
                <w:szCs w:val="16"/>
              </w:rPr>
              <w:t>783.6</w:t>
            </w:r>
          </w:p>
        </w:tc>
        <w:tc>
          <w:tcPr>
            <w:tcW w:w="717" w:type="dxa"/>
            <w:tcBorders>
              <w:top w:val="nil"/>
              <w:left w:val="nil"/>
              <w:bottom w:val="nil"/>
              <w:right w:val="nil"/>
            </w:tcBorders>
            <w:shd w:val="clear" w:color="auto" w:fill="FFFFFF" w:themeFill="background1"/>
            <w:vAlign w:val="center"/>
          </w:tcPr>
          <w:p w14:paraId="5A50BD6D" w14:textId="77777777" w:rsidR="0063752F" w:rsidRDefault="0063752F" w:rsidP="0063752F">
            <w:pPr>
              <w:spacing w:before="0" w:after="0" w:line="240" w:lineRule="auto"/>
              <w:jc w:val="right"/>
              <w:rPr>
                <w:rFonts w:ascii="Arial" w:hAnsi="Arial" w:cs="Arial"/>
                <w:b/>
                <w:color w:val="000000" w:themeColor="text1"/>
                <w:sz w:val="16"/>
                <w:szCs w:val="16"/>
              </w:rPr>
            </w:pPr>
            <w:r w:rsidRPr="591FF694">
              <w:rPr>
                <w:rFonts w:ascii="Arial" w:hAnsi="Arial" w:cs="Arial"/>
                <w:b/>
                <w:color w:val="000000" w:themeColor="text1"/>
                <w:sz w:val="16"/>
                <w:szCs w:val="16"/>
              </w:rPr>
              <w:t>815.4</w:t>
            </w:r>
          </w:p>
        </w:tc>
        <w:tc>
          <w:tcPr>
            <w:tcW w:w="717" w:type="dxa"/>
            <w:tcBorders>
              <w:top w:val="nil"/>
              <w:left w:val="nil"/>
              <w:bottom w:val="nil"/>
              <w:right w:val="nil"/>
            </w:tcBorders>
            <w:shd w:val="clear" w:color="auto" w:fill="FFFFFF" w:themeFill="background1"/>
            <w:vAlign w:val="center"/>
          </w:tcPr>
          <w:p w14:paraId="667FE15A" w14:textId="77777777" w:rsidR="0063752F" w:rsidRDefault="0063752F" w:rsidP="0063752F">
            <w:pPr>
              <w:spacing w:before="0" w:after="0" w:line="240" w:lineRule="auto"/>
              <w:jc w:val="right"/>
              <w:rPr>
                <w:rFonts w:ascii="Arial" w:hAnsi="Arial" w:cs="Arial"/>
                <w:b/>
                <w:color w:val="000000" w:themeColor="text1"/>
                <w:sz w:val="16"/>
                <w:szCs w:val="16"/>
              </w:rPr>
            </w:pPr>
            <w:r w:rsidRPr="591FF694">
              <w:rPr>
                <w:rFonts w:ascii="Arial" w:hAnsi="Arial" w:cs="Arial"/>
                <w:b/>
                <w:color w:val="000000" w:themeColor="text1"/>
                <w:sz w:val="16"/>
                <w:szCs w:val="16"/>
              </w:rPr>
              <w:t>862.5</w:t>
            </w:r>
          </w:p>
        </w:tc>
        <w:tc>
          <w:tcPr>
            <w:tcW w:w="108" w:type="dxa"/>
            <w:tcBorders>
              <w:top w:val="nil"/>
              <w:left w:val="nil"/>
              <w:bottom w:val="nil"/>
              <w:right w:val="nil"/>
            </w:tcBorders>
            <w:shd w:val="clear" w:color="auto" w:fill="FFFFFF" w:themeFill="background1"/>
            <w:noWrap/>
            <w:vAlign w:val="center"/>
            <w:hideMark/>
          </w:tcPr>
          <w:p w14:paraId="52F522F8" w14:textId="77777777" w:rsidR="0063752F" w:rsidRPr="0063752F" w:rsidRDefault="0063752F" w:rsidP="0063752F">
            <w:pPr>
              <w:spacing w:before="0" w:after="0" w:line="240" w:lineRule="auto"/>
              <w:jc w:val="right"/>
              <w:rPr>
                <w:rFonts w:ascii="Arial" w:hAnsi="Arial" w:cs="Arial"/>
                <w:b/>
                <w:bCs/>
                <w:color w:val="000000"/>
                <w:sz w:val="16"/>
                <w:szCs w:val="16"/>
              </w:rPr>
            </w:pPr>
            <w:r w:rsidRPr="591FF694">
              <w:rPr>
                <w:rFonts w:ascii="Arial" w:hAnsi="Arial" w:cs="Arial"/>
                <w:b/>
                <w:color w:val="000000" w:themeColor="text1"/>
                <w:sz w:val="16"/>
                <w:szCs w:val="16"/>
              </w:rPr>
              <w:t> </w:t>
            </w:r>
          </w:p>
        </w:tc>
        <w:tc>
          <w:tcPr>
            <w:tcW w:w="728" w:type="dxa"/>
            <w:tcBorders>
              <w:top w:val="nil"/>
              <w:left w:val="nil"/>
              <w:bottom w:val="nil"/>
              <w:right w:val="nil"/>
            </w:tcBorders>
            <w:shd w:val="clear" w:color="auto" w:fill="FFFFFF" w:themeFill="background1"/>
            <w:noWrap/>
            <w:vAlign w:val="center"/>
            <w:hideMark/>
          </w:tcPr>
          <w:p w14:paraId="214B65CD" w14:textId="77777777" w:rsidR="0063752F" w:rsidRPr="0063752F" w:rsidRDefault="0063752F" w:rsidP="0063752F">
            <w:pPr>
              <w:spacing w:before="0" w:after="0" w:line="240" w:lineRule="auto"/>
              <w:jc w:val="right"/>
              <w:rPr>
                <w:rFonts w:ascii="Arial" w:hAnsi="Arial" w:cs="Arial"/>
                <w:b/>
                <w:bCs/>
                <w:color w:val="000000"/>
                <w:sz w:val="16"/>
                <w:szCs w:val="16"/>
              </w:rPr>
            </w:pPr>
            <w:r w:rsidRPr="591FF694">
              <w:rPr>
                <w:rFonts w:ascii="Arial" w:hAnsi="Arial" w:cs="Arial"/>
                <w:b/>
                <w:color w:val="000000" w:themeColor="text1"/>
                <w:sz w:val="16"/>
                <w:szCs w:val="16"/>
              </w:rPr>
              <w:t>3,929.3</w:t>
            </w:r>
          </w:p>
        </w:tc>
      </w:tr>
      <w:tr w:rsidR="000C254E" w:rsidRPr="0063752F" w14:paraId="3A135F3A" w14:textId="77777777" w:rsidTr="591FF694">
        <w:trPr>
          <w:trHeight w:hRule="exact" w:val="225"/>
        </w:trPr>
        <w:tc>
          <w:tcPr>
            <w:tcW w:w="2452" w:type="dxa"/>
            <w:tcBorders>
              <w:top w:val="nil"/>
              <w:left w:val="nil"/>
              <w:bottom w:val="nil"/>
              <w:right w:val="nil"/>
            </w:tcBorders>
            <w:shd w:val="clear" w:color="auto" w:fill="FFFFFF" w:themeFill="background1"/>
            <w:noWrap/>
            <w:vAlign w:val="center"/>
            <w:hideMark/>
          </w:tcPr>
          <w:p w14:paraId="198D2F0C" w14:textId="77777777" w:rsidR="0063752F" w:rsidRPr="0063752F" w:rsidRDefault="0063752F" w:rsidP="0063752F">
            <w:pPr>
              <w:spacing w:before="0" w:after="0" w:line="240" w:lineRule="auto"/>
              <w:rPr>
                <w:rFonts w:ascii="Arial" w:hAnsi="Arial" w:cs="Arial"/>
                <w:sz w:val="16"/>
                <w:szCs w:val="16"/>
              </w:rPr>
            </w:pPr>
            <w:r w:rsidRPr="0063752F">
              <w:rPr>
                <w:rFonts w:ascii="Arial" w:hAnsi="Arial" w:cs="Arial"/>
                <w:sz w:val="16"/>
                <w:szCs w:val="16"/>
              </w:rPr>
              <w:t>Per cent of GDP</w:t>
            </w:r>
          </w:p>
        </w:tc>
        <w:tc>
          <w:tcPr>
            <w:tcW w:w="729" w:type="dxa"/>
            <w:tcBorders>
              <w:top w:val="nil"/>
              <w:left w:val="nil"/>
              <w:bottom w:val="nil"/>
              <w:right w:val="nil"/>
            </w:tcBorders>
            <w:shd w:val="clear" w:color="auto" w:fill="FFFFFF" w:themeFill="background1"/>
            <w:noWrap/>
            <w:vAlign w:val="center"/>
            <w:hideMark/>
          </w:tcPr>
          <w:p w14:paraId="5852AE8F"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26.4</w:t>
            </w:r>
          </w:p>
        </w:tc>
        <w:tc>
          <w:tcPr>
            <w:tcW w:w="108" w:type="dxa"/>
            <w:tcBorders>
              <w:top w:val="nil"/>
              <w:left w:val="nil"/>
              <w:bottom w:val="nil"/>
              <w:right w:val="nil"/>
            </w:tcBorders>
            <w:shd w:val="clear" w:color="auto" w:fill="FFFFFF" w:themeFill="background1"/>
            <w:noWrap/>
            <w:vAlign w:val="center"/>
            <w:hideMark/>
          </w:tcPr>
          <w:p w14:paraId="76FF7D8F" w14:textId="77777777" w:rsidR="0063752F" w:rsidRPr="0063752F" w:rsidRDefault="0063752F" w:rsidP="0063752F">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 </w:t>
            </w:r>
          </w:p>
        </w:tc>
        <w:tc>
          <w:tcPr>
            <w:tcW w:w="717" w:type="dxa"/>
            <w:tcBorders>
              <w:top w:val="nil"/>
              <w:left w:val="nil"/>
              <w:bottom w:val="nil"/>
              <w:right w:val="nil"/>
            </w:tcBorders>
            <w:shd w:val="clear" w:color="auto" w:fill="FFFFFF" w:themeFill="background1"/>
            <w:noWrap/>
            <w:vAlign w:val="center"/>
            <w:hideMark/>
          </w:tcPr>
          <w:p w14:paraId="4280E071"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25.7</w:t>
            </w:r>
          </w:p>
        </w:tc>
        <w:tc>
          <w:tcPr>
            <w:tcW w:w="717" w:type="dxa"/>
            <w:tcBorders>
              <w:top w:val="nil"/>
              <w:left w:val="nil"/>
              <w:bottom w:val="nil"/>
              <w:right w:val="nil"/>
            </w:tcBorders>
            <w:shd w:val="clear" w:color="auto" w:fill="E6F2FF"/>
            <w:vAlign w:val="center"/>
          </w:tcPr>
          <w:p w14:paraId="652F34E0"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26.1</w:t>
            </w:r>
          </w:p>
        </w:tc>
        <w:tc>
          <w:tcPr>
            <w:tcW w:w="717" w:type="dxa"/>
            <w:tcBorders>
              <w:top w:val="nil"/>
              <w:left w:val="nil"/>
              <w:bottom w:val="nil"/>
              <w:right w:val="nil"/>
            </w:tcBorders>
            <w:shd w:val="clear" w:color="auto" w:fill="FFFFFF" w:themeFill="background1"/>
            <w:vAlign w:val="center"/>
          </w:tcPr>
          <w:p w14:paraId="5F0C6FCE"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26.2</w:t>
            </w:r>
          </w:p>
        </w:tc>
        <w:tc>
          <w:tcPr>
            <w:tcW w:w="717" w:type="dxa"/>
            <w:tcBorders>
              <w:top w:val="nil"/>
              <w:left w:val="nil"/>
              <w:bottom w:val="nil"/>
              <w:right w:val="nil"/>
            </w:tcBorders>
            <w:shd w:val="clear" w:color="auto" w:fill="FFFFFF" w:themeFill="background1"/>
            <w:vAlign w:val="center"/>
          </w:tcPr>
          <w:p w14:paraId="7B2A2A64"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25.9</w:t>
            </w:r>
          </w:p>
        </w:tc>
        <w:tc>
          <w:tcPr>
            <w:tcW w:w="717" w:type="dxa"/>
            <w:tcBorders>
              <w:top w:val="nil"/>
              <w:left w:val="nil"/>
              <w:bottom w:val="nil"/>
              <w:right w:val="nil"/>
            </w:tcBorders>
            <w:shd w:val="clear" w:color="auto" w:fill="FFFFFF" w:themeFill="background1"/>
            <w:vAlign w:val="center"/>
          </w:tcPr>
          <w:p w14:paraId="1BA94880"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26.0</w:t>
            </w:r>
          </w:p>
        </w:tc>
        <w:tc>
          <w:tcPr>
            <w:tcW w:w="108" w:type="dxa"/>
            <w:tcBorders>
              <w:top w:val="nil"/>
              <w:left w:val="nil"/>
              <w:bottom w:val="nil"/>
              <w:right w:val="nil"/>
            </w:tcBorders>
            <w:shd w:val="clear" w:color="auto" w:fill="FFFFFF" w:themeFill="background1"/>
            <w:noWrap/>
            <w:vAlign w:val="center"/>
            <w:hideMark/>
          </w:tcPr>
          <w:p w14:paraId="484F07E1"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28" w:type="dxa"/>
            <w:tcBorders>
              <w:top w:val="nil"/>
              <w:left w:val="nil"/>
              <w:bottom w:val="nil"/>
              <w:right w:val="nil"/>
            </w:tcBorders>
            <w:shd w:val="clear" w:color="auto" w:fill="FFFFFF" w:themeFill="background1"/>
            <w:noWrap/>
            <w:vAlign w:val="center"/>
            <w:hideMark/>
          </w:tcPr>
          <w:p w14:paraId="1AEE111E"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r>
      <w:tr w:rsidR="000C254E" w:rsidRPr="0063752F" w14:paraId="7C0B70F5" w14:textId="77777777" w:rsidTr="591FF694">
        <w:trPr>
          <w:trHeight w:hRule="exact" w:val="60"/>
        </w:trPr>
        <w:tc>
          <w:tcPr>
            <w:tcW w:w="2452" w:type="dxa"/>
            <w:tcBorders>
              <w:top w:val="nil"/>
              <w:left w:val="nil"/>
              <w:bottom w:val="nil"/>
              <w:right w:val="nil"/>
            </w:tcBorders>
            <w:shd w:val="clear" w:color="auto" w:fill="FFFFFF" w:themeFill="background1"/>
            <w:noWrap/>
            <w:vAlign w:val="center"/>
            <w:hideMark/>
          </w:tcPr>
          <w:p w14:paraId="1438F7CF" w14:textId="77777777" w:rsidR="0063752F" w:rsidRPr="0063752F" w:rsidRDefault="0063752F" w:rsidP="0063752F">
            <w:pPr>
              <w:spacing w:before="0" w:after="0" w:line="240" w:lineRule="auto"/>
              <w:rPr>
                <w:rFonts w:ascii="Arial" w:hAnsi="Arial" w:cs="Arial"/>
                <w:sz w:val="16"/>
                <w:szCs w:val="16"/>
              </w:rPr>
            </w:pPr>
            <w:r w:rsidRPr="0063752F">
              <w:rPr>
                <w:rFonts w:ascii="Arial" w:hAnsi="Arial" w:cs="Arial"/>
                <w:sz w:val="16"/>
                <w:szCs w:val="16"/>
              </w:rPr>
              <w:t> </w:t>
            </w:r>
          </w:p>
        </w:tc>
        <w:tc>
          <w:tcPr>
            <w:tcW w:w="729" w:type="dxa"/>
            <w:tcBorders>
              <w:top w:val="nil"/>
              <w:left w:val="nil"/>
              <w:bottom w:val="nil"/>
              <w:right w:val="nil"/>
            </w:tcBorders>
            <w:shd w:val="clear" w:color="auto" w:fill="FFFFFF" w:themeFill="background1"/>
            <w:noWrap/>
            <w:vAlign w:val="center"/>
            <w:hideMark/>
          </w:tcPr>
          <w:p w14:paraId="68877B77"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108" w:type="dxa"/>
            <w:tcBorders>
              <w:top w:val="nil"/>
              <w:left w:val="nil"/>
              <w:bottom w:val="nil"/>
              <w:right w:val="nil"/>
            </w:tcBorders>
            <w:shd w:val="clear" w:color="auto" w:fill="FFFFFF" w:themeFill="background1"/>
            <w:noWrap/>
            <w:vAlign w:val="center"/>
            <w:hideMark/>
          </w:tcPr>
          <w:p w14:paraId="30987812" w14:textId="77777777" w:rsidR="0063752F" w:rsidRPr="0063752F" w:rsidRDefault="0063752F" w:rsidP="0063752F">
            <w:pPr>
              <w:spacing w:before="0" w:after="0" w:line="240" w:lineRule="auto"/>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noWrap/>
            <w:vAlign w:val="center"/>
            <w:hideMark/>
          </w:tcPr>
          <w:p w14:paraId="64431D55"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E6F2FF"/>
            <w:vAlign w:val="center"/>
          </w:tcPr>
          <w:p w14:paraId="7DC93B10"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vAlign w:val="center"/>
          </w:tcPr>
          <w:p w14:paraId="2BEBD850"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vAlign w:val="center"/>
          </w:tcPr>
          <w:p w14:paraId="11D64683"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vAlign w:val="center"/>
          </w:tcPr>
          <w:p w14:paraId="645BD413"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108" w:type="dxa"/>
            <w:tcBorders>
              <w:top w:val="nil"/>
              <w:left w:val="nil"/>
              <w:bottom w:val="nil"/>
              <w:right w:val="nil"/>
            </w:tcBorders>
            <w:shd w:val="clear" w:color="auto" w:fill="FFFFFF" w:themeFill="background1"/>
            <w:noWrap/>
            <w:vAlign w:val="center"/>
            <w:hideMark/>
          </w:tcPr>
          <w:p w14:paraId="31E3B77E"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28" w:type="dxa"/>
            <w:tcBorders>
              <w:top w:val="nil"/>
              <w:left w:val="nil"/>
              <w:bottom w:val="nil"/>
              <w:right w:val="nil"/>
            </w:tcBorders>
            <w:shd w:val="clear" w:color="auto" w:fill="FFFFFF" w:themeFill="background1"/>
            <w:noWrap/>
            <w:vAlign w:val="center"/>
            <w:hideMark/>
          </w:tcPr>
          <w:p w14:paraId="08032768"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r>
      <w:tr w:rsidR="000C254E" w:rsidRPr="0063752F" w14:paraId="7B399757" w14:textId="77777777" w:rsidTr="591FF694">
        <w:trPr>
          <w:trHeight w:hRule="exact" w:val="225"/>
        </w:trPr>
        <w:tc>
          <w:tcPr>
            <w:tcW w:w="2452" w:type="dxa"/>
            <w:tcBorders>
              <w:top w:val="nil"/>
              <w:left w:val="nil"/>
              <w:bottom w:val="nil"/>
              <w:right w:val="nil"/>
            </w:tcBorders>
            <w:shd w:val="clear" w:color="auto" w:fill="FFFFFF" w:themeFill="background1"/>
            <w:noWrap/>
            <w:vAlign w:val="center"/>
            <w:hideMark/>
          </w:tcPr>
          <w:p w14:paraId="5DF95F56" w14:textId="77777777" w:rsidR="0063752F" w:rsidRPr="0063752F" w:rsidRDefault="0063752F" w:rsidP="0063752F">
            <w:pPr>
              <w:spacing w:before="0" w:after="0" w:line="240" w:lineRule="auto"/>
              <w:rPr>
                <w:rFonts w:ascii="Arial" w:hAnsi="Arial" w:cs="Arial"/>
                <w:b/>
                <w:bCs/>
                <w:sz w:val="16"/>
                <w:szCs w:val="16"/>
              </w:rPr>
            </w:pPr>
            <w:r w:rsidRPr="0063752F">
              <w:rPr>
                <w:rFonts w:ascii="Arial" w:hAnsi="Arial" w:cs="Arial"/>
                <w:b/>
                <w:bCs/>
                <w:sz w:val="16"/>
                <w:szCs w:val="16"/>
              </w:rPr>
              <w:t>Expenses</w:t>
            </w:r>
          </w:p>
        </w:tc>
        <w:tc>
          <w:tcPr>
            <w:tcW w:w="729" w:type="dxa"/>
            <w:tcBorders>
              <w:top w:val="nil"/>
              <w:left w:val="nil"/>
              <w:bottom w:val="nil"/>
              <w:right w:val="nil"/>
            </w:tcBorders>
            <w:shd w:val="clear" w:color="auto" w:fill="FFFFFF" w:themeFill="background1"/>
            <w:noWrap/>
            <w:vAlign w:val="center"/>
            <w:hideMark/>
          </w:tcPr>
          <w:p w14:paraId="42CB5BA8"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685.9</w:t>
            </w:r>
          </w:p>
        </w:tc>
        <w:tc>
          <w:tcPr>
            <w:tcW w:w="108" w:type="dxa"/>
            <w:tcBorders>
              <w:top w:val="nil"/>
              <w:left w:val="nil"/>
              <w:bottom w:val="nil"/>
              <w:right w:val="nil"/>
            </w:tcBorders>
            <w:shd w:val="clear" w:color="auto" w:fill="FFFFFF" w:themeFill="background1"/>
            <w:noWrap/>
            <w:vAlign w:val="center"/>
            <w:hideMark/>
          </w:tcPr>
          <w:p w14:paraId="0E8807B6"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717" w:type="dxa"/>
            <w:tcBorders>
              <w:top w:val="nil"/>
              <w:left w:val="nil"/>
              <w:bottom w:val="nil"/>
              <w:right w:val="nil"/>
            </w:tcBorders>
            <w:shd w:val="clear" w:color="auto" w:fill="FFFFFF" w:themeFill="background1"/>
            <w:noWrap/>
            <w:vAlign w:val="center"/>
            <w:hideMark/>
          </w:tcPr>
          <w:p w14:paraId="139C9621"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762.8</w:t>
            </w:r>
          </w:p>
        </w:tc>
        <w:tc>
          <w:tcPr>
            <w:tcW w:w="717" w:type="dxa"/>
            <w:tcBorders>
              <w:top w:val="nil"/>
              <w:left w:val="nil"/>
              <w:bottom w:val="nil"/>
              <w:right w:val="nil"/>
            </w:tcBorders>
            <w:shd w:val="clear" w:color="auto" w:fill="E6F2FF"/>
            <w:vAlign w:val="center"/>
          </w:tcPr>
          <w:p w14:paraId="79382EA0" w14:textId="77777777" w:rsidR="0063752F" w:rsidRDefault="0063752F" w:rsidP="0063752F">
            <w:pPr>
              <w:spacing w:before="0" w:after="0" w:line="240" w:lineRule="auto"/>
              <w:jc w:val="right"/>
              <w:rPr>
                <w:rFonts w:ascii="Arial" w:hAnsi="Arial" w:cs="Arial"/>
                <w:b/>
                <w:color w:val="000000" w:themeColor="text1"/>
                <w:sz w:val="16"/>
                <w:szCs w:val="16"/>
              </w:rPr>
            </w:pPr>
            <w:r w:rsidRPr="591FF694">
              <w:rPr>
                <w:rFonts w:ascii="Arial" w:hAnsi="Arial" w:cs="Arial"/>
                <w:b/>
                <w:color w:val="000000" w:themeColor="text1"/>
                <w:sz w:val="16"/>
                <w:szCs w:val="16"/>
              </w:rPr>
              <w:t>785.7</w:t>
            </w:r>
          </w:p>
        </w:tc>
        <w:tc>
          <w:tcPr>
            <w:tcW w:w="717" w:type="dxa"/>
            <w:tcBorders>
              <w:top w:val="nil"/>
              <w:left w:val="nil"/>
              <w:bottom w:val="nil"/>
              <w:right w:val="nil"/>
            </w:tcBorders>
            <w:shd w:val="clear" w:color="auto" w:fill="FFFFFF" w:themeFill="background1"/>
            <w:vAlign w:val="center"/>
          </w:tcPr>
          <w:p w14:paraId="7B61AAA1"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806.6</w:t>
            </w:r>
          </w:p>
        </w:tc>
        <w:tc>
          <w:tcPr>
            <w:tcW w:w="717" w:type="dxa"/>
            <w:tcBorders>
              <w:top w:val="nil"/>
              <w:left w:val="nil"/>
              <w:bottom w:val="nil"/>
              <w:right w:val="nil"/>
            </w:tcBorders>
            <w:shd w:val="clear" w:color="auto" w:fill="FFFFFF" w:themeFill="background1"/>
            <w:vAlign w:val="center"/>
          </w:tcPr>
          <w:p w14:paraId="6CDBE217"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842.9</w:t>
            </w:r>
          </w:p>
        </w:tc>
        <w:tc>
          <w:tcPr>
            <w:tcW w:w="717" w:type="dxa"/>
            <w:tcBorders>
              <w:top w:val="nil"/>
              <w:left w:val="nil"/>
              <w:bottom w:val="nil"/>
              <w:right w:val="nil"/>
            </w:tcBorders>
            <w:shd w:val="clear" w:color="auto" w:fill="FFFFFF" w:themeFill="background1"/>
            <w:vAlign w:val="center"/>
          </w:tcPr>
          <w:p w14:paraId="4A7D7315"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889.4</w:t>
            </w:r>
          </w:p>
        </w:tc>
        <w:tc>
          <w:tcPr>
            <w:tcW w:w="108" w:type="dxa"/>
            <w:tcBorders>
              <w:top w:val="nil"/>
              <w:left w:val="nil"/>
              <w:bottom w:val="nil"/>
              <w:right w:val="nil"/>
            </w:tcBorders>
            <w:shd w:val="clear" w:color="auto" w:fill="FFFFFF" w:themeFill="background1"/>
            <w:noWrap/>
            <w:vAlign w:val="center"/>
            <w:hideMark/>
          </w:tcPr>
          <w:p w14:paraId="49B4C7AB"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728" w:type="dxa"/>
            <w:tcBorders>
              <w:top w:val="nil"/>
              <w:left w:val="nil"/>
              <w:bottom w:val="nil"/>
              <w:right w:val="nil"/>
            </w:tcBorders>
            <w:shd w:val="clear" w:color="auto" w:fill="FFFFFF" w:themeFill="background1"/>
            <w:noWrap/>
            <w:vAlign w:val="center"/>
            <w:hideMark/>
          </w:tcPr>
          <w:p w14:paraId="375CB932" w14:textId="77777777" w:rsidR="0063752F" w:rsidRPr="0063752F" w:rsidRDefault="0063752F" w:rsidP="0063752F">
            <w:pPr>
              <w:spacing w:before="0" w:after="0" w:line="240" w:lineRule="auto"/>
              <w:jc w:val="right"/>
              <w:rPr>
                <w:rFonts w:ascii="Arial" w:hAnsi="Arial" w:cs="Arial"/>
                <w:b/>
                <w:bCs/>
                <w:color w:val="000000"/>
                <w:sz w:val="16"/>
                <w:szCs w:val="16"/>
              </w:rPr>
            </w:pPr>
            <w:r w:rsidRPr="591FF694">
              <w:rPr>
                <w:rFonts w:ascii="Arial" w:hAnsi="Arial" w:cs="Arial"/>
                <w:b/>
                <w:color w:val="000000" w:themeColor="text1"/>
                <w:sz w:val="16"/>
                <w:szCs w:val="16"/>
              </w:rPr>
              <w:t>4,087.4</w:t>
            </w:r>
          </w:p>
        </w:tc>
      </w:tr>
      <w:tr w:rsidR="000C254E" w:rsidRPr="0063752F" w14:paraId="13F27314" w14:textId="77777777" w:rsidTr="591FF694">
        <w:trPr>
          <w:trHeight w:hRule="exact" w:val="225"/>
        </w:trPr>
        <w:tc>
          <w:tcPr>
            <w:tcW w:w="2452" w:type="dxa"/>
            <w:tcBorders>
              <w:top w:val="nil"/>
              <w:left w:val="nil"/>
              <w:bottom w:val="nil"/>
              <w:right w:val="nil"/>
            </w:tcBorders>
            <w:shd w:val="clear" w:color="auto" w:fill="FFFFFF" w:themeFill="background1"/>
            <w:noWrap/>
            <w:vAlign w:val="center"/>
            <w:hideMark/>
          </w:tcPr>
          <w:p w14:paraId="6B6FDF30" w14:textId="77777777" w:rsidR="0063752F" w:rsidRPr="0063752F" w:rsidRDefault="0063752F" w:rsidP="0063752F">
            <w:pPr>
              <w:spacing w:before="0" w:after="0" w:line="240" w:lineRule="auto"/>
              <w:rPr>
                <w:rFonts w:ascii="Arial" w:hAnsi="Arial" w:cs="Arial"/>
                <w:sz w:val="16"/>
                <w:szCs w:val="16"/>
              </w:rPr>
            </w:pPr>
            <w:r w:rsidRPr="0063752F">
              <w:rPr>
                <w:rFonts w:ascii="Arial" w:hAnsi="Arial" w:cs="Arial"/>
                <w:sz w:val="16"/>
                <w:szCs w:val="16"/>
              </w:rPr>
              <w:t>Per cent of GDP</w:t>
            </w:r>
          </w:p>
        </w:tc>
        <w:tc>
          <w:tcPr>
            <w:tcW w:w="729" w:type="dxa"/>
            <w:tcBorders>
              <w:top w:val="nil"/>
              <w:left w:val="nil"/>
              <w:bottom w:val="nil"/>
              <w:right w:val="nil"/>
            </w:tcBorders>
            <w:shd w:val="clear" w:color="auto" w:fill="FFFFFF" w:themeFill="background1"/>
            <w:noWrap/>
            <w:vAlign w:val="center"/>
            <w:hideMark/>
          </w:tcPr>
          <w:p w14:paraId="3DD21492"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25.7</w:t>
            </w:r>
          </w:p>
        </w:tc>
        <w:tc>
          <w:tcPr>
            <w:tcW w:w="108" w:type="dxa"/>
            <w:tcBorders>
              <w:top w:val="nil"/>
              <w:left w:val="nil"/>
              <w:bottom w:val="nil"/>
              <w:right w:val="nil"/>
            </w:tcBorders>
            <w:shd w:val="clear" w:color="auto" w:fill="FFFFFF" w:themeFill="background1"/>
            <w:noWrap/>
            <w:vAlign w:val="center"/>
            <w:hideMark/>
          </w:tcPr>
          <w:p w14:paraId="3F6C00AD" w14:textId="77777777" w:rsidR="0063752F" w:rsidRPr="0063752F" w:rsidRDefault="0063752F" w:rsidP="0063752F">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 </w:t>
            </w:r>
          </w:p>
        </w:tc>
        <w:tc>
          <w:tcPr>
            <w:tcW w:w="717" w:type="dxa"/>
            <w:tcBorders>
              <w:top w:val="nil"/>
              <w:left w:val="nil"/>
              <w:bottom w:val="nil"/>
              <w:right w:val="nil"/>
            </w:tcBorders>
            <w:shd w:val="clear" w:color="auto" w:fill="FFFFFF" w:themeFill="background1"/>
            <w:noWrap/>
            <w:vAlign w:val="center"/>
            <w:hideMark/>
          </w:tcPr>
          <w:p w14:paraId="2D62CC4F"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27.4</w:t>
            </w:r>
          </w:p>
        </w:tc>
        <w:tc>
          <w:tcPr>
            <w:tcW w:w="717" w:type="dxa"/>
            <w:tcBorders>
              <w:top w:val="nil"/>
              <w:left w:val="nil"/>
              <w:bottom w:val="nil"/>
              <w:right w:val="nil"/>
            </w:tcBorders>
            <w:shd w:val="clear" w:color="auto" w:fill="E6F2FF"/>
            <w:vAlign w:val="center"/>
          </w:tcPr>
          <w:p w14:paraId="4244B5E9"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27.3</w:t>
            </w:r>
          </w:p>
        </w:tc>
        <w:tc>
          <w:tcPr>
            <w:tcW w:w="717" w:type="dxa"/>
            <w:tcBorders>
              <w:top w:val="nil"/>
              <w:left w:val="nil"/>
              <w:bottom w:val="nil"/>
              <w:right w:val="nil"/>
            </w:tcBorders>
            <w:shd w:val="clear" w:color="auto" w:fill="FFFFFF" w:themeFill="background1"/>
            <w:vAlign w:val="center"/>
          </w:tcPr>
          <w:p w14:paraId="610382DC"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27.0</w:t>
            </w:r>
          </w:p>
        </w:tc>
        <w:tc>
          <w:tcPr>
            <w:tcW w:w="717" w:type="dxa"/>
            <w:tcBorders>
              <w:top w:val="nil"/>
              <w:left w:val="nil"/>
              <w:bottom w:val="nil"/>
              <w:right w:val="nil"/>
            </w:tcBorders>
            <w:shd w:val="clear" w:color="auto" w:fill="FFFFFF" w:themeFill="background1"/>
            <w:vAlign w:val="center"/>
          </w:tcPr>
          <w:p w14:paraId="5EC01C3E"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26.8</w:t>
            </w:r>
          </w:p>
        </w:tc>
        <w:tc>
          <w:tcPr>
            <w:tcW w:w="717" w:type="dxa"/>
            <w:tcBorders>
              <w:top w:val="nil"/>
              <w:left w:val="nil"/>
              <w:bottom w:val="nil"/>
              <w:right w:val="nil"/>
            </w:tcBorders>
            <w:shd w:val="clear" w:color="auto" w:fill="FFFFFF" w:themeFill="background1"/>
            <w:vAlign w:val="center"/>
          </w:tcPr>
          <w:p w14:paraId="0B086D10"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26.8</w:t>
            </w:r>
          </w:p>
        </w:tc>
        <w:tc>
          <w:tcPr>
            <w:tcW w:w="108" w:type="dxa"/>
            <w:tcBorders>
              <w:top w:val="nil"/>
              <w:left w:val="nil"/>
              <w:bottom w:val="nil"/>
              <w:right w:val="nil"/>
            </w:tcBorders>
            <w:shd w:val="clear" w:color="auto" w:fill="FFFFFF" w:themeFill="background1"/>
            <w:noWrap/>
            <w:vAlign w:val="center"/>
            <w:hideMark/>
          </w:tcPr>
          <w:p w14:paraId="5D4CBFEC"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28" w:type="dxa"/>
            <w:tcBorders>
              <w:top w:val="nil"/>
              <w:left w:val="nil"/>
              <w:bottom w:val="nil"/>
              <w:right w:val="nil"/>
            </w:tcBorders>
            <w:shd w:val="clear" w:color="auto" w:fill="FFFFFF" w:themeFill="background1"/>
            <w:noWrap/>
            <w:vAlign w:val="center"/>
            <w:hideMark/>
          </w:tcPr>
          <w:p w14:paraId="646BBB04"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r>
      <w:tr w:rsidR="000C254E" w:rsidRPr="0063752F" w14:paraId="1E002E66" w14:textId="77777777" w:rsidTr="591FF694">
        <w:trPr>
          <w:trHeight w:hRule="exact" w:val="60"/>
        </w:trPr>
        <w:tc>
          <w:tcPr>
            <w:tcW w:w="2452" w:type="dxa"/>
            <w:tcBorders>
              <w:top w:val="nil"/>
              <w:left w:val="nil"/>
              <w:bottom w:val="nil"/>
              <w:right w:val="nil"/>
            </w:tcBorders>
            <w:shd w:val="clear" w:color="auto" w:fill="FFFFFF" w:themeFill="background1"/>
            <w:noWrap/>
            <w:vAlign w:val="center"/>
            <w:hideMark/>
          </w:tcPr>
          <w:p w14:paraId="57358BF3" w14:textId="77777777" w:rsidR="0063752F" w:rsidRPr="0063752F" w:rsidRDefault="0063752F" w:rsidP="0063752F">
            <w:pPr>
              <w:spacing w:before="0" w:after="0" w:line="240" w:lineRule="auto"/>
              <w:rPr>
                <w:rFonts w:ascii="Arial" w:hAnsi="Arial" w:cs="Arial"/>
                <w:sz w:val="16"/>
                <w:szCs w:val="16"/>
              </w:rPr>
            </w:pPr>
            <w:r w:rsidRPr="0063752F">
              <w:rPr>
                <w:rFonts w:ascii="Arial" w:hAnsi="Arial" w:cs="Arial"/>
                <w:sz w:val="16"/>
                <w:szCs w:val="16"/>
              </w:rPr>
              <w:t> </w:t>
            </w:r>
          </w:p>
        </w:tc>
        <w:tc>
          <w:tcPr>
            <w:tcW w:w="729" w:type="dxa"/>
            <w:tcBorders>
              <w:top w:val="nil"/>
              <w:left w:val="nil"/>
              <w:bottom w:val="nil"/>
              <w:right w:val="nil"/>
            </w:tcBorders>
            <w:shd w:val="clear" w:color="auto" w:fill="FFFFFF" w:themeFill="background1"/>
            <w:noWrap/>
            <w:vAlign w:val="center"/>
            <w:hideMark/>
          </w:tcPr>
          <w:p w14:paraId="3C46C045"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108" w:type="dxa"/>
            <w:tcBorders>
              <w:top w:val="nil"/>
              <w:left w:val="nil"/>
              <w:bottom w:val="nil"/>
              <w:right w:val="nil"/>
            </w:tcBorders>
            <w:shd w:val="clear" w:color="auto" w:fill="FFFFFF" w:themeFill="background1"/>
            <w:noWrap/>
            <w:vAlign w:val="center"/>
            <w:hideMark/>
          </w:tcPr>
          <w:p w14:paraId="014AEC7D"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noWrap/>
            <w:vAlign w:val="center"/>
            <w:hideMark/>
          </w:tcPr>
          <w:p w14:paraId="325F2D96"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E6F2FF"/>
            <w:vAlign w:val="center"/>
          </w:tcPr>
          <w:p w14:paraId="0864937C"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vAlign w:val="center"/>
          </w:tcPr>
          <w:p w14:paraId="157ABFAC"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vAlign w:val="center"/>
          </w:tcPr>
          <w:p w14:paraId="2117ED7C"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vAlign w:val="center"/>
          </w:tcPr>
          <w:p w14:paraId="2DFE6E86"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108" w:type="dxa"/>
            <w:tcBorders>
              <w:top w:val="nil"/>
              <w:left w:val="nil"/>
              <w:bottom w:val="nil"/>
              <w:right w:val="nil"/>
            </w:tcBorders>
            <w:shd w:val="clear" w:color="auto" w:fill="FFFFFF" w:themeFill="background1"/>
            <w:noWrap/>
            <w:vAlign w:val="center"/>
            <w:hideMark/>
          </w:tcPr>
          <w:p w14:paraId="14E2DCEB"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28" w:type="dxa"/>
            <w:tcBorders>
              <w:top w:val="nil"/>
              <w:left w:val="nil"/>
              <w:bottom w:val="nil"/>
              <w:right w:val="nil"/>
            </w:tcBorders>
            <w:shd w:val="clear" w:color="auto" w:fill="FFFFFF" w:themeFill="background1"/>
            <w:noWrap/>
            <w:vAlign w:val="center"/>
            <w:hideMark/>
          </w:tcPr>
          <w:p w14:paraId="5E41D11D"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r>
      <w:tr w:rsidR="000C254E" w:rsidRPr="0063752F" w14:paraId="49A0DFFD" w14:textId="77777777" w:rsidTr="591FF694">
        <w:trPr>
          <w:trHeight w:hRule="exact" w:val="225"/>
        </w:trPr>
        <w:tc>
          <w:tcPr>
            <w:tcW w:w="2452" w:type="dxa"/>
            <w:tcBorders>
              <w:top w:val="nil"/>
              <w:left w:val="nil"/>
              <w:bottom w:val="nil"/>
              <w:right w:val="nil"/>
            </w:tcBorders>
            <w:shd w:val="clear" w:color="auto" w:fill="FFFFFF" w:themeFill="background1"/>
            <w:noWrap/>
            <w:vAlign w:val="center"/>
            <w:hideMark/>
          </w:tcPr>
          <w:p w14:paraId="0800CD95" w14:textId="77777777" w:rsidR="0063752F" w:rsidRPr="0063752F" w:rsidRDefault="0063752F" w:rsidP="0063752F">
            <w:pPr>
              <w:spacing w:before="0" w:after="0" w:line="240" w:lineRule="auto"/>
              <w:rPr>
                <w:rFonts w:ascii="Arial" w:hAnsi="Arial" w:cs="Arial"/>
                <w:b/>
                <w:bCs/>
                <w:sz w:val="16"/>
                <w:szCs w:val="16"/>
              </w:rPr>
            </w:pPr>
            <w:r w:rsidRPr="0063752F">
              <w:rPr>
                <w:rFonts w:ascii="Arial" w:hAnsi="Arial" w:cs="Arial"/>
                <w:b/>
                <w:bCs/>
                <w:sz w:val="16"/>
                <w:szCs w:val="16"/>
              </w:rPr>
              <w:t>Net operating balance</w:t>
            </w:r>
          </w:p>
        </w:tc>
        <w:tc>
          <w:tcPr>
            <w:tcW w:w="729" w:type="dxa"/>
            <w:tcBorders>
              <w:top w:val="nil"/>
              <w:left w:val="nil"/>
              <w:bottom w:val="nil"/>
              <w:right w:val="nil"/>
            </w:tcBorders>
            <w:shd w:val="clear" w:color="auto" w:fill="FFFFFF" w:themeFill="background1"/>
            <w:noWrap/>
            <w:vAlign w:val="center"/>
            <w:hideMark/>
          </w:tcPr>
          <w:p w14:paraId="21DB8E65"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18.6</w:t>
            </w:r>
          </w:p>
        </w:tc>
        <w:tc>
          <w:tcPr>
            <w:tcW w:w="108" w:type="dxa"/>
            <w:tcBorders>
              <w:top w:val="nil"/>
              <w:left w:val="nil"/>
              <w:bottom w:val="nil"/>
              <w:right w:val="nil"/>
            </w:tcBorders>
            <w:shd w:val="clear" w:color="auto" w:fill="FFFFFF" w:themeFill="background1"/>
            <w:noWrap/>
            <w:vAlign w:val="center"/>
            <w:hideMark/>
          </w:tcPr>
          <w:p w14:paraId="7EF2742E"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717" w:type="dxa"/>
            <w:tcBorders>
              <w:top w:val="nil"/>
              <w:left w:val="nil"/>
              <w:bottom w:val="nil"/>
              <w:right w:val="nil"/>
            </w:tcBorders>
            <w:shd w:val="clear" w:color="auto" w:fill="FFFFFF" w:themeFill="background1"/>
            <w:noWrap/>
            <w:vAlign w:val="center"/>
            <w:hideMark/>
          </w:tcPr>
          <w:p w14:paraId="36601175" w14:textId="67704D7F" w:rsidR="0063752F" w:rsidRPr="0063752F" w:rsidRDefault="00404C26" w:rsidP="0063752F">
            <w:pPr>
              <w:spacing w:before="0" w:after="0" w:line="240" w:lineRule="auto"/>
              <w:jc w:val="right"/>
              <w:rPr>
                <w:rFonts w:ascii="Arial" w:hAnsi="Arial" w:cs="Arial"/>
                <w:b/>
                <w:bCs/>
                <w:sz w:val="16"/>
                <w:szCs w:val="16"/>
              </w:rPr>
            </w:pPr>
            <w:r>
              <w:rPr>
                <w:rFonts w:ascii="Arial" w:hAnsi="Arial" w:cs="Arial"/>
                <w:b/>
                <w:bCs/>
                <w:sz w:val="16"/>
                <w:szCs w:val="16"/>
              </w:rPr>
              <w:noBreakHyphen/>
            </w:r>
            <w:r w:rsidR="0063752F" w:rsidRPr="0063752F">
              <w:rPr>
                <w:rFonts w:ascii="Arial" w:hAnsi="Arial" w:cs="Arial"/>
                <w:b/>
                <w:bCs/>
                <w:sz w:val="16"/>
                <w:szCs w:val="16"/>
              </w:rPr>
              <w:t>45.2</w:t>
            </w:r>
          </w:p>
        </w:tc>
        <w:tc>
          <w:tcPr>
            <w:tcW w:w="717" w:type="dxa"/>
            <w:tcBorders>
              <w:top w:val="nil"/>
              <w:left w:val="nil"/>
              <w:bottom w:val="nil"/>
              <w:right w:val="nil"/>
            </w:tcBorders>
            <w:shd w:val="clear" w:color="auto" w:fill="E6F2FF"/>
            <w:vAlign w:val="center"/>
          </w:tcPr>
          <w:p w14:paraId="1E8A7C04" w14:textId="454F0DB0" w:rsidR="0063752F" w:rsidRPr="0063752F" w:rsidRDefault="00404C26" w:rsidP="0063752F">
            <w:pPr>
              <w:spacing w:before="0" w:after="0" w:line="240" w:lineRule="auto"/>
              <w:jc w:val="right"/>
              <w:rPr>
                <w:rFonts w:ascii="Arial" w:hAnsi="Arial" w:cs="Arial"/>
                <w:b/>
                <w:bCs/>
                <w:sz w:val="16"/>
                <w:szCs w:val="16"/>
              </w:rPr>
            </w:pPr>
            <w:r>
              <w:rPr>
                <w:rFonts w:ascii="Arial" w:hAnsi="Arial" w:cs="Arial"/>
                <w:b/>
                <w:bCs/>
                <w:sz w:val="16"/>
                <w:szCs w:val="16"/>
              </w:rPr>
              <w:noBreakHyphen/>
            </w:r>
            <w:r w:rsidR="0063752F" w:rsidRPr="0063752F">
              <w:rPr>
                <w:rFonts w:ascii="Arial" w:hAnsi="Arial" w:cs="Arial"/>
                <w:b/>
                <w:bCs/>
                <w:sz w:val="16"/>
                <w:szCs w:val="16"/>
              </w:rPr>
              <w:t>35.4</w:t>
            </w:r>
          </w:p>
        </w:tc>
        <w:tc>
          <w:tcPr>
            <w:tcW w:w="717" w:type="dxa"/>
            <w:tcBorders>
              <w:top w:val="nil"/>
              <w:left w:val="nil"/>
              <w:bottom w:val="nil"/>
              <w:right w:val="nil"/>
            </w:tcBorders>
            <w:shd w:val="clear" w:color="auto" w:fill="FFFFFF" w:themeFill="background1"/>
            <w:vAlign w:val="center"/>
          </w:tcPr>
          <w:p w14:paraId="41C45602" w14:textId="4792D68F" w:rsidR="0063752F" w:rsidRPr="0063752F" w:rsidRDefault="00404C26" w:rsidP="0063752F">
            <w:pPr>
              <w:spacing w:before="0" w:after="0" w:line="240" w:lineRule="auto"/>
              <w:jc w:val="right"/>
              <w:rPr>
                <w:rFonts w:ascii="Arial" w:hAnsi="Arial" w:cs="Arial"/>
                <w:b/>
                <w:bCs/>
                <w:sz w:val="16"/>
                <w:szCs w:val="16"/>
              </w:rPr>
            </w:pPr>
            <w:r>
              <w:rPr>
                <w:rFonts w:ascii="Arial" w:hAnsi="Arial" w:cs="Arial"/>
                <w:b/>
                <w:bCs/>
                <w:sz w:val="16"/>
                <w:szCs w:val="16"/>
              </w:rPr>
              <w:noBreakHyphen/>
            </w:r>
            <w:r w:rsidR="0063752F" w:rsidRPr="0063752F">
              <w:rPr>
                <w:rFonts w:ascii="Arial" w:hAnsi="Arial" w:cs="Arial"/>
                <w:b/>
                <w:bCs/>
                <w:sz w:val="16"/>
                <w:szCs w:val="16"/>
              </w:rPr>
              <w:t>23.0</w:t>
            </w:r>
          </w:p>
        </w:tc>
        <w:tc>
          <w:tcPr>
            <w:tcW w:w="717" w:type="dxa"/>
            <w:tcBorders>
              <w:top w:val="nil"/>
              <w:left w:val="nil"/>
              <w:bottom w:val="nil"/>
              <w:right w:val="nil"/>
            </w:tcBorders>
            <w:shd w:val="clear" w:color="auto" w:fill="FFFFFF" w:themeFill="background1"/>
            <w:vAlign w:val="center"/>
          </w:tcPr>
          <w:p w14:paraId="2424592E" w14:textId="4ED32630" w:rsidR="0063752F" w:rsidRPr="0063752F" w:rsidRDefault="00404C26" w:rsidP="0063752F">
            <w:pPr>
              <w:spacing w:before="0" w:after="0" w:line="240" w:lineRule="auto"/>
              <w:jc w:val="right"/>
              <w:rPr>
                <w:rFonts w:ascii="Arial" w:hAnsi="Arial" w:cs="Arial"/>
                <w:b/>
                <w:bCs/>
                <w:sz w:val="16"/>
                <w:szCs w:val="16"/>
              </w:rPr>
            </w:pPr>
            <w:r>
              <w:rPr>
                <w:rFonts w:ascii="Arial" w:hAnsi="Arial" w:cs="Arial"/>
                <w:b/>
                <w:bCs/>
                <w:sz w:val="16"/>
                <w:szCs w:val="16"/>
              </w:rPr>
              <w:noBreakHyphen/>
            </w:r>
            <w:r w:rsidR="0063752F" w:rsidRPr="0063752F">
              <w:rPr>
                <w:rFonts w:ascii="Arial" w:hAnsi="Arial" w:cs="Arial"/>
                <w:b/>
                <w:bCs/>
                <w:sz w:val="16"/>
                <w:szCs w:val="16"/>
              </w:rPr>
              <w:t>27.5</w:t>
            </w:r>
          </w:p>
        </w:tc>
        <w:tc>
          <w:tcPr>
            <w:tcW w:w="717" w:type="dxa"/>
            <w:tcBorders>
              <w:top w:val="nil"/>
              <w:left w:val="nil"/>
              <w:bottom w:val="nil"/>
              <w:right w:val="nil"/>
            </w:tcBorders>
            <w:shd w:val="clear" w:color="auto" w:fill="FFFFFF" w:themeFill="background1"/>
            <w:vAlign w:val="center"/>
          </w:tcPr>
          <w:p w14:paraId="217DF402" w14:textId="0BF2294E" w:rsidR="0063752F" w:rsidRPr="0063752F" w:rsidRDefault="00404C26" w:rsidP="0063752F">
            <w:pPr>
              <w:spacing w:before="0" w:after="0" w:line="240" w:lineRule="auto"/>
              <w:jc w:val="right"/>
              <w:rPr>
                <w:rFonts w:ascii="Arial" w:hAnsi="Arial" w:cs="Arial"/>
                <w:b/>
                <w:bCs/>
                <w:sz w:val="16"/>
                <w:szCs w:val="16"/>
              </w:rPr>
            </w:pPr>
            <w:r>
              <w:rPr>
                <w:rFonts w:ascii="Arial" w:hAnsi="Arial" w:cs="Arial"/>
                <w:b/>
                <w:bCs/>
                <w:sz w:val="16"/>
                <w:szCs w:val="16"/>
              </w:rPr>
              <w:noBreakHyphen/>
            </w:r>
            <w:r w:rsidR="0063752F" w:rsidRPr="0063752F">
              <w:rPr>
                <w:rFonts w:ascii="Arial" w:hAnsi="Arial" w:cs="Arial"/>
                <w:b/>
                <w:bCs/>
                <w:sz w:val="16"/>
                <w:szCs w:val="16"/>
              </w:rPr>
              <w:t>26.9</w:t>
            </w:r>
          </w:p>
        </w:tc>
        <w:tc>
          <w:tcPr>
            <w:tcW w:w="108" w:type="dxa"/>
            <w:tcBorders>
              <w:top w:val="nil"/>
              <w:left w:val="nil"/>
              <w:bottom w:val="nil"/>
              <w:right w:val="nil"/>
            </w:tcBorders>
            <w:shd w:val="clear" w:color="auto" w:fill="FFFFFF" w:themeFill="background1"/>
            <w:noWrap/>
            <w:vAlign w:val="center"/>
            <w:hideMark/>
          </w:tcPr>
          <w:p w14:paraId="7806B056"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728" w:type="dxa"/>
            <w:tcBorders>
              <w:top w:val="nil"/>
              <w:left w:val="nil"/>
              <w:bottom w:val="nil"/>
              <w:right w:val="nil"/>
            </w:tcBorders>
            <w:shd w:val="clear" w:color="auto" w:fill="FFFFFF" w:themeFill="background1"/>
            <w:noWrap/>
            <w:vAlign w:val="center"/>
            <w:hideMark/>
          </w:tcPr>
          <w:p w14:paraId="33A7DB9D" w14:textId="5240C3D0" w:rsidR="0063752F" w:rsidRPr="0063752F" w:rsidRDefault="00404C26" w:rsidP="0063752F">
            <w:pPr>
              <w:spacing w:before="0" w:after="0" w:line="240" w:lineRule="auto"/>
              <w:jc w:val="right"/>
              <w:rPr>
                <w:rFonts w:ascii="Arial" w:hAnsi="Arial" w:cs="Arial"/>
                <w:b/>
                <w:bCs/>
                <w:color w:val="000000"/>
                <w:sz w:val="16"/>
                <w:szCs w:val="16"/>
              </w:rPr>
            </w:pPr>
            <w:r>
              <w:rPr>
                <w:rFonts w:ascii="Arial" w:hAnsi="Arial" w:cs="Arial"/>
                <w:b/>
                <w:color w:val="000000" w:themeColor="text1"/>
                <w:sz w:val="16"/>
                <w:szCs w:val="16"/>
              </w:rPr>
              <w:noBreakHyphen/>
            </w:r>
            <w:r w:rsidR="0063752F" w:rsidRPr="591FF694">
              <w:rPr>
                <w:rFonts w:ascii="Arial" w:hAnsi="Arial" w:cs="Arial"/>
                <w:b/>
                <w:color w:val="000000" w:themeColor="text1"/>
                <w:sz w:val="16"/>
                <w:szCs w:val="16"/>
              </w:rPr>
              <w:t>158.0</w:t>
            </w:r>
          </w:p>
        </w:tc>
      </w:tr>
      <w:tr w:rsidR="000C254E" w:rsidRPr="0063752F" w14:paraId="6C4BCA86" w14:textId="77777777" w:rsidTr="591FF694">
        <w:trPr>
          <w:trHeight w:hRule="exact" w:val="225"/>
        </w:trPr>
        <w:tc>
          <w:tcPr>
            <w:tcW w:w="2452" w:type="dxa"/>
            <w:tcBorders>
              <w:top w:val="nil"/>
              <w:left w:val="nil"/>
              <w:bottom w:val="nil"/>
              <w:right w:val="nil"/>
            </w:tcBorders>
            <w:shd w:val="clear" w:color="auto" w:fill="FFFFFF" w:themeFill="background1"/>
            <w:noWrap/>
            <w:vAlign w:val="center"/>
            <w:hideMark/>
          </w:tcPr>
          <w:p w14:paraId="3BBDD177" w14:textId="77777777" w:rsidR="0063752F" w:rsidRPr="0063752F" w:rsidRDefault="0063752F" w:rsidP="0063752F">
            <w:pPr>
              <w:spacing w:before="0" w:after="0" w:line="240" w:lineRule="auto"/>
              <w:rPr>
                <w:rFonts w:ascii="Arial" w:hAnsi="Arial" w:cs="Arial"/>
                <w:sz w:val="16"/>
                <w:szCs w:val="16"/>
              </w:rPr>
            </w:pPr>
            <w:r w:rsidRPr="0063752F">
              <w:rPr>
                <w:rFonts w:ascii="Arial" w:hAnsi="Arial" w:cs="Arial"/>
                <w:sz w:val="16"/>
                <w:szCs w:val="16"/>
              </w:rPr>
              <w:t>Per cent of GDP</w:t>
            </w:r>
          </w:p>
        </w:tc>
        <w:tc>
          <w:tcPr>
            <w:tcW w:w="729" w:type="dxa"/>
            <w:tcBorders>
              <w:top w:val="nil"/>
              <w:left w:val="nil"/>
              <w:bottom w:val="nil"/>
              <w:right w:val="nil"/>
            </w:tcBorders>
            <w:shd w:val="clear" w:color="auto" w:fill="FFFFFF" w:themeFill="background1"/>
            <w:noWrap/>
            <w:vAlign w:val="center"/>
            <w:hideMark/>
          </w:tcPr>
          <w:p w14:paraId="7C1992ED"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0.7</w:t>
            </w:r>
          </w:p>
        </w:tc>
        <w:tc>
          <w:tcPr>
            <w:tcW w:w="108" w:type="dxa"/>
            <w:tcBorders>
              <w:top w:val="nil"/>
              <w:left w:val="nil"/>
              <w:bottom w:val="nil"/>
              <w:right w:val="nil"/>
            </w:tcBorders>
            <w:shd w:val="clear" w:color="auto" w:fill="FFFFFF" w:themeFill="background1"/>
            <w:noWrap/>
            <w:vAlign w:val="center"/>
            <w:hideMark/>
          </w:tcPr>
          <w:p w14:paraId="7C267FFC"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noWrap/>
            <w:vAlign w:val="center"/>
            <w:hideMark/>
          </w:tcPr>
          <w:p w14:paraId="6C08EA58" w14:textId="638B99E4" w:rsidR="0063752F" w:rsidRPr="0063752F" w:rsidRDefault="00404C26" w:rsidP="0063752F">
            <w:pPr>
              <w:spacing w:before="0" w:after="0" w:line="240" w:lineRule="auto"/>
              <w:jc w:val="right"/>
              <w:rPr>
                <w:rFonts w:ascii="Arial" w:hAnsi="Arial" w:cs="Arial"/>
                <w:sz w:val="16"/>
                <w:szCs w:val="16"/>
              </w:rPr>
            </w:pPr>
            <w:r>
              <w:rPr>
                <w:rFonts w:ascii="Arial" w:hAnsi="Arial" w:cs="Arial"/>
                <w:sz w:val="16"/>
                <w:szCs w:val="16"/>
              </w:rPr>
              <w:noBreakHyphen/>
            </w:r>
            <w:r w:rsidR="0063752F" w:rsidRPr="0063752F">
              <w:rPr>
                <w:rFonts w:ascii="Arial" w:hAnsi="Arial" w:cs="Arial"/>
                <w:sz w:val="16"/>
                <w:szCs w:val="16"/>
              </w:rPr>
              <w:t>1.6</w:t>
            </w:r>
          </w:p>
        </w:tc>
        <w:tc>
          <w:tcPr>
            <w:tcW w:w="717" w:type="dxa"/>
            <w:tcBorders>
              <w:top w:val="nil"/>
              <w:left w:val="nil"/>
              <w:bottom w:val="nil"/>
              <w:right w:val="nil"/>
            </w:tcBorders>
            <w:shd w:val="clear" w:color="auto" w:fill="E6F2FF"/>
            <w:vAlign w:val="center"/>
          </w:tcPr>
          <w:p w14:paraId="2D131F4A" w14:textId="58F7FD89" w:rsidR="0063752F" w:rsidRPr="0063752F" w:rsidRDefault="00404C26" w:rsidP="0063752F">
            <w:pPr>
              <w:spacing w:before="0" w:after="0" w:line="240" w:lineRule="auto"/>
              <w:jc w:val="right"/>
              <w:rPr>
                <w:rFonts w:ascii="Arial" w:hAnsi="Arial" w:cs="Arial"/>
                <w:sz w:val="16"/>
                <w:szCs w:val="16"/>
              </w:rPr>
            </w:pPr>
            <w:r>
              <w:rPr>
                <w:rFonts w:ascii="Arial" w:hAnsi="Arial" w:cs="Arial"/>
                <w:sz w:val="16"/>
                <w:szCs w:val="16"/>
              </w:rPr>
              <w:noBreakHyphen/>
            </w:r>
            <w:r w:rsidR="0063752F" w:rsidRPr="0063752F">
              <w:rPr>
                <w:rFonts w:ascii="Arial" w:hAnsi="Arial" w:cs="Arial"/>
                <w:sz w:val="16"/>
                <w:szCs w:val="16"/>
              </w:rPr>
              <w:t>1.2</w:t>
            </w:r>
          </w:p>
        </w:tc>
        <w:tc>
          <w:tcPr>
            <w:tcW w:w="717" w:type="dxa"/>
            <w:tcBorders>
              <w:top w:val="nil"/>
              <w:left w:val="nil"/>
              <w:bottom w:val="nil"/>
              <w:right w:val="nil"/>
            </w:tcBorders>
            <w:shd w:val="clear" w:color="auto" w:fill="FFFFFF" w:themeFill="background1"/>
            <w:vAlign w:val="center"/>
          </w:tcPr>
          <w:p w14:paraId="51A43452" w14:textId="2250A47F" w:rsidR="0063752F" w:rsidRPr="0063752F" w:rsidRDefault="00404C26" w:rsidP="0063752F">
            <w:pPr>
              <w:spacing w:before="0" w:after="0" w:line="240" w:lineRule="auto"/>
              <w:jc w:val="right"/>
              <w:rPr>
                <w:rFonts w:ascii="Arial" w:hAnsi="Arial" w:cs="Arial"/>
                <w:sz w:val="16"/>
                <w:szCs w:val="16"/>
              </w:rPr>
            </w:pPr>
            <w:r>
              <w:rPr>
                <w:rFonts w:ascii="Arial" w:hAnsi="Arial" w:cs="Arial"/>
                <w:sz w:val="16"/>
                <w:szCs w:val="16"/>
              </w:rPr>
              <w:noBreakHyphen/>
            </w:r>
            <w:r w:rsidR="0063752F" w:rsidRPr="0063752F">
              <w:rPr>
                <w:rFonts w:ascii="Arial" w:hAnsi="Arial" w:cs="Arial"/>
                <w:sz w:val="16"/>
                <w:szCs w:val="16"/>
              </w:rPr>
              <w:t>0.8</w:t>
            </w:r>
          </w:p>
        </w:tc>
        <w:tc>
          <w:tcPr>
            <w:tcW w:w="717" w:type="dxa"/>
            <w:tcBorders>
              <w:top w:val="nil"/>
              <w:left w:val="nil"/>
              <w:bottom w:val="nil"/>
              <w:right w:val="nil"/>
            </w:tcBorders>
            <w:shd w:val="clear" w:color="auto" w:fill="FFFFFF" w:themeFill="background1"/>
            <w:vAlign w:val="center"/>
          </w:tcPr>
          <w:p w14:paraId="237810D9" w14:textId="03367BAD" w:rsidR="0063752F" w:rsidRPr="0063752F" w:rsidRDefault="00404C26" w:rsidP="0063752F">
            <w:pPr>
              <w:spacing w:before="0" w:after="0" w:line="240" w:lineRule="auto"/>
              <w:jc w:val="right"/>
              <w:rPr>
                <w:rFonts w:ascii="Arial" w:hAnsi="Arial" w:cs="Arial"/>
                <w:sz w:val="16"/>
                <w:szCs w:val="16"/>
              </w:rPr>
            </w:pPr>
            <w:r>
              <w:rPr>
                <w:rFonts w:ascii="Arial" w:hAnsi="Arial" w:cs="Arial"/>
                <w:sz w:val="16"/>
                <w:szCs w:val="16"/>
              </w:rPr>
              <w:noBreakHyphen/>
            </w:r>
            <w:r w:rsidR="0063752F" w:rsidRPr="0063752F">
              <w:rPr>
                <w:rFonts w:ascii="Arial" w:hAnsi="Arial" w:cs="Arial"/>
                <w:sz w:val="16"/>
                <w:szCs w:val="16"/>
              </w:rPr>
              <w:t>0.9</w:t>
            </w:r>
          </w:p>
        </w:tc>
        <w:tc>
          <w:tcPr>
            <w:tcW w:w="717" w:type="dxa"/>
            <w:tcBorders>
              <w:top w:val="nil"/>
              <w:left w:val="nil"/>
              <w:bottom w:val="nil"/>
              <w:right w:val="nil"/>
            </w:tcBorders>
            <w:shd w:val="clear" w:color="auto" w:fill="FFFFFF" w:themeFill="background1"/>
            <w:vAlign w:val="center"/>
          </w:tcPr>
          <w:p w14:paraId="502B0D41" w14:textId="358E4AD0" w:rsidR="0063752F" w:rsidRPr="0063752F" w:rsidRDefault="00404C26" w:rsidP="0063752F">
            <w:pPr>
              <w:spacing w:before="0" w:after="0" w:line="240" w:lineRule="auto"/>
              <w:jc w:val="right"/>
              <w:rPr>
                <w:rFonts w:ascii="Arial" w:hAnsi="Arial" w:cs="Arial"/>
                <w:sz w:val="16"/>
                <w:szCs w:val="16"/>
              </w:rPr>
            </w:pPr>
            <w:r>
              <w:rPr>
                <w:rFonts w:ascii="Arial" w:hAnsi="Arial" w:cs="Arial"/>
                <w:sz w:val="16"/>
                <w:szCs w:val="16"/>
              </w:rPr>
              <w:noBreakHyphen/>
            </w:r>
            <w:r w:rsidR="0063752F" w:rsidRPr="0063752F">
              <w:rPr>
                <w:rFonts w:ascii="Arial" w:hAnsi="Arial" w:cs="Arial"/>
                <w:sz w:val="16"/>
                <w:szCs w:val="16"/>
              </w:rPr>
              <w:t>0.8</w:t>
            </w:r>
          </w:p>
        </w:tc>
        <w:tc>
          <w:tcPr>
            <w:tcW w:w="108" w:type="dxa"/>
            <w:tcBorders>
              <w:top w:val="nil"/>
              <w:left w:val="nil"/>
              <w:bottom w:val="nil"/>
              <w:right w:val="nil"/>
            </w:tcBorders>
            <w:shd w:val="clear" w:color="auto" w:fill="FFFFFF" w:themeFill="background1"/>
            <w:noWrap/>
            <w:vAlign w:val="center"/>
            <w:hideMark/>
          </w:tcPr>
          <w:p w14:paraId="1EA847D7"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728" w:type="dxa"/>
            <w:tcBorders>
              <w:top w:val="nil"/>
              <w:left w:val="nil"/>
              <w:bottom w:val="nil"/>
              <w:right w:val="nil"/>
            </w:tcBorders>
            <w:shd w:val="clear" w:color="auto" w:fill="FFFFFF" w:themeFill="background1"/>
            <w:noWrap/>
            <w:vAlign w:val="center"/>
            <w:hideMark/>
          </w:tcPr>
          <w:p w14:paraId="38D8B2B0" w14:textId="77777777" w:rsidR="0063752F" w:rsidRPr="0063752F" w:rsidRDefault="0063752F" w:rsidP="0063752F">
            <w:pPr>
              <w:spacing w:before="0" w:after="0" w:line="240" w:lineRule="auto"/>
              <w:jc w:val="right"/>
              <w:rPr>
                <w:rFonts w:ascii="Arial" w:hAnsi="Arial" w:cs="Arial"/>
                <w:b/>
                <w:bCs/>
                <w:color w:val="000000"/>
                <w:sz w:val="16"/>
                <w:szCs w:val="16"/>
              </w:rPr>
            </w:pPr>
            <w:r w:rsidRPr="591FF694">
              <w:rPr>
                <w:rFonts w:ascii="Arial" w:hAnsi="Arial" w:cs="Arial"/>
                <w:b/>
                <w:color w:val="000000" w:themeColor="text1"/>
                <w:sz w:val="16"/>
                <w:szCs w:val="16"/>
              </w:rPr>
              <w:t> </w:t>
            </w:r>
          </w:p>
        </w:tc>
      </w:tr>
      <w:tr w:rsidR="000C254E" w:rsidRPr="0063752F" w14:paraId="13C054D3" w14:textId="77777777" w:rsidTr="591FF694">
        <w:trPr>
          <w:trHeight w:hRule="exact" w:val="60"/>
        </w:trPr>
        <w:tc>
          <w:tcPr>
            <w:tcW w:w="2452" w:type="dxa"/>
            <w:tcBorders>
              <w:top w:val="nil"/>
              <w:left w:val="nil"/>
              <w:bottom w:val="nil"/>
              <w:right w:val="nil"/>
            </w:tcBorders>
            <w:shd w:val="clear" w:color="auto" w:fill="FFFFFF" w:themeFill="background1"/>
            <w:noWrap/>
            <w:vAlign w:val="center"/>
            <w:hideMark/>
          </w:tcPr>
          <w:p w14:paraId="32A5668C" w14:textId="77777777" w:rsidR="0063752F" w:rsidRPr="0063752F" w:rsidRDefault="0063752F" w:rsidP="0063752F">
            <w:pPr>
              <w:spacing w:before="0" w:after="0" w:line="240" w:lineRule="auto"/>
              <w:rPr>
                <w:rFonts w:ascii="Arial" w:hAnsi="Arial" w:cs="Arial"/>
                <w:sz w:val="16"/>
                <w:szCs w:val="16"/>
              </w:rPr>
            </w:pPr>
            <w:r w:rsidRPr="0063752F">
              <w:rPr>
                <w:rFonts w:ascii="Arial" w:hAnsi="Arial" w:cs="Arial"/>
                <w:sz w:val="16"/>
                <w:szCs w:val="16"/>
              </w:rPr>
              <w:t> </w:t>
            </w:r>
          </w:p>
        </w:tc>
        <w:tc>
          <w:tcPr>
            <w:tcW w:w="729" w:type="dxa"/>
            <w:tcBorders>
              <w:top w:val="nil"/>
              <w:left w:val="nil"/>
              <w:bottom w:val="nil"/>
              <w:right w:val="nil"/>
            </w:tcBorders>
            <w:shd w:val="clear" w:color="auto" w:fill="FFFFFF" w:themeFill="background1"/>
            <w:noWrap/>
            <w:vAlign w:val="center"/>
            <w:hideMark/>
          </w:tcPr>
          <w:p w14:paraId="0E5BEA0B"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108" w:type="dxa"/>
            <w:tcBorders>
              <w:top w:val="nil"/>
              <w:left w:val="nil"/>
              <w:bottom w:val="nil"/>
              <w:right w:val="nil"/>
            </w:tcBorders>
            <w:shd w:val="clear" w:color="auto" w:fill="FFFFFF" w:themeFill="background1"/>
            <w:noWrap/>
            <w:vAlign w:val="center"/>
            <w:hideMark/>
          </w:tcPr>
          <w:p w14:paraId="772E7206"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717" w:type="dxa"/>
            <w:tcBorders>
              <w:top w:val="nil"/>
              <w:left w:val="nil"/>
              <w:bottom w:val="nil"/>
              <w:right w:val="nil"/>
            </w:tcBorders>
            <w:shd w:val="clear" w:color="auto" w:fill="FFFFFF" w:themeFill="background1"/>
            <w:noWrap/>
            <w:vAlign w:val="center"/>
            <w:hideMark/>
          </w:tcPr>
          <w:p w14:paraId="4BD93BB4"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717" w:type="dxa"/>
            <w:tcBorders>
              <w:top w:val="nil"/>
              <w:left w:val="nil"/>
              <w:bottom w:val="nil"/>
              <w:right w:val="nil"/>
            </w:tcBorders>
            <w:shd w:val="clear" w:color="auto" w:fill="E6F2FF"/>
            <w:vAlign w:val="center"/>
          </w:tcPr>
          <w:p w14:paraId="67D4350A"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717" w:type="dxa"/>
            <w:tcBorders>
              <w:top w:val="nil"/>
              <w:left w:val="nil"/>
              <w:bottom w:val="nil"/>
              <w:right w:val="nil"/>
            </w:tcBorders>
            <w:shd w:val="clear" w:color="auto" w:fill="FFFFFF" w:themeFill="background1"/>
            <w:vAlign w:val="center"/>
          </w:tcPr>
          <w:p w14:paraId="5303B9DE"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717" w:type="dxa"/>
            <w:tcBorders>
              <w:top w:val="nil"/>
              <w:left w:val="nil"/>
              <w:bottom w:val="nil"/>
              <w:right w:val="nil"/>
            </w:tcBorders>
            <w:shd w:val="clear" w:color="auto" w:fill="FFFFFF" w:themeFill="background1"/>
            <w:vAlign w:val="center"/>
          </w:tcPr>
          <w:p w14:paraId="50FE4F71"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717" w:type="dxa"/>
            <w:tcBorders>
              <w:top w:val="nil"/>
              <w:left w:val="nil"/>
              <w:bottom w:val="nil"/>
              <w:right w:val="nil"/>
            </w:tcBorders>
            <w:shd w:val="clear" w:color="auto" w:fill="FFFFFF" w:themeFill="background1"/>
            <w:vAlign w:val="center"/>
          </w:tcPr>
          <w:p w14:paraId="473A7B11"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108" w:type="dxa"/>
            <w:tcBorders>
              <w:top w:val="nil"/>
              <w:left w:val="nil"/>
              <w:bottom w:val="nil"/>
              <w:right w:val="nil"/>
            </w:tcBorders>
            <w:shd w:val="clear" w:color="auto" w:fill="FFFFFF" w:themeFill="background1"/>
            <w:noWrap/>
            <w:vAlign w:val="center"/>
            <w:hideMark/>
          </w:tcPr>
          <w:p w14:paraId="29900CED"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728" w:type="dxa"/>
            <w:tcBorders>
              <w:top w:val="nil"/>
              <w:left w:val="nil"/>
              <w:bottom w:val="nil"/>
              <w:right w:val="nil"/>
            </w:tcBorders>
            <w:shd w:val="clear" w:color="auto" w:fill="FFFFFF" w:themeFill="background1"/>
            <w:noWrap/>
            <w:vAlign w:val="center"/>
            <w:hideMark/>
          </w:tcPr>
          <w:p w14:paraId="164C9A18" w14:textId="77777777" w:rsidR="0063752F" w:rsidRPr="0063752F" w:rsidRDefault="0063752F" w:rsidP="0063752F">
            <w:pPr>
              <w:spacing w:before="0" w:after="0" w:line="240" w:lineRule="auto"/>
              <w:jc w:val="right"/>
              <w:rPr>
                <w:rFonts w:ascii="Arial" w:hAnsi="Arial" w:cs="Arial"/>
                <w:b/>
                <w:bCs/>
                <w:color w:val="000000"/>
                <w:sz w:val="16"/>
                <w:szCs w:val="16"/>
              </w:rPr>
            </w:pPr>
            <w:r w:rsidRPr="591FF694">
              <w:rPr>
                <w:rFonts w:ascii="Arial" w:hAnsi="Arial" w:cs="Arial"/>
                <w:b/>
                <w:color w:val="000000" w:themeColor="text1"/>
                <w:sz w:val="16"/>
                <w:szCs w:val="16"/>
              </w:rPr>
              <w:t> </w:t>
            </w:r>
          </w:p>
        </w:tc>
      </w:tr>
      <w:tr w:rsidR="000C254E" w:rsidRPr="0063752F" w14:paraId="416D1E27" w14:textId="77777777" w:rsidTr="591FF694">
        <w:trPr>
          <w:trHeight w:hRule="exact" w:val="225"/>
        </w:trPr>
        <w:tc>
          <w:tcPr>
            <w:tcW w:w="2452" w:type="dxa"/>
            <w:tcBorders>
              <w:top w:val="nil"/>
              <w:left w:val="nil"/>
              <w:bottom w:val="nil"/>
              <w:right w:val="nil"/>
            </w:tcBorders>
            <w:shd w:val="clear" w:color="auto" w:fill="FFFFFF" w:themeFill="background1"/>
            <w:noWrap/>
            <w:vAlign w:val="center"/>
            <w:hideMark/>
          </w:tcPr>
          <w:p w14:paraId="5482EEC7" w14:textId="77777777" w:rsidR="0063752F" w:rsidRPr="0063752F" w:rsidRDefault="0063752F" w:rsidP="0063752F">
            <w:pPr>
              <w:spacing w:before="0" w:after="0" w:line="240" w:lineRule="auto"/>
              <w:rPr>
                <w:rFonts w:ascii="Arial" w:hAnsi="Arial" w:cs="Arial"/>
                <w:b/>
                <w:bCs/>
                <w:sz w:val="16"/>
                <w:szCs w:val="16"/>
              </w:rPr>
            </w:pPr>
            <w:r w:rsidRPr="0063752F">
              <w:rPr>
                <w:rFonts w:ascii="Arial" w:hAnsi="Arial" w:cs="Arial"/>
                <w:b/>
                <w:bCs/>
                <w:sz w:val="16"/>
                <w:szCs w:val="16"/>
              </w:rPr>
              <w:t>Net capital investment</w:t>
            </w:r>
          </w:p>
        </w:tc>
        <w:tc>
          <w:tcPr>
            <w:tcW w:w="729" w:type="dxa"/>
            <w:tcBorders>
              <w:top w:val="nil"/>
              <w:left w:val="nil"/>
              <w:bottom w:val="nil"/>
              <w:right w:val="nil"/>
            </w:tcBorders>
            <w:shd w:val="clear" w:color="auto" w:fill="FFFFFF" w:themeFill="background1"/>
            <w:noWrap/>
            <w:vAlign w:val="center"/>
            <w:hideMark/>
          </w:tcPr>
          <w:p w14:paraId="3E0F371D"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6.7</w:t>
            </w:r>
          </w:p>
        </w:tc>
        <w:tc>
          <w:tcPr>
            <w:tcW w:w="108" w:type="dxa"/>
            <w:tcBorders>
              <w:top w:val="nil"/>
              <w:left w:val="nil"/>
              <w:bottom w:val="nil"/>
              <w:right w:val="nil"/>
            </w:tcBorders>
            <w:shd w:val="clear" w:color="auto" w:fill="FFFFFF" w:themeFill="background1"/>
            <w:noWrap/>
            <w:vAlign w:val="center"/>
            <w:hideMark/>
          </w:tcPr>
          <w:p w14:paraId="68C21FCF"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717" w:type="dxa"/>
            <w:tcBorders>
              <w:top w:val="nil"/>
              <w:left w:val="nil"/>
              <w:bottom w:val="nil"/>
              <w:right w:val="nil"/>
            </w:tcBorders>
            <w:shd w:val="clear" w:color="auto" w:fill="FFFFFF" w:themeFill="background1"/>
            <w:noWrap/>
            <w:vAlign w:val="center"/>
            <w:hideMark/>
          </w:tcPr>
          <w:p w14:paraId="7A4B44F4"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5.5</w:t>
            </w:r>
          </w:p>
        </w:tc>
        <w:tc>
          <w:tcPr>
            <w:tcW w:w="717" w:type="dxa"/>
            <w:tcBorders>
              <w:top w:val="nil"/>
              <w:left w:val="nil"/>
              <w:bottom w:val="nil"/>
              <w:right w:val="nil"/>
            </w:tcBorders>
            <w:shd w:val="clear" w:color="auto" w:fill="E6F2FF"/>
            <w:vAlign w:val="center"/>
          </w:tcPr>
          <w:p w14:paraId="34A12F0A"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8.8</w:t>
            </w:r>
          </w:p>
        </w:tc>
        <w:tc>
          <w:tcPr>
            <w:tcW w:w="717" w:type="dxa"/>
            <w:tcBorders>
              <w:top w:val="nil"/>
              <w:left w:val="nil"/>
              <w:bottom w:val="nil"/>
              <w:right w:val="nil"/>
            </w:tcBorders>
            <w:shd w:val="clear" w:color="auto" w:fill="FFFFFF" w:themeFill="background1"/>
            <w:vAlign w:val="center"/>
          </w:tcPr>
          <w:p w14:paraId="269669C7"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9.1</w:t>
            </w:r>
          </w:p>
        </w:tc>
        <w:tc>
          <w:tcPr>
            <w:tcW w:w="717" w:type="dxa"/>
            <w:tcBorders>
              <w:top w:val="nil"/>
              <w:left w:val="nil"/>
              <w:bottom w:val="nil"/>
              <w:right w:val="nil"/>
            </w:tcBorders>
            <w:shd w:val="clear" w:color="auto" w:fill="FFFFFF" w:themeFill="background1"/>
            <w:vAlign w:val="center"/>
          </w:tcPr>
          <w:p w14:paraId="7364B448"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12.0</w:t>
            </w:r>
          </w:p>
        </w:tc>
        <w:tc>
          <w:tcPr>
            <w:tcW w:w="717" w:type="dxa"/>
            <w:tcBorders>
              <w:top w:val="nil"/>
              <w:left w:val="nil"/>
              <w:bottom w:val="nil"/>
              <w:right w:val="nil"/>
            </w:tcBorders>
            <w:shd w:val="clear" w:color="auto" w:fill="FFFFFF" w:themeFill="background1"/>
            <w:vAlign w:val="center"/>
          </w:tcPr>
          <w:p w14:paraId="796528D0"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10.2</w:t>
            </w:r>
          </w:p>
        </w:tc>
        <w:tc>
          <w:tcPr>
            <w:tcW w:w="108" w:type="dxa"/>
            <w:tcBorders>
              <w:top w:val="nil"/>
              <w:left w:val="nil"/>
              <w:bottom w:val="nil"/>
              <w:right w:val="nil"/>
            </w:tcBorders>
            <w:shd w:val="clear" w:color="auto" w:fill="FFFFFF" w:themeFill="background1"/>
            <w:noWrap/>
            <w:vAlign w:val="center"/>
            <w:hideMark/>
          </w:tcPr>
          <w:p w14:paraId="38DB9ABD"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728" w:type="dxa"/>
            <w:tcBorders>
              <w:top w:val="nil"/>
              <w:left w:val="nil"/>
              <w:bottom w:val="nil"/>
              <w:right w:val="nil"/>
            </w:tcBorders>
            <w:shd w:val="clear" w:color="auto" w:fill="FFFFFF" w:themeFill="background1"/>
            <w:noWrap/>
            <w:vAlign w:val="center"/>
            <w:hideMark/>
          </w:tcPr>
          <w:p w14:paraId="5BCC2325" w14:textId="77777777" w:rsidR="0063752F" w:rsidRPr="0063752F" w:rsidRDefault="0063752F" w:rsidP="0063752F">
            <w:pPr>
              <w:spacing w:before="0" w:after="0" w:line="240" w:lineRule="auto"/>
              <w:jc w:val="right"/>
              <w:rPr>
                <w:rFonts w:ascii="Arial" w:hAnsi="Arial" w:cs="Arial"/>
                <w:b/>
                <w:bCs/>
                <w:color w:val="000000"/>
                <w:sz w:val="16"/>
                <w:szCs w:val="16"/>
              </w:rPr>
            </w:pPr>
            <w:r w:rsidRPr="591FF694">
              <w:rPr>
                <w:rFonts w:ascii="Arial" w:hAnsi="Arial" w:cs="Arial"/>
                <w:b/>
                <w:color w:val="000000" w:themeColor="text1"/>
                <w:sz w:val="16"/>
                <w:szCs w:val="16"/>
              </w:rPr>
              <w:t>45.6</w:t>
            </w:r>
          </w:p>
        </w:tc>
      </w:tr>
      <w:tr w:rsidR="000C254E" w:rsidRPr="0063752F" w14:paraId="2747F2B1" w14:textId="77777777" w:rsidTr="591FF694">
        <w:trPr>
          <w:trHeight w:hRule="exact" w:val="225"/>
        </w:trPr>
        <w:tc>
          <w:tcPr>
            <w:tcW w:w="2452" w:type="dxa"/>
            <w:tcBorders>
              <w:top w:val="nil"/>
              <w:left w:val="nil"/>
              <w:bottom w:val="nil"/>
              <w:right w:val="nil"/>
            </w:tcBorders>
            <w:shd w:val="clear" w:color="auto" w:fill="FFFFFF" w:themeFill="background1"/>
            <w:noWrap/>
            <w:vAlign w:val="center"/>
            <w:hideMark/>
          </w:tcPr>
          <w:p w14:paraId="122AA499" w14:textId="77777777" w:rsidR="0063752F" w:rsidRPr="0063752F" w:rsidRDefault="0063752F" w:rsidP="0063752F">
            <w:pPr>
              <w:spacing w:before="0" w:after="0" w:line="240" w:lineRule="auto"/>
              <w:rPr>
                <w:rFonts w:ascii="Arial" w:hAnsi="Arial" w:cs="Arial"/>
                <w:sz w:val="16"/>
                <w:szCs w:val="16"/>
              </w:rPr>
            </w:pPr>
            <w:r w:rsidRPr="0063752F">
              <w:rPr>
                <w:rFonts w:ascii="Arial" w:hAnsi="Arial" w:cs="Arial"/>
                <w:sz w:val="16"/>
                <w:szCs w:val="16"/>
              </w:rPr>
              <w:t>Per cent of GDP</w:t>
            </w:r>
          </w:p>
        </w:tc>
        <w:tc>
          <w:tcPr>
            <w:tcW w:w="729" w:type="dxa"/>
            <w:tcBorders>
              <w:top w:val="nil"/>
              <w:left w:val="nil"/>
              <w:bottom w:val="nil"/>
              <w:right w:val="nil"/>
            </w:tcBorders>
            <w:shd w:val="clear" w:color="auto" w:fill="FFFFFF" w:themeFill="background1"/>
            <w:noWrap/>
            <w:vAlign w:val="center"/>
            <w:hideMark/>
          </w:tcPr>
          <w:p w14:paraId="08F940AD"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0.2</w:t>
            </w:r>
          </w:p>
        </w:tc>
        <w:tc>
          <w:tcPr>
            <w:tcW w:w="108" w:type="dxa"/>
            <w:tcBorders>
              <w:top w:val="nil"/>
              <w:left w:val="nil"/>
              <w:bottom w:val="nil"/>
              <w:right w:val="nil"/>
            </w:tcBorders>
            <w:shd w:val="clear" w:color="auto" w:fill="FFFFFF" w:themeFill="background1"/>
            <w:noWrap/>
            <w:vAlign w:val="center"/>
            <w:hideMark/>
          </w:tcPr>
          <w:p w14:paraId="5D32DE13"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noWrap/>
            <w:vAlign w:val="center"/>
            <w:hideMark/>
          </w:tcPr>
          <w:p w14:paraId="037E65B5"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0.2</w:t>
            </w:r>
          </w:p>
        </w:tc>
        <w:tc>
          <w:tcPr>
            <w:tcW w:w="717" w:type="dxa"/>
            <w:tcBorders>
              <w:top w:val="nil"/>
              <w:left w:val="nil"/>
              <w:bottom w:val="nil"/>
              <w:right w:val="nil"/>
            </w:tcBorders>
            <w:shd w:val="clear" w:color="auto" w:fill="E6F2FF"/>
            <w:vAlign w:val="center"/>
          </w:tcPr>
          <w:p w14:paraId="23108C53"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0.3</w:t>
            </w:r>
          </w:p>
        </w:tc>
        <w:tc>
          <w:tcPr>
            <w:tcW w:w="717" w:type="dxa"/>
            <w:tcBorders>
              <w:top w:val="nil"/>
              <w:left w:val="nil"/>
              <w:bottom w:val="nil"/>
              <w:right w:val="nil"/>
            </w:tcBorders>
            <w:shd w:val="clear" w:color="auto" w:fill="FFFFFF" w:themeFill="background1"/>
            <w:vAlign w:val="center"/>
          </w:tcPr>
          <w:p w14:paraId="4CE40F23"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0.3</w:t>
            </w:r>
          </w:p>
        </w:tc>
        <w:tc>
          <w:tcPr>
            <w:tcW w:w="717" w:type="dxa"/>
            <w:tcBorders>
              <w:top w:val="nil"/>
              <w:left w:val="nil"/>
              <w:bottom w:val="nil"/>
              <w:right w:val="nil"/>
            </w:tcBorders>
            <w:shd w:val="clear" w:color="auto" w:fill="FFFFFF" w:themeFill="background1"/>
            <w:vAlign w:val="center"/>
          </w:tcPr>
          <w:p w14:paraId="64259A63"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0.4</w:t>
            </w:r>
          </w:p>
        </w:tc>
        <w:tc>
          <w:tcPr>
            <w:tcW w:w="717" w:type="dxa"/>
            <w:tcBorders>
              <w:top w:val="nil"/>
              <w:left w:val="nil"/>
              <w:bottom w:val="nil"/>
              <w:right w:val="nil"/>
            </w:tcBorders>
            <w:shd w:val="clear" w:color="auto" w:fill="FFFFFF" w:themeFill="background1"/>
            <w:vAlign w:val="center"/>
          </w:tcPr>
          <w:p w14:paraId="11A0BEA8"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0.3</w:t>
            </w:r>
          </w:p>
        </w:tc>
        <w:tc>
          <w:tcPr>
            <w:tcW w:w="108" w:type="dxa"/>
            <w:tcBorders>
              <w:top w:val="nil"/>
              <w:left w:val="nil"/>
              <w:bottom w:val="nil"/>
              <w:right w:val="nil"/>
            </w:tcBorders>
            <w:shd w:val="clear" w:color="auto" w:fill="FFFFFF" w:themeFill="background1"/>
            <w:noWrap/>
            <w:vAlign w:val="center"/>
            <w:hideMark/>
          </w:tcPr>
          <w:p w14:paraId="5EBEDBB7"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728" w:type="dxa"/>
            <w:tcBorders>
              <w:top w:val="nil"/>
              <w:left w:val="nil"/>
              <w:bottom w:val="nil"/>
              <w:right w:val="nil"/>
            </w:tcBorders>
            <w:shd w:val="clear" w:color="auto" w:fill="FFFFFF" w:themeFill="background1"/>
            <w:noWrap/>
            <w:vAlign w:val="center"/>
            <w:hideMark/>
          </w:tcPr>
          <w:p w14:paraId="5AFFED85" w14:textId="77777777" w:rsidR="0063752F" w:rsidRPr="0063752F" w:rsidRDefault="0063752F" w:rsidP="0063752F">
            <w:pPr>
              <w:spacing w:before="0" w:after="0" w:line="240" w:lineRule="auto"/>
              <w:jc w:val="right"/>
              <w:rPr>
                <w:rFonts w:ascii="Arial" w:hAnsi="Arial" w:cs="Arial"/>
                <w:b/>
                <w:bCs/>
                <w:color w:val="000000"/>
                <w:sz w:val="16"/>
                <w:szCs w:val="16"/>
              </w:rPr>
            </w:pPr>
            <w:r w:rsidRPr="591FF694">
              <w:rPr>
                <w:rFonts w:ascii="Arial" w:hAnsi="Arial" w:cs="Arial"/>
                <w:b/>
                <w:color w:val="000000" w:themeColor="text1"/>
                <w:sz w:val="16"/>
                <w:szCs w:val="16"/>
              </w:rPr>
              <w:t> </w:t>
            </w:r>
          </w:p>
        </w:tc>
      </w:tr>
      <w:tr w:rsidR="000C254E" w:rsidRPr="0063752F" w14:paraId="64D8AA5F" w14:textId="77777777" w:rsidTr="591FF694">
        <w:trPr>
          <w:trHeight w:hRule="exact" w:val="60"/>
        </w:trPr>
        <w:tc>
          <w:tcPr>
            <w:tcW w:w="2452" w:type="dxa"/>
            <w:tcBorders>
              <w:top w:val="nil"/>
              <w:left w:val="nil"/>
              <w:bottom w:val="nil"/>
              <w:right w:val="nil"/>
            </w:tcBorders>
            <w:shd w:val="clear" w:color="auto" w:fill="FFFFFF" w:themeFill="background1"/>
            <w:noWrap/>
            <w:vAlign w:val="center"/>
            <w:hideMark/>
          </w:tcPr>
          <w:p w14:paraId="0E362EF2" w14:textId="77777777" w:rsidR="0063752F" w:rsidRPr="0063752F" w:rsidRDefault="0063752F" w:rsidP="0063752F">
            <w:pPr>
              <w:spacing w:before="0" w:after="0" w:line="240" w:lineRule="auto"/>
              <w:rPr>
                <w:rFonts w:ascii="Arial" w:hAnsi="Arial" w:cs="Arial"/>
                <w:sz w:val="16"/>
                <w:szCs w:val="16"/>
              </w:rPr>
            </w:pPr>
            <w:r w:rsidRPr="0063752F">
              <w:rPr>
                <w:rFonts w:ascii="Arial" w:hAnsi="Arial" w:cs="Arial"/>
                <w:sz w:val="16"/>
                <w:szCs w:val="16"/>
              </w:rPr>
              <w:t> </w:t>
            </w:r>
          </w:p>
        </w:tc>
        <w:tc>
          <w:tcPr>
            <w:tcW w:w="729" w:type="dxa"/>
            <w:tcBorders>
              <w:top w:val="nil"/>
              <w:left w:val="nil"/>
              <w:bottom w:val="nil"/>
              <w:right w:val="nil"/>
            </w:tcBorders>
            <w:shd w:val="clear" w:color="auto" w:fill="FFFFFF" w:themeFill="background1"/>
            <w:noWrap/>
            <w:vAlign w:val="center"/>
            <w:hideMark/>
          </w:tcPr>
          <w:p w14:paraId="4FB3A7B2"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108" w:type="dxa"/>
            <w:tcBorders>
              <w:top w:val="nil"/>
              <w:left w:val="nil"/>
              <w:bottom w:val="nil"/>
              <w:right w:val="nil"/>
            </w:tcBorders>
            <w:shd w:val="clear" w:color="auto" w:fill="FFFFFF" w:themeFill="background1"/>
            <w:noWrap/>
            <w:vAlign w:val="center"/>
            <w:hideMark/>
          </w:tcPr>
          <w:p w14:paraId="3A3530D4"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noWrap/>
            <w:vAlign w:val="center"/>
            <w:hideMark/>
          </w:tcPr>
          <w:p w14:paraId="259F14B3"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E6F2FF"/>
            <w:vAlign w:val="center"/>
          </w:tcPr>
          <w:p w14:paraId="62E9EF24"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vAlign w:val="center"/>
          </w:tcPr>
          <w:p w14:paraId="4388294B"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vAlign w:val="center"/>
          </w:tcPr>
          <w:p w14:paraId="59A50DB1"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17" w:type="dxa"/>
            <w:tcBorders>
              <w:top w:val="nil"/>
              <w:left w:val="nil"/>
              <w:bottom w:val="nil"/>
              <w:right w:val="nil"/>
            </w:tcBorders>
            <w:shd w:val="clear" w:color="auto" w:fill="FFFFFF" w:themeFill="background1"/>
            <w:vAlign w:val="center"/>
          </w:tcPr>
          <w:p w14:paraId="2C0B2B46"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108" w:type="dxa"/>
            <w:tcBorders>
              <w:top w:val="nil"/>
              <w:left w:val="nil"/>
              <w:bottom w:val="nil"/>
              <w:right w:val="nil"/>
            </w:tcBorders>
            <w:shd w:val="clear" w:color="auto" w:fill="FFFFFF" w:themeFill="background1"/>
            <w:noWrap/>
            <w:vAlign w:val="center"/>
            <w:hideMark/>
          </w:tcPr>
          <w:p w14:paraId="4387EC74"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28" w:type="dxa"/>
            <w:tcBorders>
              <w:top w:val="nil"/>
              <w:left w:val="nil"/>
              <w:bottom w:val="nil"/>
              <w:right w:val="nil"/>
            </w:tcBorders>
            <w:shd w:val="clear" w:color="auto" w:fill="FFFFFF" w:themeFill="background1"/>
            <w:noWrap/>
            <w:vAlign w:val="center"/>
            <w:hideMark/>
          </w:tcPr>
          <w:p w14:paraId="5086F7AE"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r>
      <w:tr w:rsidR="000C254E" w:rsidRPr="0063752F" w14:paraId="2DB189FD" w14:textId="77777777" w:rsidTr="591FF694">
        <w:trPr>
          <w:trHeight w:hRule="exact" w:val="225"/>
        </w:trPr>
        <w:tc>
          <w:tcPr>
            <w:tcW w:w="2452" w:type="dxa"/>
            <w:tcBorders>
              <w:top w:val="nil"/>
              <w:left w:val="nil"/>
              <w:bottom w:val="nil"/>
              <w:right w:val="nil"/>
            </w:tcBorders>
            <w:shd w:val="clear" w:color="auto" w:fill="FFFFFF" w:themeFill="background1"/>
            <w:noWrap/>
            <w:vAlign w:val="center"/>
            <w:hideMark/>
          </w:tcPr>
          <w:p w14:paraId="670CE862" w14:textId="77777777" w:rsidR="0063752F" w:rsidRPr="0063752F" w:rsidRDefault="0063752F" w:rsidP="0063752F">
            <w:pPr>
              <w:spacing w:before="0" w:after="0" w:line="240" w:lineRule="auto"/>
              <w:rPr>
                <w:rFonts w:ascii="Arial" w:hAnsi="Arial" w:cs="Arial"/>
                <w:b/>
                <w:bCs/>
                <w:sz w:val="16"/>
                <w:szCs w:val="16"/>
              </w:rPr>
            </w:pPr>
            <w:r w:rsidRPr="0063752F">
              <w:rPr>
                <w:rFonts w:ascii="Arial" w:hAnsi="Arial" w:cs="Arial"/>
                <w:b/>
                <w:bCs/>
                <w:sz w:val="16"/>
                <w:szCs w:val="16"/>
              </w:rPr>
              <w:t>Fiscal balance</w:t>
            </w:r>
          </w:p>
        </w:tc>
        <w:tc>
          <w:tcPr>
            <w:tcW w:w="729" w:type="dxa"/>
            <w:tcBorders>
              <w:top w:val="nil"/>
              <w:left w:val="nil"/>
              <w:bottom w:val="nil"/>
              <w:right w:val="nil"/>
            </w:tcBorders>
            <w:shd w:val="clear" w:color="auto" w:fill="FFFFFF" w:themeFill="background1"/>
            <w:noWrap/>
            <w:vAlign w:val="center"/>
            <w:hideMark/>
          </w:tcPr>
          <w:p w14:paraId="753BEAB0"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12.0</w:t>
            </w:r>
          </w:p>
        </w:tc>
        <w:tc>
          <w:tcPr>
            <w:tcW w:w="108" w:type="dxa"/>
            <w:tcBorders>
              <w:top w:val="nil"/>
              <w:left w:val="nil"/>
              <w:bottom w:val="nil"/>
              <w:right w:val="nil"/>
            </w:tcBorders>
            <w:shd w:val="clear" w:color="auto" w:fill="FFFFFF" w:themeFill="background1"/>
            <w:noWrap/>
            <w:vAlign w:val="center"/>
            <w:hideMark/>
          </w:tcPr>
          <w:p w14:paraId="16A76225"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717" w:type="dxa"/>
            <w:tcBorders>
              <w:top w:val="nil"/>
              <w:left w:val="nil"/>
              <w:bottom w:val="nil"/>
              <w:right w:val="nil"/>
            </w:tcBorders>
            <w:shd w:val="clear" w:color="auto" w:fill="FFFFFF" w:themeFill="background1"/>
            <w:noWrap/>
            <w:vAlign w:val="center"/>
            <w:hideMark/>
          </w:tcPr>
          <w:p w14:paraId="2E6CD0D4" w14:textId="5154D60C" w:rsidR="0063752F" w:rsidRPr="0063752F" w:rsidRDefault="00404C26" w:rsidP="0063752F">
            <w:pPr>
              <w:spacing w:before="0" w:after="0" w:line="240" w:lineRule="auto"/>
              <w:jc w:val="right"/>
              <w:rPr>
                <w:rFonts w:ascii="Arial" w:hAnsi="Arial" w:cs="Arial"/>
                <w:b/>
                <w:bCs/>
                <w:sz w:val="16"/>
                <w:szCs w:val="16"/>
              </w:rPr>
            </w:pPr>
            <w:r>
              <w:rPr>
                <w:rFonts w:ascii="Arial" w:hAnsi="Arial" w:cs="Arial"/>
                <w:b/>
                <w:bCs/>
                <w:sz w:val="16"/>
                <w:szCs w:val="16"/>
              </w:rPr>
              <w:noBreakHyphen/>
            </w:r>
            <w:r w:rsidR="0063752F" w:rsidRPr="0063752F">
              <w:rPr>
                <w:rFonts w:ascii="Arial" w:hAnsi="Arial" w:cs="Arial"/>
                <w:b/>
                <w:bCs/>
                <w:sz w:val="16"/>
                <w:szCs w:val="16"/>
              </w:rPr>
              <w:t>50.6</w:t>
            </w:r>
          </w:p>
        </w:tc>
        <w:tc>
          <w:tcPr>
            <w:tcW w:w="717" w:type="dxa"/>
            <w:tcBorders>
              <w:top w:val="nil"/>
              <w:left w:val="nil"/>
              <w:bottom w:val="nil"/>
              <w:right w:val="nil"/>
            </w:tcBorders>
            <w:shd w:val="clear" w:color="auto" w:fill="E6F2FF"/>
            <w:vAlign w:val="center"/>
          </w:tcPr>
          <w:p w14:paraId="1F940F03" w14:textId="45231900" w:rsidR="0063752F" w:rsidRPr="0063752F" w:rsidRDefault="00404C26" w:rsidP="0063752F">
            <w:pPr>
              <w:spacing w:before="0" w:after="0" w:line="240" w:lineRule="auto"/>
              <w:jc w:val="right"/>
              <w:rPr>
                <w:rFonts w:ascii="Arial" w:hAnsi="Arial" w:cs="Arial"/>
                <w:b/>
                <w:bCs/>
                <w:sz w:val="16"/>
                <w:szCs w:val="16"/>
              </w:rPr>
            </w:pPr>
            <w:r>
              <w:rPr>
                <w:rFonts w:ascii="Arial" w:hAnsi="Arial" w:cs="Arial"/>
                <w:b/>
                <w:bCs/>
                <w:sz w:val="16"/>
                <w:szCs w:val="16"/>
              </w:rPr>
              <w:noBreakHyphen/>
            </w:r>
            <w:r w:rsidR="0063752F" w:rsidRPr="0063752F">
              <w:rPr>
                <w:rFonts w:ascii="Arial" w:hAnsi="Arial" w:cs="Arial"/>
                <w:b/>
                <w:bCs/>
                <w:sz w:val="16"/>
                <w:szCs w:val="16"/>
              </w:rPr>
              <w:t>44.2</w:t>
            </w:r>
          </w:p>
        </w:tc>
        <w:tc>
          <w:tcPr>
            <w:tcW w:w="717" w:type="dxa"/>
            <w:tcBorders>
              <w:top w:val="nil"/>
              <w:left w:val="nil"/>
              <w:bottom w:val="nil"/>
              <w:right w:val="nil"/>
            </w:tcBorders>
            <w:shd w:val="clear" w:color="auto" w:fill="FFFFFF" w:themeFill="background1"/>
            <w:vAlign w:val="center"/>
          </w:tcPr>
          <w:p w14:paraId="0E10B033" w14:textId="2E59B391" w:rsidR="0063752F" w:rsidRPr="0063752F" w:rsidRDefault="00404C26" w:rsidP="0063752F">
            <w:pPr>
              <w:spacing w:before="0" w:after="0" w:line="240" w:lineRule="auto"/>
              <w:jc w:val="right"/>
              <w:rPr>
                <w:rFonts w:ascii="Arial" w:hAnsi="Arial" w:cs="Arial"/>
                <w:b/>
                <w:bCs/>
                <w:sz w:val="16"/>
                <w:szCs w:val="16"/>
              </w:rPr>
            </w:pPr>
            <w:r>
              <w:rPr>
                <w:rFonts w:ascii="Arial" w:hAnsi="Arial" w:cs="Arial"/>
                <w:b/>
                <w:bCs/>
                <w:sz w:val="16"/>
                <w:szCs w:val="16"/>
              </w:rPr>
              <w:noBreakHyphen/>
            </w:r>
            <w:r w:rsidR="0063752F" w:rsidRPr="0063752F">
              <w:rPr>
                <w:rFonts w:ascii="Arial" w:hAnsi="Arial" w:cs="Arial"/>
                <w:b/>
                <w:bCs/>
                <w:sz w:val="16"/>
                <w:szCs w:val="16"/>
              </w:rPr>
              <w:t>32.2</w:t>
            </w:r>
          </w:p>
        </w:tc>
        <w:tc>
          <w:tcPr>
            <w:tcW w:w="717" w:type="dxa"/>
            <w:tcBorders>
              <w:top w:val="nil"/>
              <w:left w:val="nil"/>
              <w:bottom w:val="nil"/>
              <w:right w:val="nil"/>
            </w:tcBorders>
            <w:shd w:val="clear" w:color="auto" w:fill="FFFFFF" w:themeFill="background1"/>
            <w:vAlign w:val="center"/>
          </w:tcPr>
          <w:p w14:paraId="31443A4B" w14:textId="3FEFCEA6" w:rsidR="0063752F" w:rsidRPr="0063752F" w:rsidRDefault="00404C26" w:rsidP="0063752F">
            <w:pPr>
              <w:spacing w:before="0" w:after="0" w:line="240" w:lineRule="auto"/>
              <w:jc w:val="right"/>
              <w:rPr>
                <w:rFonts w:ascii="Arial" w:hAnsi="Arial" w:cs="Arial"/>
                <w:b/>
                <w:bCs/>
                <w:sz w:val="16"/>
                <w:szCs w:val="16"/>
              </w:rPr>
            </w:pPr>
            <w:r>
              <w:rPr>
                <w:rFonts w:ascii="Arial" w:hAnsi="Arial" w:cs="Arial"/>
                <w:b/>
                <w:bCs/>
                <w:sz w:val="16"/>
                <w:szCs w:val="16"/>
              </w:rPr>
              <w:noBreakHyphen/>
            </w:r>
            <w:r w:rsidR="0063752F" w:rsidRPr="0063752F">
              <w:rPr>
                <w:rFonts w:ascii="Arial" w:hAnsi="Arial" w:cs="Arial"/>
                <w:b/>
                <w:bCs/>
                <w:sz w:val="16"/>
                <w:szCs w:val="16"/>
              </w:rPr>
              <w:t>39.5</w:t>
            </w:r>
          </w:p>
        </w:tc>
        <w:tc>
          <w:tcPr>
            <w:tcW w:w="717" w:type="dxa"/>
            <w:tcBorders>
              <w:top w:val="nil"/>
              <w:left w:val="nil"/>
              <w:bottom w:val="nil"/>
              <w:right w:val="nil"/>
            </w:tcBorders>
            <w:shd w:val="clear" w:color="auto" w:fill="FFFFFF" w:themeFill="background1"/>
            <w:vAlign w:val="center"/>
          </w:tcPr>
          <w:p w14:paraId="217D17B4" w14:textId="7F494990" w:rsidR="0063752F" w:rsidRPr="0063752F" w:rsidRDefault="00404C26" w:rsidP="0063752F">
            <w:pPr>
              <w:spacing w:before="0" w:after="0" w:line="240" w:lineRule="auto"/>
              <w:jc w:val="right"/>
              <w:rPr>
                <w:rFonts w:ascii="Arial" w:hAnsi="Arial" w:cs="Arial"/>
                <w:b/>
                <w:bCs/>
                <w:sz w:val="16"/>
                <w:szCs w:val="16"/>
              </w:rPr>
            </w:pPr>
            <w:r>
              <w:rPr>
                <w:rFonts w:ascii="Arial" w:hAnsi="Arial" w:cs="Arial"/>
                <w:b/>
                <w:bCs/>
                <w:sz w:val="16"/>
                <w:szCs w:val="16"/>
              </w:rPr>
              <w:noBreakHyphen/>
            </w:r>
            <w:r w:rsidR="0063752F" w:rsidRPr="0063752F">
              <w:rPr>
                <w:rFonts w:ascii="Arial" w:hAnsi="Arial" w:cs="Arial"/>
                <w:b/>
                <w:bCs/>
                <w:sz w:val="16"/>
                <w:szCs w:val="16"/>
              </w:rPr>
              <w:t>37.1</w:t>
            </w:r>
          </w:p>
        </w:tc>
        <w:tc>
          <w:tcPr>
            <w:tcW w:w="108" w:type="dxa"/>
            <w:tcBorders>
              <w:top w:val="nil"/>
              <w:left w:val="nil"/>
              <w:bottom w:val="nil"/>
              <w:right w:val="nil"/>
            </w:tcBorders>
            <w:shd w:val="clear" w:color="auto" w:fill="FFFFFF" w:themeFill="background1"/>
            <w:noWrap/>
            <w:vAlign w:val="center"/>
            <w:hideMark/>
          </w:tcPr>
          <w:p w14:paraId="570320AB" w14:textId="77777777" w:rsidR="0063752F" w:rsidRPr="0063752F" w:rsidRDefault="0063752F" w:rsidP="0063752F">
            <w:pPr>
              <w:spacing w:before="0" w:after="0" w:line="240" w:lineRule="auto"/>
              <w:jc w:val="right"/>
              <w:rPr>
                <w:rFonts w:ascii="Arial" w:hAnsi="Arial" w:cs="Arial"/>
                <w:b/>
                <w:bCs/>
                <w:sz w:val="16"/>
                <w:szCs w:val="16"/>
              </w:rPr>
            </w:pPr>
            <w:r w:rsidRPr="0063752F">
              <w:rPr>
                <w:rFonts w:ascii="Arial" w:hAnsi="Arial" w:cs="Arial"/>
                <w:b/>
                <w:bCs/>
                <w:sz w:val="16"/>
                <w:szCs w:val="16"/>
              </w:rPr>
              <w:t> </w:t>
            </w:r>
          </w:p>
        </w:tc>
        <w:tc>
          <w:tcPr>
            <w:tcW w:w="728" w:type="dxa"/>
            <w:tcBorders>
              <w:top w:val="nil"/>
              <w:left w:val="nil"/>
              <w:bottom w:val="nil"/>
              <w:right w:val="nil"/>
            </w:tcBorders>
            <w:shd w:val="clear" w:color="auto" w:fill="FFFFFF" w:themeFill="background1"/>
            <w:noWrap/>
            <w:vAlign w:val="center"/>
            <w:hideMark/>
          </w:tcPr>
          <w:p w14:paraId="2E091684" w14:textId="18EFC788" w:rsidR="0063752F" w:rsidRPr="0063752F" w:rsidRDefault="00404C26" w:rsidP="0063752F">
            <w:pPr>
              <w:spacing w:before="0" w:after="0" w:line="240" w:lineRule="auto"/>
              <w:jc w:val="right"/>
              <w:rPr>
                <w:rFonts w:ascii="Arial" w:hAnsi="Arial" w:cs="Arial"/>
                <w:b/>
                <w:bCs/>
                <w:color w:val="000000"/>
                <w:sz w:val="16"/>
                <w:szCs w:val="16"/>
              </w:rPr>
            </w:pPr>
            <w:r>
              <w:rPr>
                <w:rFonts w:ascii="Arial" w:hAnsi="Arial" w:cs="Arial"/>
                <w:b/>
                <w:color w:val="000000" w:themeColor="text1"/>
                <w:sz w:val="16"/>
                <w:szCs w:val="16"/>
              </w:rPr>
              <w:noBreakHyphen/>
            </w:r>
            <w:r w:rsidR="0063752F" w:rsidRPr="591FF694">
              <w:rPr>
                <w:rFonts w:ascii="Arial" w:hAnsi="Arial" w:cs="Arial"/>
                <w:b/>
                <w:color w:val="000000" w:themeColor="text1"/>
                <w:sz w:val="16"/>
                <w:szCs w:val="16"/>
              </w:rPr>
              <w:t>203.6</w:t>
            </w:r>
          </w:p>
        </w:tc>
      </w:tr>
      <w:tr w:rsidR="000C254E" w:rsidRPr="0063752F" w14:paraId="06217FD6" w14:textId="77777777" w:rsidTr="591FF694">
        <w:trPr>
          <w:trHeight w:hRule="exact" w:val="225"/>
        </w:trPr>
        <w:tc>
          <w:tcPr>
            <w:tcW w:w="2452" w:type="dxa"/>
            <w:tcBorders>
              <w:top w:val="nil"/>
              <w:left w:val="nil"/>
              <w:bottom w:val="single" w:sz="4" w:space="0" w:color="293F5B"/>
              <w:right w:val="nil"/>
            </w:tcBorders>
            <w:shd w:val="clear" w:color="auto" w:fill="FFFFFF" w:themeFill="background1"/>
            <w:noWrap/>
            <w:vAlign w:val="center"/>
            <w:hideMark/>
          </w:tcPr>
          <w:p w14:paraId="0F07860E" w14:textId="77777777" w:rsidR="0063752F" w:rsidRPr="0063752F" w:rsidRDefault="0063752F" w:rsidP="0063752F">
            <w:pPr>
              <w:spacing w:before="0" w:after="0" w:line="240" w:lineRule="auto"/>
              <w:rPr>
                <w:rFonts w:ascii="Arial" w:hAnsi="Arial" w:cs="Arial"/>
                <w:sz w:val="16"/>
                <w:szCs w:val="16"/>
              </w:rPr>
            </w:pPr>
            <w:r w:rsidRPr="0063752F">
              <w:rPr>
                <w:rFonts w:ascii="Arial" w:hAnsi="Arial" w:cs="Arial"/>
                <w:sz w:val="16"/>
                <w:szCs w:val="16"/>
              </w:rPr>
              <w:t>Per cent of GDP</w:t>
            </w:r>
          </w:p>
        </w:tc>
        <w:tc>
          <w:tcPr>
            <w:tcW w:w="729" w:type="dxa"/>
            <w:tcBorders>
              <w:top w:val="nil"/>
              <w:left w:val="nil"/>
              <w:bottom w:val="single" w:sz="4" w:space="0" w:color="293F5B"/>
              <w:right w:val="nil"/>
            </w:tcBorders>
            <w:shd w:val="clear" w:color="auto" w:fill="FFFFFF" w:themeFill="background1"/>
            <w:noWrap/>
            <w:vAlign w:val="center"/>
            <w:hideMark/>
          </w:tcPr>
          <w:p w14:paraId="2EAE8414"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0.4</w:t>
            </w:r>
          </w:p>
        </w:tc>
        <w:tc>
          <w:tcPr>
            <w:tcW w:w="108" w:type="dxa"/>
            <w:tcBorders>
              <w:top w:val="nil"/>
              <w:left w:val="nil"/>
              <w:bottom w:val="single" w:sz="4" w:space="0" w:color="293F5B"/>
              <w:right w:val="nil"/>
            </w:tcBorders>
            <w:shd w:val="clear" w:color="auto" w:fill="FFFFFF" w:themeFill="background1"/>
            <w:noWrap/>
            <w:vAlign w:val="center"/>
            <w:hideMark/>
          </w:tcPr>
          <w:p w14:paraId="780DC78F" w14:textId="77777777" w:rsidR="0063752F" w:rsidRPr="0063752F" w:rsidRDefault="0063752F" w:rsidP="0063752F">
            <w:pPr>
              <w:spacing w:before="0" w:after="0" w:line="240" w:lineRule="auto"/>
              <w:jc w:val="right"/>
              <w:rPr>
                <w:rFonts w:ascii="Arial" w:hAnsi="Arial" w:cs="Arial"/>
                <w:color w:val="000000"/>
                <w:sz w:val="16"/>
                <w:szCs w:val="16"/>
              </w:rPr>
            </w:pPr>
            <w:r w:rsidRPr="591FF694">
              <w:rPr>
                <w:rFonts w:ascii="Arial" w:hAnsi="Arial" w:cs="Arial"/>
                <w:color w:val="000000" w:themeColor="text1"/>
                <w:sz w:val="16"/>
                <w:szCs w:val="16"/>
              </w:rPr>
              <w:t> </w:t>
            </w:r>
          </w:p>
        </w:tc>
        <w:tc>
          <w:tcPr>
            <w:tcW w:w="717" w:type="dxa"/>
            <w:tcBorders>
              <w:top w:val="nil"/>
              <w:left w:val="nil"/>
              <w:bottom w:val="single" w:sz="4" w:space="0" w:color="293F5B"/>
              <w:right w:val="nil"/>
            </w:tcBorders>
            <w:shd w:val="clear" w:color="auto" w:fill="FFFFFF" w:themeFill="background1"/>
            <w:noWrap/>
            <w:vAlign w:val="center"/>
            <w:hideMark/>
          </w:tcPr>
          <w:p w14:paraId="43ADA00D" w14:textId="76EB1E22" w:rsidR="0063752F" w:rsidRPr="0063752F" w:rsidRDefault="00404C26" w:rsidP="0063752F">
            <w:pPr>
              <w:spacing w:before="0" w:after="0" w:line="240" w:lineRule="auto"/>
              <w:jc w:val="right"/>
              <w:rPr>
                <w:rFonts w:ascii="Arial" w:hAnsi="Arial" w:cs="Arial"/>
                <w:sz w:val="16"/>
                <w:szCs w:val="16"/>
              </w:rPr>
            </w:pPr>
            <w:r>
              <w:rPr>
                <w:rFonts w:ascii="Arial" w:hAnsi="Arial" w:cs="Arial"/>
                <w:sz w:val="16"/>
                <w:szCs w:val="16"/>
              </w:rPr>
              <w:noBreakHyphen/>
            </w:r>
            <w:r w:rsidR="0063752F" w:rsidRPr="0063752F">
              <w:rPr>
                <w:rFonts w:ascii="Arial" w:hAnsi="Arial" w:cs="Arial"/>
                <w:sz w:val="16"/>
                <w:szCs w:val="16"/>
              </w:rPr>
              <w:t>1.8</w:t>
            </w:r>
          </w:p>
        </w:tc>
        <w:tc>
          <w:tcPr>
            <w:tcW w:w="717" w:type="dxa"/>
            <w:tcBorders>
              <w:top w:val="nil"/>
              <w:left w:val="nil"/>
              <w:bottom w:val="single" w:sz="4" w:space="0" w:color="293F5B"/>
              <w:right w:val="nil"/>
            </w:tcBorders>
            <w:shd w:val="clear" w:color="auto" w:fill="E6F2FF"/>
            <w:vAlign w:val="center"/>
          </w:tcPr>
          <w:p w14:paraId="76E1EA29" w14:textId="778F2D89" w:rsidR="0063752F" w:rsidRPr="0063752F" w:rsidRDefault="00404C26" w:rsidP="0063752F">
            <w:pPr>
              <w:spacing w:before="0" w:after="0" w:line="240" w:lineRule="auto"/>
              <w:jc w:val="right"/>
              <w:rPr>
                <w:rFonts w:ascii="Arial" w:hAnsi="Arial" w:cs="Arial"/>
                <w:sz w:val="16"/>
                <w:szCs w:val="16"/>
              </w:rPr>
            </w:pPr>
            <w:r>
              <w:rPr>
                <w:rFonts w:ascii="Arial" w:hAnsi="Arial" w:cs="Arial"/>
                <w:sz w:val="16"/>
                <w:szCs w:val="16"/>
              </w:rPr>
              <w:noBreakHyphen/>
            </w:r>
            <w:r w:rsidR="0063752F" w:rsidRPr="0063752F">
              <w:rPr>
                <w:rFonts w:ascii="Arial" w:hAnsi="Arial" w:cs="Arial"/>
                <w:sz w:val="16"/>
                <w:szCs w:val="16"/>
              </w:rPr>
              <w:t>1.5</w:t>
            </w:r>
          </w:p>
        </w:tc>
        <w:tc>
          <w:tcPr>
            <w:tcW w:w="717" w:type="dxa"/>
            <w:tcBorders>
              <w:top w:val="nil"/>
              <w:left w:val="nil"/>
              <w:bottom w:val="single" w:sz="4" w:space="0" w:color="293F5B"/>
              <w:right w:val="nil"/>
            </w:tcBorders>
            <w:shd w:val="clear" w:color="auto" w:fill="FFFFFF" w:themeFill="background1"/>
            <w:vAlign w:val="center"/>
          </w:tcPr>
          <w:p w14:paraId="53E1261F" w14:textId="189D104E" w:rsidR="0063752F" w:rsidRPr="0063752F" w:rsidRDefault="00404C26" w:rsidP="0063752F">
            <w:pPr>
              <w:spacing w:before="0" w:after="0" w:line="240" w:lineRule="auto"/>
              <w:jc w:val="right"/>
              <w:rPr>
                <w:rFonts w:ascii="Arial" w:hAnsi="Arial" w:cs="Arial"/>
                <w:sz w:val="16"/>
                <w:szCs w:val="16"/>
              </w:rPr>
            </w:pPr>
            <w:r>
              <w:rPr>
                <w:rFonts w:ascii="Arial" w:hAnsi="Arial" w:cs="Arial"/>
                <w:sz w:val="16"/>
                <w:szCs w:val="16"/>
              </w:rPr>
              <w:noBreakHyphen/>
            </w:r>
            <w:r w:rsidR="0063752F" w:rsidRPr="0063752F">
              <w:rPr>
                <w:rFonts w:ascii="Arial" w:hAnsi="Arial" w:cs="Arial"/>
                <w:sz w:val="16"/>
                <w:szCs w:val="16"/>
              </w:rPr>
              <w:t>1.1</w:t>
            </w:r>
          </w:p>
        </w:tc>
        <w:tc>
          <w:tcPr>
            <w:tcW w:w="717" w:type="dxa"/>
            <w:tcBorders>
              <w:top w:val="nil"/>
              <w:left w:val="nil"/>
              <w:bottom w:val="single" w:sz="4" w:space="0" w:color="293F5B"/>
              <w:right w:val="nil"/>
            </w:tcBorders>
            <w:shd w:val="clear" w:color="auto" w:fill="FFFFFF" w:themeFill="background1"/>
            <w:vAlign w:val="center"/>
          </w:tcPr>
          <w:p w14:paraId="7F805D95" w14:textId="4C45886E" w:rsidR="0063752F" w:rsidRPr="0063752F" w:rsidRDefault="00404C26" w:rsidP="0063752F">
            <w:pPr>
              <w:spacing w:before="0" w:after="0" w:line="240" w:lineRule="auto"/>
              <w:jc w:val="right"/>
              <w:rPr>
                <w:rFonts w:ascii="Arial" w:hAnsi="Arial" w:cs="Arial"/>
                <w:sz w:val="16"/>
                <w:szCs w:val="16"/>
              </w:rPr>
            </w:pPr>
            <w:r>
              <w:rPr>
                <w:rFonts w:ascii="Arial" w:hAnsi="Arial" w:cs="Arial"/>
                <w:sz w:val="16"/>
                <w:szCs w:val="16"/>
              </w:rPr>
              <w:noBreakHyphen/>
            </w:r>
            <w:r w:rsidR="0063752F" w:rsidRPr="0063752F">
              <w:rPr>
                <w:rFonts w:ascii="Arial" w:hAnsi="Arial" w:cs="Arial"/>
                <w:sz w:val="16"/>
                <w:szCs w:val="16"/>
              </w:rPr>
              <w:t>1.3</w:t>
            </w:r>
          </w:p>
        </w:tc>
        <w:tc>
          <w:tcPr>
            <w:tcW w:w="717" w:type="dxa"/>
            <w:tcBorders>
              <w:top w:val="nil"/>
              <w:left w:val="nil"/>
              <w:bottom w:val="single" w:sz="4" w:space="0" w:color="293F5B"/>
              <w:right w:val="nil"/>
            </w:tcBorders>
            <w:shd w:val="clear" w:color="auto" w:fill="FFFFFF" w:themeFill="background1"/>
            <w:vAlign w:val="center"/>
          </w:tcPr>
          <w:p w14:paraId="7A9313AA" w14:textId="7ED31A41" w:rsidR="0063752F" w:rsidRPr="0063752F" w:rsidRDefault="00404C26" w:rsidP="0063752F">
            <w:pPr>
              <w:spacing w:before="0" w:after="0" w:line="240" w:lineRule="auto"/>
              <w:jc w:val="right"/>
              <w:rPr>
                <w:rFonts w:ascii="Arial" w:hAnsi="Arial" w:cs="Arial"/>
                <w:sz w:val="16"/>
                <w:szCs w:val="16"/>
              </w:rPr>
            </w:pPr>
            <w:r>
              <w:rPr>
                <w:rFonts w:ascii="Arial" w:hAnsi="Arial" w:cs="Arial"/>
                <w:sz w:val="16"/>
                <w:szCs w:val="16"/>
              </w:rPr>
              <w:noBreakHyphen/>
            </w:r>
            <w:r w:rsidR="0063752F" w:rsidRPr="0063752F">
              <w:rPr>
                <w:rFonts w:ascii="Arial" w:hAnsi="Arial" w:cs="Arial"/>
                <w:sz w:val="16"/>
                <w:szCs w:val="16"/>
              </w:rPr>
              <w:t>1.1</w:t>
            </w:r>
          </w:p>
        </w:tc>
        <w:tc>
          <w:tcPr>
            <w:tcW w:w="108" w:type="dxa"/>
            <w:tcBorders>
              <w:top w:val="nil"/>
              <w:left w:val="nil"/>
              <w:bottom w:val="single" w:sz="4" w:space="0" w:color="293F5B"/>
              <w:right w:val="nil"/>
            </w:tcBorders>
            <w:shd w:val="clear" w:color="auto" w:fill="FFFFFF" w:themeFill="background1"/>
            <w:noWrap/>
            <w:vAlign w:val="center"/>
            <w:hideMark/>
          </w:tcPr>
          <w:p w14:paraId="77664861"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c>
          <w:tcPr>
            <w:tcW w:w="728" w:type="dxa"/>
            <w:tcBorders>
              <w:top w:val="nil"/>
              <w:left w:val="nil"/>
              <w:bottom w:val="single" w:sz="4" w:space="0" w:color="293F5B"/>
              <w:right w:val="nil"/>
            </w:tcBorders>
            <w:shd w:val="clear" w:color="auto" w:fill="FFFFFF" w:themeFill="background1"/>
            <w:noWrap/>
            <w:vAlign w:val="center"/>
            <w:hideMark/>
          </w:tcPr>
          <w:p w14:paraId="29F3B989" w14:textId="77777777" w:rsidR="0063752F" w:rsidRPr="0063752F" w:rsidRDefault="0063752F" w:rsidP="0063752F">
            <w:pPr>
              <w:spacing w:before="0" w:after="0" w:line="240" w:lineRule="auto"/>
              <w:jc w:val="right"/>
              <w:rPr>
                <w:rFonts w:ascii="Arial" w:hAnsi="Arial" w:cs="Arial"/>
                <w:sz w:val="16"/>
                <w:szCs w:val="16"/>
              </w:rPr>
            </w:pPr>
            <w:r w:rsidRPr="0063752F">
              <w:rPr>
                <w:rFonts w:ascii="Arial" w:hAnsi="Arial" w:cs="Arial"/>
                <w:sz w:val="16"/>
                <w:szCs w:val="16"/>
              </w:rPr>
              <w:t> </w:t>
            </w:r>
          </w:p>
        </w:tc>
      </w:tr>
    </w:tbl>
    <w:p w14:paraId="5A83B10A" w14:textId="2B7C5AC4" w:rsidR="00C50D00" w:rsidRPr="008D283E" w:rsidRDefault="001B256C" w:rsidP="00733DD8">
      <w:pPr>
        <w:pStyle w:val="ChartandTableFootnoteAlpha"/>
        <w:numPr>
          <w:ilvl w:val="0"/>
          <w:numId w:val="12"/>
        </w:numPr>
        <w:rPr>
          <w:color w:val="auto"/>
        </w:rPr>
      </w:pPr>
      <w:r w:rsidRPr="00576DC7">
        <w:rPr>
          <w:color w:val="auto"/>
        </w:rPr>
        <w:t>Total is equal to the sum of amounts from 2024–25 to 2028–29.</w:t>
      </w:r>
      <w:r w:rsidR="00C50D00" w:rsidRPr="00576DC7">
        <w:rPr>
          <w:color w:val="auto"/>
        </w:rPr>
        <w:t xml:space="preserve"> </w:t>
      </w:r>
      <w:r w:rsidR="006E5834" w:rsidRPr="00441E4C">
        <w:rPr>
          <w:color w:val="auto"/>
        </w:rPr>
        <w:t xml:space="preserve"> </w:t>
      </w:r>
    </w:p>
    <w:p w14:paraId="092BA2E1" w14:textId="77777777" w:rsidR="00C50D00" w:rsidRPr="008D283E" w:rsidRDefault="00C50D00" w:rsidP="00042C5A">
      <w:pPr>
        <w:pStyle w:val="TableLine"/>
      </w:pPr>
    </w:p>
    <w:p w14:paraId="26C3FC36" w14:textId="77777777" w:rsidR="000A49B8" w:rsidRDefault="000A49B8" w:rsidP="00F57794">
      <w:r>
        <w:br w:type="page"/>
      </w:r>
    </w:p>
    <w:p w14:paraId="76A923CA" w14:textId="6A2A9DEF" w:rsidR="00B2621F" w:rsidRPr="00712254" w:rsidRDefault="00B2621F" w:rsidP="00B2621F">
      <w:r w:rsidRPr="00576DC7">
        <w:lastRenderedPageBreak/>
        <w:t>Table 3.</w:t>
      </w:r>
      <w:r w:rsidR="00947B60" w:rsidRPr="00576DC7">
        <w:t>8</w:t>
      </w:r>
      <w:r w:rsidRPr="00576DC7">
        <w:t xml:space="preserve"> provides a reconciliation of fiscal balance estimates, including the impact of policy decisions and parameter and other variations on revenue and expenses since MYEFO. The drivers of movements in the fiscal balance estimates are largely the same as for the underlying cash balance.</w:t>
      </w:r>
      <w:r w:rsidRPr="00712254">
        <w:t xml:space="preserve"> </w:t>
      </w:r>
    </w:p>
    <w:p w14:paraId="766D6BEF" w14:textId="0C5EAA34" w:rsidR="00A0504D" w:rsidRDefault="00B2621F" w:rsidP="00A0504D">
      <w:pPr>
        <w:pStyle w:val="TableHeading"/>
        <w:rPr>
          <w:rFonts w:asciiTheme="minorHAnsi" w:eastAsiaTheme="minorHAnsi" w:hAnsiTheme="minorHAnsi" w:cstheme="minorBidi"/>
          <w:sz w:val="22"/>
          <w:szCs w:val="22"/>
          <w:lang w:eastAsia="en-US"/>
        </w:rPr>
      </w:pPr>
      <w:r w:rsidRPr="00576DC7">
        <w:t>Table 3.</w:t>
      </w:r>
      <w:r w:rsidR="00947B60" w:rsidRPr="00576DC7">
        <w:t>8</w:t>
      </w:r>
      <w:r w:rsidRPr="00576DC7">
        <w:t>: Reconciliation of general government sector fiscal balance estimates</w:t>
      </w:r>
      <w:r w:rsidR="00017DC2" w:rsidRPr="00576DC7">
        <w:t xml:space="preserve"> </w:t>
      </w:r>
      <w:bookmarkStart w:id="163" w:name="_1803793682"/>
      <w:bookmarkStart w:id="164" w:name="_1803803613"/>
      <w:bookmarkStart w:id="165" w:name="_1803823280"/>
      <w:bookmarkStart w:id="166" w:name="_1804089226"/>
      <w:bookmarkStart w:id="167" w:name="_1804087534"/>
      <w:bookmarkStart w:id="168" w:name="_1804087019"/>
      <w:bookmarkStart w:id="169" w:name="_1804054204"/>
      <w:bookmarkStart w:id="170" w:name="_1804053334"/>
      <w:bookmarkStart w:id="171" w:name="_1804053865"/>
      <w:bookmarkStart w:id="172" w:name="_1804053612"/>
      <w:bookmarkStart w:id="173" w:name="_1803880117"/>
      <w:bookmarkStart w:id="174" w:name="_1803883755"/>
      <w:bookmarkStart w:id="175" w:name="_1803828835"/>
      <w:bookmarkStart w:id="176" w:name="_1803827573"/>
      <w:bookmarkStart w:id="177" w:name="_1803891225"/>
      <w:bookmarkStart w:id="178" w:name="_1803892346"/>
      <w:bookmarkStart w:id="179" w:name="_180408691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tbl>
      <w:tblPr>
        <w:tblW w:w="5000" w:type="pct"/>
        <w:tblCellMar>
          <w:left w:w="0" w:type="dxa"/>
          <w:right w:w="28" w:type="dxa"/>
        </w:tblCellMar>
        <w:tblLook w:val="04A0" w:firstRow="1" w:lastRow="0" w:firstColumn="1" w:lastColumn="0" w:noHBand="0" w:noVBand="1"/>
      </w:tblPr>
      <w:tblGrid>
        <w:gridCol w:w="3346"/>
        <w:gridCol w:w="686"/>
        <w:gridCol w:w="684"/>
        <w:gridCol w:w="684"/>
        <w:gridCol w:w="684"/>
        <w:gridCol w:w="687"/>
        <w:gridCol w:w="78"/>
        <w:gridCol w:w="861"/>
      </w:tblGrid>
      <w:tr w:rsidR="00A0504D" w:rsidRPr="00A0504D" w14:paraId="77D161DF" w14:textId="77777777" w:rsidTr="00A0504D">
        <w:trPr>
          <w:trHeight w:hRule="exact" w:val="225"/>
        </w:trPr>
        <w:tc>
          <w:tcPr>
            <w:tcW w:w="2086" w:type="pct"/>
            <w:tcBorders>
              <w:top w:val="single" w:sz="4" w:space="0" w:color="293F5B"/>
              <w:left w:val="nil"/>
              <w:bottom w:val="nil"/>
              <w:right w:val="nil"/>
            </w:tcBorders>
            <w:shd w:val="clear" w:color="000000" w:fill="FFFFFF"/>
            <w:noWrap/>
            <w:vAlign w:val="center"/>
            <w:hideMark/>
          </w:tcPr>
          <w:p w14:paraId="5ED2B725"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 </w:t>
            </w:r>
          </w:p>
        </w:tc>
        <w:tc>
          <w:tcPr>
            <w:tcW w:w="2282" w:type="pct"/>
            <w:gridSpan w:val="5"/>
            <w:tcBorders>
              <w:top w:val="single" w:sz="4" w:space="0" w:color="293F5B"/>
              <w:left w:val="nil"/>
              <w:bottom w:val="single" w:sz="4" w:space="0" w:color="000000"/>
              <w:right w:val="nil"/>
            </w:tcBorders>
            <w:shd w:val="clear" w:color="000000" w:fill="FFFFFF"/>
            <w:noWrap/>
            <w:vAlign w:val="center"/>
            <w:hideMark/>
          </w:tcPr>
          <w:p w14:paraId="54C8E214" w14:textId="77777777" w:rsidR="00A0504D" w:rsidRPr="00A0504D" w:rsidRDefault="00A0504D" w:rsidP="00A0504D">
            <w:pPr>
              <w:spacing w:before="0" w:after="0" w:line="240" w:lineRule="auto"/>
              <w:jc w:val="center"/>
              <w:rPr>
                <w:rFonts w:ascii="Arial" w:hAnsi="Arial" w:cs="Arial"/>
                <w:sz w:val="16"/>
                <w:szCs w:val="16"/>
              </w:rPr>
            </w:pPr>
            <w:r w:rsidRPr="00A0504D">
              <w:rPr>
                <w:rFonts w:ascii="Arial" w:hAnsi="Arial" w:cs="Arial"/>
                <w:sz w:val="16"/>
                <w:szCs w:val="16"/>
              </w:rPr>
              <w:t>Estimates</w:t>
            </w:r>
          </w:p>
        </w:tc>
        <w:tc>
          <w:tcPr>
            <w:tcW w:w="62" w:type="pct"/>
            <w:tcBorders>
              <w:top w:val="single" w:sz="4" w:space="0" w:color="293F5B"/>
              <w:left w:val="nil"/>
              <w:bottom w:val="nil"/>
              <w:right w:val="nil"/>
            </w:tcBorders>
            <w:shd w:val="clear" w:color="000000" w:fill="FFFFFF"/>
            <w:noWrap/>
            <w:vAlign w:val="center"/>
            <w:hideMark/>
          </w:tcPr>
          <w:p w14:paraId="3995F8BA"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 </w:t>
            </w:r>
          </w:p>
        </w:tc>
        <w:tc>
          <w:tcPr>
            <w:tcW w:w="571" w:type="pct"/>
            <w:tcBorders>
              <w:top w:val="single" w:sz="4" w:space="0" w:color="293F5B"/>
              <w:left w:val="nil"/>
              <w:bottom w:val="single" w:sz="4" w:space="0" w:color="293F5B"/>
              <w:right w:val="nil"/>
            </w:tcBorders>
            <w:shd w:val="clear" w:color="000000" w:fill="FFFFFF"/>
            <w:noWrap/>
            <w:vAlign w:val="center"/>
            <w:hideMark/>
          </w:tcPr>
          <w:p w14:paraId="4973BAC8"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 </w:t>
            </w:r>
          </w:p>
        </w:tc>
      </w:tr>
      <w:tr w:rsidR="00A0504D" w:rsidRPr="00A0504D" w14:paraId="5EBF86F8" w14:textId="77777777" w:rsidTr="00A0504D">
        <w:trPr>
          <w:trHeight w:hRule="exact" w:val="225"/>
        </w:trPr>
        <w:tc>
          <w:tcPr>
            <w:tcW w:w="2086" w:type="pct"/>
            <w:tcBorders>
              <w:top w:val="nil"/>
              <w:left w:val="nil"/>
              <w:bottom w:val="nil"/>
              <w:right w:val="nil"/>
            </w:tcBorders>
            <w:shd w:val="clear" w:color="000000" w:fill="FFFFFF"/>
            <w:noWrap/>
            <w:vAlign w:val="bottom"/>
            <w:hideMark/>
          </w:tcPr>
          <w:p w14:paraId="36A49256"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 </w:t>
            </w:r>
          </w:p>
        </w:tc>
        <w:tc>
          <w:tcPr>
            <w:tcW w:w="457" w:type="pct"/>
            <w:tcBorders>
              <w:top w:val="single" w:sz="4" w:space="0" w:color="293F5B"/>
              <w:left w:val="nil"/>
              <w:bottom w:val="nil"/>
              <w:right w:val="nil"/>
            </w:tcBorders>
            <w:shd w:val="clear" w:color="000000" w:fill="FFFFFF"/>
            <w:noWrap/>
            <w:vAlign w:val="center"/>
            <w:hideMark/>
          </w:tcPr>
          <w:p w14:paraId="628EBD7D" w14:textId="25D5DD9B"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2024</w:t>
            </w:r>
            <w:r w:rsidR="00404C26">
              <w:rPr>
                <w:rFonts w:ascii="Arial" w:hAnsi="Arial" w:cs="Arial"/>
                <w:sz w:val="16"/>
                <w:szCs w:val="16"/>
              </w:rPr>
              <w:noBreakHyphen/>
            </w:r>
            <w:r w:rsidRPr="00A0504D">
              <w:rPr>
                <w:rFonts w:ascii="Arial" w:hAnsi="Arial" w:cs="Arial"/>
                <w:sz w:val="16"/>
                <w:szCs w:val="16"/>
              </w:rPr>
              <w:t>25</w:t>
            </w:r>
          </w:p>
        </w:tc>
        <w:tc>
          <w:tcPr>
            <w:tcW w:w="456" w:type="pct"/>
            <w:tcBorders>
              <w:top w:val="single" w:sz="4" w:space="0" w:color="293F5B"/>
              <w:left w:val="nil"/>
              <w:bottom w:val="nil"/>
              <w:right w:val="nil"/>
            </w:tcBorders>
            <w:shd w:val="clear" w:color="000000" w:fill="E6F2FF"/>
            <w:noWrap/>
            <w:vAlign w:val="center"/>
            <w:hideMark/>
          </w:tcPr>
          <w:p w14:paraId="190852DB" w14:textId="48BBABB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2025</w:t>
            </w:r>
            <w:r w:rsidR="00404C26">
              <w:rPr>
                <w:rFonts w:ascii="Arial" w:hAnsi="Arial" w:cs="Arial"/>
                <w:sz w:val="16"/>
                <w:szCs w:val="16"/>
              </w:rPr>
              <w:noBreakHyphen/>
            </w:r>
            <w:r w:rsidRPr="00A0504D">
              <w:rPr>
                <w:rFonts w:ascii="Arial" w:hAnsi="Arial" w:cs="Arial"/>
                <w:sz w:val="16"/>
                <w:szCs w:val="16"/>
              </w:rPr>
              <w:t>26</w:t>
            </w:r>
          </w:p>
        </w:tc>
        <w:tc>
          <w:tcPr>
            <w:tcW w:w="456" w:type="pct"/>
            <w:tcBorders>
              <w:top w:val="single" w:sz="4" w:space="0" w:color="293F5B"/>
              <w:left w:val="nil"/>
              <w:bottom w:val="nil"/>
              <w:right w:val="nil"/>
            </w:tcBorders>
            <w:shd w:val="clear" w:color="000000" w:fill="FFFFFF"/>
            <w:noWrap/>
            <w:vAlign w:val="center"/>
            <w:hideMark/>
          </w:tcPr>
          <w:p w14:paraId="6F5F6B5B" w14:textId="33B08A31"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2026</w:t>
            </w:r>
            <w:r w:rsidR="00404C26">
              <w:rPr>
                <w:rFonts w:ascii="Arial" w:hAnsi="Arial" w:cs="Arial"/>
                <w:sz w:val="16"/>
                <w:szCs w:val="16"/>
              </w:rPr>
              <w:noBreakHyphen/>
            </w:r>
            <w:r w:rsidRPr="00A0504D">
              <w:rPr>
                <w:rFonts w:ascii="Arial" w:hAnsi="Arial" w:cs="Arial"/>
                <w:sz w:val="16"/>
                <w:szCs w:val="16"/>
              </w:rPr>
              <w:t>27</w:t>
            </w:r>
          </w:p>
        </w:tc>
        <w:tc>
          <w:tcPr>
            <w:tcW w:w="456" w:type="pct"/>
            <w:tcBorders>
              <w:top w:val="single" w:sz="4" w:space="0" w:color="293F5B"/>
              <w:left w:val="nil"/>
              <w:bottom w:val="nil"/>
              <w:right w:val="nil"/>
            </w:tcBorders>
            <w:shd w:val="clear" w:color="000000" w:fill="FFFFFF"/>
            <w:noWrap/>
            <w:vAlign w:val="center"/>
            <w:hideMark/>
          </w:tcPr>
          <w:p w14:paraId="3AA66D0F" w14:textId="4F7F4BEF"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2027</w:t>
            </w:r>
            <w:r w:rsidR="00404C26">
              <w:rPr>
                <w:rFonts w:ascii="Arial" w:hAnsi="Arial" w:cs="Arial"/>
                <w:sz w:val="16"/>
                <w:szCs w:val="16"/>
              </w:rPr>
              <w:noBreakHyphen/>
            </w:r>
            <w:r w:rsidRPr="00A0504D">
              <w:rPr>
                <w:rFonts w:ascii="Arial" w:hAnsi="Arial" w:cs="Arial"/>
                <w:sz w:val="16"/>
                <w:szCs w:val="16"/>
              </w:rPr>
              <w:t>28</w:t>
            </w:r>
          </w:p>
        </w:tc>
        <w:tc>
          <w:tcPr>
            <w:tcW w:w="456" w:type="pct"/>
            <w:tcBorders>
              <w:top w:val="single" w:sz="4" w:space="0" w:color="293F5B"/>
              <w:left w:val="nil"/>
              <w:bottom w:val="nil"/>
              <w:right w:val="nil"/>
            </w:tcBorders>
            <w:shd w:val="clear" w:color="000000" w:fill="FFFFFF"/>
            <w:noWrap/>
            <w:vAlign w:val="center"/>
            <w:hideMark/>
          </w:tcPr>
          <w:p w14:paraId="1DB29A9D" w14:textId="11243C21"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2028</w:t>
            </w:r>
            <w:r w:rsidR="00404C26">
              <w:rPr>
                <w:rFonts w:ascii="Arial" w:hAnsi="Arial" w:cs="Arial"/>
                <w:sz w:val="16"/>
                <w:szCs w:val="16"/>
              </w:rPr>
              <w:noBreakHyphen/>
            </w:r>
            <w:r w:rsidRPr="00A0504D">
              <w:rPr>
                <w:rFonts w:ascii="Arial" w:hAnsi="Arial" w:cs="Arial"/>
                <w:sz w:val="16"/>
                <w:szCs w:val="16"/>
              </w:rPr>
              <w:t>29</w:t>
            </w:r>
          </w:p>
        </w:tc>
        <w:tc>
          <w:tcPr>
            <w:tcW w:w="62" w:type="pct"/>
            <w:tcBorders>
              <w:top w:val="nil"/>
              <w:left w:val="nil"/>
              <w:bottom w:val="nil"/>
              <w:right w:val="nil"/>
            </w:tcBorders>
            <w:shd w:val="clear" w:color="000000" w:fill="FFFFFF"/>
            <w:noWrap/>
            <w:vAlign w:val="center"/>
            <w:hideMark/>
          </w:tcPr>
          <w:p w14:paraId="67E23B6B"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single" w:sz="4" w:space="0" w:color="293F5B"/>
              <w:left w:val="nil"/>
              <w:bottom w:val="nil"/>
              <w:right w:val="nil"/>
            </w:tcBorders>
            <w:shd w:val="clear" w:color="000000" w:fill="FFFFFF"/>
            <w:noWrap/>
            <w:vAlign w:val="center"/>
            <w:hideMark/>
          </w:tcPr>
          <w:p w14:paraId="6D0E7586"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Total</w:t>
            </w:r>
          </w:p>
        </w:tc>
      </w:tr>
      <w:tr w:rsidR="00A0504D" w:rsidRPr="00A0504D" w14:paraId="026DF079"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74A9CA82"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 </w:t>
            </w:r>
          </w:p>
        </w:tc>
        <w:tc>
          <w:tcPr>
            <w:tcW w:w="457" w:type="pct"/>
            <w:tcBorders>
              <w:top w:val="nil"/>
              <w:left w:val="nil"/>
              <w:bottom w:val="single" w:sz="4" w:space="0" w:color="293F5B"/>
              <w:right w:val="nil"/>
            </w:tcBorders>
            <w:shd w:val="clear" w:color="000000" w:fill="FFFFFF"/>
            <w:noWrap/>
            <w:vAlign w:val="center"/>
            <w:hideMark/>
          </w:tcPr>
          <w:p w14:paraId="30CAC514"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$m</w:t>
            </w:r>
          </w:p>
        </w:tc>
        <w:tc>
          <w:tcPr>
            <w:tcW w:w="456" w:type="pct"/>
            <w:tcBorders>
              <w:top w:val="nil"/>
              <w:left w:val="nil"/>
              <w:bottom w:val="single" w:sz="4" w:space="0" w:color="293F5B"/>
              <w:right w:val="nil"/>
            </w:tcBorders>
            <w:shd w:val="clear" w:color="000000" w:fill="E6F2FF"/>
            <w:noWrap/>
            <w:vAlign w:val="center"/>
            <w:hideMark/>
          </w:tcPr>
          <w:p w14:paraId="6DF760D0"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$m</w:t>
            </w:r>
          </w:p>
        </w:tc>
        <w:tc>
          <w:tcPr>
            <w:tcW w:w="456" w:type="pct"/>
            <w:tcBorders>
              <w:top w:val="nil"/>
              <w:left w:val="nil"/>
              <w:bottom w:val="single" w:sz="4" w:space="0" w:color="293F5B"/>
              <w:right w:val="nil"/>
            </w:tcBorders>
            <w:shd w:val="clear" w:color="000000" w:fill="FFFFFF"/>
            <w:noWrap/>
            <w:vAlign w:val="center"/>
            <w:hideMark/>
          </w:tcPr>
          <w:p w14:paraId="4649EF84"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$m</w:t>
            </w:r>
          </w:p>
        </w:tc>
        <w:tc>
          <w:tcPr>
            <w:tcW w:w="456" w:type="pct"/>
            <w:tcBorders>
              <w:top w:val="nil"/>
              <w:left w:val="nil"/>
              <w:bottom w:val="single" w:sz="4" w:space="0" w:color="293F5B"/>
              <w:right w:val="nil"/>
            </w:tcBorders>
            <w:shd w:val="clear" w:color="000000" w:fill="FFFFFF"/>
            <w:noWrap/>
            <w:vAlign w:val="center"/>
            <w:hideMark/>
          </w:tcPr>
          <w:p w14:paraId="1D7680C8"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$m</w:t>
            </w:r>
          </w:p>
        </w:tc>
        <w:tc>
          <w:tcPr>
            <w:tcW w:w="456" w:type="pct"/>
            <w:tcBorders>
              <w:top w:val="nil"/>
              <w:left w:val="nil"/>
              <w:bottom w:val="single" w:sz="4" w:space="0" w:color="293F5B"/>
              <w:right w:val="nil"/>
            </w:tcBorders>
            <w:shd w:val="clear" w:color="000000" w:fill="FFFFFF"/>
            <w:noWrap/>
            <w:vAlign w:val="center"/>
            <w:hideMark/>
          </w:tcPr>
          <w:p w14:paraId="66374CB9"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$m</w:t>
            </w:r>
          </w:p>
        </w:tc>
        <w:tc>
          <w:tcPr>
            <w:tcW w:w="62" w:type="pct"/>
            <w:tcBorders>
              <w:top w:val="nil"/>
              <w:left w:val="nil"/>
              <w:bottom w:val="nil"/>
              <w:right w:val="nil"/>
            </w:tcBorders>
            <w:shd w:val="clear" w:color="000000" w:fill="FFFFFF"/>
            <w:noWrap/>
            <w:vAlign w:val="center"/>
            <w:hideMark/>
          </w:tcPr>
          <w:p w14:paraId="72874DC4"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single" w:sz="4" w:space="0" w:color="293F5B"/>
              <w:right w:val="nil"/>
            </w:tcBorders>
            <w:shd w:val="clear" w:color="000000" w:fill="FFFFFF"/>
            <w:noWrap/>
            <w:vAlign w:val="center"/>
            <w:hideMark/>
          </w:tcPr>
          <w:p w14:paraId="4BBF3C02"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$m</w:t>
            </w:r>
          </w:p>
        </w:tc>
      </w:tr>
      <w:tr w:rsidR="00A0504D" w:rsidRPr="00A0504D" w14:paraId="75A6EF95"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4EAEF9F8" w14:textId="0979CBC2" w:rsidR="00A0504D" w:rsidRPr="00A0504D" w:rsidRDefault="00A0504D" w:rsidP="00A0504D">
            <w:pPr>
              <w:spacing w:before="0" w:after="0" w:line="240" w:lineRule="auto"/>
              <w:rPr>
                <w:rFonts w:ascii="Arial" w:hAnsi="Arial" w:cs="Arial"/>
                <w:b/>
                <w:bCs/>
                <w:sz w:val="16"/>
                <w:szCs w:val="16"/>
              </w:rPr>
            </w:pPr>
            <w:r w:rsidRPr="00A0504D">
              <w:rPr>
                <w:rFonts w:ascii="Arial" w:hAnsi="Arial" w:cs="Arial"/>
                <w:b/>
                <w:bCs/>
                <w:sz w:val="16"/>
                <w:szCs w:val="16"/>
              </w:rPr>
              <w:t>2024</w:t>
            </w:r>
            <w:r w:rsidR="00404C26">
              <w:rPr>
                <w:rFonts w:ascii="Arial" w:hAnsi="Arial" w:cs="Arial"/>
                <w:b/>
                <w:bCs/>
                <w:sz w:val="16"/>
                <w:szCs w:val="16"/>
              </w:rPr>
              <w:noBreakHyphen/>
            </w:r>
            <w:r w:rsidRPr="00A0504D">
              <w:rPr>
                <w:rFonts w:ascii="Arial" w:hAnsi="Arial" w:cs="Arial"/>
                <w:b/>
                <w:bCs/>
                <w:sz w:val="16"/>
                <w:szCs w:val="16"/>
              </w:rPr>
              <w:t>25 Budget fiscal balance</w:t>
            </w:r>
          </w:p>
        </w:tc>
        <w:tc>
          <w:tcPr>
            <w:tcW w:w="457" w:type="pct"/>
            <w:tcBorders>
              <w:top w:val="nil"/>
              <w:left w:val="nil"/>
              <w:bottom w:val="nil"/>
              <w:right w:val="nil"/>
            </w:tcBorders>
            <w:shd w:val="clear" w:color="000000" w:fill="FFFFFF"/>
            <w:noWrap/>
            <w:vAlign w:val="center"/>
            <w:hideMark/>
          </w:tcPr>
          <w:p w14:paraId="29B878C9" w14:textId="7E6027B2"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29,316</w:t>
            </w:r>
          </w:p>
        </w:tc>
        <w:tc>
          <w:tcPr>
            <w:tcW w:w="456" w:type="pct"/>
            <w:tcBorders>
              <w:top w:val="nil"/>
              <w:left w:val="nil"/>
              <w:bottom w:val="nil"/>
              <w:right w:val="nil"/>
            </w:tcBorders>
            <w:shd w:val="clear" w:color="000000" w:fill="E6F2FF"/>
            <w:noWrap/>
            <w:vAlign w:val="center"/>
            <w:hideMark/>
          </w:tcPr>
          <w:p w14:paraId="24FE91C2" w14:textId="2A8BDB6E"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42,604</w:t>
            </w:r>
          </w:p>
        </w:tc>
        <w:tc>
          <w:tcPr>
            <w:tcW w:w="456" w:type="pct"/>
            <w:tcBorders>
              <w:top w:val="nil"/>
              <w:left w:val="nil"/>
              <w:bottom w:val="nil"/>
              <w:right w:val="nil"/>
            </w:tcBorders>
            <w:shd w:val="clear" w:color="000000" w:fill="FFFFFF"/>
            <w:noWrap/>
            <w:vAlign w:val="center"/>
            <w:hideMark/>
          </w:tcPr>
          <w:p w14:paraId="552A980A" w14:textId="5AC4971A"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26,514</w:t>
            </w:r>
          </w:p>
        </w:tc>
        <w:tc>
          <w:tcPr>
            <w:tcW w:w="456" w:type="pct"/>
            <w:tcBorders>
              <w:top w:val="nil"/>
              <w:left w:val="nil"/>
              <w:bottom w:val="nil"/>
              <w:right w:val="nil"/>
            </w:tcBorders>
            <w:shd w:val="clear" w:color="000000" w:fill="FFFFFF"/>
            <w:noWrap/>
            <w:vAlign w:val="center"/>
            <w:hideMark/>
          </w:tcPr>
          <w:p w14:paraId="5E17AC4B" w14:textId="01816479"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22,026</w:t>
            </w:r>
          </w:p>
        </w:tc>
        <w:tc>
          <w:tcPr>
            <w:tcW w:w="456" w:type="pct"/>
            <w:tcBorders>
              <w:top w:val="nil"/>
              <w:left w:val="nil"/>
              <w:bottom w:val="nil"/>
              <w:right w:val="nil"/>
            </w:tcBorders>
            <w:shd w:val="clear" w:color="000000" w:fill="FFFFFF"/>
            <w:noWrap/>
            <w:vAlign w:val="center"/>
            <w:hideMark/>
          </w:tcPr>
          <w:p w14:paraId="4D39B254" w14:textId="77777777" w:rsidR="00A0504D" w:rsidRPr="00A0504D" w:rsidRDefault="00A0504D" w:rsidP="00A0504D">
            <w:pPr>
              <w:spacing w:before="0" w:after="0" w:line="240" w:lineRule="auto"/>
              <w:jc w:val="right"/>
              <w:rPr>
                <w:rFonts w:ascii="Arial" w:hAnsi="Arial" w:cs="Arial"/>
                <w:b/>
                <w:bCs/>
                <w:sz w:val="16"/>
                <w:szCs w:val="16"/>
              </w:rPr>
            </w:pPr>
            <w:r w:rsidRPr="00A0504D">
              <w:rPr>
                <w:rFonts w:ascii="Arial" w:hAnsi="Arial" w:cs="Arial"/>
                <w:b/>
                <w:bCs/>
                <w:sz w:val="16"/>
                <w:szCs w:val="16"/>
              </w:rPr>
              <w:t>*</w:t>
            </w:r>
          </w:p>
        </w:tc>
        <w:tc>
          <w:tcPr>
            <w:tcW w:w="62" w:type="pct"/>
            <w:tcBorders>
              <w:top w:val="nil"/>
              <w:left w:val="nil"/>
              <w:bottom w:val="nil"/>
              <w:right w:val="nil"/>
            </w:tcBorders>
            <w:shd w:val="clear" w:color="000000" w:fill="FFFFFF"/>
            <w:noWrap/>
            <w:vAlign w:val="center"/>
            <w:hideMark/>
          </w:tcPr>
          <w:p w14:paraId="397B2EBC" w14:textId="77777777" w:rsidR="00A0504D" w:rsidRPr="00A0504D" w:rsidRDefault="00A0504D" w:rsidP="00A0504D">
            <w:pPr>
              <w:spacing w:before="0" w:after="0" w:line="240" w:lineRule="auto"/>
              <w:jc w:val="right"/>
              <w:rPr>
                <w:rFonts w:ascii="Arial" w:hAnsi="Arial" w:cs="Arial"/>
                <w:b/>
                <w:bCs/>
                <w:sz w:val="16"/>
                <w:szCs w:val="16"/>
              </w:rPr>
            </w:pPr>
            <w:r w:rsidRPr="00A0504D">
              <w:rPr>
                <w:rFonts w:ascii="Arial" w:hAnsi="Arial" w:cs="Arial"/>
                <w:b/>
                <w:bCs/>
                <w:sz w:val="16"/>
                <w:szCs w:val="16"/>
              </w:rPr>
              <w:t> </w:t>
            </w:r>
          </w:p>
        </w:tc>
        <w:tc>
          <w:tcPr>
            <w:tcW w:w="571" w:type="pct"/>
            <w:tcBorders>
              <w:top w:val="nil"/>
              <w:left w:val="nil"/>
              <w:bottom w:val="nil"/>
              <w:right w:val="nil"/>
            </w:tcBorders>
            <w:shd w:val="clear" w:color="000000" w:fill="FFFFFF"/>
            <w:vAlign w:val="center"/>
            <w:hideMark/>
          </w:tcPr>
          <w:p w14:paraId="45BCC38E" w14:textId="77777777" w:rsidR="00A0504D" w:rsidRPr="00A0504D" w:rsidRDefault="00A0504D" w:rsidP="00A0504D">
            <w:pPr>
              <w:spacing w:before="0" w:after="0" w:line="240" w:lineRule="auto"/>
              <w:jc w:val="right"/>
              <w:rPr>
                <w:rFonts w:ascii="Arial" w:hAnsi="Arial" w:cs="Arial"/>
                <w:b/>
                <w:bCs/>
                <w:sz w:val="16"/>
                <w:szCs w:val="16"/>
              </w:rPr>
            </w:pPr>
            <w:r w:rsidRPr="00A0504D">
              <w:rPr>
                <w:rFonts w:ascii="Arial" w:hAnsi="Arial" w:cs="Arial"/>
                <w:b/>
                <w:bCs/>
                <w:sz w:val="16"/>
                <w:szCs w:val="16"/>
              </w:rPr>
              <w:t>*</w:t>
            </w:r>
          </w:p>
        </w:tc>
      </w:tr>
      <w:tr w:rsidR="00A0504D" w:rsidRPr="00A0504D" w14:paraId="06E5F12C"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20420E88"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Per cent of GDP</w:t>
            </w:r>
          </w:p>
        </w:tc>
        <w:tc>
          <w:tcPr>
            <w:tcW w:w="457" w:type="pct"/>
            <w:tcBorders>
              <w:top w:val="nil"/>
              <w:left w:val="nil"/>
              <w:bottom w:val="nil"/>
              <w:right w:val="nil"/>
            </w:tcBorders>
            <w:shd w:val="clear" w:color="000000" w:fill="FFFFFF"/>
            <w:noWrap/>
            <w:vAlign w:val="center"/>
            <w:hideMark/>
          </w:tcPr>
          <w:p w14:paraId="2134445C" w14:textId="5C5CE1D9"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1.1</w:t>
            </w:r>
          </w:p>
        </w:tc>
        <w:tc>
          <w:tcPr>
            <w:tcW w:w="456" w:type="pct"/>
            <w:tcBorders>
              <w:top w:val="nil"/>
              <w:left w:val="nil"/>
              <w:bottom w:val="nil"/>
              <w:right w:val="nil"/>
            </w:tcBorders>
            <w:shd w:val="clear" w:color="000000" w:fill="E6F2FF"/>
            <w:noWrap/>
            <w:vAlign w:val="center"/>
            <w:hideMark/>
          </w:tcPr>
          <w:p w14:paraId="6D2F45CD" w14:textId="2CF5A347"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1.5</w:t>
            </w:r>
          </w:p>
        </w:tc>
        <w:tc>
          <w:tcPr>
            <w:tcW w:w="456" w:type="pct"/>
            <w:tcBorders>
              <w:top w:val="nil"/>
              <w:left w:val="nil"/>
              <w:bottom w:val="nil"/>
              <w:right w:val="nil"/>
            </w:tcBorders>
            <w:shd w:val="clear" w:color="000000" w:fill="FFFFFF"/>
            <w:noWrap/>
            <w:vAlign w:val="center"/>
            <w:hideMark/>
          </w:tcPr>
          <w:p w14:paraId="4995B525" w14:textId="31168C0B"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0.9</w:t>
            </w:r>
          </w:p>
        </w:tc>
        <w:tc>
          <w:tcPr>
            <w:tcW w:w="456" w:type="pct"/>
            <w:tcBorders>
              <w:top w:val="nil"/>
              <w:left w:val="nil"/>
              <w:bottom w:val="nil"/>
              <w:right w:val="nil"/>
            </w:tcBorders>
            <w:shd w:val="clear" w:color="000000" w:fill="FFFFFF"/>
            <w:noWrap/>
            <w:vAlign w:val="center"/>
            <w:hideMark/>
          </w:tcPr>
          <w:p w14:paraId="0F532708" w14:textId="39A8BA6F"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0.7</w:t>
            </w:r>
          </w:p>
        </w:tc>
        <w:tc>
          <w:tcPr>
            <w:tcW w:w="456" w:type="pct"/>
            <w:tcBorders>
              <w:top w:val="nil"/>
              <w:left w:val="nil"/>
              <w:bottom w:val="nil"/>
              <w:right w:val="nil"/>
            </w:tcBorders>
            <w:shd w:val="clear" w:color="000000" w:fill="FFFFFF"/>
            <w:noWrap/>
            <w:vAlign w:val="center"/>
            <w:hideMark/>
          </w:tcPr>
          <w:p w14:paraId="040D288A"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w:t>
            </w:r>
          </w:p>
        </w:tc>
        <w:tc>
          <w:tcPr>
            <w:tcW w:w="62" w:type="pct"/>
            <w:tcBorders>
              <w:top w:val="nil"/>
              <w:left w:val="nil"/>
              <w:bottom w:val="nil"/>
              <w:right w:val="nil"/>
            </w:tcBorders>
            <w:shd w:val="clear" w:color="000000" w:fill="FFFFFF"/>
            <w:noWrap/>
            <w:vAlign w:val="center"/>
            <w:hideMark/>
          </w:tcPr>
          <w:p w14:paraId="07D8E651"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nil"/>
              <w:right w:val="nil"/>
            </w:tcBorders>
            <w:shd w:val="clear" w:color="000000" w:fill="FFFFFF"/>
            <w:noWrap/>
            <w:vAlign w:val="center"/>
            <w:hideMark/>
          </w:tcPr>
          <w:p w14:paraId="27085D09"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r>
      <w:tr w:rsidR="00A0504D" w:rsidRPr="00A0504D" w14:paraId="4CF470F0" w14:textId="77777777" w:rsidTr="00A0504D">
        <w:trPr>
          <w:trHeight w:hRule="exact" w:val="60"/>
        </w:trPr>
        <w:tc>
          <w:tcPr>
            <w:tcW w:w="2086" w:type="pct"/>
            <w:tcBorders>
              <w:top w:val="nil"/>
              <w:left w:val="nil"/>
              <w:bottom w:val="nil"/>
              <w:right w:val="nil"/>
            </w:tcBorders>
            <w:shd w:val="clear" w:color="000000" w:fill="FFFFFF"/>
            <w:noWrap/>
            <w:vAlign w:val="center"/>
            <w:hideMark/>
          </w:tcPr>
          <w:p w14:paraId="3E61E2BA"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 </w:t>
            </w:r>
          </w:p>
        </w:tc>
        <w:tc>
          <w:tcPr>
            <w:tcW w:w="457" w:type="pct"/>
            <w:tcBorders>
              <w:top w:val="nil"/>
              <w:left w:val="nil"/>
              <w:bottom w:val="nil"/>
              <w:right w:val="nil"/>
            </w:tcBorders>
            <w:shd w:val="clear" w:color="000000" w:fill="FFFFFF"/>
            <w:noWrap/>
            <w:vAlign w:val="center"/>
            <w:hideMark/>
          </w:tcPr>
          <w:p w14:paraId="4C43C6D2"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E6F2FF"/>
            <w:noWrap/>
            <w:vAlign w:val="center"/>
            <w:hideMark/>
          </w:tcPr>
          <w:p w14:paraId="5F2F4A8B"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344B91AF"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5220C296"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4DD5D06E"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1EA9E0EF"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nil"/>
              <w:right w:val="nil"/>
            </w:tcBorders>
            <w:shd w:val="clear" w:color="000000" w:fill="FFFFFF"/>
            <w:noWrap/>
            <w:vAlign w:val="center"/>
            <w:hideMark/>
          </w:tcPr>
          <w:p w14:paraId="7626E38C"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r>
      <w:tr w:rsidR="00A0504D" w:rsidRPr="00A0504D" w14:paraId="2A8F5F24"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589D836C" w14:textId="6FF7CA35" w:rsidR="00A0504D" w:rsidRPr="00A0504D" w:rsidRDefault="00A0504D" w:rsidP="00A0504D">
            <w:pPr>
              <w:spacing w:before="0" w:after="0" w:line="240" w:lineRule="auto"/>
              <w:rPr>
                <w:rFonts w:ascii="Arial" w:hAnsi="Arial" w:cs="Arial"/>
                <w:b/>
                <w:bCs/>
                <w:sz w:val="16"/>
                <w:szCs w:val="16"/>
              </w:rPr>
            </w:pPr>
            <w:r w:rsidRPr="00A0504D">
              <w:rPr>
                <w:rFonts w:ascii="Arial" w:hAnsi="Arial" w:cs="Arial"/>
                <w:b/>
                <w:bCs/>
                <w:sz w:val="16"/>
                <w:szCs w:val="16"/>
              </w:rPr>
              <w:t>Changes from 2024</w:t>
            </w:r>
            <w:r w:rsidR="00404C26">
              <w:rPr>
                <w:rFonts w:ascii="Arial" w:hAnsi="Arial" w:cs="Arial"/>
                <w:b/>
                <w:bCs/>
                <w:sz w:val="16"/>
                <w:szCs w:val="16"/>
              </w:rPr>
              <w:noBreakHyphen/>
            </w:r>
            <w:r w:rsidRPr="00A0504D">
              <w:rPr>
                <w:rFonts w:ascii="Arial" w:hAnsi="Arial" w:cs="Arial"/>
                <w:b/>
                <w:bCs/>
                <w:sz w:val="16"/>
                <w:szCs w:val="16"/>
              </w:rPr>
              <w:t xml:space="preserve">25 Budget to </w:t>
            </w:r>
          </w:p>
        </w:tc>
        <w:tc>
          <w:tcPr>
            <w:tcW w:w="457" w:type="pct"/>
            <w:tcBorders>
              <w:top w:val="nil"/>
              <w:left w:val="nil"/>
              <w:bottom w:val="nil"/>
              <w:right w:val="nil"/>
            </w:tcBorders>
            <w:shd w:val="clear" w:color="000000" w:fill="FFFFFF"/>
            <w:noWrap/>
            <w:vAlign w:val="center"/>
            <w:hideMark/>
          </w:tcPr>
          <w:p w14:paraId="2DC7B714"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E6F2FF"/>
            <w:noWrap/>
            <w:vAlign w:val="center"/>
            <w:hideMark/>
          </w:tcPr>
          <w:p w14:paraId="61C742DF"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345D3F3A"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784F6238"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1877E97E"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4B455705"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nil"/>
              <w:right w:val="nil"/>
            </w:tcBorders>
            <w:shd w:val="clear" w:color="000000" w:fill="FFFFFF"/>
            <w:noWrap/>
            <w:vAlign w:val="center"/>
            <w:hideMark/>
          </w:tcPr>
          <w:p w14:paraId="3E284943"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r>
      <w:tr w:rsidR="00A0504D" w:rsidRPr="00A0504D" w14:paraId="7D04F86E"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5941ACB6" w14:textId="194CEE00" w:rsidR="00A0504D" w:rsidRPr="00A0504D" w:rsidRDefault="00A0504D" w:rsidP="00A0504D">
            <w:pPr>
              <w:spacing w:before="0" w:after="0" w:line="240" w:lineRule="auto"/>
              <w:ind w:left="170"/>
              <w:rPr>
                <w:rFonts w:ascii="Arial" w:hAnsi="Arial" w:cs="Arial"/>
                <w:b/>
                <w:bCs/>
                <w:sz w:val="16"/>
                <w:szCs w:val="16"/>
              </w:rPr>
            </w:pPr>
            <w:r w:rsidRPr="00A0504D">
              <w:rPr>
                <w:rFonts w:ascii="Arial" w:hAnsi="Arial" w:cs="Arial"/>
                <w:b/>
                <w:bCs/>
                <w:sz w:val="16"/>
                <w:szCs w:val="16"/>
              </w:rPr>
              <w:t>2024</w:t>
            </w:r>
            <w:r w:rsidR="00404C26">
              <w:rPr>
                <w:rFonts w:ascii="Arial" w:hAnsi="Arial" w:cs="Arial"/>
                <w:b/>
                <w:bCs/>
                <w:sz w:val="16"/>
                <w:szCs w:val="16"/>
              </w:rPr>
              <w:noBreakHyphen/>
            </w:r>
            <w:r w:rsidRPr="00A0504D">
              <w:rPr>
                <w:rFonts w:ascii="Arial" w:hAnsi="Arial" w:cs="Arial"/>
                <w:b/>
                <w:bCs/>
                <w:sz w:val="16"/>
                <w:szCs w:val="16"/>
              </w:rPr>
              <w:t>25 MYEFO</w:t>
            </w:r>
          </w:p>
        </w:tc>
        <w:tc>
          <w:tcPr>
            <w:tcW w:w="457" w:type="pct"/>
            <w:tcBorders>
              <w:top w:val="nil"/>
              <w:left w:val="nil"/>
              <w:bottom w:val="nil"/>
              <w:right w:val="nil"/>
            </w:tcBorders>
            <w:shd w:val="clear" w:color="000000" w:fill="FFFFFF"/>
            <w:noWrap/>
            <w:vAlign w:val="center"/>
            <w:hideMark/>
          </w:tcPr>
          <w:p w14:paraId="478BAAA4"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E6F2FF"/>
            <w:noWrap/>
            <w:vAlign w:val="center"/>
            <w:hideMark/>
          </w:tcPr>
          <w:p w14:paraId="541E3E54"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2749F3CF"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5B1B1720"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3953190B"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43F47C7C"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nil"/>
              <w:right w:val="nil"/>
            </w:tcBorders>
            <w:shd w:val="clear" w:color="000000" w:fill="FFFFFF"/>
            <w:noWrap/>
            <w:vAlign w:val="center"/>
            <w:hideMark/>
          </w:tcPr>
          <w:p w14:paraId="15587173"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r>
      <w:tr w:rsidR="00A0504D" w:rsidRPr="00A0504D" w14:paraId="5CC5E09C"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42BB81E2"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Effect of policy decisions(a)</w:t>
            </w:r>
          </w:p>
        </w:tc>
        <w:tc>
          <w:tcPr>
            <w:tcW w:w="457" w:type="pct"/>
            <w:tcBorders>
              <w:top w:val="nil"/>
              <w:left w:val="nil"/>
              <w:bottom w:val="nil"/>
              <w:right w:val="nil"/>
            </w:tcBorders>
            <w:shd w:val="clear" w:color="000000" w:fill="FFFFFF"/>
            <w:noWrap/>
            <w:vAlign w:val="center"/>
            <w:hideMark/>
          </w:tcPr>
          <w:p w14:paraId="2E728090" w14:textId="0E5C489F"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12,660</w:t>
            </w:r>
          </w:p>
        </w:tc>
        <w:tc>
          <w:tcPr>
            <w:tcW w:w="456" w:type="pct"/>
            <w:tcBorders>
              <w:top w:val="nil"/>
              <w:left w:val="nil"/>
              <w:bottom w:val="nil"/>
              <w:right w:val="nil"/>
            </w:tcBorders>
            <w:shd w:val="clear" w:color="000000" w:fill="E6F2FF"/>
            <w:noWrap/>
            <w:vAlign w:val="center"/>
            <w:hideMark/>
          </w:tcPr>
          <w:p w14:paraId="79BAD665" w14:textId="05548E11"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8,875</w:t>
            </w:r>
          </w:p>
        </w:tc>
        <w:tc>
          <w:tcPr>
            <w:tcW w:w="456" w:type="pct"/>
            <w:tcBorders>
              <w:top w:val="nil"/>
              <w:left w:val="nil"/>
              <w:bottom w:val="nil"/>
              <w:right w:val="nil"/>
            </w:tcBorders>
            <w:shd w:val="clear" w:color="000000" w:fill="FFFFFF"/>
            <w:noWrap/>
            <w:vAlign w:val="center"/>
            <w:hideMark/>
          </w:tcPr>
          <w:p w14:paraId="0FBFE8D7" w14:textId="3FD629C4"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6,264</w:t>
            </w:r>
          </w:p>
        </w:tc>
        <w:tc>
          <w:tcPr>
            <w:tcW w:w="456" w:type="pct"/>
            <w:tcBorders>
              <w:top w:val="nil"/>
              <w:left w:val="nil"/>
              <w:bottom w:val="nil"/>
              <w:right w:val="nil"/>
            </w:tcBorders>
            <w:shd w:val="clear" w:color="000000" w:fill="FFFFFF"/>
            <w:noWrap/>
            <w:vAlign w:val="center"/>
            <w:hideMark/>
          </w:tcPr>
          <w:p w14:paraId="5054353B" w14:textId="0E27161D"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4,179</w:t>
            </w:r>
          </w:p>
        </w:tc>
        <w:tc>
          <w:tcPr>
            <w:tcW w:w="456" w:type="pct"/>
            <w:tcBorders>
              <w:top w:val="nil"/>
              <w:left w:val="nil"/>
              <w:bottom w:val="nil"/>
              <w:right w:val="nil"/>
            </w:tcBorders>
            <w:shd w:val="clear" w:color="000000" w:fill="FFFFFF"/>
            <w:noWrap/>
            <w:vAlign w:val="center"/>
            <w:hideMark/>
          </w:tcPr>
          <w:p w14:paraId="498AE9F5"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w:t>
            </w:r>
          </w:p>
        </w:tc>
        <w:tc>
          <w:tcPr>
            <w:tcW w:w="62" w:type="pct"/>
            <w:tcBorders>
              <w:top w:val="nil"/>
              <w:left w:val="nil"/>
              <w:bottom w:val="nil"/>
              <w:right w:val="nil"/>
            </w:tcBorders>
            <w:shd w:val="clear" w:color="000000" w:fill="FFFFFF"/>
            <w:noWrap/>
            <w:vAlign w:val="center"/>
            <w:hideMark/>
          </w:tcPr>
          <w:p w14:paraId="713E2774"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nil"/>
              <w:right w:val="nil"/>
            </w:tcBorders>
            <w:shd w:val="clear" w:color="000000" w:fill="FFFFFF"/>
            <w:noWrap/>
            <w:vAlign w:val="center"/>
            <w:hideMark/>
          </w:tcPr>
          <w:p w14:paraId="787C89F8"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w:t>
            </w:r>
          </w:p>
        </w:tc>
      </w:tr>
      <w:tr w:rsidR="00A0504D" w:rsidRPr="00A0504D" w14:paraId="52348546"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2E46A1B5"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Effect of parameter and other variations</w:t>
            </w:r>
          </w:p>
        </w:tc>
        <w:tc>
          <w:tcPr>
            <w:tcW w:w="457" w:type="pct"/>
            <w:tcBorders>
              <w:top w:val="nil"/>
              <w:left w:val="nil"/>
              <w:bottom w:val="nil"/>
              <w:right w:val="nil"/>
            </w:tcBorders>
            <w:shd w:val="clear" w:color="000000" w:fill="FFFFFF"/>
            <w:noWrap/>
            <w:vAlign w:val="center"/>
            <w:hideMark/>
          </w:tcPr>
          <w:p w14:paraId="66B658D8" w14:textId="5BA1337E"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3,911</w:t>
            </w:r>
          </w:p>
        </w:tc>
        <w:tc>
          <w:tcPr>
            <w:tcW w:w="456" w:type="pct"/>
            <w:tcBorders>
              <w:top w:val="nil"/>
              <w:left w:val="nil"/>
              <w:bottom w:val="single" w:sz="4" w:space="0" w:color="000000"/>
              <w:right w:val="nil"/>
            </w:tcBorders>
            <w:shd w:val="clear" w:color="000000" w:fill="E6F2FF"/>
            <w:noWrap/>
            <w:vAlign w:val="center"/>
            <w:hideMark/>
          </w:tcPr>
          <w:p w14:paraId="7C7B4A3B"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1,784</w:t>
            </w:r>
          </w:p>
        </w:tc>
        <w:tc>
          <w:tcPr>
            <w:tcW w:w="456" w:type="pct"/>
            <w:tcBorders>
              <w:top w:val="nil"/>
              <w:left w:val="nil"/>
              <w:bottom w:val="single" w:sz="4" w:space="0" w:color="000000"/>
              <w:right w:val="nil"/>
            </w:tcBorders>
            <w:shd w:val="clear" w:color="000000" w:fill="FFFFFF"/>
            <w:noWrap/>
            <w:vAlign w:val="center"/>
            <w:hideMark/>
          </w:tcPr>
          <w:p w14:paraId="20DBABA0" w14:textId="2C8B73DF"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3,570</w:t>
            </w:r>
          </w:p>
        </w:tc>
        <w:tc>
          <w:tcPr>
            <w:tcW w:w="456" w:type="pct"/>
            <w:tcBorders>
              <w:top w:val="nil"/>
              <w:left w:val="nil"/>
              <w:bottom w:val="single" w:sz="4" w:space="0" w:color="000000"/>
              <w:right w:val="nil"/>
            </w:tcBorders>
            <w:shd w:val="clear" w:color="000000" w:fill="FFFFFF"/>
            <w:noWrap/>
            <w:vAlign w:val="center"/>
            <w:hideMark/>
          </w:tcPr>
          <w:p w14:paraId="2653EC13" w14:textId="13365ED8"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7,243</w:t>
            </w:r>
          </w:p>
        </w:tc>
        <w:tc>
          <w:tcPr>
            <w:tcW w:w="456" w:type="pct"/>
            <w:tcBorders>
              <w:top w:val="nil"/>
              <w:left w:val="nil"/>
              <w:bottom w:val="single" w:sz="4" w:space="0" w:color="000000"/>
              <w:right w:val="nil"/>
            </w:tcBorders>
            <w:shd w:val="clear" w:color="000000" w:fill="FFFFFF"/>
            <w:noWrap/>
            <w:vAlign w:val="center"/>
            <w:hideMark/>
          </w:tcPr>
          <w:p w14:paraId="7C944B4C"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w:t>
            </w:r>
          </w:p>
        </w:tc>
        <w:tc>
          <w:tcPr>
            <w:tcW w:w="62" w:type="pct"/>
            <w:tcBorders>
              <w:top w:val="nil"/>
              <w:left w:val="nil"/>
              <w:bottom w:val="nil"/>
              <w:right w:val="nil"/>
            </w:tcBorders>
            <w:shd w:val="clear" w:color="000000" w:fill="FFFFFF"/>
            <w:noWrap/>
            <w:vAlign w:val="center"/>
            <w:hideMark/>
          </w:tcPr>
          <w:p w14:paraId="60199DDD"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nil"/>
              <w:right w:val="nil"/>
            </w:tcBorders>
            <w:shd w:val="clear" w:color="000000" w:fill="FFFFFF"/>
            <w:noWrap/>
            <w:vAlign w:val="center"/>
            <w:hideMark/>
          </w:tcPr>
          <w:p w14:paraId="51CA1FD8"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w:t>
            </w:r>
          </w:p>
        </w:tc>
      </w:tr>
      <w:tr w:rsidR="00A0504D" w:rsidRPr="00A0504D" w14:paraId="49D2C7C1"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43E9A62C" w14:textId="77777777" w:rsidR="00A0504D" w:rsidRPr="00A0504D" w:rsidRDefault="00A0504D" w:rsidP="00A0504D">
            <w:pPr>
              <w:spacing w:before="0" w:after="0" w:line="240" w:lineRule="auto"/>
              <w:rPr>
                <w:rFonts w:ascii="Arial" w:hAnsi="Arial" w:cs="Arial"/>
                <w:b/>
                <w:bCs/>
                <w:sz w:val="16"/>
                <w:szCs w:val="16"/>
              </w:rPr>
            </w:pPr>
            <w:r w:rsidRPr="00A0504D">
              <w:rPr>
                <w:rFonts w:ascii="Arial" w:hAnsi="Arial" w:cs="Arial"/>
                <w:b/>
                <w:bCs/>
                <w:sz w:val="16"/>
                <w:szCs w:val="16"/>
              </w:rPr>
              <w:t>Total variations</w:t>
            </w:r>
          </w:p>
        </w:tc>
        <w:tc>
          <w:tcPr>
            <w:tcW w:w="457" w:type="pct"/>
            <w:tcBorders>
              <w:top w:val="single" w:sz="4" w:space="0" w:color="auto"/>
              <w:left w:val="nil"/>
              <w:bottom w:val="nil"/>
              <w:right w:val="nil"/>
            </w:tcBorders>
            <w:shd w:val="clear" w:color="000000" w:fill="FFFFFF"/>
            <w:noWrap/>
            <w:vAlign w:val="center"/>
            <w:hideMark/>
          </w:tcPr>
          <w:p w14:paraId="7598B45B" w14:textId="08D27212"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16,571</w:t>
            </w:r>
          </w:p>
        </w:tc>
        <w:tc>
          <w:tcPr>
            <w:tcW w:w="456" w:type="pct"/>
            <w:tcBorders>
              <w:top w:val="nil"/>
              <w:left w:val="nil"/>
              <w:bottom w:val="single" w:sz="4" w:space="0" w:color="000000"/>
              <w:right w:val="nil"/>
            </w:tcBorders>
            <w:shd w:val="clear" w:color="000000" w:fill="E6F2FF"/>
            <w:noWrap/>
            <w:vAlign w:val="center"/>
            <w:hideMark/>
          </w:tcPr>
          <w:p w14:paraId="7E4C071C" w14:textId="1018532F"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7,091</w:t>
            </w:r>
          </w:p>
        </w:tc>
        <w:tc>
          <w:tcPr>
            <w:tcW w:w="456" w:type="pct"/>
            <w:tcBorders>
              <w:top w:val="nil"/>
              <w:left w:val="nil"/>
              <w:bottom w:val="single" w:sz="4" w:space="0" w:color="000000"/>
              <w:right w:val="nil"/>
            </w:tcBorders>
            <w:shd w:val="clear" w:color="000000" w:fill="FFFFFF"/>
            <w:noWrap/>
            <w:vAlign w:val="center"/>
            <w:hideMark/>
          </w:tcPr>
          <w:p w14:paraId="45B9A758" w14:textId="64B425F6"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9,834</w:t>
            </w:r>
          </w:p>
        </w:tc>
        <w:tc>
          <w:tcPr>
            <w:tcW w:w="456" w:type="pct"/>
            <w:tcBorders>
              <w:top w:val="nil"/>
              <w:left w:val="nil"/>
              <w:bottom w:val="single" w:sz="4" w:space="0" w:color="000000"/>
              <w:right w:val="nil"/>
            </w:tcBorders>
            <w:shd w:val="clear" w:color="000000" w:fill="FFFFFF"/>
            <w:noWrap/>
            <w:vAlign w:val="center"/>
            <w:hideMark/>
          </w:tcPr>
          <w:p w14:paraId="7E55C3A4" w14:textId="0D20DC1D"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11,421</w:t>
            </w:r>
          </w:p>
        </w:tc>
        <w:tc>
          <w:tcPr>
            <w:tcW w:w="456" w:type="pct"/>
            <w:tcBorders>
              <w:top w:val="nil"/>
              <w:left w:val="nil"/>
              <w:bottom w:val="single" w:sz="4" w:space="0" w:color="000000"/>
              <w:right w:val="nil"/>
            </w:tcBorders>
            <w:shd w:val="clear" w:color="000000" w:fill="FFFFFF"/>
            <w:noWrap/>
            <w:vAlign w:val="center"/>
            <w:hideMark/>
          </w:tcPr>
          <w:p w14:paraId="3B3F6144" w14:textId="77777777" w:rsidR="00A0504D" w:rsidRPr="00A0504D" w:rsidRDefault="00A0504D" w:rsidP="00A0504D">
            <w:pPr>
              <w:spacing w:before="0" w:after="0" w:line="240" w:lineRule="auto"/>
              <w:jc w:val="right"/>
              <w:rPr>
                <w:rFonts w:ascii="Arial" w:hAnsi="Arial" w:cs="Arial"/>
                <w:b/>
                <w:bCs/>
                <w:sz w:val="16"/>
                <w:szCs w:val="16"/>
              </w:rPr>
            </w:pPr>
            <w:r w:rsidRPr="00A0504D">
              <w:rPr>
                <w:rFonts w:ascii="Arial" w:hAnsi="Arial" w:cs="Arial"/>
                <w:b/>
                <w:bCs/>
                <w:sz w:val="16"/>
                <w:szCs w:val="16"/>
              </w:rPr>
              <w:t>*</w:t>
            </w:r>
          </w:p>
        </w:tc>
        <w:tc>
          <w:tcPr>
            <w:tcW w:w="62" w:type="pct"/>
            <w:tcBorders>
              <w:top w:val="nil"/>
              <w:left w:val="nil"/>
              <w:bottom w:val="nil"/>
              <w:right w:val="nil"/>
            </w:tcBorders>
            <w:shd w:val="clear" w:color="000000" w:fill="FFFFFF"/>
            <w:noWrap/>
            <w:vAlign w:val="center"/>
            <w:hideMark/>
          </w:tcPr>
          <w:p w14:paraId="09833CC2" w14:textId="77777777" w:rsidR="00A0504D" w:rsidRPr="00A0504D" w:rsidRDefault="00A0504D" w:rsidP="00A0504D">
            <w:pPr>
              <w:spacing w:before="0" w:after="0" w:line="240" w:lineRule="auto"/>
              <w:jc w:val="right"/>
              <w:rPr>
                <w:rFonts w:ascii="Arial" w:hAnsi="Arial" w:cs="Arial"/>
                <w:b/>
                <w:bCs/>
                <w:sz w:val="16"/>
                <w:szCs w:val="16"/>
              </w:rPr>
            </w:pPr>
            <w:r w:rsidRPr="00A0504D">
              <w:rPr>
                <w:rFonts w:ascii="Arial" w:hAnsi="Arial" w:cs="Arial"/>
                <w:b/>
                <w:bCs/>
                <w:sz w:val="16"/>
                <w:szCs w:val="16"/>
              </w:rPr>
              <w:t> </w:t>
            </w:r>
          </w:p>
        </w:tc>
        <w:tc>
          <w:tcPr>
            <w:tcW w:w="571" w:type="pct"/>
            <w:tcBorders>
              <w:top w:val="single" w:sz="4" w:space="0" w:color="auto"/>
              <w:left w:val="nil"/>
              <w:bottom w:val="single" w:sz="4" w:space="0" w:color="auto"/>
              <w:right w:val="nil"/>
            </w:tcBorders>
            <w:shd w:val="clear" w:color="000000" w:fill="FFFFFF"/>
            <w:noWrap/>
            <w:vAlign w:val="center"/>
            <w:hideMark/>
          </w:tcPr>
          <w:p w14:paraId="0ABE83CB" w14:textId="77777777" w:rsidR="00A0504D" w:rsidRPr="00A0504D" w:rsidRDefault="00A0504D" w:rsidP="00A0504D">
            <w:pPr>
              <w:spacing w:before="0" w:after="0" w:line="240" w:lineRule="auto"/>
              <w:jc w:val="right"/>
              <w:rPr>
                <w:rFonts w:ascii="Arial" w:hAnsi="Arial" w:cs="Arial"/>
                <w:b/>
                <w:bCs/>
                <w:sz w:val="16"/>
                <w:szCs w:val="16"/>
              </w:rPr>
            </w:pPr>
            <w:r w:rsidRPr="00A0504D">
              <w:rPr>
                <w:rFonts w:ascii="Arial" w:hAnsi="Arial" w:cs="Arial"/>
                <w:b/>
                <w:bCs/>
                <w:sz w:val="16"/>
                <w:szCs w:val="16"/>
              </w:rPr>
              <w:t>*</w:t>
            </w:r>
          </w:p>
        </w:tc>
      </w:tr>
      <w:tr w:rsidR="00A0504D" w:rsidRPr="00A0504D" w14:paraId="3B9577A5" w14:textId="77777777" w:rsidTr="00A0504D">
        <w:trPr>
          <w:trHeight w:hRule="exact" w:val="60"/>
        </w:trPr>
        <w:tc>
          <w:tcPr>
            <w:tcW w:w="2086" w:type="pct"/>
            <w:tcBorders>
              <w:top w:val="nil"/>
              <w:left w:val="nil"/>
              <w:bottom w:val="nil"/>
              <w:right w:val="nil"/>
            </w:tcBorders>
            <w:shd w:val="clear" w:color="000000" w:fill="FFFFFF"/>
            <w:noWrap/>
            <w:vAlign w:val="center"/>
            <w:hideMark/>
          </w:tcPr>
          <w:p w14:paraId="36461C1E" w14:textId="77777777" w:rsidR="00A0504D" w:rsidRPr="00A0504D" w:rsidRDefault="00A0504D" w:rsidP="00A0504D">
            <w:pPr>
              <w:spacing w:before="0" w:after="0" w:line="240" w:lineRule="auto"/>
              <w:rPr>
                <w:rFonts w:ascii="Arial" w:hAnsi="Arial" w:cs="Arial"/>
                <w:b/>
                <w:bCs/>
                <w:sz w:val="16"/>
                <w:szCs w:val="16"/>
              </w:rPr>
            </w:pPr>
            <w:r w:rsidRPr="00A0504D">
              <w:rPr>
                <w:rFonts w:ascii="Arial" w:hAnsi="Arial" w:cs="Arial"/>
                <w:b/>
                <w:bCs/>
                <w:sz w:val="16"/>
                <w:szCs w:val="16"/>
              </w:rPr>
              <w:t> </w:t>
            </w:r>
          </w:p>
        </w:tc>
        <w:tc>
          <w:tcPr>
            <w:tcW w:w="457" w:type="pct"/>
            <w:tcBorders>
              <w:top w:val="single" w:sz="4" w:space="0" w:color="auto"/>
              <w:left w:val="nil"/>
              <w:bottom w:val="nil"/>
              <w:right w:val="nil"/>
            </w:tcBorders>
            <w:shd w:val="clear" w:color="000000" w:fill="FFFFFF"/>
            <w:noWrap/>
            <w:vAlign w:val="center"/>
            <w:hideMark/>
          </w:tcPr>
          <w:p w14:paraId="3AB17F0B"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E6F2FF"/>
            <w:noWrap/>
            <w:vAlign w:val="center"/>
            <w:hideMark/>
          </w:tcPr>
          <w:p w14:paraId="4663A229"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7750DE93"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7477ABE1"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2E09C7F5"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4848C72A"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nil"/>
              <w:right w:val="nil"/>
            </w:tcBorders>
            <w:shd w:val="clear" w:color="000000" w:fill="FFFFFF"/>
            <w:noWrap/>
            <w:vAlign w:val="center"/>
            <w:hideMark/>
          </w:tcPr>
          <w:p w14:paraId="2B0D62D6"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r>
      <w:tr w:rsidR="00A0504D" w:rsidRPr="00A0504D" w14:paraId="4EC5C522"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701BCEDA" w14:textId="2DD4D60A" w:rsidR="00A0504D" w:rsidRPr="00A0504D" w:rsidRDefault="00A0504D" w:rsidP="00A0504D">
            <w:pPr>
              <w:spacing w:before="0" w:after="0" w:line="240" w:lineRule="auto"/>
              <w:rPr>
                <w:rFonts w:ascii="Arial" w:hAnsi="Arial" w:cs="Arial"/>
                <w:b/>
                <w:bCs/>
                <w:sz w:val="16"/>
                <w:szCs w:val="16"/>
              </w:rPr>
            </w:pPr>
            <w:r w:rsidRPr="00A0504D">
              <w:rPr>
                <w:rFonts w:ascii="Arial" w:hAnsi="Arial" w:cs="Arial"/>
                <w:b/>
                <w:bCs/>
                <w:sz w:val="16"/>
                <w:szCs w:val="16"/>
              </w:rPr>
              <w:t>2024</w:t>
            </w:r>
            <w:r w:rsidR="00404C26">
              <w:rPr>
                <w:rFonts w:ascii="Arial" w:hAnsi="Arial" w:cs="Arial"/>
                <w:b/>
                <w:bCs/>
                <w:sz w:val="16"/>
                <w:szCs w:val="16"/>
              </w:rPr>
              <w:noBreakHyphen/>
            </w:r>
            <w:r w:rsidRPr="00A0504D">
              <w:rPr>
                <w:rFonts w:ascii="Arial" w:hAnsi="Arial" w:cs="Arial"/>
                <w:b/>
                <w:bCs/>
                <w:sz w:val="16"/>
                <w:szCs w:val="16"/>
              </w:rPr>
              <w:t>25 MYEFO fiscal balance</w:t>
            </w:r>
          </w:p>
        </w:tc>
        <w:tc>
          <w:tcPr>
            <w:tcW w:w="457" w:type="pct"/>
            <w:tcBorders>
              <w:top w:val="nil"/>
              <w:left w:val="nil"/>
              <w:bottom w:val="nil"/>
              <w:right w:val="nil"/>
            </w:tcBorders>
            <w:shd w:val="clear" w:color="000000" w:fill="FFFFFF"/>
            <w:noWrap/>
            <w:vAlign w:val="center"/>
            <w:hideMark/>
          </w:tcPr>
          <w:p w14:paraId="75DB8032" w14:textId="5535B634"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45,887</w:t>
            </w:r>
          </w:p>
        </w:tc>
        <w:tc>
          <w:tcPr>
            <w:tcW w:w="456" w:type="pct"/>
            <w:tcBorders>
              <w:top w:val="nil"/>
              <w:left w:val="nil"/>
              <w:bottom w:val="nil"/>
              <w:right w:val="nil"/>
            </w:tcBorders>
            <w:shd w:val="clear" w:color="000000" w:fill="E6F2FF"/>
            <w:noWrap/>
            <w:vAlign w:val="center"/>
            <w:hideMark/>
          </w:tcPr>
          <w:p w14:paraId="00D1F9E0" w14:textId="59BB5AEA"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49,695</w:t>
            </w:r>
          </w:p>
        </w:tc>
        <w:tc>
          <w:tcPr>
            <w:tcW w:w="456" w:type="pct"/>
            <w:tcBorders>
              <w:top w:val="nil"/>
              <w:left w:val="nil"/>
              <w:bottom w:val="nil"/>
              <w:right w:val="nil"/>
            </w:tcBorders>
            <w:shd w:val="clear" w:color="000000" w:fill="FFFFFF"/>
            <w:noWrap/>
            <w:vAlign w:val="center"/>
            <w:hideMark/>
          </w:tcPr>
          <w:p w14:paraId="126BB5A8" w14:textId="080492A8"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36,347</w:t>
            </w:r>
          </w:p>
        </w:tc>
        <w:tc>
          <w:tcPr>
            <w:tcW w:w="456" w:type="pct"/>
            <w:tcBorders>
              <w:top w:val="nil"/>
              <w:left w:val="nil"/>
              <w:bottom w:val="nil"/>
              <w:right w:val="nil"/>
            </w:tcBorders>
            <w:shd w:val="clear" w:color="000000" w:fill="FFFFFF"/>
            <w:noWrap/>
            <w:vAlign w:val="center"/>
            <w:hideMark/>
          </w:tcPr>
          <w:p w14:paraId="4924B91C" w14:textId="31E7BEDD"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33,448</w:t>
            </w:r>
          </w:p>
        </w:tc>
        <w:tc>
          <w:tcPr>
            <w:tcW w:w="456" w:type="pct"/>
            <w:tcBorders>
              <w:top w:val="nil"/>
              <w:left w:val="nil"/>
              <w:bottom w:val="nil"/>
              <w:right w:val="nil"/>
            </w:tcBorders>
            <w:shd w:val="clear" w:color="000000" w:fill="FFFFFF"/>
            <w:noWrap/>
            <w:vAlign w:val="center"/>
            <w:hideMark/>
          </w:tcPr>
          <w:p w14:paraId="20DE4CAA" w14:textId="77777777" w:rsidR="00A0504D" w:rsidRPr="00A0504D" w:rsidRDefault="00A0504D" w:rsidP="00A0504D">
            <w:pPr>
              <w:spacing w:before="0" w:after="0" w:line="240" w:lineRule="auto"/>
              <w:jc w:val="right"/>
              <w:rPr>
                <w:rFonts w:ascii="Arial" w:hAnsi="Arial" w:cs="Arial"/>
                <w:b/>
                <w:bCs/>
                <w:sz w:val="16"/>
                <w:szCs w:val="16"/>
              </w:rPr>
            </w:pPr>
            <w:r w:rsidRPr="00A0504D">
              <w:rPr>
                <w:rFonts w:ascii="Arial" w:hAnsi="Arial" w:cs="Arial"/>
                <w:b/>
                <w:bCs/>
                <w:sz w:val="16"/>
                <w:szCs w:val="16"/>
              </w:rPr>
              <w:t>*</w:t>
            </w:r>
          </w:p>
        </w:tc>
        <w:tc>
          <w:tcPr>
            <w:tcW w:w="62" w:type="pct"/>
            <w:tcBorders>
              <w:top w:val="nil"/>
              <w:left w:val="nil"/>
              <w:bottom w:val="nil"/>
              <w:right w:val="nil"/>
            </w:tcBorders>
            <w:shd w:val="clear" w:color="000000" w:fill="FFFFFF"/>
            <w:noWrap/>
            <w:vAlign w:val="center"/>
            <w:hideMark/>
          </w:tcPr>
          <w:p w14:paraId="0B2FDDB1" w14:textId="77777777" w:rsidR="00A0504D" w:rsidRPr="00A0504D" w:rsidRDefault="00A0504D" w:rsidP="00A0504D">
            <w:pPr>
              <w:spacing w:before="0" w:after="0" w:line="240" w:lineRule="auto"/>
              <w:jc w:val="right"/>
              <w:rPr>
                <w:rFonts w:ascii="Arial" w:hAnsi="Arial" w:cs="Arial"/>
                <w:b/>
                <w:bCs/>
                <w:sz w:val="16"/>
                <w:szCs w:val="16"/>
              </w:rPr>
            </w:pPr>
            <w:r w:rsidRPr="00A0504D">
              <w:rPr>
                <w:rFonts w:ascii="Arial" w:hAnsi="Arial" w:cs="Arial"/>
                <w:b/>
                <w:bCs/>
                <w:sz w:val="16"/>
                <w:szCs w:val="16"/>
              </w:rPr>
              <w:t> </w:t>
            </w:r>
          </w:p>
        </w:tc>
        <w:tc>
          <w:tcPr>
            <w:tcW w:w="571" w:type="pct"/>
            <w:tcBorders>
              <w:top w:val="nil"/>
              <w:left w:val="nil"/>
              <w:bottom w:val="nil"/>
              <w:right w:val="nil"/>
            </w:tcBorders>
            <w:shd w:val="clear" w:color="000000" w:fill="FFFFFF"/>
            <w:noWrap/>
            <w:vAlign w:val="center"/>
            <w:hideMark/>
          </w:tcPr>
          <w:p w14:paraId="4658912A" w14:textId="77777777" w:rsidR="00A0504D" w:rsidRPr="00A0504D" w:rsidRDefault="00A0504D" w:rsidP="00A0504D">
            <w:pPr>
              <w:spacing w:before="0" w:after="0" w:line="240" w:lineRule="auto"/>
              <w:jc w:val="right"/>
              <w:rPr>
                <w:rFonts w:ascii="Arial" w:hAnsi="Arial" w:cs="Arial"/>
                <w:b/>
                <w:bCs/>
                <w:sz w:val="16"/>
                <w:szCs w:val="16"/>
              </w:rPr>
            </w:pPr>
            <w:r w:rsidRPr="00A0504D">
              <w:rPr>
                <w:rFonts w:ascii="Arial" w:hAnsi="Arial" w:cs="Arial"/>
                <w:b/>
                <w:bCs/>
                <w:sz w:val="16"/>
                <w:szCs w:val="16"/>
              </w:rPr>
              <w:t>*</w:t>
            </w:r>
          </w:p>
        </w:tc>
      </w:tr>
      <w:tr w:rsidR="00A0504D" w:rsidRPr="00A0504D" w14:paraId="5124D78B"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14289121"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Per cent of GDP</w:t>
            </w:r>
          </w:p>
        </w:tc>
        <w:tc>
          <w:tcPr>
            <w:tcW w:w="457" w:type="pct"/>
            <w:tcBorders>
              <w:top w:val="nil"/>
              <w:left w:val="nil"/>
              <w:bottom w:val="nil"/>
              <w:right w:val="nil"/>
            </w:tcBorders>
            <w:shd w:val="clear" w:color="000000" w:fill="FFFFFF"/>
            <w:noWrap/>
            <w:vAlign w:val="center"/>
            <w:hideMark/>
          </w:tcPr>
          <w:p w14:paraId="7354686A" w14:textId="53E63948"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1.7</w:t>
            </w:r>
          </w:p>
        </w:tc>
        <w:tc>
          <w:tcPr>
            <w:tcW w:w="456" w:type="pct"/>
            <w:tcBorders>
              <w:top w:val="nil"/>
              <w:left w:val="nil"/>
              <w:bottom w:val="nil"/>
              <w:right w:val="nil"/>
            </w:tcBorders>
            <w:shd w:val="clear" w:color="000000" w:fill="E6F2FF"/>
            <w:noWrap/>
            <w:vAlign w:val="center"/>
            <w:hideMark/>
          </w:tcPr>
          <w:p w14:paraId="0836AB03" w14:textId="5542EFC1"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1.7</w:t>
            </w:r>
          </w:p>
        </w:tc>
        <w:tc>
          <w:tcPr>
            <w:tcW w:w="456" w:type="pct"/>
            <w:tcBorders>
              <w:top w:val="nil"/>
              <w:left w:val="nil"/>
              <w:bottom w:val="nil"/>
              <w:right w:val="nil"/>
            </w:tcBorders>
            <w:shd w:val="clear" w:color="000000" w:fill="FFFFFF"/>
            <w:noWrap/>
            <w:vAlign w:val="center"/>
            <w:hideMark/>
          </w:tcPr>
          <w:p w14:paraId="344B5959" w14:textId="5AFB4A89"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1.2</w:t>
            </w:r>
          </w:p>
        </w:tc>
        <w:tc>
          <w:tcPr>
            <w:tcW w:w="456" w:type="pct"/>
            <w:tcBorders>
              <w:top w:val="nil"/>
              <w:left w:val="nil"/>
              <w:bottom w:val="nil"/>
              <w:right w:val="nil"/>
            </w:tcBorders>
            <w:shd w:val="clear" w:color="000000" w:fill="FFFFFF"/>
            <w:noWrap/>
            <w:vAlign w:val="center"/>
            <w:hideMark/>
          </w:tcPr>
          <w:p w14:paraId="49AF7B35" w14:textId="14ED111B"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1.1</w:t>
            </w:r>
          </w:p>
        </w:tc>
        <w:tc>
          <w:tcPr>
            <w:tcW w:w="456" w:type="pct"/>
            <w:tcBorders>
              <w:top w:val="nil"/>
              <w:left w:val="nil"/>
              <w:bottom w:val="nil"/>
              <w:right w:val="nil"/>
            </w:tcBorders>
            <w:shd w:val="clear" w:color="000000" w:fill="FFFFFF"/>
            <w:noWrap/>
            <w:vAlign w:val="center"/>
            <w:hideMark/>
          </w:tcPr>
          <w:p w14:paraId="6C166BDB"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w:t>
            </w:r>
          </w:p>
        </w:tc>
        <w:tc>
          <w:tcPr>
            <w:tcW w:w="62" w:type="pct"/>
            <w:tcBorders>
              <w:top w:val="nil"/>
              <w:left w:val="nil"/>
              <w:bottom w:val="nil"/>
              <w:right w:val="nil"/>
            </w:tcBorders>
            <w:shd w:val="clear" w:color="000000" w:fill="FFFFFF"/>
            <w:noWrap/>
            <w:vAlign w:val="center"/>
            <w:hideMark/>
          </w:tcPr>
          <w:p w14:paraId="333494F7"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nil"/>
              <w:right w:val="nil"/>
            </w:tcBorders>
            <w:shd w:val="clear" w:color="000000" w:fill="FFFFFF"/>
            <w:noWrap/>
            <w:vAlign w:val="center"/>
            <w:hideMark/>
          </w:tcPr>
          <w:p w14:paraId="03438A7F"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r>
      <w:tr w:rsidR="00A0504D" w:rsidRPr="00A0504D" w14:paraId="0C736F39" w14:textId="77777777" w:rsidTr="00A0504D">
        <w:trPr>
          <w:trHeight w:hRule="exact" w:val="60"/>
        </w:trPr>
        <w:tc>
          <w:tcPr>
            <w:tcW w:w="2086" w:type="pct"/>
            <w:tcBorders>
              <w:top w:val="nil"/>
              <w:left w:val="nil"/>
              <w:bottom w:val="nil"/>
              <w:right w:val="nil"/>
            </w:tcBorders>
            <w:shd w:val="clear" w:color="000000" w:fill="FFFFFF"/>
            <w:noWrap/>
            <w:vAlign w:val="center"/>
            <w:hideMark/>
          </w:tcPr>
          <w:p w14:paraId="0D6DCC30"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 </w:t>
            </w:r>
          </w:p>
        </w:tc>
        <w:tc>
          <w:tcPr>
            <w:tcW w:w="457" w:type="pct"/>
            <w:tcBorders>
              <w:top w:val="nil"/>
              <w:left w:val="nil"/>
              <w:bottom w:val="nil"/>
              <w:right w:val="nil"/>
            </w:tcBorders>
            <w:shd w:val="clear" w:color="000000" w:fill="FFFFFF"/>
            <w:noWrap/>
            <w:vAlign w:val="center"/>
            <w:hideMark/>
          </w:tcPr>
          <w:p w14:paraId="483F0C01"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E6F2FF"/>
            <w:noWrap/>
            <w:vAlign w:val="center"/>
            <w:hideMark/>
          </w:tcPr>
          <w:p w14:paraId="35BC4F8A"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14443E6C"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191B6E2F"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4C5EB659"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688653CA"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nil"/>
              <w:right w:val="nil"/>
            </w:tcBorders>
            <w:shd w:val="clear" w:color="000000" w:fill="FFFFFF"/>
            <w:noWrap/>
            <w:vAlign w:val="center"/>
            <w:hideMark/>
          </w:tcPr>
          <w:p w14:paraId="044955F6"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r>
      <w:tr w:rsidR="00A0504D" w:rsidRPr="00A0504D" w14:paraId="7BFCE34D"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437EA1AB" w14:textId="11BA613A" w:rsidR="00A0504D" w:rsidRPr="00A0504D" w:rsidRDefault="00A0504D" w:rsidP="00A0504D">
            <w:pPr>
              <w:spacing w:before="0" w:after="0" w:line="240" w:lineRule="auto"/>
              <w:rPr>
                <w:rFonts w:ascii="Arial" w:hAnsi="Arial" w:cs="Arial"/>
                <w:b/>
                <w:bCs/>
                <w:sz w:val="16"/>
                <w:szCs w:val="16"/>
              </w:rPr>
            </w:pPr>
            <w:r w:rsidRPr="00A0504D">
              <w:rPr>
                <w:rFonts w:ascii="Arial" w:hAnsi="Arial" w:cs="Arial"/>
                <w:b/>
                <w:bCs/>
                <w:sz w:val="16"/>
                <w:szCs w:val="16"/>
              </w:rPr>
              <w:t>Changes from 2024</w:t>
            </w:r>
            <w:r w:rsidR="00404C26">
              <w:rPr>
                <w:rFonts w:ascii="Arial" w:hAnsi="Arial" w:cs="Arial"/>
                <w:b/>
                <w:bCs/>
                <w:sz w:val="16"/>
                <w:szCs w:val="16"/>
              </w:rPr>
              <w:noBreakHyphen/>
            </w:r>
            <w:r w:rsidRPr="00A0504D">
              <w:rPr>
                <w:rFonts w:ascii="Arial" w:hAnsi="Arial" w:cs="Arial"/>
                <w:b/>
                <w:bCs/>
                <w:sz w:val="16"/>
                <w:szCs w:val="16"/>
              </w:rPr>
              <w:t>25 MYEFO</w:t>
            </w:r>
          </w:p>
        </w:tc>
        <w:tc>
          <w:tcPr>
            <w:tcW w:w="457" w:type="pct"/>
            <w:tcBorders>
              <w:top w:val="nil"/>
              <w:left w:val="nil"/>
              <w:bottom w:val="nil"/>
              <w:right w:val="nil"/>
            </w:tcBorders>
            <w:shd w:val="clear" w:color="000000" w:fill="FFFFFF"/>
            <w:noWrap/>
            <w:vAlign w:val="center"/>
            <w:hideMark/>
          </w:tcPr>
          <w:p w14:paraId="6C0CED4B"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E6F2FF"/>
            <w:noWrap/>
            <w:vAlign w:val="center"/>
            <w:hideMark/>
          </w:tcPr>
          <w:p w14:paraId="46F83DB9"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3C64B634"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7EAEB41D"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0F40CAD4"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43B1D818"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nil"/>
              <w:right w:val="nil"/>
            </w:tcBorders>
            <w:shd w:val="clear" w:color="000000" w:fill="FFFFFF"/>
            <w:noWrap/>
            <w:vAlign w:val="center"/>
            <w:hideMark/>
          </w:tcPr>
          <w:p w14:paraId="18BBE996"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r>
      <w:tr w:rsidR="00A0504D" w:rsidRPr="00A0504D" w14:paraId="72753D38"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2FA8E993" w14:textId="02450E73" w:rsidR="00A0504D" w:rsidRPr="00A0504D" w:rsidRDefault="00A0504D" w:rsidP="00A0504D">
            <w:pPr>
              <w:spacing w:before="0" w:after="0" w:line="240" w:lineRule="auto"/>
              <w:ind w:left="170"/>
              <w:rPr>
                <w:rFonts w:ascii="Arial" w:hAnsi="Arial" w:cs="Arial"/>
                <w:b/>
                <w:bCs/>
                <w:sz w:val="16"/>
                <w:szCs w:val="16"/>
              </w:rPr>
            </w:pPr>
            <w:r w:rsidRPr="00A0504D">
              <w:rPr>
                <w:rFonts w:ascii="Arial" w:hAnsi="Arial" w:cs="Arial"/>
                <w:b/>
                <w:bCs/>
                <w:sz w:val="16"/>
                <w:szCs w:val="16"/>
              </w:rPr>
              <w:t>to 2025</w:t>
            </w:r>
            <w:r w:rsidR="00404C26">
              <w:rPr>
                <w:rFonts w:ascii="Arial" w:hAnsi="Arial" w:cs="Arial"/>
                <w:b/>
                <w:bCs/>
                <w:sz w:val="16"/>
                <w:szCs w:val="16"/>
              </w:rPr>
              <w:noBreakHyphen/>
            </w:r>
            <w:r w:rsidRPr="00A0504D">
              <w:rPr>
                <w:rFonts w:ascii="Arial" w:hAnsi="Arial" w:cs="Arial"/>
                <w:b/>
                <w:bCs/>
                <w:sz w:val="16"/>
                <w:szCs w:val="16"/>
              </w:rPr>
              <w:t>26 Budget</w:t>
            </w:r>
          </w:p>
        </w:tc>
        <w:tc>
          <w:tcPr>
            <w:tcW w:w="457" w:type="pct"/>
            <w:tcBorders>
              <w:top w:val="nil"/>
              <w:left w:val="nil"/>
              <w:bottom w:val="nil"/>
              <w:right w:val="nil"/>
            </w:tcBorders>
            <w:shd w:val="clear" w:color="000000" w:fill="FFFFFF"/>
            <w:noWrap/>
            <w:vAlign w:val="center"/>
            <w:hideMark/>
          </w:tcPr>
          <w:p w14:paraId="7E1575C1"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E6F2FF"/>
            <w:noWrap/>
            <w:vAlign w:val="center"/>
            <w:hideMark/>
          </w:tcPr>
          <w:p w14:paraId="185366A6"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5295B9C2"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55041DF1"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19FD97EC"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30B9E565"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nil"/>
              <w:right w:val="nil"/>
            </w:tcBorders>
            <w:shd w:val="clear" w:color="000000" w:fill="FFFFFF"/>
            <w:noWrap/>
            <w:vAlign w:val="center"/>
            <w:hideMark/>
          </w:tcPr>
          <w:p w14:paraId="66A2110E"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r>
      <w:tr w:rsidR="00A0504D" w:rsidRPr="00A0504D" w14:paraId="4895FE5B"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16BA8635"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Effect of policy decisions(a)(b)</w:t>
            </w:r>
          </w:p>
        </w:tc>
        <w:tc>
          <w:tcPr>
            <w:tcW w:w="457" w:type="pct"/>
            <w:tcBorders>
              <w:top w:val="nil"/>
              <w:left w:val="nil"/>
              <w:bottom w:val="nil"/>
              <w:right w:val="nil"/>
            </w:tcBorders>
            <w:shd w:val="clear" w:color="000000" w:fill="FFFFFF"/>
            <w:noWrap/>
            <w:vAlign w:val="center"/>
            <w:hideMark/>
          </w:tcPr>
          <w:p w14:paraId="0CBB5249"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E6F2FF"/>
            <w:noWrap/>
            <w:vAlign w:val="center"/>
            <w:hideMark/>
          </w:tcPr>
          <w:p w14:paraId="09506263"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6BDB155A"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4ECF1009"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78A70A4C"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3B430E6E"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nil"/>
              <w:right w:val="nil"/>
            </w:tcBorders>
            <w:shd w:val="clear" w:color="000000" w:fill="FFFFFF"/>
            <w:noWrap/>
            <w:vAlign w:val="center"/>
            <w:hideMark/>
          </w:tcPr>
          <w:p w14:paraId="168D5F84"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r>
      <w:tr w:rsidR="00A0504D" w:rsidRPr="00A0504D" w14:paraId="49CDF3C8"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3D4BB3C3" w14:textId="77777777" w:rsidR="00A0504D" w:rsidRPr="00A0504D" w:rsidRDefault="00A0504D" w:rsidP="00A0504D">
            <w:pPr>
              <w:spacing w:before="0" w:after="0" w:line="240" w:lineRule="auto"/>
              <w:ind w:left="170"/>
              <w:rPr>
                <w:rFonts w:ascii="Arial" w:hAnsi="Arial" w:cs="Arial"/>
                <w:i/>
                <w:iCs/>
                <w:sz w:val="16"/>
                <w:szCs w:val="16"/>
              </w:rPr>
            </w:pPr>
            <w:r w:rsidRPr="00A0504D">
              <w:rPr>
                <w:rFonts w:ascii="Arial" w:hAnsi="Arial" w:cs="Arial"/>
                <w:i/>
                <w:iCs/>
                <w:sz w:val="16"/>
                <w:szCs w:val="16"/>
              </w:rPr>
              <w:t>Revenue</w:t>
            </w:r>
          </w:p>
        </w:tc>
        <w:tc>
          <w:tcPr>
            <w:tcW w:w="457" w:type="pct"/>
            <w:tcBorders>
              <w:top w:val="nil"/>
              <w:left w:val="nil"/>
              <w:bottom w:val="nil"/>
              <w:right w:val="nil"/>
            </w:tcBorders>
            <w:shd w:val="clear" w:color="000000" w:fill="FFFFFF"/>
            <w:noWrap/>
            <w:vAlign w:val="center"/>
            <w:hideMark/>
          </w:tcPr>
          <w:p w14:paraId="1C3C1D5A"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21</w:t>
            </w:r>
          </w:p>
        </w:tc>
        <w:tc>
          <w:tcPr>
            <w:tcW w:w="456" w:type="pct"/>
            <w:tcBorders>
              <w:top w:val="nil"/>
              <w:left w:val="nil"/>
              <w:bottom w:val="nil"/>
              <w:right w:val="nil"/>
            </w:tcBorders>
            <w:shd w:val="clear" w:color="000000" w:fill="E6F2FF"/>
            <w:noWrap/>
            <w:vAlign w:val="center"/>
            <w:hideMark/>
          </w:tcPr>
          <w:p w14:paraId="493ED38C" w14:textId="1C65DBA2" w:rsidR="00A0504D" w:rsidRPr="00A0504D" w:rsidRDefault="00404C26" w:rsidP="00A0504D">
            <w:pPr>
              <w:spacing w:before="0" w:after="0" w:line="240" w:lineRule="auto"/>
              <w:jc w:val="right"/>
              <w:rPr>
                <w:rFonts w:ascii="Arial" w:hAnsi="Arial" w:cs="Arial"/>
                <w:i/>
                <w:iCs/>
                <w:sz w:val="16"/>
                <w:szCs w:val="16"/>
              </w:rPr>
            </w:pPr>
            <w:r>
              <w:rPr>
                <w:rFonts w:ascii="Arial" w:hAnsi="Arial" w:cs="Arial"/>
                <w:i/>
                <w:iCs/>
                <w:sz w:val="16"/>
                <w:szCs w:val="16"/>
              </w:rPr>
              <w:noBreakHyphen/>
            </w:r>
            <w:r w:rsidR="00A0504D" w:rsidRPr="00A0504D">
              <w:rPr>
                <w:rFonts w:ascii="Arial" w:hAnsi="Arial" w:cs="Arial"/>
                <w:i/>
                <w:iCs/>
                <w:sz w:val="16"/>
                <w:szCs w:val="16"/>
              </w:rPr>
              <w:t>49</w:t>
            </w:r>
          </w:p>
        </w:tc>
        <w:tc>
          <w:tcPr>
            <w:tcW w:w="456" w:type="pct"/>
            <w:tcBorders>
              <w:top w:val="nil"/>
              <w:left w:val="nil"/>
              <w:bottom w:val="nil"/>
              <w:right w:val="nil"/>
            </w:tcBorders>
            <w:shd w:val="clear" w:color="000000" w:fill="FFFFFF"/>
            <w:noWrap/>
            <w:vAlign w:val="center"/>
            <w:hideMark/>
          </w:tcPr>
          <w:p w14:paraId="0A467123" w14:textId="5C70DD77" w:rsidR="00A0504D" w:rsidRPr="00A0504D" w:rsidRDefault="00404C26" w:rsidP="00A0504D">
            <w:pPr>
              <w:spacing w:before="0" w:after="0" w:line="240" w:lineRule="auto"/>
              <w:jc w:val="right"/>
              <w:rPr>
                <w:rFonts w:ascii="Arial" w:hAnsi="Arial" w:cs="Arial"/>
                <w:i/>
                <w:iCs/>
                <w:sz w:val="16"/>
                <w:szCs w:val="16"/>
              </w:rPr>
            </w:pPr>
            <w:r>
              <w:rPr>
                <w:rFonts w:ascii="Arial" w:hAnsi="Arial" w:cs="Arial"/>
                <w:i/>
                <w:iCs/>
                <w:sz w:val="16"/>
                <w:szCs w:val="16"/>
              </w:rPr>
              <w:noBreakHyphen/>
            </w:r>
            <w:r w:rsidR="00A0504D" w:rsidRPr="00A0504D">
              <w:rPr>
                <w:rFonts w:ascii="Arial" w:hAnsi="Arial" w:cs="Arial"/>
                <w:i/>
                <w:iCs/>
                <w:sz w:val="16"/>
                <w:szCs w:val="16"/>
              </w:rPr>
              <w:t>3,419</w:t>
            </w:r>
          </w:p>
        </w:tc>
        <w:tc>
          <w:tcPr>
            <w:tcW w:w="456" w:type="pct"/>
            <w:tcBorders>
              <w:top w:val="nil"/>
              <w:left w:val="nil"/>
              <w:bottom w:val="nil"/>
              <w:right w:val="nil"/>
            </w:tcBorders>
            <w:shd w:val="clear" w:color="000000" w:fill="FFFFFF"/>
            <w:noWrap/>
            <w:vAlign w:val="center"/>
            <w:hideMark/>
          </w:tcPr>
          <w:p w14:paraId="4B6F05EF" w14:textId="4FF82510" w:rsidR="00A0504D" w:rsidRPr="00A0504D" w:rsidRDefault="00404C26" w:rsidP="00A0504D">
            <w:pPr>
              <w:spacing w:before="0" w:after="0" w:line="240" w:lineRule="auto"/>
              <w:jc w:val="right"/>
              <w:rPr>
                <w:rFonts w:ascii="Arial" w:hAnsi="Arial" w:cs="Arial"/>
                <w:i/>
                <w:iCs/>
                <w:sz w:val="16"/>
                <w:szCs w:val="16"/>
              </w:rPr>
            </w:pPr>
            <w:r>
              <w:rPr>
                <w:rFonts w:ascii="Arial" w:hAnsi="Arial" w:cs="Arial"/>
                <w:i/>
                <w:iCs/>
                <w:sz w:val="16"/>
                <w:szCs w:val="16"/>
              </w:rPr>
              <w:noBreakHyphen/>
            </w:r>
            <w:r w:rsidR="00A0504D" w:rsidRPr="00A0504D">
              <w:rPr>
                <w:rFonts w:ascii="Arial" w:hAnsi="Arial" w:cs="Arial"/>
                <w:i/>
                <w:iCs/>
                <w:sz w:val="16"/>
                <w:szCs w:val="16"/>
              </w:rPr>
              <w:t>6,292</w:t>
            </w:r>
          </w:p>
        </w:tc>
        <w:tc>
          <w:tcPr>
            <w:tcW w:w="456" w:type="pct"/>
            <w:tcBorders>
              <w:top w:val="nil"/>
              <w:left w:val="nil"/>
              <w:bottom w:val="nil"/>
              <w:right w:val="nil"/>
            </w:tcBorders>
            <w:shd w:val="clear" w:color="000000" w:fill="FFFFFF"/>
            <w:noWrap/>
            <w:vAlign w:val="center"/>
            <w:hideMark/>
          </w:tcPr>
          <w:p w14:paraId="7D4380D4" w14:textId="49D1181E" w:rsidR="00A0504D" w:rsidRPr="00A0504D" w:rsidRDefault="00404C26" w:rsidP="00A0504D">
            <w:pPr>
              <w:spacing w:before="0" w:after="0" w:line="240" w:lineRule="auto"/>
              <w:jc w:val="right"/>
              <w:rPr>
                <w:rFonts w:ascii="Arial" w:hAnsi="Arial" w:cs="Arial"/>
                <w:i/>
                <w:iCs/>
                <w:sz w:val="16"/>
                <w:szCs w:val="16"/>
              </w:rPr>
            </w:pPr>
            <w:r>
              <w:rPr>
                <w:rFonts w:ascii="Arial" w:hAnsi="Arial" w:cs="Arial"/>
                <w:i/>
                <w:iCs/>
                <w:sz w:val="16"/>
                <w:szCs w:val="16"/>
              </w:rPr>
              <w:noBreakHyphen/>
            </w:r>
            <w:r w:rsidR="00A0504D" w:rsidRPr="00A0504D">
              <w:rPr>
                <w:rFonts w:ascii="Arial" w:hAnsi="Arial" w:cs="Arial"/>
                <w:i/>
                <w:iCs/>
                <w:sz w:val="16"/>
                <w:szCs w:val="16"/>
              </w:rPr>
              <w:t>2,874</w:t>
            </w:r>
          </w:p>
        </w:tc>
        <w:tc>
          <w:tcPr>
            <w:tcW w:w="62" w:type="pct"/>
            <w:tcBorders>
              <w:top w:val="nil"/>
              <w:left w:val="nil"/>
              <w:bottom w:val="nil"/>
              <w:right w:val="nil"/>
            </w:tcBorders>
            <w:shd w:val="clear" w:color="000000" w:fill="FFFFFF"/>
            <w:noWrap/>
            <w:vAlign w:val="center"/>
            <w:hideMark/>
          </w:tcPr>
          <w:p w14:paraId="21B25182"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 </w:t>
            </w:r>
          </w:p>
        </w:tc>
        <w:tc>
          <w:tcPr>
            <w:tcW w:w="571" w:type="pct"/>
            <w:tcBorders>
              <w:top w:val="nil"/>
              <w:left w:val="nil"/>
              <w:bottom w:val="nil"/>
              <w:right w:val="nil"/>
            </w:tcBorders>
            <w:shd w:val="clear" w:color="000000" w:fill="FFFFFF"/>
            <w:noWrap/>
            <w:vAlign w:val="center"/>
            <w:hideMark/>
          </w:tcPr>
          <w:p w14:paraId="50EDB1E1" w14:textId="3FF3EE20" w:rsidR="00A0504D" w:rsidRPr="00A0504D" w:rsidRDefault="00404C26" w:rsidP="00A0504D">
            <w:pPr>
              <w:spacing w:before="0" w:after="0" w:line="240" w:lineRule="auto"/>
              <w:jc w:val="right"/>
              <w:rPr>
                <w:rFonts w:ascii="Arial" w:hAnsi="Arial" w:cs="Arial"/>
                <w:i/>
                <w:iCs/>
                <w:sz w:val="16"/>
                <w:szCs w:val="16"/>
              </w:rPr>
            </w:pPr>
            <w:r>
              <w:rPr>
                <w:rFonts w:ascii="Arial" w:hAnsi="Arial" w:cs="Arial"/>
                <w:i/>
                <w:iCs/>
                <w:sz w:val="16"/>
                <w:szCs w:val="16"/>
              </w:rPr>
              <w:noBreakHyphen/>
            </w:r>
            <w:r w:rsidR="00A0504D" w:rsidRPr="00A0504D">
              <w:rPr>
                <w:rFonts w:ascii="Arial" w:hAnsi="Arial" w:cs="Arial"/>
                <w:i/>
                <w:iCs/>
                <w:sz w:val="16"/>
                <w:szCs w:val="16"/>
              </w:rPr>
              <w:t>12,613</w:t>
            </w:r>
          </w:p>
        </w:tc>
      </w:tr>
      <w:tr w:rsidR="00A0504D" w:rsidRPr="00A0504D" w14:paraId="0B22ED7C"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7D0E20D6" w14:textId="77777777" w:rsidR="00A0504D" w:rsidRPr="00A0504D" w:rsidRDefault="00A0504D" w:rsidP="00A0504D">
            <w:pPr>
              <w:spacing w:before="0" w:after="0" w:line="240" w:lineRule="auto"/>
              <w:ind w:left="170"/>
              <w:rPr>
                <w:rFonts w:ascii="Arial" w:hAnsi="Arial" w:cs="Arial"/>
                <w:i/>
                <w:iCs/>
                <w:sz w:val="16"/>
                <w:szCs w:val="16"/>
              </w:rPr>
            </w:pPr>
            <w:r w:rsidRPr="00A0504D">
              <w:rPr>
                <w:rFonts w:ascii="Arial" w:hAnsi="Arial" w:cs="Arial"/>
                <w:i/>
                <w:iCs/>
                <w:sz w:val="16"/>
                <w:szCs w:val="16"/>
              </w:rPr>
              <w:t xml:space="preserve">Expenses </w:t>
            </w:r>
          </w:p>
        </w:tc>
        <w:tc>
          <w:tcPr>
            <w:tcW w:w="457" w:type="pct"/>
            <w:tcBorders>
              <w:top w:val="nil"/>
              <w:left w:val="nil"/>
              <w:bottom w:val="nil"/>
              <w:right w:val="nil"/>
            </w:tcBorders>
            <w:shd w:val="clear" w:color="000000" w:fill="FFFFFF"/>
            <w:noWrap/>
            <w:vAlign w:val="center"/>
            <w:hideMark/>
          </w:tcPr>
          <w:p w14:paraId="220EA223"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160</w:t>
            </w:r>
          </w:p>
        </w:tc>
        <w:tc>
          <w:tcPr>
            <w:tcW w:w="456" w:type="pct"/>
            <w:tcBorders>
              <w:top w:val="nil"/>
              <w:left w:val="nil"/>
              <w:bottom w:val="nil"/>
              <w:right w:val="nil"/>
            </w:tcBorders>
            <w:shd w:val="clear" w:color="000000" w:fill="E6F2FF"/>
            <w:noWrap/>
            <w:vAlign w:val="center"/>
            <w:hideMark/>
          </w:tcPr>
          <w:p w14:paraId="266EDDE0"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7,674</w:t>
            </w:r>
          </w:p>
        </w:tc>
        <w:tc>
          <w:tcPr>
            <w:tcW w:w="456" w:type="pct"/>
            <w:tcBorders>
              <w:top w:val="nil"/>
              <w:left w:val="nil"/>
              <w:bottom w:val="nil"/>
              <w:right w:val="nil"/>
            </w:tcBorders>
            <w:shd w:val="clear" w:color="000000" w:fill="FFFFFF"/>
            <w:noWrap/>
            <w:vAlign w:val="center"/>
            <w:hideMark/>
          </w:tcPr>
          <w:p w14:paraId="0642A6F5"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4,079</w:t>
            </w:r>
          </w:p>
        </w:tc>
        <w:tc>
          <w:tcPr>
            <w:tcW w:w="456" w:type="pct"/>
            <w:tcBorders>
              <w:top w:val="nil"/>
              <w:left w:val="nil"/>
              <w:bottom w:val="nil"/>
              <w:right w:val="nil"/>
            </w:tcBorders>
            <w:shd w:val="clear" w:color="000000" w:fill="FFFFFF"/>
            <w:noWrap/>
            <w:vAlign w:val="center"/>
            <w:hideMark/>
          </w:tcPr>
          <w:p w14:paraId="460BAA8B"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4,305</w:t>
            </w:r>
          </w:p>
        </w:tc>
        <w:tc>
          <w:tcPr>
            <w:tcW w:w="456" w:type="pct"/>
            <w:tcBorders>
              <w:top w:val="nil"/>
              <w:left w:val="nil"/>
              <w:bottom w:val="nil"/>
              <w:right w:val="nil"/>
            </w:tcBorders>
            <w:shd w:val="clear" w:color="000000" w:fill="FFFFFF"/>
            <w:noWrap/>
            <w:vAlign w:val="center"/>
            <w:hideMark/>
          </w:tcPr>
          <w:p w14:paraId="489A7069"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4,632</w:t>
            </w:r>
          </w:p>
        </w:tc>
        <w:tc>
          <w:tcPr>
            <w:tcW w:w="62" w:type="pct"/>
            <w:tcBorders>
              <w:top w:val="nil"/>
              <w:left w:val="nil"/>
              <w:bottom w:val="nil"/>
              <w:right w:val="nil"/>
            </w:tcBorders>
            <w:shd w:val="clear" w:color="000000" w:fill="FFFFFF"/>
            <w:noWrap/>
            <w:vAlign w:val="center"/>
            <w:hideMark/>
          </w:tcPr>
          <w:p w14:paraId="67D744C8"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 </w:t>
            </w:r>
          </w:p>
        </w:tc>
        <w:tc>
          <w:tcPr>
            <w:tcW w:w="571" w:type="pct"/>
            <w:tcBorders>
              <w:top w:val="nil"/>
              <w:left w:val="nil"/>
              <w:bottom w:val="nil"/>
              <w:right w:val="nil"/>
            </w:tcBorders>
            <w:shd w:val="clear" w:color="000000" w:fill="FFFFFF"/>
            <w:noWrap/>
            <w:vAlign w:val="center"/>
            <w:hideMark/>
          </w:tcPr>
          <w:p w14:paraId="4876A84A"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20,851</w:t>
            </w:r>
          </w:p>
        </w:tc>
      </w:tr>
      <w:tr w:rsidR="00A0504D" w:rsidRPr="00A0504D" w14:paraId="49DBBF66"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55FD7647" w14:textId="77777777" w:rsidR="00A0504D" w:rsidRPr="00A0504D" w:rsidRDefault="00A0504D" w:rsidP="00A0504D">
            <w:pPr>
              <w:spacing w:before="0" w:after="0" w:line="240" w:lineRule="auto"/>
              <w:ind w:left="170"/>
              <w:rPr>
                <w:rFonts w:ascii="Arial" w:hAnsi="Arial" w:cs="Arial"/>
                <w:i/>
                <w:iCs/>
                <w:sz w:val="16"/>
                <w:szCs w:val="16"/>
              </w:rPr>
            </w:pPr>
            <w:r w:rsidRPr="00A0504D">
              <w:rPr>
                <w:rFonts w:ascii="Arial" w:hAnsi="Arial" w:cs="Arial"/>
                <w:i/>
                <w:iCs/>
                <w:sz w:val="16"/>
                <w:szCs w:val="16"/>
              </w:rPr>
              <w:t>Net capital investment</w:t>
            </w:r>
          </w:p>
        </w:tc>
        <w:tc>
          <w:tcPr>
            <w:tcW w:w="457" w:type="pct"/>
            <w:tcBorders>
              <w:top w:val="nil"/>
              <w:left w:val="nil"/>
              <w:bottom w:val="single" w:sz="4" w:space="0" w:color="293F5B"/>
              <w:right w:val="nil"/>
            </w:tcBorders>
            <w:shd w:val="clear" w:color="000000" w:fill="FFFFFF"/>
            <w:noWrap/>
            <w:vAlign w:val="center"/>
            <w:hideMark/>
          </w:tcPr>
          <w:p w14:paraId="77AF5F86" w14:textId="6D5000C3" w:rsidR="00A0504D" w:rsidRPr="00A0504D" w:rsidRDefault="00404C26" w:rsidP="00A0504D">
            <w:pPr>
              <w:spacing w:before="0" w:after="0" w:line="240" w:lineRule="auto"/>
              <w:jc w:val="right"/>
              <w:rPr>
                <w:rFonts w:ascii="Arial" w:hAnsi="Arial" w:cs="Arial"/>
                <w:i/>
                <w:iCs/>
                <w:sz w:val="16"/>
                <w:szCs w:val="16"/>
              </w:rPr>
            </w:pPr>
            <w:r>
              <w:rPr>
                <w:rFonts w:ascii="Arial" w:hAnsi="Arial" w:cs="Arial"/>
                <w:i/>
                <w:iCs/>
                <w:sz w:val="16"/>
                <w:szCs w:val="16"/>
              </w:rPr>
              <w:noBreakHyphen/>
            </w:r>
            <w:r w:rsidR="00A0504D" w:rsidRPr="00A0504D">
              <w:rPr>
                <w:rFonts w:ascii="Arial" w:hAnsi="Arial" w:cs="Arial"/>
                <w:i/>
                <w:iCs/>
                <w:sz w:val="16"/>
                <w:szCs w:val="16"/>
              </w:rPr>
              <w:t>1</w:t>
            </w:r>
          </w:p>
        </w:tc>
        <w:tc>
          <w:tcPr>
            <w:tcW w:w="456" w:type="pct"/>
            <w:tcBorders>
              <w:top w:val="nil"/>
              <w:left w:val="nil"/>
              <w:bottom w:val="single" w:sz="4" w:space="0" w:color="293F5B"/>
              <w:right w:val="nil"/>
            </w:tcBorders>
            <w:shd w:val="clear" w:color="000000" w:fill="E6F2FF"/>
            <w:noWrap/>
            <w:vAlign w:val="center"/>
            <w:hideMark/>
          </w:tcPr>
          <w:p w14:paraId="1DF0A0CD"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122</w:t>
            </w:r>
          </w:p>
        </w:tc>
        <w:tc>
          <w:tcPr>
            <w:tcW w:w="456" w:type="pct"/>
            <w:tcBorders>
              <w:top w:val="nil"/>
              <w:left w:val="nil"/>
              <w:bottom w:val="single" w:sz="4" w:space="0" w:color="293F5B"/>
              <w:right w:val="nil"/>
            </w:tcBorders>
            <w:shd w:val="clear" w:color="000000" w:fill="FFFFFF"/>
            <w:noWrap/>
            <w:vAlign w:val="center"/>
            <w:hideMark/>
          </w:tcPr>
          <w:p w14:paraId="33559B89"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122</w:t>
            </w:r>
          </w:p>
        </w:tc>
        <w:tc>
          <w:tcPr>
            <w:tcW w:w="456" w:type="pct"/>
            <w:tcBorders>
              <w:top w:val="nil"/>
              <w:left w:val="nil"/>
              <w:bottom w:val="single" w:sz="4" w:space="0" w:color="293F5B"/>
              <w:right w:val="nil"/>
            </w:tcBorders>
            <w:shd w:val="clear" w:color="000000" w:fill="FFFFFF"/>
            <w:noWrap/>
            <w:vAlign w:val="center"/>
            <w:hideMark/>
          </w:tcPr>
          <w:p w14:paraId="763CA00C"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201</w:t>
            </w:r>
          </w:p>
        </w:tc>
        <w:tc>
          <w:tcPr>
            <w:tcW w:w="456" w:type="pct"/>
            <w:tcBorders>
              <w:top w:val="nil"/>
              <w:left w:val="nil"/>
              <w:bottom w:val="single" w:sz="4" w:space="0" w:color="293F5B"/>
              <w:right w:val="nil"/>
            </w:tcBorders>
            <w:shd w:val="clear" w:color="000000" w:fill="FFFFFF"/>
            <w:noWrap/>
            <w:vAlign w:val="center"/>
            <w:hideMark/>
          </w:tcPr>
          <w:p w14:paraId="0ED4DEEE"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18</w:t>
            </w:r>
          </w:p>
        </w:tc>
        <w:tc>
          <w:tcPr>
            <w:tcW w:w="62" w:type="pct"/>
            <w:tcBorders>
              <w:top w:val="nil"/>
              <w:left w:val="nil"/>
              <w:bottom w:val="nil"/>
              <w:right w:val="nil"/>
            </w:tcBorders>
            <w:shd w:val="clear" w:color="000000" w:fill="FFFFFF"/>
            <w:noWrap/>
            <w:vAlign w:val="center"/>
            <w:hideMark/>
          </w:tcPr>
          <w:p w14:paraId="1778F999"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 </w:t>
            </w:r>
          </w:p>
        </w:tc>
        <w:tc>
          <w:tcPr>
            <w:tcW w:w="571" w:type="pct"/>
            <w:tcBorders>
              <w:top w:val="nil"/>
              <w:left w:val="nil"/>
              <w:bottom w:val="single" w:sz="4" w:space="0" w:color="293F5B"/>
              <w:right w:val="nil"/>
            </w:tcBorders>
            <w:shd w:val="clear" w:color="000000" w:fill="FFFFFF"/>
            <w:noWrap/>
            <w:vAlign w:val="center"/>
            <w:hideMark/>
          </w:tcPr>
          <w:p w14:paraId="170C31B6"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463</w:t>
            </w:r>
          </w:p>
        </w:tc>
      </w:tr>
      <w:tr w:rsidR="00A0504D" w:rsidRPr="00A0504D" w14:paraId="1C73DF42" w14:textId="77777777" w:rsidTr="00A0504D">
        <w:trPr>
          <w:trHeight w:hRule="exact" w:val="225"/>
        </w:trPr>
        <w:tc>
          <w:tcPr>
            <w:tcW w:w="2086" w:type="pct"/>
            <w:tcBorders>
              <w:top w:val="nil"/>
              <w:left w:val="nil"/>
              <w:bottom w:val="nil"/>
              <w:right w:val="nil"/>
            </w:tcBorders>
            <w:shd w:val="clear" w:color="000000" w:fill="FFFFFF"/>
            <w:noWrap/>
            <w:vAlign w:val="bottom"/>
            <w:hideMark/>
          </w:tcPr>
          <w:p w14:paraId="0E4A934F"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Total policy decisions impact on fiscal balance</w:t>
            </w:r>
          </w:p>
        </w:tc>
        <w:tc>
          <w:tcPr>
            <w:tcW w:w="457" w:type="pct"/>
            <w:tcBorders>
              <w:top w:val="single" w:sz="4" w:space="0" w:color="293F5B"/>
              <w:left w:val="nil"/>
              <w:bottom w:val="single" w:sz="4" w:space="0" w:color="293F5B"/>
              <w:right w:val="nil"/>
            </w:tcBorders>
            <w:shd w:val="clear" w:color="000000" w:fill="FFFFFF"/>
            <w:vAlign w:val="center"/>
            <w:hideMark/>
          </w:tcPr>
          <w:p w14:paraId="5E01FCB6" w14:textId="21BC6BF8"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138</w:t>
            </w:r>
          </w:p>
        </w:tc>
        <w:tc>
          <w:tcPr>
            <w:tcW w:w="456" w:type="pct"/>
            <w:tcBorders>
              <w:top w:val="single" w:sz="4" w:space="0" w:color="293F5B"/>
              <w:left w:val="nil"/>
              <w:bottom w:val="single" w:sz="4" w:space="0" w:color="293F5B"/>
              <w:right w:val="nil"/>
            </w:tcBorders>
            <w:shd w:val="clear" w:color="000000" w:fill="E6F2FF"/>
            <w:vAlign w:val="center"/>
            <w:hideMark/>
          </w:tcPr>
          <w:p w14:paraId="0D48C91B" w14:textId="53023BEC"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7,845</w:t>
            </w:r>
          </w:p>
        </w:tc>
        <w:tc>
          <w:tcPr>
            <w:tcW w:w="456" w:type="pct"/>
            <w:tcBorders>
              <w:top w:val="single" w:sz="4" w:space="0" w:color="293F5B"/>
              <w:left w:val="nil"/>
              <w:bottom w:val="single" w:sz="4" w:space="0" w:color="293F5B"/>
              <w:right w:val="nil"/>
            </w:tcBorders>
            <w:shd w:val="clear" w:color="000000" w:fill="FFFFFF"/>
            <w:vAlign w:val="center"/>
            <w:hideMark/>
          </w:tcPr>
          <w:p w14:paraId="3C57D55E" w14:textId="7BA740FE"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7,620</w:t>
            </w:r>
          </w:p>
        </w:tc>
        <w:tc>
          <w:tcPr>
            <w:tcW w:w="456" w:type="pct"/>
            <w:tcBorders>
              <w:top w:val="single" w:sz="4" w:space="0" w:color="293F5B"/>
              <w:left w:val="nil"/>
              <w:bottom w:val="single" w:sz="4" w:space="0" w:color="293F5B"/>
              <w:right w:val="nil"/>
            </w:tcBorders>
            <w:shd w:val="clear" w:color="000000" w:fill="FFFFFF"/>
            <w:vAlign w:val="center"/>
            <w:hideMark/>
          </w:tcPr>
          <w:p w14:paraId="10A158B5" w14:textId="61440E00"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10,799</w:t>
            </w:r>
          </w:p>
        </w:tc>
        <w:tc>
          <w:tcPr>
            <w:tcW w:w="456" w:type="pct"/>
            <w:tcBorders>
              <w:top w:val="single" w:sz="4" w:space="0" w:color="293F5B"/>
              <w:left w:val="nil"/>
              <w:bottom w:val="single" w:sz="4" w:space="0" w:color="293F5B"/>
              <w:right w:val="nil"/>
            </w:tcBorders>
            <w:shd w:val="clear" w:color="000000" w:fill="FFFFFF"/>
            <w:vAlign w:val="center"/>
            <w:hideMark/>
          </w:tcPr>
          <w:p w14:paraId="18D4DE44" w14:textId="67A767B2"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7,525</w:t>
            </w:r>
          </w:p>
        </w:tc>
        <w:tc>
          <w:tcPr>
            <w:tcW w:w="62" w:type="pct"/>
            <w:tcBorders>
              <w:top w:val="nil"/>
              <w:left w:val="nil"/>
              <w:bottom w:val="nil"/>
              <w:right w:val="nil"/>
            </w:tcBorders>
            <w:shd w:val="clear" w:color="000000" w:fill="FFFFFF"/>
            <w:vAlign w:val="center"/>
            <w:hideMark/>
          </w:tcPr>
          <w:p w14:paraId="395F8742"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 </w:t>
            </w:r>
          </w:p>
        </w:tc>
        <w:tc>
          <w:tcPr>
            <w:tcW w:w="571" w:type="pct"/>
            <w:tcBorders>
              <w:top w:val="single" w:sz="4" w:space="0" w:color="293F5B"/>
              <w:left w:val="nil"/>
              <w:bottom w:val="single" w:sz="4" w:space="0" w:color="293F5B"/>
              <w:right w:val="nil"/>
            </w:tcBorders>
            <w:shd w:val="clear" w:color="000000" w:fill="FFFFFF"/>
            <w:noWrap/>
            <w:vAlign w:val="center"/>
            <w:hideMark/>
          </w:tcPr>
          <w:p w14:paraId="20D4BD6E" w14:textId="2B9AF3DA"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33,927</w:t>
            </w:r>
          </w:p>
        </w:tc>
      </w:tr>
      <w:tr w:rsidR="00A0504D" w:rsidRPr="00A0504D" w14:paraId="2B2332A1" w14:textId="77777777" w:rsidTr="00A0504D">
        <w:trPr>
          <w:trHeight w:hRule="exact" w:val="60"/>
        </w:trPr>
        <w:tc>
          <w:tcPr>
            <w:tcW w:w="2086" w:type="pct"/>
            <w:tcBorders>
              <w:top w:val="nil"/>
              <w:left w:val="nil"/>
              <w:bottom w:val="nil"/>
              <w:right w:val="nil"/>
            </w:tcBorders>
            <w:shd w:val="clear" w:color="000000" w:fill="FFFFFF"/>
            <w:noWrap/>
            <w:vAlign w:val="center"/>
            <w:hideMark/>
          </w:tcPr>
          <w:p w14:paraId="2448A698"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 </w:t>
            </w:r>
          </w:p>
        </w:tc>
        <w:tc>
          <w:tcPr>
            <w:tcW w:w="457" w:type="pct"/>
            <w:tcBorders>
              <w:top w:val="nil"/>
              <w:left w:val="nil"/>
              <w:bottom w:val="nil"/>
              <w:right w:val="nil"/>
            </w:tcBorders>
            <w:shd w:val="clear" w:color="000000" w:fill="FFFFFF"/>
            <w:noWrap/>
            <w:vAlign w:val="center"/>
            <w:hideMark/>
          </w:tcPr>
          <w:p w14:paraId="122BD0DD"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E6F2FF"/>
            <w:noWrap/>
            <w:vAlign w:val="center"/>
            <w:hideMark/>
          </w:tcPr>
          <w:p w14:paraId="35F8783E"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1829A0B7"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10075D2E"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058E793E"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45CDF699"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nil"/>
              <w:right w:val="nil"/>
            </w:tcBorders>
            <w:shd w:val="clear" w:color="000000" w:fill="FFFFFF"/>
            <w:noWrap/>
            <w:vAlign w:val="center"/>
            <w:hideMark/>
          </w:tcPr>
          <w:p w14:paraId="097A1278"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r>
      <w:tr w:rsidR="00A0504D" w:rsidRPr="00A0504D" w14:paraId="1BE404BC"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005A0456"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Effect of parameter and other variations(b)</w:t>
            </w:r>
          </w:p>
        </w:tc>
        <w:tc>
          <w:tcPr>
            <w:tcW w:w="457" w:type="pct"/>
            <w:tcBorders>
              <w:top w:val="nil"/>
              <w:left w:val="nil"/>
              <w:bottom w:val="nil"/>
              <w:right w:val="nil"/>
            </w:tcBorders>
            <w:shd w:val="clear" w:color="000000" w:fill="FFFFFF"/>
            <w:noWrap/>
            <w:vAlign w:val="center"/>
            <w:hideMark/>
          </w:tcPr>
          <w:p w14:paraId="1865136A"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E6F2FF"/>
            <w:noWrap/>
            <w:vAlign w:val="center"/>
            <w:hideMark/>
          </w:tcPr>
          <w:p w14:paraId="78A67783"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2543D907"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36E9B7F0"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nil"/>
              <w:left w:val="nil"/>
              <w:bottom w:val="nil"/>
              <w:right w:val="nil"/>
            </w:tcBorders>
            <w:shd w:val="clear" w:color="000000" w:fill="FFFFFF"/>
            <w:noWrap/>
            <w:vAlign w:val="center"/>
            <w:hideMark/>
          </w:tcPr>
          <w:p w14:paraId="3F423639"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6A26FFD9"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nil"/>
              <w:right w:val="nil"/>
            </w:tcBorders>
            <w:shd w:val="clear" w:color="000000" w:fill="FFFFFF"/>
            <w:noWrap/>
            <w:vAlign w:val="center"/>
            <w:hideMark/>
          </w:tcPr>
          <w:p w14:paraId="75320B2F"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r>
      <w:tr w:rsidR="00A0504D" w:rsidRPr="00A0504D" w14:paraId="62B24BF6"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1596611D" w14:textId="77777777" w:rsidR="00A0504D" w:rsidRPr="00A0504D" w:rsidRDefault="00A0504D" w:rsidP="00A0504D">
            <w:pPr>
              <w:spacing w:before="0" w:after="0" w:line="240" w:lineRule="auto"/>
              <w:ind w:left="170"/>
              <w:rPr>
                <w:rFonts w:ascii="Arial" w:hAnsi="Arial" w:cs="Arial"/>
                <w:i/>
                <w:iCs/>
                <w:sz w:val="16"/>
                <w:szCs w:val="16"/>
              </w:rPr>
            </w:pPr>
            <w:r w:rsidRPr="00A0504D">
              <w:rPr>
                <w:rFonts w:ascii="Arial" w:hAnsi="Arial" w:cs="Arial"/>
                <w:i/>
                <w:iCs/>
                <w:sz w:val="16"/>
                <w:szCs w:val="16"/>
              </w:rPr>
              <w:t>Revenue</w:t>
            </w:r>
          </w:p>
        </w:tc>
        <w:tc>
          <w:tcPr>
            <w:tcW w:w="457" w:type="pct"/>
            <w:tcBorders>
              <w:top w:val="nil"/>
              <w:left w:val="nil"/>
              <w:bottom w:val="nil"/>
              <w:right w:val="nil"/>
            </w:tcBorders>
            <w:shd w:val="clear" w:color="000000" w:fill="FFFFFF"/>
            <w:noWrap/>
            <w:vAlign w:val="center"/>
            <w:hideMark/>
          </w:tcPr>
          <w:p w14:paraId="45184D95" w14:textId="297F7CCD" w:rsidR="00A0504D" w:rsidRPr="00A0504D" w:rsidRDefault="00404C26" w:rsidP="00A0504D">
            <w:pPr>
              <w:spacing w:before="0" w:after="0" w:line="240" w:lineRule="auto"/>
              <w:jc w:val="right"/>
              <w:rPr>
                <w:rFonts w:ascii="Arial" w:hAnsi="Arial" w:cs="Arial"/>
                <w:i/>
                <w:iCs/>
                <w:sz w:val="16"/>
                <w:szCs w:val="16"/>
              </w:rPr>
            </w:pPr>
            <w:r>
              <w:rPr>
                <w:rFonts w:ascii="Arial" w:hAnsi="Arial" w:cs="Arial"/>
                <w:i/>
                <w:iCs/>
                <w:sz w:val="16"/>
                <w:szCs w:val="16"/>
              </w:rPr>
              <w:noBreakHyphen/>
            </w:r>
            <w:r w:rsidR="00A0504D" w:rsidRPr="00A0504D">
              <w:rPr>
                <w:rFonts w:ascii="Arial" w:hAnsi="Arial" w:cs="Arial"/>
                <w:i/>
                <w:iCs/>
                <w:sz w:val="16"/>
                <w:szCs w:val="16"/>
              </w:rPr>
              <w:t>706</w:t>
            </w:r>
          </w:p>
        </w:tc>
        <w:tc>
          <w:tcPr>
            <w:tcW w:w="456" w:type="pct"/>
            <w:tcBorders>
              <w:top w:val="nil"/>
              <w:left w:val="nil"/>
              <w:bottom w:val="nil"/>
              <w:right w:val="nil"/>
            </w:tcBorders>
            <w:shd w:val="clear" w:color="000000" w:fill="E6F2FF"/>
            <w:noWrap/>
            <w:vAlign w:val="center"/>
            <w:hideMark/>
          </w:tcPr>
          <w:p w14:paraId="506521DF"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7,100</w:t>
            </w:r>
          </w:p>
        </w:tc>
        <w:tc>
          <w:tcPr>
            <w:tcW w:w="456" w:type="pct"/>
            <w:tcBorders>
              <w:top w:val="nil"/>
              <w:left w:val="nil"/>
              <w:bottom w:val="nil"/>
              <w:right w:val="nil"/>
            </w:tcBorders>
            <w:shd w:val="clear" w:color="000000" w:fill="FFFFFF"/>
            <w:noWrap/>
            <w:vAlign w:val="center"/>
            <w:hideMark/>
          </w:tcPr>
          <w:p w14:paraId="52D1528F"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5,949</w:t>
            </w:r>
          </w:p>
        </w:tc>
        <w:tc>
          <w:tcPr>
            <w:tcW w:w="456" w:type="pct"/>
            <w:tcBorders>
              <w:top w:val="nil"/>
              <w:left w:val="nil"/>
              <w:bottom w:val="nil"/>
              <w:right w:val="nil"/>
            </w:tcBorders>
            <w:shd w:val="clear" w:color="000000" w:fill="FFFFFF"/>
            <w:noWrap/>
            <w:vAlign w:val="center"/>
            <w:hideMark/>
          </w:tcPr>
          <w:p w14:paraId="43591D07" w14:textId="24522D62" w:rsidR="00A0504D" w:rsidRPr="00A0504D" w:rsidRDefault="00404C26" w:rsidP="00A0504D">
            <w:pPr>
              <w:spacing w:before="0" w:after="0" w:line="240" w:lineRule="auto"/>
              <w:jc w:val="right"/>
              <w:rPr>
                <w:rFonts w:ascii="Arial" w:hAnsi="Arial" w:cs="Arial"/>
                <w:i/>
                <w:iCs/>
                <w:sz w:val="16"/>
                <w:szCs w:val="16"/>
              </w:rPr>
            </w:pPr>
            <w:r>
              <w:rPr>
                <w:rFonts w:ascii="Arial" w:hAnsi="Arial" w:cs="Arial"/>
                <w:i/>
                <w:iCs/>
                <w:sz w:val="16"/>
                <w:szCs w:val="16"/>
              </w:rPr>
              <w:noBreakHyphen/>
            </w:r>
            <w:r w:rsidR="00A0504D" w:rsidRPr="00A0504D">
              <w:rPr>
                <w:rFonts w:ascii="Arial" w:hAnsi="Arial" w:cs="Arial"/>
                <w:i/>
                <w:iCs/>
                <w:sz w:val="16"/>
                <w:szCs w:val="16"/>
              </w:rPr>
              <w:t>717</w:t>
            </w:r>
          </w:p>
        </w:tc>
        <w:tc>
          <w:tcPr>
            <w:tcW w:w="456" w:type="pct"/>
            <w:tcBorders>
              <w:top w:val="nil"/>
              <w:left w:val="nil"/>
              <w:bottom w:val="nil"/>
              <w:right w:val="nil"/>
            </w:tcBorders>
            <w:shd w:val="clear" w:color="000000" w:fill="FFFFFF"/>
            <w:noWrap/>
            <w:vAlign w:val="center"/>
            <w:hideMark/>
          </w:tcPr>
          <w:p w14:paraId="4CBB70A8"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w:t>
            </w:r>
          </w:p>
        </w:tc>
        <w:tc>
          <w:tcPr>
            <w:tcW w:w="62" w:type="pct"/>
            <w:tcBorders>
              <w:top w:val="nil"/>
              <w:left w:val="nil"/>
              <w:bottom w:val="nil"/>
              <w:right w:val="nil"/>
            </w:tcBorders>
            <w:shd w:val="clear" w:color="000000" w:fill="FFFFFF"/>
            <w:noWrap/>
            <w:vAlign w:val="center"/>
            <w:hideMark/>
          </w:tcPr>
          <w:p w14:paraId="4DDDB213"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 </w:t>
            </w:r>
          </w:p>
        </w:tc>
        <w:tc>
          <w:tcPr>
            <w:tcW w:w="571" w:type="pct"/>
            <w:tcBorders>
              <w:top w:val="nil"/>
              <w:left w:val="nil"/>
              <w:bottom w:val="nil"/>
              <w:right w:val="nil"/>
            </w:tcBorders>
            <w:shd w:val="clear" w:color="000000" w:fill="FFFFFF"/>
            <w:noWrap/>
            <w:vAlign w:val="center"/>
            <w:hideMark/>
          </w:tcPr>
          <w:p w14:paraId="4D0562F6"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w:t>
            </w:r>
          </w:p>
        </w:tc>
      </w:tr>
      <w:tr w:rsidR="00A0504D" w:rsidRPr="00A0504D" w14:paraId="5515F73A"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6D18F8FA" w14:textId="77777777" w:rsidR="00A0504D" w:rsidRPr="00A0504D" w:rsidRDefault="00A0504D" w:rsidP="00A0504D">
            <w:pPr>
              <w:spacing w:before="0" w:after="0" w:line="240" w:lineRule="auto"/>
              <w:ind w:left="170"/>
              <w:rPr>
                <w:rFonts w:ascii="Arial" w:hAnsi="Arial" w:cs="Arial"/>
                <w:i/>
                <w:iCs/>
                <w:sz w:val="16"/>
                <w:szCs w:val="16"/>
              </w:rPr>
            </w:pPr>
            <w:r w:rsidRPr="00A0504D">
              <w:rPr>
                <w:rFonts w:ascii="Arial" w:hAnsi="Arial" w:cs="Arial"/>
                <w:i/>
                <w:iCs/>
                <w:sz w:val="16"/>
                <w:szCs w:val="16"/>
              </w:rPr>
              <w:t xml:space="preserve">Expenses </w:t>
            </w:r>
          </w:p>
        </w:tc>
        <w:tc>
          <w:tcPr>
            <w:tcW w:w="457" w:type="pct"/>
            <w:tcBorders>
              <w:top w:val="nil"/>
              <w:left w:val="nil"/>
              <w:bottom w:val="nil"/>
              <w:right w:val="nil"/>
            </w:tcBorders>
            <w:shd w:val="clear" w:color="000000" w:fill="FFFFFF"/>
            <w:noWrap/>
            <w:vAlign w:val="center"/>
            <w:hideMark/>
          </w:tcPr>
          <w:p w14:paraId="72147C23"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3,949</w:t>
            </w:r>
          </w:p>
        </w:tc>
        <w:tc>
          <w:tcPr>
            <w:tcW w:w="456" w:type="pct"/>
            <w:tcBorders>
              <w:top w:val="nil"/>
              <w:left w:val="nil"/>
              <w:bottom w:val="nil"/>
              <w:right w:val="nil"/>
            </w:tcBorders>
            <w:shd w:val="clear" w:color="000000" w:fill="E6F2FF"/>
            <w:noWrap/>
            <w:vAlign w:val="center"/>
            <w:hideMark/>
          </w:tcPr>
          <w:p w14:paraId="16EB4B85" w14:textId="47AC9A5A" w:rsidR="00A0504D" w:rsidRPr="00A0504D" w:rsidRDefault="00404C26" w:rsidP="00A0504D">
            <w:pPr>
              <w:spacing w:before="0" w:after="0" w:line="240" w:lineRule="auto"/>
              <w:jc w:val="right"/>
              <w:rPr>
                <w:rFonts w:ascii="Arial" w:hAnsi="Arial" w:cs="Arial"/>
                <w:i/>
                <w:iCs/>
                <w:sz w:val="16"/>
                <w:szCs w:val="16"/>
              </w:rPr>
            </w:pPr>
            <w:r>
              <w:rPr>
                <w:rFonts w:ascii="Arial" w:hAnsi="Arial" w:cs="Arial"/>
                <w:i/>
                <w:iCs/>
                <w:sz w:val="16"/>
                <w:szCs w:val="16"/>
              </w:rPr>
              <w:noBreakHyphen/>
            </w:r>
            <w:r w:rsidR="00A0504D" w:rsidRPr="00A0504D">
              <w:rPr>
                <w:rFonts w:ascii="Arial" w:hAnsi="Arial" w:cs="Arial"/>
                <w:i/>
                <w:iCs/>
                <w:sz w:val="16"/>
                <w:szCs w:val="16"/>
              </w:rPr>
              <w:t>6,622</w:t>
            </w:r>
          </w:p>
        </w:tc>
        <w:tc>
          <w:tcPr>
            <w:tcW w:w="456" w:type="pct"/>
            <w:tcBorders>
              <w:top w:val="nil"/>
              <w:left w:val="nil"/>
              <w:bottom w:val="nil"/>
              <w:right w:val="nil"/>
            </w:tcBorders>
            <w:shd w:val="clear" w:color="000000" w:fill="FFFFFF"/>
            <w:noWrap/>
            <w:vAlign w:val="center"/>
            <w:hideMark/>
          </w:tcPr>
          <w:p w14:paraId="5BBCEA15" w14:textId="75C78BC9" w:rsidR="00A0504D" w:rsidRPr="00A0504D" w:rsidRDefault="00404C26" w:rsidP="00A0504D">
            <w:pPr>
              <w:spacing w:before="0" w:after="0" w:line="240" w:lineRule="auto"/>
              <w:jc w:val="right"/>
              <w:rPr>
                <w:rFonts w:ascii="Arial" w:hAnsi="Arial" w:cs="Arial"/>
                <w:i/>
                <w:iCs/>
                <w:sz w:val="16"/>
                <w:szCs w:val="16"/>
              </w:rPr>
            </w:pPr>
            <w:r>
              <w:rPr>
                <w:rFonts w:ascii="Arial" w:hAnsi="Arial" w:cs="Arial"/>
                <w:i/>
                <w:iCs/>
                <w:sz w:val="16"/>
                <w:szCs w:val="16"/>
              </w:rPr>
              <w:noBreakHyphen/>
            </w:r>
            <w:r w:rsidR="00A0504D" w:rsidRPr="00A0504D">
              <w:rPr>
                <w:rFonts w:ascii="Arial" w:hAnsi="Arial" w:cs="Arial"/>
                <w:i/>
                <w:iCs/>
                <w:sz w:val="16"/>
                <w:szCs w:val="16"/>
              </w:rPr>
              <w:t>6,466</w:t>
            </w:r>
          </w:p>
        </w:tc>
        <w:tc>
          <w:tcPr>
            <w:tcW w:w="456" w:type="pct"/>
            <w:tcBorders>
              <w:top w:val="nil"/>
              <w:left w:val="nil"/>
              <w:bottom w:val="nil"/>
              <w:right w:val="nil"/>
            </w:tcBorders>
            <w:shd w:val="clear" w:color="000000" w:fill="FFFFFF"/>
            <w:noWrap/>
            <w:vAlign w:val="center"/>
            <w:hideMark/>
          </w:tcPr>
          <w:p w14:paraId="796D0D61" w14:textId="5E3D9E21" w:rsidR="00A0504D" w:rsidRPr="00A0504D" w:rsidRDefault="00404C26" w:rsidP="00A0504D">
            <w:pPr>
              <w:spacing w:before="0" w:after="0" w:line="240" w:lineRule="auto"/>
              <w:jc w:val="right"/>
              <w:rPr>
                <w:rFonts w:ascii="Arial" w:hAnsi="Arial" w:cs="Arial"/>
                <w:i/>
                <w:iCs/>
                <w:sz w:val="16"/>
                <w:szCs w:val="16"/>
              </w:rPr>
            </w:pPr>
            <w:r>
              <w:rPr>
                <w:rFonts w:ascii="Arial" w:hAnsi="Arial" w:cs="Arial"/>
                <w:i/>
                <w:iCs/>
                <w:sz w:val="16"/>
                <w:szCs w:val="16"/>
              </w:rPr>
              <w:noBreakHyphen/>
            </w:r>
            <w:r w:rsidR="00A0504D" w:rsidRPr="00A0504D">
              <w:rPr>
                <w:rFonts w:ascii="Arial" w:hAnsi="Arial" w:cs="Arial"/>
                <w:i/>
                <w:iCs/>
                <w:sz w:val="16"/>
                <w:szCs w:val="16"/>
              </w:rPr>
              <w:t>6,003</w:t>
            </w:r>
          </w:p>
        </w:tc>
        <w:tc>
          <w:tcPr>
            <w:tcW w:w="456" w:type="pct"/>
            <w:tcBorders>
              <w:top w:val="nil"/>
              <w:left w:val="nil"/>
              <w:bottom w:val="nil"/>
              <w:right w:val="nil"/>
            </w:tcBorders>
            <w:shd w:val="clear" w:color="000000" w:fill="FFFFFF"/>
            <w:noWrap/>
            <w:vAlign w:val="center"/>
            <w:hideMark/>
          </w:tcPr>
          <w:p w14:paraId="67A735B3"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w:t>
            </w:r>
          </w:p>
        </w:tc>
        <w:tc>
          <w:tcPr>
            <w:tcW w:w="62" w:type="pct"/>
            <w:tcBorders>
              <w:top w:val="nil"/>
              <w:left w:val="nil"/>
              <w:bottom w:val="nil"/>
              <w:right w:val="nil"/>
            </w:tcBorders>
            <w:shd w:val="clear" w:color="000000" w:fill="FFFFFF"/>
            <w:noWrap/>
            <w:vAlign w:val="center"/>
            <w:hideMark/>
          </w:tcPr>
          <w:p w14:paraId="14C410C9"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 </w:t>
            </w:r>
          </w:p>
        </w:tc>
        <w:tc>
          <w:tcPr>
            <w:tcW w:w="571" w:type="pct"/>
            <w:tcBorders>
              <w:top w:val="nil"/>
              <w:left w:val="nil"/>
              <w:bottom w:val="nil"/>
              <w:right w:val="nil"/>
            </w:tcBorders>
            <w:shd w:val="clear" w:color="000000" w:fill="FFFFFF"/>
            <w:noWrap/>
            <w:vAlign w:val="center"/>
            <w:hideMark/>
          </w:tcPr>
          <w:p w14:paraId="40C4B30E"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w:t>
            </w:r>
          </w:p>
        </w:tc>
      </w:tr>
      <w:tr w:rsidR="00A0504D" w:rsidRPr="00A0504D" w14:paraId="35DCF4C4"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46BA4F6D" w14:textId="77777777" w:rsidR="00A0504D" w:rsidRPr="00A0504D" w:rsidRDefault="00A0504D" w:rsidP="00A0504D">
            <w:pPr>
              <w:spacing w:before="0" w:after="0" w:line="240" w:lineRule="auto"/>
              <w:ind w:left="170"/>
              <w:rPr>
                <w:rFonts w:ascii="Arial" w:hAnsi="Arial" w:cs="Arial"/>
                <w:i/>
                <w:iCs/>
                <w:sz w:val="16"/>
                <w:szCs w:val="16"/>
              </w:rPr>
            </w:pPr>
            <w:r w:rsidRPr="00A0504D">
              <w:rPr>
                <w:rFonts w:ascii="Arial" w:hAnsi="Arial" w:cs="Arial"/>
                <w:i/>
                <w:iCs/>
                <w:sz w:val="16"/>
                <w:szCs w:val="16"/>
              </w:rPr>
              <w:t>Net capital investment</w:t>
            </w:r>
          </w:p>
        </w:tc>
        <w:tc>
          <w:tcPr>
            <w:tcW w:w="457" w:type="pct"/>
            <w:tcBorders>
              <w:top w:val="nil"/>
              <w:left w:val="nil"/>
              <w:bottom w:val="single" w:sz="4" w:space="0" w:color="293F5B"/>
              <w:right w:val="nil"/>
            </w:tcBorders>
            <w:shd w:val="clear" w:color="000000" w:fill="FFFFFF"/>
            <w:noWrap/>
            <w:vAlign w:val="center"/>
            <w:hideMark/>
          </w:tcPr>
          <w:p w14:paraId="7485DCE4" w14:textId="73B55036" w:rsidR="00A0504D" w:rsidRPr="00A0504D" w:rsidRDefault="00404C26" w:rsidP="00A0504D">
            <w:pPr>
              <w:spacing w:before="0" w:after="0" w:line="240" w:lineRule="auto"/>
              <w:jc w:val="right"/>
              <w:rPr>
                <w:rFonts w:ascii="Arial" w:hAnsi="Arial" w:cs="Arial"/>
                <w:i/>
                <w:iCs/>
                <w:sz w:val="16"/>
                <w:szCs w:val="16"/>
              </w:rPr>
            </w:pPr>
            <w:r>
              <w:rPr>
                <w:rFonts w:ascii="Arial" w:hAnsi="Arial" w:cs="Arial"/>
                <w:i/>
                <w:iCs/>
                <w:sz w:val="16"/>
                <w:szCs w:val="16"/>
              </w:rPr>
              <w:noBreakHyphen/>
            </w:r>
            <w:r w:rsidR="00A0504D" w:rsidRPr="00A0504D">
              <w:rPr>
                <w:rFonts w:ascii="Arial" w:hAnsi="Arial" w:cs="Arial"/>
                <w:i/>
                <w:iCs/>
                <w:sz w:val="16"/>
                <w:szCs w:val="16"/>
              </w:rPr>
              <w:t>33</w:t>
            </w:r>
          </w:p>
        </w:tc>
        <w:tc>
          <w:tcPr>
            <w:tcW w:w="456" w:type="pct"/>
            <w:tcBorders>
              <w:top w:val="nil"/>
              <w:left w:val="nil"/>
              <w:bottom w:val="single" w:sz="4" w:space="0" w:color="293F5B"/>
              <w:right w:val="nil"/>
            </w:tcBorders>
            <w:shd w:val="clear" w:color="000000" w:fill="E6F2FF"/>
            <w:noWrap/>
            <w:vAlign w:val="center"/>
            <w:hideMark/>
          </w:tcPr>
          <w:p w14:paraId="4E77FDEE"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360</w:t>
            </w:r>
          </w:p>
        </w:tc>
        <w:tc>
          <w:tcPr>
            <w:tcW w:w="456" w:type="pct"/>
            <w:tcBorders>
              <w:top w:val="nil"/>
              <w:left w:val="nil"/>
              <w:bottom w:val="single" w:sz="4" w:space="0" w:color="293F5B"/>
              <w:right w:val="nil"/>
            </w:tcBorders>
            <w:shd w:val="clear" w:color="000000" w:fill="FFFFFF"/>
            <w:noWrap/>
            <w:vAlign w:val="center"/>
            <w:hideMark/>
          </w:tcPr>
          <w:p w14:paraId="6C556AE6"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622</w:t>
            </w:r>
          </w:p>
        </w:tc>
        <w:tc>
          <w:tcPr>
            <w:tcW w:w="456" w:type="pct"/>
            <w:tcBorders>
              <w:top w:val="nil"/>
              <w:left w:val="nil"/>
              <w:bottom w:val="single" w:sz="4" w:space="0" w:color="293F5B"/>
              <w:right w:val="nil"/>
            </w:tcBorders>
            <w:shd w:val="clear" w:color="000000" w:fill="FFFFFF"/>
            <w:noWrap/>
            <w:vAlign w:val="center"/>
            <w:hideMark/>
          </w:tcPr>
          <w:p w14:paraId="23F2F8C9"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584</w:t>
            </w:r>
          </w:p>
        </w:tc>
        <w:tc>
          <w:tcPr>
            <w:tcW w:w="456" w:type="pct"/>
            <w:tcBorders>
              <w:top w:val="nil"/>
              <w:left w:val="nil"/>
              <w:bottom w:val="single" w:sz="4" w:space="0" w:color="293F5B"/>
              <w:right w:val="nil"/>
            </w:tcBorders>
            <w:shd w:val="clear" w:color="000000" w:fill="FFFFFF"/>
            <w:noWrap/>
            <w:vAlign w:val="center"/>
            <w:hideMark/>
          </w:tcPr>
          <w:p w14:paraId="3B3EFAFB"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w:t>
            </w:r>
          </w:p>
        </w:tc>
        <w:tc>
          <w:tcPr>
            <w:tcW w:w="62" w:type="pct"/>
            <w:tcBorders>
              <w:top w:val="nil"/>
              <w:left w:val="nil"/>
              <w:bottom w:val="nil"/>
              <w:right w:val="nil"/>
            </w:tcBorders>
            <w:shd w:val="clear" w:color="000000" w:fill="FFFFFF"/>
            <w:noWrap/>
            <w:vAlign w:val="center"/>
            <w:hideMark/>
          </w:tcPr>
          <w:p w14:paraId="7A2F3F5B"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 </w:t>
            </w:r>
          </w:p>
        </w:tc>
        <w:tc>
          <w:tcPr>
            <w:tcW w:w="571" w:type="pct"/>
            <w:tcBorders>
              <w:top w:val="nil"/>
              <w:left w:val="nil"/>
              <w:bottom w:val="single" w:sz="4" w:space="0" w:color="293F5B"/>
              <w:right w:val="nil"/>
            </w:tcBorders>
            <w:shd w:val="clear" w:color="000000" w:fill="FFFFFF"/>
            <w:noWrap/>
            <w:vAlign w:val="center"/>
            <w:hideMark/>
          </w:tcPr>
          <w:p w14:paraId="019E6D8A" w14:textId="77777777" w:rsidR="00A0504D" w:rsidRPr="00A0504D" w:rsidRDefault="00A0504D" w:rsidP="00A0504D">
            <w:pPr>
              <w:spacing w:before="0" w:after="0" w:line="240" w:lineRule="auto"/>
              <w:jc w:val="right"/>
              <w:rPr>
                <w:rFonts w:ascii="Arial" w:hAnsi="Arial" w:cs="Arial"/>
                <w:i/>
                <w:iCs/>
                <w:sz w:val="16"/>
                <w:szCs w:val="16"/>
              </w:rPr>
            </w:pPr>
            <w:r w:rsidRPr="00A0504D">
              <w:rPr>
                <w:rFonts w:ascii="Arial" w:hAnsi="Arial" w:cs="Arial"/>
                <w:i/>
                <w:iCs/>
                <w:sz w:val="16"/>
                <w:szCs w:val="16"/>
              </w:rPr>
              <w:t>*</w:t>
            </w:r>
          </w:p>
        </w:tc>
      </w:tr>
      <w:tr w:rsidR="00A0504D" w:rsidRPr="00A0504D" w14:paraId="14EE3EE0" w14:textId="77777777" w:rsidTr="00A0504D">
        <w:trPr>
          <w:trHeight w:hRule="exact" w:val="225"/>
        </w:trPr>
        <w:tc>
          <w:tcPr>
            <w:tcW w:w="2086" w:type="pct"/>
            <w:tcBorders>
              <w:top w:val="nil"/>
              <w:left w:val="nil"/>
              <w:bottom w:val="nil"/>
              <w:right w:val="nil"/>
            </w:tcBorders>
            <w:shd w:val="clear" w:color="000000" w:fill="FFFFFF"/>
            <w:noWrap/>
            <w:vAlign w:val="bottom"/>
            <w:hideMark/>
          </w:tcPr>
          <w:p w14:paraId="78A6CE6E"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 xml:space="preserve">Total parameter and other variations impact on </w:t>
            </w:r>
          </w:p>
        </w:tc>
        <w:tc>
          <w:tcPr>
            <w:tcW w:w="457" w:type="pct"/>
            <w:tcBorders>
              <w:top w:val="single" w:sz="4" w:space="0" w:color="293F5B"/>
              <w:left w:val="nil"/>
              <w:bottom w:val="nil"/>
              <w:right w:val="nil"/>
            </w:tcBorders>
            <w:shd w:val="clear" w:color="000000" w:fill="FFFFFF"/>
            <w:noWrap/>
            <w:vAlign w:val="center"/>
            <w:hideMark/>
          </w:tcPr>
          <w:p w14:paraId="324A455A"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single" w:sz="4" w:space="0" w:color="293F5B"/>
              <w:left w:val="nil"/>
              <w:bottom w:val="nil"/>
              <w:right w:val="nil"/>
            </w:tcBorders>
            <w:shd w:val="clear" w:color="000000" w:fill="E6F2FF"/>
            <w:noWrap/>
            <w:vAlign w:val="center"/>
            <w:hideMark/>
          </w:tcPr>
          <w:p w14:paraId="66535D0B"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single" w:sz="4" w:space="0" w:color="293F5B"/>
              <w:left w:val="nil"/>
              <w:bottom w:val="nil"/>
              <w:right w:val="nil"/>
            </w:tcBorders>
            <w:shd w:val="clear" w:color="000000" w:fill="FFFFFF"/>
            <w:noWrap/>
            <w:vAlign w:val="center"/>
            <w:hideMark/>
          </w:tcPr>
          <w:p w14:paraId="2725568D"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single" w:sz="4" w:space="0" w:color="293F5B"/>
              <w:left w:val="nil"/>
              <w:bottom w:val="nil"/>
              <w:right w:val="nil"/>
            </w:tcBorders>
            <w:shd w:val="clear" w:color="000000" w:fill="FFFFFF"/>
            <w:noWrap/>
            <w:vAlign w:val="center"/>
            <w:hideMark/>
          </w:tcPr>
          <w:p w14:paraId="5E7613BF"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456" w:type="pct"/>
            <w:tcBorders>
              <w:top w:val="single" w:sz="4" w:space="0" w:color="293F5B"/>
              <w:left w:val="nil"/>
              <w:bottom w:val="nil"/>
              <w:right w:val="nil"/>
            </w:tcBorders>
            <w:shd w:val="clear" w:color="000000" w:fill="FFFFFF"/>
            <w:noWrap/>
            <w:vAlign w:val="center"/>
            <w:hideMark/>
          </w:tcPr>
          <w:p w14:paraId="72E06CE3"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62" w:type="pct"/>
            <w:tcBorders>
              <w:top w:val="nil"/>
              <w:left w:val="nil"/>
              <w:bottom w:val="nil"/>
              <w:right w:val="nil"/>
            </w:tcBorders>
            <w:shd w:val="clear" w:color="000000" w:fill="FFFFFF"/>
            <w:noWrap/>
            <w:vAlign w:val="center"/>
            <w:hideMark/>
          </w:tcPr>
          <w:p w14:paraId="26BE2CE3"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single" w:sz="4" w:space="0" w:color="293F5B"/>
              <w:left w:val="nil"/>
              <w:bottom w:val="nil"/>
              <w:right w:val="nil"/>
            </w:tcBorders>
            <w:shd w:val="clear" w:color="000000" w:fill="FFFFFF"/>
            <w:noWrap/>
            <w:vAlign w:val="center"/>
            <w:hideMark/>
          </w:tcPr>
          <w:p w14:paraId="68CCD402"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r>
      <w:tr w:rsidR="00A0504D" w:rsidRPr="00A0504D" w14:paraId="17BDED39" w14:textId="77777777" w:rsidTr="00A0504D">
        <w:trPr>
          <w:trHeight w:hRule="exact" w:val="220"/>
        </w:trPr>
        <w:tc>
          <w:tcPr>
            <w:tcW w:w="2086" w:type="pct"/>
            <w:tcBorders>
              <w:top w:val="nil"/>
              <w:left w:val="nil"/>
              <w:bottom w:val="nil"/>
              <w:right w:val="nil"/>
            </w:tcBorders>
            <w:shd w:val="clear" w:color="000000" w:fill="FFFFFF"/>
            <w:noWrap/>
            <w:vAlign w:val="bottom"/>
            <w:hideMark/>
          </w:tcPr>
          <w:p w14:paraId="12EECB4E" w14:textId="77777777" w:rsidR="00A0504D" w:rsidRPr="00A0504D" w:rsidRDefault="00A0504D" w:rsidP="00A0504D">
            <w:pPr>
              <w:spacing w:before="0" w:after="0" w:line="240" w:lineRule="auto"/>
              <w:ind w:left="170"/>
              <w:rPr>
                <w:rFonts w:ascii="Arial" w:hAnsi="Arial" w:cs="Arial"/>
                <w:sz w:val="16"/>
                <w:szCs w:val="16"/>
              </w:rPr>
            </w:pPr>
            <w:r w:rsidRPr="00A0504D">
              <w:rPr>
                <w:rFonts w:ascii="Arial" w:hAnsi="Arial" w:cs="Arial"/>
                <w:sz w:val="16"/>
                <w:szCs w:val="16"/>
              </w:rPr>
              <w:t>fiscal balance</w:t>
            </w:r>
          </w:p>
        </w:tc>
        <w:tc>
          <w:tcPr>
            <w:tcW w:w="457" w:type="pct"/>
            <w:tcBorders>
              <w:top w:val="nil"/>
              <w:left w:val="nil"/>
              <w:bottom w:val="single" w:sz="4" w:space="0" w:color="293F5B"/>
              <w:right w:val="nil"/>
            </w:tcBorders>
            <w:shd w:val="clear" w:color="000000" w:fill="FFFFFF"/>
            <w:noWrap/>
            <w:vAlign w:val="center"/>
            <w:hideMark/>
          </w:tcPr>
          <w:p w14:paraId="6DFA1E17" w14:textId="78FBF169"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4,622</w:t>
            </w:r>
          </w:p>
        </w:tc>
        <w:tc>
          <w:tcPr>
            <w:tcW w:w="456" w:type="pct"/>
            <w:tcBorders>
              <w:top w:val="nil"/>
              <w:left w:val="nil"/>
              <w:bottom w:val="single" w:sz="4" w:space="0" w:color="293F5B"/>
              <w:right w:val="nil"/>
            </w:tcBorders>
            <w:shd w:val="clear" w:color="000000" w:fill="E6F2FF"/>
            <w:noWrap/>
            <w:vAlign w:val="center"/>
            <w:hideMark/>
          </w:tcPr>
          <w:p w14:paraId="2F613F62"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13,362</w:t>
            </w:r>
          </w:p>
        </w:tc>
        <w:tc>
          <w:tcPr>
            <w:tcW w:w="456" w:type="pct"/>
            <w:tcBorders>
              <w:top w:val="nil"/>
              <w:left w:val="nil"/>
              <w:bottom w:val="single" w:sz="4" w:space="0" w:color="293F5B"/>
              <w:right w:val="nil"/>
            </w:tcBorders>
            <w:shd w:val="clear" w:color="000000" w:fill="FFFFFF"/>
            <w:noWrap/>
            <w:vAlign w:val="center"/>
            <w:hideMark/>
          </w:tcPr>
          <w:p w14:paraId="40C96326"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11,793</w:t>
            </w:r>
          </w:p>
        </w:tc>
        <w:tc>
          <w:tcPr>
            <w:tcW w:w="456" w:type="pct"/>
            <w:tcBorders>
              <w:top w:val="nil"/>
              <w:left w:val="nil"/>
              <w:bottom w:val="single" w:sz="4" w:space="0" w:color="293F5B"/>
              <w:right w:val="nil"/>
            </w:tcBorders>
            <w:shd w:val="clear" w:color="000000" w:fill="FFFFFF"/>
            <w:noWrap/>
            <w:vAlign w:val="center"/>
            <w:hideMark/>
          </w:tcPr>
          <w:p w14:paraId="08ED8CC3"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4,701</w:t>
            </w:r>
          </w:p>
        </w:tc>
        <w:tc>
          <w:tcPr>
            <w:tcW w:w="456" w:type="pct"/>
            <w:tcBorders>
              <w:top w:val="nil"/>
              <w:left w:val="nil"/>
              <w:bottom w:val="single" w:sz="4" w:space="0" w:color="293F5B"/>
              <w:right w:val="nil"/>
            </w:tcBorders>
            <w:shd w:val="clear" w:color="000000" w:fill="FFFFFF"/>
            <w:noWrap/>
            <w:vAlign w:val="center"/>
            <w:hideMark/>
          </w:tcPr>
          <w:p w14:paraId="1C3DD428"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w:t>
            </w:r>
          </w:p>
        </w:tc>
        <w:tc>
          <w:tcPr>
            <w:tcW w:w="62" w:type="pct"/>
            <w:tcBorders>
              <w:top w:val="nil"/>
              <w:left w:val="nil"/>
              <w:bottom w:val="nil"/>
              <w:right w:val="nil"/>
            </w:tcBorders>
            <w:shd w:val="clear" w:color="000000" w:fill="FFFFFF"/>
            <w:noWrap/>
            <w:vAlign w:val="center"/>
            <w:hideMark/>
          </w:tcPr>
          <w:p w14:paraId="0B00C8AB"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single" w:sz="4" w:space="0" w:color="293F5B"/>
              <w:right w:val="nil"/>
            </w:tcBorders>
            <w:shd w:val="clear" w:color="000000" w:fill="FFFFFF"/>
            <w:noWrap/>
            <w:vAlign w:val="center"/>
            <w:hideMark/>
          </w:tcPr>
          <w:p w14:paraId="381EFC32"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w:t>
            </w:r>
          </w:p>
        </w:tc>
      </w:tr>
      <w:tr w:rsidR="00A0504D" w:rsidRPr="00A0504D" w14:paraId="459D7FA4" w14:textId="77777777" w:rsidTr="00A0504D">
        <w:trPr>
          <w:trHeight w:hRule="exact" w:val="60"/>
        </w:trPr>
        <w:tc>
          <w:tcPr>
            <w:tcW w:w="2086" w:type="pct"/>
            <w:tcBorders>
              <w:top w:val="nil"/>
              <w:left w:val="nil"/>
              <w:bottom w:val="nil"/>
              <w:right w:val="nil"/>
            </w:tcBorders>
            <w:shd w:val="clear" w:color="000000" w:fill="FFFFFF"/>
            <w:noWrap/>
            <w:vAlign w:val="center"/>
            <w:hideMark/>
          </w:tcPr>
          <w:p w14:paraId="6C425C20" w14:textId="77777777" w:rsidR="00A0504D" w:rsidRPr="00A0504D" w:rsidRDefault="00A0504D" w:rsidP="00A0504D">
            <w:pPr>
              <w:spacing w:before="0" w:after="0" w:line="240" w:lineRule="auto"/>
              <w:rPr>
                <w:rFonts w:ascii="Arial" w:hAnsi="Arial" w:cs="Arial"/>
                <w:color w:val="0066CC"/>
                <w:sz w:val="16"/>
                <w:szCs w:val="16"/>
              </w:rPr>
            </w:pPr>
            <w:r w:rsidRPr="00A0504D">
              <w:rPr>
                <w:rFonts w:ascii="Arial" w:hAnsi="Arial" w:cs="Arial"/>
                <w:color w:val="0066CC"/>
                <w:sz w:val="16"/>
                <w:szCs w:val="16"/>
              </w:rPr>
              <w:t> </w:t>
            </w:r>
          </w:p>
        </w:tc>
        <w:tc>
          <w:tcPr>
            <w:tcW w:w="457" w:type="pct"/>
            <w:tcBorders>
              <w:top w:val="nil"/>
              <w:left w:val="nil"/>
              <w:bottom w:val="nil"/>
              <w:right w:val="nil"/>
            </w:tcBorders>
            <w:shd w:val="clear" w:color="000000" w:fill="FFFFFF"/>
            <w:noWrap/>
            <w:vAlign w:val="center"/>
            <w:hideMark/>
          </w:tcPr>
          <w:p w14:paraId="48D52F36" w14:textId="77777777" w:rsidR="00A0504D" w:rsidRPr="00A0504D" w:rsidRDefault="00A0504D" w:rsidP="00A0504D">
            <w:pPr>
              <w:spacing w:before="0" w:after="0" w:line="240" w:lineRule="auto"/>
              <w:jc w:val="right"/>
              <w:rPr>
                <w:rFonts w:ascii="Arial" w:hAnsi="Arial" w:cs="Arial"/>
                <w:color w:val="0066CC"/>
                <w:sz w:val="16"/>
                <w:szCs w:val="16"/>
              </w:rPr>
            </w:pPr>
            <w:r w:rsidRPr="00A0504D">
              <w:rPr>
                <w:rFonts w:ascii="Arial" w:hAnsi="Arial" w:cs="Arial"/>
                <w:color w:val="0066CC"/>
                <w:sz w:val="16"/>
                <w:szCs w:val="16"/>
              </w:rPr>
              <w:t> </w:t>
            </w:r>
          </w:p>
        </w:tc>
        <w:tc>
          <w:tcPr>
            <w:tcW w:w="456" w:type="pct"/>
            <w:tcBorders>
              <w:top w:val="nil"/>
              <w:left w:val="nil"/>
              <w:bottom w:val="nil"/>
              <w:right w:val="nil"/>
            </w:tcBorders>
            <w:shd w:val="clear" w:color="000000" w:fill="E6F2FF"/>
            <w:noWrap/>
            <w:vAlign w:val="center"/>
            <w:hideMark/>
          </w:tcPr>
          <w:p w14:paraId="35810090" w14:textId="77777777" w:rsidR="00A0504D" w:rsidRPr="00A0504D" w:rsidRDefault="00A0504D" w:rsidP="00A0504D">
            <w:pPr>
              <w:spacing w:before="0" w:after="0" w:line="240" w:lineRule="auto"/>
              <w:jc w:val="right"/>
              <w:rPr>
                <w:rFonts w:ascii="Arial" w:hAnsi="Arial" w:cs="Arial"/>
                <w:color w:val="0066CC"/>
                <w:sz w:val="16"/>
                <w:szCs w:val="16"/>
              </w:rPr>
            </w:pPr>
            <w:r w:rsidRPr="00A0504D">
              <w:rPr>
                <w:rFonts w:ascii="Arial" w:hAnsi="Arial" w:cs="Arial"/>
                <w:color w:val="0066CC"/>
                <w:sz w:val="16"/>
                <w:szCs w:val="16"/>
              </w:rPr>
              <w:t> </w:t>
            </w:r>
          </w:p>
        </w:tc>
        <w:tc>
          <w:tcPr>
            <w:tcW w:w="456" w:type="pct"/>
            <w:tcBorders>
              <w:top w:val="nil"/>
              <w:left w:val="nil"/>
              <w:bottom w:val="nil"/>
              <w:right w:val="nil"/>
            </w:tcBorders>
            <w:shd w:val="clear" w:color="000000" w:fill="FFFFFF"/>
            <w:noWrap/>
            <w:vAlign w:val="center"/>
            <w:hideMark/>
          </w:tcPr>
          <w:p w14:paraId="30FF54E7" w14:textId="77777777" w:rsidR="00A0504D" w:rsidRPr="00A0504D" w:rsidRDefault="00A0504D" w:rsidP="00A0504D">
            <w:pPr>
              <w:spacing w:before="0" w:after="0" w:line="240" w:lineRule="auto"/>
              <w:jc w:val="right"/>
              <w:rPr>
                <w:rFonts w:ascii="Arial" w:hAnsi="Arial" w:cs="Arial"/>
                <w:color w:val="0066CC"/>
                <w:sz w:val="16"/>
                <w:szCs w:val="16"/>
              </w:rPr>
            </w:pPr>
            <w:r w:rsidRPr="00A0504D">
              <w:rPr>
                <w:rFonts w:ascii="Arial" w:hAnsi="Arial" w:cs="Arial"/>
                <w:color w:val="0066CC"/>
                <w:sz w:val="16"/>
                <w:szCs w:val="16"/>
              </w:rPr>
              <w:t> </w:t>
            </w:r>
          </w:p>
        </w:tc>
        <w:tc>
          <w:tcPr>
            <w:tcW w:w="456" w:type="pct"/>
            <w:tcBorders>
              <w:top w:val="nil"/>
              <w:left w:val="nil"/>
              <w:bottom w:val="nil"/>
              <w:right w:val="nil"/>
            </w:tcBorders>
            <w:shd w:val="clear" w:color="000000" w:fill="FFFFFF"/>
            <w:noWrap/>
            <w:vAlign w:val="center"/>
            <w:hideMark/>
          </w:tcPr>
          <w:p w14:paraId="4E68EB6C" w14:textId="77777777" w:rsidR="00A0504D" w:rsidRPr="00A0504D" w:rsidRDefault="00A0504D" w:rsidP="00A0504D">
            <w:pPr>
              <w:spacing w:before="0" w:after="0" w:line="240" w:lineRule="auto"/>
              <w:jc w:val="right"/>
              <w:rPr>
                <w:rFonts w:ascii="Arial" w:hAnsi="Arial" w:cs="Arial"/>
                <w:color w:val="0066CC"/>
                <w:sz w:val="16"/>
                <w:szCs w:val="16"/>
              </w:rPr>
            </w:pPr>
            <w:r w:rsidRPr="00A0504D">
              <w:rPr>
                <w:rFonts w:ascii="Arial" w:hAnsi="Arial" w:cs="Arial"/>
                <w:color w:val="0066CC"/>
                <w:sz w:val="16"/>
                <w:szCs w:val="16"/>
              </w:rPr>
              <w:t> </w:t>
            </w:r>
          </w:p>
        </w:tc>
        <w:tc>
          <w:tcPr>
            <w:tcW w:w="456" w:type="pct"/>
            <w:tcBorders>
              <w:top w:val="nil"/>
              <w:left w:val="nil"/>
              <w:bottom w:val="nil"/>
              <w:right w:val="nil"/>
            </w:tcBorders>
            <w:shd w:val="clear" w:color="000000" w:fill="FFFFFF"/>
            <w:noWrap/>
            <w:vAlign w:val="center"/>
            <w:hideMark/>
          </w:tcPr>
          <w:p w14:paraId="2A1C6F58" w14:textId="77777777" w:rsidR="00A0504D" w:rsidRPr="00A0504D" w:rsidRDefault="00A0504D" w:rsidP="00A0504D">
            <w:pPr>
              <w:spacing w:before="0" w:after="0" w:line="240" w:lineRule="auto"/>
              <w:jc w:val="right"/>
              <w:rPr>
                <w:rFonts w:ascii="Arial" w:hAnsi="Arial" w:cs="Arial"/>
                <w:color w:val="0066CC"/>
                <w:sz w:val="16"/>
                <w:szCs w:val="16"/>
              </w:rPr>
            </w:pPr>
            <w:r w:rsidRPr="00A0504D">
              <w:rPr>
                <w:rFonts w:ascii="Arial" w:hAnsi="Arial" w:cs="Arial"/>
                <w:color w:val="0066CC"/>
                <w:sz w:val="16"/>
                <w:szCs w:val="16"/>
              </w:rPr>
              <w:t> </w:t>
            </w:r>
          </w:p>
        </w:tc>
        <w:tc>
          <w:tcPr>
            <w:tcW w:w="62" w:type="pct"/>
            <w:tcBorders>
              <w:top w:val="nil"/>
              <w:left w:val="nil"/>
              <w:bottom w:val="nil"/>
              <w:right w:val="nil"/>
            </w:tcBorders>
            <w:shd w:val="clear" w:color="000000" w:fill="FFFFFF"/>
            <w:noWrap/>
            <w:vAlign w:val="center"/>
            <w:hideMark/>
          </w:tcPr>
          <w:p w14:paraId="1FE84608" w14:textId="77777777" w:rsidR="00A0504D" w:rsidRPr="00A0504D" w:rsidRDefault="00A0504D" w:rsidP="00A0504D">
            <w:pPr>
              <w:spacing w:before="0" w:after="0" w:line="240" w:lineRule="auto"/>
              <w:jc w:val="right"/>
              <w:rPr>
                <w:rFonts w:ascii="Arial" w:hAnsi="Arial" w:cs="Arial"/>
                <w:color w:val="0066CC"/>
                <w:sz w:val="16"/>
                <w:szCs w:val="16"/>
              </w:rPr>
            </w:pPr>
            <w:r w:rsidRPr="00A0504D">
              <w:rPr>
                <w:rFonts w:ascii="Arial" w:hAnsi="Arial" w:cs="Arial"/>
                <w:color w:val="0066CC"/>
                <w:sz w:val="16"/>
                <w:szCs w:val="16"/>
              </w:rPr>
              <w:t> </w:t>
            </w:r>
          </w:p>
        </w:tc>
        <w:tc>
          <w:tcPr>
            <w:tcW w:w="571" w:type="pct"/>
            <w:tcBorders>
              <w:top w:val="nil"/>
              <w:left w:val="nil"/>
              <w:bottom w:val="nil"/>
              <w:right w:val="nil"/>
            </w:tcBorders>
            <w:shd w:val="clear" w:color="000000" w:fill="FFFFFF"/>
            <w:noWrap/>
            <w:vAlign w:val="center"/>
            <w:hideMark/>
          </w:tcPr>
          <w:p w14:paraId="2CD36A30"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r>
      <w:tr w:rsidR="00A0504D" w:rsidRPr="00A0504D" w14:paraId="0FFDD990" w14:textId="77777777" w:rsidTr="00A0504D">
        <w:trPr>
          <w:trHeight w:hRule="exact" w:val="225"/>
        </w:trPr>
        <w:tc>
          <w:tcPr>
            <w:tcW w:w="2086" w:type="pct"/>
            <w:tcBorders>
              <w:top w:val="nil"/>
              <w:left w:val="nil"/>
              <w:bottom w:val="nil"/>
              <w:right w:val="nil"/>
            </w:tcBorders>
            <w:shd w:val="clear" w:color="000000" w:fill="FFFFFF"/>
            <w:noWrap/>
            <w:vAlign w:val="center"/>
            <w:hideMark/>
          </w:tcPr>
          <w:p w14:paraId="46368601" w14:textId="071E426C" w:rsidR="00A0504D" w:rsidRPr="00A0504D" w:rsidRDefault="00A0504D" w:rsidP="00A0504D">
            <w:pPr>
              <w:spacing w:before="0" w:after="0" w:line="240" w:lineRule="auto"/>
              <w:rPr>
                <w:rFonts w:ascii="Arial" w:hAnsi="Arial" w:cs="Arial"/>
                <w:b/>
                <w:bCs/>
                <w:sz w:val="16"/>
                <w:szCs w:val="16"/>
              </w:rPr>
            </w:pPr>
            <w:r w:rsidRPr="00A0504D">
              <w:rPr>
                <w:rFonts w:ascii="Arial" w:hAnsi="Arial" w:cs="Arial"/>
                <w:b/>
                <w:bCs/>
                <w:sz w:val="16"/>
                <w:szCs w:val="16"/>
              </w:rPr>
              <w:t>2025</w:t>
            </w:r>
            <w:r w:rsidR="00404C26">
              <w:rPr>
                <w:rFonts w:ascii="Arial" w:hAnsi="Arial" w:cs="Arial"/>
                <w:b/>
                <w:bCs/>
                <w:sz w:val="16"/>
                <w:szCs w:val="16"/>
              </w:rPr>
              <w:noBreakHyphen/>
            </w:r>
            <w:r w:rsidRPr="00A0504D">
              <w:rPr>
                <w:rFonts w:ascii="Arial" w:hAnsi="Arial" w:cs="Arial"/>
                <w:b/>
                <w:bCs/>
                <w:sz w:val="16"/>
                <w:szCs w:val="16"/>
              </w:rPr>
              <w:t>26 Budget fiscal balance</w:t>
            </w:r>
          </w:p>
        </w:tc>
        <w:tc>
          <w:tcPr>
            <w:tcW w:w="457" w:type="pct"/>
            <w:tcBorders>
              <w:top w:val="nil"/>
              <w:left w:val="nil"/>
              <w:bottom w:val="nil"/>
              <w:right w:val="nil"/>
            </w:tcBorders>
            <w:shd w:val="clear" w:color="000000" w:fill="FFFFFF"/>
            <w:noWrap/>
            <w:vAlign w:val="center"/>
            <w:hideMark/>
          </w:tcPr>
          <w:p w14:paraId="34BF9C85" w14:textId="6C31E6D1"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50,647</w:t>
            </w:r>
          </w:p>
        </w:tc>
        <w:tc>
          <w:tcPr>
            <w:tcW w:w="456" w:type="pct"/>
            <w:tcBorders>
              <w:top w:val="nil"/>
              <w:left w:val="nil"/>
              <w:bottom w:val="nil"/>
              <w:right w:val="nil"/>
            </w:tcBorders>
            <w:shd w:val="clear" w:color="000000" w:fill="E6F2FF"/>
            <w:noWrap/>
            <w:vAlign w:val="center"/>
            <w:hideMark/>
          </w:tcPr>
          <w:p w14:paraId="35E47116" w14:textId="71E5E8A6"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44,178</w:t>
            </w:r>
          </w:p>
        </w:tc>
        <w:tc>
          <w:tcPr>
            <w:tcW w:w="456" w:type="pct"/>
            <w:tcBorders>
              <w:top w:val="nil"/>
              <w:left w:val="nil"/>
              <w:bottom w:val="nil"/>
              <w:right w:val="nil"/>
            </w:tcBorders>
            <w:shd w:val="clear" w:color="000000" w:fill="FFFFFF"/>
            <w:noWrap/>
            <w:vAlign w:val="center"/>
            <w:hideMark/>
          </w:tcPr>
          <w:p w14:paraId="17D31982" w14:textId="54A0E66E"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32,174</w:t>
            </w:r>
          </w:p>
        </w:tc>
        <w:tc>
          <w:tcPr>
            <w:tcW w:w="456" w:type="pct"/>
            <w:tcBorders>
              <w:top w:val="nil"/>
              <w:left w:val="nil"/>
              <w:bottom w:val="nil"/>
              <w:right w:val="nil"/>
            </w:tcBorders>
            <w:shd w:val="clear" w:color="000000" w:fill="FFFFFF"/>
            <w:noWrap/>
            <w:vAlign w:val="center"/>
            <w:hideMark/>
          </w:tcPr>
          <w:p w14:paraId="188652C4" w14:textId="2654987B"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39,545</w:t>
            </w:r>
          </w:p>
        </w:tc>
        <w:tc>
          <w:tcPr>
            <w:tcW w:w="456" w:type="pct"/>
            <w:tcBorders>
              <w:top w:val="nil"/>
              <w:left w:val="nil"/>
              <w:bottom w:val="nil"/>
              <w:right w:val="nil"/>
            </w:tcBorders>
            <w:shd w:val="clear" w:color="000000" w:fill="FFFFFF"/>
            <w:noWrap/>
            <w:vAlign w:val="center"/>
            <w:hideMark/>
          </w:tcPr>
          <w:p w14:paraId="7421E811" w14:textId="0D9DD431"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37,087</w:t>
            </w:r>
          </w:p>
        </w:tc>
        <w:tc>
          <w:tcPr>
            <w:tcW w:w="62" w:type="pct"/>
            <w:tcBorders>
              <w:top w:val="nil"/>
              <w:left w:val="nil"/>
              <w:bottom w:val="nil"/>
              <w:right w:val="nil"/>
            </w:tcBorders>
            <w:shd w:val="clear" w:color="000000" w:fill="FFFFFF"/>
            <w:noWrap/>
            <w:vAlign w:val="center"/>
            <w:hideMark/>
          </w:tcPr>
          <w:p w14:paraId="53D0BD39" w14:textId="77777777" w:rsidR="00A0504D" w:rsidRPr="00A0504D" w:rsidRDefault="00A0504D" w:rsidP="00A0504D">
            <w:pPr>
              <w:spacing w:before="0" w:after="0" w:line="240" w:lineRule="auto"/>
              <w:jc w:val="right"/>
              <w:rPr>
                <w:rFonts w:ascii="Arial" w:hAnsi="Arial" w:cs="Arial"/>
                <w:b/>
                <w:bCs/>
                <w:sz w:val="16"/>
                <w:szCs w:val="16"/>
              </w:rPr>
            </w:pPr>
            <w:r w:rsidRPr="00A0504D">
              <w:rPr>
                <w:rFonts w:ascii="Arial" w:hAnsi="Arial" w:cs="Arial"/>
                <w:b/>
                <w:bCs/>
                <w:sz w:val="16"/>
                <w:szCs w:val="16"/>
              </w:rPr>
              <w:t> </w:t>
            </w:r>
          </w:p>
        </w:tc>
        <w:tc>
          <w:tcPr>
            <w:tcW w:w="571" w:type="pct"/>
            <w:tcBorders>
              <w:top w:val="nil"/>
              <w:left w:val="nil"/>
              <w:bottom w:val="nil"/>
              <w:right w:val="nil"/>
            </w:tcBorders>
            <w:shd w:val="clear" w:color="000000" w:fill="FFFFFF"/>
            <w:noWrap/>
            <w:vAlign w:val="center"/>
            <w:hideMark/>
          </w:tcPr>
          <w:p w14:paraId="09F82706" w14:textId="5036E885" w:rsidR="00A0504D" w:rsidRPr="00A0504D" w:rsidRDefault="00404C26" w:rsidP="00A0504D">
            <w:pPr>
              <w:spacing w:before="0" w:after="0" w:line="240" w:lineRule="auto"/>
              <w:jc w:val="right"/>
              <w:rPr>
                <w:rFonts w:ascii="Arial" w:hAnsi="Arial" w:cs="Arial"/>
                <w:b/>
                <w:bCs/>
                <w:sz w:val="16"/>
                <w:szCs w:val="16"/>
              </w:rPr>
            </w:pPr>
            <w:r>
              <w:rPr>
                <w:rFonts w:ascii="Arial" w:hAnsi="Arial" w:cs="Arial"/>
                <w:b/>
                <w:bCs/>
                <w:sz w:val="16"/>
                <w:szCs w:val="16"/>
              </w:rPr>
              <w:noBreakHyphen/>
            </w:r>
            <w:r w:rsidR="00A0504D" w:rsidRPr="00A0504D">
              <w:rPr>
                <w:rFonts w:ascii="Arial" w:hAnsi="Arial" w:cs="Arial"/>
                <w:b/>
                <w:bCs/>
                <w:sz w:val="16"/>
                <w:szCs w:val="16"/>
              </w:rPr>
              <w:t>203,631</w:t>
            </w:r>
          </w:p>
        </w:tc>
      </w:tr>
      <w:tr w:rsidR="00A0504D" w:rsidRPr="00A0504D" w14:paraId="66960D9F" w14:textId="77777777" w:rsidTr="00A0504D">
        <w:trPr>
          <w:trHeight w:hRule="exact" w:val="225"/>
        </w:trPr>
        <w:tc>
          <w:tcPr>
            <w:tcW w:w="2086" w:type="pct"/>
            <w:tcBorders>
              <w:top w:val="nil"/>
              <w:left w:val="nil"/>
              <w:bottom w:val="single" w:sz="4" w:space="0" w:color="293F5B"/>
              <w:right w:val="nil"/>
            </w:tcBorders>
            <w:shd w:val="clear" w:color="000000" w:fill="FFFFFF"/>
            <w:noWrap/>
            <w:vAlign w:val="center"/>
            <w:hideMark/>
          </w:tcPr>
          <w:p w14:paraId="18902EA0" w14:textId="77777777" w:rsidR="00A0504D" w:rsidRPr="00A0504D" w:rsidRDefault="00A0504D" w:rsidP="00A0504D">
            <w:pPr>
              <w:spacing w:before="0" w:after="0" w:line="240" w:lineRule="auto"/>
              <w:rPr>
                <w:rFonts w:ascii="Arial" w:hAnsi="Arial" w:cs="Arial"/>
                <w:sz w:val="16"/>
                <w:szCs w:val="16"/>
              </w:rPr>
            </w:pPr>
            <w:r w:rsidRPr="00A0504D">
              <w:rPr>
                <w:rFonts w:ascii="Arial" w:hAnsi="Arial" w:cs="Arial"/>
                <w:sz w:val="16"/>
                <w:szCs w:val="16"/>
              </w:rPr>
              <w:t>Per cent of GDP</w:t>
            </w:r>
          </w:p>
        </w:tc>
        <w:tc>
          <w:tcPr>
            <w:tcW w:w="457" w:type="pct"/>
            <w:tcBorders>
              <w:top w:val="nil"/>
              <w:left w:val="nil"/>
              <w:bottom w:val="single" w:sz="4" w:space="0" w:color="293F5B"/>
              <w:right w:val="nil"/>
            </w:tcBorders>
            <w:shd w:val="clear" w:color="000000" w:fill="FFFFFF"/>
            <w:noWrap/>
            <w:vAlign w:val="center"/>
            <w:hideMark/>
          </w:tcPr>
          <w:p w14:paraId="6E596446" w14:textId="72B041F0"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1.8</w:t>
            </w:r>
          </w:p>
        </w:tc>
        <w:tc>
          <w:tcPr>
            <w:tcW w:w="456" w:type="pct"/>
            <w:tcBorders>
              <w:top w:val="nil"/>
              <w:left w:val="nil"/>
              <w:bottom w:val="single" w:sz="4" w:space="0" w:color="293F5B"/>
              <w:right w:val="nil"/>
            </w:tcBorders>
            <w:shd w:val="clear" w:color="000000" w:fill="E6F2FF"/>
            <w:noWrap/>
            <w:vAlign w:val="center"/>
            <w:hideMark/>
          </w:tcPr>
          <w:p w14:paraId="7668BB73" w14:textId="6B151BE7"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1.5</w:t>
            </w:r>
          </w:p>
        </w:tc>
        <w:tc>
          <w:tcPr>
            <w:tcW w:w="456" w:type="pct"/>
            <w:tcBorders>
              <w:top w:val="nil"/>
              <w:left w:val="nil"/>
              <w:bottom w:val="single" w:sz="4" w:space="0" w:color="293F5B"/>
              <w:right w:val="nil"/>
            </w:tcBorders>
            <w:shd w:val="clear" w:color="000000" w:fill="FFFFFF"/>
            <w:noWrap/>
            <w:vAlign w:val="center"/>
            <w:hideMark/>
          </w:tcPr>
          <w:p w14:paraId="2AEC2BE1" w14:textId="5681BBFA"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1.1</w:t>
            </w:r>
          </w:p>
        </w:tc>
        <w:tc>
          <w:tcPr>
            <w:tcW w:w="456" w:type="pct"/>
            <w:tcBorders>
              <w:top w:val="nil"/>
              <w:left w:val="nil"/>
              <w:bottom w:val="single" w:sz="4" w:space="0" w:color="293F5B"/>
              <w:right w:val="nil"/>
            </w:tcBorders>
            <w:shd w:val="clear" w:color="000000" w:fill="FFFFFF"/>
            <w:noWrap/>
            <w:vAlign w:val="center"/>
            <w:hideMark/>
          </w:tcPr>
          <w:p w14:paraId="415C2F61" w14:textId="30347A28"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1.3</w:t>
            </w:r>
          </w:p>
        </w:tc>
        <w:tc>
          <w:tcPr>
            <w:tcW w:w="456" w:type="pct"/>
            <w:tcBorders>
              <w:top w:val="nil"/>
              <w:left w:val="nil"/>
              <w:bottom w:val="single" w:sz="4" w:space="0" w:color="293F5B"/>
              <w:right w:val="nil"/>
            </w:tcBorders>
            <w:shd w:val="clear" w:color="000000" w:fill="FFFFFF"/>
            <w:noWrap/>
            <w:vAlign w:val="center"/>
            <w:hideMark/>
          </w:tcPr>
          <w:p w14:paraId="08927183" w14:textId="5971B9E2" w:rsidR="00A0504D" w:rsidRPr="00A0504D" w:rsidRDefault="00404C26" w:rsidP="00A0504D">
            <w:pPr>
              <w:spacing w:before="0" w:after="0" w:line="240" w:lineRule="auto"/>
              <w:jc w:val="right"/>
              <w:rPr>
                <w:rFonts w:ascii="Arial" w:hAnsi="Arial" w:cs="Arial"/>
                <w:sz w:val="16"/>
                <w:szCs w:val="16"/>
              </w:rPr>
            </w:pPr>
            <w:r>
              <w:rPr>
                <w:rFonts w:ascii="Arial" w:hAnsi="Arial" w:cs="Arial"/>
                <w:sz w:val="16"/>
                <w:szCs w:val="16"/>
              </w:rPr>
              <w:noBreakHyphen/>
            </w:r>
            <w:r w:rsidR="00A0504D" w:rsidRPr="00A0504D">
              <w:rPr>
                <w:rFonts w:ascii="Arial" w:hAnsi="Arial" w:cs="Arial"/>
                <w:sz w:val="16"/>
                <w:szCs w:val="16"/>
              </w:rPr>
              <w:t>1.1</w:t>
            </w:r>
          </w:p>
        </w:tc>
        <w:tc>
          <w:tcPr>
            <w:tcW w:w="62" w:type="pct"/>
            <w:tcBorders>
              <w:top w:val="nil"/>
              <w:left w:val="nil"/>
              <w:bottom w:val="single" w:sz="4" w:space="0" w:color="293F5B"/>
              <w:right w:val="nil"/>
            </w:tcBorders>
            <w:shd w:val="clear" w:color="000000" w:fill="FFFFFF"/>
            <w:noWrap/>
            <w:vAlign w:val="center"/>
            <w:hideMark/>
          </w:tcPr>
          <w:p w14:paraId="751956D3"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c>
          <w:tcPr>
            <w:tcW w:w="571" w:type="pct"/>
            <w:tcBorders>
              <w:top w:val="nil"/>
              <w:left w:val="nil"/>
              <w:bottom w:val="single" w:sz="4" w:space="0" w:color="293F5B"/>
              <w:right w:val="nil"/>
            </w:tcBorders>
            <w:shd w:val="clear" w:color="000000" w:fill="FFFFFF"/>
            <w:noWrap/>
            <w:vAlign w:val="center"/>
            <w:hideMark/>
          </w:tcPr>
          <w:p w14:paraId="6824CB3F" w14:textId="77777777" w:rsidR="00A0504D" w:rsidRPr="00A0504D" w:rsidRDefault="00A0504D" w:rsidP="00A0504D">
            <w:pPr>
              <w:spacing w:before="0" w:after="0" w:line="240" w:lineRule="auto"/>
              <w:jc w:val="right"/>
              <w:rPr>
                <w:rFonts w:ascii="Arial" w:hAnsi="Arial" w:cs="Arial"/>
                <w:sz w:val="16"/>
                <w:szCs w:val="16"/>
              </w:rPr>
            </w:pPr>
            <w:r w:rsidRPr="00A0504D">
              <w:rPr>
                <w:rFonts w:ascii="Arial" w:hAnsi="Arial" w:cs="Arial"/>
                <w:sz w:val="16"/>
                <w:szCs w:val="16"/>
              </w:rPr>
              <w:t> </w:t>
            </w:r>
          </w:p>
        </w:tc>
      </w:tr>
    </w:tbl>
    <w:p w14:paraId="620F2E89" w14:textId="705B97E7" w:rsidR="005756A8" w:rsidRPr="00EE318B" w:rsidRDefault="00EE318B" w:rsidP="00042C5A">
      <w:pPr>
        <w:pStyle w:val="ChartandTableFootnote"/>
        <w:tabs>
          <w:tab w:val="clear" w:pos="709"/>
          <w:tab w:val="left" w:pos="284"/>
        </w:tabs>
      </w:pPr>
      <w:r w:rsidRPr="00576DC7">
        <w:rPr>
          <w:color w:val="auto"/>
        </w:rPr>
        <w:t xml:space="preserve">*Data </w:t>
      </w:r>
      <w:r w:rsidR="00795ADE" w:rsidRPr="00576DC7">
        <w:rPr>
          <w:color w:val="auto"/>
        </w:rPr>
        <w:t>are</w:t>
      </w:r>
      <w:r w:rsidRPr="00576DC7">
        <w:rPr>
          <w:color w:val="auto"/>
        </w:rPr>
        <w:t xml:space="preserve"> not available. </w:t>
      </w:r>
    </w:p>
    <w:p w14:paraId="4A3A3B8C" w14:textId="60246C5F" w:rsidR="00B2621F" w:rsidRPr="00576DC7" w:rsidRDefault="00B2621F" w:rsidP="00B445B5">
      <w:pPr>
        <w:pStyle w:val="ChartandTableFootnoteAlpha"/>
        <w:numPr>
          <w:ilvl w:val="0"/>
          <w:numId w:val="14"/>
        </w:numPr>
        <w:rPr>
          <w:rFonts w:eastAsiaTheme="minorEastAsia"/>
          <w:color w:val="auto"/>
        </w:rPr>
      </w:pPr>
      <w:r w:rsidRPr="00576DC7">
        <w:rPr>
          <w:color w:val="auto"/>
        </w:rPr>
        <w:t>Excludes secondary impacts on public debt interest of policy decisions and offsets from the Contingency Reserve for decisions taken.</w:t>
      </w:r>
    </w:p>
    <w:p w14:paraId="578E343C" w14:textId="4D917438" w:rsidR="00AE599D" w:rsidRPr="00326569" w:rsidRDefault="00B2621F" w:rsidP="00AE599D">
      <w:pPr>
        <w:pStyle w:val="ChartandTableFootnoteAlpha"/>
        <w:rPr>
          <w:rFonts w:eastAsiaTheme="minorEastAsia"/>
          <w:color w:val="auto"/>
        </w:rPr>
      </w:pPr>
      <w:r w:rsidRPr="00576DC7">
        <w:rPr>
          <w:color w:val="auto"/>
        </w:rPr>
        <w:t>A positive number for revenue improves the fiscal balance, while a positive number for expenses and net capital investment worsens the fiscal balance.</w:t>
      </w:r>
      <w:r w:rsidR="00AE599D" w:rsidRPr="00326569">
        <w:rPr>
          <w:color w:val="auto"/>
        </w:rPr>
        <w:t xml:space="preserve"> </w:t>
      </w:r>
    </w:p>
    <w:p w14:paraId="0576C0E3" w14:textId="77777777" w:rsidR="00AE599D" w:rsidRPr="00805004" w:rsidRDefault="00AE599D" w:rsidP="008F2560">
      <w:pPr>
        <w:pStyle w:val="TableLine"/>
      </w:pPr>
    </w:p>
    <w:p w14:paraId="6C39C555" w14:textId="77777777" w:rsidR="00B2621F" w:rsidRPr="00712254" w:rsidRDefault="00B2621F" w:rsidP="00B2621F">
      <w:r w:rsidRPr="00712254">
        <w:br w:type="page"/>
      </w:r>
    </w:p>
    <w:p w14:paraId="7F543FFE" w14:textId="1B92108B" w:rsidR="00B2621F" w:rsidRPr="00712254" w:rsidRDefault="00B2621F" w:rsidP="00702DD6">
      <w:pPr>
        <w:pStyle w:val="Heading3"/>
      </w:pPr>
      <w:bookmarkStart w:id="180" w:name="_Toc193537066"/>
      <w:r w:rsidRPr="00576DC7">
        <w:lastRenderedPageBreak/>
        <w:t>Revenue estimates</w:t>
      </w:r>
      <w:bookmarkEnd w:id="180"/>
    </w:p>
    <w:p w14:paraId="5E27E5B0" w14:textId="6019ED0F" w:rsidR="00B2621F" w:rsidRPr="00712254" w:rsidRDefault="00B2621F" w:rsidP="00B2621F">
      <w:r w:rsidRPr="00576DC7">
        <w:t>Revenue is the accrual accounting equivalent of cash</w:t>
      </w:r>
      <w:r w:rsidR="00404C26">
        <w:noBreakHyphen/>
      </w:r>
      <w:r w:rsidRPr="00576DC7">
        <w:t>based receipts. Changes in revenue are generally driven by the same factors as receipts. Revenue amounts can be higher or lower than the cash equivalents as they include amounts that a taxpayer is liable to pay but has not paid. The differences between the accrual and cash amounts generally reflect timing differences.</w:t>
      </w:r>
    </w:p>
    <w:p w14:paraId="3BA378DD" w14:textId="6FC8C545" w:rsidR="00B2621F" w:rsidRPr="00712254" w:rsidRDefault="00B2621F" w:rsidP="00B2621F">
      <w:pPr>
        <w:rPr>
          <w:rFonts w:ascii="Arial Bold" w:hAnsi="Arial Bold"/>
          <w:b/>
          <w:sz w:val="20"/>
        </w:rPr>
      </w:pPr>
      <w:r w:rsidRPr="00576DC7">
        <w:t>Total revenue since MYEFO has been revised up by $</w:t>
      </w:r>
      <w:r w:rsidR="00321F0E" w:rsidRPr="00576DC7">
        <w:t>7.</w:t>
      </w:r>
      <w:r w:rsidR="00806D2F" w:rsidRPr="00576DC7">
        <w:t>1</w:t>
      </w:r>
      <w:r w:rsidR="004259B9" w:rsidRPr="00576DC7">
        <w:t> billion</w:t>
      </w:r>
      <w:r w:rsidRPr="00576DC7">
        <w:t xml:space="preserve"> in 202</w:t>
      </w:r>
      <w:r w:rsidR="00A05AC1" w:rsidRPr="00576DC7">
        <w:t>5</w:t>
      </w:r>
      <w:r w:rsidRPr="00576DC7">
        <w:t>–2</w:t>
      </w:r>
      <w:r w:rsidR="00A05AC1" w:rsidRPr="00576DC7">
        <w:t>6</w:t>
      </w:r>
      <w:r w:rsidRPr="00576DC7">
        <w:t xml:space="preserve"> and by $</w:t>
      </w:r>
      <w:r w:rsidR="00957071" w:rsidRPr="00576DC7">
        <w:t>1.9</w:t>
      </w:r>
      <w:r w:rsidR="004259B9" w:rsidRPr="00576DC7">
        <w:t> billion</w:t>
      </w:r>
      <w:r w:rsidRPr="00576DC7">
        <w:t xml:space="preserve"> over four years from 202</w:t>
      </w:r>
      <w:r w:rsidR="00A05AC1" w:rsidRPr="00576DC7">
        <w:t>4</w:t>
      </w:r>
      <w:r w:rsidRPr="00576DC7">
        <w:t>–2</w:t>
      </w:r>
      <w:r w:rsidR="00A05AC1" w:rsidRPr="00576DC7">
        <w:t>5</w:t>
      </w:r>
      <w:r w:rsidRPr="00576DC7">
        <w:t xml:space="preserve"> to 202</w:t>
      </w:r>
      <w:r w:rsidR="00A05AC1" w:rsidRPr="00576DC7">
        <w:t>7</w:t>
      </w:r>
      <w:r w:rsidRPr="00576DC7">
        <w:t>–2</w:t>
      </w:r>
      <w:r w:rsidR="00A05AC1" w:rsidRPr="00576DC7">
        <w:t>8</w:t>
      </w:r>
      <w:r w:rsidRPr="00576DC7">
        <w:t>.</w:t>
      </w:r>
      <w:r w:rsidRPr="00712254">
        <w:t xml:space="preserve"> </w:t>
      </w:r>
    </w:p>
    <w:p w14:paraId="09608DA8" w14:textId="53E552A6" w:rsidR="00B2621F" w:rsidRPr="00576DC7" w:rsidRDefault="00B2621F" w:rsidP="00702DD6">
      <w:pPr>
        <w:pStyle w:val="Heading3"/>
      </w:pPr>
      <w:bookmarkStart w:id="181" w:name="_Toc193537067"/>
      <w:r w:rsidRPr="00576DC7">
        <w:t>Expense estimates</w:t>
      </w:r>
      <w:bookmarkEnd w:id="181"/>
    </w:p>
    <w:p w14:paraId="08226278" w14:textId="789338D7" w:rsidR="00261299" w:rsidRPr="00576DC7" w:rsidRDefault="00261299" w:rsidP="00261299">
      <w:r w:rsidRPr="00576DC7">
        <w:t>Expenses are the accrual accounting equivalent of cash</w:t>
      </w:r>
      <w:r w:rsidR="00404C26">
        <w:noBreakHyphen/>
      </w:r>
      <w:r w:rsidRPr="00576DC7">
        <w:t>based payments.</w:t>
      </w:r>
    </w:p>
    <w:p w14:paraId="2A2854C3" w14:textId="20FD884C" w:rsidR="00261299" w:rsidRPr="00576DC7" w:rsidRDefault="00261299" w:rsidP="00261299">
      <w:r w:rsidRPr="00576DC7">
        <w:t>Total expenses since MYEFO have been revised up by $1.1</w:t>
      </w:r>
      <w:r w:rsidR="004259B9" w:rsidRPr="00576DC7">
        <w:t> billion</w:t>
      </w:r>
      <w:r w:rsidRPr="00576DC7">
        <w:t xml:space="preserve"> in 2025–26 and by $1.1</w:t>
      </w:r>
      <w:r w:rsidR="004259B9" w:rsidRPr="00576DC7">
        <w:t> billion</w:t>
      </w:r>
      <w:r w:rsidRPr="00576DC7">
        <w:t xml:space="preserve"> over four years from 2024–25 to 2027–28. </w:t>
      </w:r>
    </w:p>
    <w:p w14:paraId="68487509" w14:textId="77777777" w:rsidR="00261299" w:rsidRPr="00576DC7" w:rsidRDefault="00261299" w:rsidP="00261299">
      <w:r w:rsidRPr="00576DC7">
        <w:t>Movements in expenses over the forward estimates period are broadly consistent with movements in cash payments. The key exceptions include:</w:t>
      </w:r>
    </w:p>
    <w:p w14:paraId="3EBEBCF3" w14:textId="0BBFC02A" w:rsidR="00261299" w:rsidRPr="00576DC7" w:rsidRDefault="00261299" w:rsidP="591FF694">
      <w:pPr>
        <w:pStyle w:val="Bullet"/>
      </w:pPr>
      <w:r w:rsidRPr="00576DC7">
        <w:t xml:space="preserve">the NDIS program, where there is an expected time lag between the receipt of reasonable and necessary support services and the </w:t>
      </w:r>
      <w:proofErr w:type="spellStart"/>
      <w:r w:rsidRPr="00576DC7">
        <w:t>lodgment</w:t>
      </w:r>
      <w:proofErr w:type="spellEnd"/>
      <w:r w:rsidRPr="00576DC7">
        <w:t xml:space="preserve"> of claims relating to those services</w:t>
      </w:r>
      <w:r w:rsidR="00745D60" w:rsidRPr="00576DC7">
        <w:t>.</w:t>
      </w:r>
    </w:p>
    <w:p w14:paraId="36639896" w14:textId="57A0C2A3" w:rsidR="00261299" w:rsidRPr="00576DC7" w:rsidRDefault="00261299" w:rsidP="591FF694">
      <w:pPr>
        <w:pStyle w:val="Bullet"/>
      </w:pPr>
      <w:r w:rsidRPr="00576DC7">
        <w:t>superannuation benefits programs (civilian and military), where there is a timing difference with the expense accruing during employment and cash payments occurring during retirement</w:t>
      </w:r>
      <w:r w:rsidR="00745D60" w:rsidRPr="00576DC7">
        <w:t>.</w:t>
      </w:r>
    </w:p>
    <w:p w14:paraId="25E171F5" w14:textId="0BBB3235" w:rsidR="00261299" w:rsidRPr="00576DC7" w:rsidRDefault="00261299" w:rsidP="591FF694">
      <w:pPr>
        <w:pStyle w:val="Bullet"/>
      </w:pPr>
      <w:r w:rsidRPr="00576DC7">
        <w:t>purchases of non</w:t>
      </w:r>
      <w:r w:rsidR="00404C26">
        <w:noBreakHyphen/>
      </w:r>
      <w:r w:rsidRPr="00576DC7">
        <w:t xml:space="preserve">financial assets, which are included in cash payments but not in accrual expenses. The expense estimates include depreciation of </w:t>
      </w:r>
      <w:r w:rsidR="00B2621F" w:rsidRPr="00576DC7">
        <w:t>non</w:t>
      </w:r>
      <w:r w:rsidR="00404C26">
        <w:noBreakHyphen/>
      </w:r>
      <w:r w:rsidR="00B2621F" w:rsidRPr="00576DC7">
        <w:t>financial</w:t>
      </w:r>
      <w:r w:rsidRPr="00576DC7">
        <w:t xml:space="preserve"> assets rather than recognising the impact at the time of purchase.</w:t>
      </w:r>
    </w:p>
    <w:p w14:paraId="27C4EEB8" w14:textId="1BCAF352" w:rsidR="00491990" w:rsidRPr="00712254" w:rsidRDefault="00261299" w:rsidP="00491990">
      <w:r w:rsidRPr="00576DC7">
        <w:t xml:space="preserve">Detailed information on expenses can be found in </w:t>
      </w:r>
      <w:r w:rsidRPr="00576DC7">
        <w:rPr>
          <w:rStyle w:val="Emphasis"/>
        </w:rPr>
        <w:t>Statement 5: Expenses and Net Capital Investment.</w:t>
      </w:r>
      <w:r w:rsidR="001F31CD" w:rsidRPr="00576DC7">
        <w:rPr>
          <w:rStyle w:val="Emphasis"/>
        </w:rPr>
        <w:t xml:space="preserve"> </w:t>
      </w:r>
      <w:bookmarkStart w:id="182" w:name="_Toc117356574"/>
    </w:p>
    <w:p w14:paraId="2E45033E" w14:textId="77777777" w:rsidR="005765CA" w:rsidRDefault="005765CA" w:rsidP="00C337AA">
      <w:r>
        <w:br w:type="page"/>
      </w:r>
    </w:p>
    <w:p w14:paraId="2B27A097" w14:textId="794D0BCF" w:rsidR="00B2621F" w:rsidRPr="00576DC7" w:rsidRDefault="00B2621F" w:rsidP="00702DD6">
      <w:pPr>
        <w:pStyle w:val="Heading2"/>
      </w:pPr>
      <w:bookmarkStart w:id="183" w:name="_Toc193537068"/>
      <w:r w:rsidRPr="00576DC7">
        <w:lastRenderedPageBreak/>
        <w:t>Structural budget balance</w:t>
      </w:r>
      <w:bookmarkEnd w:id="182"/>
      <w:bookmarkEnd w:id="183"/>
    </w:p>
    <w:p w14:paraId="2A489B98" w14:textId="3AF00194" w:rsidR="00B2621F" w:rsidRPr="00576DC7" w:rsidRDefault="00B2621F" w:rsidP="00B2621F">
      <w:r w:rsidRPr="00576DC7">
        <w:t>The structural budget balance estimate adjusts the underlying cash balance to remove the estimated effects of cyclical factors that have a temporary impact on receipts and payments. These factors include deviations in commodity prices and economic activity from their long</w:t>
      </w:r>
      <w:r w:rsidR="00404C26">
        <w:noBreakHyphen/>
      </w:r>
      <w:r w:rsidRPr="00576DC7">
        <w:t>run levels. The structural budget balance can provide insight into the sustainability of fiscal settings.</w:t>
      </w:r>
    </w:p>
    <w:p w14:paraId="3E85EEC9" w14:textId="03486CB9" w:rsidR="00B2621F" w:rsidRPr="00576DC7" w:rsidRDefault="00B2621F" w:rsidP="00B2621F">
      <w:r w:rsidRPr="00576DC7">
        <w:t>The structural balance is estimated rather than observed, so it is sensitive to the assumptions and parameters that underpin it. Commodity price volatility has increased the uncertainty around the estimate.</w:t>
      </w:r>
    </w:p>
    <w:p w14:paraId="1302FE76" w14:textId="6CEDC936" w:rsidR="00F07530" w:rsidRPr="00712254" w:rsidRDefault="00C32D6E" w:rsidP="00F07530">
      <w:r w:rsidRPr="00576DC7">
        <w:t xml:space="preserve">The structural budget position is </w:t>
      </w:r>
      <w:r w:rsidR="0053154E" w:rsidRPr="00576DC7">
        <w:t>expected</w:t>
      </w:r>
      <w:r w:rsidRPr="00576DC7">
        <w:t xml:space="preserve"> to return to deficit </w:t>
      </w:r>
      <w:r w:rsidR="003324B7" w:rsidRPr="00576DC7">
        <w:t>in</w:t>
      </w:r>
      <w:r w:rsidRPr="00576DC7">
        <w:t xml:space="preserve"> </w:t>
      </w:r>
      <w:r w:rsidR="00493063" w:rsidRPr="00576DC7">
        <w:t>20</w:t>
      </w:r>
      <w:r w:rsidR="004B3960" w:rsidRPr="00576DC7">
        <w:t>24</w:t>
      </w:r>
      <w:r w:rsidR="00493063" w:rsidRPr="00576DC7">
        <w:t>–</w:t>
      </w:r>
      <w:r w:rsidR="004B3960" w:rsidRPr="00576DC7">
        <w:t>25</w:t>
      </w:r>
      <w:r w:rsidR="004D62C9" w:rsidRPr="00576DC7">
        <w:t xml:space="preserve"> (Chart 3.</w:t>
      </w:r>
      <w:r w:rsidR="00A24548" w:rsidRPr="00576DC7">
        <w:t>1</w:t>
      </w:r>
      <w:r w:rsidR="00B76996" w:rsidRPr="00576DC7">
        <w:t>3</w:t>
      </w:r>
      <w:r w:rsidR="004D62C9" w:rsidRPr="00576DC7">
        <w:t>)</w:t>
      </w:r>
      <w:r w:rsidR="003324B7" w:rsidRPr="00576DC7">
        <w:t>. The deficit is expected to</w:t>
      </w:r>
      <w:r w:rsidRPr="00576DC7">
        <w:t xml:space="preserve"> </w:t>
      </w:r>
      <w:r w:rsidR="00C07223" w:rsidRPr="00576DC7">
        <w:t>reach</w:t>
      </w:r>
      <w:r w:rsidRPr="00576DC7">
        <w:t xml:space="preserve"> </w:t>
      </w:r>
      <w:r w:rsidR="00161BEC" w:rsidRPr="00576DC7">
        <w:t>around</w:t>
      </w:r>
      <w:r w:rsidRPr="00576DC7">
        <w:t xml:space="preserve"> </w:t>
      </w:r>
      <w:r w:rsidR="004B3960" w:rsidRPr="00576DC7">
        <w:t>1.4</w:t>
      </w:r>
      <w:r w:rsidR="00493063" w:rsidRPr="00576DC7">
        <w:t> </w:t>
      </w:r>
      <w:r w:rsidRPr="00576DC7">
        <w:t>per</w:t>
      </w:r>
      <w:r w:rsidR="00493063" w:rsidRPr="00576DC7">
        <w:t> </w:t>
      </w:r>
      <w:r w:rsidRPr="00576DC7">
        <w:t xml:space="preserve">cent of GDP in </w:t>
      </w:r>
      <w:r w:rsidR="00493063" w:rsidRPr="00576DC7">
        <w:t>2</w:t>
      </w:r>
      <w:r w:rsidR="003F253E" w:rsidRPr="00576DC7">
        <w:t>0</w:t>
      </w:r>
      <w:r w:rsidR="004B3960" w:rsidRPr="00576DC7">
        <w:t>25</w:t>
      </w:r>
      <w:r w:rsidR="00F6693E" w:rsidRPr="00576DC7">
        <w:t>–</w:t>
      </w:r>
      <w:r w:rsidR="004B3960" w:rsidRPr="00576DC7">
        <w:t>26</w:t>
      </w:r>
      <w:r w:rsidR="00FB7E16" w:rsidRPr="00576DC7">
        <w:t>.</w:t>
      </w:r>
      <w:r w:rsidR="00BF17B0" w:rsidRPr="00576DC7">
        <w:t xml:space="preserve"> </w:t>
      </w:r>
      <w:r w:rsidR="00FB7E16" w:rsidRPr="00576DC7">
        <w:t xml:space="preserve">It </w:t>
      </w:r>
      <w:r w:rsidR="00161BEC" w:rsidRPr="00576DC7">
        <w:t>average</w:t>
      </w:r>
      <w:r w:rsidR="00FB7E16" w:rsidRPr="00576DC7">
        <w:t>s</w:t>
      </w:r>
      <w:r w:rsidR="00161BEC" w:rsidRPr="00576DC7">
        <w:t xml:space="preserve"> </w:t>
      </w:r>
      <w:r w:rsidR="004B3960" w:rsidRPr="00576DC7">
        <w:t>1.0</w:t>
      </w:r>
      <w:r w:rsidR="00161BEC" w:rsidRPr="00576DC7">
        <w:t xml:space="preserve"> </w:t>
      </w:r>
      <w:r w:rsidR="00C36054" w:rsidRPr="00576DC7">
        <w:t>per cent of GDP over the forward estimates</w:t>
      </w:r>
      <w:r w:rsidR="00FB7E16" w:rsidRPr="00576DC7">
        <w:t xml:space="preserve">, a 0.4 percentage point improvement over the same period at the time of </w:t>
      </w:r>
      <w:r w:rsidR="00B445B5" w:rsidRPr="00576DC7">
        <w:t xml:space="preserve">the </w:t>
      </w:r>
      <w:r w:rsidR="00E63352" w:rsidRPr="00576DC7">
        <w:t>PEFO</w:t>
      </w:r>
      <w:r w:rsidR="00F47EAC" w:rsidRPr="00576DC7">
        <w:t>.</w:t>
      </w:r>
      <w:r w:rsidR="009B197E" w:rsidRPr="00576DC7">
        <w:t xml:space="preserve"> </w:t>
      </w:r>
      <w:r w:rsidR="00C36054" w:rsidRPr="00576DC7">
        <w:t>Thereafter</w:t>
      </w:r>
      <w:r w:rsidR="00F07530" w:rsidRPr="00576DC7">
        <w:t xml:space="preserve">, the structural budget </w:t>
      </w:r>
      <w:r w:rsidR="00C36054" w:rsidRPr="00576DC7">
        <w:t>position</w:t>
      </w:r>
      <w:r w:rsidR="00F07530" w:rsidRPr="00576DC7">
        <w:t xml:space="preserve"> is </w:t>
      </w:r>
      <w:r w:rsidR="00C36054" w:rsidRPr="00576DC7">
        <w:t>expected</w:t>
      </w:r>
      <w:r w:rsidR="00F07530" w:rsidRPr="00576DC7">
        <w:t xml:space="preserve"> to gradually </w:t>
      </w:r>
      <w:r w:rsidR="00C36054" w:rsidRPr="00576DC7">
        <w:t xml:space="preserve">improve </w:t>
      </w:r>
      <w:r w:rsidR="00F07530" w:rsidRPr="00576DC7">
        <w:t>towards balance</w:t>
      </w:r>
      <w:r w:rsidR="00C36054" w:rsidRPr="00576DC7">
        <w:t xml:space="preserve"> over the medium term</w:t>
      </w:r>
      <w:r w:rsidR="00F07530" w:rsidRPr="00576DC7">
        <w:t>.</w:t>
      </w:r>
      <w:r w:rsidR="005A4329" w:rsidRPr="00576DC7">
        <w:t xml:space="preserve"> The structural budget balance was estimated to remain in deficit at the end of the medium</w:t>
      </w:r>
      <w:r w:rsidR="00404C26">
        <w:noBreakHyphen/>
      </w:r>
      <w:r w:rsidR="005A4329" w:rsidRPr="00576DC7">
        <w:t xml:space="preserve">term </w:t>
      </w:r>
      <w:r w:rsidR="00F9378B" w:rsidRPr="00576DC7">
        <w:t xml:space="preserve">in 2032–33 </w:t>
      </w:r>
      <w:r w:rsidR="005A4329" w:rsidRPr="00576DC7">
        <w:t xml:space="preserve">at </w:t>
      </w:r>
      <w:r w:rsidR="006B0F82" w:rsidRPr="00576DC7">
        <w:t>the time of</w:t>
      </w:r>
      <w:r w:rsidR="00B445B5" w:rsidRPr="00576DC7">
        <w:t xml:space="preserve"> the</w:t>
      </w:r>
      <w:r w:rsidR="00FE3113" w:rsidRPr="00576DC7">
        <w:t> </w:t>
      </w:r>
      <w:r w:rsidR="005A4329" w:rsidRPr="00576DC7">
        <w:t>PEFO.</w:t>
      </w:r>
      <w:r w:rsidR="006921F2" w:rsidRPr="00576DC7">
        <w:t xml:space="preserve"> </w:t>
      </w:r>
    </w:p>
    <w:p w14:paraId="374E0F0C" w14:textId="58F5E8B8" w:rsidR="00C630E7" w:rsidRDefault="00B2621F" w:rsidP="00B2621F">
      <w:pPr>
        <w:pStyle w:val="ChartMainHeading"/>
      </w:pPr>
      <w:r w:rsidRPr="00576DC7">
        <w:t>Chart 3.</w:t>
      </w:r>
      <w:r w:rsidR="00A24548" w:rsidRPr="00576DC7">
        <w:t>1</w:t>
      </w:r>
      <w:r w:rsidR="00B76996" w:rsidRPr="00576DC7">
        <w:t>3</w:t>
      </w:r>
      <w:r w:rsidRPr="00576DC7">
        <w:t>: Structural budget balance</w:t>
      </w:r>
    </w:p>
    <w:p w14:paraId="4BAA9C00" w14:textId="66E963E1" w:rsidR="00B2621F" w:rsidRPr="00712254" w:rsidRDefault="00000000" w:rsidP="00B2621F">
      <w:pPr>
        <w:pStyle w:val="ChartGraphic"/>
        <w:rPr>
          <w:rFonts w:eastAsia="Calibri"/>
        </w:rPr>
      </w:pPr>
      <w:bookmarkStart w:id="184" w:name="_1803884461"/>
      <w:bookmarkStart w:id="185" w:name="_1803883616"/>
      <w:bookmarkStart w:id="186" w:name="_1803884771"/>
      <w:bookmarkStart w:id="187" w:name="_1804092390"/>
      <w:bookmarkStart w:id="188" w:name="_1804106135"/>
      <w:bookmarkEnd w:id="184"/>
      <w:bookmarkEnd w:id="185"/>
      <w:bookmarkEnd w:id="186"/>
      <w:bookmarkEnd w:id="187"/>
      <w:bookmarkEnd w:id="188"/>
      <w:r>
        <w:pict w14:anchorId="44400415">
          <v:shape id="_x0000_i1037" type="#_x0000_t75" alt="This chart shows the structural budget balance, cyclical factors, and temporary fiscal measures. Together, these sum up to the underlying cash balance. The structural and cyclical balances are forecast to deteriorate in the near term. The structural budget deficit is expected to reach around 1.4 per cent of GDP in 2025–26, and averages 1.0 per cent of GDP over the forward estimates. It gradually improves towards balance over the medium term. " style="width:366.75pt;height:230.25pt">
            <v:imagedata r:id="rId31" o:title=""/>
          </v:shape>
        </w:pict>
      </w:r>
    </w:p>
    <w:p w14:paraId="195DE716" w14:textId="5633983B" w:rsidR="00B2621F" w:rsidRPr="00576DC7" w:rsidRDefault="00B2621F" w:rsidP="008F2560">
      <w:pPr>
        <w:pStyle w:val="ChartandTableFootnote"/>
        <w:rPr>
          <w:color w:val="auto"/>
        </w:rPr>
      </w:pPr>
      <w:r w:rsidRPr="00576DC7">
        <w:rPr>
          <w:color w:val="auto"/>
        </w:rPr>
        <w:t>Source:</w:t>
      </w:r>
      <w:r w:rsidRPr="00576DC7">
        <w:rPr>
          <w:color w:val="auto"/>
        </w:rPr>
        <w:tab/>
        <w:t xml:space="preserve">Treasury. </w:t>
      </w:r>
    </w:p>
    <w:p w14:paraId="5AE9E10E" w14:textId="5F9AF19A" w:rsidR="00B2621F" w:rsidRDefault="00B2621F" w:rsidP="008F2560">
      <w:pPr>
        <w:pStyle w:val="ChartandTableFootnote"/>
      </w:pPr>
      <w:r w:rsidRPr="00576DC7">
        <w:rPr>
          <w:color w:val="auto"/>
        </w:rPr>
        <w:t xml:space="preserve">Note: </w:t>
      </w:r>
      <w:r w:rsidRPr="00576DC7">
        <w:rPr>
          <w:color w:val="auto"/>
        </w:rPr>
        <w:tab/>
        <w:t>The approach separating the budgetary impact of cyclical factors from structural measures follows the methodology detailed in Treasury Working Paper 2013–01. Cyclical factors measure the estimated impact on the underlying cash balance from automatic stabilisers and cyclical movements in asset and commodity prices. Temporary fiscal measures comprise direct economic and health support measures initiated between the onset of the COVID</w:t>
      </w:r>
      <w:r w:rsidR="00404C26">
        <w:rPr>
          <w:color w:val="auto"/>
        </w:rPr>
        <w:noBreakHyphen/>
      </w:r>
      <w:r w:rsidRPr="00576DC7">
        <w:rPr>
          <w:color w:val="auto"/>
        </w:rPr>
        <w:t>19 pandemic and the 2022–</w:t>
      </w:r>
      <w:r w:rsidR="00C15C81" w:rsidRPr="00576DC7">
        <w:rPr>
          <w:color w:val="auto"/>
        </w:rPr>
        <w:t> </w:t>
      </w:r>
      <w:r w:rsidRPr="00576DC7">
        <w:rPr>
          <w:color w:val="auto"/>
        </w:rPr>
        <w:t>23 October Budget. Underspends in these direct economic and health support measures</w:t>
      </w:r>
      <w:r w:rsidRPr="00576DC7" w:rsidDel="00331465">
        <w:rPr>
          <w:color w:val="auto"/>
        </w:rPr>
        <w:t xml:space="preserve"> </w:t>
      </w:r>
      <w:r w:rsidRPr="00576DC7">
        <w:rPr>
          <w:color w:val="auto"/>
        </w:rPr>
        <w:t xml:space="preserve">are not captured in the derivation of the structural budget balance, which may </w:t>
      </w:r>
      <w:r w:rsidR="00995527" w:rsidRPr="00576DC7">
        <w:rPr>
          <w:color w:val="auto"/>
        </w:rPr>
        <w:t>alter the</w:t>
      </w:r>
      <w:r w:rsidRPr="00576DC7">
        <w:rPr>
          <w:color w:val="auto"/>
        </w:rPr>
        <w:t xml:space="preserve"> structural budget balance estimate</w:t>
      </w:r>
      <w:r w:rsidR="00995527" w:rsidRPr="00576DC7">
        <w:rPr>
          <w:color w:val="auto"/>
        </w:rPr>
        <w:t xml:space="preserve"> in those years</w:t>
      </w:r>
      <w:r w:rsidRPr="00576DC7">
        <w:rPr>
          <w:color w:val="auto"/>
        </w:rPr>
        <w:t>.</w:t>
      </w:r>
      <w:r w:rsidR="003773B3" w:rsidRPr="008F2560">
        <w:t xml:space="preserve"> </w:t>
      </w:r>
    </w:p>
    <w:p w14:paraId="6E3053C4" w14:textId="77777777" w:rsidR="008F2560" w:rsidRPr="008F2560" w:rsidRDefault="008F2560" w:rsidP="004701E1">
      <w:pPr>
        <w:pStyle w:val="ChartLine"/>
      </w:pPr>
    </w:p>
    <w:sectPr w:rsidR="008F2560" w:rsidRPr="008F2560" w:rsidSect="008118E6">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021EB" w14:textId="77777777" w:rsidR="00CB3C49" w:rsidRDefault="00CB3C49" w:rsidP="00E40261">
      <w:pPr>
        <w:spacing w:after="0" w:line="240" w:lineRule="auto"/>
      </w:pPr>
      <w:r>
        <w:separator/>
      </w:r>
    </w:p>
  </w:endnote>
  <w:endnote w:type="continuationSeparator" w:id="0">
    <w:p w14:paraId="6E6D4DF7" w14:textId="77777777" w:rsidR="00CB3C49" w:rsidRDefault="00CB3C49" w:rsidP="00E40261">
      <w:pPr>
        <w:spacing w:after="0" w:line="240" w:lineRule="auto"/>
      </w:pPr>
      <w:r>
        <w:continuationSeparator/>
      </w:r>
    </w:p>
  </w:endnote>
  <w:endnote w:type="continuationNotice" w:id="1">
    <w:p w14:paraId="3E1415A1" w14:textId="77777777" w:rsidR="00CB3C49" w:rsidRDefault="00CB3C4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Light">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ADB9" w14:textId="791E9411" w:rsidR="00B2621F" w:rsidRPr="004F4AD1" w:rsidRDefault="00B2621F" w:rsidP="004F4AD1">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D8E2" w14:textId="2AF7719E" w:rsidR="00B2621F" w:rsidRDefault="00000000">
    <w:pPr>
      <w:pStyle w:val="FooterOdd"/>
    </w:pPr>
    <w:fldSimple w:instr="SUBJECT   \* MERGEFORMAT">
      <w:r w:rsidR="00DD378A">
        <w:t>Statement 3: Fiscal Strategy and Outlook</w:t>
      </w:r>
    </w:fldSimple>
    <w:r w:rsidR="00B2621F" w:rsidRPr="00B3705D">
      <w:t xml:space="preserve">  |  </w:t>
    </w:r>
    <w:r w:rsidR="00B2621F" w:rsidRPr="00B3705D">
      <w:rPr>
        <w:b/>
        <w:bCs/>
      </w:rPr>
      <w:t xml:space="preserve">Page </w:t>
    </w:r>
    <w:r w:rsidR="00B2621F" w:rsidRPr="00B3705D">
      <w:rPr>
        <w:b/>
        <w:bCs/>
      </w:rPr>
      <w:fldChar w:fldCharType="begin"/>
    </w:r>
    <w:r w:rsidR="00B2621F" w:rsidRPr="00B3705D">
      <w:rPr>
        <w:b/>
        <w:bCs/>
      </w:rPr>
      <w:instrText xml:space="preserve"> PAGE  \* Arabic  \* MERGEFORMAT </w:instrText>
    </w:r>
    <w:r w:rsidR="00B2621F" w:rsidRPr="00B3705D">
      <w:rPr>
        <w:b/>
        <w:bCs/>
      </w:rPr>
      <w:fldChar w:fldCharType="separate"/>
    </w:r>
    <w:r w:rsidR="00B2621F">
      <w:rPr>
        <w:b/>
        <w:bCs/>
      </w:rPr>
      <w:t>1</w:t>
    </w:r>
    <w:r w:rsidR="00B2621F"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DBBB" w14:textId="1845B172" w:rsidR="009440AF" w:rsidRDefault="00000000" w:rsidP="00360947">
    <w:pPr>
      <w:pStyle w:val="FooterOdd"/>
    </w:pPr>
    <w:fldSimple w:instr="SUBJECT   \* MERGEFORMAT">
      <w:r w:rsidR="00DD378A">
        <w:t>Statement 3: Fiscal Strategy and Outlook</w:t>
      </w:r>
    </w:fldSimple>
    <w:r w:rsidR="009440AF" w:rsidRPr="00081542">
      <w:t> | </w:t>
    </w:r>
    <w:r w:rsidR="009440AF" w:rsidRPr="00B3705D">
      <w:rPr>
        <w:b/>
        <w:bCs/>
      </w:rPr>
      <w:t xml:space="preserve">Page </w:t>
    </w:r>
    <w:r w:rsidR="009440AF" w:rsidRPr="00B3705D">
      <w:rPr>
        <w:b/>
        <w:bCs/>
      </w:rPr>
      <w:fldChar w:fldCharType="begin"/>
    </w:r>
    <w:r w:rsidR="009440AF" w:rsidRPr="00B3705D">
      <w:rPr>
        <w:b/>
        <w:bCs/>
      </w:rPr>
      <w:instrText xml:space="preserve"> PAGE  \* Arabic  \* MERGEFORMAT </w:instrText>
    </w:r>
    <w:r w:rsidR="009440AF" w:rsidRPr="00B3705D">
      <w:rPr>
        <w:b/>
        <w:bCs/>
      </w:rPr>
      <w:fldChar w:fldCharType="separate"/>
    </w:r>
    <w:r w:rsidR="009440AF">
      <w:rPr>
        <w:b/>
        <w:bCs/>
      </w:rPr>
      <w:t>1</w:t>
    </w:r>
    <w:r w:rsidR="009440AF" w:rsidRPr="00B3705D">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860C" w14:textId="2D131E5E" w:rsidR="0009084E" w:rsidRDefault="0009084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SUBJECT   \* MERGEFORMAT">
      <w:r w:rsidR="00DD378A">
        <w:t>Statement 3: Fiscal Strategy and Outlook</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8249" w14:textId="54CF5167" w:rsidR="0009084E" w:rsidRDefault="00000000" w:rsidP="00360947">
    <w:pPr>
      <w:pStyle w:val="FooterOdd"/>
    </w:pPr>
    <w:fldSimple w:instr="SUBJECT   \* MERGEFORMAT">
      <w:r w:rsidR="00DD378A">
        <w:t>Statement 3: Fiscal Strategy and Outlook</w:t>
      </w:r>
    </w:fldSimple>
    <w:r w:rsidR="0009084E" w:rsidRPr="00081542">
      <w:t> | </w:t>
    </w:r>
    <w:r w:rsidR="0009084E" w:rsidRPr="00B3705D">
      <w:rPr>
        <w:b/>
        <w:bCs/>
      </w:rPr>
      <w:t xml:space="preserve">Page </w:t>
    </w:r>
    <w:r w:rsidR="0009084E" w:rsidRPr="00B3705D">
      <w:rPr>
        <w:b/>
        <w:bCs/>
      </w:rPr>
      <w:fldChar w:fldCharType="begin"/>
    </w:r>
    <w:r w:rsidR="0009084E" w:rsidRPr="00B3705D">
      <w:rPr>
        <w:b/>
        <w:bCs/>
      </w:rPr>
      <w:instrText xml:space="preserve"> PAGE  \* Arabic  \* MERGEFORMAT </w:instrText>
    </w:r>
    <w:r w:rsidR="0009084E" w:rsidRPr="00B3705D">
      <w:rPr>
        <w:b/>
        <w:bCs/>
      </w:rPr>
      <w:fldChar w:fldCharType="separate"/>
    </w:r>
    <w:r w:rsidR="0009084E">
      <w:rPr>
        <w:b/>
        <w:bCs/>
      </w:rPr>
      <w:t>1</w:t>
    </w:r>
    <w:r w:rsidR="0009084E" w:rsidRPr="00B3705D">
      <w:rP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B3FF" w14:textId="3D67A0E6" w:rsidR="0009084E" w:rsidRDefault="00000000" w:rsidP="00360947">
    <w:pPr>
      <w:pStyle w:val="FooterOdd"/>
    </w:pPr>
    <w:fldSimple w:instr="SUBJECT   \* MERGEFORMAT">
      <w:r w:rsidR="00DD378A">
        <w:t>Statement 3: Fiscal Strategy and Outlook</w:t>
      </w:r>
    </w:fldSimple>
    <w:r w:rsidR="0009084E" w:rsidRPr="00081542">
      <w:t> | </w:t>
    </w:r>
    <w:r w:rsidR="0009084E" w:rsidRPr="00B3705D">
      <w:rPr>
        <w:b/>
        <w:bCs/>
      </w:rPr>
      <w:t xml:space="preserve">Page </w:t>
    </w:r>
    <w:r w:rsidR="0009084E" w:rsidRPr="00B3705D">
      <w:rPr>
        <w:b/>
        <w:bCs/>
      </w:rPr>
      <w:fldChar w:fldCharType="begin"/>
    </w:r>
    <w:r w:rsidR="0009084E" w:rsidRPr="00B3705D">
      <w:rPr>
        <w:b/>
        <w:bCs/>
      </w:rPr>
      <w:instrText xml:space="preserve"> PAGE  \* Arabic  \* MERGEFORMAT </w:instrText>
    </w:r>
    <w:r w:rsidR="0009084E" w:rsidRPr="00B3705D">
      <w:rPr>
        <w:b/>
        <w:bCs/>
      </w:rPr>
      <w:fldChar w:fldCharType="separate"/>
    </w:r>
    <w:r w:rsidR="0009084E">
      <w:rPr>
        <w:b/>
        <w:bCs/>
      </w:rPr>
      <w:t>1</w:t>
    </w:r>
    <w:r w:rsidR="0009084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4EDE" w14:textId="77777777" w:rsidR="00CB3C49" w:rsidRPr="003C1CA4" w:rsidRDefault="00CB3C49"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24B05087" w14:textId="77777777" w:rsidR="00CB3C49" w:rsidRDefault="00CB3C49" w:rsidP="00E40261">
      <w:pPr>
        <w:spacing w:after="0" w:line="240" w:lineRule="auto"/>
      </w:pPr>
      <w:r>
        <w:continuationSeparator/>
      </w:r>
    </w:p>
  </w:footnote>
  <w:footnote w:type="continuationNotice" w:id="1">
    <w:p w14:paraId="06987F99" w14:textId="77777777" w:rsidR="00CB3C49" w:rsidRDefault="00CB3C4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111" w14:textId="77777777" w:rsidR="00B2621F" w:rsidRDefault="00B2621F" w:rsidP="009440AF">
    <w:pPr>
      <w:pStyle w:val="GhostLine"/>
    </w:pPr>
    <w:r>
      <w:rPr>
        <w:noProof/>
      </w:rPr>
      <w:drawing>
        <wp:anchor distT="0" distB="0" distL="114300" distR="114300" simplePos="0" relativeHeight="251658240" behindDoc="1" locked="1" layoutInCell="1" allowOverlap="1" wp14:anchorId="4588AD5F" wp14:editId="50A5E31D">
          <wp:simplePos x="0" y="0"/>
          <wp:positionH relativeFrom="page">
            <wp:posOffset>0</wp:posOffset>
          </wp:positionH>
          <wp:positionV relativeFrom="page">
            <wp:posOffset>-10160</wp:posOffset>
          </wp:positionV>
          <wp:extent cx="7557770" cy="10690860"/>
          <wp:effectExtent l="0" t="0" r="5080" b="0"/>
          <wp:wrapNone/>
          <wp:docPr id="507969974" name="Picture 5079699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69974" name="Picture 5079699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FF8A" w14:textId="77777777" w:rsidR="00B2621F" w:rsidRPr="000635BE" w:rsidRDefault="00B2621F" w:rsidP="000635BE">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B2621F" w14:paraId="0236AEBD" w14:textId="77777777">
      <w:trPr>
        <w:trHeight w:hRule="exact" w:val="340"/>
      </w:trPr>
      <w:tc>
        <w:tcPr>
          <w:tcW w:w="7797" w:type="dxa"/>
          <w:tcMar>
            <w:left w:w="108" w:type="dxa"/>
            <w:right w:w="108" w:type="dxa"/>
          </w:tcMar>
        </w:tcPr>
        <w:p w14:paraId="63E924D3" w14:textId="0A54C255" w:rsidR="00B2621F" w:rsidRPr="00D13BF9" w:rsidRDefault="00000000" w:rsidP="00D13BF9">
          <w:pPr>
            <w:pStyle w:val="HeaderOdd"/>
          </w:pPr>
          <w:fldSimple w:instr="TITLE   \* MERGEFORMAT">
            <w:r w:rsidR="00DD378A">
              <w:t>Budget Paper No. 1</w:t>
            </w:r>
          </w:fldSimple>
          <w:r w:rsidR="00B2621F" w:rsidRPr="00D13BF9">
            <w:t xml:space="preserve">  |  </w:t>
          </w:r>
          <w:r w:rsidR="591FF694">
            <w:rPr>
              <w:noProof/>
            </w:rPr>
            <w:drawing>
              <wp:inline distT="0" distB="0" distL="0" distR="0" wp14:anchorId="0DC50FC8" wp14:editId="66311BE9">
                <wp:extent cx="878400" cy="198000"/>
                <wp:effectExtent l="0" t="0" r="0" b="0"/>
                <wp:docPr id="1404790493" name="Picture 14047904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790493" name="Picture 1404790493">
                          <a:extLst>
                            <a:ext uri="{C183D7F6-B498-43B3-948B-1728B52AA6E4}">
                              <adec:decorative xmlns:adec="http://schemas.microsoft.com/office/drawing/2017/decorative" val="1"/>
                            </a:ext>
                          </a:extLst>
                        </pic:cNvPr>
                        <pic:cNvPicPr/>
                      </pic:nvPicPr>
                      <pic:blipFill>
                        <a:blip r:embed="rId1">
                          <a:extLst>
                            <a:ext uri="{C183D7F6-B498-43B3-948B-1728B52AA6E4}">
                              <adec:decorative xmlns:w16sdtfl="http://schemas.microsoft.com/office/word/2024/wordml/sdtformatlock"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val="1"/>
                            </a:ext>
                          </a:extLst>
                        </a:blip>
                        <a:stretch>
                          <a:fillRect/>
                        </a:stretch>
                      </pic:blipFill>
                      <pic:spPr>
                        <a:xfrm>
                          <a:off x="0" y="0"/>
                          <a:ext cx="878400" cy="198000"/>
                        </a:xfrm>
                        <a:prstGeom prst="rect">
                          <a:avLst/>
                        </a:prstGeom>
                      </pic:spPr>
                    </pic:pic>
                  </a:graphicData>
                </a:graphic>
              </wp:inline>
            </w:drawing>
          </w:r>
        </w:p>
      </w:tc>
    </w:tr>
  </w:tbl>
  <w:p w14:paraId="06DA3459" w14:textId="77777777" w:rsidR="00B2621F" w:rsidRDefault="00B2621F">
    <w:pPr>
      <w:pStyle w:val="Header"/>
    </w:pPr>
    <w:r>
      <w:rPr>
        <w:noProof/>
      </w:rPr>
      <w:drawing>
        <wp:anchor distT="0" distB="0" distL="114300" distR="114300" simplePos="0" relativeHeight="251658241" behindDoc="1" locked="1" layoutInCell="1" allowOverlap="1" wp14:anchorId="4E13D3EF" wp14:editId="69B6575B">
          <wp:simplePos x="0" y="0"/>
          <wp:positionH relativeFrom="page">
            <wp:align>center</wp:align>
          </wp:positionH>
          <wp:positionV relativeFrom="page">
            <wp:align>center</wp:align>
          </wp:positionV>
          <wp:extent cx="7560000" cy="10692000"/>
          <wp:effectExtent l="0" t="0" r="3175" b="0"/>
          <wp:wrapNone/>
          <wp:docPr id="1012471004" name="Picture 10124710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754A" w14:textId="6E30F9C9" w:rsidR="00B2621F" w:rsidRPr="003A2B54" w:rsidRDefault="007E765C" w:rsidP="00955F39">
    <w:pPr>
      <w:pStyle w:val="GhostLine"/>
    </w:pPr>
    <w:r>
      <w:rPr>
        <w:noProof/>
      </w:rPr>
      <w:drawing>
        <wp:anchor distT="0" distB="0" distL="114300" distR="114300" simplePos="0" relativeHeight="251658243" behindDoc="1" locked="0" layoutInCell="1" allowOverlap="1" wp14:anchorId="184F7355" wp14:editId="45F54A52">
          <wp:simplePos x="0" y="0"/>
          <wp:positionH relativeFrom="page">
            <wp:align>center</wp:align>
          </wp:positionH>
          <wp:positionV relativeFrom="page">
            <wp:align>center</wp:align>
          </wp:positionV>
          <wp:extent cx="7560000" cy="10692000"/>
          <wp:effectExtent l="0" t="0" r="3175" b="0"/>
          <wp:wrapNone/>
          <wp:docPr id="1486862269" name="Picture 7059039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862269" name="Picture 70590398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46372" w14:paraId="36B98514" w14:textId="77777777" w:rsidTr="00EE61AA">
      <w:trPr>
        <w:trHeight w:hRule="exact" w:val="340"/>
      </w:trPr>
      <w:tc>
        <w:tcPr>
          <w:tcW w:w="7797" w:type="dxa"/>
        </w:tcPr>
        <w:p w14:paraId="4041C89A" w14:textId="731E1199" w:rsidR="00D46372" w:rsidRPr="008C56E1" w:rsidRDefault="00D46372" w:rsidP="00F60EA1">
          <w:pPr>
            <w:pStyle w:val="HeaderEven"/>
          </w:pPr>
          <w:r w:rsidRPr="008C56E1">
            <w:rPr>
              <w:noProof/>
              <w:position w:val="-8"/>
            </w:rPr>
            <w:drawing>
              <wp:inline distT="0" distB="0" distL="0" distR="0" wp14:anchorId="06330E89" wp14:editId="67EB9797">
                <wp:extent cx="864091" cy="198000"/>
                <wp:effectExtent l="0" t="0" r="0" b="0"/>
                <wp:docPr id="16411175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88479"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DD378A">
              <w:t>Budget Paper No. 1</w:t>
            </w:r>
          </w:fldSimple>
        </w:p>
      </w:tc>
    </w:tr>
  </w:tbl>
  <w:p w14:paraId="01418FCF" w14:textId="77777777" w:rsidR="0009084E" w:rsidRPr="00AA5439" w:rsidRDefault="0009084E" w:rsidP="00AA5439">
    <w:pPr>
      <w:pStyle w:val="HeaderEven"/>
      <w:rPr>
        <w:sz w:val="2"/>
        <w:szCs w:val="4"/>
      </w:rPr>
    </w:pPr>
  </w:p>
  <w:p w14:paraId="4B36A12F" w14:textId="1D0A6925" w:rsidR="0009084E" w:rsidRPr="007703C7" w:rsidRDefault="009308FC" w:rsidP="007703C7">
    <w:pPr>
      <w:pStyle w:val="Header"/>
      <w:rPr>
        <w:sz w:val="2"/>
        <w:szCs w:val="2"/>
      </w:rPr>
    </w:pPr>
    <w:r>
      <w:rPr>
        <w:noProof/>
        <w:sz w:val="32"/>
        <w:szCs w:val="32"/>
      </w:rPr>
      <w:drawing>
        <wp:anchor distT="0" distB="0" distL="114300" distR="114300" simplePos="0" relativeHeight="251658242" behindDoc="1" locked="0" layoutInCell="1" allowOverlap="1" wp14:anchorId="1FD4223F" wp14:editId="135228A6">
          <wp:simplePos x="0" y="0"/>
          <wp:positionH relativeFrom="page">
            <wp:align>center</wp:align>
          </wp:positionH>
          <wp:positionV relativeFrom="page">
            <wp:align>center</wp:align>
          </wp:positionV>
          <wp:extent cx="7560000" cy="10692000"/>
          <wp:effectExtent l="0" t="0" r="3175" b="0"/>
          <wp:wrapNone/>
          <wp:docPr id="18926101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987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46372" w14:paraId="03F2A1F8" w14:textId="77777777" w:rsidTr="001051B9">
      <w:trPr>
        <w:trHeight w:hRule="exact" w:val="340"/>
      </w:trPr>
      <w:tc>
        <w:tcPr>
          <w:tcW w:w="7797" w:type="dxa"/>
          <w:tcMar>
            <w:left w:w="108" w:type="dxa"/>
            <w:right w:w="108" w:type="dxa"/>
          </w:tcMar>
        </w:tcPr>
        <w:p w14:paraId="2047F79A" w14:textId="11299BC9" w:rsidR="00D46372" w:rsidRPr="00D13BF9" w:rsidRDefault="00000000" w:rsidP="00D13BF9">
          <w:pPr>
            <w:pStyle w:val="HeaderOdd"/>
          </w:pPr>
          <w:fldSimple w:instr=" TITLE   \* MERGEFORMAT ">
            <w:r w:rsidR="00DD378A">
              <w:t>Budget Paper No. 1</w:t>
            </w:r>
          </w:fldSimple>
          <w:r w:rsidR="00D46372" w:rsidRPr="00081542">
            <w:t> | </w:t>
          </w:r>
          <w:r w:rsidR="00D46372" w:rsidRPr="002709D2">
            <w:rPr>
              <w:noProof/>
              <w:position w:val="-8"/>
              <w:vertAlign w:val="subscript"/>
            </w:rPr>
            <w:drawing>
              <wp:inline distT="0" distB="0" distL="0" distR="0" wp14:anchorId="0E3C6477" wp14:editId="54237A8F">
                <wp:extent cx="864091" cy="198000"/>
                <wp:effectExtent l="0" t="0" r="0" b="0"/>
                <wp:docPr id="9644424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009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4A067FA0" w14:textId="471215C1" w:rsidR="0009084E" w:rsidRPr="00562EDC" w:rsidRDefault="591FF694" w:rsidP="00562EDC">
    <w:pPr>
      <w:pStyle w:val="HeaderOdd"/>
      <w:jc w:val="left"/>
      <w:rPr>
        <w:sz w:val="2"/>
        <w:szCs w:val="2"/>
      </w:rPr>
    </w:pPr>
    <w:r>
      <w:rPr>
        <w:noProof/>
      </w:rPr>
      <w:drawing>
        <wp:anchor distT="0" distB="0" distL="114300" distR="114300" simplePos="0" relativeHeight="251676677" behindDoc="1" locked="0" layoutInCell="1" allowOverlap="1" wp14:anchorId="1F6E56E7" wp14:editId="70219FB4">
          <wp:simplePos x="0" y="0"/>
          <wp:positionH relativeFrom="page">
            <wp:align>center</wp:align>
          </wp:positionH>
          <wp:positionV relativeFrom="page">
            <wp:align>center</wp:align>
          </wp:positionV>
          <wp:extent cx="7560000" cy="10692000"/>
          <wp:effectExtent l="0" t="0" r="3175" b="0"/>
          <wp:wrapNone/>
          <wp:docPr id="7858077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27218" name="Picture 1">
                    <a:extLst>
                      <a:ext uri="{C183D7F6-B498-43B3-948B-1728B52AA6E4}">
                        <adec:decorative xmlns:adec="http://schemas.microsoft.com/office/drawing/2017/decorative" val="1"/>
                      </a:ext>
                    </a:extLst>
                  </pic:cNvPr>
                  <pic:cNvPicPr/>
                </pic:nvPicPr>
                <pic:blipFill>
                  <a:blip r:embed="rId2">
                    <a:extLst>
                      <a:ext uri="{C183D7F6-B498-43B3-948B-1728B52AA6E4}">
                        <adec:decorative xmlns:w16sdtfl="http://schemas.microsoft.com/office/word/2024/wordml/sdtformatlock" xmlns:adec="http://schemas.microsoft.com/office/drawing/2017/decorative" xmlns:aclsh="http://schemas.microsoft.com/office/drawing/2020/classificationShape"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val="1"/>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9458" w14:textId="6DAD2102" w:rsidR="0009084E" w:rsidRDefault="0009084E">
    <w:pPr>
      <w:pStyle w:val="Header"/>
      <w:rPr>
        <w:sz w:val="2"/>
        <w:szCs w:val="2"/>
      </w:rPr>
    </w:pPr>
  </w:p>
  <w:p w14:paraId="012CBD07" w14:textId="77777777" w:rsidR="0009084E" w:rsidRDefault="0009084E">
    <w:pPr>
      <w:pStyle w:val="Header"/>
      <w:rPr>
        <w:sz w:val="2"/>
        <w:szCs w:val="2"/>
      </w:rPr>
    </w:pPr>
  </w:p>
  <w:p w14:paraId="2C5C6CD7" w14:textId="67A7DB47" w:rsidR="0009084E" w:rsidRPr="005B2F30" w:rsidRDefault="591FF694">
    <w:pPr>
      <w:pStyle w:val="Header"/>
      <w:rPr>
        <w:sz w:val="2"/>
        <w:szCs w:val="2"/>
      </w:rPr>
    </w:pPr>
    <w:r>
      <w:rPr>
        <w:noProof/>
      </w:rPr>
      <w:drawing>
        <wp:anchor distT="0" distB="0" distL="114300" distR="114300" simplePos="0" relativeHeight="251678725" behindDoc="1" locked="0" layoutInCell="1" allowOverlap="1" wp14:anchorId="23E36105" wp14:editId="54F8C1D6">
          <wp:simplePos x="0" y="0"/>
          <wp:positionH relativeFrom="page">
            <wp:align>center</wp:align>
          </wp:positionH>
          <wp:positionV relativeFrom="page">
            <wp:align>center</wp:align>
          </wp:positionV>
          <wp:extent cx="7560000" cy="10692000"/>
          <wp:effectExtent l="0" t="0" r="3175" b="0"/>
          <wp:wrapNone/>
          <wp:docPr id="9470382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75953" name="Picture 1">
                    <a:extLst>
                      <a:ext uri="{C183D7F6-B498-43B3-948B-1728B52AA6E4}">
                        <adec:decorative xmlns:adec="http://schemas.microsoft.com/office/drawing/2017/decorative" val="1"/>
                      </a:ext>
                    </a:extLst>
                  </pic:cNvPr>
                  <pic:cNvPicPr/>
                </pic:nvPicPr>
                <pic:blipFill>
                  <a:blip r:embed="rId1">
                    <a:extLst>
                      <a:ext uri="{C183D7F6-B498-43B3-948B-1728B52AA6E4}">
                        <adec:decorative xmlns:w16sdtfl="http://schemas.microsoft.com/office/word/2024/wordml/sdtformatlock" xmlns:adec="http://schemas.microsoft.com/office/drawing/2017/decorative" xmlns:a14="http://schemas.microsoft.com/office/drawing/2010/main" xmlns:aclsh="http://schemas.microsoft.com/office/drawing/2020/classificationShape" xmlns:w="http://schemas.openxmlformats.org/wordprocessingml/2006/main" xmlns:w10="urn:schemas-microsoft-com:office:word" xmlns:v="urn:schemas-microsoft-com:vml" xmlns:o="urn:schemas-microsoft-com:office:office" xmlns="" xmlns:arto="http://schemas.microsoft.com/office/word/2006/arto" val="1"/>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909"/>
    <w:multiLevelType w:val="multilevel"/>
    <w:tmpl w:val="E1CE454A"/>
    <w:lvl w:ilvl="0">
      <w:start w:val="1"/>
      <w:numFmt w:val="bullet"/>
      <w:lvlRestart w:val="0"/>
      <w:pStyle w:val="Bullet"/>
      <w:lvlText w:val="•"/>
      <w:lvlJc w:val="left"/>
      <w:pPr>
        <w:tabs>
          <w:tab w:val="num" w:pos="283"/>
        </w:tabs>
        <w:ind w:left="283" w:hanging="283"/>
      </w:pPr>
      <w:rPr>
        <w:rFonts w:ascii="Times New Roman" w:hAnsi="Times New Roman" w:cs="Times New Roman"/>
        <w:b w:val="0"/>
        <w:i w:val="0"/>
        <w:color w:val="auto"/>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24D24BD5"/>
    <w:multiLevelType w:val="hybridMultilevel"/>
    <w:tmpl w:val="0E06374A"/>
    <w:name w:val="Box Bullet List2"/>
    <w:lvl w:ilvl="0" w:tplc="D2F8151E">
      <w:start w:val="1"/>
      <w:numFmt w:val="bullet"/>
      <w:lvlText w:val="‒"/>
      <w:lvlJc w:val="left"/>
      <w:pPr>
        <w:ind w:left="643" w:hanging="360"/>
      </w:pPr>
      <w:rPr>
        <w:rFonts w:ascii="Book Antiqua" w:hAnsi="Book Antiqua" w:hint="default"/>
        <w:b w:val="0"/>
        <w:i w:val="0"/>
        <w:sz w:val="19"/>
        <w:szCs w:val="19"/>
      </w:rPr>
    </w:lvl>
    <w:lvl w:ilvl="1" w:tplc="7304CF2E" w:tentative="1">
      <w:start w:val="1"/>
      <w:numFmt w:val="bullet"/>
      <w:lvlText w:val="o"/>
      <w:lvlJc w:val="left"/>
      <w:pPr>
        <w:ind w:left="1363" w:hanging="360"/>
      </w:pPr>
      <w:rPr>
        <w:rFonts w:ascii="Yu Mincho Light" w:hAnsi="Yu Mincho Light" w:hint="default"/>
      </w:rPr>
    </w:lvl>
    <w:lvl w:ilvl="2" w:tplc="B6B6D2E8" w:tentative="1">
      <w:start w:val="1"/>
      <w:numFmt w:val="bullet"/>
      <w:lvlText w:val=""/>
      <w:lvlJc w:val="left"/>
      <w:pPr>
        <w:ind w:left="2083" w:hanging="360"/>
      </w:pPr>
      <w:rPr>
        <w:rFonts w:ascii="Calibri" w:hAnsi="Calibri" w:hint="default"/>
      </w:rPr>
    </w:lvl>
    <w:lvl w:ilvl="3" w:tplc="B9406EA8" w:tentative="1">
      <w:start w:val="1"/>
      <w:numFmt w:val="bullet"/>
      <w:lvlText w:val=""/>
      <w:lvlJc w:val="left"/>
      <w:pPr>
        <w:ind w:left="2803" w:hanging="360"/>
      </w:pPr>
      <w:rPr>
        <w:rFonts w:ascii="Courier New" w:hAnsi="Courier New" w:hint="default"/>
      </w:rPr>
    </w:lvl>
    <w:lvl w:ilvl="4" w:tplc="9D36D218" w:tentative="1">
      <w:start w:val="1"/>
      <w:numFmt w:val="bullet"/>
      <w:lvlText w:val="o"/>
      <w:lvlJc w:val="left"/>
      <w:pPr>
        <w:ind w:left="3523" w:hanging="360"/>
      </w:pPr>
      <w:rPr>
        <w:rFonts w:ascii="Yu Mincho Light" w:hAnsi="Yu Mincho Light" w:hint="default"/>
      </w:rPr>
    </w:lvl>
    <w:lvl w:ilvl="5" w:tplc="70386F2C" w:tentative="1">
      <w:start w:val="1"/>
      <w:numFmt w:val="bullet"/>
      <w:lvlText w:val=""/>
      <w:lvlJc w:val="left"/>
      <w:pPr>
        <w:ind w:left="4243" w:hanging="360"/>
      </w:pPr>
      <w:rPr>
        <w:rFonts w:ascii="Calibri" w:hAnsi="Calibri" w:hint="default"/>
      </w:rPr>
    </w:lvl>
    <w:lvl w:ilvl="6" w:tplc="43C40D32" w:tentative="1">
      <w:start w:val="1"/>
      <w:numFmt w:val="bullet"/>
      <w:lvlText w:val=""/>
      <w:lvlJc w:val="left"/>
      <w:pPr>
        <w:ind w:left="4963" w:hanging="360"/>
      </w:pPr>
      <w:rPr>
        <w:rFonts w:ascii="Courier New" w:hAnsi="Courier New" w:hint="default"/>
      </w:rPr>
    </w:lvl>
    <w:lvl w:ilvl="7" w:tplc="84A40278" w:tentative="1">
      <w:start w:val="1"/>
      <w:numFmt w:val="bullet"/>
      <w:lvlText w:val="o"/>
      <w:lvlJc w:val="left"/>
      <w:pPr>
        <w:ind w:left="5683" w:hanging="360"/>
      </w:pPr>
      <w:rPr>
        <w:rFonts w:ascii="Yu Mincho Light" w:hAnsi="Yu Mincho Light" w:hint="default"/>
      </w:rPr>
    </w:lvl>
    <w:lvl w:ilvl="8" w:tplc="262E2E80" w:tentative="1">
      <w:start w:val="1"/>
      <w:numFmt w:val="bullet"/>
      <w:lvlText w:val=""/>
      <w:lvlJc w:val="left"/>
      <w:pPr>
        <w:ind w:left="6403" w:hanging="360"/>
      </w:pPr>
      <w:rPr>
        <w:rFonts w:ascii="Calibri" w:hAnsi="Calibri" w:hint="default"/>
      </w:rPr>
    </w:lvl>
  </w:abstractNum>
  <w:abstractNum w:abstractNumId="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5" w15:restartNumberingAfterBreak="0">
    <w:nsid w:val="4B400F83"/>
    <w:multiLevelType w:val="multilevel"/>
    <w:tmpl w:val="7F6CF864"/>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944"/>
        </w:tabs>
        <w:ind w:left="1134" w:hanging="567"/>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4"/>
  </w:num>
  <w:num w:numId="2" w16cid:durableId="70975900">
    <w:abstractNumId w:val="1"/>
  </w:num>
  <w:num w:numId="3" w16cid:durableId="541596858">
    <w:abstractNumId w:val="0"/>
  </w:num>
  <w:num w:numId="4" w16cid:durableId="5211629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239319">
    <w:abstractNumId w:val="7"/>
  </w:num>
  <w:num w:numId="6" w16cid:durableId="1518692781">
    <w:abstractNumId w:val="6"/>
  </w:num>
  <w:num w:numId="7" w16cid:durableId="128916457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1007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4193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9581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4007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6729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9287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4547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B2621F"/>
    <w:rsid w:val="00000265"/>
    <w:rsid w:val="00000357"/>
    <w:rsid w:val="000004EA"/>
    <w:rsid w:val="00000594"/>
    <w:rsid w:val="0000066D"/>
    <w:rsid w:val="000009A3"/>
    <w:rsid w:val="00000B44"/>
    <w:rsid w:val="00000C28"/>
    <w:rsid w:val="00000FFA"/>
    <w:rsid w:val="0000110E"/>
    <w:rsid w:val="0000127F"/>
    <w:rsid w:val="000015B6"/>
    <w:rsid w:val="00001662"/>
    <w:rsid w:val="00001C52"/>
    <w:rsid w:val="00001CCD"/>
    <w:rsid w:val="00001E4C"/>
    <w:rsid w:val="00001E86"/>
    <w:rsid w:val="00001F68"/>
    <w:rsid w:val="00002169"/>
    <w:rsid w:val="000022FC"/>
    <w:rsid w:val="00002312"/>
    <w:rsid w:val="0000240C"/>
    <w:rsid w:val="00002583"/>
    <w:rsid w:val="00002600"/>
    <w:rsid w:val="000026DB"/>
    <w:rsid w:val="00002743"/>
    <w:rsid w:val="00002950"/>
    <w:rsid w:val="000029AC"/>
    <w:rsid w:val="00002A35"/>
    <w:rsid w:val="00002AAD"/>
    <w:rsid w:val="00002AFF"/>
    <w:rsid w:val="00003165"/>
    <w:rsid w:val="000031D0"/>
    <w:rsid w:val="0000325E"/>
    <w:rsid w:val="0000328D"/>
    <w:rsid w:val="00003594"/>
    <w:rsid w:val="000035A5"/>
    <w:rsid w:val="000035FB"/>
    <w:rsid w:val="0000366D"/>
    <w:rsid w:val="00003707"/>
    <w:rsid w:val="000038BC"/>
    <w:rsid w:val="00003AF7"/>
    <w:rsid w:val="00003D23"/>
    <w:rsid w:val="00003E19"/>
    <w:rsid w:val="00003E62"/>
    <w:rsid w:val="00003ED0"/>
    <w:rsid w:val="000041E2"/>
    <w:rsid w:val="0000421C"/>
    <w:rsid w:val="0000438C"/>
    <w:rsid w:val="000043EC"/>
    <w:rsid w:val="000045F2"/>
    <w:rsid w:val="000046C9"/>
    <w:rsid w:val="000049F0"/>
    <w:rsid w:val="00004B64"/>
    <w:rsid w:val="00004E44"/>
    <w:rsid w:val="00004EA5"/>
    <w:rsid w:val="00004EB3"/>
    <w:rsid w:val="00004F1B"/>
    <w:rsid w:val="0000501D"/>
    <w:rsid w:val="000051BD"/>
    <w:rsid w:val="000053E4"/>
    <w:rsid w:val="00005772"/>
    <w:rsid w:val="0000584B"/>
    <w:rsid w:val="00005A19"/>
    <w:rsid w:val="00005A38"/>
    <w:rsid w:val="00005BC3"/>
    <w:rsid w:val="00005E25"/>
    <w:rsid w:val="00005E3B"/>
    <w:rsid w:val="00005F5E"/>
    <w:rsid w:val="00005FEA"/>
    <w:rsid w:val="0000601D"/>
    <w:rsid w:val="0000602F"/>
    <w:rsid w:val="0000648A"/>
    <w:rsid w:val="0000681B"/>
    <w:rsid w:val="00006B46"/>
    <w:rsid w:val="00006B78"/>
    <w:rsid w:val="00006D06"/>
    <w:rsid w:val="00007129"/>
    <w:rsid w:val="00007469"/>
    <w:rsid w:val="0000794F"/>
    <w:rsid w:val="00007A42"/>
    <w:rsid w:val="00007AE5"/>
    <w:rsid w:val="00007AE6"/>
    <w:rsid w:val="00007B84"/>
    <w:rsid w:val="00007BF6"/>
    <w:rsid w:val="00007CB7"/>
    <w:rsid w:val="00007E90"/>
    <w:rsid w:val="00007FC9"/>
    <w:rsid w:val="00010098"/>
    <w:rsid w:val="000101EE"/>
    <w:rsid w:val="000103AD"/>
    <w:rsid w:val="000104F9"/>
    <w:rsid w:val="0001060F"/>
    <w:rsid w:val="00010631"/>
    <w:rsid w:val="00010671"/>
    <w:rsid w:val="00010930"/>
    <w:rsid w:val="00010948"/>
    <w:rsid w:val="00010B53"/>
    <w:rsid w:val="00010CAC"/>
    <w:rsid w:val="00010EDB"/>
    <w:rsid w:val="00010F2F"/>
    <w:rsid w:val="00010F84"/>
    <w:rsid w:val="0001101E"/>
    <w:rsid w:val="0001107D"/>
    <w:rsid w:val="0001109B"/>
    <w:rsid w:val="000110AB"/>
    <w:rsid w:val="000113A3"/>
    <w:rsid w:val="00011739"/>
    <w:rsid w:val="00011779"/>
    <w:rsid w:val="000117D8"/>
    <w:rsid w:val="00011ACF"/>
    <w:rsid w:val="00011B73"/>
    <w:rsid w:val="00011C38"/>
    <w:rsid w:val="00011DBB"/>
    <w:rsid w:val="00011F3B"/>
    <w:rsid w:val="00012090"/>
    <w:rsid w:val="0001212C"/>
    <w:rsid w:val="00012141"/>
    <w:rsid w:val="000121FC"/>
    <w:rsid w:val="00012215"/>
    <w:rsid w:val="0001226D"/>
    <w:rsid w:val="00012601"/>
    <w:rsid w:val="000126CE"/>
    <w:rsid w:val="00012755"/>
    <w:rsid w:val="000127A0"/>
    <w:rsid w:val="00012813"/>
    <w:rsid w:val="000129D1"/>
    <w:rsid w:val="00012A35"/>
    <w:rsid w:val="00012A38"/>
    <w:rsid w:val="00012B0E"/>
    <w:rsid w:val="00012E09"/>
    <w:rsid w:val="00012E1E"/>
    <w:rsid w:val="00012E7F"/>
    <w:rsid w:val="00013007"/>
    <w:rsid w:val="000133E0"/>
    <w:rsid w:val="000134DF"/>
    <w:rsid w:val="0001369B"/>
    <w:rsid w:val="0001370C"/>
    <w:rsid w:val="000137FD"/>
    <w:rsid w:val="000138AB"/>
    <w:rsid w:val="000138E7"/>
    <w:rsid w:val="00013CEA"/>
    <w:rsid w:val="00013EA8"/>
    <w:rsid w:val="00013FDB"/>
    <w:rsid w:val="000141B2"/>
    <w:rsid w:val="000141E0"/>
    <w:rsid w:val="000142A4"/>
    <w:rsid w:val="000143D6"/>
    <w:rsid w:val="0001459F"/>
    <w:rsid w:val="0001492F"/>
    <w:rsid w:val="000150AA"/>
    <w:rsid w:val="00015108"/>
    <w:rsid w:val="00015152"/>
    <w:rsid w:val="000152E0"/>
    <w:rsid w:val="00015530"/>
    <w:rsid w:val="00015679"/>
    <w:rsid w:val="000157E7"/>
    <w:rsid w:val="0001584F"/>
    <w:rsid w:val="000159A0"/>
    <w:rsid w:val="00015A1E"/>
    <w:rsid w:val="00015D86"/>
    <w:rsid w:val="00015E91"/>
    <w:rsid w:val="000164E8"/>
    <w:rsid w:val="000166F2"/>
    <w:rsid w:val="00016757"/>
    <w:rsid w:val="00016926"/>
    <w:rsid w:val="00016939"/>
    <w:rsid w:val="00016949"/>
    <w:rsid w:val="0001695C"/>
    <w:rsid w:val="00016A07"/>
    <w:rsid w:val="00016A5F"/>
    <w:rsid w:val="00016A65"/>
    <w:rsid w:val="00016B3F"/>
    <w:rsid w:val="00016BD5"/>
    <w:rsid w:val="00016D08"/>
    <w:rsid w:val="00016D1E"/>
    <w:rsid w:val="00016E93"/>
    <w:rsid w:val="00016F48"/>
    <w:rsid w:val="000170D3"/>
    <w:rsid w:val="000171A8"/>
    <w:rsid w:val="0001735B"/>
    <w:rsid w:val="0001752C"/>
    <w:rsid w:val="000177E9"/>
    <w:rsid w:val="0001797E"/>
    <w:rsid w:val="000179E3"/>
    <w:rsid w:val="00017C49"/>
    <w:rsid w:val="00017D94"/>
    <w:rsid w:val="00017DC2"/>
    <w:rsid w:val="00017E77"/>
    <w:rsid w:val="00017EE5"/>
    <w:rsid w:val="0002025A"/>
    <w:rsid w:val="00020352"/>
    <w:rsid w:val="0002060B"/>
    <w:rsid w:val="0002066C"/>
    <w:rsid w:val="0002070B"/>
    <w:rsid w:val="00020E7F"/>
    <w:rsid w:val="00020ED0"/>
    <w:rsid w:val="0002121E"/>
    <w:rsid w:val="0002128E"/>
    <w:rsid w:val="000212C3"/>
    <w:rsid w:val="000212CD"/>
    <w:rsid w:val="000212F1"/>
    <w:rsid w:val="000214CD"/>
    <w:rsid w:val="0002154D"/>
    <w:rsid w:val="0002157C"/>
    <w:rsid w:val="00021590"/>
    <w:rsid w:val="00021877"/>
    <w:rsid w:val="000218D0"/>
    <w:rsid w:val="00021A9F"/>
    <w:rsid w:val="00021BD5"/>
    <w:rsid w:val="00021D27"/>
    <w:rsid w:val="00021E74"/>
    <w:rsid w:val="00021E89"/>
    <w:rsid w:val="000220B5"/>
    <w:rsid w:val="00022101"/>
    <w:rsid w:val="000221AC"/>
    <w:rsid w:val="0002233D"/>
    <w:rsid w:val="000223FC"/>
    <w:rsid w:val="00022465"/>
    <w:rsid w:val="000224FE"/>
    <w:rsid w:val="0002255D"/>
    <w:rsid w:val="000227AC"/>
    <w:rsid w:val="000227C0"/>
    <w:rsid w:val="0002280B"/>
    <w:rsid w:val="0002287A"/>
    <w:rsid w:val="000228A2"/>
    <w:rsid w:val="000228F4"/>
    <w:rsid w:val="00022991"/>
    <w:rsid w:val="000229D0"/>
    <w:rsid w:val="00022A87"/>
    <w:rsid w:val="00022AD8"/>
    <w:rsid w:val="00022B24"/>
    <w:rsid w:val="00022C52"/>
    <w:rsid w:val="00022C65"/>
    <w:rsid w:val="00022E26"/>
    <w:rsid w:val="00022EAD"/>
    <w:rsid w:val="00023227"/>
    <w:rsid w:val="00023270"/>
    <w:rsid w:val="000234E4"/>
    <w:rsid w:val="0002389F"/>
    <w:rsid w:val="00023A08"/>
    <w:rsid w:val="00023A78"/>
    <w:rsid w:val="00023B37"/>
    <w:rsid w:val="00023B6F"/>
    <w:rsid w:val="00023D69"/>
    <w:rsid w:val="00023EA1"/>
    <w:rsid w:val="00024096"/>
    <w:rsid w:val="000240E0"/>
    <w:rsid w:val="000241B3"/>
    <w:rsid w:val="0002425C"/>
    <w:rsid w:val="00024297"/>
    <w:rsid w:val="0002430D"/>
    <w:rsid w:val="000243B5"/>
    <w:rsid w:val="000245E1"/>
    <w:rsid w:val="000246AF"/>
    <w:rsid w:val="00024781"/>
    <w:rsid w:val="00024857"/>
    <w:rsid w:val="00024940"/>
    <w:rsid w:val="00024BA4"/>
    <w:rsid w:val="00024C2A"/>
    <w:rsid w:val="00024D80"/>
    <w:rsid w:val="00024E7D"/>
    <w:rsid w:val="00025159"/>
    <w:rsid w:val="000251E4"/>
    <w:rsid w:val="000253D6"/>
    <w:rsid w:val="00025466"/>
    <w:rsid w:val="00025565"/>
    <w:rsid w:val="0002557F"/>
    <w:rsid w:val="00025867"/>
    <w:rsid w:val="000258D8"/>
    <w:rsid w:val="00025A06"/>
    <w:rsid w:val="00025BA8"/>
    <w:rsid w:val="00025C83"/>
    <w:rsid w:val="00025DBC"/>
    <w:rsid w:val="00025E14"/>
    <w:rsid w:val="0002601B"/>
    <w:rsid w:val="000260EB"/>
    <w:rsid w:val="00026114"/>
    <w:rsid w:val="0002625F"/>
    <w:rsid w:val="0002634A"/>
    <w:rsid w:val="000263AC"/>
    <w:rsid w:val="00026432"/>
    <w:rsid w:val="00026906"/>
    <w:rsid w:val="00026B24"/>
    <w:rsid w:val="00026B2A"/>
    <w:rsid w:val="00026B49"/>
    <w:rsid w:val="00026CBA"/>
    <w:rsid w:val="00026CBD"/>
    <w:rsid w:val="00026CC1"/>
    <w:rsid w:val="00026DBA"/>
    <w:rsid w:val="00026DC2"/>
    <w:rsid w:val="00026FE3"/>
    <w:rsid w:val="00027347"/>
    <w:rsid w:val="000273DF"/>
    <w:rsid w:val="0002761E"/>
    <w:rsid w:val="00027706"/>
    <w:rsid w:val="000277C8"/>
    <w:rsid w:val="00027A01"/>
    <w:rsid w:val="00027A6B"/>
    <w:rsid w:val="00027A76"/>
    <w:rsid w:val="00027B4E"/>
    <w:rsid w:val="00027E47"/>
    <w:rsid w:val="00027EDA"/>
    <w:rsid w:val="00030107"/>
    <w:rsid w:val="000301D5"/>
    <w:rsid w:val="0003031E"/>
    <w:rsid w:val="0003044F"/>
    <w:rsid w:val="00030503"/>
    <w:rsid w:val="000306F2"/>
    <w:rsid w:val="000307DB"/>
    <w:rsid w:val="000307F2"/>
    <w:rsid w:val="000308F4"/>
    <w:rsid w:val="000309F7"/>
    <w:rsid w:val="00030A86"/>
    <w:rsid w:val="00030C5B"/>
    <w:rsid w:val="00030D33"/>
    <w:rsid w:val="00030EA8"/>
    <w:rsid w:val="0003129B"/>
    <w:rsid w:val="000313BB"/>
    <w:rsid w:val="000313E2"/>
    <w:rsid w:val="000314A1"/>
    <w:rsid w:val="000314B7"/>
    <w:rsid w:val="00031583"/>
    <w:rsid w:val="00031687"/>
    <w:rsid w:val="00031835"/>
    <w:rsid w:val="00031C40"/>
    <w:rsid w:val="00031E27"/>
    <w:rsid w:val="00031EFE"/>
    <w:rsid w:val="00032003"/>
    <w:rsid w:val="00032145"/>
    <w:rsid w:val="00032404"/>
    <w:rsid w:val="000326B6"/>
    <w:rsid w:val="0003272C"/>
    <w:rsid w:val="0003293E"/>
    <w:rsid w:val="00032AB4"/>
    <w:rsid w:val="00032B76"/>
    <w:rsid w:val="00032D23"/>
    <w:rsid w:val="00032D46"/>
    <w:rsid w:val="00032D85"/>
    <w:rsid w:val="00032E14"/>
    <w:rsid w:val="00032E58"/>
    <w:rsid w:val="00033098"/>
    <w:rsid w:val="00033242"/>
    <w:rsid w:val="000332D2"/>
    <w:rsid w:val="00033307"/>
    <w:rsid w:val="0003373A"/>
    <w:rsid w:val="0003383D"/>
    <w:rsid w:val="00033853"/>
    <w:rsid w:val="00033AC2"/>
    <w:rsid w:val="00033CC3"/>
    <w:rsid w:val="00033DBE"/>
    <w:rsid w:val="00033E0A"/>
    <w:rsid w:val="00033E24"/>
    <w:rsid w:val="00033F25"/>
    <w:rsid w:val="0003425F"/>
    <w:rsid w:val="00034285"/>
    <w:rsid w:val="0003434C"/>
    <w:rsid w:val="0003455F"/>
    <w:rsid w:val="00034586"/>
    <w:rsid w:val="000346AC"/>
    <w:rsid w:val="000347C7"/>
    <w:rsid w:val="00034819"/>
    <w:rsid w:val="00034855"/>
    <w:rsid w:val="000349E5"/>
    <w:rsid w:val="00034ABC"/>
    <w:rsid w:val="00034B42"/>
    <w:rsid w:val="00034CE0"/>
    <w:rsid w:val="00034CFA"/>
    <w:rsid w:val="00034DB9"/>
    <w:rsid w:val="00034F90"/>
    <w:rsid w:val="00034FF9"/>
    <w:rsid w:val="00035042"/>
    <w:rsid w:val="00035089"/>
    <w:rsid w:val="0003522A"/>
    <w:rsid w:val="00035627"/>
    <w:rsid w:val="00035654"/>
    <w:rsid w:val="000357F1"/>
    <w:rsid w:val="000359DC"/>
    <w:rsid w:val="00035A12"/>
    <w:rsid w:val="00035A8D"/>
    <w:rsid w:val="00035ABA"/>
    <w:rsid w:val="00035B7A"/>
    <w:rsid w:val="00035C3F"/>
    <w:rsid w:val="00035CF1"/>
    <w:rsid w:val="00035D8D"/>
    <w:rsid w:val="00035E1B"/>
    <w:rsid w:val="00035FB9"/>
    <w:rsid w:val="00036019"/>
    <w:rsid w:val="00036032"/>
    <w:rsid w:val="00036511"/>
    <w:rsid w:val="0003658C"/>
    <w:rsid w:val="000365E0"/>
    <w:rsid w:val="00036629"/>
    <w:rsid w:val="0003672E"/>
    <w:rsid w:val="00036A5C"/>
    <w:rsid w:val="00036C10"/>
    <w:rsid w:val="00036D82"/>
    <w:rsid w:val="00036F81"/>
    <w:rsid w:val="00036F8E"/>
    <w:rsid w:val="00037100"/>
    <w:rsid w:val="00037234"/>
    <w:rsid w:val="00037305"/>
    <w:rsid w:val="0003761D"/>
    <w:rsid w:val="00037838"/>
    <w:rsid w:val="000378BC"/>
    <w:rsid w:val="00037A1C"/>
    <w:rsid w:val="00037A2D"/>
    <w:rsid w:val="00037DB1"/>
    <w:rsid w:val="00037E69"/>
    <w:rsid w:val="00037E9A"/>
    <w:rsid w:val="00040012"/>
    <w:rsid w:val="000400FE"/>
    <w:rsid w:val="00040106"/>
    <w:rsid w:val="0004014B"/>
    <w:rsid w:val="000403A7"/>
    <w:rsid w:val="000403B0"/>
    <w:rsid w:val="0004061B"/>
    <w:rsid w:val="00040771"/>
    <w:rsid w:val="00040855"/>
    <w:rsid w:val="000408BF"/>
    <w:rsid w:val="0004097C"/>
    <w:rsid w:val="00040B24"/>
    <w:rsid w:val="00040B5D"/>
    <w:rsid w:val="00040BC9"/>
    <w:rsid w:val="00040F07"/>
    <w:rsid w:val="000412E2"/>
    <w:rsid w:val="0004145F"/>
    <w:rsid w:val="000416BD"/>
    <w:rsid w:val="00041745"/>
    <w:rsid w:val="000417BD"/>
    <w:rsid w:val="00041890"/>
    <w:rsid w:val="00041983"/>
    <w:rsid w:val="00041A27"/>
    <w:rsid w:val="00041A78"/>
    <w:rsid w:val="00041B62"/>
    <w:rsid w:val="00041C8D"/>
    <w:rsid w:val="00041CBE"/>
    <w:rsid w:val="00041E84"/>
    <w:rsid w:val="00041EF5"/>
    <w:rsid w:val="00041F84"/>
    <w:rsid w:val="000421BD"/>
    <w:rsid w:val="00042390"/>
    <w:rsid w:val="000423A3"/>
    <w:rsid w:val="00042434"/>
    <w:rsid w:val="0004243C"/>
    <w:rsid w:val="00042733"/>
    <w:rsid w:val="00042869"/>
    <w:rsid w:val="0004286C"/>
    <w:rsid w:val="00042B99"/>
    <w:rsid w:val="00042C5A"/>
    <w:rsid w:val="00042C64"/>
    <w:rsid w:val="00042D94"/>
    <w:rsid w:val="00042E8F"/>
    <w:rsid w:val="0004309F"/>
    <w:rsid w:val="00043398"/>
    <w:rsid w:val="00043694"/>
    <w:rsid w:val="000436D1"/>
    <w:rsid w:val="00043756"/>
    <w:rsid w:val="0004392B"/>
    <w:rsid w:val="00043CD1"/>
    <w:rsid w:val="00043D2F"/>
    <w:rsid w:val="00043D3E"/>
    <w:rsid w:val="00043E4E"/>
    <w:rsid w:val="00044063"/>
    <w:rsid w:val="000441FA"/>
    <w:rsid w:val="000443B2"/>
    <w:rsid w:val="000444E4"/>
    <w:rsid w:val="000445FD"/>
    <w:rsid w:val="000447C1"/>
    <w:rsid w:val="000448BB"/>
    <w:rsid w:val="00044C98"/>
    <w:rsid w:val="00044CAA"/>
    <w:rsid w:val="00044D58"/>
    <w:rsid w:val="00044F4C"/>
    <w:rsid w:val="00045045"/>
    <w:rsid w:val="0004517A"/>
    <w:rsid w:val="000451C2"/>
    <w:rsid w:val="0004533E"/>
    <w:rsid w:val="0004547B"/>
    <w:rsid w:val="00045593"/>
    <w:rsid w:val="000456EF"/>
    <w:rsid w:val="0004574E"/>
    <w:rsid w:val="000457A8"/>
    <w:rsid w:val="000458E7"/>
    <w:rsid w:val="00045AA1"/>
    <w:rsid w:val="00045AF0"/>
    <w:rsid w:val="00045BBB"/>
    <w:rsid w:val="00045C78"/>
    <w:rsid w:val="00045E30"/>
    <w:rsid w:val="00045F78"/>
    <w:rsid w:val="0004611F"/>
    <w:rsid w:val="0004629B"/>
    <w:rsid w:val="000463C5"/>
    <w:rsid w:val="00046469"/>
    <w:rsid w:val="0004671B"/>
    <w:rsid w:val="00046779"/>
    <w:rsid w:val="00046A0B"/>
    <w:rsid w:val="00046B91"/>
    <w:rsid w:val="00046ECD"/>
    <w:rsid w:val="00046FC2"/>
    <w:rsid w:val="0004714F"/>
    <w:rsid w:val="000471AA"/>
    <w:rsid w:val="000472F5"/>
    <w:rsid w:val="00047449"/>
    <w:rsid w:val="000474CE"/>
    <w:rsid w:val="000476F3"/>
    <w:rsid w:val="000477A9"/>
    <w:rsid w:val="00047802"/>
    <w:rsid w:val="000478B3"/>
    <w:rsid w:val="00047915"/>
    <w:rsid w:val="00047AA4"/>
    <w:rsid w:val="00047B3E"/>
    <w:rsid w:val="00047CD2"/>
    <w:rsid w:val="00047E44"/>
    <w:rsid w:val="00050333"/>
    <w:rsid w:val="00050444"/>
    <w:rsid w:val="000504C3"/>
    <w:rsid w:val="00050574"/>
    <w:rsid w:val="0005062E"/>
    <w:rsid w:val="0005074B"/>
    <w:rsid w:val="00050946"/>
    <w:rsid w:val="000509AB"/>
    <w:rsid w:val="00050AD5"/>
    <w:rsid w:val="00050B4D"/>
    <w:rsid w:val="00050B79"/>
    <w:rsid w:val="00050BE1"/>
    <w:rsid w:val="00050CFC"/>
    <w:rsid w:val="00050D79"/>
    <w:rsid w:val="00050FA6"/>
    <w:rsid w:val="00051006"/>
    <w:rsid w:val="0005107A"/>
    <w:rsid w:val="00051107"/>
    <w:rsid w:val="00051329"/>
    <w:rsid w:val="0005141B"/>
    <w:rsid w:val="000514DE"/>
    <w:rsid w:val="000517C0"/>
    <w:rsid w:val="00051ACE"/>
    <w:rsid w:val="00051BDE"/>
    <w:rsid w:val="00051C1E"/>
    <w:rsid w:val="00051FAB"/>
    <w:rsid w:val="0005205C"/>
    <w:rsid w:val="0005233D"/>
    <w:rsid w:val="000523FC"/>
    <w:rsid w:val="00052479"/>
    <w:rsid w:val="00052545"/>
    <w:rsid w:val="00052589"/>
    <w:rsid w:val="00052605"/>
    <w:rsid w:val="000526A5"/>
    <w:rsid w:val="00052823"/>
    <w:rsid w:val="000528DC"/>
    <w:rsid w:val="00052B69"/>
    <w:rsid w:val="00052E3B"/>
    <w:rsid w:val="00052EEE"/>
    <w:rsid w:val="00052F5A"/>
    <w:rsid w:val="00052F75"/>
    <w:rsid w:val="00052FE3"/>
    <w:rsid w:val="0005302B"/>
    <w:rsid w:val="0005308D"/>
    <w:rsid w:val="00053114"/>
    <w:rsid w:val="000531A8"/>
    <w:rsid w:val="000531B9"/>
    <w:rsid w:val="0005322E"/>
    <w:rsid w:val="0005325E"/>
    <w:rsid w:val="0005364A"/>
    <w:rsid w:val="00053681"/>
    <w:rsid w:val="000539B3"/>
    <w:rsid w:val="00053AF1"/>
    <w:rsid w:val="00054027"/>
    <w:rsid w:val="00054236"/>
    <w:rsid w:val="000542C1"/>
    <w:rsid w:val="000543BC"/>
    <w:rsid w:val="00054591"/>
    <w:rsid w:val="000545DA"/>
    <w:rsid w:val="000546D2"/>
    <w:rsid w:val="000546E1"/>
    <w:rsid w:val="000546EB"/>
    <w:rsid w:val="00054745"/>
    <w:rsid w:val="00054748"/>
    <w:rsid w:val="00054A85"/>
    <w:rsid w:val="00054AEF"/>
    <w:rsid w:val="00054BB5"/>
    <w:rsid w:val="00054C3F"/>
    <w:rsid w:val="00054CD3"/>
    <w:rsid w:val="00055040"/>
    <w:rsid w:val="0005547B"/>
    <w:rsid w:val="000554D6"/>
    <w:rsid w:val="000556B6"/>
    <w:rsid w:val="00055895"/>
    <w:rsid w:val="00055A25"/>
    <w:rsid w:val="00055AA3"/>
    <w:rsid w:val="00055B57"/>
    <w:rsid w:val="00055C5C"/>
    <w:rsid w:val="00055CB2"/>
    <w:rsid w:val="00055D3A"/>
    <w:rsid w:val="00056251"/>
    <w:rsid w:val="000562F6"/>
    <w:rsid w:val="00056302"/>
    <w:rsid w:val="0005631C"/>
    <w:rsid w:val="000563C9"/>
    <w:rsid w:val="000563FB"/>
    <w:rsid w:val="000564EB"/>
    <w:rsid w:val="000565A7"/>
    <w:rsid w:val="00056614"/>
    <w:rsid w:val="00056993"/>
    <w:rsid w:val="00056A3F"/>
    <w:rsid w:val="00056A8F"/>
    <w:rsid w:val="00056BB7"/>
    <w:rsid w:val="00056BC4"/>
    <w:rsid w:val="00056C1D"/>
    <w:rsid w:val="00056E23"/>
    <w:rsid w:val="00056E25"/>
    <w:rsid w:val="00056F18"/>
    <w:rsid w:val="000571E8"/>
    <w:rsid w:val="00057245"/>
    <w:rsid w:val="0005739F"/>
    <w:rsid w:val="0005752A"/>
    <w:rsid w:val="000576C3"/>
    <w:rsid w:val="000577EE"/>
    <w:rsid w:val="00057BBC"/>
    <w:rsid w:val="00057C83"/>
    <w:rsid w:val="00057C88"/>
    <w:rsid w:val="00057D34"/>
    <w:rsid w:val="00060115"/>
    <w:rsid w:val="00060285"/>
    <w:rsid w:val="00060290"/>
    <w:rsid w:val="000603FE"/>
    <w:rsid w:val="00060545"/>
    <w:rsid w:val="00060710"/>
    <w:rsid w:val="0006075F"/>
    <w:rsid w:val="000607BC"/>
    <w:rsid w:val="00060B07"/>
    <w:rsid w:val="00060DC0"/>
    <w:rsid w:val="00060E4F"/>
    <w:rsid w:val="00060E81"/>
    <w:rsid w:val="00060F51"/>
    <w:rsid w:val="00060F89"/>
    <w:rsid w:val="00061159"/>
    <w:rsid w:val="0006115C"/>
    <w:rsid w:val="0006118F"/>
    <w:rsid w:val="00061198"/>
    <w:rsid w:val="0006125B"/>
    <w:rsid w:val="0006129C"/>
    <w:rsid w:val="00061321"/>
    <w:rsid w:val="0006137B"/>
    <w:rsid w:val="00061540"/>
    <w:rsid w:val="000618AD"/>
    <w:rsid w:val="00061908"/>
    <w:rsid w:val="00061B9D"/>
    <w:rsid w:val="00061BC2"/>
    <w:rsid w:val="00061D9F"/>
    <w:rsid w:val="00061E13"/>
    <w:rsid w:val="00061E5E"/>
    <w:rsid w:val="00062060"/>
    <w:rsid w:val="00062093"/>
    <w:rsid w:val="000620C7"/>
    <w:rsid w:val="000622DA"/>
    <w:rsid w:val="000622E4"/>
    <w:rsid w:val="000623F0"/>
    <w:rsid w:val="00062495"/>
    <w:rsid w:val="000625B8"/>
    <w:rsid w:val="000626A1"/>
    <w:rsid w:val="00062768"/>
    <w:rsid w:val="000627FA"/>
    <w:rsid w:val="0006293F"/>
    <w:rsid w:val="000629B4"/>
    <w:rsid w:val="00062A5C"/>
    <w:rsid w:val="00062A74"/>
    <w:rsid w:val="00062D16"/>
    <w:rsid w:val="00063309"/>
    <w:rsid w:val="00063437"/>
    <w:rsid w:val="0006358C"/>
    <w:rsid w:val="000635BE"/>
    <w:rsid w:val="0006379A"/>
    <w:rsid w:val="00063BFE"/>
    <w:rsid w:val="00063DA0"/>
    <w:rsid w:val="00063E46"/>
    <w:rsid w:val="00064210"/>
    <w:rsid w:val="000644C4"/>
    <w:rsid w:val="00064529"/>
    <w:rsid w:val="000646A3"/>
    <w:rsid w:val="00064988"/>
    <w:rsid w:val="00064A91"/>
    <w:rsid w:val="00064C00"/>
    <w:rsid w:val="00064CA9"/>
    <w:rsid w:val="00064D0A"/>
    <w:rsid w:val="00064D77"/>
    <w:rsid w:val="00064E35"/>
    <w:rsid w:val="000650BA"/>
    <w:rsid w:val="0006519D"/>
    <w:rsid w:val="000651AD"/>
    <w:rsid w:val="000651D8"/>
    <w:rsid w:val="00065353"/>
    <w:rsid w:val="00065474"/>
    <w:rsid w:val="000658D1"/>
    <w:rsid w:val="00065944"/>
    <w:rsid w:val="00065C38"/>
    <w:rsid w:val="00065CFA"/>
    <w:rsid w:val="000660FC"/>
    <w:rsid w:val="000661C4"/>
    <w:rsid w:val="000661C7"/>
    <w:rsid w:val="00066516"/>
    <w:rsid w:val="000665BC"/>
    <w:rsid w:val="00066661"/>
    <w:rsid w:val="000667CA"/>
    <w:rsid w:val="00066A48"/>
    <w:rsid w:val="00066C9D"/>
    <w:rsid w:val="00066DDD"/>
    <w:rsid w:val="00066DE6"/>
    <w:rsid w:val="00066E8B"/>
    <w:rsid w:val="00067137"/>
    <w:rsid w:val="00067451"/>
    <w:rsid w:val="0006748A"/>
    <w:rsid w:val="000675AF"/>
    <w:rsid w:val="000675D7"/>
    <w:rsid w:val="00067730"/>
    <w:rsid w:val="00067800"/>
    <w:rsid w:val="0006793B"/>
    <w:rsid w:val="0006796E"/>
    <w:rsid w:val="00067A19"/>
    <w:rsid w:val="00067B32"/>
    <w:rsid w:val="00067B36"/>
    <w:rsid w:val="00067D8A"/>
    <w:rsid w:val="00067E04"/>
    <w:rsid w:val="00067E4D"/>
    <w:rsid w:val="00067E5A"/>
    <w:rsid w:val="00070037"/>
    <w:rsid w:val="000700D9"/>
    <w:rsid w:val="000700DE"/>
    <w:rsid w:val="00070193"/>
    <w:rsid w:val="000702BE"/>
    <w:rsid w:val="0007042B"/>
    <w:rsid w:val="00070453"/>
    <w:rsid w:val="0007077F"/>
    <w:rsid w:val="000708F6"/>
    <w:rsid w:val="00070B89"/>
    <w:rsid w:val="00070C98"/>
    <w:rsid w:val="00070E19"/>
    <w:rsid w:val="00070EF8"/>
    <w:rsid w:val="00070FC5"/>
    <w:rsid w:val="00070FDA"/>
    <w:rsid w:val="000710F6"/>
    <w:rsid w:val="00071199"/>
    <w:rsid w:val="000712C2"/>
    <w:rsid w:val="00071445"/>
    <w:rsid w:val="00071585"/>
    <w:rsid w:val="000715C8"/>
    <w:rsid w:val="00071642"/>
    <w:rsid w:val="0007197B"/>
    <w:rsid w:val="00071A66"/>
    <w:rsid w:val="00071B84"/>
    <w:rsid w:val="00071BFB"/>
    <w:rsid w:val="00071D62"/>
    <w:rsid w:val="00071D80"/>
    <w:rsid w:val="00071E27"/>
    <w:rsid w:val="00071E95"/>
    <w:rsid w:val="00071F08"/>
    <w:rsid w:val="00071FD1"/>
    <w:rsid w:val="00072208"/>
    <w:rsid w:val="000724CB"/>
    <w:rsid w:val="000726D3"/>
    <w:rsid w:val="00072B12"/>
    <w:rsid w:val="00072C66"/>
    <w:rsid w:val="00072D3A"/>
    <w:rsid w:val="00072E2D"/>
    <w:rsid w:val="00073037"/>
    <w:rsid w:val="0007305C"/>
    <w:rsid w:val="000731FE"/>
    <w:rsid w:val="0007325E"/>
    <w:rsid w:val="000732E2"/>
    <w:rsid w:val="000732E3"/>
    <w:rsid w:val="000733F7"/>
    <w:rsid w:val="000734A5"/>
    <w:rsid w:val="000735B2"/>
    <w:rsid w:val="0007362A"/>
    <w:rsid w:val="000739BE"/>
    <w:rsid w:val="00073D38"/>
    <w:rsid w:val="00073E91"/>
    <w:rsid w:val="00073F5A"/>
    <w:rsid w:val="000740F9"/>
    <w:rsid w:val="000742FE"/>
    <w:rsid w:val="000743E6"/>
    <w:rsid w:val="0007441F"/>
    <w:rsid w:val="00074442"/>
    <w:rsid w:val="00074449"/>
    <w:rsid w:val="000745E4"/>
    <w:rsid w:val="000745E7"/>
    <w:rsid w:val="000746F0"/>
    <w:rsid w:val="00074810"/>
    <w:rsid w:val="0007486A"/>
    <w:rsid w:val="00074D22"/>
    <w:rsid w:val="00074D73"/>
    <w:rsid w:val="00074E83"/>
    <w:rsid w:val="00074F81"/>
    <w:rsid w:val="00074FA5"/>
    <w:rsid w:val="00074FB2"/>
    <w:rsid w:val="00075077"/>
    <w:rsid w:val="00075135"/>
    <w:rsid w:val="00075223"/>
    <w:rsid w:val="0007524D"/>
    <w:rsid w:val="00075281"/>
    <w:rsid w:val="00075357"/>
    <w:rsid w:val="00075428"/>
    <w:rsid w:val="00075543"/>
    <w:rsid w:val="000758B7"/>
    <w:rsid w:val="000758BF"/>
    <w:rsid w:val="00075909"/>
    <w:rsid w:val="0007595D"/>
    <w:rsid w:val="00075995"/>
    <w:rsid w:val="00075AE5"/>
    <w:rsid w:val="00075BD5"/>
    <w:rsid w:val="00075D6F"/>
    <w:rsid w:val="00075DEC"/>
    <w:rsid w:val="00075F13"/>
    <w:rsid w:val="00075FCF"/>
    <w:rsid w:val="000761E2"/>
    <w:rsid w:val="00076222"/>
    <w:rsid w:val="0007626D"/>
    <w:rsid w:val="000763C5"/>
    <w:rsid w:val="00076638"/>
    <w:rsid w:val="00076661"/>
    <w:rsid w:val="000766B6"/>
    <w:rsid w:val="000767F7"/>
    <w:rsid w:val="00076834"/>
    <w:rsid w:val="0007689E"/>
    <w:rsid w:val="00076904"/>
    <w:rsid w:val="0007695D"/>
    <w:rsid w:val="00076B88"/>
    <w:rsid w:val="00076B8C"/>
    <w:rsid w:val="00076CA6"/>
    <w:rsid w:val="00076E62"/>
    <w:rsid w:val="00076EDE"/>
    <w:rsid w:val="000771C5"/>
    <w:rsid w:val="00077262"/>
    <w:rsid w:val="000773E1"/>
    <w:rsid w:val="00077629"/>
    <w:rsid w:val="0007764F"/>
    <w:rsid w:val="000777E4"/>
    <w:rsid w:val="00077BBD"/>
    <w:rsid w:val="00077BDB"/>
    <w:rsid w:val="00077C2C"/>
    <w:rsid w:val="00077C7E"/>
    <w:rsid w:val="00077CA0"/>
    <w:rsid w:val="00077CDA"/>
    <w:rsid w:val="00077CFB"/>
    <w:rsid w:val="00077D3B"/>
    <w:rsid w:val="00077F5A"/>
    <w:rsid w:val="000801BB"/>
    <w:rsid w:val="000801FA"/>
    <w:rsid w:val="00080646"/>
    <w:rsid w:val="000807BE"/>
    <w:rsid w:val="0008083B"/>
    <w:rsid w:val="00080958"/>
    <w:rsid w:val="000809B9"/>
    <w:rsid w:val="00080CCE"/>
    <w:rsid w:val="00080D8D"/>
    <w:rsid w:val="00080F3B"/>
    <w:rsid w:val="0008108C"/>
    <w:rsid w:val="0008138D"/>
    <w:rsid w:val="00081410"/>
    <w:rsid w:val="000817E9"/>
    <w:rsid w:val="000818BC"/>
    <w:rsid w:val="000819C4"/>
    <w:rsid w:val="000819E6"/>
    <w:rsid w:val="00081A6B"/>
    <w:rsid w:val="00081B4E"/>
    <w:rsid w:val="00081CC5"/>
    <w:rsid w:val="00081EB2"/>
    <w:rsid w:val="00081F69"/>
    <w:rsid w:val="00081FBE"/>
    <w:rsid w:val="0008200E"/>
    <w:rsid w:val="00082095"/>
    <w:rsid w:val="0008213D"/>
    <w:rsid w:val="00082182"/>
    <w:rsid w:val="00082258"/>
    <w:rsid w:val="000822B1"/>
    <w:rsid w:val="0008238C"/>
    <w:rsid w:val="0008258A"/>
    <w:rsid w:val="000825A3"/>
    <w:rsid w:val="000825E1"/>
    <w:rsid w:val="00082600"/>
    <w:rsid w:val="00082648"/>
    <w:rsid w:val="0008265B"/>
    <w:rsid w:val="000826CB"/>
    <w:rsid w:val="000829AA"/>
    <w:rsid w:val="00082A0A"/>
    <w:rsid w:val="00082B6B"/>
    <w:rsid w:val="00082CCB"/>
    <w:rsid w:val="00082CCE"/>
    <w:rsid w:val="00082D33"/>
    <w:rsid w:val="00082D6C"/>
    <w:rsid w:val="00082DB8"/>
    <w:rsid w:val="00082E56"/>
    <w:rsid w:val="00082EBE"/>
    <w:rsid w:val="00082F16"/>
    <w:rsid w:val="00083139"/>
    <w:rsid w:val="00083360"/>
    <w:rsid w:val="000837E2"/>
    <w:rsid w:val="0008399A"/>
    <w:rsid w:val="000839E0"/>
    <w:rsid w:val="00083A72"/>
    <w:rsid w:val="00083B18"/>
    <w:rsid w:val="00083BAB"/>
    <w:rsid w:val="00083D0A"/>
    <w:rsid w:val="00083E36"/>
    <w:rsid w:val="00083E84"/>
    <w:rsid w:val="00083F17"/>
    <w:rsid w:val="00083FAE"/>
    <w:rsid w:val="00083FBD"/>
    <w:rsid w:val="0008403F"/>
    <w:rsid w:val="000842B5"/>
    <w:rsid w:val="000842C9"/>
    <w:rsid w:val="000843B4"/>
    <w:rsid w:val="000844CA"/>
    <w:rsid w:val="0008450B"/>
    <w:rsid w:val="000845FA"/>
    <w:rsid w:val="00084662"/>
    <w:rsid w:val="00084CF6"/>
    <w:rsid w:val="00084FAE"/>
    <w:rsid w:val="00085276"/>
    <w:rsid w:val="00085321"/>
    <w:rsid w:val="000853C5"/>
    <w:rsid w:val="0008543C"/>
    <w:rsid w:val="0008568A"/>
    <w:rsid w:val="000856F5"/>
    <w:rsid w:val="000857EA"/>
    <w:rsid w:val="000858DE"/>
    <w:rsid w:val="0008597F"/>
    <w:rsid w:val="00085B86"/>
    <w:rsid w:val="00085BCF"/>
    <w:rsid w:val="00085C5D"/>
    <w:rsid w:val="00085E35"/>
    <w:rsid w:val="0008604F"/>
    <w:rsid w:val="00086161"/>
    <w:rsid w:val="000861D0"/>
    <w:rsid w:val="0008631E"/>
    <w:rsid w:val="000863FB"/>
    <w:rsid w:val="0008650F"/>
    <w:rsid w:val="00086511"/>
    <w:rsid w:val="0008678E"/>
    <w:rsid w:val="000867FA"/>
    <w:rsid w:val="00086822"/>
    <w:rsid w:val="0008682B"/>
    <w:rsid w:val="00086A4D"/>
    <w:rsid w:val="00086A9E"/>
    <w:rsid w:val="00086BF7"/>
    <w:rsid w:val="00086DDF"/>
    <w:rsid w:val="00086E45"/>
    <w:rsid w:val="00086E7F"/>
    <w:rsid w:val="00086F5D"/>
    <w:rsid w:val="0008702F"/>
    <w:rsid w:val="00087107"/>
    <w:rsid w:val="00087125"/>
    <w:rsid w:val="000872CB"/>
    <w:rsid w:val="000873EF"/>
    <w:rsid w:val="000873F1"/>
    <w:rsid w:val="00087431"/>
    <w:rsid w:val="00087453"/>
    <w:rsid w:val="00087609"/>
    <w:rsid w:val="00087655"/>
    <w:rsid w:val="000877D8"/>
    <w:rsid w:val="00087892"/>
    <w:rsid w:val="000878B6"/>
    <w:rsid w:val="00087A2E"/>
    <w:rsid w:val="00087A45"/>
    <w:rsid w:val="00087A7A"/>
    <w:rsid w:val="00087A83"/>
    <w:rsid w:val="00087ADC"/>
    <w:rsid w:val="00087B17"/>
    <w:rsid w:val="00087C5D"/>
    <w:rsid w:val="00087D2B"/>
    <w:rsid w:val="000901EF"/>
    <w:rsid w:val="00090271"/>
    <w:rsid w:val="00090293"/>
    <w:rsid w:val="00090299"/>
    <w:rsid w:val="00090370"/>
    <w:rsid w:val="0009045E"/>
    <w:rsid w:val="000904CC"/>
    <w:rsid w:val="0009050D"/>
    <w:rsid w:val="000906BA"/>
    <w:rsid w:val="00090721"/>
    <w:rsid w:val="00090796"/>
    <w:rsid w:val="0009084E"/>
    <w:rsid w:val="0009092D"/>
    <w:rsid w:val="0009096E"/>
    <w:rsid w:val="000909F8"/>
    <w:rsid w:val="00090A28"/>
    <w:rsid w:val="00090A9A"/>
    <w:rsid w:val="00090C69"/>
    <w:rsid w:val="00090D8F"/>
    <w:rsid w:val="00090E26"/>
    <w:rsid w:val="00090FAD"/>
    <w:rsid w:val="0009100C"/>
    <w:rsid w:val="0009104D"/>
    <w:rsid w:val="000910F4"/>
    <w:rsid w:val="0009111A"/>
    <w:rsid w:val="00091266"/>
    <w:rsid w:val="0009129C"/>
    <w:rsid w:val="0009168C"/>
    <w:rsid w:val="00091911"/>
    <w:rsid w:val="00091950"/>
    <w:rsid w:val="00091995"/>
    <w:rsid w:val="00091A23"/>
    <w:rsid w:val="00091AF8"/>
    <w:rsid w:val="00091C20"/>
    <w:rsid w:val="00091DE5"/>
    <w:rsid w:val="00091E5D"/>
    <w:rsid w:val="00091F63"/>
    <w:rsid w:val="0009201B"/>
    <w:rsid w:val="0009202F"/>
    <w:rsid w:val="0009203C"/>
    <w:rsid w:val="00092199"/>
    <w:rsid w:val="0009225E"/>
    <w:rsid w:val="000922AC"/>
    <w:rsid w:val="0009238E"/>
    <w:rsid w:val="000923A4"/>
    <w:rsid w:val="000923BF"/>
    <w:rsid w:val="0009256A"/>
    <w:rsid w:val="000926AE"/>
    <w:rsid w:val="00092736"/>
    <w:rsid w:val="00092842"/>
    <w:rsid w:val="00092880"/>
    <w:rsid w:val="00092F7C"/>
    <w:rsid w:val="00092FA8"/>
    <w:rsid w:val="00093059"/>
    <w:rsid w:val="000930B9"/>
    <w:rsid w:val="00093497"/>
    <w:rsid w:val="000936E5"/>
    <w:rsid w:val="000938C0"/>
    <w:rsid w:val="000939E1"/>
    <w:rsid w:val="00093A6D"/>
    <w:rsid w:val="00093BD9"/>
    <w:rsid w:val="00093D83"/>
    <w:rsid w:val="00093DC0"/>
    <w:rsid w:val="0009435B"/>
    <w:rsid w:val="00094528"/>
    <w:rsid w:val="000945E0"/>
    <w:rsid w:val="000946ED"/>
    <w:rsid w:val="00094731"/>
    <w:rsid w:val="000947B6"/>
    <w:rsid w:val="000947DA"/>
    <w:rsid w:val="00094954"/>
    <w:rsid w:val="00094986"/>
    <w:rsid w:val="00094B3A"/>
    <w:rsid w:val="00094D85"/>
    <w:rsid w:val="00094D8C"/>
    <w:rsid w:val="00094D93"/>
    <w:rsid w:val="00094DB0"/>
    <w:rsid w:val="00094E4D"/>
    <w:rsid w:val="00094F69"/>
    <w:rsid w:val="00094F79"/>
    <w:rsid w:val="00094FB5"/>
    <w:rsid w:val="00095068"/>
    <w:rsid w:val="000953AE"/>
    <w:rsid w:val="00095499"/>
    <w:rsid w:val="000954B7"/>
    <w:rsid w:val="00095663"/>
    <w:rsid w:val="000957F3"/>
    <w:rsid w:val="000959F9"/>
    <w:rsid w:val="00095B54"/>
    <w:rsid w:val="00095B59"/>
    <w:rsid w:val="00095B77"/>
    <w:rsid w:val="00095B87"/>
    <w:rsid w:val="00095E41"/>
    <w:rsid w:val="00095FE2"/>
    <w:rsid w:val="00096130"/>
    <w:rsid w:val="000962FC"/>
    <w:rsid w:val="00096346"/>
    <w:rsid w:val="00096390"/>
    <w:rsid w:val="0009643B"/>
    <w:rsid w:val="00096596"/>
    <w:rsid w:val="000965EE"/>
    <w:rsid w:val="000968C1"/>
    <w:rsid w:val="000968E7"/>
    <w:rsid w:val="0009690E"/>
    <w:rsid w:val="00096AB1"/>
    <w:rsid w:val="00096B78"/>
    <w:rsid w:val="00096BDB"/>
    <w:rsid w:val="00096CA7"/>
    <w:rsid w:val="00096D26"/>
    <w:rsid w:val="00096EAD"/>
    <w:rsid w:val="00097101"/>
    <w:rsid w:val="00097221"/>
    <w:rsid w:val="00097292"/>
    <w:rsid w:val="00097409"/>
    <w:rsid w:val="00097792"/>
    <w:rsid w:val="00097851"/>
    <w:rsid w:val="00097A5D"/>
    <w:rsid w:val="00097BD3"/>
    <w:rsid w:val="00097D3A"/>
    <w:rsid w:val="00097F15"/>
    <w:rsid w:val="000A00A0"/>
    <w:rsid w:val="000A00CF"/>
    <w:rsid w:val="000A0268"/>
    <w:rsid w:val="000A038E"/>
    <w:rsid w:val="000A069B"/>
    <w:rsid w:val="000A0972"/>
    <w:rsid w:val="000A09FA"/>
    <w:rsid w:val="000A0AE1"/>
    <w:rsid w:val="000A0E5D"/>
    <w:rsid w:val="000A0EE8"/>
    <w:rsid w:val="000A1047"/>
    <w:rsid w:val="000A1110"/>
    <w:rsid w:val="000A1207"/>
    <w:rsid w:val="000A134B"/>
    <w:rsid w:val="000A1518"/>
    <w:rsid w:val="000A151E"/>
    <w:rsid w:val="000A15DF"/>
    <w:rsid w:val="000A17BE"/>
    <w:rsid w:val="000A1CA3"/>
    <w:rsid w:val="000A1CB4"/>
    <w:rsid w:val="000A1D25"/>
    <w:rsid w:val="000A1DC1"/>
    <w:rsid w:val="000A1E31"/>
    <w:rsid w:val="000A1E34"/>
    <w:rsid w:val="000A1E56"/>
    <w:rsid w:val="000A2015"/>
    <w:rsid w:val="000A208E"/>
    <w:rsid w:val="000A2171"/>
    <w:rsid w:val="000A21AF"/>
    <w:rsid w:val="000A2244"/>
    <w:rsid w:val="000A22BF"/>
    <w:rsid w:val="000A22C5"/>
    <w:rsid w:val="000A2455"/>
    <w:rsid w:val="000A258B"/>
    <w:rsid w:val="000A277A"/>
    <w:rsid w:val="000A2861"/>
    <w:rsid w:val="000A2975"/>
    <w:rsid w:val="000A29FE"/>
    <w:rsid w:val="000A2C2C"/>
    <w:rsid w:val="000A2C37"/>
    <w:rsid w:val="000A2D6E"/>
    <w:rsid w:val="000A2DDC"/>
    <w:rsid w:val="000A2DE2"/>
    <w:rsid w:val="000A2F97"/>
    <w:rsid w:val="000A2FD4"/>
    <w:rsid w:val="000A3018"/>
    <w:rsid w:val="000A30DA"/>
    <w:rsid w:val="000A31DD"/>
    <w:rsid w:val="000A32C7"/>
    <w:rsid w:val="000A32CB"/>
    <w:rsid w:val="000A3435"/>
    <w:rsid w:val="000A360D"/>
    <w:rsid w:val="000A361F"/>
    <w:rsid w:val="000A368F"/>
    <w:rsid w:val="000A36E8"/>
    <w:rsid w:val="000A3A80"/>
    <w:rsid w:val="000A3FB7"/>
    <w:rsid w:val="000A413C"/>
    <w:rsid w:val="000A4228"/>
    <w:rsid w:val="000A422E"/>
    <w:rsid w:val="000A4419"/>
    <w:rsid w:val="000A44F4"/>
    <w:rsid w:val="000A4760"/>
    <w:rsid w:val="000A4811"/>
    <w:rsid w:val="000A48E9"/>
    <w:rsid w:val="000A49B8"/>
    <w:rsid w:val="000A4A2F"/>
    <w:rsid w:val="000A4A4E"/>
    <w:rsid w:val="000A4B36"/>
    <w:rsid w:val="000A4BBC"/>
    <w:rsid w:val="000A4CB0"/>
    <w:rsid w:val="000A4D7C"/>
    <w:rsid w:val="000A4FE4"/>
    <w:rsid w:val="000A4FEE"/>
    <w:rsid w:val="000A5029"/>
    <w:rsid w:val="000A5094"/>
    <w:rsid w:val="000A52BA"/>
    <w:rsid w:val="000A5335"/>
    <w:rsid w:val="000A5416"/>
    <w:rsid w:val="000A5612"/>
    <w:rsid w:val="000A5755"/>
    <w:rsid w:val="000A57EB"/>
    <w:rsid w:val="000A5D5B"/>
    <w:rsid w:val="000A601F"/>
    <w:rsid w:val="000A609D"/>
    <w:rsid w:val="000A612F"/>
    <w:rsid w:val="000A622D"/>
    <w:rsid w:val="000A62BA"/>
    <w:rsid w:val="000A634B"/>
    <w:rsid w:val="000A6430"/>
    <w:rsid w:val="000A6954"/>
    <w:rsid w:val="000A6994"/>
    <w:rsid w:val="000A6A7B"/>
    <w:rsid w:val="000A6B86"/>
    <w:rsid w:val="000A6BD0"/>
    <w:rsid w:val="000A6E8E"/>
    <w:rsid w:val="000A7362"/>
    <w:rsid w:val="000A74D0"/>
    <w:rsid w:val="000A7571"/>
    <w:rsid w:val="000A7611"/>
    <w:rsid w:val="000A768B"/>
    <w:rsid w:val="000A76B3"/>
    <w:rsid w:val="000A7715"/>
    <w:rsid w:val="000A7721"/>
    <w:rsid w:val="000A7798"/>
    <w:rsid w:val="000A781B"/>
    <w:rsid w:val="000A7A2B"/>
    <w:rsid w:val="000A7C6B"/>
    <w:rsid w:val="000A7EDC"/>
    <w:rsid w:val="000B0088"/>
    <w:rsid w:val="000B014D"/>
    <w:rsid w:val="000B02AD"/>
    <w:rsid w:val="000B0335"/>
    <w:rsid w:val="000B034A"/>
    <w:rsid w:val="000B0361"/>
    <w:rsid w:val="000B03C3"/>
    <w:rsid w:val="000B04A7"/>
    <w:rsid w:val="000B0660"/>
    <w:rsid w:val="000B069C"/>
    <w:rsid w:val="000B06AB"/>
    <w:rsid w:val="000B09A2"/>
    <w:rsid w:val="000B0B17"/>
    <w:rsid w:val="000B0D94"/>
    <w:rsid w:val="000B0EEE"/>
    <w:rsid w:val="000B104F"/>
    <w:rsid w:val="000B10B5"/>
    <w:rsid w:val="000B10FB"/>
    <w:rsid w:val="000B11A6"/>
    <w:rsid w:val="000B1274"/>
    <w:rsid w:val="000B13C2"/>
    <w:rsid w:val="000B1482"/>
    <w:rsid w:val="000B1512"/>
    <w:rsid w:val="000B15E3"/>
    <w:rsid w:val="000B17DC"/>
    <w:rsid w:val="000B1814"/>
    <w:rsid w:val="000B183D"/>
    <w:rsid w:val="000B18A1"/>
    <w:rsid w:val="000B1921"/>
    <w:rsid w:val="000B19AF"/>
    <w:rsid w:val="000B1B00"/>
    <w:rsid w:val="000B1C26"/>
    <w:rsid w:val="000B1C78"/>
    <w:rsid w:val="000B1D5C"/>
    <w:rsid w:val="000B1E60"/>
    <w:rsid w:val="000B202D"/>
    <w:rsid w:val="000B212C"/>
    <w:rsid w:val="000B216A"/>
    <w:rsid w:val="000B2282"/>
    <w:rsid w:val="000B229B"/>
    <w:rsid w:val="000B22F8"/>
    <w:rsid w:val="000B2324"/>
    <w:rsid w:val="000B23AC"/>
    <w:rsid w:val="000B25A3"/>
    <w:rsid w:val="000B26F3"/>
    <w:rsid w:val="000B27DA"/>
    <w:rsid w:val="000B2855"/>
    <w:rsid w:val="000B29C0"/>
    <w:rsid w:val="000B2B89"/>
    <w:rsid w:val="000B2D3C"/>
    <w:rsid w:val="000B2E2D"/>
    <w:rsid w:val="000B2E68"/>
    <w:rsid w:val="000B2EFB"/>
    <w:rsid w:val="000B3044"/>
    <w:rsid w:val="000B31F5"/>
    <w:rsid w:val="000B3358"/>
    <w:rsid w:val="000B337C"/>
    <w:rsid w:val="000B339A"/>
    <w:rsid w:val="000B38A8"/>
    <w:rsid w:val="000B3A55"/>
    <w:rsid w:val="000B3A61"/>
    <w:rsid w:val="000B3BCF"/>
    <w:rsid w:val="000B3CA2"/>
    <w:rsid w:val="000B3CE5"/>
    <w:rsid w:val="000B3D0C"/>
    <w:rsid w:val="000B3DED"/>
    <w:rsid w:val="000B3F60"/>
    <w:rsid w:val="000B4185"/>
    <w:rsid w:val="000B42A6"/>
    <w:rsid w:val="000B44B7"/>
    <w:rsid w:val="000B4603"/>
    <w:rsid w:val="000B4642"/>
    <w:rsid w:val="000B495E"/>
    <w:rsid w:val="000B49E0"/>
    <w:rsid w:val="000B4A7C"/>
    <w:rsid w:val="000B4BCB"/>
    <w:rsid w:val="000B4D18"/>
    <w:rsid w:val="000B4DD5"/>
    <w:rsid w:val="000B4E14"/>
    <w:rsid w:val="000B4E23"/>
    <w:rsid w:val="000B4E41"/>
    <w:rsid w:val="000B4F4C"/>
    <w:rsid w:val="000B4FB2"/>
    <w:rsid w:val="000B50E7"/>
    <w:rsid w:val="000B5114"/>
    <w:rsid w:val="000B52C9"/>
    <w:rsid w:val="000B53F8"/>
    <w:rsid w:val="000B553C"/>
    <w:rsid w:val="000B553D"/>
    <w:rsid w:val="000B5749"/>
    <w:rsid w:val="000B59F8"/>
    <w:rsid w:val="000B5A9C"/>
    <w:rsid w:val="000B5C17"/>
    <w:rsid w:val="000B5EB2"/>
    <w:rsid w:val="000B6148"/>
    <w:rsid w:val="000B61BE"/>
    <w:rsid w:val="000B6203"/>
    <w:rsid w:val="000B624D"/>
    <w:rsid w:val="000B634A"/>
    <w:rsid w:val="000B63C2"/>
    <w:rsid w:val="000B659E"/>
    <w:rsid w:val="000B6760"/>
    <w:rsid w:val="000B69F5"/>
    <w:rsid w:val="000B69FC"/>
    <w:rsid w:val="000B6BE1"/>
    <w:rsid w:val="000B6DBC"/>
    <w:rsid w:val="000B7177"/>
    <w:rsid w:val="000B7466"/>
    <w:rsid w:val="000B7713"/>
    <w:rsid w:val="000B79CD"/>
    <w:rsid w:val="000B7A20"/>
    <w:rsid w:val="000B7D60"/>
    <w:rsid w:val="000B7D69"/>
    <w:rsid w:val="000B7DB8"/>
    <w:rsid w:val="000B7E38"/>
    <w:rsid w:val="000C017E"/>
    <w:rsid w:val="000C02AA"/>
    <w:rsid w:val="000C0471"/>
    <w:rsid w:val="000C04BB"/>
    <w:rsid w:val="000C05B7"/>
    <w:rsid w:val="000C072D"/>
    <w:rsid w:val="000C08F3"/>
    <w:rsid w:val="000C0AB1"/>
    <w:rsid w:val="000C0AC6"/>
    <w:rsid w:val="000C0B34"/>
    <w:rsid w:val="000C0BD7"/>
    <w:rsid w:val="000C0C7B"/>
    <w:rsid w:val="000C0C80"/>
    <w:rsid w:val="000C0DCE"/>
    <w:rsid w:val="000C0E5D"/>
    <w:rsid w:val="000C0ED8"/>
    <w:rsid w:val="000C1098"/>
    <w:rsid w:val="000C10B3"/>
    <w:rsid w:val="000C145E"/>
    <w:rsid w:val="000C15B3"/>
    <w:rsid w:val="000C183D"/>
    <w:rsid w:val="000C18BF"/>
    <w:rsid w:val="000C1BA0"/>
    <w:rsid w:val="000C1C14"/>
    <w:rsid w:val="000C1C83"/>
    <w:rsid w:val="000C1D76"/>
    <w:rsid w:val="000C1DE7"/>
    <w:rsid w:val="000C2250"/>
    <w:rsid w:val="000C2371"/>
    <w:rsid w:val="000C23FE"/>
    <w:rsid w:val="000C2445"/>
    <w:rsid w:val="000C254E"/>
    <w:rsid w:val="000C255B"/>
    <w:rsid w:val="000C25AF"/>
    <w:rsid w:val="000C25CF"/>
    <w:rsid w:val="000C275C"/>
    <w:rsid w:val="000C2815"/>
    <w:rsid w:val="000C28A2"/>
    <w:rsid w:val="000C2943"/>
    <w:rsid w:val="000C2AC9"/>
    <w:rsid w:val="000C2B36"/>
    <w:rsid w:val="000C2B65"/>
    <w:rsid w:val="000C2D25"/>
    <w:rsid w:val="000C2F87"/>
    <w:rsid w:val="000C3042"/>
    <w:rsid w:val="000C305F"/>
    <w:rsid w:val="000C307E"/>
    <w:rsid w:val="000C30B7"/>
    <w:rsid w:val="000C30C0"/>
    <w:rsid w:val="000C36DA"/>
    <w:rsid w:val="000C372D"/>
    <w:rsid w:val="000C3963"/>
    <w:rsid w:val="000C3B1E"/>
    <w:rsid w:val="000C3BAE"/>
    <w:rsid w:val="000C3DC2"/>
    <w:rsid w:val="000C3DCD"/>
    <w:rsid w:val="000C3E2D"/>
    <w:rsid w:val="000C3FCC"/>
    <w:rsid w:val="000C4212"/>
    <w:rsid w:val="000C43A0"/>
    <w:rsid w:val="000C44C7"/>
    <w:rsid w:val="000C4519"/>
    <w:rsid w:val="000C454C"/>
    <w:rsid w:val="000C4757"/>
    <w:rsid w:val="000C478A"/>
    <w:rsid w:val="000C4898"/>
    <w:rsid w:val="000C4A4B"/>
    <w:rsid w:val="000C4BC2"/>
    <w:rsid w:val="000C4FA6"/>
    <w:rsid w:val="000C5119"/>
    <w:rsid w:val="000C5183"/>
    <w:rsid w:val="000C520C"/>
    <w:rsid w:val="000C52FC"/>
    <w:rsid w:val="000C5535"/>
    <w:rsid w:val="000C55FA"/>
    <w:rsid w:val="000C565E"/>
    <w:rsid w:val="000C56D1"/>
    <w:rsid w:val="000C585B"/>
    <w:rsid w:val="000C5965"/>
    <w:rsid w:val="000C5975"/>
    <w:rsid w:val="000C5A83"/>
    <w:rsid w:val="000C5B1F"/>
    <w:rsid w:val="000C5D10"/>
    <w:rsid w:val="000C5D17"/>
    <w:rsid w:val="000C5D74"/>
    <w:rsid w:val="000C5DBD"/>
    <w:rsid w:val="000C5F87"/>
    <w:rsid w:val="000C5FA2"/>
    <w:rsid w:val="000C60B6"/>
    <w:rsid w:val="000C6269"/>
    <w:rsid w:val="000C63C6"/>
    <w:rsid w:val="000C6406"/>
    <w:rsid w:val="000C65A1"/>
    <w:rsid w:val="000C66F9"/>
    <w:rsid w:val="000C68C9"/>
    <w:rsid w:val="000C691F"/>
    <w:rsid w:val="000C6D0A"/>
    <w:rsid w:val="000C6E81"/>
    <w:rsid w:val="000C6F47"/>
    <w:rsid w:val="000C7011"/>
    <w:rsid w:val="000C7015"/>
    <w:rsid w:val="000C70DC"/>
    <w:rsid w:val="000C70F5"/>
    <w:rsid w:val="000C71F0"/>
    <w:rsid w:val="000C729B"/>
    <w:rsid w:val="000C7533"/>
    <w:rsid w:val="000C7602"/>
    <w:rsid w:val="000C76A2"/>
    <w:rsid w:val="000C76B4"/>
    <w:rsid w:val="000C7773"/>
    <w:rsid w:val="000C784E"/>
    <w:rsid w:val="000C7A86"/>
    <w:rsid w:val="000C7AAB"/>
    <w:rsid w:val="000C7B00"/>
    <w:rsid w:val="000C7B95"/>
    <w:rsid w:val="000C7E9F"/>
    <w:rsid w:val="000D0042"/>
    <w:rsid w:val="000D03BA"/>
    <w:rsid w:val="000D05C8"/>
    <w:rsid w:val="000D0A16"/>
    <w:rsid w:val="000D0ADC"/>
    <w:rsid w:val="000D0AEE"/>
    <w:rsid w:val="000D0BAA"/>
    <w:rsid w:val="000D0D43"/>
    <w:rsid w:val="000D0DE5"/>
    <w:rsid w:val="000D0E57"/>
    <w:rsid w:val="000D0EE6"/>
    <w:rsid w:val="000D0F97"/>
    <w:rsid w:val="000D1298"/>
    <w:rsid w:val="000D12A0"/>
    <w:rsid w:val="000D12F5"/>
    <w:rsid w:val="000D1737"/>
    <w:rsid w:val="000D1B9C"/>
    <w:rsid w:val="000D1BF9"/>
    <w:rsid w:val="000D1DAF"/>
    <w:rsid w:val="000D1F25"/>
    <w:rsid w:val="000D1F71"/>
    <w:rsid w:val="000D21B8"/>
    <w:rsid w:val="000D22AD"/>
    <w:rsid w:val="000D2321"/>
    <w:rsid w:val="000D247E"/>
    <w:rsid w:val="000D2576"/>
    <w:rsid w:val="000D26BB"/>
    <w:rsid w:val="000D28C8"/>
    <w:rsid w:val="000D293D"/>
    <w:rsid w:val="000D2BB8"/>
    <w:rsid w:val="000D2EC0"/>
    <w:rsid w:val="000D2F55"/>
    <w:rsid w:val="000D3041"/>
    <w:rsid w:val="000D315F"/>
    <w:rsid w:val="000D318E"/>
    <w:rsid w:val="000D3611"/>
    <w:rsid w:val="000D36F8"/>
    <w:rsid w:val="000D37F1"/>
    <w:rsid w:val="000D382D"/>
    <w:rsid w:val="000D38C0"/>
    <w:rsid w:val="000D3994"/>
    <w:rsid w:val="000D3A3C"/>
    <w:rsid w:val="000D3BAB"/>
    <w:rsid w:val="000D3BD3"/>
    <w:rsid w:val="000D3C25"/>
    <w:rsid w:val="000D3C38"/>
    <w:rsid w:val="000D3C72"/>
    <w:rsid w:val="000D3C82"/>
    <w:rsid w:val="000D3CE4"/>
    <w:rsid w:val="000D3CE5"/>
    <w:rsid w:val="000D3D1B"/>
    <w:rsid w:val="000D3E54"/>
    <w:rsid w:val="000D3EA4"/>
    <w:rsid w:val="000D41E1"/>
    <w:rsid w:val="000D41FC"/>
    <w:rsid w:val="000D4223"/>
    <w:rsid w:val="000D4369"/>
    <w:rsid w:val="000D4569"/>
    <w:rsid w:val="000D4630"/>
    <w:rsid w:val="000D468E"/>
    <w:rsid w:val="000D4AD5"/>
    <w:rsid w:val="000D4B36"/>
    <w:rsid w:val="000D4BFB"/>
    <w:rsid w:val="000D4CDC"/>
    <w:rsid w:val="000D4F74"/>
    <w:rsid w:val="000D53FF"/>
    <w:rsid w:val="000D544A"/>
    <w:rsid w:val="000D562D"/>
    <w:rsid w:val="000D57A4"/>
    <w:rsid w:val="000D5814"/>
    <w:rsid w:val="000D5976"/>
    <w:rsid w:val="000D5A36"/>
    <w:rsid w:val="000D5A3E"/>
    <w:rsid w:val="000D5B8D"/>
    <w:rsid w:val="000D5BB4"/>
    <w:rsid w:val="000D5BFA"/>
    <w:rsid w:val="000D5C34"/>
    <w:rsid w:val="000D5CB5"/>
    <w:rsid w:val="000D5D60"/>
    <w:rsid w:val="000D5DB1"/>
    <w:rsid w:val="000D5FB6"/>
    <w:rsid w:val="000D61D0"/>
    <w:rsid w:val="000D6317"/>
    <w:rsid w:val="000D646E"/>
    <w:rsid w:val="000D6867"/>
    <w:rsid w:val="000D6A6F"/>
    <w:rsid w:val="000D6B92"/>
    <w:rsid w:val="000D6BDC"/>
    <w:rsid w:val="000D6C51"/>
    <w:rsid w:val="000D6C98"/>
    <w:rsid w:val="000D6D34"/>
    <w:rsid w:val="000D6D3C"/>
    <w:rsid w:val="000D6E36"/>
    <w:rsid w:val="000D6EC6"/>
    <w:rsid w:val="000D6EC7"/>
    <w:rsid w:val="000D6F7B"/>
    <w:rsid w:val="000D7293"/>
    <w:rsid w:val="000D72F5"/>
    <w:rsid w:val="000D7313"/>
    <w:rsid w:val="000D7476"/>
    <w:rsid w:val="000D754A"/>
    <w:rsid w:val="000D75DF"/>
    <w:rsid w:val="000D78F4"/>
    <w:rsid w:val="000D7915"/>
    <w:rsid w:val="000D7A6D"/>
    <w:rsid w:val="000D7B3D"/>
    <w:rsid w:val="000D7BC9"/>
    <w:rsid w:val="000D7E23"/>
    <w:rsid w:val="000D7E38"/>
    <w:rsid w:val="000D7EFE"/>
    <w:rsid w:val="000D7FB4"/>
    <w:rsid w:val="000E0102"/>
    <w:rsid w:val="000E0152"/>
    <w:rsid w:val="000E01A8"/>
    <w:rsid w:val="000E022B"/>
    <w:rsid w:val="000E0403"/>
    <w:rsid w:val="000E0728"/>
    <w:rsid w:val="000E0833"/>
    <w:rsid w:val="000E09C0"/>
    <w:rsid w:val="000E0A9B"/>
    <w:rsid w:val="000E0FDF"/>
    <w:rsid w:val="000E105B"/>
    <w:rsid w:val="000E10C7"/>
    <w:rsid w:val="000E10DA"/>
    <w:rsid w:val="000E1233"/>
    <w:rsid w:val="000E12C9"/>
    <w:rsid w:val="000E12D9"/>
    <w:rsid w:val="000E13EC"/>
    <w:rsid w:val="000E1420"/>
    <w:rsid w:val="000E149B"/>
    <w:rsid w:val="000E152E"/>
    <w:rsid w:val="000E17C6"/>
    <w:rsid w:val="000E1911"/>
    <w:rsid w:val="000E19F9"/>
    <w:rsid w:val="000E1A7F"/>
    <w:rsid w:val="000E1CCB"/>
    <w:rsid w:val="000E1D24"/>
    <w:rsid w:val="000E1D46"/>
    <w:rsid w:val="000E1F47"/>
    <w:rsid w:val="000E2102"/>
    <w:rsid w:val="000E2214"/>
    <w:rsid w:val="000E224F"/>
    <w:rsid w:val="000E2393"/>
    <w:rsid w:val="000E23A7"/>
    <w:rsid w:val="000E23BB"/>
    <w:rsid w:val="000E23E1"/>
    <w:rsid w:val="000E23F7"/>
    <w:rsid w:val="000E2443"/>
    <w:rsid w:val="000E247B"/>
    <w:rsid w:val="000E24D0"/>
    <w:rsid w:val="000E271B"/>
    <w:rsid w:val="000E28D3"/>
    <w:rsid w:val="000E2980"/>
    <w:rsid w:val="000E2CAF"/>
    <w:rsid w:val="000E30BE"/>
    <w:rsid w:val="000E321F"/>
    <w:rsid w:val="000E32B2"/>
    <w:rsid w:val="000E32ED"/>
    <w:rsid w:val="000E334C"/>
    <w:rsid w:val="000E3489"/>
    <w:rsid w:val="000E34CC"/>
    <w:rsid w:val="000E3579"/>
    <w:rsid w:val="000E362C"/>
    <w:rsid w:val="000E3637"/>
    <w:rsid w:val="000E3D24"/>
    <w:rsid w:val="000E3DC4"/>
    <w:rsid w:val="000E3F77"/>
    <w:rsid w:val="000E40EC"/>
    <w:rsid w:val="000E4390"/>
    <w:rsid w:val="000E4403"/>
    <w:rsid w:val="000E44CE"/>
    <w:rsid w:val="000E46D7"/>
    <w:rsid w:val="000E498C"/>
    <w:rsid w:val="000E4B1D"/>
    <w:rsid w:val="000E4D52"/>
    <w:rsid w:val="000E4D71"/>
    <w:rsid w:val="000E4DF2"/>
    <w:rsid w:val="000E4F72"/>
    <w:rsid w:val="000E5048"/>
    <w:rsid w:val="000E523C"/>
    <w:rsid w:val="000E53C7"/>
    <w:rsid w:val="000E5722"/>
    <w:rsid w:val="000E58E4"/>
    <w:rsid w:val="000E5B4F"/>
    <w:rsid w:val="000E5F83"/>
    <w:rsid w:val="000E6113"/>
    <w:rsid w:val="000E618D"/>
    <w:rsid w:val="000E6225"/>
    <w:rsid w:val="000E64C7"/>
    <w:rsid w:val="000E65C2"/>
    <w:rsid w:val="000E65E1"/>
    <w:rsid w:val="000E663A"/>
    <w:rsid w:val="000E6653"/>
    <w:rsid w:val="000E671C"/>
    <w:rsid w:val="000E6AE2"/>
    <w:rsid w:val="000E6B08"/>
    <w:rsid w:val="000E6B66"/>
    <w:rsid w:val="000E6C18"/>
    <w:rsid w:val="000E6CBA"/>
    <w:rsid w:val="000E6CD9"/>
    <w:rsid w:val="000E6DC3"/>
    <w:rsid w:val="000E703C"/>
    <w:rsid w:val="000E713C"/>
    <w:rsid w:val="000E7194"/>
    <w:rsid w:val="000E71B0"/>
    <w:rsid w:val="000E71B2"/>
    <w:rsid w:val="000E7323"/>
    <w:rsid w:val="000E73B5"/>
    <w:rsid w:val="000E73ED"/>
    <w:rsid w:val="000E74AB"/>
    <w:rsid w:val="000E76EF"/>
    <w:rsid w:val="000E798F"/>
    <w:rsid w:val="000E79ED"/>
    <w:rsid w:val="000E7AD7"/>
    <w:rsid w:val="000E7C2A"/>
    <w:rsid w:val="000E7CE0"/>
    <w:rsid w:val="000E7DA3"/>
    <w:rsid w:val="000E7F3B"/>
    <w:rsid w:val="000E7F51"/>
    <w:rsid w:val="000F025B"/>
    <w:rsid w:val="000F02DD"/>
    <w:rsid w:val="000F048D"/>
    <w:rsid w:val="000F051D"/>
    <w:rsid w:val="000F0584"/>
    <w:rsid w:val="000F0586"/>
    <w:rsid w:val="000F059A"/>
    <w:rsid w:val="000F0619"/>
    <w:rsid w:val="000F07AE"/>
    <w:rsid w:val="000F07D9"/>
    <w:rsid w:val="000F0880"/>
    <w:rsid w:val="000F0A7D"/>
    <w:rsid w:val="000F0AAD"/>
    <w:rsid w:val="000F0AF5"/>
    <w:rsid w:val="000F0AF7"/>
    <w:rsid w:val="000F0C6F"/>
    <w:rsid w:val="000F0DDC"/>
    <w:rsid w:val="000F0DF3"/>
    <w:rsid w:val="000F0EAA"/>
    <w:rsid w:val="000F0F52"/>
    <w:rsid w:val="000F1063"/>
    <w:rsid w:val="000F1262"/>
    <w:rsid w:val="000F1277"/>
    <w:rsid w:val="000F1670"/>
    <w:rsid w:val="000F17A5"/>
    <w:rsid w:val="000F1808"/>
    <w:rsid w:val="000F1895"/>
    <w:rsid w:val="000F1C80"/>
    <w:rsid w:val="000F1F73"/>
    <w:rsid w:val="000F1F8C"/>
    <w:rsid w:val="000F207A"/>
    <w:rsid w:val="000F20AD"/>
    <w:rsid w:val="000F21A5"/>
    <w:rsid w:val="000F224A"/>
    <w:rsid w:val="000F2295"/>
    <w:rsid w:val="000F22CE"/>
    <w:rsid w:val="000F2424"/>
    <w:rsid w:val="000F24C4"/>
    <w:rsid w:val="000F24EC"/>
    <w:rsid w:val="000F258C"/>
    <w:rsid w:val="000F26D1"/>
    <w:rsid w:val="000F2A4C"/>
    <w:rsid w:val="000F2C0A"/>
    <w:rsid w:val="000F2E7C"/>
    <w:rsid w:val="000F2F3F"/>
    <w:rsid w:val="000F2FF4"/>
    <w:rsid w:val="000F3122"/>
    <w:rsid w:val="000F35B6"/>
    <w:rsid w:val="000F361B"/>
    <w:rsid w:val="000F368D"/>
    <w:rsid w:val="000F381A"/>
    <w:rsid w:val="000F3871"/>
    <w:rsid w:val="000F388C"/>
    <w:rsid w:val="000F3A7A"/>
    <w:rsid w:val="000F3B82"/>
    <w:rsid w:val="000F3E6E"/>
    <w:rsid w:val="000F3F92"/>
    <w:rsid w:val="000F3FA3"/>
    <w:rsid w:val="000F40EB"/>
    <w:rsid w:val="000F42E1"/>
    <w:rsid w:val="000F43C2"/>
    <w:rsid w:val="000F4444"/>
    <w:rsid w:val="000F4531"/>
    <w:rsid w:val="000F45E7"/>
    <w:rsid w:val="000F4785"/>
    <w:rsid w:val="000F48EA"/>
    <w:rsid w:val="000F4972"/>
    <w:rsid w:val="000F4985"/>
    <w:rsid w:val="000F4B0A"/>
    <w:rsid w:val="000F4ED9"/>
    <w:rsid w:val="000F526A"/>
    <w:rsid w:val="000F536D"/>
    <w:rsid w:val="000F53F1"/>
    <w:rsid w:val="000F543D"/>
    <w:rsid w:val="000F5481"/>
    <w:rsid w:val="000F558B"/>
    <w:rsid w:val="000F55C5"/>
    <w:rsid w:val="000F582D"/>
    <w:rsid w:val="000F5889"/>
    <w:rsid w:val="000F5A1C"/>
    <w:rsid w:val="000F5ABE"/>
    <w:rsid w:val="000F5B3B"/>
    <w:rsid w:val="000F5BFC"/>
    <w:rsid w:val="000F5D8F"/>
    <w:rsid w:val="000F5DE7"/>
    <w:rsid w:val="000F5EC4"/>
    <w:rsid w:val="000F60E0"/>
    <w:rsid w:val="000F63FE"/>
    <w:rsid w:val="000F65A1"/>
    <w:rsid w:val="000F6642"/>
    <w:rsid w:val="000F6B2F"/>
    <w:rsid w:val="000F6B42"/>
    <w:rsid w:val="000F6BF9"/>
    <w:rsid w:val="000F6CA5"/>
    <w:rsid w:val="000F6D2E"/>
    <w:rsid w:val="000F6E24"/>
    <w:rsid w:val="000F7332"/>
    <w:rsid w:val="000F74DC"/>
    <w:rsid w:val="000F75C8"/>
    <w:rsid w:val="000F79F3"/>
    <w:rsid w:val="000F7A6D"/>
    <w:rsid w:val="000F7A87"/>
    <w:rsid w:val="000F7BD5"/>
    <w:rsid w:val="000F7C7D"/>
    <w:rsid w:val="000F7CBB"/>
    <w:rsid w:val="000F7DCD"/>
    <w:rsid w:val="000F7F91"/>
    <w:rsid w:val="000F7FB2"/>
    <w:rsid w:val="0010009D"/>
    <w:rsid w:val="0010016C"/>
    <w:rsid w:val="001001BE"/>
    <w:rsid w:val="001002BB"/>
    <w:rsid w:val="001002F7"/>
    <w:rsid w:val="001005F5"/>
    <w:rsid w:val="0010064B"/>
    <w:rsid w:val="00100701"/>
    <w:rsid w:val="0010073C"/>
    <w:rsid w:val="001007FD"/>
    <w:rsid w:val="0010088D"/>
    <w:rsid w:val="001008E4"/>
    <w:rsid w:val="00100BEB"/>
    <w:rsid w:val="00100D45"/>
    <w:rsid w:val="00100D9E"/>
    <w:rsid w:val="00100E92"/>
    <w:rsid w:val="00100EA7"/>
    <w:rsid w:val="0010123D"/>
    <w:rsid w:val="001013CB"/>
    <w:rsid w:val="00101431"/>
    <w:rsid w:val="0010147C"/>
    <w:rsid w:val="00101543"/>
    <w:rsid w:val="001015D5"/>
    <w:rsid w:val="001016A0"/>
    <w:rsid w:val="001017B0"/>
    <w:rsid w:val="00101961"/>
    <w:rsid w:val="001019DF"/>
    <w:rsid w:val="00101D28"/>
    <w:rsid w:val="00101DEF"/>
    <w:rsid w:val="00102046"/>
    <w:rsid w:val="00102072"/>
    <w:rsid w:val="001020B3"/>
    <w:rsid w:val="001020B5"/>
    <w:rsid w:val="001021D7"/>
    <w:rsid w:val="001026E2"/>
    <w:rsid w:val="00102914"/>
    <w:rsid w:val="00102920"/>
    <w:rsid w:val="00102A90"/>
    <w:rsid w:val="00102B0F"/>
    <w:rsid w:val="00102B54"/>
    <w:rsid w:val="00102B79"/>
    <w:rsid w:val="00102CC3"/>
    <w:rsid w:val="00102D18"/>
    <w:rsid w:val="00102E88"/>
    <w:rsid w:val="00102F16"/>
    <w:rsid w:val="00102FD9"/>
    <w:rsid w:val="0010307E"/>
    <w:rsid w:val="00103236"/>
    <w:rsid w:val="00103258"/>
    <w:rsid w:val="001034CC"/>
    <w:rsid w:val="001034EF"/>
    <w:rsid w:val="00103598"/>
    <w:rsid w:val="0010360F"/>
    <w:rsid w:val="001036A6"/>
    <w:rsid w:val="001036E2"/>
    <w:rsid w:val="001038F6"/>
    <w:rsid w:val="00103918"/>
    <w:rsid w:val="00103953"/>
    <w:rsid w:val="00103B82"/>
    <w:rsid w:val="00103BD9"/>
    <w:rsid w:val="00103D01"/>
    <w:rsid w:val="00103F65"/>
    <w:rsid w:val="00104007"/>
    <w:rsid w:val="001040D2"/>
    <w:rsid w:val="0010416D"/>
    <w:rsid w:val="00104219"/>
    <w:rsid w:val="0010422B"/>
    <w:rsid w:val="0010435A"/>
    <w:rsid w:val="001044B0"/>
    <w:rsid w:val="001044D6"/>
    <w:rsid w:val="0010456B"/>
    <w:rsid w:val="001046B8"/>
    <w:rsid w:val="001047C4"/>
    <w:rsid w:val="001047FE"/>
    <w:rsid w:val="00104839"/>
    <w:rsid w:val="001048B3"/>
    <w:rsid w:val="00104A8D"/>
    <w:rsid w:val="00104B63"/>
    <w:rsid w:val="00104BA7"/>
    <w:rsid w:val="00104D14"/>
    <w:rsid w:val="00104D78"/>
    <w:rsid w:val="00104DB7"/>
    <w:rsid w:val="00105162"/>
    <w:rsid w:val="0010516A"/>
    <w:rsid w:val="00105173"/>
    <w:rsid w:val="001051B9"/>
    <w:rsid w:val="00105221"/>
    <w:rsid w:val="001054D7"/>
    <w:rsid w:val="0010552E"/>
    <w:rsid w:val="00105631"/>
    <w:rsid w:val="00105634"/>
    <w:rsid w:val="0010592D"/>
    <w:rsid w:val="001059A2"/>
    <w:rsid w:val="001059D2"/>
    <w:rsid w:val="00105A0D"/>
    <w:rsid w:val="00105A5E"/>
    <w:rsid w:val="00105B8F"/>
    <w:rsid w:val="00105DA6"/>
    <w:rsid w:val="00105E98"/>
    <w:rsid w:val="00105FD8"/>
    <w:rsid w:val="0010609D"/>
    <w:rsid w:val="001061C7"/>
    <w:rsid w:val="001062DF"/>
    <w:rsid w:val="001066E7"/>
    <w:rsid w:val="001067A6"/>
    <w:rsid w:val="0010689B"/>
    <w:rsid w:val="00106AAD"/>
    <w:rsid w:val="00106B32"/>
    <w:rsid w:val="00106CE9"/>
    <w:rsid w:val="00106F12"/>
    <w:rsid w:val="00106F8C"/>
    <w:rsid w:val="001070CF"/>
    <w:rsid w:val="00107279"/>
    <w:rsid w:val="00107404"/>
    <w:rsid w:val="00107578"/>
    <w:rsid w:val="001075B4"/>
    <w:rsid w:val="0010776F"/>
    <w:rsid w:val="001078AA"/>
    <w:rsid w:val="00107925"/>
    <w:rsid w:val="00107B92"/>
    <w:rsid w:val="00107C28"/>
    <w:rsid w:val="00107D9E"/>
    <w:rsid w:val="00107EB4"/>
    <w:rsid w:val="00107ECE"/>
    <w:rsid w:val="00107F6F"/>
    <w:rsid w:val="001100EA"/>
    <w:rsid w:val="001101BA"/>
    <w:rsid w:val="00110289"/>
    <w:rsid w:val="0011053F"/>
    <w:rsid w:val="001105AF"/>
    <w:rsid w:val="001106CA"/>
    <w:rsid w:val="00110B14"/>
    <w:rsid w:val="00110BD6"/>
    <w:rsid w:val="00110D71"/>
    <w:rsid w:val="00110FF5"/>
    <w:rsid w:val="00111107"/>
    <w:rsid w:val="0011113A"/>
    <w:rsid w:val="00111145"/>
    <w:rsid w:val="00111172"/>
    <w:rsid w:val="00111528"/>
    <w:rsid w:val="00111732"/>
    <w:rsid w:val="0011175D"/>
    <w:rsid w:val="00111A1D"/>
    <w:rsid w:val="00111B84"/>
    <w:rsid w:val="00111F92"/>
    <w:rsid w:val="00111FE9"/>
    <w:rsid w:val="001121B1"/>
    <w:rsid w:val="001126A9"/>
    <w:rsid w:val="00112738"/>
    <w:rsid w:val="001127F9"/>
    <w:rsid w:val="0011297D"/>
    <w:rsid w:val="00112D35"/>
    <w:rsid w:val="00112D40"/>
    <w:rsid w:val="00112DFE"/>
    <w:rsid w:val="0011314F"/>
    <w:rsid w:val="001131D7"/>
    <w:rsid w:val="00113619"/>
    <w:rsid w:val="0011366E"/>
    <w:rsid w:val="001137ED"/>
    <w:rsid w:val="00113884"/>
    <w:rsid w:val="00113CC9"/>
    <w:rsid w:val="00113D60"/>
    <w:rsid w:val="00114197"/>
    <w:rsid w:val="001141F6"/>
    <w:rsid w:val="00114268"/>
    <w:rsid w:val="0011428D"/>
    <w:rsid w:val="001143E1"/>
    <w:rsid w:val="0011449D"/>
    <w:rsid w:val="001144C1"/>
    <w:rsid w:val="00114548"/>
    <w:rsid w:val="00114580"/>
    <w:rsid w:val="001146F4"/>
    <w:rsid w:val="00114983"/>
    <w:rsid w:val="001149A9"/>
    <w:rsid w:val="001149DA"/>
    <w:rsid w:val="00114A4D"/>
    <w:rsid w:val="00114C2D"/>
    <w:rsid w:val="00114ECF"/>
    <w:rsid w:val="00115046"/>
    <w:rsid w:val="00115352"/>
    <w:rsid w:val="00115449"/>
    <w:rsid w:val="00115578"/>
    <w:rsid w:val="00115652"/>
    <w:rsid w:val="00115836"/>
    <w:rsid w:val="00115907"/>
    <w:rsid w:val="001159DE"/>
    <w:rsid w:val="00115A2C"/>
    <w:rsid w:val="00115B63"/>
    <w:rsid w:val="00115CBB"/>
    <w:rsid w:val="00115F3E"/>
    <w:rsid w:val="001162E5"/>
    <w:rsid w:val="00116353"/>
    <w:rsid w:val="0011645A"/>
    <w:rsid w:val="0011656A"/>
    <w:rsid w:val="00116648"/>
    <w:rsid w:val="001168D9"/>
    <w:rsid w:val="00116946"/>
    <w:rsid w:val="0011696B"/>
    <w:rsid w:val="00116C42"/>
    <w:rsid w:val="00116FDB"/>
    <w:rsid w:val="0011700B"/>
    <w:rsid w:val="00117256"/>
    <w:rsid w:val="00117372"/>
    <w:rsid w:val="00117415"/>
    <w:rsid w:val="0011743C"/>
    <w:rsid w:val="00117472"/>
    <w:rsid w:val="00117557"/>
    <w:rsid w:val="0011775E"/>
    <w:rsid w:val="001178AF"/>
    <w:rsid w:val="001178B3"/>
    <w:rsid w:val="00117AF2"/>
    <w:rsid w:val="00117B5F"/>
    <w:rsid w:val="001202B7"/>
    <w:rsid w:val="001204B6"/>
    <w:rsid w:val="001208AB"/>
    <w:rsid w:val="00120942"/>
    <w:rsid w:val="00120988"/>
    <w:rsid w:val="00120A5E"/>
    <w:rsid w:val="00120C9A"/>
    <w:rsid w:val="00120CAB"/>
    <w:rsid w:val="00120D2C"/>
    <w:rsid w:val="00120D80"/>
    <w:rsid w:val="00120FE3"/>
    <w:rsid w:val="00121092"/>
    <w:rsid w:val="00121203"/>
    <w:rsid w:val="0012129E"/>
    <w:rsid w:val="001213A8"/>
    <w:rsid w:val="0012149E"/>
    <w:rsid w:val="001214C0"/>
    <w:rsid w:val="00121554"/>
    <w:rsid w:val="0012157C"/>
    <w:rsid w:val="0012159C"/>
    <w:rsid w:val="001215FC"/>
    <w:rsid w:val="00121689"/>
    <w:rsid w:val="001218B2"/>
    <w:rsid w:val="00121995"/>
    <w:rsid w:val="001219AF"/>
    <w:rsid w:val="001219B6"/>
    <w:rsid w:val="00121B45"/>
    <w:rsid w:val="00121D11"/>
    <w:rsid w:val="00121D65"/>
    <w:rsid w:val="0012203F"/>
    <w:rsid w:val="00122089"/>
    <w:rsid w:val="00122097"/>
    <w:rsid w:val="001225B3"/>
    <w:rsid w:val="001226B7"/>
    <w:rsid w:val="00122769"/>
    <w:rsid w:val="0012277E"/>
    <w:rsid w:val="001229F8"/>
    <w:rsid w:val="00122A2F"/>
    <w:rsid w:val="00122B4F"/>
    <w:rsid w:val="00122B73"/>
    <w:rsid w:val="00122BF4"/>
    <w:rsid w:val="00122C0D"/>
    <w:rsid w:val="00122C74"/>
    <w:rsid w:val="00122E09"/>
    <w:rsid w:val="00122E1C"/>
    <w:rsid w:val="00123017"/>
    <w:rsid w:val="00123386"/>
    <w:rsid w:val="0012356E"/>
    <w:rsid w:val="0012364D"/>
    <w:rsid w:val="001236A6"/>
    <w:rsid w:val="00123711"/>
    <w:rsid w:val="001237D4"/>
    <w:rsid w:val="00123838"/>
    <w:rsid w:val="00123D54"/>
    <w:rsid w:val="00123EBE"/>
    <w:rsid w:val="00124169"/>
    <w:rsid w:val="00124303"/>
    <w:rsid w:val="00124422"/>
    <w:rsid w:val="0012460F"/>
    <w:rsid w:val="00124730"/>
    <w:rsid w:val="001249CF"/>
    <w:rsid w:val="00124B26"/>
    <w:rsid w:val="00124B4E"/>
    <w:rsid w:val="00124C0D"/>
    <w:rsid w:val="00124D8B"/>
    <w:rsid w:val="00124EB3"/>
    <w:rsid w:val="00125002"/>
    <w:rsid w:val="00125059"/>
    <w:rsid w:val="0012509D"/>
    <w:rsid w:val="00125340"/>
    <w:rsid w:val="001255EB"/>
    <w:rsid w:val="00125612"/>
    <w:rsid w:val="001257E0"/>
    <w:rsid w:val="001258E3"/>
    <w:rsid w:val="00125934"/>
    <w:rsid w:val="00125A81"/>
    <w:rsid w:val="00125BC0"/>
    <w:rsid w:val="00125BE1"/>
    <w:rsid w:val="00125C1E"/>
    <w:rsid w:val="00125C50"/>
    <w:rsid w:val="00125D17"/>
    <w:rsid w:val="00125F40"/>
    <w:rsid w:val="00125FD9"/>
    <w:rsid w:val="0012619F"/>
    <w:rsid w:val="001261A0"/>
    <w:rsid w:val="0012683F"/>
    <w:rsid w:val="00126942"/>
    <w:rsid w:val="00126953"/>
    <w:rsid w:val="00126AB2"/>
    <w:rsid w:val="00126B78"/>
    <w:rsid w:val="00126D18"/>
    <w:rsid w:val="00126DB5"/>
    <w:rsid w:val="00126EEE"/>
    <w:rsid w:val="00126F80"/>
    <w:rsid w:val="00127094"/>
    <w:rsid w:val="001273D1"/>
    <w:rsid w:val="001273ED"/>
    <w:rsid w:val="00127446"/>
    <w:rsid w:val="001274D8"/>
    <w:rsid w:val="0012754F"/>
    <w:rsid w:val="00127748"/>
    <w:rsid w:val="00127874"/>
    <w:rsid w:val="001279B6"/>
    <w:rsid w:val="00127C3D"/>
    <w:rsid w:val="00127C9B"/>
    <w:rsid w:val="00127DAF"/>
    <w:rsid w:val="00127EB4"/>
    <w:rsid w:val="00130033"/>
    <w:rsid w:val="0013004A"/>
    <w:rsid w:val="00130065"/>
    <w:rsid w:val="00130130"/>
    <w:rsid w:val="001301EB"/>
    <w:rsid w:val="00130238"/>
    <w:rsid w:val="0013024E"/>
    <w:rsid w:val="0013029F"/>
    <w:rsid w:val="001302DE"/>
    <w:rsid w:val="0013030B"/>
    <w:rsid w:val="00130476"/>
    <w:rsid w:val="0013049E"/>
    <w:rsid w:val="001305DE"/>
    <w:rsid w:val="00130712"/>
    <w:rsid w:val="00130896"/>
    <w:rsid w:val="001308A1"/>
    <w:rsid w:val="001308B3"/>
    <w:rsid w:val="001308C6"/>
    <w:rsid w:val="00130AB1"/>
    <w:rsid w:val="00130C64"/>
    <w:rsid w:val="00130CC0"/>
    <w:rsid w:val="00130E71"/>
    <w:rsid w:val="00130EA6"/>
    <w:rsid w:val="0013117C"/>
    <w:rsid w:val="001313B5"/>
    <w:rsid w:val="001314D3"/>
    <w:rsid w:val="001315D2"/>
    <w:rsid w:val="0013168E"/>
    <w:rsid w:val="0013169E"/>
    <w:rsid w:val="00131860"/>
    <w:rsid w:val="00131864"/>
    <w:rsid w:val="00131A03"/>
    <w:rsid w:val="00131B1E"/>
    <w:rsid w:val="00131CAC"/>
    <w:rsid w:val="00131CF1"/>
    <w:rsid w:val="00131D41"/>
    <w:rsid w:val="00131DB3"/>
    <w:rsid w:val="00131F70"/>
    <w:rsid w:val="00132429"/>
    <w:rsid w:val="00132433"/>
    <w:rsid w:val="0013262A"/>
    <w:rsid w:val="00132644"/>
    <w:rsid w:val="001327D7"/>
    <w:rsid w:val="001328CE"/>
    <w:rsid w:val="00132907"/>
    <w:rsid w:val="00132974"/>
    <w:rsid w:val="001329E2"/>
    <w:rsid w:val="00132A96"/>
    <w:rsid w:val="00132AE6"/>
    <w:rsid w:val="00132DF5"/>
    <w:rsid w:val="00132F0D"/>
    <w:rsid w:val="00132F66"/>
    <w:rsid w:val="0013309F"/>
    <w:rsid w:val="001331DF"/>
    <w:rsid w:val="001333A7"/>
    <w:rsid w:val="00133698"/>
    <w:rsid w:val="001337AE"/>
    <w:rsid w:val="00133D0E"/>
    <w:rsid w:val="00134070"/>
    <w:rsid w:val="001341CB"/>
    <w:rsid w:val="0013425F"/>
    <w:rsid w:val="001342FE"/>
    <w:rsid w:val="001343AB"/>
    <w:rsid w:val="00134637"/>
    <w:rsid w:val="0013484F"/>
    <w:rsid w:val="00134A23"/>
    <w:rsid w:val="00134A96"/>
    <w:rsid w:val="00134B5A"/>
    <w:rsid w:val="00134B6D"/>
    <w:rsid w:val="00134CA5"/>
    <w:rsid w:val="00134CC7"/>
    <w:rsid w:val="00134CCC"/>
    <w:rsid w:val="00134CD7"/>
    <w:rsid w:val="00134F9A"/>
    <w:rsid w:val="00135008"/>
    <w:rsid w:val="0013527E"/>
    <w:rsid w:val="00135282"/>
    <w:rsid w:val="001352C3"/>
    <w:rsid w:val="001352FD"/>
    <w:rsid w:val="00135309"/>
    <w:rsid w:val="001353F8"/>
    <w:rsid w:val="00135471"/>
    <w:rsid w:val="00135495"/>
    <w:rsid w:val="00135915"/>
    <w:rsid w:val="0013593E"/>
    <w:rsid w:val="00135BDA"/>
    <w:rsid w:val="00135D64"/>
    <w:rsid w:val="00135E01"/>
    <w:rsid w:val="00135E32"/>
    <w:rsid w:val="00135EA8"/>
    <w:rsid w:val="00136022"/>
    <w:rsid w:val="001361A9"/>
    <w:rsid w:val="00136318"/>
    <w:rsid w:val="001363E9"/>
    <w:rsid w:val="001364F9"/>
    <w:rsid w:val="00136507"/>
    <w:rsid w:val="00136564"/>
    <w:rsid w:val="001365AA"/>
    <w:rsid w:val="001368C1"/>
    <w:rsid w:val="001368E8"/>
    <w:rsid w:val="0013691C"/>
    <w:rsid w:val="00136950"/>
    <w:rsid w:val="0013695E"/>
    <w:rsid w:val="00136A05"/>
    <w:rsid w:val="00136D2F"/>
    <w:rsid w:val="00136F12"/>
    <w:rsid w:val="0013719F"/>
    <w:rsid w:val="001371AD"/>
    <w:rsid w:val="001371BC"/>
    <w:rsid w:val="00137483"/>
    <w:rsid w:val="00137587"/>
    <w:rsid w:val="0013763E"/>
    <w:rsid w:val="00137978"/>
    <w:rsid w:val="00137B71"/>
    <w:rsid w:val="00137BBF"/>
    <w:rsid w:val="00137C15"/>
    <w:rsid w:val="00137D97"/>
    <w:rsid w:val="0014020A"/>
    <w:rsid w:val="00140231"/>
    <w:rsid w:val="00140271"/>
    <w:rsid w:val="00140457"/>
    <w:rsid w:val="001406AB"/>
    <w:rsid w:val="001406E3"/>
    <w:rsid w:val="0014070B"/>
    <w:rsid w:val="0014094C"/>
    <w:rsid w:val="00140A96"/>
    <w:rsid w:val="00140ACC"/>
    <w:rsid w:val="00140BCB"/>
    <w:rsid w:val="00140E8F"/>
    <w:rsid w:val="0014111A"/>
    <w:rsid w:val="0014113A"/>
    <w:rsid w:val="00141216"/>
    <w:rsid w:val="00141296"/>
    <w:rsid w:val="0014135A"/>
    <w:rsid w:val="001414AA"/>
    <w:rsid w:val="001414C2"/>
    <w:rsid w:val="00141993"/>
    <w:rsid w:val="001419A9"/>
    <w:rsid w:val="00141B77"/>
    <w:rsid w:val="00141BF8"/>
    <w:rsid w:val="00141C4B"/>
    <w:rsid w:val="00141CF9"/>
    <w:rsid w:val="00141DE3"/>
    <w:rsid w:val="00141E99"/>
    <w:rsid w:val="00142153"/>
    <w:rsid w:val="001423FE"/>
    <w:rsid w:val="00142430"/>
    <w:rsid w:val="001425E8"/>
    <w:rsid w:val="0014282E"/>
    <w:rsid w:val="001428B5"/>
    <w:rsid w:val="00142B84"/>
    <w:rsid w:val="00142BA4"/>
    <w:rsid w:val="00142C5D"/>
    <w:rsid w:val="00142CE9"/>
    <w:rsid w:val="0014317D"/>
    <w:rsid w:val="001432E7"/>
    <w:rsid w:val="00143345"/>
    <w:rsid w:val="001434C7"/>
    <w:rsid w:val="00143553"/>
    <w:rsid w:val="001435BA"/>
    <w:rsid w:val="00143665"/>
    <w:rsid w:val="001436E9"/>
    <w:rsid w:val="00143716"/>
    <w:rsid w:val="00143756"/>
    <w:rsid w:val="00143ACA"/>
    <w:rsid w:val="00143B35"/>
    <w:rsid w:val="00143D4C"/>
    <w:rsid w:val="00143EBF"/>
    <w:rsid w:val="00143FB1"/>
    <w:rsid w:val="00143FC2"/>
    <w:rsid w:val="00144041"/>
    <w:rsid w:val="001440BA"/>
    <w:rsid w:val="0014417C"/>
    <w:rsid w:val="00144560"/>
    <w:rsid w:val="00144689"/>
    <w:rsid w:val="00144895"/>
    <w:rsid w:val="00144A3D"/>
    <w:rsid w:val="00144A45"/>
    <w:rsid w:val="00144D40"/>
    <w:rsid w:val="00145168"/>
    <w:rsid w:val="001451A4"/>
    <w:rsid w:val="001451D9"/>
    <w:rsid w:val="0014534B"/>
    <w:rsid w:val="00145507"/>
    <w:rsid w:val="0014557D"/>
    <w:rsid w:val="001455B6"/>
    <w:rsid w:val="00145727"/>
    <w:rsid w:val="00145895"/>
    <w:rsid w:val="001458CE"/>
    <w:rsid w:val="00145952"/>
    <w:rsid w:val="00145B3D"/>
    <w:rsid w:val="00145D7A"/>
    <w:rsid w:val="00145E99"/>
    <w:rsid w:val="00145EA6"/>
    <w:rsid w:val="00145FA2"/>
    <w:rsid w:val="00145FAB"/>
    <w:rsid w:val="0014618B"/>
    <w:rsid w:val="001462CC"/>
    <w:rsid w:val="001462EC"/>
    <w:rsid w:val="00146329"/>
    <w:rsid w:val="001464F4"/>
    <w:rsid w:val="00146592"/>
    <w:rsid w:val="001465DE"/>
    <w:rsid w:val="00146665"/>
    <w:rsid w:val="0014667D"/>
    <w:rsid w:val="001466B5"/>
    <w:rsid w:val="001467F5"/>
    <w:rsid w:val="00146830"/>
    <w:rsid w:val="0014699B"/>
    <w:rsid w:val="00146CDB"/>
    <w:rsid w:val="00146D02"/>
    <w:rsid w:val="00146D10"/>
    <w:rsid w:val="00146D5D"/>
    <w:rsid w:val="00146E74"/>
    <w:rsid w:val="00146EEB"/>
    <w:rsid w:val="00146F13"/>
    <w:rsid w:val="0014703C"/>
    <w:rsid w:val="00147040"/>
    <w:rsid w:val="00147092"/>
    <w:rsid w:val="00147224"/>
    <w:rsid w:val="001472CA"/>
    <w:rsid w:val="001472D3"/>
    <w:rsid w:val="001473CA"/>
    <w:rsid w:val="001476AA"/>
    <w:rsid w:val="00147824"/>
    <w:rsid w:val="0014788B"/>
    <w:rsid w:val="001479F9"/>
    <w:rsid w:val="00147C3C"/>
    <w:rsid w:val="00147D74"/>
    <w:rsid w:val="00147E32"/>
    <w:rsid w:val="00147ECB"/>
    <w:rsid w:val="00147F27"/>
    <w:rsid w:val="00150075"/>
    <w:rsid w:val="001500ED"/>
    <w:rsid w:val="0015040D"/>
    <w:rsid w:val="001505E8"/>
    <w:rsid w:val="0015065E"/>
    <w:rsid w:val="00150687"/>
    <w:rsid w:val="00150777"/>
    <w:rsid w:val="00150879"/>
    <w:rsid w:val="0015090D"/>
    <w:rsid w:val="00150ADC"/>
    <w:rsid w:val="00150DB9"/>
    <w:rsid w:val="00150E05"/>
    <w:rsid w:val="00150E3A"/>
    <w:rsid w:val="00150F0B"/>
    <w:rsid w:val="00151076"/>
    <w:rsid w:val="001510A4"/>
    <w:rsid w:val="00151179"/>
    <w:rsid w:val="0015125E"/>
    <w:rsid w:val="001513ED"/>
    <w:rsid w:val="0015143E"/>
    <w:rsid w:val="0015150E"/>
    <w:rsid w:val="00151583"/>
    <w:rsid w:val="00151A72"/>
    <w:rsid w:val="00151B43"/>
    <w:rsid w:val="00151B76"/>
    <w:rsid w:val="00151C4E"/>
    <w:rsid w:val="00151DB3"/>
    <w:rsid w:val="00151F5D"/>
    <w:rsid w:val="0015229E"/>
    <w:rsid w:val="001522AC"/>
    <w:rsid w:val="001524A7"/>
    <w:rsid w:val="001524FB"/>
    <w:rsid w:val="00152636"/>
    <w:rsid w:val="0015270B"/>
    <w:rsid w:val="001529F4"/>
    <w:rsid w:val="00152C1B"/>
    <w:rsid w:val="00152D94"/>
    <w:rsid w:val="00152E06"/>
    <w:rsid w:val="00152EC3"/>
    <w:rsid w:val="001530A3"/>
    <w:rsid w:val="001530C3"/>
    <w:rsid w:val="0015317E"/>
    <w:rsid w:val="00153267"/>
    <w:rsid w:val="00153459"/>
    <w:rsid w:val="00153529"/>
    <w:rsid w:val="001535F1"/>
    <w:rsid w:val="00153639"/>
    <w:rsid w:val="00153706"/>
    <w:rsid w:val="001537A6"/>
    <w:rsid w:val="00153882"/>
    <w:rsid w:val="001539F3"/>
    <w:rsid w:val="00153C2E"/>
    <w:rsid w:val="00153D16"/>
    <w:rsid w:val="00153DB1"/>
    <w:rsid w:val="00153E30"/>
    <w:rsid w:val="00153E89"/>
    <w:rsid w:val="001540FD"/>
    <w:rsid w:val="0015419E"/>
    <w:rsid w:val="0015429E"/>
    <w:rsid w:val="00154442"/>
    <w:rsid w:val="0015445A"/>
    <w:rsid w:val="00154461"/>
    <w:rsid w:val="0015449D"/>
    <w:rsid w:val="00154596"/>
    <w:rsid w:val="001545A0"/>
    <w:rsid w:val="00154773"/>
    <w:rsid w:val="00154956"/>
    <w:rsid w:val="00154DFC"/>
    <w:rsid w:val="00155069"/>
    <w:rsid w:val="001550E7"/>
    <w:rsid w:val="00155232"/>
    <w:rsid w:val="001552DC"/>
    <w:rsid w:val="001552EC"/>
    <w:rsid w:val="0015536E"/>
    <w:rsid w:val="001554FB"/>
    <w:rsid w:val="0015550E"/>
    <w:rsid w:val="00155560"/>
    <w:rsid w:val="001556A8"/>
    <w:rsid w:val="00155A44"/>
    <w:rsid w:val="00155C95"/>
    <w:rsid w:val="00155D64"/>
    <w:rsid w:val="00155E80"/>
    <w:rsid w:val="00155E91"/>
    <w:rsid w:val="00155F3C"/>
    <w:rsid w:val="00156094"/>
    <w:rsid w:val="001560A9"/>
    <w:rsid w:val="001561BB"/>
    <w:rsid w:val="00156234"/>
    <w:rsid w:val="0015691A"/>
    <w:rsid w:val="00156934"/>
    <w:rsid w:val="00156C87"/>
    <w:rsid w:val="00156CC5"/>
    <w:rsid w:val="001570E0"/>
    <w:rsid w:val="0015711E"/>
    <w:rsid w:val="0015713F"/>
    <w:rsid w:val="0015754D"/>
    <w:rsid w:val="00157577"/>
    <w:rsid w:val="0015792E"/>
    <w:rsid w:val="0015795D"/>
    <w:rsid w:val="00157A27"/>
    <w:rsid w:val="00157BF9"/>
    <w:rsid w:val="00157EE1"/>
    <w:rsid w:val="00157F08"/>
    <w:rsid w:val="00157F93"/>
    <w:rsid w:val="001602CB"/>
    <w:rsid w:val="001605E8"/>
    <w:rsid w:val="00160627"/>
    <w:rsid w:val="00160794"/>
    <w:rsid w:val="001607CD"/>
    <w:rsid w:val="001608AA"/>
    <w:rsid w:val="00160928"/>
    <w:rsid w:val="00160AB1"/>
    <w:rsid w:val="00161174"/>
    <w:rsid w:val="00161240"/>
    <w:rsid w:val="00161278"/>
    <w:rsid w:val="001612C5"/>
    <w:rsid w:val="00161531"/>
    <w:rsid w:val="0016156F"/>
    <w:rsid w:val="0016163B"/>
    <w:rsid w:val="00161A83"/>
    <w:rsid w:val="00161BCE"/>
    <w:rsid w:val="00161BEC"/>
    <w:rsid w:val="00161C54"/>
    <w:rsid w:val="00161E2A"/>
    <w:rsid w:val="00161EB7"/>
    <w:rsid w:val="001620A1"/>
    <w:rsid w:val="001624ED"/>
    <w:rsid w:val="0016250F"/>
    <w:rsid w:val="0016264C"/>
    <w:rsid w:val="001626E6"/>
    <w:rsid w:val="001627BA"/>
    <w:rsid w:val="0016288A"/>
    <w:rsid w:val="001628C0"/>
    <w:rsid w:val="00162A6C"/>
    <w:rsid w:val="00162B4C"/>
    <w:rsid w:val="00162CBF"/>
    <w:rsid w:val="00162DA0"/>
    <w:rsid w:val="00162E7A"/>
    <w:rsid w:val="00163063"/>
    <w:rsid w:val="00163145"/>
    <w:rsid w:val="00163226"/>
    <w:rsid w:val="00163248"/>
    <w:rsid w:val="00163573"/>
    <w:rsid w:val="0016370E"/>
    <w:rsid w:val="00163748"/>
    <w:rsid w:val="001638B6"/>
    <w:rsid w:val="001638CE"/>
    <w:rsid w:val="00163C16"/>
    <w:rsid w:val="00163E6F"/>
    <w:rsid w:val="00163EAD"/>
    <w:rsid w:val="00163FCD"/>
    <w:rsid w:val="00163FD8"/>
    <w:rsid w:val="00164139"/>
    <w:rsid w:val="00164239"/>
    <w:rsid w:val="00164478"/>
    <w:rsid w:val="0016462A"/>
    <w:rsid w:val="0016464A"/>
    <w:rsid w:val="00164672"/>
    <w:rsid w:val="0016474C"/>
    <w:rsid w:val="00164942"/>
    <w:rsid w:val="00164BBC"/>
    <w:rsid w:val="00164BEF"/>
    <w:rsid w:val="00164C4D"/>
    <w:rsid w:val="00164E41"/>
    <w:rsid w:val="00164ED1"/>
    <w:rsid w:val="00164F50"/>
    <w:rsid w:val="00165097"/>
    <w:rsid w:val="001651A4"/>
    <w:rsid w:val="001651AF"/>
    <w:rsid w:val="00165450"/>
    <w:rsid w:val="00165584"/>
    <w:rsid w:val="00165690"/>
    <w:rsid w:val="001656F8"/>
    <w:rsid w:val="001657B9"/>
    <w:rsid w:val="001657BA"/>
    <w:rsid w:val="00165960"/>
    <w:rsid w:val="00165978"/>
    <w:rsid w:val="00165A2B"/>
    <w:rsid w:val="00165BD8"/>
    <w:rsid w:val="00165C24"/>
    <w:rsid w:val="00165DEF"/>
    <w:rsid w:val="00165E70"/>
    <w:rsid w:val="0016616C"/>
    <w:rsid w:val="001662BB"/>
    <w:rsid w:val="00166331"/>
    <w:rsid w:val="001663A6"/>
    <w:rsid w:val="001663FC"/>
    <w:rsid w:val="00166537"/>
    <w:rsid w:val="00166663"/>
    <w:rsid w:val="001666B8"/>
    <w:rsid w:val="00166739"/>
    <w:rsid w:val="0016673A"/>
    <w:rsid w:val="001668DC"/>
    <w:rsid w:val="001668E6"/>
    <w:rsid w:val="001669CC"/>
    <w:rsid w:val="00166A8A"/>
    <w:rsid w:val="00166B03"/>
    <w:rsid w:val="00166C6D"/>
    <w:rsid w:val="00166C74"/>
    <w:rsid w:val="00166C9B"/>
    <w:rsid w:val="00166E7B"/>
    <w:rsid w:val="00166F3D"/>
    <w:rsid w:val="00167099"/>
    <w:rsid w:val="001671A2"/>
    <w:rsid w:val="001671D6"/>
    <w:rsid w:val="001671EB"/>
    <w:rsid w:val="001672E1"/>
    <w:rsid w:val="0016735D"/>
    <w:rsid w:val="00167527"/>
    <w:rsid w:val="0016778A"/>
    <w:rsid w:val="001679A5"/>
    <w:rsid w:val="00167A01"/>
    <w:rsid w:val="00167A98"/>
    <w:rsid w:val="00167C10"/>
    <w:rsid w:val="00167C7F"/>
    <w:rsid w:val="00167DA8"/>
    <w:rsid w:val="00167DDA"/>
    <w:rsid w:val="00167E0C"/>
    <w:rsid w:val="00167E7D"/>
    <w:rsid w:val="00167EAC"/>
    <w:rsid w:val="0017001B"/>
    <w:rsid w:val="0017012D"/>
    <w:rsid w:val="0017029B"/>
    <w:rsid w:val="001702D7"/>
    <w:rsid w:val="001703A2"/>
    <w:rsid w:val="001704E3"/>
    <w:rsid w:val="00170537"/>
    <w:rsid w:val="0017053C"/>
    <w:rsid w:val="001706DC"/>
    <w:rsid w:val="00170717"/>
    <w:rsid w:val="0017077D"/>
    <w:rsid w:val="001708E4"/>
    <w:rsid w:val="00170AE7"/>
    <w:rsid w:val="00170B11"/>
    <w:rsid w:val="00170B45"/>
    <w:rsid w:val="00170BEE"/>
    <w:rsid w:val="00170C7E"/>
    <w:rsid w:val="00170D0D"/>
    <w:rsid w:val="00170E9C"/>
    <w:rsid w:val="00171033"/>
    <w:rsid w:val="0017112A"/>
    <w:rsid w:val="001712AD"/>
    <w:rsid w:val="001712B7"/>
    <w:rsid w:val="001713C8"/>
    <w:rsid w:val="001713CE"/>
    <w:rsid w:val="00171481"/>
    <w:rsid w:val="00171638"/>
    <w:rsid w:val="00171677"/>
    <w:rsid w:val="00171769"/>
    <w:rsid w:val="0017177B"/>
    <w:rsid w:val="001717F5"/>
    <w:rsid w:val="00171807"/>
    <w:rsid w:val="00171816"/>
    <w:rsid w:val="0017189A"/>
    <w:rsid w:val="00171BD9"/>
    <w:rsid w:val="00171D51"/>
    <w:rsid w:val="00171E21"/>
    <w:rsid w:val="00171E3A"/>
    <w:rsid w:val="0017222A"/>
    <w:rsid w:val="00172266"/>
    <w:rsid w:val="001722ED"/>
    <w:rsid w:val="001724A3"/>
    <w:rsid w:val="0017258B"/>
    <w:rsid w:val="0017259D"/>
    <w:rsid w:val="00172657"/>
    <w:rsid w:val="0017266C"/>
    <w:rsid w:val="001726AA"/>
    <w:rsid w:val="0017278E"/>
    <w:rsid w:val="001727E4"/>
    <w:rsid w:val="001728E0"/>
    <w:rsid w:val="0017291E"/>
    <w:rsid w:val="0017294D"/>
    <w:rsid w:val="00172CFE"/>
    <w:rsid w:val="00172DA1"/>
    <w:rsid w:val="00172DBA"/>
    <w:rsid w:val="00172F73"/>
    <w:rsid w:val="00173108"/>
    <w:rsid w:val="00173146"/>
    <w:rsid w:val="001731DD"/>
    <w:rsid w:val="0017325E"/>
    <w:rsid w:val="00173271"/>
    <w:rsid w:val="001733C9"/>
    <w:rsid w:val="00173400"/>
    <w:rsid w:val="001734B2"/>
    <w:rsid w:val="00173547"/>
    <w:rsid w:val="001735AB"/>
    <w:rsid w:val="001735C5"/>
    <w:rsid w:val="0017380D"/>
    <w:rsid w:val="0017396A"/>
    <w:rsid w:val="00173B5D"/>
    <w:rsid w:val="00173C01"/>
    <w:rsid w:val="00173C21"/>
    <w:rsid w:val="00173CCE"/>
    <w:rsid w:val="00173CCF"/>
    <w:rsid w:val="001741AE"/>
    <w:rsid w:val="001741E5"/>
    <w:rsid w:val="00174478"/>
    <w:rsid w:val="00174524"/>
    <w:rsid w:val="00174547"/>
    <w:rsid w:val="001746D1"/>
    <w:rsid w:val="0017474D"/>
    <w:rsid w:val="001747D2"/>
    <w:rsid w:val="00174893"/>
    <w:rsid w:val="001748A0"/>
    <w:rsid w:val="00174A5D"/>
    <w:rsid w:val="00174B01"/>
    <w:rsid w:val="00174BF2"/>
    <w:rsid w:val="00174C94"/>
    <w:rsid w:val="00174CF8"/>
    <w:rsid w:val="00174FC6"/>
    <w:rsid w:val="00175574"/>
    <w:rsid w:val="001755D1"/>
    <w:rsid w:val="0017568A"/>
    <w:rsid w:val="001756E0"/>
    <w:rsid w:val="001757AB"/>
    <w:rsid w:val="001757DE"/>
    <w:rsid w:val="00175801"/>
    <w:rsid w:val="0017596E"/>
    <w:rsid w:val="001759AD"/>
    <w:rsid w:val="001759CF"/>
    <w:rsid w:val="00175A52"/>
    <w:rsid w:val="00175B34"/>
    <w:rsid w:val="00175D79"/>
    <w:rsid w:val="00175DAF"/>
    <w:rsid w:val="00176008"/>
    <w:rsid w:val="00176019"/>
    <w:rsid w:val="001761FD"/>
    <w:rsid w:val="00176298"/>
    <w:rsid w:val="00176340"/>
    <w:rsid w:val="00176418"/>
    <w:rsid w:val="0017654A"/>
    <w:rsid w:val="0017675B"/>
    <w:rsid w:val="001769ED"/>
    <w:rsid w:val="00176BC9"/>
    <w:rsid w:val="00176DC0"/>
    <w:rsid w:val="00176E22"/>
    <w:rsid w:val="00176EE4"/>
    <w:rsid w:val="00177104"/>
    <w:rsid w:val="00177132"/>
    <w:rsid w:val="00177150"/>
    <w:rsid w:val="00177222"/>
    <w:rsid w:val="00177238"/>
    <w:rsid w:val="001772FD"/>
    <w:rsid w:val="001773BF"/>
    <w:rsid w:val="0017752F"/>
    <w:rsid w:val="0017763A"/>
    <w:rsid w:val="001777CE"/>
    <w:rsid w:val="001779B7"/>
    <w:rsid w:val="00177A27"/>
    <w:rsid w:val="00177B0C"/>
    <w:rsid w:val="00177B77"/>
    <w:rsid w:val="00177C98"/>
    <w:rsid w:val="00180315"/>
    <w:rsid w:val="00180501"/>
    <w:rsid w:val="00180544"/>
    <w:rsid w:val="0018055B"/>
    <w:rsid w:val="0018076E"/>
    <w:rsid w:val="00180888"/>
    <w:rsid w:val="001808B2"/>
    <w:rsid w:val="001808DD"/>
    <w:rsid w:val="00180AA8"/>
    <w:rsid w:val="00180AD6"/>
    <w:rsid w:val="00180C81"/>
    <w:rsid w:val="00180CBD"/>
    <w:rsid w:val="00180CC9"/>
    <w:rsid w:val="00180D37"/>
    <w:rsid w:val="00180EAF"/>
    <w:rsid w:val="00180F86"/>
    <w:rsid w:val="00181057"/>
    <w:rsid w:val="0018123E"/>
    <w:rsid w:val="001813D8"/>
    <w:rsid w:val="001814AC"/>
    <w:rsid w:val="001814E2"/>
    <w:rsid w:val="001815A4"/>
    <w:rsid w:val="001816A9"/>
    <w:rsid w:val="001816C9"/>
    <w:rsid w:val="00181775"/>
    <w:rsid w:val="001817C5"/>
    <w:rsid w:val="0018192B"/>
    <w:rsid w:val="00181A35"/>
    <w:rsid w:val="00181B9F"/>
    <w:rsid w:val="00181C16"/>
    <w:rsid w:val="00181C83"/>
    <w:rsid w:val="00181C8D"/>
    <w:rsid w:val="00181E04"/>
    <w:rsid w:val="00182006"/>
    <w:rsid w:val="0018203D"/>
    <w:rsid w:val="001820B6"/>
    <w:rsid w:val="00182215"/>
    <w:rsid w:val="001822E7"/>
    <w:rsid w:val="00182367"/>
    <w:rsid w:val="00182385"/>
    <w:rsid w:val="00182596"/>
    <w:rsid w:val="00182599"/>
    <w:rsid w:val="00182702"/>
    <w:rsid w:val="001828C5"/>
    <w:rsid w:val="00182C64"/>
    <w:rsid w:val="00182CD3"/>
    <w:rsid w:val="00182CD4"/>
    <w:rsid w:val="00182D74"/>
    <w:rsid w:val="00182F69"/>
    <w:rsid w:val="0018321C"/>
    <w:rsid w:val="00183305"/>
    <w:rsid w:val="001834FF"/>
    <w:rsid w:val="00183598"/>
    <w:rsid w:val="0018394B"/>
    <w:rsid w:val="00183B1C"/>
    <w:rsid w:val="00183D19"/>
    <w:rsid w:val="00183E75"/>
    <w:rsid w:val="00183E9D"/>
    <w:rsid w:val="00183EEE"/>
    <w:rsid w:val="00183FA2"/>
    <w:rsid w:val="001840AC"/>
    <w:rsid w:val="001843BD"/>
    <w:rsid w:val="0018445E"/>
    <w:rsid w:val="001845E8"/>
    <w:rsid w:val="00184614"/>
    <w:rsid w:val="0018468F"/>
    <w:rsid w:val="001848E8"/>
    <w:rsid w:val="00184B41"/>
    <w:rsid w:val="00184BBE"/>
    <w:rsid w:val="00184CC2"/>
    <w:rsid w:val="00184CCF"/>
    <w:rsid w:val="00184D65"/>
    <w:rsid w:val="00185129"/>
    <w:rsid w:val="001851FA"/>
    <w:rsid w:val="00185399"/>
    <w:rsid w:val="00185576"/>
    <w:rsid w:val="001855FC"/>
    <w:rsid w:val="0018587D"/>
    <w:rsid w:val="00185942"/>
    <w:rsid w:val="0018595D"/>
    <w:rsid w:val="00185A1E"/>
    <w:rsid w:val="00185A6B"/>
    <w:rsid w:val="00185DD3"/>
    <w:rsid w:val="00185E66"/>
    <w:rsid w:val="0018607A"/>
    <w:rsid w:val="00186143"/>
    <w:rsid w:val="00186144"/>
    <w:rsid w:val="00186402"/>
    <w:rsid w:val="00186610"/>
    <w:rsid w:val="00186615"/>
    <w:rsid w:val="00186703"/>
    <w:rsid w:val="00186754"/>
    <w:rsid w:val="00186758"/>
    <w:rsid w:val="00186833"/>
    <w:rsid w:val="001869CF"/>
    <w:rsid w:val="00186A7C"/>
    <w:rsid w:val="00186AC2"/>
    <w:rsid w:val="00186EAB"/>
    <w:rsid w:val="00187228"/>
    <w:rsid w:val="00187286"/>
    <w:rsid w:val="0018730A"/>
    <w:rsid w:val="00187356"/>
    <w:rsid w:val="0018742F"/>
    <w:rsid w:val="00187470"/>
    <w:rsid w:val="00187538"/>
    <w:rsid w:val="00187684"/>
    <w:rsid w:val="001877FF"/>
    <w:rsid w:val="00187864"/>
    <w:rsid w:val="00187948"/>
    <w:rsid w:val="001879F6"/>
    <w:rsid w:val="001879FC"/>
    <w:rsid w:val="00187A08"/>
    <w:rsid w:val="00187B69"/>
    <w:rsid w:val="00187C38"/>
    <w:rsid w:val="00187D20"/>
    <w:rsid w:val="00187DE7"/>
    <w:rsid w:val="00187E79"/>
    <w:rsid w:val="00187F75"/>
    <w:rsid w:val="00187FEC"/>
    <w:rsid w:val="0019002D"/>
    <w:rsid w:val="001901A8"/>
    <w:rsid w:val="001903F4"/>
    <w:rsid w:val="00190421"/>
    <w:rsid w:val="0019054A"/>
    <w:rsid w:val="0019057D"/>
    <w:rsid w:val="0019062D"/>
    <w:rsid w:val="00190647"/>
    <w:rsid w:val="0019091D"/>
    <w:rsid w:val="001909A5"/>
    <w:rsid w:val="001909B5"/>
    <w:rsid w:val="00190A29"/>
    <w:rsid w:val="00190A59"/>
    <w:rsid w:val="00190B71"/>
    <w:rsid w:val="00191090"/>
    <w:rsid w:val="001910A5"/>
    <w:rsid w:val="001910E6"/>
    <w:rsid w:val="00191135"/>
    <w:rsid w:val="0019115B"/>
    <w:rsid w:val="001911F7"/>
    <w:rsid w:val="00191268"/>
    <w:rsid w:val="00191504"/>
    <w:rsid w:val="0019156C"/>
    <w:rsid w:val="001915C1"/>
    <w:rsid w:val="0019196F"/>
    <w:rsid w:val="00191CE0"/>
    <w:rsid w:val="00191E25"/>
    <w:rsid w:val="00191E3C"/>
    <w:rsid w:val="00192061"/>
    <w:rsid w:val="0019229A"/>
    <w:rsid w:val="0019231C"/>
    <w:rsid w:val="0019232E"/>
    <w:rsid w:val="001925CB"/>
    <w:rsid w:val="00192629"/>
    <w:rsid w:val="001926B7"/>
    <w:rsid w:val="00192704"/>
    <w:rsid w:val="00192779"/>
    <w:rsid w:val="001929CD"/>
    <w:rsid w:val="00192A19"/>
    <w:rsid w:val="00192B59"/>
    <w:rsid w:val="00192FAB"/>
    <w:rsid w:val="001930D2"/>
    <w:rsid w:val="0019318D"/>
    <w:rsid w:val="00193363"/>
    <w:rsid w:val="00193458"/>
    <w:rsid w:val="001934D2"/>
    <w:rsid w:val="001934D5"/>
    <w:rsid w:val="00193513"/>
    <w:rsid w:val="00193549"/>
    <w:rsid w:val="0019357A"/>
    <w:rsid w:val="001935C4"/>
    <w:rsid w:val="001939FD"/>
    <w:rsid w:val="00193A12"/>
    <w:rsid w:val="00193C02"/>
    <w:rsid w:val="00193CD2"/>
    <w:rsid w:val="00193CDD"/>
    <w:rsid w:val="001941A4"/>
    <w:rsid w:val="001943A6"/>
    <w:rsid w:val="001943B9"/>
    <w:rsid w:val="001943ED"/>
    <w:rsid w:val="00194618"/>
    <w:rsid w:val="001948B4"/>
    <w:rsid w:val="00194B78"/>
    <w:rsid w:val="00194C1C"/>
    <w:rsid w:val="00194DCC"/>
    <w:rsid w:val="00194DD2"/>
    <w:rsid w:val="00194E42"/>
    <w:rsid w:val="00194E53"/>
    <w:rsid w:val="00195026"/>
    <w:rsid w:val="00195266"/>
    <w:rsid w:val="001953B0"/>
    <w:rsid w:val="001954AB"/>
    <w:rsid w:val="00195541"/>
    <w:rsid w:val="00195605"/>
    <w:rsid w:val="001956E0"/>
    <w:rsid w:val="001956FE"/>
    <w:rsid w:val="00195888"/>
    <w:rsid w:val="00195987"/>
    <w:rsid w:val="001959E9"/>
    <w:rsid w:val="00195A69"/>
    <w:rsid w:val="00195B26"/>
    <w:rsid w:val="00195D73"/>
    <w:rsid w:val="00195E8B"/>
    <w:rsid w:val="00195F5E"/>
    <w:rsid w:val="001963C2"/>
    <w:rsid w:val="001968F0"/>
    <w:rsid w:val="00196947"/>
    <w:rsid w:val="00196974"/>
    <w:rsid w:val="00196AB2"/>
    <w:rsid w:val="00196B57"/>
    <w:rsid w:val="00196BA8"/>
    <w:rsid w:val="00196D69"/>
    <w:rsid w:val="00196DA9"/>
    <w:rsid w:val="001970E6"/>
    <w:rsid w:val="00197115"/>
    <w:rsid w:val="0019728C"/>
    <w:rsid w:val="0019746C"/>
    <w:rsid w:val="0019769E"/>
    <w:rsid w:val="00197794"/>
    <w:rsid w:val="00197879"/>
    <w:rsid w:val="00197BAC"/>
    <w:rsid w:val="00197D81"/>
    <w:rsid w:val="00197DA8"/>
    <w:rsid w:val="00197E4B"/>
    <w:rsid w:val="00197EC3"/>
    <w:rsid w:val="00197EC8"/>
    <w:rsid w:val="00197ED9"/>
    <w:rsid w:val="001A005D"/>
    <w:rsid w:val="001A0141"/>
    <w:rsid w:val="001A018A"/>
    <w:rsid w:val="001A0345"/>
    <w:rsid w:val="001A0489"/>
    <w:rsid w:val="001A0574"/>
    <w:rsid w:val="001A05A8"/>
    <w:rsid w:val="001A06BD"/>
    <w:rsid w:val="001A0711"/>
    <w:rsid w:val="001A072C"/>
    <w:rsid w:val="001A07A8"/>
    <w:rsid w:val="001A080B"/>
    <w:rsid w:val="001A0984"/>
    <w:rsid w:val="001A0A10"/>
    <w:rsid w:val="001A0CC0"/>
    <w:rsid w:val="001A0D06"/>
    <w:rsid w:val="001A0D9C"/>
    <w:rsid w:val="001A0DC7"/>
    <w:rsid w:val="001A0EA7"/>
    <w:rsid w:val="001A1051"/>
    <w:rsid w:val="001A11BC"/>
    <w:rsid w:val="001A11BE"/>
    <w:rsid w:val="001A11CE"/>
    <w:rsid w:val="001A122D"/>
    <w:rsid w:val="001A13E8"/>
    <w:rsid w:val="001A1404"/>
    <w:rsid w:val="001A1409"/>
    <w:rsid w:val="001A15E4"/>
    <w:rsid w:val="001A16A6"/>
    <w:rsid w:val="001A17C9"/>
    <w:rsid w:val="001A1846"/>
    <w:rsid w:val="001A1C89"/>
    <w:rsid w:val="001A1C96"/>
    <w:rsid w:val="001A1E6A"/>
    <w:rsid w:val="001A1F45"/>
    <w:rsid w:val="001A1F9A"/>
    <w:rsid w:val="001A1FBC"/>
    <w:rsid w:val="001A2092"/>
    <w:rsid w:val="001A21C0"/>
    <w:rsid w:val="001A236F"/>
    <w:rsid w:val="001A2393"/>
    <w:rsid w:val="001A25D6"/>
    <w:rsid w:val="001A2639"/>
    <w:rsid w:val="001A2852"/>
    <w:rsid w:val="001A28EE"/>
    <w:rsid w:val="001A29DD"/>
    <w:rsid w:val="001A2AF4"/>
    <w:rsid w:val="001A2C78"/>
    <w:rsid w:val="001A2D6D"/>
    <w:rsid w:val="001A2F3C"/>
    <w:rsid w:val="001A30EC"/>
    <w:rsid w:val="001A31C5"/>
    <w:rsid w:val="001A3361"/>
    <w:rsid w:val="001A336E"/>
    <w:rsid w:val="001A33C5"/>
    <w:rsid w:val="001A34D6"/>
    <w:rsid w:val="001A3571"/>
    <w:rsid w:val="001A35EB"/>
    <w:rsid w:val="001A3669"/>
    <w:rsid w:val="001A38B6"/>
    <w:rsid w:val="001A3923"/>
    <w:rsid w:val="001A3EC6"/>
    <w:rsid w:val="001A3F1F"/>
    <w:rsid w:val="001A3FE3"/>
    <w:rsid w:val="001A4009"/>
    <w:rsid w:val="001A400B"/>
    <w:rsid w:val="001A40F4"/>
    <w:rsid w:val="001A4220"/>
    <w:rsid w:val="001A4267"/>
    <w:rsid w:val="001A43A6"/>
    <w:rsid w:val="001A490B"/>
    <w:rsid w:val="001A4A02"/>
    <w:rsid w:val="001A4D7C"/>
    <w:rsid w:val="001A4E54"/>
    <w:rsid w:val="001A5201"/>
    <w:rsid w:val="001A53BB"/>
    <w:rsid w:val="001A5705"/>
    <w:rsid w:val="001A5893"/>
    <w:rsid w:val="001A58B0"/>
    <w:rsid w:val="001A58C1"/>
    <w:rsid w:val="001A59A9"/>
    <w:rsid w:val="001A5A22"/>
    <w:rsid w:val="001A5A92"/>
    <w:rsid w:val="001A6073"/>
    <w:rsid w:val="001A62C1"/>
    <w:rsid w:val="001A6666"/>
    <w:rsid w:val="001A674F"/>
    <w:rsid w:val="001A6808"/>
    <w:rsid w:val="001A6830"/>
    <w:rsid w:val="001A687A"/>
    <w:rsid w:val="001A6A2A"/>
    <w:rsid w:val="001A6C71"/>
    <w:rsid w:val="001A6E1B"/>
    <w:rsid w:val="001A6EFD"/>
    <w:rsid w:val="001A7037"/>
    <w:rsid w:val="001A704D"/>
    <w:rsid w:val="001A7192"/>
    <w:rsid w:val="001A7227"/>
    <w:rsid w:val="001A73AA"/>
    <w:rsid w:val="001A756D"/>
    <w:rsid w:val="001A7712"/>
    <w:rsid w:val="001A78BF"/>
    <w:rsid w:val="001A78EB"/>
    <w:rsid w:val="001A7994"/>
    <w:rsid w:val="001A79B2"/>
    <w:rsid w:val="001A7C68"/>
    <w:rsid w:val="001A7CD4"/>
    <w:rsid w:val="001A7D4E"/>
    <w:rsid w:val="001A7E22"/>
    <w:rsid w:val="001A7F8D"/>
    <w:rsid w:val="001B027A"/>
    <w:rsid w:val="001B02D1"/>
    <w:rsid w:val="001B0412"/>
    <w:rsid w:val="001B065A"/>
    <w:rsid w:val="001B06B2"/>
    <w:rsid w:val="001B06E2"/>
    <w:rsid w:val="001B0D6D"/>
    <w:rsid w:val="001B0E6A"/>
    <w:rsid w:val="001B11D9"/>
    <w:rsid w:val="001B12BE"/>
    <w:rsid w:val="001B149F"/>
    <w:rsid w:val="001B1630"/>
    <w:rsid w:val="001B1682"/>
    <w:rsid w:val="001B19C9"/>
    <w:rsid w:val="001B1A88"/>
    <w:rsid w:val="001B1C99"/>
    <w:rsid w:val="001B1FE8"/>
    <w:rsid w:val="001B213A"/>
    <w:rsid w:val="001B22CD"/>
    <w:rsid w:val="001B2313"/>
    <w:rsid w:val="001B2360"/>
    <w:rsid w:val="001B238D"/>
    <w:rsid w:val="001B2411"/>
    <w:rsid w:val="001B24EF"/>
    <w:rsid w:val="001B253F"/>
    <w:rsid w:val="001B256C"/>
    <w:rsid w:val="001B26ED"/>
    <w:rsid w:val="001B29D8"/>
    <w:rsid w:val="001B2B2C"/>
    <w:rsid w:val="001B2B44"/>
    <w:rsid w:val="001B2D57"/>
    <w:rsid w:val="001B2FD2"/>
    <w:rsid w:val="001B30DF"/>
    <w:rsid w:val="001B32D8"/>
    <w:rsid w:val="001B33A8"/>
    <w:rsid w:val="001B33DA"/>
    <w:rsid w:val="001B34C0"/>
    <w:rsid w:val="001B3722"/>
    <w:rsid w:val="001B3723"/>
    <w:rsid w:val="001B37EF"/>
    <w:rsid w:val="001B380F"/>
    <w:rsid w:val="001B3829"/>
    <w:rsid w:val="001B38E8"/>
    <w:rsid w:val="001B3966"/>
    <w:rsid w:val="001B3999"/>
    <w:rsid w:val="001B399A"/>
    <w:rsid w:val="001B3B0B"/>
    <w:rsid w:val="001B3BB1"/>
    <w:rsid w:val="001B3BD0"/>
    <w:rsid w:val="001B3C7F"/>
    <w:rsid w:val="001B3D72"/>
    <w:rsid w:val="001B3E5F"/>
    <w:rsid w:val="001B3F90"/>
    <w:rsid w:val="001B4170"/>
    <w:rsid w:val="001B41F3"/>
    <w:rsid w:val="001B4287"/>
    <w:rsid w:val="001B42DF"/>
    <w:rsid w:val="001B4418"/>
    <w:rsid w:val="001B45DC"/>
    <w:rsid w:val="001B4613"/>
    <w:rsid w:val="001B4628"/>
    <w:rsid w:val="001B46DB"/>
    <w:rsid w:val="001B46EB"/>
    <w:rsid w:val="001B487A"/>
    <w:rsid w:val="001B48B4"/>
    <w:rsid w:val="001B49D1"/>
    <w:rsid w:val="001B49EC"/>
    <w:rsid w:val="001B4A2B"/>
    <w:rsid w:val="001B4A4A"/>
    <w:rsid w:val="001B4B2F"/>
    <w:rsid w:val="001B4B66"/>
    <w:rsid w:val="001B4C66"/>
    <w:rsid w:val="001B4EBD"/>
    <w:rsid w:val="001B4EE6"/>
    <w:rsid w:val="001B505F"/>
    <w:rsid w:val="001B50A0"/>
    <w:rsid w:val="001B50F8"/>
    <w:rsid w:val="001B5212"/>
    <w:rsid w:val="001B5232"/>
    <w:rsid w:val="001B525A"/>
    <w:rsid w:val="001B52B9"/>
    <w:rsid w:val="001B57F2"/>
    <w:rsid w:val="001B59AF"/>
    <w:rsid w:val="001B5AF2"/>
    <w:rsid w:val="001B5BA7"/>
    <w:rsid w:val="001B5C01"/>
    <w:rsid w:val="001B5DAA"/>
    <w:rsid w:val="001B6033"/>
    <w:rsid w:val="001B608D"/>
    <w:rsid w:val="001B60D7"/>
    <w:rsid w:val="001B624C"/>
    <w:rsid w:val="001B62FE"/>
    <w:rsid w:val="001B6364"/>
    <w:rsid w:val="001B6487"/>
    <w:rsid w:val="001B649E"/>
    <w:rsid w:val="001B64E0"/>
    <w:rsid w:val="001B657C"/>
    <w:rsid w:val="001B65DB"/>
    <w:rsid w:val="001B6624"/>
    <w:rsid w:val="001B6678"/>
    <w:rsid w:val="001B66D4"/>
    <w:rsid w:val="001B66E0"/>
    <w:rsid w:val="001B6829"/>
    <w:rsid w:val="001B68E4"/>
    <w:rsid w:val="001B695D"/>
    <w:rsid w:val="001B69BF"/>
    <w:rsid w:val="001B6B91"/>
    <w:rsid w:val="001B6DD2"/>
    <w:rsid w:val="001B6E9F"/>
    <w:rsid w:val="001B6EAD"/>
    <w:rsid w:val="001B702B"/>
    <w:rsid w:val="001B7223"/>
    <w:rsid w:val="001B7232"/>
    <w:rsid w:val="001B72B0"/>
    <w:rsid w:val="001B7363"/>
    <w:rsid w:val="001B73E7"/>
    <w:rsid w:val="001B7434"/>
    <w:rsid w:val="001B7448"/>
    <w:rsid w:val="001B7780"/>
    <w:rsid w:val="001B7930"/>
    <w:rsid w:val="001B79F6"/>
    <w:rsid w:val="001B7A26"/>
    <w:rsid w:val="001B7A77"/>
    <w:rsid w:val="001B7F95"/>
    <w:rsid w:val="001B7FA8"/>
    <w:rsid w:val="001C021A"/>
    <w:rsid w:val="001C064F"/>
    <w:rsid w:val="001C0882"/>
    <w:rsid w:val="001C08A0"/>
    <w:rsid w:val="001C0901"/>
    <w:rsid w:val="001C0A24"/>
    <w:rsid w:val="001C0C00"/>
    <w:rsid w:val="001C0E67"/>
    <w:rsid w:val="001C0EE0"/>
    <w:rsid w:val="001C0EEE"/>
    <w:rsid w:val="001C0F8B"/>
    <w:rsid w:val="001C10F7"/>
    <w:rsid w:val="001C1145"/>
    <w:rsid w:val="001C12D4"/>
    <w:rsid w:val="001C13BE"/>
    <w:rsid w:val="001C149B"/>
    <w:rsid w:val="001C14DB"/>
    <w:rsid w:val="001C1A1B"/>
    <w:rsid w:val="001C1B24"/>
    <w:rsid w:val="001C1B65"/>
    <w:rsid w:val="001C1BF0"/>
    <w:rsid w:val="001C1CB5"/>
    <w:rsid w:val="001C1D93"/>
    <w:rsid w:val="001C1E09"/>
    <w:rsid w:val="001C1E31"/>
    <w:rsid w:val="001C1F89"/>
    <w:rsid w:val="001C1FEF"/>
    <w:rsid w:val="001C2163"/>
    <w:rsid w:val="001C216A"/>
    <w:rsid w:val="001C255B"/>
    <w:rsid w:val="001C259B"/>
    <w:rsid w:val="001C2773"/>
    <w:rsid w:val="001C27BF"/>
    <w:rsid w:val="001C28B6"/>
    <w:rsid w:val="001C29BA"/>
    <w:rsid w:val="001C29D7"/>
    <w:rsid w:val="001C2B46"/>
    <w:rsid w:val="001C2B8F"/>
    <w:rsid w:val="001C2E48"/>
    <w:rsid w:val="001C2F37"/>
    <w:rsid w:val="001C306C"/>
    <w:rsid w:val="001C3442"/>
    <w:rsid w:val="001C345A"/>
    <w:rsid w:val="001C375F"/>
    <w:rsid w:val="001C380D"/>
    <w:rsid w:val="001C3B5F"/>
    <w:rsid w:val="001C3CD5"/>
    <w:rsid w:val="001C3E8F"/>
    <w:rsid w:val="001C3F1D"/>
    <w:rsid w:val="001C40EF"/>
    <w:rsid w:val="001C41CE"/>
    <w:rsid w:val="001C41D2"/>
    <w:rsid w:val="001C4530"/>
    <w:rsid w:val="001C45AC"/>
    <w:rsid w:val="001C478D"/>
    <w:rsid w:val="001C47DD"/>
    <w:rsid w:val="001C48D9"/>
    <w:rsid w:val="001C4A69"/>
    <w:rsid w:val="001C4A89"/>
    <w:rsid w:val="001C4B32"/>
    <w:rsid w:val="001C4D2F"/>
    <w:rsid w:val="001C4FC4"/>
    <w:rsid w:val="001C5078"/>
    <w:rsid w:val="001C524A"/>
    <w:rsid w:val="001C52AA"/>
    <w:rsid w:val="001C52F1"/>
    <w:rsid w:val="001C5391"/>
    <w:rsid w:val="001C546B"/>
    <w:rsid w:val="001C5520"/>
    <w:rsid w:val="001C5885"/>
    <w:rsid w:val="001C59B7"/>
    <w:rsid w:val="001C5D5A"/>
    <w:rsid w:val="001C5DE4"/>
    <w:rsid w:val="001C5E21"/>
    <w:rsid w:val="001C5E8F"/>
    <w:rsid w:val="001C5EB4"/>
    <w:rsid w:val="001C5F84"/>
    <w:rsid w:val="001C5FF7"/>
    <w:rsid w:val="001C6020"/>
    <w:rsid w:val="001C608E"/>
    <w:rsid w:val="001C60F9"/>
    <w:rsid w:val="001C6172"/>
    <w:rsid w:val="001C6182"/>
    <w:rsid w:val="001C621F"/>
    <w:rsid w:val="001C6401"/>
    <w:rsid w:val="001C6427"/>
    <w:rsid w:val="001C662B"/>
    <w:rsid w:val="001C6735"/>
    <w:rsid w:val="001C676E"/>
    <w:rsid w:val="001C6780"/>
    <w:rsid w:val="001C68F4"/>
    <w:rsid w:val="001C690C"/>
    <w:rsid w:val="001C69EC"/>
    <w:rsid w:val="001C6A42"/>
    <w:rsid w:val="001C6B3D"/>
    <w:rsid w:val="001C6C04"/>
    <w:rsid w:val="001C6C16"/>
    <w:rsid w:val="001C6E98"/>
    <w:rsid w:val="001C704C"/>
    <w:rsid w:val="001C7250"/>
    <w:rsid w:val="001C726B"/>
    <w:rsid w:val="001C72CF"/>
    <w:rsid w:val="001C7391"/>
    <w:rsid w:val="001C7569"/>
    <w:rsid w:val="001C7623"/>
    <w:rsid w:val="001C784A"/>
    <w:rsid w:val="001C794B"/>
    <w:rsid w:val="001C79C0"/>
    <w:rsid w:val="001C7A6D"/>
    <w:rsid w:val="001C7B21"/>
    <w:rsid w:val="001C7B43"/>
    <w:rsid w:val="001C7B7E"/>
    <w:rsid w:val="001C7C1F"/>
    <w:rsid w:val="001C7DDC"/>
    <w:rsid w:val="001C7E40"/>
    <w:rsid w:val="001C7FD0"/>
    <w:rsid w:val="001D0073"/>
    <w:rsid w:val="001D0096"/>
    <w:rsid w:val="001D04D3"/>
    <w:rsid w:val="001D0623"/>
    <w:rsid w:val="001D0677"/>
    <w:rsid w:val="001D067E"/>
    <w:rsid w:val="001D06C2"/>
    <w:rsid w:val="001D074C"/>
    <w:rsid w:val="001D08FB"/>
    <w:rsid w:val="001D0BB6"/>
    <w:rsid w:val="001D0C0A"/>
    <w:rsid w:val="001D0C4E"/>
    <w:rsid w:val="001D0D6C"/>
    <w:rsid w:val="001D0E99"/>
    <w:rsid w:val="001D11EE"/>
    <w:rsid w:val="001D1218"/>
    <w:rsid w:val="001D1237"/>
    <w:rsid w:val="001D131E"/>
    <w:rsid w:val="001D153D"/>
    <w:rsid w:val="001D165C"/>
    <w:rsid w:val="001D1776"/>
    <w:rsid w:val="001D1851"/>
    <w:rsid w:val="001D1898"/>
    <w:rsid w:val="001D18B9"/>
    <w:rsid w:val="001D1B09"/>
    <w:rsid w:val="001D1BBF"/>
    <w:rsid w:val="001D1C09"/>
    <w:rsid w:val="001D1C19"/>
    <w:rsid w:val="001D1D1C"/>
    <w:rsid w:val="001D1D62"/>
    <w:rsid w:val="001D201D"/>
    <w:rsid w:val="001D207E"/>
    <w:rsid w:val="001D239F"/>
    <w:rsid w:val="001D241E"/>
    <w:rsid w:val="001D2753"/>
    <w:rsid w:val="001D27B2"/>
    <w:rsid w:val="001D27EE"/>
    <w:rsid w:val="001D28A8"/>
    <w:rsid w:val="001D2975"/>
    <w:rsid w:val="001D29A4"/>
    <w:rsid w:val="001D2A3A"/>
    <w:rsid w:val="001D2B1E"/>
    <w:rsid w:val="001D2DC5"/>
    <w:rsid w:val="001D2F24"/>
    <w:rsid w:val="001D2FF2"/>
    <w:rsid w:val="001D31FF"/>
    <w:rsid w:val="001D3361"/>
    <w:rsid w:val="001D33D6"/>
    <w:rsid w:val="001D342A"/>
    <w:rsid w:val="001D35D3"/>
    <w:rsid w:val="001D3601"/>
    <w:rsid w:val="001D377F"/>
    <w:rsid w:val="001D39B3"/>
    <w:rsid w:val="001D3E64"/>
    <w:rsid w:val="001D3F41"/>
    <w:rsid w:val="001D3F91"/>
    <w:rsid w:val="001D3FF1"/>
    <w:rsid w:val="001D4106"/>
    <w:rsid w:val="001D410D"/>
    <w:rsid w:val="001D418B"/>
    <w:rsid w:val="001D445E"/>
    <w:rsid w:val="001D453B"/>
    <w:rsid w:val="001D46B9"/>
    <w:rsid w:val="001D4765"/>
    <w:rsid w:val="001D47E3"/>
    <w:rsid w:val="001D487A"/>
    <w:rsid w:val="001D489F"/>
    <w:rsid w:val="001D49A7"/>
    <w:rsid w:val="001D4AF1"/>
    <w:rsid w:val="001D4B9B"/>
    <w:rsid w:val="001D4C96"/>
    <w:rsid w:val="001D4CA2"/>
    <w:rsid w:val="001D4CB9"/>
    <w:rsid w:val="001D4CDD"/>
    <w:rsid w:val="001D4D7E"/>
    <w:rsid w:val="001D4F03"/>
    <w:rsid w:val="001D514A"/>
    <w:rsid w:val="001D5313"/>
    <w:rsid w:val="001D532D"/>
    <w:rsid w:val="001D540D"/>
    <w:rsid w:val="001D569B"/>
    <w:rsid w:val="001D5722"/>
    <w:rsid w:val="001D57D0"/>
    <w:rsid w:val="001D5BBE"/>
    <w:rsid w:val="001D5D25"/>
    <w:rsid w:val="001D5E6F"/>
    <w:rsid w:val="001D65E2"/>
    <w:rsid w:val="001D66A6"/>
    <w:rsid w:val="001D6764"/>
    <w:rsid w:val="001D67FA"/>
    <w:rsid w:val="001D6909"/>
    <w:rsid w:val="001D6BAD"/>
    <w:rsid w:val="001D6BFE"/>
    <w:rsid w:val="001D6CB7"/>
    <w:rsid w:val="001D6D0B"/>
    <w:rsid w:val="001D6E76"/>
    <w:rsid w:val="001D6E94"/>
    <w:rsid w:val="001D6EAD"/>
    <w:rsid w:val="001D6EFC"/>
    <w:rsid w:val="001D6F8A"/>
    <w:rsid w:val="001D6FC2"/>
    <w:rsid w:val="001D7188"/>
    <w:rsid w:val="001D7357"/>
    <w:rsid w:val="001D74BE"/>
    <w:rsid w:val="001D76BE"/>
    <w:rsid w:val="001D79C1"/>
    <w:rsid w:val="001D7A68"/>
    <w:rsid w:val="001D7A6D"/>
    <w:rsid w:val="001D7E18"/>
    <w:rsid w:val="001D7FB9"/>
    <w:rsid w:val="001E0078"/>
    <w:rsid w:val="001E05BB"/>
    <w:rsid w:val="001E087C"/>
    <w:rsid w:val="001E0941"/>
    <w:rsid w:val="001E0B26"/>
    <w:rsid w:val="001E0B37"/>
    <w:rsid w:val="001E0BB6"/>
    <w:rsid w:val="001E0BE8"/>
    <w:rsid w:val="001E0C2F"/>
    <w:rsid w:val="001E0C6D"/>
    <w:rsid w:val="001E0DD1"/>
    <w:rsid w:val="001E0EB8"/>
    <w:rsid w:val="001E1198"/>
    <w:rsid w:val="001E1323"/>
    <w:rsid w:val="001E1386"/>
    <w:rsid w:val="001E16DD"/>
    <w:rsid w:val="001E184D"/>
    <w:rsid w:val="001E1ACE"/>
    <w:rsid w:val="001E1CDD"/>
    <w:rsid w:val="001E1E90"/>
    <w:rsid w:val="001E1F49"/>
    <w:rsid w:val="001E203C"/>
    <w:rsid w:val="001E20ED"/>
    <w:rsid w:val="001E2196"/>
    <w:rsid w:val="001E21A6"/>
    <w:rsid w:val="001E22E6"/>
    <w:rsid w:val="001E2481"/>
    <w:rsid w:val="001E2594"/>
    <w:rsid w:val="001E271D"/>
    <w:rsid w:val="001E2934"/>
    <w:rsid w:val="001E297A"/>
    <w:rsid w:val="001E2A7E"/>
    <w:rsid w:val="001E2AC0"/>
    <w:rsid w:val="001E2CC8"/>
    <w:rsid w:val="001E2EC2"/>
    <w:rsid w:val="001E2F44"/>
    <w:rsid w:val="001E30F8"/>
    <w:rsid w:val="001E322A"/>
    <w:rsid w:val="001E34F3"/>
    <w:rsid w:val="001E3594"/>
    <w:rsid w:val="001E3595"/>
    <w:rsid w:val="001E3626"/>
    <w:rsid w:val="001E3974"/>
    <w:rsid w:val="001E39BC"/>
    <w:rsid w:val="001E39E2"/>
    <w:rsid w:val="001E3B59"/>
    <w:rsid w:val="001E3BDB"/>
    <w:rsid w:val="001E3C28"/>
    <w:rsid w:val="001E3D75"/>
    <w:rsid w:val="001E3D79"/>
    <w:rsid w:val="001E3E36"/>
    <w:rsid w:val="001E3E3A"/>
    <w:rsid w:val="001E3E3B"/>
    <w:rsid w:val="001E3E79"/>
    <w:rsid w:val="001E406E"/>
    <w:rsid w:val="001E408E"/>
    <w:rsid w:val="001E42AE"/>
    <w:rsid w:val="001E42CB"/>
    <w:rsid w:val="001E430E"/>
    <w:rsid w:val="001E4331"/>
    <w:rsid w:val="001E4494"/>
    <w:rsid w:val="001E47A6"/>
    <w:rsid w:val="001E4C8A"/>
    <w:rsid w:val="001E5005"/>
    <w:rsid w:val="001E501F"/>
    <w:rsid w:val="001E506F"/>
    <w:rsid w:val="001E5088"/>
    <w:rsid w:val="001E52D3"/>
    <w:rsid w:val="001E5585"/>
    <w:rsid w:val="001E5694"/>
    <w:rsid w:val="001E56BE"/>
    <w:rsid w:val="001E584D"/>
    <w:rsid w:val="001E58F8"/>
    <w:rsid w:val="001E594A"/>
    <w:rsid w:val="001E5998"/>
    <w:rsid w:val="001E5B77"/>
    <w:rsid w:val="001E5B7F"/>
    <w:rsid w:val="001E5F85"/>
    <w:rsid w:val="001E63FF"/>
    <w:rsid w:val="001E64F4"/>
    <w:rsid w:val="001E6826"/>
    <w:rsid w:val="001E6834"/>
    <w:rsid w:val="001E6897"/>
    <w:rsid w:val="001E68E5"/>
    <w:rsid w:val="001E69FE"/>
    <w:rsid w:val="001E6B46"/>
    <w:rsid w:val="001E6B6D"/>
    <w:rsid w:val="001E6C06"/>
    <w:rsid w:val="001E6CDC"/>
    <w:rsid w:val="001E6D4A"/>
    <w:rsid w:val="001E6FCF"/>
    <w:rsid w:val="001E6FD3"/>
    <w:rsid w:val="001E71EB"/>
    <w:rsid w:val="001E71F2"/>
    <w:rsid w:val="001E71FF"/>
    <w:rsid w:val="001E7474"/>
    <w:rsid w:val="001E74E7"/>
    <w:rsid w:val="001E7589"/>
    <w:rsid w:val="001E7632"/>
    <w:rsid w:val="001E770E"/>
    <w:rsid w:val="001E772E"/>
    <w:rsid w:val="001E7745"/>
    <w:rsid w:val="001E783A"/>
    <w:rsid w:val="001E78E7"/>
    <w:rsid w:val="001E790F"/>
    <w:rsid w:val="001E79C7"/>
    <w:rsid w:val="001E7C84"/>
    <w:rsid w:val="001E7CA5"/>
    <w:rsid w:val="001E7E3B"/>
    <w:rsid w:val="001E7ECC"/>
    <w:rsid w:val="001E7F4F"/>
    <w:rsid w:val="001E7FB5"/>
    <w:rsid w:val="001E7FF4"/>
    <w:rsid w:val="001F0181"/>
    <w:rsid w:val="001F0186"/>
    <w:rsid w:val="001F022A"/>
    <w:rsid w:val="001F02D7"/>
    <w:rsid w:val="001F0371"/>
    <w:rsid w:val="001F05C6"/>
    <w:rsid w:val="001F0614"/>
    <w:rsid w:val="001F075C"/>
    <w:rsid w:val="001F07AA"/>
    <w:rsid w:val="001F07C6"/>
    <w:rsid w:val="001F07F6"/>
    <w:rsid w:val="001F08E1"/>
    <w:rsid w:val="001F0947"/>
    <w:rsid w:val="001F0B0A"/>
    <w:rsid w:val="001F12F2"/>
    <w:rsid w:val="001F1329"/>
    <w:rsid w:val="001F1453"/>
    <w:rsid w:val="001F16DB"/>
    <w:rsid w:val="001F1946"/>
    <w:rsid w:val="001F19C9"/>
    <w:rsid w:val="001F19CD"/>
    <w:rsid w:val="001F1B5A"/>
    <w:rsid w:val="001F1C35"/>
    <w:rsid w:val="001F1C46"/>
    <w:rsid w:val="001F1CDC"/>
    <w:rsid w:val="001F1EC0"/>
    <w:rsid w:val="001F1EF2"/>
    <w:rsid w:val="001F1F1D"/>
    <w:rsid w:val="001F1F75"/>
    <w:rsid w:val="001F2089"/>
    <w:rsid w:val="001F2284"/>
    <w:rsid w:val="001F22AB"/>
    <w:rsid w:val="001F2600"/>
    <w:rsid w:val="001F26D7"/>
    <w:rsid w:val="001F298C"/>
    <w:rsid w:val="001F2997"/>
    <w:rsid w:val="001F2BAB"/>
    <w:rsid w:val="001F2CF5"/>
    <w:rsid w:val="001F31CD"/>
    <w:rsid w:val="001F326A"/>
    <w:rsid w:val="001F3462"/>
    <w:rsid w:val="001F360B"/>
    <w:rsid w:val="001F363F"/>
    <w:rsid w:val="001F3667"/>
    <w:rsid w:val="001F37D0"/>
    <w:rsid w:val="001F38B2"/>
    <w:rsid w:val="001F392F"/>
    <w:rsid w:val="001F3AF8"/>
    <w:rsid w:val="001F3D25"/>
    <w:rsid w:val="001F3EC3"/>
    <w:rsid w:val="001F409D"/>
    <w:rsid w:val="001F41B4"/>
    <w:rsid w:val="001F41E8"/>
    <w:rsid w:val="001F42C4"/>
    <w:rsid w:val="001F42F8"/>
    <w:rsid w:val="001F44DC"/>
    <w:rsid w:val="001F44F1"/>
    <w:rsid w:val="001F453E"/>
    <w:rsid w:val="001F455C"/>
    <w:rsid w:val="001F49A4"/>
    <w:rsid w:val="001F4B72"/>
    <w:rsid w:val="001F4BC8"/>
    <w:rsid w:val="001F4CC1"/>
    <w:rsid w:val="001F4DA2"/>
    <w:rsid w:val="001F50AA"/>
    <w:rsid w:val="001F50D4"/>
    <w:rsid w:val="001F51EB"/>
    <w:rsid w:val="001F52B3"/>
    <w:rsid w:val="001F548B"/>
    <w:rsid w:val="001F5678"/>
    <w:rsid w:val="001F574B"/>
    <w:rsid w:val="001F57C3"/>
    <w:rsid w:val="001F5891"/>
    <w:rsid w:val="001F595A"/>
    <w:rsid w:val="001F595B"/>
    <w:rsid w:val="001F5963"/>
    <w:rsid w:val="001F59DD"/>
    <w:rsid w:val="001F59DE"/>
    <w:rsid w:val="001F5B1C"/>
    <w:rsid w:val="001F5CFB"/>
    <w:rsid w:val="001F5F71"/>
    <w:rsid w:val="001F6201"/>
    <w:rsid w:val="001F629D"/>
    <w:rsid w:val="001F644F"/>
    <w:rsid w:val="001F656D"/>
    <w:rsid w:val="001F65C9"/>
    <w:rsid w:val="001F67C7"/>
    <w:rsid w:val="001F6803"/>
    <w:rsid w:val="001F6860"/>
    <w:rsid w:val="001F6A23"/>
    <w:rsid w:val="001F6BE4"/>
    <w:rsid w:val="001F6C32"/>
    <w:rsid w:val="001F6C33"/>
    <w:rsid w:val="001F6C4C"/>
    <w:rsid w:val="001F706D"/>
    <w:rsid w:val="001F721E"/>
    <w:rsid w:val="001F7342"/>
    <w:rsid w:val="001F73DA"/>
    <w:rsid w:val="001F7412"/>
    <w:rsid w:val="001F741A"/>
    <w:rsid w:val="001F7456"/>
    <w:rsid w:val="001F74E6"/>
    <w:rsid w:val="001F74E9"/>
    <w:rsid w:val="001F754E"/>
    <w:rsid w:val="001F7556"/>
    <w:rsid w:val="001F75F4"/>
    <w:rsid w:val="001F76AD"/>
    <w:rsid w:val="001F788B"/>
    <w:rsid w:val="001F7960"/>
    <w:rsid w:val="001F79C6"/>
    <w:rsid w:val="001F7CD6"/>
    <w:rsid w:val="001F7D54"/>
    <w:rsid w:val="001F7E7D"/>
    <w:rsid w:val="00200053"/>
    <w:rsid w:val="002000B9"/>
    <w:rsid w:val="0020026A"/>
    <w:rsid w:val="0020040B"/>
    <w:rsid w:val="0020049C"/>
    <w:rsid w:val="00200556"/>
    <w:rsid w:val="002006AD"/>
    <w:rsid w:val="0020078B"/>
    <w:rsid w:val="00200895"/>
    <w:rsid w:val="00200D50"/>
    <w:rsid w:val="00200D84"/>
    <w:rsid w:val="00200E41"/>
    <w:rsid w:val="00200ED9"/>
    <w:rsid w:val="00200FAD"/>
    <w:rsid w:val="00201198"/>
    <w:rsid w:val="00201434"/>
    <w:rsid w:val="002014E8"/>
    <w:rsid w:val="0020173F"/>
    <w:rsid w:val="002019F5"/>
    <w:rsid w:val="00201AA4"/>
    <w:rsid w:val="00201C18"/>
    <w:rsid w:val="00201C3D"/>
    <w:rsid w:val="00202274"/>
    <w:rsid w:val="0020229A"/>
    <w:rsid w:val="00202340"/>
    <w:rsid w:val="00202649"/>
    <w:rsid w:val="002026A4"/>
    <w:rsid w:val="00202937"/>
    <w:rsid w:val="00202992"/>
    <w:rsid w:val="002029D4"/>
    <w:rsid w:val="00202AB2"/>
    <w:rsid w:val="00202ACA"/>
    <w:rsid w:val="00202B07"/>
    <w:rsid w:val="00202B8E"/>
    <w:rsid w:val="00202CA6"/>
    <w:rsid w:val="00202CCE"/>
    <w:rsid w:val="00202FC2"/>
    <w:rsid w:val="00203105"/>
    <w:rsid w:val="0020311E"/>
    <w:rsid w:val="00203262"/>
    <w:rsid w:val="002032A9"/>
    <w:rsid w:val="00203A55"/>
    <w:rsid w:val="00203B77"/>
    <w:rsid w:val="00203BA1"/>
    <w:rsid w:val="00203BE2"/>
    <w:rsid w:val="00203C70"/>
    <w:rsid w:val="00203D64"/>
    <w:rsid w:val="00203D84"/>
    <w:rsid w:val="00203D8F"/>
    <w:rsid w:val="00203DC7"/>
    <w:rsid w:val="00203E3E"/>
    <w:rsid w:val="00203F17"/>
    <w:rsid w:val="00204119"/>
    <w:rsid w:val="002042D4"/>
    <w:rsid w:val="002043A8"/>
    <w:rsid w:val="002043F1"/>
    <w:rsid w:val="002044BE"/>
    <w:rsid w:val="00204870"/>
    <w:rsid w:val="002048F7"/>
    <w:rsid w:val="002049E0"/>
    <w:rsid w:val="002049F4"/>
    <w:rsid w:val="00204A00"/>
    <w:rsid w:val="00204A20"/>
    <w:rsid w:val="00204B42"/>
    <w:rsid w:val="00204CC0"/>
    <w:rsid w:val="00204D2E"/>
    <w:rsid w:val="00204EF4"/>
    <w:rsid w:val="00204F47"/>
    <w:rsid w:val="00204F7F"/>
    <w:rsid w:val="0020501E"/>
    <w:rsid w:val="002050CC"/>
    <w:rsid w:val="0020515C"/>
    <w:rsid w:val="0020524A"/>
    <w:rsid w:val="002052CD"/>
    <w:rsid w:val="0020532E"/>
    <w:rsid w:val="0020541A"/>
    <w:rsid w:val="00205539"/>
    <w:rsid w:val="002056CE"/>
    <w:rsid w:val="0020574C"/>
    <w:rsid w:val="002059FB"/>
    <w:rsid w:val="00205B89"/>
    <w:rsid w:val="00205B96"/>
    <w:rsid w:val="00205C9A"/>
    <w:rsid w:val="00205D5A"/>
    <w:rsid w:val="00206014"/>
    <w:rsid w:val="002063AC"/>
    <w:rsid w:val="00206402"/>
    <w:rsid w:val="002064B4"/>
    <w:rsid w:val="00206621"/>
    <w:rsid w:val="00206A05"/>
    <w:rsid w:val="00206B3F"/>
    <w:rsid w:val="00206C64"/>
    <w:rsid w:val="00206CBC"/>
    <w:rsid w:val="00206D87"/>
    <w:rsid w:val="00206DFF"/>
    <w:rsid w:val="00207012"/>
    <w:rsid w:val="00207035"/>
    <w:rsid w:val="00207252"/>
    <w:rsid w:val="0020736B"/>
    <w:rsid w:val="0020762D"/>
    <w:rsid w:val="00207665"/>
    <w:rsid w:val="002077CE"/>
    <w:rsid w:val="0020792D"/>
    <w:rsid w:val="00207A78"/>
    <w:rsid w:val="00207BA7"/>
    <w:rsid w:val="00207CF7"/>
    <w:rsid w:val="00207CFA"/>
    <w:rsid w:val="00207E2B"/>
    <w:rsid w:val="00207FB5"/>
    <w:rsid w:val="00207FC4"/>
    <w:rsid w:val="002102F4"/>
    <w:rsid w:val="00210598"/>
    <w:rsid w:val="002106FE"/>
    <w:rsid w:val="00210A58"/>
    <w:rsid w:val="00210B8A"/>
    <w:rsid w:val="00210C1D"/>
    <w:rsid w:val="00210CA1"/>
    <w:rsid w:val="0021103E"/>
    <w:rsid w:val="00211044"/>
    <w:rsid w:val="002110F7"/>
    <w:rsid w:val="0021122B"/>
    <w:rsid w:val="0021129D"/>
    <w:rsid w:val="0021129E"/>
    <w:rsid w:val="002112B1"/>
    <w:rsid w:val="0021131B"/>
    <w:rsid w:val="0021141A"/>
    <w:rsid w:val="002114E0"/>
    <w:rsid w:val="002115A4"/>
    <w:rsid w:val="002115C0"/>
    <w:rsid w:val="00211957"/>
    <w:rsid w:val="00211B37"/>
    <w:rsid w:val="00211D6D"/>
    <w:rsid w:val="00211DC7"/>
    <w:rsid w:val="00211DD6"/>
    <w:rsid w:val="00211E0B"/>
    <w:rsid w:val="00211E2B"/>
    <w:rsid w:val="00211E5E"/>
    <w:rsid w:val="00211F9B"/>
    <w:rsid w:val="0021206C"/>
    <w:rsid w:val="002124CA"/>
    <w:rsid w:val="002128A0"/>
    <w:rsid w:val="00212A33"/>
    <w:rsid w:val="00212A38"/>
    <w:rsid w:val="00212A57"/>
    <w:rsid w:val="00212B1B"/>
    <w:rsid w:val="00212B3B"/>
    <w:rsid w:val="00212B8F"/>
    <w:rsid w:val="00212C94"/>
    <w:rsid w:val="00212CB3"/>
    <w:rsid w:val="00212D37"/>
    <w:rsid w:val="00212DA8"/>
    <w:rsid w:val="00212DC9"/>
    <w:rsid w:val="00212DFA"/>
    <w:rsid w:val="00212E03"/>
    <w:rsid w:val="00212E08"/>
    <w:rsid w:val="00212EBC"/>
    <w:rsid w:val="00212EE1"/>
    <w:rsid w:val="00213417"/>
    <w:rsid w:val="002135B4"/>
    <w:rsid w:val="002135EC"/>
    <w:rsid w:val="00213702"/>
    <w:rsid w:val="0021376E"/>
    <w:rsid w:val="00213919"/>
    <w:rsid w:val="00213A8D"/>
    <w:rsid w:val="00213B3A"/>
    <w:rsid w:val="00213B80"/>
    <w:rsid w:val="00213C8F"/>
    <w:rsid w:val="00213E4C"/>
    <w:rsid w:val="00214017"/>
    <w:rsid w:val="0021418D"/>
    <w:rsid w:val="00214197"/>
    <w:rsid w:val="00214340"/>
    <w:rsid w:val="0021443B"/>
    <w:rsid w:val="002147A3"/>
    <w:rsid w:val="00214818"/>
    <w:rsid w:val="00214847"/>
    <w:rsid w:val="0021486B"/>
    <w:rsid w:val="0021490E"/>
    <w:rsid w:val="00214A63"/>
    <w:rsid w:val="00214B86"/>
    <w:rsid w:val="00214C26"/>
    <w:rsid w:val="00214C3C"/>
    <w:rsid w:val="00214CAB"/>
    <w:rsid w:val="00214D26"/>
    <w:rsid w:val="00214D34"/>
    <w:rsid w:val="00214DD8"/>
    <w:rsid w:val="00214F15"/>
    <w:rsid w:val="00214FCB"/>
    <w:rsid w:val="0021537C"/>
    <w:rsid w:val="002153B3"/>
    <w:rsid w:val="00215561"/>
    <w:rsid w:val="002155B5"/>
    <w:rsid w:val="00215662"/>
    <w:rsid w:val="002157F6"/>
    <w:rsid w:val="00215873"/>
    <w:rsid w:val="002158F9"/>
    <w:rsid w:val="002159E9"/>
    <w:rsid w:val="00215CD3"/>
    <w:rsid w:val="00215DCA"/>
    <w:rsid w:val="00215F30"/>
    <w:rsid w:val="00216053"/>
    <w:rsid w:val="00216069"/>
    <w:rsid w:val="00216101"/>
    <w:rsid w:val="0021623A"/>
    <w:rsid w:val="0021636A"/>
    <w:rsid w:val="0021638B"/>
    <w:rsid w:val="002163C4"/>
    <w:rsid w:val="00216651"/>
    <w:rsid w:val="0021667A"/>
    <w:rsid w:val="002168FF"/>
    <w:rsid w:val="00216A18"/>
    <w:rsid w:val="00216A32"/>
    <w:rsid w:val="00216B4F"/>
    <w:rsid w:val="00216B52"/>
    <w:rsid w:val="00216B97"/>
    <w:rsid w:val="00216F1C"/>
    <w:rsid w:val="0021701B"/>
    <w:rsid w:val="00217065"/>
    <w:rsid w:val="00217103"/>
    <w:rsid w:val="00217461"/>
    <w:rsid w:val="00217510"/>
    <w:rsid w:val="00217564"/>
    <w:rsid w:val="0021758E"/>
    <w:rsid w:val="002177EB"/>
    <w:rsid w:val="00217885"/>
    <w:rsid w:val="002179C3"/>
    <w:rsid w:val="00217D03"/>
    <w:rsid w:val="00217D4A"/>
    <w:rsid w:val="00217E0C"/>
    <w:rsid w:val="00217ED9"/>
    <w:rsid w:val="00220428"/>
    <w:rsid w:val="002205F4"/>
    <w:rsid w:val="002207C9"/>
    <w:rsid w:val="00220A8B"/>
    <w:rsid w:val="00220AFE"/>
    <w:rsid w:val="0022105D"/>
    <w:rsid w:val="00221274"/>
    <w:rsid w:val="002212B3"/>
    <w:rsid w:val="002214B4"/>
    <w:rsid w:val="002216B7"/>
    <w:rsid w:val="0022181A"/>
    <w:rsid w:val="0022181F"/>
    <w:rsid w:val="00221998"/>
    <w:rsid w:val="00221A3F"/>
    <w:rsid w:val="00221C5E"/>
    <w:rsid w:val="00221D0D"/>
    <w:rsid w:val="00221D3F"/>
    <w:rsid w:val="00221EE4"/>
    <w:rsid w:val="00221FF4"/>
    <w:rsid w:val="0022221A"/>
    <w:rsid w:val="002222B9"/>
    <w:rsid w:val="002223A0"/>
    <w:rsid w:val="00222838"/>
    <w:rsid w:val="00222846"/>
    <w:rsid w:val="00222D0F"/>
    <w:rsid w:val="00222F63"/>
    <w:rsid w:val="00223035"/>
    <w:rsid w:val="002230A9"/>
    <w:rsid w:val="00223161"/>
    <w:rsid w:val="002231C7"/>
    <w:rsid w:val="00223358"/>
    <w:rsid w:val="002233B9"/>
    <w:rsid w:val="0022356F"/>
    <w:rsid w:val="0022386F"/>
    <w:rsid w:val="00223A24"/>
    <w:rsid w:val="00223BB9"/>
    <w:rsid w:val="00223C26"/>
    <w:rsid w:val="00223CF5"/>
    <w:rsid w:val="00223D16"/>
    <w:rsid w:val="00223E93"/>
    <w:rsid w:val="0022437F"/>
    <w:rsid w:val="00224447"/>
    <w:rsid w:val="00224627"/>
    <w:rsid w:val="002246BB"/>
    <w:rsid w:val="0022476E"/>
    <w:rsid w:val="00224779"/>
    <w:rsid w:val="00224860"/>
    <w:rsid w:val="00225138"/>
    <w:rsid w:val="00225512"/>
    <w:rsid w:val="00225566"/>
    <w:rsid w:val="0022563A"/>
    <w:rsid w:val="00225846"/>
    <w:rsid w:val="00225A32"/>
    <w:rsid w:val="00225AE0"/>
    <w:rsid w:val="00225B89"/>
    <w:rsid w:val="00225BBC"/>
    <w:rsid w:val="00225F02"/>
    <w:rsid w:val="00225F35"/>
    <w:rsid w:val="00226052"/>
    <w:rsid w:val="002260D2"/>
    <w:rsid w:val="00226196"/>
    <w:rsid w:val="00226396"/>
    <w:rsid w:val="0022652D"/>
    <w:rsid w:val="00226655"/>
    <w:rsid w:val="00226800"/>
    <w:rsid w:val="00226DF9"/>
    <w:rsid w:val="00226E7F"/>
    <w:rsid w:val="00226FD6"/>
    <w:rsid w:val="00226FF6"/>
    <w:rsid w:val="0022727F"/>
    <w:rsid w:val="0022756E"/>
    <w:rsid w:val="002276FD"/>
    <w:rsid w:val="0022773D"/>
    <w:rsid w:val="002277D7"/>
    <w:rsid w:val="002279E9"/>
    <w:rsid w:val="00227A67"/>
    <w:rsid w:val="00227C7F"/>
    <w:rsid w:val="00227CD3"/>
    <w:rsid w:val="00227F18"/>
    <w:rsid w:val="00227F21"/>
    <w:rsid w:val="00227F37"/>
    <w:rsid w:val="002301B9"/>
    <w:rsid w:val="002302D3"/>
    <w:rsid w:val="00230379"/>
    <w:rsid w:val="00230400"/>
    <w:rsid w:val="0023042F"/>
    <w:rsid w:val="00230439"/>
    <w:rsid w:val="0023066C"/>
    <w:rsid w:val="00230813"/>
    <w:rsid w:val="00230963"/>
    <w:rsid w:val="0023097C"/>
    <w:rsid w:val="002309B8"/>
    <w:rsid w:val="002309F1"/>
    <w:rsid w:val="00230B26"/>
    <w:rsid w:val="00230C05"/>
    <w:rsid w:val="00230C0A"/>
    <w:rsid w:val="00230DA0"/>
    <w:rsid w:val="00230DFB"/>
    <w:rsid w:val="00230E42"/>
    <w:rsid w:val="00230E55"/>
    <w:rsid w:val="00230E5C"/>
    <w:rsid w:val="00230E7B"/>
    <w:rsid w:val="00230E99"/>
    <w:rsid w:val="00231122"/>
    <w:rsid w:val="0023119D"/>
    <w:rsid w:val="0023167B"/>
    <w:rsid w:val="00231917"/>
    <w:rsid w:val="00231A89"/>
    <w:rsid w:val="00231C1E"/>
    <w:rsid w:val="00231D24"/>
    <w:rsid w:val="00231E93"/>
    <w:rsid w:val="00231F03"/>
    <w:rsid w:val="00231F34"/>
    <w:rsid w:val="00231F60"/>
    <w:rsid w:val="00232050"/>
    <w:rsid w:val="00232222"/>
    <w:rsid w:val="00232510"/>
    <w:rsid w:val="00232521"/>
    <w:rsid w:val="00232667"/>
    <w:rsid w:val="002327ED"/>
    <w:rsid w:val="0023288D"/>
    <w:rsid w:val="0023288E"/>
    <w:rsid w:val="00232A09"/>
    <w:rsid w:val="00232C55"/>
    <w:rsid w:val="00232C9E"/>
    <w:rsid w:val="00232D59"/>
    <w:rsid w:val="00232E09"/>
    <w:rsid w:val="00232F89"/>
    <w:rsid w:val="0023311A"/>
    <w:rsid w:val="0023316C"/>
    <w:rsid w:val="0023325C"/>
    <w:rsid w:val="0023340C"/>
    <w:rsid w:val="002334A1"/>
    <w:rsid w:val="0023364E"/>
    <w:rsid w:val="00233720"/>
    <w:rsid w:val="00233759"/>
    <w:rsid w:val="00233B15"/>
    <w:rsid w:val="00233E5A"/>
    <w:rsid w:val="00234147"/>
    <w:rsid w:val="00234158"/>
    <w:rsid w:val="0023421C"/>
    <w:rsid w:val="002343EA"/>
    <w:rsid w:val="0023468B"/>
    <w:rsid w:val="002347F2"/>
    <w:rsid w:val="002349EE"/>
    <w:rsid w:val="00234C66"/>
    <w:rsid w:val="00234F35"/>
    <w:rsid w:val="00234F6C"/>
    <w:rsid w:val="0023512F"/>
    <w:rsid w:val="002351C6"/>
    <w:rsid w:val="00235210"/>
    <w:rsid w:val="0023554E"/>
    <w:rsid w:val="002355D8"/>
    <w:rsid w:val="0023577F"/>
    <w:rsid w:val="002358B5"/>
    <w:rsid w:val="00235A51"/>
    <w:rsid w:val="00235A95"/>
    <w:rsid w:val="00235B9E"/>
    <w:rsid w:val="00235BE5"/>
    <w:rsid w:val="00235CA3"/>
    <w:rsid w:val="00235E94"/>
    <w:rsid w:val="00235EAB"/>
    <w:rsid w:val="00235ED1"/>
    <w:rsid w:val="00235F39"/>
    <w:rsid w:val="00235FD1"/>
    <w:rsid w:val="00236047"/>
    <w:rsid w:val="002362F6"/>
    <w:rsid w:val="002363C9"/>
    <w:rsid w:val="0023654C"/>
    <w:rsid w:val="0023668D"/>
    <w:rsid w:val="0023670F"/>
    <w:rsid w:val="00236913"/>
    <w:rsid w:val="00236A6E"/>
    <w:rsid w:val="00236D39"/>
    <w:rsid w:val="00236E6C"/>
    <w:rsid w:val="00236F05"/>
    <w:rsid w:val="00237016"/>
    <w:rsid w:val="002370AD"/>
    <w:rsid w:val="002371A6"/>
    <w:rsid w:val="002371D5"/>
    <w:rsid w:val="002371FF"/>
    <w:rsid w:val="00237255"/>
    <w:rsid w:val="00237272"/>
    <w:rsid w:val="00237482"/>
    <w:rsid w:val="00237499"/>
    <w:rsid w:val="0023766B"/>
    <w:rsid w:val="00237718"/>
    <w:rsid w:val="002377D7"/>
    <w:rsid w:val="00237860"/>
    <w:rsid w:val="00237AA8"/>
    <w:rsid w:val="00237AEF"/>
    <w:rsid w:val="00237BB7"/>
    <w:rsid w:val="00237C9B"/>
    <w:rsid w:val="00237CBF"/>
    <w:rsid w:val="00237D66"/>
    <w:rsid w:val="00237DB2"/>
    <w:rsid w:val="00237F04"/>
    <w:rsid w:val="00237F48"/>
    <w:rsid w:val="00240021"/>
    <w:rsid w:val="002400E0"/>
    <w:rsid w:val="002402A6"/>
    <w:rsid w:val="0024034E"/>
    <w:rsid w:val="0024052A"/>
    <w:rsid w:val="0024053C"/>
    <w:rsid w:val="002406C4"/>
    <w:rsid w:val="00240776"/>
    <w:rsid w:val="002407D0"/>
    <w:rsid w:val="0024081A"/>
    <w:rsid w:val="00240922"/>
    <w:rsid w:val="00240A08"/>
    <w:rsid w:val="00240A17"/>
    <w:rsid w:val="00240B31"/>
    <w:rsid w:val="00240D09"/>
    <w:rsid w:val="00240DA2"/>
    <w:rsid w:val="00240E63"/>
    <w:rsid w:val="00240E81"/>
    <w:rsid w:val="00240F7D"/>
    <w:rsid w:val="002410E0"/>
    <w:rsid w:val="00241146"/>
    <w:rsid w:val="002411A8"/>
    <w:rsid w:val="0024154A"/>
    <w:rsid w:val="0024158B"/>
    <w:rsid w:val="002416CE"/>
    <w:rsid w:val="002416E5"/>
    <w:rsid w:val="00241724"/>
    <w:rsid w:val="002417BB"/>
    <w:rsid w:val="002419FA"/>
    <w:rsid w:val="00241AA0"/>
    <w:rsid w:val="00241B72"/>
    <w:rsid w:val="00241B7B"/>
    <w:rsid w:val="00241B92"/>
    <w:rsid w:val="00241CA0"/>
    <w:rsid w:val="00241CA8"/>
    <w:rsid w:val="00241D69"/>
    <w:rsid w:val="00241EE7"/>
    <w:rsid w:val="00241EEE"/>
    <w:rsid w:val="00241F05"/>
    <w:rsid w:val="00242304"/>
    <w:rsid w:val="0024231A"/>
    <w:rsid w:val="0024240E"/>
    <w:rsid w:val="00242462"/>
    <w:rsid w:val="00242479"/>
    <w:rsid w:val="0024249B"/>
    <w:rsid w:val="00242502"/>
    <w:rsid w:val="0024255F"/>
    <w:rsid w:val="00242573"/>
    <w:rsid w:val="0024276A"/>
    <w:rsid w:val="002428CD"/>
    <w:rsid w:val="00242A2C"/>
    <w:rsid w:val="00242ACA"/>
    <w:rsid w:val="00242BB0"/>
    <w:rsid w:val="00242D93"/>
    <w:rsid w:val="00242D99"/>
    <w:rsid w:val="00242E71"/>
    <w:rsid w:val="00243255"/>
    <w:rsid w:val="002433DB"/>
    <w:rsid w:val="002434FE"/>
    <w:rsid w:val="002435A6"/>
    <w:rsid w:val="00243673"/>
    <w:rsid w:val="00243686"/>
    <w:rsid w:val="0024373D"/>
    <w:rsid w:val="00243777"/>
    <w:rsid w:val="00243789"/>
    <w:rsid w:val="00243937"/>
    <w:rsid w:val="00243953"/>
    <w:rsid w:val="00243966"/>
    <w:rsid w:val="00243A0F"/>
    <w:rsid w:val="00243BBE"/>
    <w:rsid w:val="0024411E"/>
    <w:rsid w:val="00244140"/>
    <w:rsid w:val="00244275"/>
    <w:rsid w:val="002444F2"/>
    <w:rsid w:val="00244644"/>
    <w:rsid w:val="002446B7"/>
    <w:rsid w:val="00244702"/>
    <w:rsid w:val="00244822"/>
    <w:rsid w:val="0024491F"/>
    <w:rsid w:val="00244B63"/>
    <w:rsid w:val="00244BFD"/>
    <w:rsid w:val="00244CE7"/>
    <w:rsid w:val="00244D05"/>
    <w:rsid w:val="00244D46"/>
    <w:rsid w:val="00244E83"/>
    <w:rsid w:val="00244EC4"/>
    <w:rsid w:val="00244EDD"/>
    <w:rsid w:val="002451A4"/>
    <w:rsid w:val="0024521A"/>
    <w:rsid w:val="0024522B"/>
    <w:rsid w:val="002452FB"/>
    <w:rsid w:val="0024535F"/>
    <w:rsid w:val="0024537D"/>
    <w:rsid w:val="002453FA"/>
    <w:rsid w:val="00245434"/>
    <w:rsid w:val="002455C6"/>
    <w:rsid w:val="0024561A"/>
    <w:rsid w:val="002456E5"/>
    <w:rsid w:val="00245806"/>
    <w:rsid w:val="0024583F"/>
    <w:rsid w:val="0024587B"/>
    <w:rsid w:val="00245968"/>
    <w:rsid w:val="00245FBF"/>
    <w:rsid w:val="002460B1"/>
    <w:rsid w:val="00246359"/>
    <w:rsid w:val="002463CF"/>
    <w:rsid w:val="0024640D"/>
    <w:rsid w:val="0024658C"/>
    <w:rsid w:val="00246620"/>
    <w:rsid w:val="0024670A"/>
    <w:rsid w:val="00246871"/>
    <w:rsid w:val="00246B22"/>
    <w:rsid w:val="00246BB8"/>
    <w:rsid w:val="00246BF1"/>
    <w:rsid w:val="00246CF3"/>
    <w:rsid w:val="00247070"/>
    <w:rsid w:val="002472EA"/>
    <w:rsid w:val="00247342"/>
    <w:rsid w:val="002474A5"/>
    <w:rsid w:val="002474DA"/>
    <w:rsid w:val="002474E8"/>
    <w:rsid w:val="00247663"/>
    <w:rsid w:val="002477B0"/>
    <w:rsid w:val="00247DED"/>
    <w:rsid w:val="00247FC6"/>
    <w:rsid w:val="00250208"/>
    <w:rsid w:val="00250274"/>
    <w:rsid w:val="0025028E"/>
    <w:rsid w:val="0025059E"/>
    <w:rsid w:val="002505C7"/>
    <w:rsid w:val="00250678"/>
    <w:rsid w:val="002506F4"/>
    <w:rsid w:val="002507C1"/>
    <w:rsid w:val="002508F3"/>
    <w:rsid w:val="002509DC"/>
    <w:rsid w:val="00250A98"/>
    <w:rsid w:val="00250BE2"/>
    <w:rsid w:val="00250D87"/>
    <w:rsid w:val="00250E2A"/>
    <w:rsid w:val="00250F54"/>
    <w:rsid w:val="00251306"/>
    <w:rsid w:val="00251461"/>
    <w:rsid w:val="002514D0"/>
    <w:rsid w:val="002517DA"/>
    <w:rsid w:val="00251957"/>
    <w:rsid w:val="00251ADB"/>
    <w:rsid w:val="00251CE6"/>
    <w:rsid w:val="00251E87"/>
    <w:rsid w:val="00252381"/>
    <w:rsid w:val="00252389"/>
    <w:rsid w:val="00252564"/>
    <w:rsid w:val="002525E9"/>
    <w:rsid w:val="00252720"/>
    <w:rsid w:val="002527D0"/>
    <w:rsid w:val="00252839"/>
    <w:rsid w:val="00252905"/>
    <w:rsid w:val="002529E0"/>
    <w:rsid w:val="00252A99"/>
    <w:rsid w:val="00252BBA"/>
    <w:rsid w:val="00252BC6"/>
    <w:rsid w:val="00252C1F"/>
    <w:rsid w:val="00252D13"/>
    <w:rsid w:val="00252E6F"/>
    <w:rsid w:val="00252F64"/>
    <w:rsid w:val="00252FCB"/>
    <w:rsid w:val="0025310A"/>
    <w:rsid w:val="00253168"/>
    <w:rsid w:val="0025322E"/>
    <w:rsid w:val="00253231"/>
    <w:rsid w:val="00253421"/>
    <w:rsid w:val="00253490"/>
    <w:rsid w:val="002537B9"/>
    <w:rsid w:val="00253859"/>
    <w:rsid w:val="00253918"/>
    <w:rsid w:val="00253A99"/>
    <w:rsid w:val="00253BBE"/>
    <w:rsid w:val="00253E21"/>
    <w:rsid w:val="002540C4"/>
    <w:rsid w:val="0025417B"/>
    <w:rsid w:val="0025422A"/>
    <w:rsid w:val="00254608"/>
    <w:rsid w:val="0025466F"/>
    <w:rsid w:val="00254672"/>
    <w:rsid w:val="002546A3"/>
    <w:rsid w:val="0025491E"/>
    <w:rsid w:val="00254B86"/>
    <w:rsid w:val="00254CA1"/>
    <w:rsid w:val="00254F0C"/>
    <w:rsid w:val="00255028"/>
    <w:rsid w:val="00255080"/>
    <w:rsid w:val="00255174"/>
    <w:rsid w:val="002552A8"/>
    <w:rsid w:val="00255427"/>
    <w:rsid w:val="002554E9"/>
    <w:rsid w:val="00255577"/>
    <w:rsid w:val="0025563E"/>
    <w:rsid w:val="00255702"/>
    <w:rsid w:val="00255844"/>
    <w:rsid w:val="00255DDA"/>
    <w:rsid w:val="00255ECB"/>
    <w:rsid w:val="002561DD"/>
    <w:rsid w:val="00256221"/>
    <w:rsid w:val="00256301"/>
    <w:rsid w:val="00256350"/>
    <w:rsid w:val="00256398"/>
    <w:rsid w:val="002565F7"/>
    <w:rsid w:val="00256722"/>
    <w:rsid w:val="00256B04"/>
    <w:rsid w:val="00256B28"/>
    <w:rsid w:val="00256C72"/>
    <w:rsid w:val="00256E4A"/>
    <w:rsid w:val="00256F1E"/>
    <w:rsid w:val="0025719A"/>
    <w:rsid w:val="002572AE"/>
    <w:rsid w:val="0025731D"/>
    <w:rsid w:val="0025736E"/>
    <w:rsid w:val="002573D9"/>
    <w:rsid w:val="002573E0"/>
    <w:rsid w:val="00257430"/>
    <w:rsid w:val="00257716"/>
    <w:rsid w:val="0025777D"/>
    <w:rsid w:val="002578B7"/>
    <w:rsid w:val="002579A5"/>
    <w:rsid w:val="00257AF6"/>
    <w:rsid w:val="00257F41"/>
    <w:rsid w:val="00257F66"/>
    <w:rsid w:val="00257FBA"/>
    <w:rsid w:val="002602FB"/>
    <w:rsid w:val="002603C3"/>
    <w:rsid w:val="0026043E"/>
    <w:rsid w:val="0026063B"/>
    <w:rsid w:val="0026066E"/>
    <w:rsid w:val="00260772"/>
    <w:rsid w:val="00260837"/>
    <w:rsid w:val="002608C8"/>
    <w:rsid w:val="002608CD"/>
    <w:rsid w:val="00260BD5"/>
    <w:rsid w:val="00260E06"/>
    <w:rsid w:val="00260E3F"/>
    <w:rsid w:val="00260EA0"/>
    <w:rsid w:val="00260EE9"/>
    <w:rsid w:val="00261024"/>
    <w:rsid w:val="00261054"/>
    <w:rsid w:val="00261116"/>
    <w:rsid w:val="002611EE"/>
    <w:rsid w:val="00261299"/>
    <w:rsid w:val="002612E8"/>
    <w:rsid w:val="0026147E"/>
    <w:rsid w:val="0026148B"/>
    <w:rsid w:val="00261491"/>
    <w:rsid w:val="00261767"/>
    <w:rsid w:val="00261A95"/>
    <w:rsid w:val="00261BC6"/>
    <w:rsid w:val="00261EA6"/>
    <w:rsid w:val="00261EFE"/>
    <w:rsid w:val="00261F66"/>
    <w:rsid w:val="002620BB"/>
    <w:rsid w:val="00262114"/>
    <w:rsid w:val="002621BB"/>
    <w:rsid w:val="00262340"/>
    <w:rsid w:val="0026242B"/>
    <w:rsid w:val="0026249B"/>
    <w:rsid w:val="0026264D"/>
    <w:rsid w:val="002626E8"/>
    <w:rsid w:val="002628C5"/>
    <w:rsid w:val="0026291E"/>
    <w:rsid w:val="00262A66"/>
    <w:rsid w:val="002631B7"/>
    <w:rsid w:val="002632C7"/>
    <w:rsid w:val="00263330"/>
    <w:rsid w:val="00263349"/>
    <w:rsid w:val="00263369"/>
    <w:rsid w:val="002633D5"/>
    <w:rsid w:val="002633E1"/>
    <w:rsid w:val="002633FF"/>
    <w:rsid w:val="002635FE"/>
    <w:rsid w:val="00263675"/>
    <w:rsid w:val="002636FA"/>
    <w:rsid w:val="0026375F"/>
    <w:rsid w:val="0026384F"/>
    <w:rsid w:val="0026394B"/>
    <w:rsid w:val="00263BA9"/>
    <w:rsid w:val="00263CB7"/>
    <w:rsid w:val="00263CC7"/>
    <w:rsid w:val="00263DF0"/>
    <w:rsid w:val="00263EF7"/>
    <w:rsid w:val="00263FDE"/>
    <w:rsid w:val="0026406B"/>
    <w:rsid w:val="00264076"/>
    <w:rsid w:val="00264078"/>
    <w:rsid w:val="0026423F"/>
    <w:rsid w:val="00264306"/>
    <w:rsid w:val="002643FE"/>
    <w:rsid w:val="0026461B"/>
    <w:rsid w:val="00264A2D"/>
    <w:rsid w:val="00264AFE"/>
    <w:rsid w:val="00264B16"/>
    <w:rsid w:val="00264B3B"/>
    <w:rsid w:val="00264B5F"/>
    <w:rsid w:val="00264CAA"/>
    <w:rsid w:val="00264ECC"/>
    <w:rsid w:val="00264F38"/>
    <w:rsid w:val="00264F3E"/>
    <w:rsid w:val="00264FF3"/>
    <w:rsid w:val="00265020"/>
    <w:rsid w:val="0026502B"/>
    <w:rsid w:val="00265163"/>
    <w:rsid w:val="002654EF"/>
    <w:rsid w:val="002655BA"/>
    <w:rsid w:val="002656AD"/>
    <w:rsid w:val="0026582C"/>
    <w:rsid w:val="0026599F"/>
    <w:rsid w:val="00265A2B"/>
    <w:rsid w:val="00265AB8"/>
    <w:rsid w:val="00265C8E"/>
    <w:rsid w:val="00265D3F"/>
    <w:rsid w:val="00265D85"/>
    <w:rsid w:val="00265E7E"/>
    <w:rsid w:val="00265EC0"/>
    <w:rsid w:val="00265F47"/>
    <w:rsid w:val="0026618A"/>
    <w:rsid w:val="002661BF"/>
    <w:rsid w:val="002664CC"/>
    <w:rsid w:val="00266511"/>
    <w:rsid w:val="00266739"/>
    <w:rsid w:val="00266762"/>
    <w:rsid w:val="002667CE"/>
    <w:rsid w:val="00266A0A"/>
    <w:rsid w:val="00266A4F"/>
    <w:rsid w:val="00266B5C"/>
    <w:rsid w:val="00266BC3"/>
    <w:rsid w:val="00266D61"/>
    <w:rsid w:val="00266D7D"/>
    <w:rsid w:val="0026707E"/>
    <w:rsid w:val="002671C9"/>
    <w:rsid w:val="002671F2"/>
    <w:rsid w:val="00267200"/>
    <w:rsid w:val="00267248"/>
    <w:rsid w:val="002672E3"/>
    <w:rsid w:val="00267300"/>
    <w:rsid w:val="00267307"/>
    <w:rsid w:val="0026730B"/>
    <w:rsid w:val="0026742A"/>
    <w:rsid w:val="002674E8"/>
    <w:rsid w:val="002674EB"/>
    <w:rsid w:val="002677E8"/>
    <w:rsid w:val="002677F8"/>
    <w:rsid w:val="0026785E"/>
    <w:rsid w:val="002678EE"/>
    <w:rsid w:val="00267B5E"/>
    <w:rsid w:val="00267C80"/>
    <w:rsid w:val="00267C9E"/>
    <w:rsid w:val="00267CA3"/>
    <w:rsid w:val="00267CBF"/>
    <w:rsid w:val="00267D2C"/>
    <w:rsid w:val="00267FDF"/>
    <w:rsid w:val="0027004F"/>
    <w:rsid w:val="00270359"/>
    <w:rsid w:val="0027035D"/>
    <w:rsid w:val="00270379"/>
    <w:rsid w:val="0027038A"/>
    <w:rsid w:val="00270555"/>
    <w:rsid w:val="002705AF"/>
    <w:rsid w:val="00270612"/>
    <w:rsid w:val="00270629"/>
    <w:rsid w:val="00270883"/>
    <w:rsid w:val="0027098A"/>
    <w:rsid w:val="002709D2"/>
    <w:rsid w:val="00270E41"/>
    <w:rsid w:val="00270E5A"/>
    <w:rsid w:val="00270FD5"/>
    <w:rsid w:val="00270FF8"/>
    <w:rsid w:val="00271130"/>
    <w:rsid w:val="0027137A"/>
    <w:rsid w:val="002718AA"/>
    <w:rsid w:val="00271965"/>
    <w:rsid w:val="00271A12"/>
    <w:rsid w:val="00271AB7"/>
    <w:rsid w:val="00271AD9"/>
    <w:rsid w:val="00271DB2"/>
    <w:rsid w:val="00271DE7"/>
    <w:rsid w:val="002720D3"/>
    <w:rsid w:val="002720D5"/>
    <w:rsid w:val="00272315"/>
    <w:rsid w:val="00272319"/>
    <w:rsid w:val="0027270B"/>
    <w:rsid w:val="0027278D"/>
    <w:rsid w:val="00272867"/>
    <w:rsid w:val="00272928"/>
    <w:rsid w:val="00272A2D"/>
    <w:rsid w:val="00272B5A"/>
    <w:rsid w:val="00272BF4"/>
    <w:rsid w:val="00272CB1"/>
    <w:rsid w:val="00272F75"/>
    <w:rsid w:val="00272FDE"/>
    <w:rsid w:val="0027313D"/>
    <w:rsid w:val="0027322C"/>
    <w:rsid w:val="0027327B"/>
    <w:rsid w:val="00273322"/>
    <w:rsid w:val="00273457"/>
    <w:rsid w:val="00273614"/>
    <w:rsid w:val="00273697"/>
    <w:rsid w:val="002737A1"/>
    <w:rsid w:val="002737D4"/>
    <w:rsid w:val="00273807"/>
    <w:rsid w:val="00273818"/>
    <w:rsid w:val="002738D3"/>
    <w:rsid w:val="0027397A"/>
    <w:rsid w:val="00273A5A"/>
    <w:rsid w:val="00273AAF"/>
    <w:rsid w:val="00273C04"/>
    <w:rsid w:val="00273C78"/>
    <w:rsid w:val="00273FCE"/>
    <w:rsid w:val="0027404F"/>
    <w:rsid w:val="0027408E"/>
    <w:rsid w:val="00274195"/>
    <w:rsid w:val="002741F8"/>
    <w:rsid w:val="0027426B"/>
    <w:rsid w:val="002742DE"/>
    <w:rsid w:val="00274386"/>
    <w:rsid w:val="002743A3"/>
    <w:rsid w:val="002744CD"/>
    <w:rsid w:val="002747BA"/>
    <w:rsid w:val="0027491C"/>
    <w:rsid w:val="002749FC"/>
    <w:rsid w:val="00274AEE"/>
    <w:rsid w:val="00274B4F"/>
    <w:rsid w:val="00274D9F"/>
    <w:rsid w:val="00274DA3"/>
    <w:rsid w:val="0027504F"/>
    <w:rsid w:val="0027515F"/>
    <w:rsid w:val="0027531A"/>
    <w:rsid w:val="00275374"/>
    <w:rsid w:val="002753E0"/>
    <w:rsid w:val="00275520"/>
    <w:rsid w:val="00275620"/>
    <w:rsid w:val="002756D8"/>
    <w:rsid w:val="002757AA"/>
    <w:rsid w:val="002757C1"/>
    <w:rsid w:val="002757F6"/>
    <w:rsid w:val="0027591C"/>
    <w:rsid w:val="00275969"/>
    <w:rsid w:val="0027599D"/>
    <w:rsid w:val="00275A80"/>
    <w:rsid w:val="00275B1B"/>
    <w:rsid w:val="00275DD5"/>
    <w:rsid w:val="00275ECC"/>
    <w:rsid w:val="00275FB4"/>
    <w:rsid w:val="002760C2"/>
    <w:rsid w:val="0027616F"/>
    <w:rsid w:val="0027685B"/>
    <w:rsid w:val="00276AE0"/>
    <w:rsid w:val="00276B60"/>
    <w:rsid w:val="00276D74"/>
    <w:rsid w:val="00276D76"/>
    <w:rsid w:val="00276F45"/>
    <w:rsid w:val="002771CF"/>
    <w:rsid w:val="002773C7"/>
    <w:rsid w:val="002774F0"/>
    <w:rsid w:val="002776F3"/>
    <w:rsid w:val="00277A66"/>
    <w:rsid w:val="00277A7D"/>
    <w:rsid w:val="00277ACF"/>
    <w:rsid w:val="00277D18"/>
    <w:rsid w:val="00277E1D"/>
    <w:rsid w:val="00277E6A"/>
    <w:rsid w:val="00277EA2"/>
    <w:rsid w:val="00277F45"/>
    <w:rsid w:val="00277F77"/>
    <w:rsid w:val="002800BB"/>
    <w:rsid w:val="002800D8"/>
    <w:rsid w:val="002800F0"/>
    <w:rsid w:val="002803AA"/>
    <w:rsid w:val="0028054F"/>
    <w:rsid w:val="002807B9"/>
    <w:rsid w:val="00280846"/>
    <w:rsid w:val="0028095D"/>
    <w:rsid w:val="00280970"/>
    <w:rsid w:val="00280B5C"/>
    <w:rsid w:val="00280FBA"/>
    <w:rsid w:val="002810E8"/>
    <w:rsid w:val="00281147"/>
    <w:rsid w:val="0028118B"/>
    <w:rsid w:val="00281192"/>
    <w:rsid w:val="00281245"/>
    <w:rsid w:val="00281387"/>
    <w:rsid w:val="002813A1"/>
    <w:rsid w:val="0028149B"/>
    <w:rsid w:val="002815D5"/>
    <w:rsid w:val="002816D6"/>
    <w:rsid w:val="00281716"/>
    <w:rsid w:val="00281821"/>
    <w:rsid w:val="00281BB4"/>
    <w:rsid w:val="00281C23"/>
    <w:rsid w:val="00281C39"/>
    <w:rsid w:val="00281D43"/>
    <w:rsid w:val="00281F85"/>
    <w:rsid w:val="00281F8A"/>
    <w:rsid w:val="00282018"/>
    <w:rsid w:val="002821F3"/>
    <w:rsid w:val="0028222A"/>
    <w:rsid w:val="002822CF"/>
    <w:rsid w:val="0028247E"/>
    <w:rsid w:val="002827E2"/>
    <w:rsid w:val="00282999"/>
    <w:rsid w:val="00282A02"/>
    <w:rsid w:val="00282AAB"/>
    <w:rsid w:val="00282B5C"/>
    <w:rsid w:val="00282BEC"/>
    <w:rsid w:val="00282D86"/>
    <w:rsid w:val="00282DA6"/>
    <w:rsid w:val="00282EAB"/>
    <w:rsid w:val="00282F53"/>
    <w:rsid w:val="00282F78"/>
    <w:rsid w:val="002830CF"/>
    <w:rsid w:val="002830FB"/>
    <w:rsid w:val="0028318B"/>
    <w:rsid w:val="002831AF"/>
    <w:rsid w:val="0028332F"/>
    <w:rsid w:val="002835DD"/>
    <w:rsid w:val="0028364E"/>
    <w:rsid w:val="002836F3"/>
    <w:rsid w:val="002837A7"/>
    <w:rsid w:val="00283838"/>
    <w:rsid w:val="00283A61"/>
    <w:rsid w:val="00283BD6"/>
    <w:rsid w:val="00283D22"/>
    <w:rsid w:val="00283E59"/>
    <w:rsid w:val="002840E2"/>
    <w:rsid w:val="00284250"/>
    <w:rsid w:val="002843B4"/>
    <w:rsid w:val="002846FC"/>
    <w:rsid w:val="002848C1"/>
    <w:rsid w:val="00284989"/>
    <w:rsid w:val="00284CC7"/>
    <w:rsid w:val="00284F77"/>
    <w:rsid w:val="0028508F"/>
    <w:rsid w:val="00285316"/>
    <w:rsid w:val="00285753"/>
    <w:rsid w:val="00285791"/>
    <w:rsid w:val="00285804"/>
    <w:rsid w:val="002858A0"/>
    <w:rsid w:val="00285AA5"/>
    <w:rsid w:val="00285BA3"/>
    <w:rsid w:val="00285C0E"/>
    <w:rsid w:val="00285DB7"/>
    <w:rsid w:val="00285E86"/>
    <w:rsid w:val="00285EE4"/>
    <w:rsid w:val="00285F1B"/>
    <w:rsid w:val="00285F9A"/>
    <w:rsid w:val="00285FD7"/>
    <w:rsid w:val="00285FF7"/>
    <w:rsid w:val="00286068"/>
    <w:rsid w:val="0028606C"/>
    <w:rsid w:val="002861AB"/>
    <w:rsid w:val="0028633E"/>
    <w:rsid w:val="002869F4"/>
    <w:rsid w:val="00286B5B"/>
    <w:rsid w:val="00286E1A"/>
    <w:rsid w:val="0028723F"/>
    <w:rsid w:val="00287603"/>
    <w:rsid w:val="00287692"/>
    <w:rsid w:val="002878DB"/>
    <w:rsid w:val="00287977"/>
    <w:rsid w:val="00287B9B"/>
    <w:rsid w:val="00287BA8"/>
    <w:rsid w:val="00287D98"/>
    <w:rsid w:val="00287EF8"/>
    <w:rsid w:val="00290193"/>
    <w:rsid w:val="00290344"/>
    <w:rsid w:val="0029037A"/>
    <w:rsid w:val="002903B9"/>
    <w:rsid w:val="00290580"/>
    <w:rsid w:val="00290714"/>
    <w:rsid w:val="0029093E"/>
    <w:rsid w:val="002909CD"/>
    <w:rsid w:val="00290A6C"/>
    <w:rsid w:val="00290A9E"/>
    <w:rsid w:val="00290C25"/>
    <w:rsid w:val="00290CA6"/>
    <w:rsid w:val="00290EB0"/>
    <w:rsid w:val="00291380"/>
    <w:rsid w:val="00291397"/>
    <w:rsid w:val="002913EA"/>
    <w:rsid w:val="00291430"/>
    <w:rsid w:val="00291559"/>
    <w:rsid w:val="002915C4"/>
    <w:rsid w:val="002915F4"/>
    <w:rsid w:val="00291622"/>
    <w:rsid w:val="00291626"/>
    <w:rsid w:val="00291676"/>
    <w:rsid w:val="0029171C"/>
    <w:rsid w:val="00291758"/>
    <w:rsid w:val="002917C8"/>
    <w:rsid w:val="002917DE"/>
    <w:rsid w:val="002917FF"/>
    <w:rsid w:val="002918AA"/>
    <w:rsid w:val="0029191E"/>
    <w:rsid w:val="002919A6"/>
    <w:rsid w:val="00291A5C"/>
    <w:rsid w:val="00291DD0"/>
    <w:rsid w:val="00291F22"/>
    <w:rsid w:val="00291F25"/>
    <w:rsid w:val="00291FC2"/>
    <w:rsid w:val="00292075"/>
    <w:rsid w:val="00292201"/>
    <w:rsid w:val="00292325"/>
    <w:rsid w:val="00292475"/>
    <w:rsid w:val="002929BF"/>
    <w:rsid w:val="002929C8"/>
    <w:rsid w:val="00292A31"/>
    <w:rsid w:val="00292B97"/>
    <w:rsid w:val="00292C33"/>
    <w:rsid w:val="00292DAD"/>
    <w:rsid w:val="00292F15"/>
    <w:rsid w:val="00293114"/>
    <w:rsid w:val="0029314C"/>
    <w:rsid w:val="00293187"/>
    <w:rsid w:val="00293297"/>
    <w:rsid w:val="00293421"/>
    <w:rsid w:val="002936CB"/>
    <w:rsid w:val="00293790"/>
    <w:rsid w:val="002937D4"/>
    <w:rsid w:val="00293A85"/>
    <w:rsid w:val="00293B50"/>
    <w:rsid w:val="00293BA8"/>
    <w:rsid w:val="00293BCC"/>
    <w:rsid w:val="00293C18"/>
    <w:rsid w:val="00293C3A"/>
    <w:rsid w:val="00293CC3"/>
    <w:rsid w:val="00293F27"/>
    <w:rsid w:val="00293FE3"/>
    <w:rsid w:val="00293FE6"/>
    <w:rsid w:val="00294056"/>
    <w:rsid w:val="002940C2"/>
    <w:rsid w:val="00294272"/>
    <w:rsid w:val="002944D6"/>
    <w:rsid w:val="00294590"/>
    <w:rsid w:val="002945EB"/>
    <w:rsid w:val="00294651"/>
    <w:rsid w:val="00294728"/>
    <w:rsid w:val="002948F1"/>
    <w:rsid w:val="00294AA2"/>
    <w:rsid w:val="00294B55"/>
    <w:rsid w:val="00294BF5"/>
    <w:rsid w:val="00294C27"/>
    <w:rsid w:val="0029542C"/>
    <w:rsid w:val="0029578D"/>
    <w:rsid w:val="002958E0"/>
    <w:rsid w:val="00295B2B"/>
    <w:rsid w:val="00295B32"/>
    <w:rsid w:val="00295D7F"/>
    <w:rsid w:val="00295DFC"/>
    <w:rsid w:val="00295E58"/>
    <w:rsid w:val="00295F95"/>
    <w:rsid w:val="0029615D"/>
    <w:rsid w:val="002961A8"/>
    <w:rsid w:val="002961DE"/>
    <w:rsid w:val="00296307"/>
    <w:rsid w:val="0029638E"/>
    <w:rsid w:val="002963B3"/>
    <w:rsid w:val="002963FD"/>
    <w:rsid w:val="0029643D"/>
    <w:rsid w:val="002965F2"/>
    <w:rsid w:val="00296701"/>
    <w:rsid w:val="00296707"/>
    <w:rsid w:val="0029671E"/>
    <w:rsid w:val="00296774"/>
    <w:rsid w:val="0029689E"/>
    <w:rsid w:val="00296944"/>
    <w:rsid w:val="002969A9"/>
    <w:rsid w:val="00296B44"/>
    <w:rsid w:val="00296C82"/>
    <w:rsid w:val="00296E0D"/>
    <w:rsid w:val="00296EB2"/>
    <w:rsid w:val="00296F2F"/>
    <w:rsid w:val="00297126"/>
    <w:rsid w:val="00297180"/>
    <w:rsid w:val="0029719E"/>
    <w:rsid w:val="002971AA"/>
    <w:rsid w:val="002972CF"/>
    <w:rsid w:val="00297376"/>
    <w:rsid w:val="002973A8"/>
    <w:rsid w:val="00297904"/>
    <w:rsid w:val="00297BA2"/>
    <w:rsid w:val="00297C17"/>
    <w:rsid w:val="00297DC4"/>
    <w:rsid w:val="00297E42"/>
    <w:rsid w:val="00297F64"/>
    <w:rsid w:val="002A0145"/>
    <w:rsid w:val="002A03B5"/>
    <w:rsid w:val="002A061F"/>
    <w:rsid w:val="002A0696"/>
    <w:rsid w:val="002A08F1"/>
    <w:rsid w:val="002A0B9E"/>
    <w:rsid w:val="002A0D3C"/>
    <w:rsid w:val="002A0DF1"/>
    <w:rsid w:val="002A0E68"/>
    <w:rsid w:val="002A10B1"/>
    <w:rsid w:val="002A10B3"/>
    <w:rsid w:val="002A10D4"/>
    <w:rsid w:val="002A12B0"/>
    <w:rsid w:val="002A1608"/>
    <w:rsid w:val="002A16D8"/>
    <w:rsid w:val="002A1878"/>
    <w:rsid w:val="002A19B2"/>
    <w:rsid w:val="002A1AEB"/>
    <w:rsid w:val="002A1C00"/>
    <w:rsid w:val="002A1C96"/>
    <w:rsid w:val="002A1CA0"/>
    <w:rsid w:val="002A1D0D"/>
    <w:rsid w:val="002A1D34"/>
    <w:rsid w:val="002A1E67"/>
    <w:rsid w:val="002A1EE1"/>
    <w:rsid w:val="002A1EF2"/>
    <w:rsid w:val="002A1F38"/>
    <w:rsid w:val="002A2096"/>
    <w:rsid w:val="002A20A6"/>
    <w:rsid w:val="002A21B4"/>
    <w:rsid w:val="002A223C"/>
    <w:rsid w:val="002A2680"/>
    <w:rsid w:val="002A26AA"/>
    <w:rsid w:val="002A26B7"/>
    <w:rsid w:val="002A2776"/>
    <w:rsid w:val="002A279D"/>
    <w:rsid w:val="002A28B4"/>
    <w:rsid w:val="002A2B83"/>
    <w:rsid w:val="002A2BEF"/>
    <w:rsid w:val="002A2D81"/>
    <w:rsid w:val="002A2DB9"/>
    <w:rsid w:val="002A2E0F"/>
    <w:rsid w:val="002A2F86"/>
    <w:rsid w:val="002A3072"/>
    <w:rsid w:val="002A32C5"/>
    <w:rsid w:val="002A334E"/>
    <w:rsid w:val="002A3385"/>
    <w:rsid w:val="002A3426"/>
    <w:rsid w:val="002A344E"/>
    <w:rsid w:val="002A34D8"/>
    <w:rsid w:val="002A34E1"/>
    <w:rsid w:val="002A3800"/>
    <w:rsid w:val="002A382F"/>
    <w:rsid w:val="002A39E3"/>
    <w:rsid w:val="002A3C54"/>
    <w:rsid w:val="002A3D61"/>
    <w:rsid w:val="002A3DEF"/>
    <w:rsid w:val="002A3F15"/>
    <w:rsid w:val="002A3F48"/>
    <w:rsid w:val="002A408A"/>
    <w:rsid w:val="002A41AB"/>
    <w:rsid w:val="002A4218"/>
    <w:rsid w:val="002A4556"/>
    <w:rsid w:val="002A4585"/>
    <w:rsid w:val="002A45FF"/>
    <w:rsid w:val="002A473C"/>
    <w:rsid w:val="002A478C"/>
    <w:rsid w:val="002A4867"/>
    <w:rsid w:val="002A4A10"/>
    <w:rsid w:val="002A4C62"/>
    <w:rsid w:val="002A4C8A"/>
    <w:rsid w:val="002A4D28"/>
    <w:rsid w:val="002A4E0A"/>
    <w:rsid w:val="002A4EDF"/>
    <w:rsid w:val="002A4EEC"/>
    <w:rsid w:val="002A4F47"/>
    <w:rsid w:val="002A5078"/>
    <w:rsid w:val="002A5115"/>
    <w:rsid w:val="002A514C"/>
    <w:rsid w:val="002A53F5"/>
    <w:rsid w:val="002A54C4"/>
    <w:rsid w:val="002A54FD"/>
    <w:rsid w:val="002A55E3"/>
    <w:rsid w:val="002A560C"/>
    <w:rsid w:val="002A567C"/>
    <w:rsid w:val="002A574E"/>
    <w:rsid w:val="002A57B1"/>
    <w:rsid w:val="002A57D4"/>
    <w:rsid w:val="002A58AA"/>
    <w:rsid w:val="002A594F"/>
    <w:rsid w:val="002A597C"/>
    <w:rsid w:val="002A5BE7"/>
    <w:rsid w:val="002A5C41"/>
    <w:rsid w:val="002A5C85"/>
    <w:rsid w:val="002A5CCA"/>
    <w:rsid w:val="002A5D38"/>
    <w:rsid w:val="002A5D4B"/>
    <w:rsid w:val="002A5F7F"/>
    <w:rsid w:val="002A6010"/>
    <w:rsid w:val="002A610A"/>
    <w:rsid w:val="002A6144"/>
    <w:rsid w:val="002A6186"/>
    <w:rsid w:val="002A6290"/>
    <w:rsid w:val="002A65C3"/>
    <w:rsid w:val="002A6696"/>
    <w:rsid w:val="002A670B"/>
    <w:rsid w:val="002A6835"/>
    <w:rsid w:val="002A68A1"/>
    <w:rsid w:val="002A6A16"/>
    <w:rsid w:val="002A6A20"/>
    <w:rsid w:val="002A6A97"/>
    <w:rsid w:val="002A6ACB"/>
    <w:rsid w:val="002A6AD3"/>
    <w:rsid w:val="002A6B02"/>
    <w:rsid w:val="002A6BD3"/>
    <w:rsid w:val="002A6C8F"/>
    <w:rsid w:val="002A6F7B"/>
    <w:rsid w:val="002A6F89"/>
    <w:rsid w:val="002A7059"/>
    <w:rsid w:val="002A75A9"/>
    <w:rsid w:val="002A7615"/>
    <w:rsid w:val="002A76AE"/>
    <w:rsid w:val="002A76C0"/>
    <w:rsid w:val="002A76CB"/>
    <w:rsid w:val="002A7713"/>
    <w:rsid w:val="002A7841"/>
    <w:rsid w:val="002A78F4"/>
    <w:rsid w:val="002A790F"/>
    <w:rsid w:val="002A7929"/>
    <w:rsid w:val="002A79D5"/>
    <w:rsid w:val="002A7A27"/>
    <w:rsid w:val="002A7A3B"/>
    <w:rsid w:val="002A7B00"/>
    <w:rsid w:val="002A7CA1"/>
    <w:rsid w:val="002B0090"/>
    <w:rsid w:val="002B022F"/>
    <w:rsid w:val="002B0248"/>
    <w:rsid w:val="002B0332"/>
    <w:rsid w:val="002B03D4"/>
    <w:rsid w:val="002B03FF"/>
    <w:rsid w:val="002B0463"/>
    <w:rsid w:val="002B07C8"/>
    <w:rsid w:val="002B09A5"/>
    <w:rsid w:val="002B0B5C"/>
    <w:rsid w:val="002B0C13"/>
    <w:rsid w:val="002B0CFE"/>
    <w:rsid w:val="002B0D18"/>
    <w:rsid w:val="002B0D4E"/>
    <w:rsid w:val="002B0DF0"/>
    <w:rsid w:val="002B0E1D"/>
    <w:rsid w:val="002B0FF3"/>
    <w:rsid w:val="002B0FF8"/>
    <w:rsid w:val="002B1027"/>
    <w:rsid w:val="002B110C"/>
    <w:rsid w:val="002B11B4"/>
    <w:rsid w:val="002B1243"/>
    <w:rsid w:val="002B1465"/>
    <w:rsid w:val="002B151A"/>
    <w:rsid w:val="002B1627"/>
    <w:rsid w:val="002B1674"/>
    <w:rsid w:val="002B167F"/>
    <w:rsid w:val="002B19F1"/>
    <w:rsid w:val="002B1C63"/>
    <w:rsid w:val="002B1CA6"/>
    <w:rsid w:val="002B1E29"/>
    <w:rsid w:val="002B1E63"/>
    <w:rsid w:val="002B1FE7"/>
    <w:rsid w:val="002B2037"/>
    <w:rsid w:val="002B21F9"/>
    <w:rsid w:val="002B22DF"/>
    <w:rsid w:val="002B23BD"/>
    <w:rsid w:val="002B2483"/>
    <w:rsid w:val="002B2486"/>
    <w:rsid w:val="002B250A"/>
    <w:rsid w:val="002B264B"/>
    <w:rsid w:val="002B27DB"/>
    <w:rsid w:val="002B2911"/>
    <w:rsid w:val="002B2A40"/>
    <w:rsid w:val="002B2AE9"/>
    <w:rsid w:val="002B2B70"/>
    <w:rsid w:val="002B2BA9"/>
    <w:rsid w:val="002B2CEC"/>
    <w:rsid w:val="002B2D50"/>
    <w:rsid w:val="002B2FDF"/>
    <w:rsid w:val="002B31DC"/>
    <w:rsid w:val="002B3267"/>
    <w:rsid w:val="002B338C"/>
    <w:rsid w:val="002B3679"/>
    <w:rsid w:val="002B3778"/>
    <w:rsid w:val="002B37A6"/>
    <w:rsid w:val="002B39D2"/>
    <w:rsid w:val="002B3BEE"/>
    <w:rsid w:val="002B3FEC"/>
    <w:rsid w:val="002B41B7"/>
    <w:rsid w:val="002B42C5"/>
    <w:rsid w:val="002B497E"/>
    <w:rsid w:val="002B4B1F"/>
    <w:rsid w:val="002B4C50"/>
    <w:rsid w:val="002B4DA7"/>
    <w:rsid w:val="002B4E08"/>
    <w:rsid w:val="002B4EB8"/>
    <w:rsid w:val="002B5195"/>
    <w:rsid w:val="002B520A"/>
    <w:rsid w:val="002B5246"/>
    <w:rsid w:val="002B5351"/>
    <w:rsid w:val="002B53A6"/>
    <w:rsid w:val="002B54A7"/>
    <w:rsid w:val="002B5580"/>
    <w:rsid w:val="002B55ED"/>
    <w:rsid w:val="002B5640"/>
    <w:rsid w:val="002B5700"/>
    <w:rsid w:val="002B5799"/>
    <w:rsid w:val="002B5859"/>
    <w:rsid w:val="002B59F6"/>
    <w:rsid w:val="002B59F7"/>
    <w:rsid w:val="002B5A2E"/>
    <w:rsid w:val="002B5AC2"/>
    <w:rsid w:val="002B5BBB"/>
    <w:rsid w:val="002B5C83"/>
    <w:rsid w:val="002B5DB1"/>
    <w:rsid w:val="002B5DC0"/>
    <w:rsid w:val="002B5EE5"/>
    <w:rsid w:val="002B5FA6"/>
    <w:rsid w:val="002B6106"/>
    <w:rsid w:val="002B635D"/>
    <w:rsid w:val="002B6696"/>
    <w:rsid w:val="002B67FF"/>
    <w:rsid w:val="002B68F3"/>
    <w:rsid w:val="002B6A58"/>
    <w:rsid w:val="002B6C6E"/>
    <w:rsid w:val="002B6C9B"/>
    <w:rsid w:val="002B6D98"/>
    <w:rsid w:val="002B6E7B"/>
    <w:rsid w:val="002B6FC9"/>
    <w:rsid w:val="002B70AF"/>
    <w:rsid w:val="002B7278"/>
    <w:rsid w:val="002B737D"/>
    <w:rsid w:val="002B7395"/>
    <w:rsid w:val="002B73A5"/>
    <w:rsid w:val="002B7528"/>
    <w:rsid w:val="002B762F"/>
    <w:rsid w:val="002B777F"/>
    <w:rsid w:val="002B77DB"/>
    <w:rsid w:val="002B7810"/>
    <w:rsid w:val="002B78F6"/>
    <w:rsid w:val="002B794E"/>
    <w:rsid w:val="002B79E4"/>
    <w:rsid w:val="002B79F5"/>
    <w:rsid w:val="002B79F9"/>
    <w:rsid w:val="002B7A20"/>
    <w:rsid w:val="002B7AE0"/>
    <w:rsid w:val="002B7C6E"/>
    <w:rsid w:val="002B7CBF"/>
    <w:rsid w:val="002B7D85"/>
    <w:rsid w:val="002B7F69"/>
    <w:rsid w:val="002B7FEE"/>
    <w:rsid w:val="002C0044"/>
    <w:rsid w:val="002C011C"/>
    <w:rsid w:val="002C030E"/>
    <w:rsid w:val="002C032C"/>
    <w:rsid w:val="002C03E1"/>
    <w:rsid w:val="002C0418"/>
    <w:rsid w:val="002C0475"/>
    <w:rsid w:val="002C05A8"/>
    <w:rsid w:val="002C0C38"/>
    <w:rsid w:val="002C0D71"/>
    <w:rsid w:val="002C1029"/>
    <w:rsid w:val="002C11B4"/>
    <w:rsid w:val="002C1204"/>
    <w:rsid w:val="002C1240"/>
    <w:rsid w:val="002C138F"/>
    <w:rsid w:val="002C13EF"/>
    <w:rsid w:val="002C1517"/>
    <w:rsid w:val="002C15D9"/>
    <w:rsid w:val="002C1643"/>
    <w:rsid w:val="002C1683"/>
    <w:rsid w:val="002C17A6"/>
    <w:rsid w:val="002C17B1"/>
    <w:rsid w:val="002C17DF"/>
    <w:rsid w:val="002C18F6"/>
    <w:rsid w:val="002C1A66"/>
    <w:rsid w:val="002C1C91"/>
    <w:rsid w:val="002C1D31"/>
    <w:rsid w:val="002C1F17"/>
    <w:rsid w:val="002C2097"/>
    <w:rsid w:val="002C21D9"/>
    <w:rsid w:val="002C21DE"/>
    <w:rsid w:val="002C221E"/>
    <w:rsid w:val="002C22C0"/>
    <w:rsid w:val="002C2496"/>
    <w:rsid w:val="002C24A6"/>
    <w:rsid w:val="002C2697"/>
    <w:rsid w:val="002C2767"/>
    <w:rsid w:val="002C2870"/>
    <w:rsid w:val="002C2976"/>
    <w:rsid w:val="002C2C56"/>
    <w:rsid w:val="002C2F68"/>
    <w:rsid w:val="002C2F79"/>
    <w:rsid w:val="002C3050"/>
    <w:rsid w:val="002C3183"/>
    <w:rsid w:val="002C31F3"/>
    <w:rsid w:val="002C3420"/>
    <w:rsid w:val="002C344D"/>
    <w:rsid w:val="002C3584"/>
    <w:rsid w:val="002C3597"/>
    <w:rsid w:val="002C3654"/>
    <w:rsid w:val="002C375C"/>
    <w:rsid w:val="002C38DE"/>
    <w:rsid w:val="002C3910"/>
    <w:rsid w:val="002C3992"/>
    <w:rsid w:val="002C3A96"/>
    <w:rsid w:val="002C3B54"/>
    <w:rsid w:val="002C3C9D"/>
    <w:rsid w:val="002C3DEB"/>
    <w:rsid w:val="002C3F73"/>
    <w:rsid w:val="002C4276"/>
    <w:rsid w:val="002C432C"/>
    <w:rsid w:val="002C4479"/>
    <w:rsid w:val="002C44DC"/>
    <w:rsid w:val="002C4864"/>
    <w:rsid w:val="002C48D4"/>
    <w:rsid w:val="002C4A4A"/>
    <w:rsid w:val="002C4B22"/>
    <w:rsid w:val="002C4D10"/>
    <w:rsid w:val="002C4D5E"/>
    <w:rsid w:val="002C4D7A"/>
    <w:rsid w:val="002C4DCD"/>
    <w:rsid w:val="002C4E44"/>
    <w:rsid w:val="002C4EA3"/>
    <w:rsid w:val="002C5131"/>
    <w:rsid w:val="002C5456"/>
    <w:rsid w:val="002C57B6"/>
    <w:rsid w:val="002C5878"/>
    <w:rsid w:val="002C58C1"/>
    <w:rsid w:val="002C596C"/>
    <w:rsid w:val="002C5A41"/>
    <w:rsid w:val="002C5ABE"/>
    <w:rsid w:val="002C5AE4"/>
    <w:rsid w:val="002C5C86"/>
    <w:rsid w:val="002C5D83"/>
    <w:rsid w:val="002C5FF5"/>
    <w:rsid w:val="002C601A"/>
    <w:rsid w:val="002C606E"/>
    <w:rsid w:val="002C6075"/>
    <w:rsid w:val="002C612B"/>
    <w:rsid w:val="002C64C3"/>
    <w:rsid w:val="002C64EB"/>
    <w:rsid w:val="002C6661"/>
    <w:rsid w:val="002C67A6"/>
    <w:rsid w:val="002C683A"/>
    <w:rsid w:val="002C6A40"/>
    <w:rsid w:val="002C6B65"/>
    <w:rsid w:val="002C6D27"/>
    <w:rsid w:val="002C6F15"/>
    <w:rsid w:val="002C6F66"/>
    <w:rsid w:val="002C7034"/>
    <w:rsid w:val="002C709A"/>
    <w:rsid w:val="002C70BB"/>
    <w:rsid w:val="002C71A5"/>
    <w:rsid w:val="002C72A7"/>
    <w:rsid w:val="002C733F"/>
    <w:rsid w:val="002C741A"/>
    <w:rsid w:val="002C74C9"/>
    <w:rsid w:val="002C755B"/>
    <w:rsid w:val="002C7696"/>
    <w:rsid w:val="002C780D"/>
    <w:rsid w:val="002C7873"/>
    <w:rsid w:val="002C7A98"/>
    <w:rsid w:val="002C7B7A"/>
    <w:rsid w:val="002C7C49"/>
    <w:rsid w:val="002C7E8D"/>
    <w:rsid w:val="002D01DC"/>
    <w:rsid w:val="002D02C5"/>
    <w:rsid w:val="002D0720"/>
    <w:rsid w:val="002D085A"/>
    <w:rsid w:val="002D0969"/>
    <w:rsid w:val="002D0979"/>
    <w:rsid w:val="002D09AD"/>
    <w:rsid w:val="002D0D07"/>
    <w:rsid w:val="002D0D60"/>
    <w:rsid w:val="002D0D77"/>
    <w:rsid w:val="002D0DED"/>
    <w:rsid w:val="002D0EE8"/>
    <w:rsid w:val="002D0F72"/>
    <w:rsid w:val="002D1354"/>
    <w:rsid w:val="002D18D4"/>
    <w:rsid w:val="002D1C72"/>
    <w:rsid w:val="002D1E67"/>
    <w:rsid w:val="002D2073"/>
    <w:rsid w:val="002D212E"/>
    <w:rsid w:val="002D2365"/>
    <w:rsid w:val="002D24A2"/>
    <w:rsid w:val="002D24B6"/>
    <w:rsid w:val="002D26B7"/>
    <w:rsid w:val="002D2762"/>
    <w:rsid w:val="002D27D2"/>
    <w:rsid w:val="002D299E"/>
    <w:rsid w:val="002D2C3D"/>
    <w:rsid w:val="002D2EAF"/>
    <w:rsid w:val="002D2F35"/>
    <w:rsid w:val="002D33BC"/>
    <w:rsid w:val="002D33CB"/>
    <w:rsid w:val="002D33FC"/>
    <w:rsid w:val="002D3461"/>
    <w:rsid w:val="002D353C"/>
    <w:rsid w:val="002D35D6"/>
    <w:rsid w:val="002D35ED"/>
    <w:rsid w:val="002D367D"/>
    <w:rsid w:val="002D36B7"/>
    <w:rsid w:val="002D37DE"/>
    <w:rsid w:val="002D3930"/>
    <w:rsid w:val="002D3964"/>
    <w:rsid w:val="002D3A37"/>
    <w:rsid w:val="002D3D8C"/>
    <w:rsid w:val="002D3F34"/>
    <w:rsid w:val="002D3FD3"/>
    <w:rsid w:val="002D406D"/>
    <w:rsid w:val="002D41DC"/>
    <w:rsid w:val="002D4494"/>
    <w:rsid w:val="002D473F"/>
    <w:rsid w:val="002D48FD"/>
    <w:rsid w:val="002D4A6C"/>
    <w:rsid w:val="002D4DE2"/>
    <w:rsid w:val="002D4EAD"/>
    <w:rsid w:val="002D51B7"/>
    <w:rsid w:val="002D53B3"/>
    <w:rsid w:val="002D558B"/>
    <w:rsid w:val="002D5622"/>
    <w:rsid w:val="002D578E"/>
    <w:rsid w:val="002D5881"/>
    <w:rsid w:val="002D58E1"/>
    <w:rsid w:val="002D5A88"/>
    <w:rsid w:val="002D5AAD"/>
    <w:rsid w:val="002D5B18"/>
    <w:rsid w:val="002D5EB5"/>
    <w:rsid w:val="002D5EE6"/>
    <w:rsid w:val="002D5FDE"/>
    <w:rsid w:val="002D61FF"/>
    <w:rsid w:val="002D6408"/>
    <w:rsid w:val="002D647C"/>
    <w:rsid w:val="002D653C"/>
    <w:rsid w:val="002D65B5"/>
    <w:rsid w:val="002D65DD"/>
    <w:rsid w:val="002D66E9"/>
    <w:rsid w:val="002D67C0"/>
    <w:rsid w:val="002D6A34"/>
    <w:rsid w:val="002D6A9F"/>
    <w:rsid w:val="002D6B0D"/>
    <w:rsid w:val="002D6DC6"/>
    <w:rsid w:val="002D71DE"/>
    <w:rsid w:val="002D7336"/>
    <w:rsid w:val="002D74C5"/>
    <w:rsid w:val="002D75FB"/>
    <w:rsid w:val="002D7693"/>
    <w:rsid w:val="002D76A7"/>
    <w:rsid w:val="002D7783"/>
    <w:rsid w:val="002D789E"/>
    <w:rsid w:val="002D7A66"/>
    <w:rsid w:val="002D7A79"/>
    <w:rsid w:val="002D7B59"/>
    <w:rsid w:val="002D7BCA"/>
    <w:rsid w:val="002D7C0F"/>
    <w:rsid w:val="002D7FA7"/>
    <w:rsid w:val="002E0180"/>
    <w:rsid w:val="002E02B9"/>
    <w:rsid w:val="002E0383"/>
    <w:rsid w:val="002E04A2"/>
    <w:rsid w:val="002E0635"/>
    <w:rsid w:val="002E06E9"/>
    <w:rsid w:val="002E06F8"/>
    <w:rsid w:val="002E0753"/>
    <w:rsid w:val="002E09A0"/>
    <w:rsid w:val="002E0A75"/>
    <w:rsid w:val="002E0B89"/>
    <w:rsid w:val="002E0F4C"/>
    <w:rsid w:val="002E0F9B"/>
    <w:rsid w:val="002E0FEC"/>
    <w:rsid w:val="002E107F"/>
    <w:rsid w:val="002E10D6"/>
    <w:rsid w:val="002E11B6"/>
    <w:rsid w:val="002E12A6"/>
    <w:rsid w:val="002E12F7"/>
    <w:rsid w:val="002E12F9"/>
    <w:rsid w:val="002E14FD"/>
    <w:rsid w:val="002E15DB"/>
    <w:rsid w:val="002E15E5"/>
    <w:rsid w:val="002E16F2"/>
    <w:rsid w:val="002E17B1"/>
    <w:rsid w:val="002E17D2"/>
    <w:rsid w:val="002E1829"/>
    <w:rsid w:val="002E1B23"/>
    <w:rsid w:val="002E1F10"/>
    <w:rsid w:val="002E1FDF"/>
    <w:rsid w:val="002E2344"/>
    <w:rsid w:val="002E2365"/>
    <w:rsid w:val="002E2370"/>
    <w:rsid w:val="002E2488"/>
    <w:rsid w:val="002E25CE"/>
    <w:rsid w:val="002E2665"/>
    <w:rsid w:val="002E26DF"/>
    <w:rsid w:val="002E26E4"/>
    <w:rsid w:val="002E2794"/>
    <w:rsid w:val="002E27A3"/>
    <w:rsid w:val="002E27A4"/>
    <w:rsid w:val="002E2955"/>
    <w:rsid w:val="002E2971"/>
    <w:rsid w:val="002E29D8"/>
    <w:rsid w:val="002E2A2C"/>
    <w:rsid w:val="002E2D18"/>
    <w:rsid w:val="002E2D27"/>
    <w:rsid w:val="002E2D7C"/>
    <w:rsid w:val="002E2DA8"/>
    <w:rsid w:val="002E2F7D"/>
    <w:rsid w:val="002E3041"/>
    <w:rsid w:val="002E3095"/>
    <w:rsid w:val="002E309A"/>
    <w:rsid w:val="002E312F"/>
    <w:rsid w:val="002E337E"/>
    <w:rsid w:val="002E35DC"/>
    <w:rsid w:val="002E3685"/>
    <w:rsid w:val="002E3761"/>
    <w:rsid w:val="002E381D"/>
    <w:rsid w:val="002E38A6"/>
    <w:rsid w:val="002E3985"/>
    <w:rsid w:val="002E3C82"/>
    <w:rsid w:val="002E3C9A"/>
    <w:rsid w:val="002E3C9C"/>
    <w:rsid w:val="002E3CC6"/>
    <w:rsid w:val="002E3E3E"/>
    <w:rsid w:val="002E3E5C"/>
    <w:rsid w:val="002E3E68"/>
    <w:rsid w:val="002E3E90"/>
    <w:rsid w:val="002E40DE"/>
    <w:rsid w:val="002E4221"/>
    <w:rsid w:val="002E4238"/>
    <w:rsid w:val="002E427E"/>
    <w:rsid w:val="002E4809"/>
    <w:rsid w:val="002E4860"/>
    <w:rsid w:val="002E48EB"/>
    <w:rsid w:val="002E4983"/>
    <w:rsid w:val="002E49B1"/>
    <w:rsid w:val="002E4A17"/>
    <w:rsid w:val="002E4AC6"/>
    <w:rsid w:val="002E4B19"/>
    <w:rsid w:val="002E4B7B"/>
    <w:rsid w:val="002E4BBB"/>
    <w:rsid w:val="002E4F56"/>
    <w:rsid w:val="002E4F95"/>
    <w:rsid w:val="002E4FA0"/>
    <w:rsid w:val="002E50C3"/>
    <w:rsid w:val="002E5223"/>
    <w:rsid w:val="002E5314"/>
    <w:rsid w:val="002E5430"/>
    <w:rsid w:val="002E5463"/>
    <w:rsid w:val="002E5522"/>
    <w:rsid w:val="002E59EF"/>
    <w:rsid w:val="002E5A65"/>
    <w:rsid w:val="002E5C54"/>
    <w:rsid w:val="002E5CE1"/>
    <w:rsid w:val="002E5EC4"/>
    <w:rsid w:val="002E5F7D"/>
    <w:rsid w:val="002E6026"/>
    <w:rsid w:val="002E608A"/>
    <w:rsid w:val="002E61B5"/>
    <w:rsid w:val="002E638A"/>
    <w:rsid w:val="002E6524"/>
    <w:rsid w:val="002E656D"/>
    <w:rsid w:val="002E69C0"/>
    <w:rsid w:val="002E6A2E"/>
    <w:rsid w:val="002E6A47"/>
    <w:rsid w:val="002E6A6B"/>
    <w:rsid w:val="002E6A6D"/>
    <w:rsid w:val="002E6D67"/>
    <w:rsid w:val="002E6D94"/>
    <w:rsid w:val="002E6F0B"/>
    <w:rsid w:val="002E71C7"/>
    <w:rsid w:val="002E730B"/>
    <w:rsid w:val="002E736C"/>
    <w:rsid w:val="002E743E"/>
    <w:rsid w:val="002E7444"/>
    <w:rsid w:val="002E748C"/>
    <w:rsid w:val="002E74F4"/>
    <w:rsid w:val="002E7559"/>
    <w:rsid w:val="002E76D3"/>
    <w:rsid w:val="002E7846"/>
    <w:rsid w:val="002E7B71"/>
    <w:rsid w:val="002E7D55"/>
    <w:rsid w:val="002E7D73"/>
    <w:rsid w:val="002E7FBC"/>
    <w:rsid w:val="002F0465"/>
    <w:rsid w:val="002F04CD"/>
    <w:rsid w:val="002F0604"/>
    <w:rsid w:val="002F07BA"/>
    <w:rsid w:val="002F081C"/>
    <w:rsid w:val="002F087B"/>
    <w:rsid w:val="002F0B9F"/>
    <w:rsid w:val="002F0BF9"/>
    <w:rsid w:val="002F0E3A"/>
    <w:rsid w:val="002F0E5F"/>
    <w:rsid w:val="002F0F91"/>
    <w:rsid w:val="002F120D"/>
    <w:rsid w:val="002F132D"/>
    <w:rsid w:val="002F1345"/>
    <w:rsid w:val="002F13BD"/>
    <w:rsid w:val="002F1429"/>
    <w:rsid w:val="002F157F"/>
    <w:rsid w:val="002F1736"/>
    <w:rsid w:val="002F18E5"/>
    <w:rsid w:val="002F1B28"/>
    <w:rsid w:val="002F1B71"/>
    <w:rsid w:val="002F1B73"/>
    <w:rsid w:val="002F206E"/>
    <w:rsid w:val="002F2078"/>
    <w:rsid w:val="002F208C"/>
    <w:rsid w:val="002F2138"/>
    <w:rsid w:val="002F2235"/>
    <w:rsid w:val="002F22C4"/>
    <w:rsid w:val="002F235D"/>
    <w:rsid w:val="002F2798"/>
    <w:rsid w:val="002F27CA"/>
    <w:rsid w:val="002F27E7"/>
    <w:rsid w:val="002F2B62"/>
    <w:rsid w:val="002F2CC5"/>
    <w:rsid w:val="002F2E3F"/>
    <w:rsid w:val="002F315B"/>
    <w:rsid w:val="002F3270"/>
    <w:rsid w:val="002F3701"/>
    <w:rsid w:val="002F370F"/>
    <w:rsid w:val="002F3822"/>
    <w:rsid w:val="002F3AFB"/>
    <w:rsid w:val="002F3DC1"/>
    <w:rsid w:val="002F3E9F"/>
    <w:rsid w:val="002F40F3"/>
    <w:rsid w:val="002F4144"/>
    <w:rsid w:val="002F4194"/>
    <w:rsid w:val="002F43E1"/>
    <w:rsid w:val="002F45AD"/>
    <w:rsid w:val="002F4636"/>
    <w:rsid w:val="002F4647"/>
    <w:rsid w:val="002F469D"/>
    <w:rsid w:val="002F487F"/>
    <w:rsid w:val="002F4A6D"/>
    <w:rsid w:val="002F4B81"/>
    <w:rsid w:val="002F4BAD"/>
    <w:rsid w:val="002F4C65"/>
    <w:rsid w:val="002F4EC3"/>
    <w:rsid w:val="002F4F5E"/>
    <w:rsid w:val="002F4FEE"/>
    <w:rsid w:val="002F503F"/>
    <w:rsid w:val="002F5210"/>
    <w:rsid w:val="002F5419"/>
    <w:rsid w:val="002F573A"/>
    <w:rsid w:val="002F5A4F"/>
    <w:rsid w:val="002F5C3E"/>
    <w:rsid w:val="002F5D8F"/>
    <w:rsid w:val="002F5EAD"/>
    <w:rsid w:val="002F5EB7"/>
    <w:rsid w:val="002F619C"/>
    <w:rsid w:val="002F623B"/>
    <w:rsid w:val="002F6297"/>
    <w:rsid w:val="002F63AD"/>
    <w:rsid w:val="002F6486"/>
    <w:rsid w:val="002F64BB"/>
    <w:rsid w:val="002F64BE"/>
    <w:rsid w:val="002F65A2"/>
    <w:rsid w:val="002F6939"/>
    <w:rsid w:val="002F6AF5"/>
    <w:rsid w:val="002F6BDA"/>
    <w:rsid w:val="002F6C0F"/>
    <w:rsid w:val="002F6DE5"/>
    <w:rsid w:val="002F6E70"/>
    <w:rsid w:val="002F6E9E"/>
    <w:rsid w:val="002F6F7E"/>
    <w:rsid w:val="002F6F8F"/>
    <w:rsid w:val="002F7122"/>
    <w:rsid w:val="002F7169"/>
    <w:rsid w:val="002F7175"/>
    <w:rsid w:val="002F72F6"/>
    <w:rsid w:val="002F733C"/>
    <w:rsid w:val="002F7355"/>
    <w:rsid w:val="002F75FC"/>
    <w:rsid w:val="002F77EC"/>
    <w:rsid w:val="002F7970"/>
    <w:rsid w:val="002F7A55"/>
    <w:rsid w:val="002F7A73"/>
    <w:rsid w:val="002F7A79"/>
    <w:rsid w:val="002F7BAE"/>
    <w:rsid w:val="002F7CE3"/>
    <w:rsid w:val="002F7D10"/>
    <w:rsid w:val="002F7D1F"/>
    <w:rsid w:val="002F7F1D"/>
    <w:rsid w:val="002F7FF4"/>
    <w:rsid w:val="0030012C"/>
    <w:rsid w:val="00300165"/>
    <w:rsid w:val="003001C7"/>
    <w:rsid w:val="00300422"/>
    <w:rsid w:val="0030059B"/>
    <w:rsid w:val="003005AB"/>
    <w:rsid w:val="003005CE"/>
    <w:rsid w:val="0030064F"/>
    <w:rsid w:val="0030074C"/>
    <w:rsid w:val="003008D5"/>
    <w:rsid w:val="0030094A"/>
    <w:rsid w:val="00300B3B"/>
    <w:rsid w:val="00300C68"/>
    <w:rsid w:val="00300D2D"/>
    <w:rsid w:val="00300E5F"/>
    <w:rsid w:val="003010A6"/>
    <w:rsid w:val="0030129A"/>
    <w:rsid w:val="00301359"/>
    <w:rsid w:val="003014DC"/>
    <w:rsid w:val="0030178F"/>
    <w:rsid w:val="00301791"/>
    <w:rsid w:val="00301801"/>
    <w:rsid w:val="0030187C"/>
    <w:rsid w:val="00301BDD"/>
    <w:rsid w:val="00301D3B"/>
    <w:rsid w:val="00301E18"/>
    <w:rsid w:val="00301ECA"/>
    <w:rsid w:val="00301F0D"/>
    <w:rsid w:val="0030228D"/>
    <w:rsid w:val="003023CE"/>
    <w:rsid w:val="003023DE"/>
    <w:rsid w:val="003024F8"/>
    <w:rsid w:val="003025E9"/>
    <w:rsid w:val="0030272D"/>
    <w:rsid w:val="003027D0"/>
    <w:rsid w:val="003028C8"/>
    <w:rsid w:val="003029CA"/>
    <w:rsid w:val="00302B20"/>
    <w:rsid w:val="00302B5E"/>
    <w:rsid w:val="00302C25"/>
    <w:rsid w:val="00302C7D"/>
    <w:rsid w:val="00302CA6"/>
    <w:rsid w:val="00302D3C"/>
    <w:rsid w:val="00302E17"/>
    <w:rsid w:val="00303043"/>
    <w:rsid w:val="0030309C"/>
    <w:rsid w:val="003032BD"/>
    <w:rsid w:val="003034C2"/>
    <w:rsid w:val="00303577"/>
    <w:rsid w:val="00303ADA"/>
    <w:rsid w:val="00303D15"/>
    <w:rsid w:val="00303F05"/>
    <w:rsid w:val="00304138"/>
    <w:rsid w:val="0030416C"/>
    <w:rsid w:val="003044E8"/>
    <w:rsid w:val="0030452A"/>
    <w:rsid w:val="00304909"/>
    <w:rsid w:val="003049B0"/>
    <w:rsid w:val="00304AE7"/>
    <w:rsid w:val="00304AFC"/>
    <w:rsid w:val="00304B38"/>
    <w:rsid w:val="00304B72"/>
    <w:rsid w:val="00304BC4"/>
    <w:rsid w:val="00304C74"/>
    <w:rsid w:val="00304E74"/>
    <w:rsid w:val="00304EAE"/>
    <w:rsid w:val="00305105"/>
    <w:rsid w:val="00305224"/>
    <w:rsid w:val="003052C5"/>
    <w:rsid w:val="00305364"/>
    <w:rsid w:val="003054C7"/>
    <w:rsid w:val="003054FB"/>
    <w:rsid w:val="00305571"/>
    <w:rsid w:val="00305712"/>
    <w:rsid w:val="00305D8E"/>
    <w:rsid w:val="00305E5C"/>
    <w:rsid w:val="00305F0A"/>
    <w:rsid w:val="00305F4A"/>
    <w:rsid w:val="00305F91"/>
    <w:rsid w:val="00306084"/>
    <w:rsid w:val="003060AE"/>
    <w:rsid w:val="00306113"/>
    <w:rsid w:val="003061C0"/>
    <w:rsid w:val="00306202"/>
    <w:rsid w:val="003064F6"/>
    <w:rsid w:val="003064FC"/>
    <w:rsid w:val="003065D7"/>
    <w:rsid w:val="0030690A"/>
    <w:rsid w:val="003069DA"/>
    <w:rsid w:val="00306B0F"/>
    <w:rsid w:val="00306B30"/>
    <w:rsid w:val="00306C0C"/>
    <w:rsid w:val="00306D54"/>
    <w:rsid w:val="00306E91"/>
    <w:rsid w:val="00306F98"/>
    <w:rsid w:val="00307212"/>
    <w:rsid w:val="003074C4"/>
    <w:rsid w:val="003079E8"/>
    <w:rsid w:val="00307BC2"/>
    <w:rsid w:val="00307E8B"/>
    <w:rsid w:val="00307FD5"/>
    <w:rsid w:val="00307FFB"/>
    <w:rsid w:val="003100CE"/>
    <w:rsid w:val="003100D5"/>
    <w:rsid w:val="00310188"/>
    <w:rsid w:val="003103E4"/>
    <w:rsid w:val="00310484"/>
    <w:rsid w:val="003104E8"/>
    <w:rsid w:val="00310926"/>
    <w:rsid w:val="00310BE1"/>
    <w:rsid w:val="00310BF2"/>
    <w:rsid w:val="00310C35"/>
    <w:rsid w:val="00310C60"/>
    <w:rsid w:val="00310C71"/>
    <w:rsid w:val="00310D92"/>
    <w:rsid w:val="0031105F"/>
    <w:rsid w:val="003110BE"/>
    <w:rsid w:val="00311131"/>
    <w:rsid w:val="00311309"/>
    <w:rsid w:val="00311570"/>
    <w:rsid w:val="00311619"/>
    <w:rsid w:val="003116ED"/>
    <w:rsid w:val="00311854"/>
    <w:rsid w:val="00311941"/>
    <w:rsid w:val="00311B2D"/>
    <w:rsid w:val="00311CB7"/>
    <w:rsid w:val="00311D8D"/>
    <w:rsid w:val="00311F83"/>
    <w:rsid w:val="0031202A"/>
    <w:rsid w:val="003124D0"/>
    <w:rsid w:val="003124DE"/>
    <w:rsid w:val="003124FF"/>
    <w:rsid w:val="00312568"/>
    <w:rsid w:val="0031267C"/>
    <w:rsid w:val="00312752"/>
    <w:rsid w:val="0031276F"/>
    <w:rsid w:val="003127C5"/>
    <w:rsid w:val="00312832"/>
    <w:rsid w:val="0031283A"/>
    <w:rsid w:val="00312876"/>
    <w:rsid w:val="0031299D"/>
    <w:rsid w:val="00312A8D"/>
    <w:rsid w:val="00312BB0"/>
    <w:rsid w:val="00312C2C"/>
    <w:rsid w:val="00312E01"/>
    <w:rsid w:val="00312EBB"/>
    <w:rsid w:val="00312EC9"/>
    <w:rsid w:val="00312ED1"/>
    <w:rsid w:val="00312F80"/>
    <w:rsid w:val="00312F9E"/>
    <w:rsid w:val="0031311F"/>
    <w:rsid w:val="003131AA"/>
    <w:rsid w:val="00313267"/>
    <w:rsid w:val="0031343D"/>
    <w:rsid w:val="00313494"/>
    <w:rsid w:val="003134A5"/>
    <w:rsid w:val="00313992"/>
    <w:rsid w:val="00313B83"/>
    <w:rsid w:val="00313C0A"/>
    <w:rsid w:val="00313E7B"/>
    <w:rsid w:val="003140C5"/>
    <w:rsid w:val="00314250"/>
    <w:rsid w:val="00314267"/>
    <w:rsid w:val="00314456"/>
    <w:rsid w:val="003144BC"/>
    <w:rsid w:val="0031451A"/>
    <w:rsid w:val="00314676"/>
    <w:rsid w:val="0031470A"/>
    <w:rsid w:val="0031472E"/>
    <w:rsid w:val="003147A0"/>
    <w:rsid w:val="00314AFE"/>
    <w:rsid w:val="00314BF8"/>
    <w:rsid w:val="00314C04"/>
    <w:rsid w:val="00314E4C"/>
    <w:rsid w:val="00314EC9"/>
    <w:rsid w:val="0031502F"/>
    <w:rsid w:val="0031531F"/>
    <w:rsid w:val="003153CC"/>
    <w:rsid w:val="00315536"/>
    <w:rsid w:val="003155E7"/>
    <w:rsid w:val="0031588C"/>
    <w:rsid w:val="003158F9"/>
    <w:rsid w:val="00315A46"/>
    <w:rsid w:val="00315A56"/>
    <w:rsid w:val="00315B78"/>
    <w:rsid w:val="00315EBA"/>
    <w:rsid w:val="00315EE7"/>
    <w:rsid w:val="003160A1"/>
    <w:rsid w:val="00316165"/>
    <w:rsid w:val="00316169"/>
    <w:rsid w:val="0031619A"/>
    <w:rsid w:val="00316200"/>
    <w:rsid w:val="00316420"/>
    <w:rsid w:val="003164CE"/>
    <w:rsid w:val="00316592"/>
    <w:rsid w:val="00316699"/>
    <w:rsid w:val="00316707"/>
    <w:rsid w:val="00316856"/>
    <w:rsid w:val="00316A31"/>
    <w:rsid w:val="00316CFC"/>
    <w:rsid w:val="00316D27"/>
    <w:rsid w:val="003172A1"/>
    <w:rsid w:val="0031737F"/>
    <w:rsid w:val="003173EA"/>
    <w:rsid w:val="00317477"/>
    <w:rsid w:val="00317756"/>
    <w:rsid w:val="003177E4"/>
    <w:rsid w:val="00317A26"/>
    <w:rsid w:val="00317B6B"/>
    <w:rsid w:val="00317F9F"/>
    <w:rsid w:val="0032010A"/>
    <w:rsid w:val="00320132"/>
    <w:rsid w:val="003201A4"/>
    <w:rsid w:val="00320316"/>
    <w:rsid w:val="00320378"/>
    <w:rsid w:val="003203DF"/>
    <w:rsid w:val="003204D6"/>
    <w:rsid w:val="00320614"/>
    <w:rsid w:val="00320622"/>
    <w:rsid w:val="00320787"/>
    <w:rsid w:val="00320809"/>
    <w:rsid w:val="00320812"/>
    <w:rsid w:val="0032091B"/>
    <w:rsid w:val="00320943"/>
    <w:rsid w:val="003209B8"/>
    <w:rsid w:val="003209D9"/>
    <w:rsid w:val="00320CA5"/>
    <w:rsid w:val="00320CB7"/>
    <w:rsid w:val="00320E95"/>
    <w:rsid w:val="00320EA1"/>
    <w:rsid w:val="00320EA3"/>
    <w:rsid w:val="00320F2B"/>
    <w:rsid w:val="0032100F"/>
    <w:rsid w:val="0032109F"/>
    <w:rsid w:val="0032126E"/>
    <w:rsid w:val="003212EC"/>
    <w:rsid w:val="0032136C"/>
    <w:rsid w:val="0032136E"/>
    <w:rsid w:val="0032138D"/>
    <w:rsid w:val="00321504"/>
    <w:rsid w:val="003215E7"/>
    <w:rsid w:val="003216D5"/>
    <w:rsid w:val="003216E1"/>
    <w:rsid w:val="00321870"/>
    <w:rsid w:val="003219E6"/>
    <w:rsid w:val="00321A48"/>
    <w:rsid w:val="00321B45"/>
    <w:rsid w:val="00321E37"/>
    <w:rsid w:val="00321F0E"/>
    <w:rsid w:val="00322445"/>
    <w:rsid w:val="00322511"/>
    <w:rsid w:val="00322538"/>
    <w:rsid w:val="003225B0"/>
    <w:rsid w:val="003225E2"/>
    <w:rsid w:val="0032260C"/>
    <w:rsid w:val="00322768"/>
    <w:rsid w:val="0032287B"/>
    <w:rsid w:val="0032291C"/>
    <w:rsid w:val="003229AA"/>
    <w:rsid w:val="00322A7C"/>
    <w:rsid w:val="00322AD3"/>
    <w:rsid w:val="00322B0F"/>
    <w:rsid w:val="00322B95"/>
    <w:rsid w:val="00322BF5"/>
    <w:rsid w:val="00322C0C"/>
    <w:rsid w:val="00322C71"/>
    <w:rsid w:val="00322CD4"/>
    <w:rsid w:val="00322E34"/>
    <w:rsid w:val="00322F36"/>
    <w:rsid w:val="0032301E"/>
    <w:rsid w:val="003231CA"/>
    <w:rsid w:val="0032326D"/>
    <w:rsid w:val="003232B5"/>
    <w:rsid w:val="0032346B"/>
    <w:rsid w:val="0032359B"/>
    <w:rsid w:val="00323684"/>
    <w:rsid w:val="003236D6"/>
    <w:rsid w:val="00323C7F"/>
    <w:rsid w:val="00323D7E"/>
    <w:rsid w:val="00324096"/>
    <w:rsid w:val="0032430B"/>
    <w:rsid w:val="003243B1"/>
    <w:rsid w:val="003243B4"/>
    <w:rsid w:val="00324540"/>
    <w:rsid w:val="003246DB"/>
    <w:rsid w:val="0032494F"/>
    <w:rsid w:val="00324A2C"/>
    <w:rsid w:val="00324A31"/>
    <w:rsid w:val="00324AD4"/>
    <w:rsid w:val="00324ADA"/>
    <w:rsid w:val="00324AF6"/>
    <w:rsid w:val="00324ED2"/>
    <w:rsid w:val="00325231"/>
    <w:rsid w:val="00325405"/>
    <w:rsid w:val="0032540E"/>
    <w:rsid w:val="00325432"/>
    <w:rsid w:val="0032550C"/>
    <w:rsid w:val="00325566"/>
    <w:rsid w:val="0032573D"/>
    <w:rsid w:val="0032589B"/>
    <w:rsid w:val="00325979"/>
    <w:rsid w:val="00325AE3"/>
    <w:rsid w:val="00325F83"/>
    <w:rsid w:val="00325F98"/>
    <w:rsid w:val="00325FE5"/>
    <w:rsid w:val="003262DE"/>
    <w:rsid w:val="00326334"/>
    <w:rsid w:val="003263E3"/>
    <w:rsid w:val="003264EA"/>
    <w:rsid w:val="00326569"/>
    <w:rsid w:val="003268AF"/>
    <w:rsid w:val="003268FB"/>
    <w:rsid w:val="00326A1D"/>
    <w:rsid w:val="00326A90"/>
    <w:rsid w:val="00326E26"/>
    <w:rsid w:val="00326E36"/>
    <w:rsid w:val="00326F15"/>
    <w:rsid w:val="00326F63"/>
    <w:rsid w:val="00326FB3"/>
    <w:rsid w:val="00326FF9"/>
    <w:rsid w:val="00327277"/>
    <w:rsid w:val="003272D2"/>
    <w:rsid w:val="00327606"/>
    <w:rsid w:val="00327647"/>
    <w:rsid w:val="00327701"/>
    <w:rsid w:val="0032799B"/>
    <w:rsid w:val="003279FB"/>
    <w:rsid w:val="00327A25"/>
    <w:rsid w:val="00327C64"/>
    <w:rsid w:val="00327CDE"/>
    <w:rsid w:val="00327D01"/>
    <w:rsid w:val="00327F4D"/>
    <w:rsid w:val="00327FAD"/>
    <w:rsid w:val="00330035"/>
    <w:rsid w:val="0033012E"/>
    <w:rsid w:val="003303A1"/>
    <w:rsid w:val="003303B0"/>
    <w:rsid w:val="0033055F"/>
    <w:rsid w:val="0033068F"/>
    <w:rsid w:val="003306C6"/>
    <w:rsid w:val="00330708"/>
    <w:rsid w:val="003307AE"/>
    <w:rsid w:val="003308D6"/>
    <w:rsid w:val="00330914"/>
    <w:rsid w:val="00330B25"/>
    <w:rsid w:val="00330DEB"/>
    <w:rsid w:val="00330DFE"/>
    <w:rsid w:val="00330F01"/>
    <w:rsid w:val="00330F85"/>
    <w:rsid w:val="00330FEB"/>
    <w:rsid w:val="0033114F"/>
    <w:rsid w:val="00331152"/>
    <w:rsid w:val="003312B7"/>
    <w:rsid w:val="0033142D"/>
    <w:rsid w:val="00331490"/>
    <w:rsid w:val="0033162D"/>
    <w:rsid w:val="0033174E"/>
    <w:rsid w:val="003319D5"/>
    <w:rsid w:val="00331D00"/>
    <w:rsid w:val="00331DD3"/>
    <w:rsid w:val="00331F42"/>
    <w:rsid w:val="00332020"/>
    <w:rsid w:val="003320E4"/>
    <w:rsid w:val="00332279"/>
    <w:rsid w:val="00332289"/>
    <w:rsid w:val="003323B3"/>
    <w:rsid w:val="003324B7"/>
    <w:rsid w:val="0033265A"/>
    <w:rsid w:val="00332877"/>
    <w:rsid w:val="00332961"/>
    <w:rsid w:val="00332BE3"/>
    <w:rsid w:val="00332C89"/>
    <w:rsid w:val="00332CD4"/>
    <w:rsid w:val="00332EC0"/>
    <w:rsid w:val="00332F75"/>
    <w:rsid w:val="00332FDE"/>
    <w:rsid w:val="003330A2"/>
    <w:rsid w:val="0033314D"/>
    <w:rsid w:val="00333175"/>
    <w:rsid w:val="003332A6"/>
    <w:rsid w:val="003333AB"/>
    <w:rsid w:val="0033348C"/>
    <w:rsid w:val="0033352F"/>
    <w:rsid w:val="00333650"/>
    <w:rsid w:val="003336CC"/>
    <w:rsid w:val="003339D3"/>
    <w:rsid w:val="00333A23"/>
    <w:rsid w:val="00333A98"/>
    <w:rsid w:val="00333AC2"/>
    <w:rsid w:val="00333BD5"/>
    <w:rsid w:val="00333C65"/>
    <w:rsid w:val="00333CAA"/>
    <w:rsid w:val="00333CF7"/>
    <w:rsid w:val="00333ED3"/>
    <w:rsid w:val="00333EEF"/>
    <w:rsid w:val="00333FC9"/>
    <w:rsid w:val="00333FE6"/>
    <w:rsid w:val="00334002"/>
    <w:rsid w:val="003342F8"/>
    <w:rsid w:val="00334433"/>
    <w:rsid w:val="0033443D"/>
    <w:rsid w:val="00334501"/>
    <w:rsid w:val="0033452C"/>
    <w:rsid w:val="003345B3"/>
    <w:rsid w:val="003347E7"/>
    <w:rsid w:val="0033485D"/>
    <w:rsid w:val="00334866"/>
    <w:rsid w:val="0033487A"/>
    <w:rsid w:val="0033490F"/>
    <w:rsid w:val="00334A03"/>
    <w:rsid w:val="00334A7C"/>
    <w:rsid w:val="00334BEC"/>
    <w:rsid w:val="00334D53"/>
    <w:rsid w:val="00334E5B"/>
    <w:rsid w:val="00334F9F"/>
    <w:rsid w:val="00335020"/>
    <w:rsid w:val="00335085"/>
    <w:rsid w:val="0033531C"/>
    <w:rsid w:val="00335470"/>
    <w:rsid w:val="00335487"/>
    <w:rsid w:val="003356FF"/>
    <w:rsid w:val="003357F1"/>
    <w:rsid w:val="00335920"/>
    <w:rsid w:val="00335A04"/>
    <w:rsid w:val="00335A9F"/>
    <w:rsid w:val="00335AA8"/>
    <w:rsid w:val="00335B2F"/>
    <w:rsid w:val="00335B4A"/>
    <w:rsid w:val="00335D38"/>
    <w:rsid w:val="00335DC9"/>
    <w:rsid w:val="00336135"/>
    <w:rsid w:val="00336297"/>
    <w:rsid w:val="003365A2"/>
    <w:rsid w:val="00336883"/>
    <w:rsid w:val="003368C6"/>
    <w:rsid w:val="003369FE"/>
    <w:rsid w:val="00336A16"/>
    <w:rsid w:val="00336CA3"/>
    <w:rsid w:val="00336E0E"/>
    <w:rsid w:val="00336E6F"/>
    <w:rsid w:val="00336F9B"/>
    <w:rsid w:val="00336FE6"/>
    <w:rsid w:val="0033710A"/>
    <w:rsid w:val="003371A9"/>
    <w:rsid w:val="003371DA"/>
    <w:rsid w:val="00337216"/>
    <w:rsid w:val="0033731A"/>
    <w:rsid w:val="0033737C"/>
    <w:rsid w:val="00337537"/>
    <w:rsid w:val="003375E7"/>
    <w:rsid w:val="0033774D"/>
    <w:rsid w:val="00337764"/>
    <w:rsid w:val="0033780A"/>
    <w:rsid w:val="003379BF"/>
    <w:rsid w:val="00337BB8"/>
    <w:rsid w:val="00337C08"/>
    <w:rsid w:val="00337C3E"/>
    <w:rsid w:val="00337CBE"/>
    <w:rsid w:val="00337E1A"/>
    <w:rsid w:val="00337E3A"/>
    <w:rsid w:val="00337EB8"/>
    <w:rsid w:val="0034006C"/>
    <w:rsid w:val="0034039D"/>
    <w:rsid w:val="0034040C"/>
    <w:rsid w:val="00340536"/>
    <w:rsid w:val="003405CA"/>
    <w:rsid w:val="0034067F"/>
    <w:rsid w:val="00340969"/>
    <w:rsid w:val="00340970"/>
    <w:rsid w:val="00340A2D"/>
    <w:rsid w:val="00340AFF"/>
    <w:rsid w:val="00340B12"/>
    <w:rsid w:val="00340B69"/>
    <w:rsid w:val="00340CCF"/>
    <w:rsid w:val="00341078"/>
    <w:rsid w:val="0034115A"/>
    <w:rsid w:val="00341193"/>
    <w:rsid w:val="003411EE"/>
    <w:rsid w:val="00341256"/>
    <w:rsid w:val="0034138B"/>
    <w:rsid w:val="00341428"/>
    <w:rsid w:val="0034161F"/>
    <w:rsid w:val="003417BB"/>
    <w:rsid w:val="0034187E"/>
    <w:rsid w:val="003418DC"/>
    <w:rsid w:val="00341A01"/>
    <w:rsid w:val="00341E87"/>
    <w:rsid w:val="00341F4D"/>
    <w:rsid w:val="00342018"/>
    <w:rsid w:val="003420EB"/>
    <w:rsid w:val="0034213C"/>
    <w:rsid w:val="003421CD"/>
    <w:rsid w:val="00342219"/>
    <w:rsid w:val="0034229F"/>
    <w:rsid w:val="003422A3"/>
    <w:rsid w:val="003423B9"/>
    <w:rsid w:val="003425BE"/>
    <w:rsid w:val="00342638"/>
    <w:rsid w:val="003426AC"/>
    <w:rsid w:val="003426C3"/>
    <w:rsid w:val="0034298F"/>
    <w:rsid w:val="003429DD"/>
    <w:rsid w:val="00342AA3"/>
    <w:rsid w:val="00342BD6"/>
    <w:rsid w:val="00342C50"/>
    <w:rsid w:val="00342E89"/>
    <w:rsid w:val="00342FE5"/>
    <w:rsid w:val="003431A1"/>
    <w:rsid w:val="00343215"/>
    <w:rsid w:val="0034327C"/>
    <w:rsid w:val="00343515"/>
    <w:rsid w:val="003438E3"/>
    <w:rsid w:val="00343A69"/>
    <w:rsid w:val="00343A7C"/>
    <w:rsid w:val="00343D6A"/>
    <w:rsid w:val="00343DD8"/>
    <w:rsid w:val="00343F27"/>
    <w:rsid w:val="00343F6E"/>
    <w:rsid w:val="00343F74"/>
    <w:rsid w:val="00344062"/>
    <w:rsid w:val="003442BA"/>
    <w:rsid w:val="003443FD"/>
    <w:rsid w:val="00344446"/>
    <w:rsid w:val="003444BA"/>
    <w:rsid w:val="003445C7"/>
    <w:rsid w:val="003445CE"/>
    <w:rsid w:val="00344653"/>
    <w:rsid w:val="0034469E"/>
    <w:rsid w:val="003446A5"/>
    <w:rsid w:val="0034488F"/>
    <w:rsid w:val="003449E2"/>
    <w:rsid w:val="00344BDF"/>
    <w:rsid w:val="00344BF6"/>
    <w:rsid w:val="00344CAB"/>
    <w:rsid w:val="00344F05"/>
    <w:rsid w:val="00344F23"/>
    <w:rsid w:val="00344F42"/>
    <w:rsid w:val="003451F5"/>
    <w:rsid w:val="00345202"/>
    <w:rsid w:val="00345265"/>
    <w:rsid w:val="0034562A"/>
    <w:rsid w:val="00345673"/>
    <w:rsid w:val="00345776"/>
    <w:rsid w:val="003458AC"/>
    <w:rsid w:val="00345913"/>
    <w:rsid w:val="00346022"/>
    <w:rsid w:val="003460E9"/>
    <w:rsid w:val="00346101"/>
    <w:rsid w:val="00346110"/>
    <w:rsid w:val="00346155"/>
    <w:rsid w:val="00346367"/>
    <w:rsid w:val="003464C9"/>
    <w:rsid w:val="00346558"/>
    <w:rsid w:val="00346634"/>
    <w:rsid w:val="0034664E"/>
    <w:rsid w:val="003466BF"/>
    <w:rsid w:val="00346753"/>
    <w:rsid w:val="0034675B"/>
    <w:rsid w:val="00346A7F"/>
    <w:rsid w:val="00346DDA"/>
    <w:rsid w:val="00346F97"/>
    <w:rsid w:val="00347013"/>
    <w:rsid w:val="0034710C"/>
    <w:rsid w:val="00347111"/>
    <w:rsid w:val="00347269"/>
    <w:rsid w:val="00347513"/>
    <w:rsid w:val="003475D3"/>
    <w:rsid w:val="00347656"/>
    <w:rsid w:val="003476B8"/>
    <w:rsid w:val="003477B0"/>
    <w:rsid w:val="003477F6"/>
    <w:rsid w:val="003478C3"/>
    <w:rsid w:val="003478ED"/>
    <w:rsid w:val="00347904"/>
    <w:rsid w:val="00347A36"/>
    <w:rsid w:val="00347C0A"/>
    <w:rsid w:val="00347C4D"/>
    <w:rsid w:val="00347CCA"/>
    <w:rsid w:val="00347FCF"/>
    <w:rsid w:val="00350070"/>
    <w:rsid w:val="00350156"/>
    <w:rsid w:val="0035037D"/>
    <w:rsid w:val="003503F5"/>
    <w:rsid w:val="00350557"/>
    <w:rsid w:val="003506C0"/>
    <w:rsid w:val="003506F7"/>
    <w:rsid w:val="003507F5"/>
    <w:rsid w:val="0035089B"/>
    <w:rsid w:val="00350938"/>
    <w:rsid w:val="00350E01"/>
    <w:rsid w:val="00350ED8"/>
    <w:rsid w:val="003510CC"/>
    <w:rsid w:val="003511DB"/>
    <w:rsid w:val="003511FF"/>
    <w:rsid w:val="0035129C"/>
    <w:rsid w:val="00351314"/>
    <w:rsid w:val="00351329"/>
    <w:rsid w:val="00351726"/>
    <w:rsid w:val="003518AB"/>
    <w:rsid w:val="0035199E"/>
    <w:rsid w:val="00351B29"/>
    <w:rsid w:val="00351CC4"/>
    <w:rsid w:val="00351DC6"/>
    <w:rsid w:val="00351EDC"/>
    <w:rsid w:val="0035218E"/>
    <w:rsid w:val="0035226C"/>
    <w:rsid w:val="0035228D"/>
    <w:rsid w:val="003523A0"/>
    <w:rsid w:val="003524A3"/>
    <w:rsid w:val="003524CC"/>
    <w:rsid w:val="003525BA"/>
    <w:rsid w:val="00352644"/>
    <w:rsid w:val="003526DC"/>
    <w:rsid w:val="00352904"/>
    <w:rsid w:val="00352CAE"/>
    <w:rsid w:val="00352E4E"/>
    <w:rsid w:val="00352F7C"/>
    <w:rsid w:val="00352F87"/>
    <w:rsid w:val="00353052"/>
    <w:rsid w:val="00353276"/>
    <w:rsid w:val="00353297"/>
    <w:rsid w:val="0035333F"/>
    <w:rsid w:val="0035334B"/>
    <w:rsid w:val="003533BB"/>
    <w:rsid w:val="003534A6"/>
    <w:rsid w:val="0035355A"/>
    <w:rsid w:val="003535DA"/>
    <w:rsid w:val="00353642"/>
    <w:rsid w:val="0035372B"/>
    <w:rsid w:val="0035387D"/>
    <w:rsid w:val="00353A07"/>
    <w:rsid w:val="00353BE8"/>
    <w:rsid w:val="00353E06"/>
    <w:rsid w:val="00353ECC"/>
    <w:rsid w:val="00354062"/>
    <w:rsid w:val="00354090"/>
    <w:rsid w:val="0035420B"/>
    <w:rsid w:val="003542AE"/>
    <w:rsid w:val="0035441C"/>
    <w:rsid w:val="003546DF"/>
    <w:rsid w:val="00354717"/>
    <w:rsid w:val="003547BF"/>
    <w:rsid w:val="003548B4"/>
    <w:rsid w:val="003548E8"/>
    <w:rsid w:val="003548EB"/>
    <w:rsid w:val="00354B30"/>
    <w:rsid w:val="00354B45"/>
    <w:rsid w:val="00354BE0"/>
    <w:rsid w:val="00354D74"/>
    <w:rsid w:val="00354EB8"/>
    <w:rsid w:val="00354F01"/>
    <w:rsid w:val="00355016"/>
    <w:rsid w:val="00355123"/>
    <w:rsid w:val="0035520F"/>
    <w:rsid w:val="00355276"/>
    <w:rsid w:val="0035532F"/>
    <w:rsid w:val="0035559D"/>
    <w:rsid w:val="00355641"/>
    <w:rsid w:val="003558B6"/>
    <w:rsid w:val="003559EF"/>
    <w:rsid w:val="00355E6D"/>
    <w:rsid w:val="00355F3D"/>
    <w:rsid w:val="00355F87"/>
    <w:rsid w:val="00356335"/>
    <w:rsid w:val="003563AF"/>
    <w:rsid w:val="00356926"/>
    <w:rsid w:val="00356958"/>
    <w:rsid w:val="00356C44"/>
    <w:rsid w:val="00356C80"/>
    <w:rsid w:val="00356CCB"/>
    <w:rsid w:val="00357238"/>
    <w:rsid w:val="003572CE"/>
    <w:rsid w:val="003572E2"/>
    <w:rsid w:val="003573A4"/>
    <w:rsid w:val="003577AF"/>
    <w:rsid w:val="00357D5A"/>
    <w:rsid w:val="00357DBB"/>
    <w:rsid w:val="00357EB4"/>
    <w:rsid w:val="00357F64"/>
    <w:rsid w:val="003600F8"/>
    <w:rsid w:val="003601A9"/>
    <w:rsid w:val="003601C5"/>
    <w:rsid w:val="00360409"/>
    <w:rsid w:val="003605D0"/>
    <w:rsid w:val="00360714"/>
    <w:rsid w:val="00360947"/>
    <w:rsid w:val="00360B90"/>
    <w:rsid w:val="00360C13"/>
    <w:rsid w:val="00360CF6"/>
    <w:rsid w:val="00360EC9"/>
    <w:rsid w:val="00360F57"/>
    <w:rsid w:val="003612D7"/>
    <w:rsid w:val="003613CF"/>
    <w:rsid w:val="003613F3"/>
    <w:rsid w:val="00361402"/>
    <w:rsid w:val="00361413"/>
    <w:rsid w:val="003615CF"/>
    <w:rsid w:val="003616FD"/>
    <w:rsid w:val="003617DE"/>
    <w:rsid w:val="0036190D"/>
    <w:rsid w:val="0036195E"/>
    <w:rsid w:val="00361A06"/>
    <w:rsid w:val="00361AEF"/>
    <w:rsid w:val="00361D3B"/>
    <w:rsid w:val="00361D43"/>
    <w:rsid w:val="00361F56"/>
    <w:rsid w:val="00362026"/>
    <w:rsid w:val="0036202C"/>
    <w:rsid w:val="003620A1"/>
    <w:rsid w:val="003620C9"/>
    <w:rsid w:val="003620F3"/>
    <w:rsid w:val="00362101"/>
    <w:rsid w:val="00362108"/>
    <w:rsid w:val="003621DE"/>
    <w:rsid w:val="00362591"/>
    <w:rsid w:val="0036267A"/>
    <w:rsid w:val="003628BA"/>
    <w:rsid w:val="0036294F"/>
    <w:rsid w:val="00362B6B"/>
    <w:rsid w:val="00362BA9"/>
    <w:rsid w:val="00362C4A"/>
    <w:rsid w:val="00362DB2"/>
    <w:rsid w:val="00362E43"/>
    <w:rsid w:val="00362E48"/>
    <w:rsid w:val="00363178"/>
    <w:rsid w:val="0036349B"/>
    <w:rsid w:val="00363638"/>
    <w:rsid w:val="00363757"/>
    <w:rsid w:val="00363813"/>
    <w:rsid w:val="00363B5C"/>
    <w:rsid w:val="00363BE5"/>
    <w:rsid w:val="00363C45"/>
    <w:rsid w:val="00363DF5"/>
    <w:rsid w:val="00363E00"/>
    <w:rsid w:val="0036401D"/>
    <w:rsid w:val="003640B9"/>
    <w:rsid w:val="00364135"/>
    <w:rsid w:val="0036427B"/>
    <w:rsid w:val="0036433E"/>
    <w:rsid w:val="00364610"/>
    <w:rsid w:val="00364737"/>
    <w:rsid w:val="00364745"/>
    <w:rsid w:val="00364940"/>
    <w:rsid w:val="00364B81"/>
    <w:rsid w:val="00364BBB"/>
    <w:rsid w:val="00364C54"/>
    <w:rsid w:val="00364CE5"/>
    <w:rsid w:val="00364D5A"/>
    <w:rsid w:val="00364D8D"/>
    <w:rsid w:val="00364DBC"/>
    <w:rsid w:val="00364E6A"/>
    <w:rsid w:val="00364E7D"/>
    <w:rsid w:val="003651FB"/>
    <w:rsid w:val="00365203"/>
    <w:rsid w:val="00365402"/>
    <w:rsid w:val="003654DD"/>
    <w:rsid w:val="0036567A"/>
    <w:rsid w:val="00365793"/>
    <w:rsid w:val="003657B7"/>
    <w:rsid w:val="003658C3"/>
    <w:rsid w:val="00365A81"/>
    <w:rsid w:val="00365AF6"/>
    <w:rsid w:val="00365B5B"/>
    <w:rsid w:val="00365EDD"/>
    <w:rsid w:val="00365FA8"/>
    <w:rsid w:val="0036600A"/>
    <w:rsid w:val="00366166"/>
    <w:rsid w:val="00366198"/>
    <w:rsid w:val="003661ED"/>
    <w:rsid w:val="00366224"/>
    <w:rsid w:val="0036628E"/>
    <w:rsid w:val="00366318"/>
    <w:rsid w:val="00366644"/>
    <w:rsid w:val="003667FC"/>
    <w:rsid w:val="00366A1E"/>
    <w:rsid w:val="00366C3B"/>
    <w:rsid w:val="00366CE6"/>
    <w:rsid w:val="00366D82"/>
    <w:rsid w:val="00366DB2"/>
    <w:rsid w:val="00366F2D"/>
    <w:rsid w:val="00366F69"/>
    <w:rsid w:val="0036705D"/>
    <w:rsid w:val="00367072"/>
    <w:rsid w:val="003671CC"/>
    <w:rsid w:val="0036722F"/>
    <w:rsid w:val="00367397"/>
    <w:rsid w:val="003674F2"/>
    <w:rsid w:val="0036759C"/>
    <w:rsid w:val="00367624"/>
    <w:rsid w:val="003677D4"/>
    <w:rsid w:val="00367BFA"/>
    <w:rsid w:val="00367F13"/>
    <w:rsid w:val="00367F29"/>
    <w:rsid w:val="00367F69"/>
    <w:rsid w:val="00367FAB"/>
    <w:rsid w:val="003700DD"/>
    <w:rsid w:val="0037025B"/>
    <w:rsid w:val="00370306"/>
    <w:rsid w:val="0037071C"/>
    <w:rsid w:val="00370872"/>
    <w:rsid w:val="00370889"/>
    <w:rsid w:val="00370970"/>
    <w:rsid w:val="00370B59"/>
    <w:rsid w:val="00370B77"/>
    <w:rsid w:val="00370CEC"/>
    <w:rsid w:val="00370E34"/>
    <w:rsid w:val="00370EEE"/>
    <w:rsid w:val="00370EF6"/>
    <w:rsid w:val="00370FAE"/>
    <w:rsid w:val="003710F3"/>
    <w:rsid w:val="003710F4"/>
    <w:rsid w:val="00371405"/>
    <w:rsid w:val="003714F7"/>
    <w:rsid w:val="0037159C"/>
    <w:rsid w:val="00371641"/>
    <w:rsid w:val="00371646"/>
    <w:rsid w:val="00371765"/>
    <w:rsid w:val="00371E10"/>
    <w:rsid w:val="00371EC3"/>
    <w:rsid w:val="00372047"/>
    <w:rsid w:val="003722A8"/>
    <w:rsid w:val="00372309"/>
    <w:rsid w:val="003723F6"/>
    <w:rsid w:val="003724BA"/>
    <w:rsid w:val="003724E2"/>
    <w:rsid w:val="003725DB"/>
    <w:rsid w:val="0037261C"/>
    <w:rsid w:val="00372652"/>
    <w:rsid w:val="00372683"/>
    <w:rsid w:val="003729C4"/>
    <w:rsid w:val="00372F35"/>
    <w:rsid w:val="00372F8F"/>
    <w:rsid w:val="00372FC7"/>
    <w:rsid w:val="00372FEB"/>
    <w:rsid w:val="0037334B"/>
    <w:rsid w:val="00373555"/>
    <w:rsid w:val="0037388E"/>
    <w:rsid w:val="0037391F"/>
    <w:rsid w:val="00373D25"/>
    <w:rsid w:val="00373E82"/>
    <w:rsid w:val="00373F4C"/>
    <w:rsid w:val="00373FC0"/>
    <w:rsid w:val="003741B1"/>
    <w:rsid w:val="003744BB"/>
    <w:rsid w:val="00374512"/>
    <w:rsid w:val="00374560"/>
    <w:rsid w:val="00374673"/>
    <w:rsid w:val="00374738"/>
    <w:rsid w:val="003747FB"/>
    <w:rsid w:val="00374989"/>
    <w:rsid w:val="00374A5E"/>
    <w:rsid w:val="00374B65"/>
    <w:rsid w:val="00374BE9"/>
    <w:rsid w:val="00374BEA"/>
    <w:rsid w:val="00374D9E"/>
    <w:rsid w:val="00374DA6"/>
    <w:rsid w:val="00375011"/>
    <w:rsid w:val="003750E3"/>
    <w:rsid w:val="00375156"/>
    <w:rsid w:val="0037516B"/>
    <w:rsid w:val="003751CF"/>
    <w:rsid w:val="00375210"/>
    <w:rsid w:val="00375238"/>
    <w:rsid w:val="00375382"/>
    <w:rsid w:val="0037540B"/>
    <w:rsid w:val="00375922"/>
    <w:rsid w:val="00375928"/>
    <w:rsid w:val="00375AC0"/>
    <w:rsid w:val="00375CFF"/>
    <w:rsid w:val="00375E1A"/>
    <w:rsid w:val="00375EDF"/>
    <w:rsid w:val="003761EE"/>
    <w:rsid w:val="003762C5"/>
    <w:rsid w:val="003762CF"/>
    <w:rsid w:val="00376330"/>
    <w:rsid w:val="0037646A"/>
    <w:rsid w:val="00376685"/>
    <w:rsid w:val="003766CF"/>
    <w:rsid w:val="00376721"/>
    <w:rsid w:val="003768E4"/>
    <w:rsid w:val="00376D0E"/>
    <w:rsid w:val="00376D68"/>
    <w:rsid w:val="00376D95"/>
    <w:rsid w:val="0037701E"/>
    <w:rsid w:val="0037708A"/>
    <w:rsid w:val="003770B3"/>
    <w:rsid w:val="003772FF"/>
    <w:rsid w:val="003773B3"/>
    <w:rsid w:val="00377426"/>
    <w:rsid w:val="00377590"/>
    <w:rsid w:val="003776B5"/>
    <w:rsid w:val="003777AC"/>
    <w:rsid w:val="00377927"/>
    <w:rsid w:val="00377AF8"/>
    <w:rsid w:val="00377B5F"/>
    <w:rsid w:val="00377BA7"/>
    <w:rsid w:val="00377D23"/>
    <w:rsid w:val="00377DE2"/>
    <w:rsid w:val="00377F1F"/>
    <w:rsid w:val="00380255"/>
    <w:rsid w:val="0038026A"/>
    <w:rsid w:val="00380331"/>
    <w:rsid w:val="003803F4"/>
    <w:rsid w:val="003804C8"/>
    <w:rsid w:val="003805B4"/>
    <w:rsid w:val="003807D7"/>
    <w:rsid w:val="003809CB"/>
    <w:rsid w:val="003809E4"/>
    <w:rsid w:val="00380BA5"/>
    <w:rsid w:val="00380C8E"/>
    <w:rsid w:val="00380D18"/>
    <w:rsid w:val="00380DF5"/>
    <w:rsid w:val="00380E64"/>
    <w:rsid w:val="00380EC4"/>
    <w:rsid w:val="00380EF5"/>
    <w:rsid w:val="003811F7"/>
    <w:rsid w:val="003813EF"/>
    <w:rsid w:val="0038142E"/>
    <w:rsid w:val="00381595"/>
    <w:rsid w:val="003815A2"/>
    <w:rsid w:val="003816A0"/>
    <w:rsid w:val="003816BB"/>
    <w:rsid w:val="003816D3"/>
    <w:rsid w:val="003817CC"/>
    <w:rsid w:val="0038185B"/>
    <w:rsid w:val="0038195C"/>
    <w:rsid w:val="00381B0C"/>
    <w:rsid w:val="00381CA7"/>
    <w:rsid w:val="00381D29"/>
    <w:rsid w:val="00381EBC"/>
    <w:rsid w:val="00381F9F"/>
    <w:rsid w:val="003820D1"/>
    <w:rsid w:val="0038211E"/>
    <w:rsid w:val="00382296"/>
    <w:rsid w:val="003824B0"/>
    <w:rsid w:val="00382563"/>
    <w:rsid w:val="00382918"/>
    <w:rsid w:val="003829EE"/>
    <w:rsid w:val="00382A49"/>
    <w:rsid w:val="00382AC1"/>
    <w:rsid w:val="00382AFA"/>
    <w:rsid w:val="00382C8A"/>
    <w:rsid w:val="00382E3D"/>
    <w:rsid w:val="00382F27"/>
    <w:rsid w:val="00383009"/>
    <w:rsid w:val="00383036"/>
    <w:rsid w:val="00383095"/>
    <w:rsid w:val="00383344"/>
    <w:rsid w:val="00383355"/>
    <w:rsid w:val="003835D8"/>
    <w:rsid w:val="00383672"/>
    <w:rsid w:val="00383970"/>
    <w:rsid w:val="00383B42"/>
    <w:rsid w:val="00383B8B"/>
    <w:rsid w:val="00383BCF"/>
    <w:rsid w:val="00383FA4"/>
    <w:rsid w:val="00383FA7"/>
    <w:rsid w:val="00384425"/>
    <w:rsid w:val="003848DA"/>
    <w:rsid w:val="003849E1"/>
    <w:rsid w:val="00384A0B"/>
    <w:rsid w:val="00384A8B"/>
    <w:rsid w:val="00384C08"/>
    <w:rsid w:val="00384C19"/>
    <w:rsid w:val="00384C4C"/>
    <w:rsid w:val="00384C80"/>
    <w:rsid w:val="00384C9B"/>
    <w:rsid w:val="00384FD3"/>
    <w:rsid w:val="00385043"/>
    <w:rsid w:val="003851EA"/>
    <w:rsid w:val="0038530E"/>
    <w:rsid w:val="00385512"/>
    <w:rsid w:val="0038562B"/>
    <w:rsid w:val="003858F4"/>
    <w:rsid w:val="00385B1D"/>
    <w:rsid w:val="00385B63"/>
    <w:rsid w:val="00385C0B"/>
    <w:rsid w:val="00385C1B"/>
    <w:rsid w:val="00385C43"/>
    <w:rsid w:val="00385D05"/>
    <w:rsid w:val="00385DA9"/>
    <w:rsid w:val="003860B0"/>
    <w:rsid w:val="0038616C"/>
    <w:rsid w:val="00386182"/>
    <w:rsid w:val="003861A0"/>
    <w:rsid w:val="003861A7"/>
    <w:rsid w:val="003862FB"/>
    <w:rsid w:val="00386379"/>
    <w:rsid w:val="003866B8"/>
    <w:rsid w:val="00386931"/>
    <w:rsid w:val="00386A39"/>
    <w:rsid w:val="00386B33"/>
    <w:rsid w:val="00386BB3"/>
    <w:rsid w:val="00386C59"/>
    <w:rsid w:val="00386D0A"/>
    <w:rsid w:val="00386D6C"/>
    <w:rsid w:val="00386E14"/>
    <w:rsid w:val="00386E36"/>
    <w:rsid w:val="00386EB7"/>
    <w:rsid w:val="00386FBD"/>
    <w:rsid w:val="00387329"/>
    <w:rsid w:val="0038741E"/>
    <w:rsid w:val="00387799"/>
    <w:rsid w:val="003878E0"/>
    <w:rsid w:val="00387A99"/>
    <w:rsid w:val="00387BB9"/>
    <w:rsid w:val="00387C8D"/>
    <w:rsid w:val="00387CFA"/>
    <w:rsid w:val="00387D05"/>
    <w:rsid w:val="00387D34"/>
    <w:rsid w:val="00387DD0"/>
    <w:rsid w:val="00387EDF"/>
    <w:rsid w:val="00387F4F"/>
    <w:rsid w:val="0039003F"/>
    <w:rsid w:val="00390150"/>
    <w:rsid w:val="0039027B"/>
    <w:rsid w:val="0039040A"/>
    <w:rsid w:val="0039052B"/>
    <w:rsid w:val="00390647"/>
    <w:rsid w:val="0039064D"/>
    <w:rsid w:val="003907F7"/>
    <w:rsid w:val="00390955"/>
    <w:rsid w:val="003909EC"/>
    <w:rsid w:val="003909FD"/>
    <w:rsid w:val="00390A9C"/>
    <w:rsid w:val="00390AA0"/>
    <w:rsid w:val="00390B7C"/>
    <w:rsid w:val="00390C8D"/>
    <w:rsid w:val="00390CDA"/>
    <w:rsid w:val="00390EE4"/>
    <w:rsid w:val="00390F90"/>
    <w:rsid w:val="00390FD9"/>
    <w:rsid w:val="003912CC"/>
    <w:rsid w:val="003914A0"/>
    <w:rsid w:val="003915FE"/>
    <w:rsid w:val="003916BA"/>
    <w:rsid w:val="00391936"/>
    <w:rsid w:val="00391A2A"/>
    <w:rsid w:val="00391B1C"/>
    <w:rsid w:val="00391C4A"/>
    <w:rsid w:val="00391DB9"/>
    <w:rsid w:val="00391F44"/>
    <w:rsid w:val="00391FC6"/>
    <w:rsid w:val="003921B3"/>
    <w:rsid w:val="003921FF"/>
    <w:rsid w:val="00392238"/>
    <w:rsid w:val="0039240A"/>
    <w:rsid w:val="00392424"/>
    <w:rsid w:val="0039255B"/>
    <w:rsid w:val="0039259F"/>
    <w:rsid w:val="003925DB"/>
    <w:rsid w:val="00392730"/>
    <w:rsid w:val="0039273C"/>
    <w:rsid w:val="003927DF"/>
    <w:rsid w:val="003927FA"/>
    <w:rsid w:val="003928BD"/>
    <w:rsid w:val="00392BC4"/>
    <w:rsid w:val="00392D0A"/>
    <w:rsid w:val="00392EB9"/>
    <w:rsid w:val="00393016"/>
    <w:rsid w:val="00393238"/>
    <w:rsid w:val="003932FC"/>
    <w:rsid w:val="00393397"/>
    <w:rsid w:val="00393496"/>
    <w:rsid w:val="0039358D"/>
    <w:rsid w:val="00393924"/>
    <w:rsid w:val="00393937"/>
    <w:rsid w:val="00393BB4"/>
    <w:rsid w:val="00393C28"/>
    <w:rsid w:val="00393E20"/>
    <w:rsid w:val="00393E2C"/>
    <w:rsid w:val="0039400B"/>
    <w:rsid w:val="00394073"/>
    <w:rsid w:val="003941CF"/>
    <w:rsid w:val="0039424D"/>
    <w:rsid w:val="00394285"/>
    <w:rsid w:val="003942E5"/>
    <w:rsid w:val="0039440D"/>
    <w:rsid w:val="00394415"/>
    <w:rsid w:val="003944B8"/>
    <w:rsid w:val="0039466F"/>
    <w:rsid w:val="0039473A"/>
    <w:rsid w:val="0039476A"/>
    <w:rsid w:val="00394815"/>
    <w:rsid w:val="00394930"/>
    <w:rsid w:val="0039493C"/>
    <w:rsid w:val="00394A4D"/>
    <w:rsid w:val="00394C08"/>
    <w:rsid w:val="00394C3A"/>
    <w:rsid w:val="00394CE7"/>
    <w:rsid w:val="00395190"/>
    <w:rsid w:val="003956E3"/>
    <w:rsid w:val="00395892"/>
    <w:rsid w:val="003958FF"/>
    <w:rsid w:val="00395AAF"/>
    <w:rsid w:val="00395CD3"/>
    <w:rsid w:val="00395D84"/>
    <w:rsid w:val="00395E05"/>
    <w:rsid w:val="00395E4F"/>
    <w:rsid w:val="00396054"/>
    <w:rsid w:val="00396077"/>
    <w:rsid w:val="00396169"/>
    <w:rsid w:val="003961C8"/>
    <w:rsid w:val="00396296"/>
    <w:rsid w:val="00396457"/>
    <w:rsid w:val="00396471"/>
    <w:rsid w:val="00396591"/>
    <w:rsid w:val="003967BA"/>
    <w:rsid w:val="0039688B"/>
    <w:rsid w:val="003968DD"/>
    <w:rsid w:val="003969EA"/>
    <w:rsid w:val="00396A9A"/>
    <w:rsid w:val="00396B2F"/>
    <w:rsid w:val="00396B3A"/>
    <w:rsid w:val="00396B66"/>
    <w:rsid w:val="00396BF8"/>
    <w:rsid w:val="0039719A"/>
    <w:rsid w:val="003971E4"/>
    <w:rsid w:val="0039721D"/>
    <w:rsid w:val="00397331"/>
    <w:rsid w:val="00397379"/>
    <w:rsid w:val="00397554"/>
    <w:rsid w:val="00397833"/>
    <w:rsid w:val="00397A7B"/>
    <w:rsid w:val="00397A9C"/>
    <w:rsid w:val="00397AF7"/>
    <w:rsid w:val="00397B99"/>
    <w:rsid w:val="00397C37"/>
    <w:rsid w:val="00397C44"/>
    <w:rsid w:val="00397DD0"/>
    <w:rsid w:val="00397E42"/>
    <w:rsid w:val="00397E8D"/>
    <w:rsid w:val="00397F63"/>
    <w:rsid w:val="00397FE7"/>
    <w:rsid w:val="003A0006"/>
    <w:rsid w:val="003A00BC"/>
    <w:rsid w:val="003A0141"/>
    <w:rsid w:val="003A018A"/>
    <w:rsid w:val="003A0253"/>
    <w:rsid w:val="003A02D8"/>
    <w:rsid w:val="003A03AF"/>
    <w:rsid w:val="003A06DD"/>
    <w:rsid w:val="003A07E9"/>
    <w:rsid w:val="003A0865"/>
    <w:rsid w:val="003A097D"/>
    <w:rsid w:val="003A0982"/>
    <w:rsid w:val="003A0A74"/>
    <w:rsid w:val="003A0B07"/>
    <w:rsid w:val="003A0B2E"/>
    <w:rsid w:val="003A0B6B"/>
    <w:rsid w:val="003A0D87"/>
    <w:rsid w:val="003A0DC8"/>
    <w:rsid w:val="003A0EC0"/>
    <w:rsid w:val="003A0F19"/>
    <w:rsid w:val="003A1144"/>
    <w:rsid w:val="003A12F8"/>
    <w:rsid w:val="003A1389"/>
    <w:rsid w:val="003A152A"/>
    <w:rsid w:val="003A1723"/>
    <w:rsid w:val="003A18FB"/>
    <w:rsid w:val="003A192E"/>
    <w:rsid w:val="003A19B3"/>
    <w:rsid w:val="003A1E75"/>
    <w:rsid w:val="003A1EC1"/>
    <w:rsid w:val="003A1F49"/>
    <w:rsid w:val="003A211D"/>
    <w:rsid w:val="003A2277"/>
    <w:rsid w:val="003A25E1"/>
    <w:rsid w:val="003A2774"/>
    <w:rsid w:val="003A2AD9"/>
    <w:rsid w:val="003A2B41"/>
    <w:rsid w:val="003A2D33"/>
    <w:rsid w:val="003A2EF3"/>
    <w:rsid w:val="003A3242"/>
    <w:rsid w:val="003A3519"/>
    <w:rsid w:val="003A36C4"/>
    <w:rsid w:val="003A37F4"/>
    <w:rsid w:val="003A3AC2"/>
    <w:rsid w:val="003A3B60"/>
    <w:rsid w:val="003A3C87"/>
    <w:rsid w:val="003A3C92"/>
    <w:rsid w:val="003A3CB9"/>
    <w:rsid w:val="003A3CD3"/>
    <w:rsid w:val="003A3F21"/>
    <w:rsid w:val="003A4018"/>
    <w:rsid w:val="003A419D"/>
    <w:rsid w:val="003A41DD"/>
    <w:rsid w:val="003A422A"/>
    <w:rsid w:val="003A4696"/>
    <w:rsid w:val="003A469F"/>
    <w:rsid w:val="003A46B4"/>
    <w:rsid w:val="003A48F8"/>
    <w:rsid w:val="003A4960"/>
    <w:rsid w:val="003A4BE2"/>
    <w:rsid w:val="003A4E60"/>
    <w:rsid w:val="003A4EA2"/>
    <w:rsid w:val="003A51B4"/>
    <w:rsid w:val="003A5287"/>
    <w:rsid w:val="003A5466"/>
    <w:rsid w:val="003A561F"/>
    <w:rsid w:val="003A5715"/>
    <w:rsid w:val="003A5798"/>
    <w:rsid w:val="003A57C9"/>
    <w:rsid w:val="003A582B"/>
    <w:rsid w:val="003A58C4"/>
    <w:rsid w:val="003A59D4"/>
    <w:rsid w:val="003A5A45"/>
    <w:rsid w:val="003A5C33"/>
    <w:rsid w:val="003A5C6C"/>
    <w:rsid w:val="003A5CF5"/>
    <w:rsid w:val="003A5E28"/>
    <w:rsid w:val="003A5E7E"/>
    <w:rsid w:val="003A5F7C"/>
    <w:rsid w:val="003A5F84"/>
    <w:rsid w:val="003A6344"/>
    <w:rsid w:val="003A6493"/>
    <w:rsid w:val="003A6633"/>
    <w:rsid w:val="003A67CA"/>
    <w:rsid w:val="003A6B2A"/>
    <w:rsid w:val="003A6E61"/>
    <w:rsid w:val="003A6F0D"/>
    <w:rsid w:val="003A6F26"/>
    <w:rsid w:val="003A6FB5"/>
    <w:rsid w:val="003A7001"/>
    <w:rsid w:val="003A70DA"/>
    <w:rsid w:val="003A7148"/>
    <w:rsid w:val="003A722B"/>
    <w:rsid w:val="003A75CB"/>
    <w:rsid w:val="003A75F2"/>
    <w:rsid w:val="003A76C2"/>
    <w:rsid w:val="003A7E46"/>
    <w:rsid w:val="003A7EAA"/>
    <w:rsid w:val="003A7F70"/>
    <w:rsid w:val="003B00DF"/>
    <w:rsid w:val="003B00F6"/>
    <w:rsid w:val="003B0233"/>
    <w:rsid w:val="003B0239"/>
    <w:rsid w:val="003B04CC"/>
    <w:rsid w:val="003B0578"/>
    <w:rsid w:val="003B05A6"/>
    <w:rsid w:val="003B0637"/>
    <w:rsid w:val="003B07FD"/>
    <w:rsid w:val="003B0AFB"/>
    <w:rsid w:val="003B0B51"/>
    <w:rsid w:val="003B0B85"/>
    <w:rsid w:val="003B0C00"/>
    <w:rsid w:val="003B0C3E"/>
    <w:rsid w:val="003B0C91"/>
    <w:rsid w:val="003B0D0E"/>
    <w:rsid w:val="003B0DFB"/>
    <w:rsid w:val="003B0E91"/>
    <w:rsid w:val="003B1070"/>
    <w:rsid w:val="003B1139"/>
    <w:rsid w:val="003B12E0"/>
    <w:rsid w:val="003B133E"/>
    <w:rsid w:val="003B14CD"/>
    <w:rsid w:val="003B175E"/>
    <w:rsid w:val="003B1B45"/>
    <w:rsid w:val="003B1CF5"/>
    <w:rsid w:val="003B1D9F"/>
    <w:rsid w:val="003B1E01"/>
    <w:rsid w:val="003B1FB2"/>
    <w:rsid w:val="003B2071"/>
    <w:rsid w:val="003B20BE"/>
    <w:rsid w:val="003B20E0"/>
    <w:rsid w:val="003B2121"/>
    <w:rsid w:val="003B22E6"/>
    <w:rsid w:val="003B2375"/>
    <w:rsid w:val="003B23F5"/>
    <w:rsid w:val="003B2432"/>
    <w:rsid w:val="003B24FC"/>
    <w:rsid w:val="003B293D"/>
    <w:rsid w:val="003B296A"/>
    <w:rsid w:val="003B29B5"/>
    <w:rsid w:val="003B2C76"/>
    <w:rsid w:val="003B2CFD"/>
    <w:rsid w:val="003B2D0E"/>
    <w:rsid w:val="003B2D60"/>
    <w:rsid w:val="003B2EF1"/>
    <w:rsid w:val="003B2F0A"/>
    <w:rsid w:val="003B2F3B"/>
    <w:rsid w:val="003B2FE8"/>
    <w:rsid w:val="003B30CC"/>
    <w:rsid w:val="003B31B6"/>
    <w:rsid w:val="003B31DE"/>
    <w:rsid w:val="003B323C"/>
    <w:rsid w:val="003B3286"/>
    <w:rsid w:val="003B32BF"/>
    <w:rsid w:val="003B34A6"/>
    <w:rsid w:val="003B3670"/>
    <w:rsid w:val="003B3740"/>
    <w:rsid w:val="003B379F"/>
    <w:rsid w:val="003B3CC5"/>
    <w:rsid w:val="003B3CDD"/>
    <w:rsid w:val="003B3F59"/>
    <w:rsid w:val="003B43E3"/>
    <w:rsid w:val="003B45EF"/>
    <w:rsid w:val="003B46EE"/>
    <w:rsid w:val="003B4887"/>
    <w:rsid w:val="003B4A8E"/>
    <w:rsid w:val="003B4B1A"/>
    <w:rsid w:val="003B4DF1"/>
    <w:rsid w:val="003B4E53"/>
    <w:rsid w:val="003B4EBE"/>
    <w:rsid w:val="003B4ECD"/>
    <w:rsid w:val="003B4F47"/>
    <w:rsid w:val="003B4F5A"/>
    <w:rsid w:val="003B4F88"/>
    <w:rsid w:val="003B4F8A"/>
    <w:rsid w:val="003B4FE3"/>
    <w:rsid w:val="003B5075"/>
    <w:rsid w:val="003B50F0"/>
    <w:rsid w:val="003B551C"/>
    <w:rsid w:val="003B57C9"/>
    <w:rsid w:val="003B583C"/>
    <w:rsid w:val="003B5893"/>
    <w:rsid w:val="003B5897"/>
    <w:rsid w:val="003B58D4"/>
    <w:rsid w:val="003B59E2"/>
    <w:rsid w:val="003B59EF"/>
    <w:rsid w:val="003B5E0E"/>
    <w:rsid w:val="003B5E7B"/>
    <w:rsid w:val="003B614A"/>
    <w:rsid w:val="003B623B"/>
    <w:rsid w:val="003B625D"/>
    <w:rsid w:val="003B6314"/>
    <w:rsid w:val="003B63B7"/>
    <w:rsid w:val="003B657D"/>
    <w:rsid w:val="003B666A"/>
    <w:rsid w:val="003B67C6"/>
    <w:rsid w:val="003B6A68"/>
    <w:rsid w:val="003B6A7F"/>
    <w:rsid w:val="003B6B6C"/>
    <w:rsid w:val="003B6BD2"/>
    <w:rsid w:val="003B6CDD"/>
    <w:rsid w:val="003B6CF6"/>
    <w:rsid w:val="003B6CFC"/>
    <w:rsid w:val="003B6EF8"/>
    <w:rsid w:val="003B6FD9"/>
    <w:rsid w:val="003B70EF"/>
    <w:rsid w:val="003B71A9"/>
    <w:rsid w:val="003B71B5"/>
    <w:rsid w:val="003B72E0"/>
    <w:rsid w:val="003B72F8"/>
    <w:rsid w:val="003B735D"/>
    <w:rsid w:val="003B74EB"/>
    <w:rsid w:val="003B7511"/>
    <w:rsid w:val="003B76DB"/>
    <w:rsid w:val="003B7717"/>
    <w:rsid w:val="003B7765"/>
    <w:rsid w:val="003B781B"/>
    <w:rsid w:val="003B7836"/>
    <w:rsid w:val="003B7A2B"/>
    <w:rsid w:val="003B7C62"/>
    <w:rsid w:val="003B7CBF"/>
    <w:rsid w:val="003B7F96"/>
    <w:rsid w:val="003C00AD"/>
    <w:rsid w:val="003C0174"/>
    <w:rsid w:val="003C033B"/>
    <w:rsid w:val="003C03DB"/>
    <w:rsid w:val="003C0419"/>
    <w:rsid w:val="003C05AE"/>
    <w:rsid w:val="003C05E1"/>
    <w:rsid w:val="003C06BF"/>
    <w:rsid w:val="003C06C0"/>
    <w:rsid w:val="003C070F"/>
    <w:rsid w:val="003C074B"/>
    <w:rsid w:val="003C08EC"/>
    <w:rsid w:val="003C0B30"/>
    <w:rsid w:val="003C0B72"/>
    <w:rsid w:val="003C0BFE"/>
    <w:rsid w:val="003C0E50"/>
    <w:rsid w:val="003C10BE"/>
    <w:rsid w:val="003C1399"/>
    <w:rsid w:val="003C14DC"/>
    <w:rsid w:val="003C14F1"/>
    <w:rsid w:val="003C1580"/>
    <w:rsid w:val="003C167F"/>
    <w:rsid w:val="003C169E"/>
    <w:rsid w:val="003C16BB"/>
    <w:rsid w:val="003C18EA"/>
    <w:rsid w:val="003C1987"/>
    <w:rsid w:val="003C1C72"/>
    <w:rsid w:val="003C1CA4"/>
    <w:rsid w:val="003C1D20"/>
    <w:rsid w:val="003C1D34"/>
    <w:rsid w:val="003C1F3D"/>
    <w:rsid w:val="003C2007"/>
    <w:rsid w:val="003C2046"/>
    <w:rsid w:val="003C209B"/>
    <w:rsid w:val="003C2179"/>
    <w:rsid w:val="003C2250"/>
    <w:rsid w:val="003C22FF"/>
    <w:rsid w:val="003C2420"/>
    <w:rsid w:val="003C2651"/>
    <w:rsid w:val="003C2679"/>
    <w:rsid w:val="003C276E"/>
    <w:rsid w:val="003C2890"/>
    <w:rsid w:val="003C2951"/>
    <w:rsid w:val="003C2A2B"/>
    <w:rsid w:val="003C2B41"/>
    <w:rsid w:val="003C2BE4"/>
    <w:rsid w:val="003C2DD0"/>
    <w:rsid w:val="003C2E3D"/>
    <w:rsid w:val="003C2F44"/>
    <w:rsid w:val="003C2F6F"/>
    <w:rsid w:val="003C2F71"/>
    <w:rsid w:val="003C30CA"/>
    <w:rsid w:val="003C31AE"/>
    <w:rsid w:val="003C3579"/>
    <w:rsid w:val="003C358A"/>
    <w:rsid w:val="003C35B5"/>
    <w:rsid w:val="003C3844"/>
    <w:rsid w:val="003C38AD"/>
    <w:rsid w:val="003C3B2C"/>
    <w:rsid w:val="003C3B48"/>
    <w:rsid w:val="003C3B85"/>
    <w:rsid w:val="003C3BD1"/>
    <w:rsid w:val="003C3CF8"/>
    <w:rsid w:val="003C3D11"/>
    <w:rsid w:val="003C4161"/>
    <w:rsid w:val="003C41CE"/>
    <w:rsid w:val="003C4308"/>
    <w:rsid w:val="003C431F"/>
    <w:rsid w:val="003C44E6"/>
    <w:rsid w:val="003C4777"/>
    <w:rsid w:val="003C47A0"/>
    <w:rsid w:val="003C4C54"/>
    <w:rsid w:val="003C4C73"/>
    <w:rsid w:val="003C4E79"/>
    <w:rsid w:val="003C4FBA"/>
    <w:rsid w:val="003C50E8"/>
    <w:rsid w:val="003C5394"/>
    <w:rsid w:val="003C547D"/>
    <w:rsid w:val="003C5569"/>
    <w:rsid w:val="003C5630"/>
    <w:rsid w:val="003C57B7"/>
    <w:rsid w:val="003C5A2D"/>
    <w:rsid w:val="003C5B2F"/>
    <w:rsid w:val="003C5D5B"/>
    <w:rsid w:val="003C5DB8"/>
    <w:rsid w:val="003C600E"/>
    <w:rsid w:val="003C6016"/>
    <w:rsid w:val="003C604B"/>
    <w:rsid w:val="003C636B"/>
    <w:rsid w:val="003C639C"/>
    <w:rsid w:val="003C6722"/>
    <w:rsid w:val="003C6801"/>
    <w:rsid w:val="003C6856"/>
    <w:rsid w:val="003C68D8"/>
    <w:rsid w:val="003C695C"/>
    <w:rsid w:val="003C6AD5"/>
    <w:rsid w:val="003C6B23"/>
    <w:rsid w:val="003C6C77"/>
    <w:rsid w:val="003C6DE4"/>
    <w:rsid w:val="003C6E13"/>
    <w:rsid w:val="003C72FC"/>
    <w:rsid w:val="003C73CC"/>
    <w:rsid w:val="003C75E1"/>
    <w:rsid w:val="003C76CD"/>
    <w:rsid w:val="003C7918"/>
    <w:rsid w:val="003C79BC"/>
    <w:rsid w:val="003C7B46"/>
    <w:rsid w:val="003C7B78"/>
    <w:rsid w:val="003C7BE4"/>
    <w:rsid w:val="003D001E"/>
    <w:rsid w:val="003D04C4"/>
    <w:rsid w:val="003D0528"/>
    <w:rsid w:val="003D056D"/>
    <w:rsid w:val="003D0640"/>
    <w:rsid w:val="003D07C4"/>
    <w:rsid w:val="003D0915"/>
    <w:rsid w:val="003D09BF"/>
    <w:rsid w:val="003D0AA2"/>
    <w:rsid w:val="003D0ABD"/>
    <w:rsid w:val="003D0CD4"/>
    <w:rsid w:val="003D12B2"/>
    <w:rsid w:val="003D1354"/>
    <w:rsid w:val="003D13B4"/>
    <w:rsid w:val="003D14C5"/>
    <w:rsid w:val="003D1644"/>
    <w:rsid w:val="003D1739"/>
    <w:rsid w:val="003D1795"/>
    <w:rsid w:val="003D184F"/>
    <w:rsid w:val="003D1929"/>
    <w:rsid w:val="003D1AB0"/>
    <w:rsid w:val="003D1C39"/>
    <w:rsid w:val="003D1CA5"/>
    <w:rsid w:val="003D1D9E"/>
    <w:rsid w:val="003D207C"/>
    <w:rsid w:val="003D20DB"/>
    <w:rsid w:val="003D233B"/>
    <w:rsid w:val="003D26D3"/>
    <w:rsid w:val="003D26F9"/>
    <w:rsid w:val="003D2718"/>
    <w:rsid w:val="003D275F"/>
    <w:rsid w:val="003D276D"/>
    <w:rsid w:val="003D2804"/>
    <w:rsid w:val="003D2AAE"/>
    <w:rsid w:val="003D2B55"/>
    <w:rsid w:val="003D2CCF"/>
    <w:rsid w:val="003D2D6B"/>
    <w:rsid w:val="003D2ED3"/>
    <w:rsid w:val="003D2F61"/>
    <w:rsid w:val="003D2FA5"/>
    <w:rsid w:val="003D335A"/>
    <w:rsid w:val="003D335D"/>
    <w:rsid w:val="003D33B1"/>
    <w:rsid w:val="003D346F"/>
    <w:rsid w:val="003D34AC"/>
    <w:rsid w:val="003D34C9"/>
    <w:rsid w:val="003D3551"/>
    <w:rsid w:val="003D35B6"/>
    <w:rsid w:val="003D3723"/>
    <w:rsid w:val="003D37C7"/>
    <w:rsid w:val="003D38AC"/>
    <w:rsid w:val="003D38C7"/>
    <w:rsid w:val="003D38D8"/>
    <w:rsid w:val="003D394F"/>
    <w:rsid w:val="003D395B"/>
    <w:rsid w:val="003D3A03"/>
    <w:rsid w:val="003D3A50"/>
    <w:rsid w:val="003D3BD4"/>
    <w:rsid w:val="003D3DD9"/>
    <w:rsid w:val="003D3FC8"/>
    <w:rsid w:val="003D4065"/>
    <w:rsid w:val="003D40B5"/>
    <w:rsid w:val="003D40DD"/>
    <w:rsid w:val="003D4237"/>
    <w:rsid w:val="003D43B4"/>
    <w:rsid w:val="003D443D"/>
    <w:rsid w:val="003D46CF"/>
    <w:rsid w:val="003D4859"/>
    <w:rsid w:val="003D495D"/>
    <w:rsid w:val="003D4C23"/>
    <w:rsid w:val="003D4C74"/>
    <w:rsid w:val="003D4D27"/>
    <w:rsid w:val="003D4FA8"/>
    <w:rsid w:val="003D4FF4"/>
    <w:rsid w:val="003D508B"/>
    <w:rsid w:val="003D51B6"/>
    <w:rsid w:val="003D5206"/>
    <w:rsid w:val="003D521E"/>
    <w:rsid w:val="003D5252"/>
    <w:rsid w:val="003D5373"/>
    <w:rsid w:val="003D594E"/>
    <w:rsid w:val="003D5BB4"/>
    <w:rsid w:val="003D5C92"/>
    <w:rsid w:val="003D5CAD"/>
    <w:rsid w:val="003D5D57"/>
    <w:rsid w:val="003D5D65"/>
    <w:rsid w:val="003D5F6C"/>
    <w:rsid w:val="003D5FF0"/>
    <w:rsid w:val="003D6014"/>
    <w:rsid w:val="003D60C8"/>
    <w:rsid w:val="003D626B"/>
    <w:rsid w:val="003D63FD"/>
    <w:rsid w:val="003D676B"/>
    <w:rsid w:val="003D68A3"/>
    <w:rsid w:val="003D699D"/>
    <w:rsid w:val="003D6C86"/>
    <w:rsid w:val="003D6D14"/>
    <w:rsid w:val="003D70F5"/>
    <w:rsid w:val="003D7455"/>
    <w:rsid w:val="003D74CD"/>
    <w:rsid w:val="003D7575"/>
    <w:rsid w:val="003D78A7"/>
    <w:rsid w:val="003D794C"/>
    <w:rsid w:val="003D798E"/>
    <w:rsid w:val="003D79B8"/>
    <w:rsid w:val="003D7C1A"/>
    <w:rsid w:val="003E0147"/>
    <w:rsid w:val="003E025D"/>
    <w:rsid w:val="003E0353"/>
    <w:rsid w:val="003E0446"/>
    <w:rsid w:val="003E051A"/>
    <w:rsid w:val="003E080D"/>
    <w:rsid w:val="003E08D8"/>
    <w:rsid w:val="003E0954"/>
    <w:rsid w:val="003E09AC"/>
    <w:rsid w:val="003E09DC"/>
    <w:rsid w:val="003E0AF3"/>
    <w:rsid w:val="003E0B5B"/>
    <w:rsid w:val="003E0C3C"/>
    <w:rsid w:val="003E0C72"/>
    <w:rsid w:val="003E0E03"/>
    <w:rsid w:val="003E10E9"/>
    <w:rsid w:val="003E149D"/>
    <w:rsid w:val="003E14F0"/>
    <w:rsid w:val="003E14F1"/>
    <w:rsid w:val="003E1607"/>
    <w:rsid w:val="003E1623"/>
    <w:rsid w:val="003E1636"/>
    <w:rsid w:val="003E16A4"/>
    <w:rsid w:val="003E16E6"/>
    <w:rsid w:val="003E1722"/>
    <w:rsid w:val="003E1804"/>
    <w:rsid w:val="003E181B"/>
    <w:rsid w:val="003E18D8"/>
    <w:rsid w:val="003E1901"/>
    <w:rsid w:val="003E19C2"/>
    <w:rsid w:val="003E1CA0"/>
    <w:rsid w:val="003E1D80"/>
    <w:rsid w:val="003E20B2"/>
    <w:rsid w:val="003E20F1"/>
    <w:rsid w:val="003E226A"/>
    <w:rsid w:val="003E25A3"/>
    <w:rsid w:val="003E25A8"/>
    <w:rsid w:val="003E25AB"/>
    <w:rsid w:val="003E272D"/>
    <w:rsid w:val="003E273E"/>
    <w:rsid w:val="003E2E15"/>
    <w:rsid w:val="003E2EFD"/>
    <w:rsid w:val="003E2FA3"/>
    <w:rsid w:val="003E30DB"/>
    <w:rsid w:val="003E31AC"/>
    <w:rsid w:val="003E331C"/>
    <w:rsid w:val="003E3362"/>
    <w:rsid w:val="003E3527"/>
    <w:rsid w:val="003E35CF"/>
    <w:rsid w:val="003E368D"/>
    <w:rsid w:val="003E3728"/>
    <w:rsid w:val="003E39FB"/>
    <w:rsid w:val="003E3B32"/>
    <w:rsid w:val="003E3BED"/>
    <w:rsid w:val="003E3CB3"/>
    <w:rsid w:val="003E3D8B"/>
    <w:rsid w:val="003E3DF8"/>
    <w:rsid w:val="003E4067"/>
    <w:rsid w:val="003E4073"/>
    <w:rsid w:val="003E40B4"/>
    <w:rsid w:val="003E41E1"/>
    <w:rsid w:val="003E4274"/>
    <w:rsid w:val="003E4385"/>
    <w:rsid w:val="003E43AF"/>
    <w:rsid w:val="003E4445"/>
    <w:rsid w:val="003E44EE"/>
    <w:rsid w:val="003E4529"/>
    <w:rsid w:val="003E4614"/>
    <w:rsid w:val="003E4699"/>
    <w:rsid w:val="003E478D"/>
    <w:rsid w:val="003E47C9"/>
    <w:rsid w:val="003E48A1"/>
    <w:rsid w:val="003E48AB"/>
    <w:rsid w:val="003E4943"/>
    <w:rsid w:val="003E4E48"/>
    <w:rsid w:val="003E4ED2"/>
    <w:rsid w:val="003E5033"/>
    <w:rsid w:val="003E5454"/>
    <w:rsid w:val="003E54A1"/>
    <w:rsid w:val="003E5591"/>
    <w:rsid w:val="003E55BB"/>
    <w:rsid w:val="003E57A9"/>
    <w:rsid w:val="003E57F8"/>
    <w:rsid w:val="003E58A4"/>
    <w:rsid w:val="003E58CB"/>
    <w:rsid w:val="003E590E"/>
    <w:rsid w:val="003E59D8"/>
    <w:rsid w:val="003E5A6A"/>
    <w:rsid w:val="003E5B92"/>
    <w:rsid w:val="003E5BDA"/>
    <w:rsid w:val="003E5D0C"/>
    <w:rsid w:val="003E5F09"/>
    <w:rsid w:val="003E5F9C"/>
    <w:rsid w:val="003E6102"/>
    <w:rsid w:val="003E612A"/>
    <w:rsid w:val="003E632B"/>
    <w:rsid w:val="003E6546"/>
    <w:rsid w:val="003E6682"/>
    <w:rsid w:val="003E6993"/>
    <w:rsid w:val="003E6B79"/>
    <w:rsid w:val="003E6C86"/>
    <w:rsid w:val="003E6CA2"/>
    <w:rsid w:val="003E6D0A"/>
    <w:rsid w:val="003E6E33"/>
    <w:rsid w:val="003E6FCF"/>
    <w:rsid w:val="003E7232"/>
    <w:rsid w:val="003E7298"/>
    <w:rsid w:val="003E749A"/>
    <w:rsid w:val="003E7518"/>
    <w:rsid w:val="003E7732"/>
    <w:rsid w:val="003E773C"/>
    <w:rsid w:val="003E7B83"/>
    <w:rsid w:val="003E7DAA"/>
    <w:rsid w:val="003E7DBC"/>
    <w:rsid w:val="003E7F6C"/>
    <w:rsid w:val="003F002D"/>
    <w:rsid w:val="003F00AD"/>
    <w:rsid w:val="003F025A"/>
    <w:rsid w:val="003F0457"/>
    <w:rsid w:val="003F05AC"/>
    <w:rsid w:val="003F0632"/>
    <w:rsid w:val="003F0640"/>
    <w:rsid w:val="003F0852"/>
    <w:rsid w:val="003F08D3"/>
    <w:rsid w:val="003F099F"/>
    <w:rsid w:val="003F0A57"/>
    <w:rsid w:val="003F0A7C"/>
    <w:rsid w:val="003F0AB1"/>
    <w:rsid w:val="003F0C14"/>
    <w:rsid w:val="003F0CA3"/>
    <w:rsid w:val="003F0CE1"/>
    <w:rsid w:val="003F0F3A"/>
    <w:rsid w:val="003F1225"/>
    <w:rsid w:val="003F12D4"/>
    <w:rsid w:val="003F1330"/>
    <w:rsid w:val="003F1360"/>
    <w:rsid w:val="003F137B"/>
    <w:rsid w:val="003F1785"/>
    <w:rsid w:val="003F17F0"/>
    <w:rsid w:val="003F180C"/>
    <w:rsid w:val="003F186F"/>
    <w:rsid w:val="003F18BD"/>
    <w:rsid w:val="003F1958"/>
    <w:rsid w:val="003F1D5E"/>
    <w:rsid w:val="003F1E1B"/>
    <w:rsid w:val="003F1E9B"/>
    <w:rsid w:val="003F1F78"/>
    <w:rsid w:val="003F1FA5"/>
    <w:rsid w:val="003F20C7"/>
    <w:rsid w:val="003F20F2"/>
    <w:rsid w:val="003F2297"/>
    <w:rsid w:val="003F22EA"/>
    <w:rsid w:val="003F247E"/>
    <w:rsid w:val="003F24A5"/>
    <w:rsid w:val="003F253E"/>
    <w:rsid w:val="003F27C9"/>
    <w:rsid w:val="003F2959"/>
    <w:rsid w:val="003F29BF"/>
    <w:rsid w:val="003F2A5B"/>
    <w:rsid w:val="003F2D6F"/>
    <w:rsid w:val="003F2D7F"/>
    <w:rsid w:val="003F2E0D"/>
    <w:rsid w:val="003F2E1A"/>
    <w:rsid w:val="003F2E5B"/>
    <w:rsid w:val="003F2FF9"/>
    <w:rsid w:val="003F3031"/>
    <w:rsid w:val="003F3249"/>
    <w:rsid w:val="003F33B7"/>
    <w:rsid w:val="003F33E2"/>
    <w:rsid w:val="003F347E"/>
    <w:rsid w:val="003F3480"/>
    <w:rsid w:val="003F3492"/>
    <w:rsid w:val="003F34B6"/>
    <w:rsid w:val="003F35C6"/>
    <w:rsid w:val="003F3689"/>
    <w:rsid w:val="003F3829"/>
    <w:rsid w:val="003F3959"/>
    <w:rsid w:val="003F3A7A"/>
    <w:rsid w:val="003F3AB8"/>
    <w:rsid w:val="003F3C98"/>
    <w:rsid w:val="003F3D32"/>
    <w:rsid w:val="003F3D67"/>
    <w:rsid w:val="003F41C7"/>
    <w:rsid w:val="003F42F4"/>
    <w:rsid w:val="003F436F"/>
    <w:rsid w:val="003F4561"/>
    <w:rsid w:val="003F463E"/>
    <w:rsid w:val="003F4695"/>
    <w:rsid w:val="003F46A0"/>
    <w:rsid w:val="003F4801"/>
    <w:rsid w:val="003F489D"/>
    <w:rsid w:val="003F4986"/>
    <w:rsid w:val="003F49DE"/>
    <w:rsid w:val="003F4A10"/>
    <w:rsid w:val="003F4A23"/>
    <w:rsid w:val="003F4AD6"/>
    <w:rsid w:val="003F4B68"/>
    <w:rsid w:val="003F4C65"/>
    <w:rsid w:val="003F4D5C"/>
    <w:rsid w:val="003F4DB0"/>
    <w:rsid w:val="003F4FA4"/>
    <w:rsid w:val="003F4FFE"/>
    <w:rsid w:val="003F5113"/>
    <w:rsid w:val="003F540E"/>
    <w:rsid w:val="003F5553"/>
    <w:rsid w:val="003F56F0"/>
    <w:rsid w:val="003F5988"/>
    <w:rsid w:val="003F5C4C"/>
    <w:rsid w:val="003F5D6F"/>
    <w:rsid w:val="003F5E0D"/>
    <w:rsid w:val="003F6020"/>
    <w:rsid w:val="003F614B"/>
    <w:rsid w:val="003F61F2"/>
    <w:rsid w:val="003F6265"/>
    <w:rsid w:val="003F638E"/>
    <w:rsid w:val="003F6657"/>
    <w:rsid w:val="003F675B"/>
    <w:rsid w:val="003F67BA"/>
    <w:rsid w:val="003F6C4B"/>
    <w:rsid w:val="003F6DAD"/>
    <w:rsid w:val="003F7153"/>
    <w:rsid w:val="003F7516"/>
    <w:rsid w:val="003F757C"/>
    <w:rsid w:val="003F765E"/>
    <w:rsid w:val="003F7899"/>
    <w:rsid w:val="003F7985"/>
    <w:rsid w:val="003F7AC7"/>
    <w:rsid w:val="003F7B0D"/>
    <w:rsid w:val="003F7E9F"/>
    <w:rsid w:val="00400149"/>
    <w:rsid w:val="004001C5"/>
    <w:rsid w:val="0040031C"/>
    <w:rsid w:val="00400333"/>
    <w:rsid w:val="0040035F"/>
    <w:rsid w:val="004005D8"/>
    <w:rsid w:val="00400E04"/>
    <w:rsid w:val="0040111B"/>
    <w:rsid w:val="00401369"/>
    <w:rsid w:val="00401387"/>
    <w:rsid w:val="00401535"/>
    <w:rsid w:val="00401542"/>
    <w:rsid w:val="004017CE"/>
    <w:rsid w:val="00401B43"/>
    <w:rsid w:val="00401C93"/>
    <w:rsid w:val="00401D09"/>
    <w:rsid w:val="00401D71"/>
    <w:rsid w:val="00401F10"/>
    <w:rsid w:val="0040210B"/>
    <w:rsid w:val="0040215B"/>
    <w:rsid w:val="0040220B"/>
    <w:rsid w:val="0040233C"/>
    <w:rsid w:val="004023D7"/>
    <w:rsid w:val="004028C0"/>
    <w:rsid w:val="004029A9"/>
    <w:rsid w:val="00402AB7"/>
    <w:rsid w:val="00402B30"/>
    <w:rsid w:val="00402BD0"/>
    <w:rsid w:val="00402BD1"/>
    <w:rsid w:val="00402C3B"/>
    <w:rsid w:val="00402CFF"/>
    <w:rsid w:val="00402E2A"/>
    <w:rsid w:val="00403014"/>
    <w:rsid w:val="00403310"/>
    <w:rsid w:val="00403384"/>
    <w:rsid w:val="0040343D"/>
    <w:rsid w:val="004034AB"/>
    <w:rsid w:val="004034D6"/>
    <w:rsid w:val="00403739"/>
    <w:rsid w:val="0040384F"/>
    <w:rsid w:val="00403890"/>
    <w:rsid w:val="00403BC3"/>
    <w:rsid w:val="00403C49"/>
    <w:rsid w:val="00403C85"/>
    <w:rsid w:val="00403D29"/>
    <w:rsid w:val="00403EB7"/>
    <w:rsid w:val="00403EDA"/>
    <w:rsid w:val="00403F0C"/>
    <w:rsid w:val="00403F75"/>
    <w:rsid w:val="0040437D"/>
    <w:rsid w:val="004043E7"/>
    <w:rsid w:val="004044B6"/>
    <w:rsid w:val="004046DB"/>
    <w:rsid w:val="00404779"/>
    <w:rsid w:val="004047A3"/>
    <w:rsid w:val="004047A8"/>
    <w:rsid w:val="00404C26"/>
    <w:rsid w:val="00404C58"/>
    <w:rsid w:val="00404C6E"/>
    <w:rsid w:val="00404C9E"/>
    <w:rsid w:val="00404D40"/>
    <w:rsid w:val="00405148"/>
    <w:rsid w:val="00405190"/>
    <w:rsid w:val="004051DE"/>
    <w:rsid w:val="0040527F"/>
    <w:rsid w:val="004052F0"/>
    <w:rsid w:val="00405409"/>
    <w:rsid w:val="00405722"/>
    <w:rsid w:val="004057B8"/>
    <w:rsid w:val="00405868"/>
    <w:rsid w:val="00405A3B"/>
    <w:rsid w:val="00405C8F"/>
    <w:rsid w:val="00405CD9"/>
    <w:rsid w:val="00405D4C"/>
    <w:rsid w:val="00405EF4"/>
    <w:rsid w:val="00405F64"/>
    <w:rsid w:val="00406267"/>
    <w:rsid w:val="004062DB"/>
    <w:rsid w:val="00406314"/>
    <w:rsid w:val="004063A0"/>
    <w:rsid w:val="00406620"/>
    <w:rsid w:val="00406634"/>
    <w:rsid w:val="00406669"/>
    <w:rsid w:val="00406671"/>
    <w:rsid w:val="004066E8"/>
    <w:rsid w:val="00406726"/>
    <w:rsid w:val="00406761"/>
    <w:rsid w:val="00406863"/>
    <w:rsid w:val="0040723F"/>
    <w:rsid w:val="0040730D"/>
    <w:rsid w:val="00407354"/>
    <w:rsid w:val="004073AE"/>
    <w:rsid w:val="00407407"/>
    <w:rsid w:val="00407A6A"/>
    <w:rsid w:val="00407B60"/>
    <w:rsid w:val="00407E80"/>
    <w:rsid w:val="00407F80"/>
    <w:rsid w:val="00407F8D"/>
    <w:rsid w:val="0041042D"/>
    <w:rsid w:val="004104E5"/>
    <w:rsid w:val="004108FC"/>
    <w:rsid w:val="004109DB"/>
    <w:rsid w:val="00410AC0"/>
    <w:rsid w:val="00410AC2"/>
    <w:rsid w:val="00410AE9"/>
    <w:rsid w:val="00410B19"/>
    <w:rsid w:val="00410D63"/>
    <w:rsid w:val="00411046"/>
    <w:rsid w:val="0041108B"/>
    <w:rsid w:val="00411405"/>
    <w:rsid w:val="00411432"/>
    <w:rsid w:val="004115BF"/>
    <w:rsid w:val="00411645"/>
    <w:rsid w:val="00411676"/>
    <w:rsid w:val="0041186D"/>
    <w:rsid w:val="004118EF"/>
    <w:rsid w:val="00411C54"/>
    <w:rsid w:val="00411DA3"/>
    <w:rsid w:val="00411F6E"/>
    <w:rsid w:val="00412079"/>
    <w:rsid w:val="004121C1"/>
    <w:rsid w:val="0041231B"/>
    <w:rsid w:val="004124FD"/>
    <w:rsid w:val="00412519"/>
    <w:rsid w:val="004125FB"/>
    <w:rsid w:val="00412866"/>
    <w:rsid w:val="004128B1"/>
    <w:rsid w:val="004129BF"/>
    <w:rsid w:val="00412C5F"/>
    <w:rsid w:val="00412C94"/>
    <w:rsid w:val="00412D04"/>
    <w:rsid w:val="00412E53"/>
    <w:rsid w:val="00412FB4"/>
    <w:rsid w:val="00412FE2"/>
    <w:rsid w:val="0041312E"/>
    <w:rsid w:val="00413184"/>
    <w:rsid w:val="00413188"/>
    <w:rsid w:val="004131F5"/>
    <w:rsid w:val="00413365"/>
    <w:rsid w:val="0041350C"/>
    <w:rsid w:val="00413531"/>
    <w:rsid w:val="00413719"/>
    <w:rsid w:val="00413893"/>
    <w:rsid w:val="004138AE"/>
    <w:rsid w:val="004139B7"/>
    <w:rsid w:val="004139E0"/>
    <w:rsid w:val="00413CAD"/>
    <w:rsid w:val="00413EFB"/>
    <w:rsid w:val="0041400C"/>
    <w:rsid w:val="00414054"/>
    <w:rsid w:val="004140EF"/>
    <w:rsid w:val="004141BC"/>
    <w:rsid w:val="004144E5"/>
    <w:rsid w:val="0041451C"/>
    <w:rsid w:val="00414674"/>
    <w:rsid w:val="00414853"/>
    <w:rsid w:val="00414994"/>
    <w:rsid w:val="00414B1B"/>
    <w:rsid w:val="00414D61"/>
    <w:rsid w:val="00414E4B"/>
    <w:rsid w:val="00414E4C"/>
    <w:rsid w:val="00414EB8"/>
    <w:rsid w:val="00414F3F"/>
    <w:rsid w:val="004153B3"/>
    <w:rsid w:val="0041544F"/>
    <w:rsid w:val="004156B5"/>
    <w:rsid w:val="004156FF"/>
    <w:rsid w:val="004159D5"/>
    <w:rsid w:val="00415AC9"/>
    <w:rsid w:val="00415AF6"/>
    <w:rsid w:val="00415AF9"/>
    <w:rsid w:val="00415CCA"/>
    <w:rsid w:val="00415F68"/>
    <w:rsid w:val="00416027"/>
    <w:rsid w:val="00416066"/>
    <w:rsid w:val="004161C6"/>
    <w:rsid w:val="004162B8"/>
    <w:rsid w:val="00416420"/>
    <w:rsid w:val="00416438"/>
    <w:rsid w:val="0041652F"/>
    <w:rsid w:val="00416561"/>
    <w:rsid w:val="00416598"/>
    <w:rsid w:val="00416A6B"/>
    <w:rsid w:val="00416A76"/>
    <w:rsid w:val="00416A9B"/>
    <w:rsid w:val="00416B4A"/>
    <w:rsid w:val="00416C37"/>
    <w:rsid w:val="00416DB9"/>
    <w:rsid w:val="00416F44"/>
    <w:rsid w:val="00416FF1"/>
    <w:rsid w:val="00417516"/>
    <w:rsid w:val="0041753C"/>
    <w:rsid w:val="0041782A"/>
    <w:rsid w:val="0041782E"/>
    <w:rsid w:val="004178B5"/>
    <w:rsid w:val="00417954"/>
    <w:rsid w:val="0041797C"/>
    <w:rsid w:val="00417A36"/>
    <w:rsid w:val="00417BF2"/>
    <w:rsid w:val="00417CCD"/>
    <w:rsid w:val="00417CEE"/>
    <w:rsid w:val="00417D78"/>
    <w:rsid w:val="00417E8A"/>
    <w:rsid w:val="00417EE1"/>
    <w:rsid w:val="00417F96"/>
    <w:rsid w:val="0041A6D3"/>
    <w:rsid w:val="004200D7"/>
    <w:rsid w:val="004200FF"/>
    <w:rsid w:val="00420401"/>
    <w:rsid w:val="004204BB"/>
    <w:rsid w:val="004204DE"/>
    <w:rsid w:val="0042058D"/>
    <w:rsid w:val="0042080F"/>
    <w:rsid w:val="00420819"/>
    <w:rsid w:val="00420849"/>
    <w:rsid w:val="00420884"/>
    <w:rsid w:val="004209A1"/>
    <w:rsid w:val="004209A6"/>
    <w:rsid w:val="004209B5"/>
    <w:rsid w:val="00420A48"/>
    <w:rsid w:val="00420B0D"/>
    <w:rsid w:val="00420C62"/>
    <w:rsid w:val="00420C87"/>
    <w:rsid w:val="00420F0D"/>
    <w:rsid w:val="00420F1B"/>
    <w:rsid w:val="00420F7C"/>
    <w:rsid w:val="00420FF9"/>
    <w:rsid w:val="0042101E"/>
    <w:rsid w:val="004212C2"/>
    <w:rsid w:val="004213B4"/>
    <w:rsid w:val="004214D0"/>
    <w:rsid w:val="004214F2"/>
    <w:rsid w:val="00421595"/>
    <w:rsid w:val="00421683"/>
    <w:rsid w:val="004216C5"/>
    <w:rsid w:val="00421740"/>
    <w:rsid w:val="00421C26"/>
    <w:rsid w:val="00421CCC"/>
    <w:rsid w:val="00421E61"/>
    <w:rsid w:val="00421F0B"/>
    <w:rsid w:val="00421F2F"/>
    <w:rsid w:val="00421F53"/>
    <w:rsid w:val="00421F54"/>
    <w:rsid w:val="00421FCE"/>
    <w:rsid w:val="00421FCF"/>
    <w:rsid w:val="0042205B"/>
    <w:rsid w:val="004221A8"/>
    <w:rsid w:val="004226AA"/>
    <w:rsid w:val="004226DA"/>
    <w:rsid w:val="0042271D"/>
    <w:rsid w:val="00422789"/>
    <w:rsid w:val="004228EF"/>
    <w:rsid w:val="00422A1A"/>
    <w:rsid w:val="00422A6E"/>
    <w:rsid w:val="00422B90"/>
    <w:rsid w:val="00422F87"/>
    <w:rsid w:val="00422FA2"/>
    <w:rsid w:val="004230DE"/>
    <w:rsid w:val="00423171"/>
    <w:rsid w:val="00423340"/>
    <w:rsid w:val="004233DE"/>
    <w:rsid w:val="00423740"/>
    <w:rsid w:val="0042379A"/>
    <w:rsid w:val="004238B1"/>
    <w:rsid w:val="00423AB0"/>
    <w:rsid w:val="00423D42"/>
    <w:rsid w:val="00423E6D"/>
    <w:rsid w:val="00423E8C"/>
    <w:rsid w:val="00423EF5"/>
    <w:rsid w:val="00423F1E"/>
    <w:rsid w:val="00424073"/>
    <w:rsid w:val="0042415E"/>
    <w:rsid w:val="0042445C"/>
    <w:rsid w:val="004246A3"/>
    <w:rsid w:val="004246BC"/>
    <w:rsid w:val="00424733"/>
    <w:rsid w:val="0042496D"/>
    <w:rsid w:val="004249FD"/>
    <w:rsid w:val="00424C4C"/>
    <w:rsid w:val="00424DB3"/>
    <w:rsid w:val="00424DC7"/>
    <w:rsid w:val="00424ECF"/>
    <w:rsid w:val="004251F1"/>
    <w:rsid w:val="00425350"/>
    <w:rsid w:val="00425405"/>
    <w:rsid w:val="00425485"/>
    <w:rsid w:val="0042551C"/>
    <w:rsid w:val="00425835"/>
    <w:rsid w:val="0042584E"/>
    <w:rsid w:val="0042597C"/>
    <w:rsid w:val="0042597E"/>
    <w:rsid w:val="004259B9"/>
    <w:rsid w:val="00425A4C"/>
    <w:rsid w:val="00425E20"/>
    <w:rsid w:val="00425F86"/>
    <w:rsid w:val="00426094"/>
    <w:rsid w:val="00426263"/>
    <w:rsid w:val="004262C5"/>
    <w:rsid w:val="0042630C"/>
    <w:rsid w:val="00426334"/>
    <w:rsid w:val="0042646C"/>
    <w:rsid w:val="004264DD"/>
    <w:rsid w:val="00426733"/>
    <w:rsid w:val="00426801"/>
    <w:rsid w:val="00426968"/>
    <w:rsid w:val="004269DD"/>
    <w:rsid w:val="00426BFD"/>
    <w:rsid w:val="00426C13"/>
    <w:rsid w:val="00426D2A"/>
    <w:rsid w:val="00426D6E"/>
    <w:rsid w:val="00426EC9"/>
    <w:rsid w:val="00427237"/>
    <w:rsid w:val="00427289"/>
    <w:rsid w:val="00427338"/>
    <w:rsid w:val="0042746C"/>
    <w:rsid w:val="004274A9"/>
    <w:rsid w:val="004274DF"/>
    <w:rsid w:val="004275CA"/>
    <w:rsid w:val="0042770C"/>
    <w:rsid w:val="0042786E"/>
    <w:rsid w:val="004278C7"/>
    <w:rsid w:val="004279F9"/>
    <w:rsid w:val="00427A78"/>
    <w:rsid w:val="00427B96"/>
    <w:rsid w:val="00427CAC"/>
    <w:rsid w:val="00427D18"/>
    <w:rsid w:val="00427D7C"/>
    <w:rsid w:val="00427E95"/>
    <w:rsid w:val="0043009B"/>
    <w:rsid w:val="0043009F"/>
    <w:rsid w:val="004301EA"/>
    <w:rsid w:val="00430214"/>
    <w:rsid w:val="0043036D"/>
    <w:rsid w:val="00430529"/>
    <w:rsid w:val="004307B4"/>
    <w:rsid w:val="0043096C"/>
    <w:rsid w:val="004309A2"/>
    <w:rsid w:val="00430A53"/>
    <w:rsid w:val="00430C31"/>
    <w:rsid w:val="00430D04"/>
    <w:rsid w:val="00430FE7"/>
    <w:rsid w:val="00431047"/>
    <w:rsid w:val="004311DE"/>
    <w:rsid w:val="0043126A"/>
    <w:rsid w:val="0043149F"/>
    <w:rsid w:val="0043171B"/>
    <w:rsid w:val="0043193B"/>
    <w:rsid w:val="00431C54"/>
    <w:rsid w:val="00431DD0"/>
    <w:rsid w:val="00431E43"/>
    <w:rsid w:val="00431EE4"/>
    <w:rsid w:val="004321E1"/>
    <w:rsid w:val="00432305"/>
    <w:rsid w:val="00432422"/>
    <w:rsid w:val="004324C1"/>
    <w:rsid w:val="00432516"/>
    <w:rsid w:val="00432548"/>
    <w:rsid w:val="0043259E"/>
    <w:rsid w:val="004325CD"/>
    <w:rsid w:val="0043276F"/>
    <w:rsid w:val="0043283B"/>
    <w:rsid w:val="00432A0A"/>
    <w:rsid w:val="00432B31"/>
    <w:rsid w:val="00432B81"/>
    <w:rsid w:val="00432BD7"/>
    <w:rsid w:val="00432DB9"/>
    <w:rsid w:val="00432E0C"/>
    <w:rsid w:val="00432F9F"/>
    <w:rsid w:val="004330B7"/>
    <w:rsid w:val="004331C3"/>
    <w:rsid w:val="004332FA"/>
    <w:rsid w:val="00433591"/>
    <w:rsid w:val="00433638"/>
    <w:rsid w:val="004339DC"/>
    <w:rsid w:val="00433B70"/>
    <w:rsid w:val="00433CE0"/>
    <w:rsid w:val="00433CF4"/>
    <w:rsid w:val="00433D81"/>
    <w:rsid w:val="00433DB5"/>
    <w:rsid w:val="00433EE2"/>
    <w:rsid w:val="00433F61"/>
    <w:rsid w:val="004340BE"/>
    <w:rsid w:val="004340D4"/>
    <w:rsid w:val="0043414D"/>
    <w:rsid w:val="00434277"/>
    <w:rsid w:val="004343D2"/>
    <w:rsid w:val="0043451B"/>
    <w:rsid w:val="004345F4"/>
    <w:rsid w:val="00434606"/>
    <w:rsid w:val="004348FC"/>
    <w:rsid w:val="004349D9"/>
    <w:rsid w:val="00434DFD"/>
    <w:rsid w:val="00434F9B"/>
    <w:rsid w:val="004350D9"/>
    <w:rsid w:val="00435226"/>
    <w:rsid w:val="0043573C"/>
    <w:rsid w:val="0043581F"/>
    <w:rsid w:val="00435889"/>
    <w:rsid w:val="004358C7"/>
    <w:rsid w:val="00435914"/>
    <w:rsid w:val="00435A30"/>
    <w:rsid w:val="00435ABB"/>
    <w:rsid w:val="00435D82"/>
    <w:rsid w:val="00435FC4"/>
    <w:rsid w:val="00435FF5"/>
    <w:rsid w:val="0043610D"/>
    <w:rsid w:val="0043614A"/>
    <w:rsid w:val="0043649E"/>
    <w:rsid w:val="0043667C"/>
    <w:rsid w:val="004366CD"/>
    <w:rsid w:val="0043670D"/>
    <w:rsid w:val="00436A8F"/>
    <w:rsid w:val="00436ACB"/>
    <w:rsid w:val="00436E79"/>
    <w:rsid w:val="0043706E"/>
    <w:rsid w:val="004370DA"/>
    <w:rsid w:val="004371CE"/>
    <w:rsid w:val="004371EB"/>
    <w:rsid w:val="00437217"/>
    <w:rsid w:val="00437376"/>
    <w:rsid w:val="004373CA"/>
    <w:rsid w:val="00437603"/>
    <w:rsid w:val="004377AC"/>
    <w:rsid w:val="004377B2"/>
    <w:rsid w:val="004377C5"/>
    <w:rsid w:val="004377E4"/>
    <w:rsid w:val="0043795E"/>
    <w:rsid w:val="00437AD4"/>
    <w:rsid w:val="00437CB3"/>
    <w:rsid w:val="00437CFD"/>
    <w:rsid w:val="00437EB2"/>
    <w:rsid w:val="00437EF9"/>
    <w:rsid w:val="00437F84"/>
    <w:rsid w:val="00437FFC"/>
    <w:rsid w:val="004400CE"/>
    <w:rsid w:val="004401A0"/>
    <w:rsid w:val="00440421"/>
    <w:rsid w:val="00440695"/>
    <w:rsid w:val="00440812"/>
    <w:rsid w:val="004408C7"/>
    <w:rsid w:val="00440AA2"/>
    <w:rsid w:val="00440AAA"/>
    <w:rsid w:val="00440ACA"/>
    <w:rsid w:val="00440B26"/>
    <w:rsid w:val="00440B45"/>
    <w:rsid w:val="00440B6B"/>
    <w:rsid w:val="00440E2F"/>
    <w:rsid w:val="00440EA1"/>
    <w:rsid w:val="00440F3A"/>
    <w:rsid w:val="0044103D"/>
    <w:rsid w:val="0044119F"/>
    <w:rsid w:val="00441240"/>
    <w:rsid w:val="0044126A"/>
    <w:rsid w:val="00441462"/>
    <w:rsid w:val="00441481"/>
    <w:rsid w:val="00441636"/>
    <w:rsid w:val="0044165C"/>
    <w:rsid w:val="004416D5"/>
    <w:rsid w:val="0044175C"/>
    <w:rsid w:val="004419E9"/>
    <w:rsid w:val="00441B9D"/>
    <w:rsid w:val="00441D33"/>
    <w:rsid w:val="00441E4C"/>
    <w:rsid w:val="0044205B"/>
    <w:rsid w:val="00442060"/>
    <w:rsid w:val="0044257E"/>
    <w:rsid w:val="004428DB"/>
    <w:rsid w:val="00442A42"/>
    <w:rsid w:val="00442A7F"/>
    <w:rsid w:val="00442BBA"/>
    <w:rsid w:val="00442BBB"/>
    <w:rsid w:val="00442CDA"/>
    <w:rsid w:val="00442D34"/>
    <w:rsid w:val="00442E57"/>
    <w:rsid w:val="00442EEE"/>
    <w:rsid w:val="00442F4C"/>
    <w:rsid w:val="004430B9"/>
    <w:rsid w:val="004431CE"/>
    <w:rsid w:val="004432F6"/>
    <w:rsid w:val="004434CB"/>
    <w:rsid w:val="004434DA"/>
    <w:rsid w:val="0044379B"/>
    <w:rsid w:val="004437E5"/>
    <w:rsid w:val="00443921"/>
    <w:rsid w:val="00443BFB"/>
    <w:rsid w:val="00443E86"/>
    <w:rsid w:val="00443F0F"/>
    <w:rsid w:val="00444217"/>
    <w:rsid w:val="0044447D"/>
    <w:rsid w:val="004444FF"/>
    <w:rsid w:val="0044453B"/>
    <w:rsid w:val="0044457F"/>
    <w:rsid w:val="004445C8"/>
    <w:rsid w:val="004445E0"/>
    <w:rsid w:val="00444805"/>
    <w:rsid w:val="00444894"/>
    <w:rsid w:val="004448B7"/>
    <w:rsid w:val="004449F9"/>
    <w:rsid w:val="00444BA3"/>
    <w:rsid w:val="00444C05"/>
    <w:rsid w:val="00444C89"/>
    <w:rsid w:val="00444E21"/>
    <w:rsid w:val="00445067"/>
    <w:rsid w:val="00445079"/>
    <w:rsid w:val="004450C1"/>
    <w:rsid w:val="004450EC"/>
    <w:rsid w:val="0044512E"/>
    <w:rsid w:val="00445245"/>
    <w:rsid w:val="0044534F"/>
    <w:rsid w:val="0044548D"/>
    <w:rsid w:val="004456F5"/>
    <w:rsid w:val="004457D4"/>
    <w:rsid w:val="004457DF"/>
    <w:rsid w:val="00445846"/>
    <w:rsid w:val="00445A45"/>
    <w:rsid w:val="00445B1F"/>
    <w:rsid w:val="00445CF7"/>
    <w:rsid w:val="00445DA5"/>
    <w:rsid w:val="0044600B"/>
    <w:rsid w:val="00446079"/>
    <w:rsid w:val="00446409"/>
    <w:rsid w:val="004465CA"/>
    <w:rsid w:val="004466A6"/>
    <w:rsid w:val="00446B31"/>
    <w:rsid w:val="00446CFA"/>
    <w:rsid w:val="00446D50"/>
    <w:rsid w:val="00446DFC"/>
    <w:rsid w:val="00446E1F"/>
    <w:rsid w:val="00446E8A"/>
    <w:rsid w:val="00446EFA"/>
    <w:rsid w:val="00446FEE"/>
    <w:rsid w:val="004473B6"/>
    <w:rsid w:val="004474F6"/>
    <w:rsid w:val="00447703"/>
    <w:rsid w:val="00447901"/>
    <w:rsid w:val="004479B6"/>
    <w:rsid w:val="00447B1B"/>
    <w:rsid w:val="00447C5A"/>
    <w:rsid w:val="00447E2C"/>
    <w:rsid w:val="00447E45"/>
    <w:rsid w:val="00447F65"/>
    <w:rsid w:val="00450114"/>
    <w:rsid w:val="00450360"/>
    <w:rsid w:val="004503BC"/>
    <w:rsid w:val="00450660"/>
    <w:rsid w:val="00450B1F"/>
    <w:rsid w:val="00450F2C"/>
    <w:rsid w:val="004511EE"/>
    <w:rsid w:val="004512E6"/>
    <w:rsid w:val="00451364"/>
    <w:rsid w:val="004514A3"/>
    <w:rsid w:val="0045168D"/>
    <w:rsid w:val="004516B2"/>
    <w:rsid w:val="0045171D"/>
    <w:rsid w:val="004517D6"/>
    <w:rsid w:val="00451899"/>
    <w:rsid w:val="004519E0"/>
    <w:rsid w:val="00451AF5"/>
    <w:rsid w:val="00451B56"/>
    <w:rsid w:val="00451BE7"/>
    <w:rsid w:val="00451BE8"/>
    <w:rsid w:val="00451BEE"/>
    <w:rsid w:val="00451CB8"/>
    <w:rsid w:val="00451EBB"/>
    <w:rsid w:val="00451FED"/>
    <w:rsid w:val="0045235C"/>
    <w:rsid w:val="004527D5"/>
    <w:rsid w:val="00452920"/>
    <w:rsid w:val="00452B0F"/>
    <w:rsid w:val="00452B37"/>
    <w:rsid w:val="00452B79"/>
    <w:rsid w:val="00452BFC"/>
    <w:rsid w:val="00452C48"/>
    <w:rsid w:val="00452F5F"/>
    <w:rsid w:val="00452FAD"/>
    <w:rsid w:val="0045312A"/>
    <w:rsid w:val="00453241"/>
    <w:rsid w:val="0045326A"/>
    <w:rsid w:val="004532F6"/>
    <w:rsid w:val="00453325"/>
    <w:rsid w:val="004533CE"/>
    <w:rsid w:val="00453458"/>
    <w:rsid w:val="0045369D"/>
    <w:rsid w:val="00453791"/>
    <w:rsid w:val="00453826"/>
    <w:rsid w:val="00453911"/>
    <w:rsid w:val="004539D1"/>
    <w:rsid w:val="00453A14"/>
    <w:rsid w:val="00453A80"/>
    <w:rsid w:val="00453BEC"/>
    <w:rsid w:val="00453CDB"/>
    <w:rsid w:val="00453D64"/>
    <w:rsid w:val="00453E1B"/>
    <w:rsid w:val="00453FB1"/>
    <w:rsid w:val="0045422B"/>
    <w:rsid w:val="00454309"/>
    <w:rsid w:val="0045433B"/>
    <w:rsid w:val="004544A4"/>
    <w:rsid w:val="0045487D"/>
    <w:rsid w:val="004548CD"/>
    <w:rsid w:val="00454B35"/>
    <w:rsid w:val="00454B6D"/>
    <w:rsid w:val="00454BD6"/>
    <w:rsid w:val="00454C05"/>
    <w:rsid w:val="00454D8A"/>
    <w:rsid w:val="00454F9D"/>
    <w:rsid w:val="00454FAF"/>
    <w:rsid w:val="00454FC5"/>
    <w:rsid w:val="00455278"/>
    <w:rsid w:val="0045537B"/>
    <w:rsid w:val="00455395"/>
    <w:rsid w:val="004553CC"/>
    <w:rsid w:val="004554AA"/>
    <w:rsid w:val="004554C6"/>
    <w:rsid w:val="0045575E"/>
    <w:rsid w:val="0045586F"/>
    <w:rsid w:val="0045597C"/>
    <w:rsid w:val="004559E4"/>
    <w:rsid w:val="00455B9A"/>
    <w:rsid w:val="00455D23"/>
    <w:rsid w:val="00455D38"/>
    <w:rsid w:val="00455E58"/>
    <w:rsid w:val="00455E7D"/>
    <w:rsid w:val="00455ED5"/>
    <w:rsid w:val="00455FD3"/>
    <w:rsid w:val="0045627A"/>
    <w:rsid w:val="00456350"/>
    <w:rsid w:val="0045644C"/>
    <w:rsid w:val="0045688F"/>
    <w:rsid w:val="004569F6"/>
    <w:rsid w:val="00456B02"/>
    <w:rsid w:val="00456C01"/>
    <w:rsid w:val="00456CB9"/>
    <w:rsid w:val="00456F4A"/>
    <w:rsid w:val="00456FDD"/>
    <w:rsid w:val="00457024"/>
    <w:rsid w:val="00457100"/>
    <w:rsid w:val="0045715D"/>
    <w:rsid w:val="0045716A"/>
    <w:rsid w:val="004571B6"/>
    <w:rsid w:val="0045742D"/>
    <w:rsid w:val="00457445"/>
    <w:rsid w:val="0045747E"/>
    <w:rsid w:val="0045764D"/>
    <w:rsid w:val="00457A91"/>
    <w:rsid w:val="00457BD5"/>
    <w:rsid w:val="00457F37"/>
    <w:rsid w:val="00457FC6"/>
    <w:rsid w:val="00460041"/>
    <w:rsid w:val="004601ED"/>
    <w:rsid w:val="0046025A"/>
    <w:rsid w:val="004602B8"/>
    <w:rsid w:val="00460364"/>
    <w:rsid w:val="00460428"/>
    <w:rsid w:val="0046049D"/>
    <w:rsid w:val="00460502"/>
    <w:rsid w:val="0046076C"/>
    <w:rsid w:val="0046081B"/>
    <w:rsid w:val="0046094A"/>
    <w:rsid w:val="004609DA"/>
    <w:rsid w:val="00460A44"/>
    <w:rsid w:val="00460A78"/>
    <w:rsid w:val="00460A86"/>
    <w:rsid w:val="00460D3A"/>
    <w:rsid w:val="00460F98"/>
    <w:rsid w:val="00461410"/>
    <w:rsid w:val="0046148C"/>
    <w:rsid w:val="0046163E"/>
    <w:rsid w:val="004616BE"/>
    <w:rsid w:val="004618A8"/>
    <w:rsid w:val="004618D7"/>
    <w:rsid w:val="00461A54"/>
    <w:rsid w:val="00461B2B"/>
    <w:rsid w:val="00461D54"/>
    <w:rsid w:val="00461E63"/>
    <w:rsid w:val="0046221F"/>
    <w:rsid w:val="004622A2"/>
    <w:rsid w:val="004624D2"/>
    <w:rsid w:val="004624FD"/>
    <w:rsid w:val="00462552"/>
    <w:rsid w:val="0046267F"/>
    <w:rsid w:val="0046271F"/>
    <w:rsid w:val="0046273F"/>
    <w:rsid w:val="004627DC"/>
    <w:rsid w:val="00462886"/>
    <w:rsid w:val="00462901"/>
    <w:rsid w:val="00462AA4"/>
    <w:rsid w:val="00462B53"/>
    <w:rsid w:val="00462B82"/>
    <w:rsid w:val="00462CA0"/>
    <w:rsid w:val="00462DE6"/>
    <w:rsid w:val="00462E9A"/>
    <w:rsid w:val="00463049"/>
    <w:rsid w:val="00463168"/>
    <w:rsid w:val="0046345F"/>
    <w:rsid w:val="0046379F"/>
    <w:rsid w:val="004637C5"/>
    <w:rsid w:val="0046391C"/>
    <w:rsid w:val="00463A49"/>
    <w:rsid w:val="00463A63"/>
    <w:rsid w:val="00463A96"/>
    <w:rsid w:val="00463CE4"/>
    <w:rsid w:val="00463D81"/>
    <w:rsid w:val="00463F6F"/>
    <w:rsid w:val="004640CA"/>
    <w:rsid w:val="00464159"/>
    <w:rsid w:val="00464303"/>
    <w:rsid w:val="00464538"/>
    <w:rsid w:val="004645EF"/>
    <w:rsid w:val="0046467D"/>
    <w:rsid w:val="00464772"/>
    <w:rsid w:val="00464863"/>
    <w:rsid w:val="0046488B"/>
    <w:rsid w:val="004649E6"/>
    <w:rsid w:val="00464B93"/>
    <w:rsid w:val="00464C10"/>
    <w:rsid w:val="00464E39"/>
    <w:rsid w:val="004650F7"/>
    <w:rsid w:val="00465135"/>
    <w:rsid w:val="004651D3"/>
    <w:rsid w:val="004652FA"/>
    <w:rsid w:val="00465473"/>
    <w:rsid w:val="004656F2"/>
    <w:rsid w:val="0046570C"/>
    <w:rsid w:val="004657F3"/>
    <w:rsid w:val="0046587A"/>
    <w:rsid w:val="00465927"/>
    <w:rsid w:val="00465984"/>
    <w:rsid w:val="004659BE"/>
    <w:rsid w:val="004659CE"/>
    <w:rsid w:val="00465A23"/>
    <w:rsid w:val="00465B22"/>
    <w:rsid w:val="00465D0F"/>
    <w:rsid w:val="00465E6B"/>
    <w:rsid w:val="00465ED4"/>
    <w:rsid w:val="00465FB3"/>
    <w:rsid w:val="0046602E"/>
    <w:rsid w:val="004661F5"/>
    <w:rsid w:val="0046625C"/>
    <w:rsid w:val="00466361"/>
    <w:rsid w:val="00466440"/>
    <w:rsid w:val="0046645C"/>
    <w:rsid w:val="0046670C"/>
    <w:rsid w:val="00466BBA"/>
    <w:rsid w:val="00466BE8"/>
    <w:rsid w:val="00466C1D"/>
    <w:rsid w:val="00466CEA"/>
    <w:rsid w:val="00466D43"/>
    <w:rsid w:val="00466DFD"/>
    <w:rsid w:val="00466E6B"/>
    <w:rsid w:val="00466E7D"/>
    <w:rsid w:val="00466EB9"/>
    <w:rsid w:val="0046717D"/>
    <w:rsid w:val="004672CA"/>
    <w:rsid w:val="004672DC"/>
    <w:rsid w:val="00467320"/>
    <w:rsid w:val="0046742F"/>
    <w:rsid w:val="00467726"/>
    <w:rsid w:val="0046772E"/>
    <w:rsid w:val="00467839"/>
    <w:rsid w:val="004678DF"/>
    <w:rsid w:val="00467982"/>
    <w:rsid w:val="004679BA"/>
    <w:rsid w:val="00467DD2"/>
    <w:rsid w:val="00467E6E"/>
    <w:rsid w:val="00467ECA"/>
    <w:rsid w:val="00467FA7"/>
    <w:rsid w:val="00470091"/>
    <w:rsid w:val="0047015C"/>
    <w:rsid w:val="004701E1"/>
    <w:rsid w:val="0047059D"/>
    <w:rsid w:val="004705A8"/>
    <w:rsid w:val="004707DF"/>
    <w:rsid w:val="0047084D"/>
    <w:rsid w:val="00470DFF"/>
    <w:rsid w:val="00470E08"/>
    <w:rsid w:val="00470F15"/>
    <w:rsid w:val="00470F67"/>
    <w:rsid w:val="004710DC"/>
    <w:rsid w:val="00471365"/>
    <w:rsid w:val="004714C3"/>
    <w:rsid w:val="004717C2"/>
    <w:rsid w:val="004717ED"/>
    <w:rsid w:val="00471873"/>
    <w:rsid w:val="004718FC"/>
    <w:rsid w:val="004719BD"/>
    <w:rsid w:val="00471ABD"/>
    <w:rsid w:val="00471C06"/>
    <w:rsid w:val="00471C51"/>
    <w:rsid w:val="00471D2C"/>
    <w:rsid w:val="00471EFF"/>
    <w:rsid w:val="0047208C"/>
    <w:rsid w:val="004720A3"/>
    <w:rsid w:val="004720C5"/>
    <w:rsid w:val="00472181"/>
    <w:rsid w:val="004721C8"/>
    <w:rsid w:val="004721FB"/>
    <w:rsid w:val="00472376"/>
    <w:rsid w:val="00472622"/>
    <w:rsid w:val="00472879"/>
    <w:rsid w:val="00472912"/>
    <w:rsid w:val="00472997"/>
    <w:rsid w:val="00472A17"/>
    <w:rsid w:val="00472B43"/>
    <w:rsid w:val="00472ED8"/>
    <w:rsid w:val="00472F59"/>
    <w:rsid w:val="00472F72"/>
    <w:rsid w:val="00473098"/>
    <w:rsid w:val="004730CB"/>
    <w:rsid w:val="00473120"/>
    <w:rsid w:val="0047319C"/>
    <w:rsid w:val="0047321C"/>
    <w:rsid w:val="00473278"/>
    <w:rsid w:val="0047339E"/>
    <w:rsid w:val="00473440"/>
    <w:rsid w:val="004734FE"/>
    <w:rsid w:val="004736E6"/>
    <w:rsid w:val="0047379E"/>
    <w:rsid w:val="004738EA"/>
    <w:rsid w:val="00473AA5"/>
    <w:rsid w:val="00473BE4"/>
    <w:rsid w:val="00473F2A"/>
    <w:rsid w:val="00474037"/>
    <w:rsid w:val="00474096"/>
    <w:rsid w:val="0047412D"/>
    <w:rsid w:val="0047417C"/>
    <w:rsid w:val="00474191"/>
    <w:rsid w:val="00474307"/>
    <w:rsid w:val="00474309"/>
    <w:rsid w:val="00474316"/>
    <w:rsid w:val="004743D8"/>
    <w:rsid w:val="004744DF"/>
    <w:rsid w:val="00474595"/>
    <w:rsid w:val="0047459C"/>
    <w:rsid w:val="00474762"/>
    <w:rsid w:val="00474800"/>
    <w:rsid w:val="00474949"/>
    <w:rsid w:val="00474972"/>
    <w:rsid w:val="00474A17"/>
    <w:rsid w:val="00474AFE"/>
    <w:rsid w:val="00474B9A"/>
    <w:rsid w:val="00474CF0"/>
    <w:rsid w:val="00474F87"/>
    <w:rsid w:val="004750F6"/>
    <w:rsid w:val="00475275"/>
    <w:rsid w:val="004752DE"/>
    <w:rsid w:val="00475338"/>
    <w:rsid w:val="00475513"/>
    <w:rsid w:val="00475569"/>
    <w:rsid w:val="004756F1"/>
    <w:rsid w:val="004757B0"/>
    <w:rsid w:val="00475B0B"/>
    <w:rsid w:val="00475B10"/>
    <w:rsid w:val="00475B1A"/>
    <w:rsid w:val="00475B28"/>
    <w:rsid w:val="00475C4B"/>
    <w:rsid w:val="00475C4E"/>
    <w:rsid w:val="00475DC9"/>
    <w:rsid w:val="0047606A"/>
    <w:rsid w:val="004761CD"/>
    <w:rsid w:val="0047652E"/>
    <w:rsid w:val="00476547"/>
    <w:rsid w:val="0047673D"/>
    <w:rsid w:val="00476911"/>
    <w:rsid w:val="00476A30"/>
    <w:rsid w:val="00476A6B"/>
    <w:rsid w:val="00476A86"/>
    <w:rsid w:val="00476ADD"/>
    <w:rsid w:val="00476C3D"/>
    <w:rsid w:val="00476C55"/>
    <w:rsid w:val="00476D2F"/>
    <w:rsid w:val="00476EC5"/>
    <w:rsid w:val="0047724E"/>
    <w:rsid w:val="0047742F"/>
    <w:rsid w:val="00477616"/>
    <w:rsid w:val="004776DA"/>
    <w:rsid w:val="0047770E"/>
    <w:rsid w:val="004777DD"/>
    <w:rsid w:val="00477903"/>
    <w:rsid w:val="00477CDE"/>
    <w:rsid w:val="00477D9D"/>
    <w:rsid w:val="00477E04"/>
    <w:rsid w:val="00477F17"/>
    <w:rsid w:val="00477F5E"/>
    <w:rsid w:val="00477FE8"/>
    <w:rsid w:val="00477FFC"/>
    <w:rsid w:val="0048016D"/>
    <w:rsid w:val="0048027A"/>
    <w:rsid w:val="00480299"/>
    <w:rsid w:val="004804F4"/>
    <w:rsid w:val="00480723"/>
    <w:rsid w:val="00480725"/>
    <w:rsid w:val="0048099D"/>
    <w:rsid w:val="00480A25"/>
    <w:rsid w:val="00480A27"/>
    <w:rsid w:val="00480ABD"/>
    <w:rsid w:val="00480CBC"/>
    <w:rsid w:val="00480E7D"/>
    <w:rsid w:val="00480ECF"/>
    <w:rsid w:val="00480FDC"/>
    <w:rsid w:val="00481068"/>
    <w:rsid w:val="00481299"/>
    <w:rsid w:val="00481403"/>
    <w:rsid w:val="00481430"/>
    <w:rsid w:val="0048156A"/>
    <w:rsid w:val="00481753"/>
    <w:rsid w:val="004817E9"/>
    <w:rsid w:val="004818AB"/>
    <w:rsid w:val="004819E5"/>
    <w:rsid w:val="00481A03"/>
    <w:rsid w:val="00481C87"/>
    <w:rsid w:val="00481E5A"/>
    <w:rsid w:val="00481E6B"/>
    <w:rsid w:val="00481F75"/>
    <w:rsid w:val="004821A5"/>
    <w:rsid w:val="004821F0"/>
    <w:rsid w:val="0048227C"/>
    <w:rsid w:val="004827A7"/>
    <w:rsid w:val="00482945"/>
    <w:rsid w:val="004829E0"/>
    <w:rsid w:val="00482C23"/>
    <w:rsid w:val="00482C8A"/>
    <w:rsid w:val="00482CB5"/>
    <w:rsid w:val="00482DFC"/>
    <w:rsid w:val="00482F96"/>
    <w:rsid w:val="00482FFA"/>
    <w:rsid w:val="0048316F"/>
    <w:rsid w:val="0048326A"/>
    <w:rsid w:val="0048332F"/>
    <w:rsid w:val="00483907"/>
    <w:rsid w:val="004839A1"/>
    <w:rsid w:val="00483A4D"/>
    <w:rsid w:val="00483A80"/>
    <w:rsid w:val="00483BB2"/>
    <w:rsid w:val="00483C07"/>
    <w:rsid w:val="00483E29"/>
    <w:rsid w:val="00483E94"/>
    <w:rsid w:val="0048418C"/>
    <w:rsid w:val="0048421D"/>
    <w:rsid w:val="00484314"/>
    <w:rsid w:val="00484408"/>
    <w:rsid w:val="004844A7"/>
    <w:rsid w:val="0048460C"/>
    <w:rsid w:val="004847A3"/>
    <w:rsid w:val="004848A8"/>
    <w:rsid w:val="004848C9"/>
    <w:rsid w:val="00484981"/>
    <w:rsid w:val="0048499C"/>
    <w:rsid w:val="004849D5"/>
    <w:rsid w:val="00484A25"/>
    <w:rsid w:val="00484EC5"/>
    <w:rsid w:val="00485204"/>
    <w:rsid w:val="00485273"/>
    <w:rsid w:val="004852F2"/>
    <w:rsid w:val="004854F1"/>
    <w:rsid w:val="00485507"/>
    <w:rsid w:val="0048561B"/>
    <w:rsid w:val="0048563A"/>
    <w:rsid w:val="0048566C"/>
    <w:rsid w:val="0048567C"/>
    <w:rsid w:val="0048572F"/>
    <w:rsid w:val="004859DB"/>
    <w:rsid w:val="00485BB4"/>
    <w:rsid w:val="00485BE2"/>
    <w:rsid w:val="00485C4B"/>
    <w:rsid w:val="00485E89"/>
    <w:rsid w:val="00485F33"/>
    <w:rsid w:val="004861CF"/>
    <w:rsid w:val="00486260"/>
    <w:rsid w:val="00486383"/>
    <w:rsid w:val="004866BF"/>
    <w:rsid w:val="004866D9"/>
    <w:rsid w:val="00486725"/>
    <w:rsid w:val="00486752"/>
    <w:rsid w:val="00486AD3"/>
    <w:rsid w:val="00486E32"/>
    <w:rsid w:val="00486E42"/>
    <w:rsid w:val="00486F10"/>
    <w:rsid w:val="00486F11"/>
    <w:rsid w:val="00487116"/>
    <w:rsid w:val="00487171"/>
    <w:rsid w:val="00487517"/>
    <w:rsid w:val="0048758C"/>
    <w:rsid w:val="0048769C"/>
    <w:rsid w:val="004876F4"/>
    <w:rsid w:val="004877E4"/>
    <w:rsid w:val="00487F51"/>
    <w:rsid w:val="00487FD3"/>
    <w:rsid w:val="00490067"/>
    <w:rsid w:val="0049006A"/>
    <w:rsid w:val="00490105"/>
    <w:rsid w:val="004903CF"/>
    <w:rsid w:val="004903F1"/>
    <w:rsid w:val="00490497"/>
    <w:rsid w:val="004904B4"/>
    <w:rsid w:val="004904E5"/>
    <w:rsid w:val="0049058B"/>
    <w:rsid w:val="004906E1"/>
    <w:rsid w:val="004907B1"/>
    <w:rsid w:val="00490875"/>
    <w:rsid w:val="004908B2"/>
    <w:rsid w:val="004908E9"/>
    <w:rsid w:val="00490ABA"/>
    <w:rsid w:val="00490C76"/>
    <w:rsid w:val="00490EB0"/>
    <w:rsid w:val="004912A9"/>
    <w:rsid w:val="0049145E"/>
    <w:rsid w:val="004914EA"/>
    <w:rsid w:val="004915B9"/>
    <w:rsid w:val="00491776"/>
    <w:rsid w:val="004918D0"/>
    <w:rsid w:val="00491990"/>
    <w:rsid w:val="00491ACA"/>
    <w:rsid w:val="00491C0C"/>
    <w:rsid w:val="00491F03"/>
    <w:rsid w:val="00491F06"/>
    <w:rsid w:val="00492074"/>
    <w:rsid w:val="004920CE"/>
    <w:rsid w:val="00492269"/>
    <w:rsid w:val="0049234D"/>
    <w:rsid w:val="004923B6"/>
    <w:rsid w:val="00492786"/>
    <w:rsid w:val="004927F4"/>
    <w:rsid w:val="004929D6"/>
    <w:rsid w:val="004929D7"/>
    <w:rsid w:val="00492A51"/>
    <w:rsid w:val="00492B29"/>
    <w:rsid w:val="00492D8B"/>
    <w:rsid w:val="00492E5F"/>
    <w:rsid w:val="00492FE4"/>
    <w:rsid w:val="00493063"/>
    <w:rsid w:val="004930BA"/>
    <w:rsid w:val="00493365"/>
    <w:rsid w:val="00493395"/>
    <w:rsid w:val="0049342C"/>
    <w:rsid w:val="00493480"/>
    <w:rsid w:val="00493950"/>
    <w:rsid w:val="00493D57"/>
    <w:rsid w:val="00493DC7"/>
    <w:rsid w:val="0049403C"/>
    <w:rsid w:val="00494320"/>
    <w:rsid w:val="00494498"/>
    <w:rsid w:val="00494533"/>
    <w:rsid w:val="00494561"/>
    <w:rsid w:val="004945E0"/>
    <w:rsid w:val="00494635"/>
    <w:rsid w:val="004947B3"/>
    <w:rsid w:val="004948C0"/>
    <w:rsid w:val="004949E0"/>
    <w:rsid w:val="00494AA3"/>
    <w:rsid w:val="00494B1A"/>
    <w:rsid w:val="00494D69"/>
    <w:rsid w:val="00494E1D"/>
    <w:rsid w:val="00494F2C"/>
    <w:rsid w:val="00495021"/>
    <w:rsid w:val="004952CA"/>
    <w:rsid w:val="0049535B"/>
    <w:rsid w:val="0049539F"/>
    <w:rsid w:val="004955E6"/>
    <w:rsid w:val="004955F1"/>
    <w:rsid w:val="00495773"/>
    <w:rsid w:val="004959DA"/>
    <w:rsid w:val="00495AB1"/>
    <w:rsid w:val="00495B8A"/>
    <w:rsid w:val="00495FBE"/>
    <w:rsid w:val="00495FF7"/>
    <w:rsid w:val="00496048"/>
    <w:rsid w:val="004960B1"/>
    <w:rsid w:val="004960FD"/>
    <w:rsid w:val="0049641D"/>
    <w:rsid w:val="00496552"/>
    <w:rsid w:val="00496821"/>
    <w:rsid w:val="004968B1"/>
    <w:rsid w:val="00496924"/>
    <w:rsid w:val="00496A1F"/>
    <w:rsid w:val="00496A32"/>
    <w:rsid w:val="00496E99"/>
    <w:rsid w:val="00496F33"/>
    <w:rsid w:val="00497007"/>
    <w:rsid w:val="0049706A"/>
    <w:rsid w:val="0049723A"/>
    <w:rsid w:val="00497250"/>
    <w:rsid w:val="0049728B"/>
    <w:rsid w:val="004972A1"/>
    <w:rsid w:val="0049730A"/>
    <w:rsid w:val="0049733D"/>
    <w:rsid w:val="00497359"/>
    <w:rsid w:val="0049746A"/>
    <w:rsid w:val="0049746C"/>
    <w:rsid w:val="00497513"/>
    <w:rsid w:val="004975BA"/>
    <w:rsid w:val="00497833"/>
    <w:rsid w:val="0049785E"/>
    <w:rsid w:val="00497910"/>
    <w:rsid w:val="00497BAE"/>
    <w:rsid w:val="00497CB0"/>
    <w:rsid w:val="00497CBF"/>
    <w:rsid w:val="00497D52"/>
    <w:rsid w:val="00497EC0"/>
    <w:rsid w:val="004A0105"/>
    <w:rsid w:val="004A0240"/>
    <w:rsid w:val="004A0373"/>
    <w:rsid w:val="004A03F3"/>
    <w:rsid w:val="004A04AE"/>
    <w:rsid w:val="004A0513"/>
    <w:rsid w:val="004A05C7"/>
    <w:rsid w:val="004A061D"/>
    <w:rsid w:val="004A06ED"/>
    <w:rsid w:val="004A08D0"/>
    <w:rsid w:val="004A0941"/>
    <w:rsid w:val="004A096B"/>
    <w:rsid w:val="004A0AFF"/>
    <w:rsid w:val="004A0CF4"/>
    <w:rsid w:val="004A0D9D"/>
    <w:rsid w:val="004A0FB0"/>
    <w:rsid w:val="004A1027"/>
    <w:rsid w:val="004A10ED"/>
    <w:rsid w:val="004A11BD"/>
    <w:rsid w:val="004A13B2"/>
    <w:rsid w:val="004A1507"/>
    <w:rsid w:val="004A152A"/>
    <w:rsid w:val="004A15A7"/>
    <w:rsid w:val="004A16AD"/>
    <w:rsid w:val="004A17DF"/>
    <w:rsid w:val="004A1965"/>
    <w:rsid w:val="004A1AA9"/>
    <w:rsid w:val="004A1B2E"/>
    <w:rsid w:val="004A1BD2"/>
    <w:rsid w:val="004A1C19"/>
    <w:rsid w:val="004A1C33"/>
    <w:rsid w:val="004A1CAB"/>
    <w:rsid w:val="004A1FA5"/>
    <w:rsid w:val="004A2045"/>
    <w:rsid w:val="004A2057"/>
    <w:rsid w:val="004A2084"/>
    <w:rsid w:val="004A2087"/>
    <w:rsid w:val="004A21AB"/>
    <w:rsid w:val="004A230A"/>
    <w:rsid w:val="004A2367"/>
    <w:rsid w:val="004A264C"/>
    <w:rsid w:val="004A26A6"/>
    <w:rsid w:val="004A26EF"/>
    <w:rsid w:val="004A270A"/>
    <w:rsid w:val="004A2759"/>
    <w:rsid w:val="004A297F"/>
    <w:rsid w:val="004A29DF"/>
    <w:rsid w:val="004A2A26"/>
    <w:rsid w:val="004A2A47"/>
    <w:rsid w:val="004A2B86"/>
    <w:rsid w:val="004A2CED"/>
    <w:rsid w:val="004A2E50"/>
    <w:rsid w:val="004A2E9C"/>
    <w:rsid w:val="004A2F10"/>
    <w:rsid w:val="004A3068"/>
    <w:rsid w:val="004A3142"/>
    <w:rsid w:val="004A3235"/>
    <w:rsid w:val="004A3341"/>
    <w:rsid w:val="004A3475"/>
    <w:rsid w:val="004A3539"/>
    <w:rsid w:val="004A3557"/>
    <w:rsid w:val="004A3571"/>
    <w:rsid w:val="004A35A8"/>
    <w:rsid w:val="004A3608"/>
    <w:rsid w:val="004A36A0"/>
    <w:rsid w:val="004A3865"/>
    <w:rsid w:val="004A39B5"/>
    <w:rsid w:val="004A3BC8"/>
    <w:rsid w:val="004A3C49"/>
    <w:rsid w:val="004A3CDB"/>
    <w:rsid w:val="004A3EB1"/>
    <w:rsid w:val="004A4357"/>
    <w:rsid w:val="004A43AA"/>
    <w:rsid w:val="004A43B5"/>
    <w:rsid w:val="004A451D"/>
    <w:rsid w:val="004A46B1"/>
    <w:rsid w:val="004A48D3"/>
    <w:rsid w:val="004A4B64"/>
    <w:rsid w:val="004A4DB2"/>
    <w:rsid w:val="004A4DB4"/>
    <w:rsid w:val="004A4F45"/>
    <w:rsid w:val="004A50B6"/>
    <w:rsid w:val="004A5190"/>
    <w:rsid w:val="004A51C6"/>
    <w:rsid w:val="004A51D2"/>
    <w:rsid w:val="004A5233"/>
    <w:rsid w:val="004A535C"/>
    <w:rsid w:val="004A5538"/>
    <w:rsid w:val="004A5540"/>
    <w:rsid w:val="004A5594"/>
    <w:rsid w:val="004A55E8"/>
    <w:rsid w:val="004A5637"/>
    <w:rsid w:val="004A59F0"/>
    <w:rsid w:val="004A5A20"/>
    <w:rsid w:val="004A5A5D"/>
    <w:rsid w:val="004A5CB3"/>
    <w:rsid w:val="004A5CDD"/>
    <w:rsid w:val="004A5CE2"/>
    <w:rsid w:val="004A5FDD"/>
    <w:rsid w:val="004A62C7"/>
    <w:rsid w:val="004A63E9"/>
    <w:rsid w:val="004A64F0"/>
    <w:rsid w:val="004A65D5"/>
    <w:rsid w:val="004A6621"/>
    <w:rsid w:val="004A672D"/>
    <w:rsid w:val="004A6CE9"/>
    <w:rsid w:val="004A6D74"/>
    <w:rsid w:val="004A6E38"/>
    <w:rsid w:val="004A7038"/>
    <w:rsid w:val="004A71E2"/>
    <w:rsid w:val="004A72D0"/>
    <w:rsid w:val="004A72D4"/>
    <w:rsid w:val="004A72E6"/>
    <w:rsid w:val="004A737B"/>
    <w:rsid w:val="004A73C3"/>
    <w:rsid w:val="004A752E"/>
    <w:rsid w:val="004A7585"/>
    <w:rsid w:val="004A75EB"/>
    <w:rsid w:val="004A78C1"/>
    <w:rsid w:val="004A78EB"/>
    <w:rsid w:val="004A7975"/>
    <w:rsid w:val="004A7A5D"/>
    <w:rsid w:val="004A7BB7"/>
    <w:rsid w:val="004A7CF1"/>
    <w:rsid w:val="004A7DE3"/>
    <w:rsid w:val="004A7E07"/>
    <w:rsid w:val="004A7EF7"/>
    <w:rsid w:val="004A7FC8"/>
    <w:rsid w:val="004B01B1"/>
    <w:rsid w:val="004B023F"/>
    <w:rsid w:val="004B02AD"/>
    <w:rsid w:val="004B032A"/>
    <w:rsid w:val="004B0608"/>
    <w:rsid w:val="004B072E"/>
    <w:rsid w:val="004B0773"/>
    <w:rsid w:val="004B0837"/>
    <w:rsid w:val="004B08B0"/>
    <w:rsid w:val="004B0A6A"/>
    <w:rsid w:val="004B0AC6"/>
    <w:rsid w:val="004B0BFD"/>
    <w:rsid w:val="004B114B"/>
    <w:rsid w:val="004B1164"/>
    <w:rsid w:val="004B132A"/>
    <w:rsid w:val="004B136A"/>
    <w:rsid w:val="004B16FF"/>
    <w:rsid w:val="004B1894"/>
    <w:rsid w:val="004B193E"/>
    <w:rsid w:val="004B1AC7"/>
    <w:rsid w:val="004B1ACC"/>
    <w:rsid w:val="004B1AF7"/>
    <w:rsid w:val="004B1DAD"/>
    <w:rsid w:val="004B1E23"/>
    <w:rsid w:val="004B1F2F"/>
    <w:rsid w:val="004B2006"/>
    <w:rsid w:val="004B229B"/>
    <w:rsid w:val="004B2444"/>
    <w:rsid w:val="004B2589"/>
    <w:rsid w:val="004B258B"/>
    <w:rsid w:val="004B2623"/>
    <w:rsid w:val="004B2627"/>
    <w:rsid w:val="004B2684"/>
    <w:rsid w:val="004B286A"/>
    <w:rsid w:val="004B28F2"/>
    <w:rsid w:val="004B2948"/>
    <w:rsid w:val="004B2B61"/>
    <w:rsid w:val="004B2C9D"/>
    <w:rsid w:val="004B2D02"/>
    <w:rsid w:val="004B2D20"/>
    <w:rsid w:val="004B2D87"/>
    <w:rsid w:val="004B2DA8"/>
    <w:rsid w:val="004B2F0B"/>
    <w:rsid w:val="004B2FEC"/>
    <w:rsid w:val="004B3082"/>
    <w:rsid w:val="004B32A8"/>
    <w:rsid w:val="004B335F"/>
    <w:rsid w:val="004B3566"/>
    <w:rsid w:val="004B3632"/>
    <w:rsid w:val="004B369D"/>
    <w:rsid w:val="004B36B8"/>
    <w:rsid w:val="004B36BD"/>
    <w:rsid w:val="004B36F7"/>
    <w:rsid w:val="004B3716"/>
    <w:rsid w:val="004B378C"/>
    <w:rsid w:val="004B3960"/>
    <w:rsid w:val="004B3D90"/>
    <w:rsid w:val="004B3E61"/>
    <w:rsid w:val="004B3F03"/>
    <w:rsid w:val="004B3F53"/>
    <w:rsid w:val="004B4023"/>
    <w:rsid w:val="004B40C5"/>
    <w:rsid w:val="004B410B"/>
    <w:rsid w:val="004B428D"/>
    <w:rsid w:val="004B48E5"/>
    <w:rsid w:val="004B4A52"/>
    <w:rsid w:val="004B4A99"/>
    <w:rsid w:val="004B4BD1"/>
    <w:rsid w:val="004B4D09"/>
    <w:rsid w:val="004B4D4E"/>
    <w:rsid w:val="004B4F94"/>
    <w:rsid w:val="004B5170"/>
    <w:rsid w:val="004B52F1"/>
    <w:rsid w:val="004B5331"/>
    <w:rsid w:val="004B5400"/>
    <w:rsid w:val="004B5445"/>
    <w:rsid w:val="004B559A"/>
    <w:rsid w:val="004B56E4"/>
    <w:rsid w:val="004B57D2"/>
    <w:rsid w:val="004B595E"/>
    <w:rsid w:val="004B5ACF"/>
    <w:rsid w:val="004B5D83"/>
    <w:rsid w:val="004B5DA0"/>
    <w:rsid w:val="004B5DEA"/>
    <w:rsid w:val="004B5DF9"/>
    <w:rsid w:val="004B5E2E"/>
    <w:rsid w:val="004B5FB9"/>
    <w:rsid w:val="004B61DF"/>
    <w:rsid w:val="004B61EE"/>
    <w:rsid w:val="004B6461"/>
    <w:rsid w:val="004B6557"/>
    <w:rsid w:val="004B6586"/>
    <w:rsid w:val="004B669C"/>
    <w:rsid w:val="004B66AA"/>
    <w:rsid w:val="004B66D1"/>
    <w:rsid w:val="004B679E"/>
    <w:rsid w:val="004B67F0"/>
    <w:rsid w:val="004B6829"/>
    <w:rsid w:val="004B6894"/>
    <w:rsid w:val="004B69D4"/>
    <w:rsid w:val="004B69F3"/>
    <w:rsid w:val="004B6AD8"/>
    <w:rsid w:val="004B6C09"/>
    <w:rsid w:val="004B6C4F"/>
    <w:rsid w:val="004B6EA5"/>
    <w:rsid w:val="004B6FAB"/>
    <w:rsid w:val="004B722A"/>
    <w:rsid w:val="004B7278"/>
    <w:rsid w:val="004B7433"/>
    <w:rsid w:val="004B761C"/>
    <w:rsid w:val="004B77A8"/>
    <w:rsid w:val="004B78EC"/>
    <w:rsid w:val="004B7B94"/>
    <w:rsid w:val="004B7BFF"/>
    <w:rsid w:val="004B7C2D"/>
    <w:rsid w:val="004B7D08"/>
    <w:rsid w:val="004B7E0A"/>
    <w:rsid w:val="004B7F24"/>
    <w:rsid w:val="004B7F50"/>
    <w:rsid w:val="004C008C"/>
    <w:rsid w:val="004C00C9"/>
    <w:rsid w:val="004C00F2"/>
    <w:rsid w:val="004C02AB"/>
    <w:rsid w:val="004C03BC"/>
    <w:rsid w:val="004C03E2"/>
    <w:rsid w:val="004C03F7"/>
    <w:rsid w:val="004C05BA"/>
    <w:rsid w:val="004C0657"/>
    <w:rsid w:val="004C074C"/>
    <w:rsid w:val="004C091B"/>
    <w:rsid w:val="004C09F0"/>
    <w:rsid w:val="004C0A31"/>
    <w:rsid w:val="004C0B41"/>
    <w:rsid w:val="004C0B55"/>
    <w:rsid w:val="004C0BDF"/>
    <w:rsid w:val="004C11B6"/>
    <w:rsid w:val="004C14F6"/>
    <w:rsid w:val="004C162A"/>
    <w:rsid w:val="004C168E"/>
    <w:rsid w:val="004C18E3"/>
    <w:rsid w:val="004C19C8"/>
    <w:rsid w:val="004C1BC8"/>
    <w:rsid w:val="004C1D0A"/>
    <w:rsid w:val="004C1E7E"/>
    <w:rsid w:val="004C1F0A"/>
    <w:rsid w:val="004C2392"/>
    <w:rsid w:val="004C2430"/>
    <w:rsid w:val="004C2570"/>
    <w:rsid w:val="004C25D7"/>
    <w:rsid w:val="004C2616"/>
    <w:rsid w:val="004C266B"/>
    <w:rsid w:val="004C2B36"/>
    <w:rsid w:val="004C2B62"/>
    <w:rsid w:val="004C2B86"/>
    <w:rsid w:val="004C2BD0"/>
    <w:rsid w:val="004C2DD1"/>
    <w:rsid w:val="004C2DE8"/>
    <w:rsid w:val="004C2ED5"/>
    <w:rsid w:val="004C30A2"/>
    <w:rsid w:val="004C3291"/>
    <w:rsid w:val="004C32B3"/>
    <w:rsid w:val="004C33A1"/>
    <w:rsid w:val="004C33A8"/>
    <w:rsid w:val="004C3905"/>
    <w:rsid w:val="004C3A5F"/>
    <w:rsid w:val="004C3B26"/>
    <w:rsid w:val="004C3C99"/>
    <w:rsid w:val="004C3D5C"/>
    <w:rsid w:val="004C3E8C"/>
    <w:rsid w:val="004C3F27"/>
    <w:rsid w:val="004C3F40"/>
    <w:rsid w:val="004C3F78"/>
    <w:rsid w:val="004C40EF"/>
    <w:rsid w:val="004C414A"/>
    <w:rsid w:val="004C43C4"/>
    <w:rsid w:val="004C4432"/>
    <w:rsid w:val="004C4523"/>
    <w:rsid w:val="004C4556"/>
    <w:rsid w:val="004C4598"/>
    <w:rsid w:val="004C4699"/>
    <w:rsid w:val="004C471E"/>
    <w:rsid w:val="004C488A"/>
    <w:rsid w:val="004C48BD"/>
    <w:rsid w:val="004C4B12"/>
    <w:rsid w:val="004C4B32"/>
    <w:rsid w:val="004C4B5C"/>
    <w:rsid w:val="004C4EBB"/>
    <w:rsid w:val="004C4FF7"/>
    <w:rsid w:val="004C5226"/>
    <w:rsid w:val="004C5325"/>
    <w:rsid w:val="004C5382"/>
    <w:rsid w:val="004C53EE"/>
    <w:rsid w:val="004C54CF"/>
    <w:rsid w:val="004C55CB"/>
    <w:rsid w:val="004C57D2"/>
    <w:rsid w:val="004C5ACC"/>
    <w:rsid w:val="004C5B4B"/>
    <w:rsid w:val="004C5C88"/>
    <w:rsid w:val="004C5D51"/>
    <w:rsid w:val="004C5D54"/>
    <w:rsid w:val="004C601C"/>
    <w:rsid w:val="004C6114"/>
    <w:rsid w:val="004C6216"/>
    <w:rsid w:val="004C626E"/>
    <w:rsid w:val="004C62B3"/>
    <w:rsid w:val="004C6330"/>
    <w:rsid w:val="004C63AB"/>
    <w:rsid w:val="004C64D8"/>
    <w:rsid w:val="004C6530"/>
    <w:rsid w:val="004C6617"/>
    <w:rsid w:val="004C6774"/>
    <w:rsid w:val="004C680E"/>
    <w:rsid w:val="004C6B4B"/>
    <w:rsid w:val="004C6C15"/>
    <w:rsid w:val="004C6D71"/>
    <w:rsid w:val="004C6EEE"/>
    <w:rsid w:val="004C6F37"/>
    <w:rsid w:val="004C70F2"/>
    <w:rsid w:val="004C716F"/>
    <w:rsid w:val="004C728E"/>
    <w:rsid w:val="004C749A"/>
    <w:rsid w:val="004C77B4"/>
    <w:rsid w:val="004C7872"/>
    <w:rsid w:val="004C78AA"/>
    <w:rsid w:val="004C7967"/>
    <w:rsid w:val="004C7A87"/>
    <w:rsid w:val="004C7B74"/>
    <w:rsid w:val="004C7BC2"/>
    <w:rsid w:val="004C7CAD"/>
    <w:rsid w:val="004C7EBE"/>
    <w:rsid w:val="004C7EDB"/>
    <w:rsid w:val="004C7FD6"/>
    <w:rsid w:val="004D013F"/>
    <w:rsid w:val="004D0222"/>
    <w:rsid w:val="004D023C"/>
    <w:rsid w:val="004D0444"/>
    <w:rsid w:val="004D0527"/>
    <w:rsid w:val="004D0BB6"/>
    <w:rsid w:val="004D0C44"/>
    <w:rsid w:val="004D0DDA"/>
    <w:rsid w:val="004D0F37"/>
    <w:rsid w:val="004D11F4"/>
    <w:rsid w:val="004D13B2"/>
    <w:rsid w:val="004D150A"/>
    <w:rsid w:val="004D1510"/>
    <w:rsid w:val="004D153D"/>
    <w:rsid w:val="004D1641"/>
    <w:rsid w:val="004D19DB"/>
    <w:rsid w:val="004D1B38"/>
    <w:rsid w:val="004D1CCC"/>
    <w:rsid w:val="004D1D0C"/>
    <w:rsid w:val="004D1D95"/>
    <w:rsid w:val="004D1F5B"/>
    <w:rsid w:val="004D1F73"/>
    <w:rsid w:val="004D1FA4"/>
    <w:rsid w:val="004D1FF5"/>
    <w:rsid w:val="004D225A"/>
    <w:rsid w:val="004D231D"/>
    <w:rsid w:val="004D2743"/>
    <w:rsid w:val="004D2858"/>
    <w:rsid w:val="004D2A01"/>
    <w:rsid w:val="004D2C81"/>
    <w:rsid w:val="004D2D68"/>
    <w:rsid w:val="004D2D6A"/>
    <w:rsid w:val="004D2DE6"/>
    <w:rsid w:val="004D312A"/>
    <w:rsid w:val="004D3269"/>
    <w:rsid w:val="004D334A"/>
    <w:rsid w:val="004D338E"/>
    <w:rsid w:val="004D33D8"/>
    <w:rsid w:val="004D3673"/>
    <w:rsid w:val="004D36CB"/>
    <w:rsid w:val="004D3785"/>
    <w:rsid w:val="004D38BA"/>
    <w:rsid w:val="004D394B"/>
    <w:rsid w:val="004D3A37"/>
    <w:rsid w:val="004D3A43"/>
    <w:rsid w:val="004D3B4B"/>
    <w:rsid w:val="004D3D3A"/>
    <w:rsid w:val="004D3D84"/>
    <w:rsid w:val="004D3DB5"/>
    <w:rsid w:val="004D3E1E"/>
    <w:rsid w:val="004D3FEA"/>
    <w:rsid w:val="004D410A"/>
    <w:rsid w:val="004D4130"/>
    <w:rsid w:val="004D41B6"/>
    <w:rsid w:val="004D41D4"/>
    <w:rsid w:val="004D42DA"/>
    <w:rsid w:val="004D42DB"/>
    <w:rsid w:val="004D42E1"/>
    <w:rsid w:val="004D432E"/>
    <w:rsid w:val="004D448F"/>
    <w:rsid w:val="004D47D6"/>
    <w:rsid w:val="004D4C96"/>
    <w:rsid w:val="004D4CA5"/>
    <w:rsid w:val="004D4E24"/>
    <w:rsid w:val="004D4ED9"/>
    <w:rsid w:val="004D4FB1"/>
    <w:rsid w:val="004D5098"/>
    <w:rsid w:val="004D5142"/>
    <w:rsid w:val="004D523F"/>
    <w:rsid w:val="004D56F6"/>
    <w:rsid w:val="004D57F7"/>
    <w:rsid w:val="004D5860"/>
    <w:rsid w:val="004D58E7"/>
    <w:rsid w:val="004D59FB"/>
    <w:rsid w:val="004D5A06"/>
    <w:rsid w:val="004D5B2A"/>
    <w:rsid w:val="004D5B45"/>
    <w:rsid w:val="004D5B62"/>
    <w:rsid w:val="004D5C19"/>
    <w:rsid w:val="004D612A"/>
    <w:rsid w:val="004D62AD"/>
    <w:rsid w:val="004D62C9"/>
    <w:rsid w:val="004D634D"/>
    <w:rsid w:val="004D64B4"/>
    <w:rsid w:val="004D667A"/>
    <w:rsid w:val="004D6770"/>
    <w:rsid w:val="004D67C2"/>
    <w:rsid w:val="004D690C"/>
    <w:rsid w:val="004D69AF"/>
    <w:rsid w:val="004D6AFB"/>
    <w:rsid w:val="004D6BF2"/>
    <w:rsid w:val="004D6E98"/>
    <w:rsid w:val="004D6FCB"/>
    <w:rsid w:val="004D7035"/>
    <w:rsid w:val="004D70D6"/>
    <w:rsid w:val="004D71E2"/>
    <w:rsid w:val="004D73B3"/>
    <w:rsid w:val="004D73BD"/>
    <w:rsid w:val="004D73C7"/>
    <w:rsid w:val="004D797D"/>
    <w:rsid w:val="004D79FB"/>
    <w:rsid w:val="004D7A0E"/>
    <w:rsid w:val="004D7B0B"/>
    <w:rsid w:val="004D7CD5"/>
    <w:rsid w:val="004D7D92"/>
    <w:rsid w:val="004D7F0B"/>
    <w:rsid w:val="004D7F19"/>
    <w:rsid w:val="004E011B"/>
    <w:rsid w:val="004E04F0"/>
    <w:rsid w:val="004E05B1"/>
    <w:rsid w:val="004E0661"/>
    <w:rsid w:val="004E06B9"/>
    <w:rsid w:val="004E072B"/>
    <w:rsid w:val="004E07AF"/>
    <w:rsid w:val="004E083C"/>
    <w:rsid w:val="004E0A70"/>
    <w:rsid w:val="004E0A79"/>
    <w:rsid w:val="004E0AFD"/>
    <w:rsid w:val="004E0BF0"/>
    <w:rsid w:val="004E0E09"/>
    <w:rsid w:val="004E12D9"/>
    <w:rsid w:val="004E13F3"/>
    <w:rsid w:val="004E151B"/>
    <w:rsid w:val="004E15B7"/>
    <w:rsid w:val="004E1610"/>
    <w:rsid w:val="004E163E"/>
    <w:rsid w:val="004E16E8"/>
    <w:rsid w:val="004E1770"/>
    <w:rsid w:val="004E17F7"/>
    <w:rsid w:val="004E1801"/>
    <w:rsid w:val="004E1F93"/>
    <w:rsid w:val="004E1F9F"/>
    <w:rsid w:val="004E204E"/>
    <w:rsid w:val="004E20C8"/>
    <w:rsid w:val="004E21D0"/>
    <w:rsid w:val="004E2267"/>
    <w:rsid w:val="004E2410"/>
    <w:rsid w:val="004E24E8"/>
    <w:rsid w:val="004E27D5"/>
    <w:rsid w:val="004E2914"/>
    <w:rsid w:val="004E2A15"/>
    <w:rsid w:val="004E2B25"/>
    <w:rsid w:val="004E2C68"/>
    <w:rsid w:val="004E2CEE"/>
    <w:rsid w:val="004E2DEE"/>
    <w:rsid w:val="004E30CF"/>
    <w:rsid w:val="004E3186"/>
    <w:rsid w:val="004E31D7"/>
    <w:rsid w:val="004E363E"/>
    <w:rsid w:val="004E3642"/>
    <w:rsid w:val="004E376B"/>
    <w:rsid w:val="004E37B8"/>
    <w:rsid w:val="004E3ADB"/>
    <w:rsid w:val="004E3C12"/>
    <w:rsid w:val="004E3D32"/>
    <w:rsid w:val="004E3FEE"/>
    <w:rsid w:val="004E3FF9"/>
    <w:rsid w:val="004E41C6"/>
    <w:rsid w:val="004E422E"/>
    <w:rsid w:val="004E4317"/>
    <w:rsid w:val="004E4717"/>
    <w:rsid w:val="004E4916"/>
    <w:rsid w:val="004E499E"/>
    <w:rsid w:val="004E4BD1"/>
    <w:rsid w:val="004E4C2D"/>
    <w:rsid w:val="004E4E29"/>
    <w:rsid w:val="004E4F05"/>
    <w:rsid w:val="004E52FD"/>
    <w:rsid w:val="004E54A1"/>
    <w:rsid w:val="004E54DE"/>
    <w:rsid w:val="004E54F9"/>
    <w:rsid w:val="004E5645"/>
    <w:rsid w:val="004E58B4"/>
    <w:rsid w:val="004E5931"/>
    <w:rsid w:val="004E594F"/>
    <w:rsid w:val="004E59DD"/>
    <w:rsid w:val="004E5A4A"/>
    <w:rsid w:val="004E5A8C"/>
    <w:rsid w:val="004E5BBB"/>
    <w:rsid w:val="004E5BE0"/>
    <w:rsid w:val="004E5D10"/>
    <w:rsid w:val="004E5D1A"/>
    <w:rsid w:val="004E5EA4"/>
    <w:rsid w:val="004E5EE0"/>
    <w:rsid w:val="004E5F90"/>
    <w:rsid w:val="004E60BC"/>
    <w:rsid w:val="004E6303"/>
    <w:rsid w:val="004E64AB"/>
    <w:rsid w:val="004E6566"/>
    <w:rsid w:val="004E65B0"/>
    <w:rsid w:val="004E6703"/>
    <w:rsid w:val="004E6769"/>
    <w:rsid w:val="004E6845"/>
    <w:rsid w:val="004E6879"/>
    <w:rsid w:val="004E6AA6"/>
    <w:rsid w:val="004E6BC4"/>
    <w:rsid w:val="004E6C2E"/>
    <w:rsid w:val="004E70C5"/>
    <w:rsid w:val="004E748B"/>
    <w:rsid w:val="004E752A"/>
    <w:rsid w:val="004E7568"/>
    <w:rsid w:val="004E75D3"/>
    <w:rsid w:val="004E7689"/>
    <w:rsid w:val="004E76A2"/>
    <w:rsid w:val="004E7983"/>
    <w:rsid w:val="004E79B8"/>
    <w:rsid w:val="004E7B30"/>
    <w:rsid w:val="004E7B4F"/>
    <w:rsid w:val="004E7C94"/>
    <w:rsid w:val="004E7DC2"/>
    <w:rsid w:val="004E7F2D"/>
    <w:rsid w:val="004F007F"/>
    <w:rsid w:val="004F0276"/>
    <w:rsid w:val="004F02A9"/>
    <w:rsid w:val="004F0375"/>
    <w:rsid w:val="004F0418"/>
    <w:rsid w:val="004F05B3"/>
    <w:rsid w:val="004F0640"/>
    <w:rsid w:val="004F06E9"/>
    <w:rsid w:val="004F0AD9"/>
    <w:rsid w:val="004F0B72"/>
    <w:rsid w:val="004F0EA0"/>
    <w:rsid w:val="004F0ED1"/>
    <w:rsid w:val="004F0FA5"/>
    <w:rsid w:val="004F0FCD"/>
    <w:rsid w:val="004F113D"/>
    <w:rsid w:val="004F1504"/>
    <w:rsid w:val="004F16BF"/>
    <w:rsid w:val="004F1871"/>
    <w:rsid w:val="004F1AF2"/>
    <w:rsid w:val="004F1B70"/>
    <w:rsid w:val="004F1C19"/>
    <w:rsid w:val="004F1C7F"/>
    <w:rsid w:val="004F1D4D"/>
    <w:rsid w:val="004F1FDD"/>
    <w:rsid w:val="004F2137"/>
    <w:rsid w:val="004F2231"/>
    <w:rsid w:val="004F228C"/>
    <w:rsid w:val="004F23AC"/>
    <w:rsid w:val="004F23BC"/>
    <w:rsid w:val="004F23C4"/>
    <w:rsid w:val="004F253C"/>
    <w:rsid w:val="004F28AB"/>
    <w:rsid w:val="004F2A91"/>
    <w:rsid w:val="004F2AE6"/>
    <w:rsid w:val="004F2B4E"/>
    <w:rsid w:val="004F2BDA"/>
    <w:rsid w:val="004F2BF0"/>
    <w:rsid w:val="004F2C9E"/>
    <w:rsid w:val="004F2D26"/>
    <w:rsid w:val="004F2D7E"/>
    <w:rsid w:val="004F2F97"/>
    <w:rsid w:val="004F30FB"/>
    <w:rsid w:val="004F3116"/>
    <w:rsid w:val="004F3129"/>
    <w:rsid w:val="004F3158"/>
    <w:rsid w:val="004F338B"/>
    <w:rsid w:val="004F33A6"/>
    <w:rsid w:val="004F33AE"/>
    <w:rsid w:val="004F35D1"/>
    <w:rsid w:val="004F36F0"/>
    <w:rsid w:val="004F3727"/>
    <w:rsid w:val="004F3ADE"/>
    <w:rsid w:val="004F3B40"/>
    <w:rsid w:val="004F3C11"/>
    <w:rsid w:val="004F3DB5"/>
    <w:rsid w:val="004F3F64"/>
    <w:rsid w:val="004F3FD9"/>
    <w:rsid w:val="004F4072"/>
    <w:rsid w:val="004F41EC"/>
    <w:rsid w:val="004F42E2"/>
    <w:rsid w:val="004F44C5"/>
    <w:rsid w:val="004F4500"/>
    <w:rsid w:val="004F4746"/>
    <w:rsid w:val="004F47D5"/>
    <w:rsid w:val="004F48A5"/>
    <w:rsid w:val="004F494D"/>
    <w:rsid w:val="004F4A53"/>
    <w:rsid w:val="004F4A65"/>
    <w:rsid w:val="004F4AD1"/>
    <w:rsid w:val="004F4CA6"/>
    <w:rsid w:val="004F4D30"/>
    <w:rsid w:val="004F4D73"/>
    <w:rsid w:val="004F4DB8"/>
    <w:rsid w:val="004F4FB1"/>
    <w:rsid w:val="004F5180"/>
    <w:rsid w:val="004F51AF"/>
    <w:rsid w:val="004F5576"/>
    <w:rsid w:val="004F56AD"/>
    <w:rsid w:val="004F573D"/>
    <w:rsid w:val="004F5894"/>
    <w:rsid w:val="004F58E2"/>
    <w:rsid w:val="004F5954"/>
    <w:rsid w:val="004F5964"/>
    <w:rsid w:val="004F5A24"/>
    <w:rsid w:val="004F5B02"/>
    <w:rsid w:val="004F5CFA"/>
    <w:rsid w:val="004F5E7C"/>
    <w:rsid w:val="004F60BA"/>
    <w:rsid w:val="004F60DD"/>
    <w:rsid w:val="004F60E2"/>
    <w:rsid w:val="004F6761"/>
    <w:rsid w:val="004F677C"/>
    <w:rsid w:val="004F6A32"/>
    <w:rsid w:val="004F6A98"/>
    <w:rsid w:val="004F6B31"/>
    <w:rsid w:val="004F6E94"/>
    <w:rsid w:val="004F6EC9"/>
    <w:rsid w:val="004F6F09"/>
    <w:rsid w:val="004F70E5"/>
    <w:rsid w:val="004F70F6"/>
    <w:rsid w:val="004F7131"/>
    <w:rsid w:val="004F729B"/>
    <w:rsid w:val="004F739D"/>
    <w:rsid w:val="004F7430"/>
    <w:rsid w:val="004F7511"/>
    <w:rsid w:val="004F75BE"/>
    <w:rsid w:val="004F775D"/>
    <w:rsid w:val="004F7B4C"/>
    <w:rsid w:val="004F7C77"/>
    <w:rsid w:val="004F7C8D"/>
    <w:rsid w:val="004F7EDC"/>
    <w:rsid w:val="00500157"/>
    <w:rsid w:val="0050066A"/>
    <w:rsid w:val="00500720"/>
    <w:rsid w:val="005007A8"/>
    <w:rsid w:val="005008AE"/>
    <w:rsid w:val="00500B9B"/>
    <w:rsid w:val="00500C9B"/>
    <w:rsid w:val="00500CC3"/>
    <w:rsid w:val="00500D65"/>
    <w:rsid w:val="00500DAE"/>
    <w:rsid w:val="00500F5B"/>
    <w:rsid w:val="00500F7B"/>
    <w:rsid w:val="005010A0"/>
    <w:rsid w:val="00501147"/>
    <w:rsid w:val="005012A5"/>
    <w:rsid w:val="00501336"/>
    <w:rsid w:val="00501662"/>
    <w:rsid w:val="005019CB"/>
    <w:rsid w:val="00501BF0"/>
    <w:rsid w:val="00501C3E"/>
    <w:rsid w:val="00501D16"/>
    <w:rsid w:val="00501DD5"/>
    <w:rsid w:val="00501E18"/>
    <w:rsid w:val="00501E70"/>
    <w:rsid w:val="00502006"/>
    <w:rsid w:val="0050211C"/>
    <w:rsid w:val="0050240E"/>
    <w:rsid w:val="00502666"/>
    <w:rsid w:val="005027E7"/>
    <w:rsid w:val="00502D71"/>
    <w:rsid w:val="00502E94"/>
    <w:rsid w:val="005030A9"/>
    <w:rsid w:val="0050319B"/>
    <w:rsid w:val="0050321D"/>
    <w:rsid w:val="0050327D"/>
    <w:rsid w:val="005035C2"/>
    <w:rsid w:val="005035D6"/>
    <w:rsid w:val="00503612"/>
    <w:rsid w:val="005036C6"/>
    <w:rsid w:val="0050378A"/>
    <w:rsid w:val="005037BF"/>
    <w:rsid w:val="00503A1D"/>
    <w:rsid w:val="00503B95"/>
    <w:rsid w:val="00503DE9"/>
    <w:rsid w:val="00503EE8"/>
    <w:rsid w:val="00503EF5"/>
    <w:rsid w:val="00503EFE"/>
    <w:rsid w:val="00503F3C"/>
    <w:rsid w:val="00503F65"/>
    <w:rsid w:val="0050413B"/>
    <w:rsid w:val="00504943"/>
    <w:rsid w:val="00504B2B"/>
    <w:rsid w:val="00504C68"/>
    <w:rsid w:val="00504CD0"/>
    <w:rsid w:val="00504FBB"/>
    <w:rsid w:val="005050F3"/>
    <w:rsid w:val="005054C2"/>
    <w:rsid w:val="005054C7"/>
    <w:rsid w:val="0050562D"/>
    <w:rsid w:val="00505886"/>
    <w:rsid w:val="005058CD"/>
    <w:rsid w:val="00505991"/>
    <w:rsid w:val="005059E0"/>
    <w:rsid w:val="00505AC2"/>
    <w:rsid w:val="00505C7B"/>
    <w:rsid w:val="00505F22"/>
    <w:rsid w:val="00505FBA"/>
    <w:rsid w:val="00506015"/>
    <w:rsid w:val="0050603B"/>
    <w:rsid w:val="0050616D"/>
    <w:rsid w:val="00506173"/>
    <w:rsid w:val="00506196"/>
    <w:rsid w:val="005062B5"/>
    <w:rsid w:val="00506420"/>
    <w:rsid w:val="005068C2"/>
    <w:rsid w:val="00506912"/>
    <w:rsid w:val="00506C83"/>
    <w:rsid w:val="00507146"/>
    <w:rsid w:val="00507415"/>
    <w:rsid w:val="00507506"/>
    <w:rsid w:val="0050781E"/>
    <w:rsid w:val="0050790F"/>
    <w:rsid w:val="00507A05"/>
    <w:rsid w:val="00507ABF"/>
    <w:rsid w:val="00507B82"/>
    <w:rsid w:val="00507BB1"/>
    <w:rsid w:val="00507BF0"/>
    <w:rsid w:val="00507CE8"/>
    <w:rsid w:val="00507DBA"/>
    <w:rsid w:val="00507FC9"/>
    <w:rsid w:val="00507FCC"/>
    <w:rsid w:val="00510021"/>
    <w:rsid w:val="00510050"/>
    <w:rsid w:val="00510053"/>
    <w:rsid w:val="005100BC"/>
    <w:rsid w:val="00510356"/>
    <w:rsid w:val="00510590"/>
    <w:rsid w:val="0051089C"/>
    <w:rsid w:val="00510F4C"/>
    <w:rsid w:val="00510F77"/>
    <w:rsid w:val="0051105B"/>
    <w:rsid w:val="00511178"/>
    <w:rsid w:val="005112C6"/>
    <w:rsid w:val="005113C7"/>
    <w:rsid w:val="00511416"/>
    <w:rsid w:val="00511492"/>
    <w:rsid w:val="00511703"/>
    <w:rsid w:val="00511943"/>
    <w:rsid w:val="00511AE3"/>
    <w:rsid w:val="00511D18"/>
    <w:rsid w:val="00511F06"/>
    <w:rsid w:val="00511F12"/>
    <w:rsid w:val="005121FD"/>
    <w:rsid w:val="0051227C"/>
    <w:rsid w:val="00512330"/>
    <w:rsid w:val="005126DE"/>
    <w:rsid w:val="005127EA"/>
    <w:rsid w:val="00512800"/>
    <w:rsid w:val="00512981"/>
    <w:rsid w:val="00512993"/>
    <w:rsid w:val="00512A85"/>
    <w:rsid w:val="00512B06"/>
    <w:rsid w:val="00512D14"/>
    <w:rsid w:val="00512F18"/>
    <w:rsid w:val="00513193"/>
    <w:rsid w:val="005131B6"/>
    <w:rsid w:val="00513218"/>
    <w:rsid w:val="00513348"/>
    <w:rsid w:val="0051335D"/>
    <w:rsid w:val="005135A6"/>
    <w:rsid w:val="005135F0"/>
    <w:rsid w:val="00513712"/>
    <w:rsid w:val="0051374F"/>
    <w:rsid w:val="00513A54"/>
    <w:rsid w:val="00513C28"/>
    <w:rsid w:val="00513C8B"/>
    <w:rsid w:val="00513C92"/>
    <w:rsid w:val="00513CC7"/>
    <w:rsid w:val="00513D3F"/>
    <w:rsid w:val="00513E97"/>
    <w:rsid w:val="00513FCE"/>
    <w:rsid w:val="00514069"/>
    <w:rsid w:val="005140AC"/>
    <w:rsid w:val="005140C2"/>
    <w:rsid w:val="005141AC"/>
    <w:rsid w:val="00514519"/>
    <w:rsid w:val="005145E7"/>
    <w:rsid w:val="0051465D"/>
    <w:rsid w:val="0051497E"/>
    <w:rsid w:val="00514A86"/>
    <w:rsid w:val="00514C6A"/>
    <w:rsid w:val="00514C6B"/>
    <w:rsid w:val="00514CA3"/>
    <w:rsid w:val="00514CC1"/>
    <w:rsid w:val="00514E6C"/>
    <w:rsid w:val="00514F8A"/>
    <w:rsid w:val="005151D9"/>
    <w:rsid w:val="00515206"/>
    <w:rsid w:val="005152BF"/>
    <w:rsid w:val="005152F9"/>
    <w:rsid w:val="00515517"/>
    <w:rsid w:val="00515545"/>
    <w:rsid w:val="005156FA"/>
    <w:rsid w:val="005157E4"/>
    <w:rsid w:val="0051581B"/>
    <w:rsid w:val="005158DC"/>
    <w:rsid w:val="00515993"/>
    <w:rsid w:val="00515A81"/>
    <w:rsid w:val="00515A8F"/>
    <w:rsid w:val="00515DFD"/>
    <w:rsid w:val="00515E37"/>
    <w:rsid w:val="00515FEA"/>
    <w:rsid w:val="005160A0"/>
    <w:rsid w:val="00516183"/>
    <w:rsid w:val="005162B0"/>
    <w:rsid w:val="00516344"/>
    <w:rsid w:val="00516399"/>
    <w:rsid w:val="0051645E"/>
    <w:rsid w:val="005165AD"/>
    <w:rsid w:val="0051662F"/>
    <w:rsid w:val="00516794"/>
    <w:rsid w:val="005167F8"/>
    <w:rsid w:val="005168DB"/>
    <w:rsid w:val="005168DF"/>
    <w:rsid w:val="00516CB3"/>
    <w:rsid w:val="00516CBF"/>
    <w:rsid w:val="00516D00"/>
    <w:rsid w:val="00516DA6"/>
    <w:rsid w:val="00516DF5"/>
    <w:rsid w:val="00516F54"/>
    <w:rsid w:val="0051701D"/>
    <w:rsid w:val="0051705F"/>
    <w:rsid w:val="0051724C"/>
    <w:rsid w:val="0051727F"/>
    <w:rsid w:val="00517479"/>
    <w:rsid w:val="00517667"/>
    <w:rsid w:val="0051768A"/>
    <w:rsid w:val="005179AA"/>
    <w:rsid w:val="00517AE2"/>
    <w:rsid w:val="00517C8D"/>
    <w:rsid w:val="00517D8B"/>
    <w:rsid w:val="00517F6D"/>
    <w:rsid w:val="005201DD"/>
    <w:rsid w:val="00520293"/>
    <w:rsid w:val="005202CD"/>
    <w:rsid w:val="00520406"/>
    <w:rsid w:val="005204BB"/>
    <w:rsid w:val="00520507"/>
    <w:rsid w:val="00520670"/>
    <w:rsid w:val="005206CC"/>
    <w:rsid w:val="00520777"/>
    <w:rsid w:val="00520979"/>
    <w:rsid w:val="00520EDC"/>
    <w:rsid w:val="00520F1E"/>
    <w:rsid w:val="00521367"/>
    <w:rsid w:val="0052154B"/>
    <w:rsid w:val="005216F0"/>
    <w:rsid w:val="00521813"/>
    <w:rsid w:val="005219C4"/>
    <w:rsid w:val="00521DAF"/>
    <w:rsid w:val="00521E36"/>
    <w:rsid w:val="00521E65"/>
    <w:rsid w:val="00521EFA"/>
    <w:rsid w:val="00521F5C"/>
    <w:rsid w:val="00521F9C"/>
    <w:rsid w:val="00521FE7"/>
    <w:rsid w:val="005221B3"/>
    <w:rsid w:val="00522429"/>
    <w:rsid w:val="00522439"/>
    <w:rsid w:val="005224DD"/>
    <w:rsid w:val="005226F1"/>
    <w:rsid w:val="0052272B"/>
    <w:rsid w:val="005227B0"/>
    <w:rsid w:val="005229CE"/>
    <w:rsid w:val="00522C1A"/>
    <w:rsid w:val="00522C27"/>
    <w:rsid w:val="00522DDB"/>
    <w:rsid w:val="00522FEB"/>
    <w:rsid w:val="0052305F"/>
    <w:rsid w:val="00523106"/>
    <w:rsid w:val="00523292"/>
    <w:rsid w:val="005233FB"/>
    <w:rsid w:val="00523456"/>
    <w:rsid w:val="0052353B"/>
    <w:rsid w:val="00523778"/>
    <w:rsid w:val="0052385D"/>
    <w:rsid w:val="00523A40"/>
    <w:rsid w:val="00523A62"/>
    <w:rsid w:val="00523B60"/>
    <w:rsid w:val="00523D2E"/>
    <w:rsid w:val="005241B7"/>
    <w:rsid w:val="0052433D"/>
    <w:rsid w:val="00524535"/>
    <w:rsid w:val="00524749"/>
    <w:rsid w:val="00524A3E"/>
    <w:rsid w:val="00524D45"/>
    <w:rsid w:val="00524EF8"/>
    <w:rsid w:val="00524F3B"/>
    <w:rsid w:val="00525028"/>
    <w:rsid w:val="00525248"/>
    <w:rsid w:val="0052531D"/>
    <w:rsid w:val="00525408"/>
    <w:rsid w:val="0052554D"/>
    <w:rsid w:val="0052557B"/>
    <w:rsid w:val="00525770"/>
    <w:rsid w:val="00525847"/>
    <w:rsid w:val="00525990"/>
    <w:rsid w:val="00525A50"/>
    <w:rsid w:val="00525AA9"/>
    <w:rsid w:val="00525B20"/>
    <w:rsid w:val="00525B28"/>
    <w:rsid w:val="00525BBA"/>
    <w:rsid w:val="00525C4E"/>
    <w:rsid w:val="00525EB7"/>
    <w:rsid w:val="00525FD6"/>
    <w:rsid w:val="00526225"/>
    <w:rsid w:val="00526287"/>
    <w:rsid w:val="00526479"/>
    <w:rsid w:val="005266A2"/>
    <w:rsid w:val="0052681C"/>
    <w:rsid w:val="0052695F"/>
    <w:rsid w:val="00526AE0"/>
    <w:rsid w:val="00526B78"/>
    <w:rsid w:val="00526BE9"/>
    <w:rsid w:val="00526DFA"/>
    <w:rsid w:val="00526FF2"/>
    <w:rsid w:val="005272C8"/>
    <w:rsid w:val="005274D8"/>
    <w:rsid w:val="00527561"/>
    <w:rsid w:val="005275C5"/>
    <w:rsid w:val="0052769C"/>
    <w:rsid w:val="00527759"/>
    <w:rsid w:val="005279E3"/>
    <w:rsid w:val="00527BDF"/>
    <w:rsid w:val="00527D29"/>
    <w:rsid w:val="0053005E"/>
    <w:rsid w:val="00530174"/>
    <w:rsid w:val="005302BE"/>
    <w:rsid w:val="00530346"/>
    <w:rsid w:val="0053045C"/>
    <w:rsid w:val="00530577"/>
    <w:rsid w:val="00530663"/>
    <w:rsid w:val="005307ED"/>
    <w:rsid w:val="00530A79"/>
    <w:rsid w:val="00530C4E"/>
    <w:rsid w:val="00530CE3"/>
    <w:rsid w:val="00530D98"/>
    <w:rsid w:val="00530DA5"/>
    <w:rsid w:val="00530E03"/>
    <w:rsid w:val="005311CC"/>
    <w:rsid w:val="005311ED"/>
    <w:rsid w:val="0053154E"/>
    <w:rsid w:val="0053166F"/>
    <w:rsid w:val="005316D4"/>
    <w:rsid w:val="00531769"/>
    <w:rsid w:val="00531916"/>
    <w:rsid w:val="0053194F"/>
    <w:rsid w:val="00531A46"/>
    <w:rsid w:val="00531AA3"/>
    <w:rsid w:val="00531B22"/>
    <w:rsid w:val="00531B55"/>
    <w:rsid w:val="00531E02"/>
    <w:rsid w:val="00531EA6"/>
    <w:rsid w:val="00532142"/>
    <w:rsid w:val="0053214C"/>
    <w:rsid w:val="0053216F"/>
    <w:rsid w:val="00532259"/>
    <w:rsid w:val="005322BF"/>
    <w:rsid w:val="00532493"/>
    <w:rsid w:val="005324B3"/>
    <w:rsid w:val="005324DB"/>
    <w:rsid w:val="005324F9"/>
    <w:rsid w:val="005327CD"/>
    <w:rsid w:val="00532BFF"/>
    <w:rsid w:val="00532DB0"/>
    <w:rsid w:val="00532DCB"/>
    <w:rsid w:val="00532DE1"/>
    <w:rsid w:val="00532E27"/>
    <w:rsid w:val="00532FB0"/>
    <w:rsid w:val="005332DE"/>
    <w:rsid w:val="00533326"/>
    <w:rsid w:val="0053344B"/>
    <w:rsid w:val="00533537"/>
    <w:rsid w:val="00533767"/>
    <w:rsid w:val="0053385D"/>
    <w:rsid w:val="00533952"/>
    <w:rsid w:val="00533A9C"/>
    <w:rsid w:val="00533E7E"/>
    <w:rsid w:val="00533EE1"/>
    <w:rsid w:val="00534475"/>
    <w:rsid w:val="00534613"/>
    <w:rsid w:val="0053472C"/>
    <w:rsid w:val="005347DA"/>
    <w:rsid w:val="00534926"/>
    <w:rsid w:val="00534998"/>
    <w:rsid w:val="00534C07"/>
    <w:rsid w:val="00534CBE"/>
    <w:rsid w:val="00534F4C"/>
    <w:rsid w:val="00534F97"/>
    <w:rsid w:val="0053522B"/>
    <w:rsid w:val="0053527E"/>
    <w:rsid w:val="005353F6"/>
    <w:rsid w:val="0053550A"/>
    <w:rsid w:val="0053557D"/>
    <w:rsid w:val="005355F6"/>
    <w:rsid w:val="00535777"/>
    <w:rsid w:val="005358A3"/>
    <w:rsid w:val="00535927"/>
    <w:rsid w:val="005359C6"/>
    <w:rsid w:val="005359F7"/>
    <w:rsid w:val="00535ABA"/>
    <w:rsid w:val="00535AC1"/>
    <w:rsid w:val="00535B10"/>
    <w:rsid w:val="00535C5E"/>
    <w:rsid w:val="00535FF1"/>
    <w:rsid w:val="00536078"/>
    <w:rsid w:val="00536117"/>
    <w:rsid w:val="0053621B"/>
    <w:rsid w:val="0053634D"/>
    <w:rsid w:val="005364CD"/>
    <w:rsid w:val="0053653E"/>
    <w:rsid w:val="00536734"/>
    <w:rsid w:val="0053682F"/>
    <w:rsid w:val="0053694E"/>
    <w:rsid w:val="005369DD"/>
    <w:rsid w:val="00536B20"/>
    <w:rsid w:val="00536BA5"/>
    <w:rsid w:val="00536BED"/>
    <w:rsid w:val="00536E49"/>
    <w:rsid w:val="00536EE6"/>
    <w:rsid w:val="00536F31"/>
    <w:rsid w:val="00536FDF"/>
    <w:rsid w:val="0053704D"/>
    <w:rsid w:val="0053711E"/>
    <w:rsid w:val="00537277"/>
    <w:rsid w:val="005372F3"/>
    <w:rsid w:val="0053738D"/>
    <w:rsid w:val="0053738F"/>
    <w:rsid w:val="005377C3"/>
    <w:rsid w:val="0053789A"/>
    <w:rsid w:val="0053792F"/>
    <w:rsid w:val="00537952"/>
    <w:rsid w:val="00537A20"/>
    <w:rsid w:val="00537A4E"/>
    <w:rsid w:val="00537B32"/>
    <w:rsid w:val="00537B6D"/>
    <w:rsid w:val="00537E10"/>
    <w:rsid w:val="00540002"/>
    <w:rsid w:val="0054028D"/>
    <w:rsid w:val="005402ED"/>
    <w:rsid w:val="0054033C"/>
    <w:rsid w:val="005403DB"/>
    <w:rsid w:val="00540595"/>
    <w:rsid w:val="00540651"/>
    <w:rsid w:val="00540658"/>
    <w:rsid w:val="00540729"/>
    <w:rsid w:val="00540803"/>
    <w:rsid w:val="00540851"/>
    <w:rsid w:val="00540893"/>
    <w:rsid w:val="005408FC"/>
    <w:rsid w:val="00540922"/>
    <w:rsid w:val="00540AA3"/>
    <w:rsid w:val="00540AE6"/>
    <w:rsid w:val="00540B8A"/>
    <w:rsid w:val="00540D41"/>
    <w:rsid w:val="00540FB5"/>
    <w:rsid w:val="00541012"/>
    <w:rsid w:val="005413E8"/>
    <w:rsid w:val="005414CE"/>
    <w:rsid w:val="005416FF"/>
    <w:rsid w:val="0054171E"/>
    <w:rsid w:val="00541823"/>
    <w:rsid w:val="00541A5E"/>
    <w:rsid w:val="00541C82"/>
    <w:rsid w:val="00541D49"/>
    <w:rsid w:val="00541D86"/>
    <w:rsid w:val="00541DCE"/>
    <w:rsid w:val="00541F22"/>
    <w:rsid w:val="00541F5A"/>
    <w:rsid w:val="00541FA4"/>
    <w:rsid w:val="00541FE3"/>
    <w:rsid w:val="0054243E"/>
    <w:rsid w:val="005424E7"/>
    <w:rsid w:val="005424E8"/>
    <w:rsid w:val="00542560"/>
    <w:rsid w:val="00542707"/>
    <w:rsid w:val="00542764"/>
    <w:rsid w:val="00542807"/>
    <w:rsid w:val="00542ABE"/>
    <w:rsid w:val="00542B2C"/>
    <w:rsid w:val="00542B3E"/>
    <w:rsid w:val="00542E18"/>
    <w:rsid w:val="005432C9"/>
    <w:rsid w:val="00543504"/>
    <w:rsid w:val="00543538"/>
    <w:rsid w:val="00543572"/>
    <w:rsid w:val="00543615"/>
    <w:rsid w:val="00543628"/>
    <w:rsid w:val="00543633"/>
    <w:rsid w:val="00543642"/>
    <w:rsid w:val="005436E3"/>
    <w:rsid w:val="005439D9"/>
    <w:rsid w:val="00543A0F"/>
    <w:rsid w:val="00543B0D"/>
    <w:rsid w:val="00543B27"/>
    <w:rsid w:val="00543C57"/>
    <w:rsid w:val="00544095"/>
    <w:rsid w:val="005441A5"/>
    <w:rsid w:val="005441A9"/>
    <w:rsid w:val="005442C8"/>
    <w:rsid w:val="00544538"/>
    <w:rsid w:val="005445DE"/>
    <w:rsid w:val="00544731"/>
    <w:rsid w:val="00544787"/>
    <w:rsid w:val="005447C1"/>
    <w:rsid w:val="005447D5"/>
    <w:rsid w:val="00544802"/>
    <w:rsid w:val="00544A10"/>
    <w:rsid w:val="00544A46"/>
    <w:rsid w:val="00544A77"/>
    <w:rsid w:val="00544DA3"/>
    <w:rsid w:val="00544E63"/>
    <w:rsid w:val="00544E67"/>
    <w:rsid w:val="00544EA3"/>
    <w:rsid w:val="00544F58"/>
    <w:rsid w:val="00544FEC"/>
    <w:rsid w:val="0054510C"/>
    <w:rsid w:val="0054524E"/>
    <w:rsid w:val="005452A2"/>
    <w:rsid w:val="0054531F"/>
    <w:rsid w:val="005453EC"/>
    <w:rsid w:val="0054541D"/>
    <w:rsid w:val="00545592"/>
    <w:rsid w:val="005455C8"/>
    <w:rsid w:val="00545767"/>
    <w:rsid w:val="00545833"/>
    <w:rsid w:val="00545C60"/>
    <w:rsid w:val="00545DD6"/>
    <w:rsid w:val="00545E09"/>
    <w:rsid w:val="00545E1B"/>
    <w:rsid w:val="0054600D"/>
    <w:rsid w:val="00546174"/>
    <w:rsid w:val="00546237"/>
    <w:rsid w:val="005464D1"/>
    <w:rsid w:val="005465C1"/>
    <w:rsid w:val="00546627"/>
    <w:rsid w:val="0054675D"/>
    <w:rsid w:val="00546796"/>
    <w:rsid w:val="0054685D"/>
    <w:rsid w:val="005468A2"/>
    <w:rsid w:val="00546C4E"/>
    <w:rsid w:val="00546D5C"/>
    <w:rsid w:val="00546EFC"/>
    <w:rsid w:val="00546F04"/>
    <w:rsid w:val="0054714D"/>
    <w:rsid w:val="0054719D"/>
    <w:rsid w:val="005472BE"/>
    <w:rsid w:val="00547363"/>
    <w:rsid w:val="00547504"/>
    <w:rsid w:val="00547562"/>
    <w:rsid w:val="005475A0"/>
    <w:rsid w:val="005476BD"/>
    <w:rsid w:val="0054785A"/>
    <w:rsid w:val="005478FE"/>
    <w:rsid w:val="00547C68"/>
    <w:rsid w:val="00547D42"/>
    <w:rsid w:val="00547DA0"/>
    <w:rsid w:val="00547F6E"/>
    <w:rsid w:val="005501E5"/>
    <w:rsid w:val="00550244"/>
    <w:rsid w:val="005502CA"/>
    <w:rsid w:val="005504D6"/>
    <w:rsid w:val="0055052B"/>
    <w:rsid w:val="0055055C"/>
    <w:rsid w:val="00550685"/>
    <w:rsid w:val="00550689"/>
    <w:rsid w:val="0055068A"/>
    <w:rsid w:val="005508B6"/>
    <w:rsid w:val="005508EC"/>
    <w:rsid w:val="005508F6"/>
    <w:rsid w:val="00550947"/>
    <w:rsid w:val="00550976"/>
    <w:rsid w:val="00550CDF"/>
    <w:rsid w:val="00551048"/>
    <w:rsid w:val="0055107D"/>
    <w:rsid w:val="005511BB"/>
    <w:rsid w:val="005511CA"/>
    <w:rsid w:val="005511F3"/>
    <w:rsid w:val="00551205"/>
    <w:rsid w:val="005512BB"/>
    <w:rsid w:val="005512DD"/>
    <w:rsid w:val="00551318"/>
    <w:rsid w:val="00551348"/>
    <w:rsid w:val="0055151A"/>
    <w:rsid w:val="00551582"/>
    <w:rsid w:val="00551584"/>
    <w:rsid w:val="005517FF"/>
    <w:rsid w:val="0055183D"/>
    <w:rsid w:val="005519C9"/>
    <w:rsid w:val="00551B57"/>
    <w:rsid w:val="00551CC0"/>
    <w:rsid w:val="00551E2A"/>
    <w:rsid w:val="00551E91"/>
    <w:rsid w:val="0055220A"/>
    <w:rsid w:val="005523E7"/>
    <w:rsid w:val="00552465"/>
    <w:rsid w:val="0055262B"/>
    <w:rsid w:val="00552742"/>
    <w:rsid w:val="005529C3"/>
    <w:rsid w:val="00552A4A"/>
    <w:rsid w:val="00552B44"/>
    <w:rsid w:val="00552BF7"/>
    <w:rsid w:val="00552F35"/>
    <w:rsid w:val="0055313A"/>
    <w:rsid w:val="005535C7"/>
    <w:rsid w:val="005537B2"/>
    <w:rsid w:val="0055391C"/>
    <w:rsid w:val="00553A39"/>
    <w:rsid w:val="00553C98"/>
    <w:rsid w:val="00553D31"/>
    <w:rsid w:val="00553D99"/>
    <w:rsid w:val="00553F8B"/>
    <w:rsid w:val="005540BD"/>
    <w:rsid w:val="005541BE"/>
    <w:rsid w:val="0055433A"/>
    <w:rsid w:val="00554521"/>
    <w:rsid w:val="00554609"/>
    <w:rsid w:val="00554AB8"/>
    <w:rsid w:val="00554BE1"/>
    <w:rsid w:val="00554BE5"/>
    <w:rsid w:val="00554C0C"/>
    <w:rsid w:val="0055501F"/>
    <w:rsid w:val="005550C7"/>
    <w:rsid w:val="005550EB"/>
    <w:rsid w:val="00555143"/>
    <w:rsid w:val="005551EB"/>
    <w:rsid w:val="005552B4"/>
    <w:rsid w:val="00555450"/>
    <w:rsid w:val="0055569D"/>
    <w:rsid w:val="005557C0"/>
    <w:rsid w:val="0055594E"/>
    <w:rsid w:val="00555B0C"/>
    <w:rsid w:val="00555B9D"/>
    <w:rsid w:val="00555E4E"/>
    <w:rsid w:val="0055628E"/>
    <w:rsid w:val="00556353"/>
    <w:rsid w:val="005564BE"/>
    <w:rsid w:val="00556562"/>
    <w:rsid w:val="0055658B"/>
    <w:rsid w:val="00556647"/>
    <w:rsid w:val="005567A4"/>
    <w:rsid w:val="00556A7D"/>
    <w:rsid w:val="00556AB1"/>
    <w:rsid w:val="00556BAC"/>
    <w:rsid w:val="00556BB2"/>
    <w:rsid w:val="00556BEC"/>
    <w:rsid w:val="00556CFC"/>
    <w:rsid w:val="00556D67"/>
    <w:rsid w:val="005571D1"/>
    <w:rsid w:val="0055753E"/>
    <w:rsid w:val="00557588"/>
    <w:rsid w:val="00557768"/>
    <w:rsid w:val="00557806"/>
    <w:rsid w:val="005578B9"/>
    <w:rsid w:val="005578E8"/>
    <w:rsid w:val="005578FE"/>
    <w:rsid w:val="00557B19"/>
    <w:rsid w:val="00557B59"/>
    <w:rsid w:val="00557D9C"/>
    <w:rsid w:val="00557E23"/>
    <w:rsid w:val="00557E2C"/>
    <w:rsid w:val="00557F75"/>
    <w:rsid w:val="00560169"/>
    <w:rsid w:val="005601DC"/>
    <w:rsid w:val="0056036B"/>
    <w:rsid w:val="005603BD"/>
    <w:rsid w:val="00560408"/>
    <w:rsid w:val="00560728"/>
    <w:rsid w:val="00560822"/>
    <w:rsid w:val="0056092E"/>
    <w:rsid w:val="00560A8E"/>
    <w:rsid w:val="00560CA6"/>
    <w:rsid w:val="00560D48"/>
    <w:rsid w:val="00560D78"/>
    <w:rsid w:val="00560E9E"/>
    <w:rsid w:val="00560EC9"/>
    <w:rsid w:val="005610BE"/>
    <w:rsid w:val="00561134"/>
    <w:rsid w:val="005612C9"/>
    <w:rsid w:val="005612D4"/>
    <w:rsid w:val="00561484"/>
    <w:rsid w:val="005618CA"/>
    <w:rsid w:val="005619AB"/>
    <w:rsid w:val="00561B7D"/>
    <w:rsid w:val="00561E68"/>
    <w:rsid w:val="00561FB4"/>
    <w:rsid w:val="0056214B"/>
    <w:rsid w:val="005621C3"/>
    <w:rsid w:val="005621C4"/>
    <w:rsid w:val="00562266"/>
    <w:rsid w:val="00562353"/>
    <w:rsid w:val="00562367"/>
    <w:rsid w:val="0056249E"/>
    <w:rsid w:val="005624D9"/>
    <w:rsid w:val="0056253E"/>
    <w:rsid w:val="005625A6"/>
    <w:rsid w:val="00562621"/>
    <w:rsid w:val="005627E3"/>
    <w:rsid w:val="00562873"/>
    <w:rsid w:val="005628BA"/>
    <w:rsid w:val="00562907"/>
    <w:rsid w:val="00562A2C"/>
    <w:rsid w:val="00562A86"/>
    <w:rsid w:val="00562B0D"/>
    <w:rsid w:val="00562E46"/>
    <w:rsid w:val="00562EDC"/>
    <w:rsid w:val="00562F56"/>
    <w:rsid w:val="00562F91"/>
    <w:rsid w:val="00563076"/>
    <w:rsid w:val="00563161"/>
    <w:rsid w:val="00563272"/>
    <w:rsid w:val="0056328E"/>
    <w:rsid w:val="00563327"/>
    <w:rsid w:val="00563391"/>
    <w:rsid w:val="00563489"/>
    <w:rsid w:val="005635B7"/>
    <w:rsid w:val="00563761"/>
    <w:rsid w:val="00563843"/>
    <w:rsid w:val="0056385D"/>
    <w:rsid w:val="005638FB"/>
    <w:rsid w:val="00563A6F"/>
    <w:rsid w:val="00563A92"/>
    <w:rsid w:val="00563CDE"/>
    <w:rsid w:val="00564051"/>
    <w:rsid w:val="005642C7"/>
    <w:rsid w:val="00564329"/>
    <w:rsid w:val="005644AA"/>
    <w:rsid w:val="005644AF"/>
    <w:rsid w:val="005644C2"/>
    <w:rsid w:val="005644D6"/>
    <w:rsid w:val="005644EB"/>
    <w:rsid w:val="00564603"/>
    <w:rsid w:val="0056461D"/>
    <w:rsid w:val="005646DD"/>
    <w:rsid w:val="00564888"/>
    <w:rsid w:val="00564A66"/>
    <w:rsid w:val="00564BE5"/>
    <w:rsid w:val="00564D98"/>
    <w:rsid w:val="00564E60"/>
    <w:rsid w:val="00564E97"/>
    <w:rsid w:val="005652E8"/>
    <w:rsid w:val="005654B3"/>
    <w:rsid w:val="0056564D"/>
    <w:rsid w:val="005658AE"/>
    <w:rsid w:val="005658E2"/>
    <w:rsid w:val="00565C2E"/>
    <w:rsid w:val="00565C9D"/>
    <w:rsid w:val="00565CD7"/>
    <w:rsid w:val="00565DA0"/>
    <w:rsid w:val="005660E2"/>
    <w:rsid w:val="00566322"/>
    <w:rsid w:val="00566334"/>
    <w:rsid w:val="0056641D"/>
    <w:rsid w:val="005664AF"/>
    <w:rsid w:val="00566619"/>
    <w:rsid w:val="005667E5"/>
    <w:rsid w:val="00566A71"/>
    <w:rsid w:val="00566B20"/>
    <w:rsid w:val="00566CF8"/>
    <w:rsid w:val="00566D66"/>
    <w:rsid w:val="00566DD9"/>
    <w:rsid w:val="0056709D"/>
    <w:rsid w:val="00567504"/>
    <w:rsid w:val="0056751C"/>
    <w:rsid w:val="0056751E"/>
    <w:rsid w:val="00567532"/>
    <w:rsid w:val="005675D1"/>
    <w:rsid w:val="005678DC"/>
    <w:rsid w:val="005679B0"/>
    <w:rsid w:val="00567D8C"/>
    <w:rsid w:val="0057024D"/>
    <w:rsid w:val="005704F5"/>
    <w:rsid w:val="00570514"/>
    <w:rsid w:val="00570607"/>
    <w:rsid w:val="00570735"/>
    <w:rsid w:val="005707EC"/>
    <w:rsid w:val="005707F7"/>
    <w:rsid w:val="0057084E"/>
    <w:rsid w:val="00570882"/>
    <w:rsid w:val="005709E2"/>
    <w:rsid w:val="00570A07"/>
    <w:rsid w:val="00570ACF"/>
    <w:rsid w:val="00570E06"/>
    <w:rsid w:val="00570F11"/>
    <w:rsid w:val="00571463"/>
    <w:rsid w:val="0057146A"/>
    <w:rsid w:val="005715F0"/>
    <w:rsid w:val="005718CA"/>
    <w:rsid w:val="005719BD"/>
    <w:rsid w:val="00571A93"/>
    <w:rsid w:val="00571AB3"/>
    <w:rsid w:val="00571C73"/>
    <w:rsid w:val="00571CD5"/>
    <w:rsid w:val="00571EDB"/>
    <w:rsid w:val="00572044"/>
    <w:rsid w:val="005724C8"/>
    <w:rsid w:val="00572792"/>
    <w:rsid w:val="00572A25"/>
    <w:rsid w:val="00572AA9"/>
    <w:rsid w:val="00572D4D"/>
    <w:rsid w:val="00572DD4"/>
    <w:rsid w:val="00572E4B"/>
    <w:rsid w:val="00572F20"/>
    <w:rsid w:val="00572FFC"/>
    <w:rsid w:val="0057311E"/>
    <w:rsid w:val="005731FA"/>
    <w:rsid w:val="0057337C"/>
    <w:rsid w:val="00573613"/>
    <w:rsid w:val="00573829"/>
    <w:rsid w:val="005738ED"/>
    <w:rsid w:val="00573995"/>
    <w:rsid w:val="005739C3"/>
    <w:rsid w:val="005739D3"/>
    <w:rsid w:val="005739F5"/>
    <w:rsid w:val="00573C30"/>
    <w:rsid w:val="00573C88"/>
    <w:rsid w:val="00573CFC"/>
    <w:rsid w:val="00573EE6"/>
    <w:rsid w:val="0057401E"/>
    <w:rsid w:val="0057419E"/>
    <w:rsid w:val="005741BD"/>
    <w:rsid w:val="00574226"/>
    <w:rsid w:val="0057449C"/>
    <w:rsid w:val="005744CA"/>
    <w:rsid w:val="0057456A"/>
    <w:rsid w:val="00574585"/>
    <w:rsid w:val="00574819"/>
    <w:rsid w:val="00574864"/>
    <w:rsid w:val="00574882"/>
    <w:rsid w:val="00574944"/>
    <w:rsid w:val="00574AE0"/>
    <w:rsid w:val="00574B73"/>
    <w:rsid w:val="00574BDF"/>
    <w:rsid w:val="00574D22"/>
    <w:rsid w:val="00574D57"/>
    <w:rsid w:val="00574E18"/>
    <w:rsid w:val="00574EC4"/>
    <w:rsid w:val="00574F0D"/>
    <w:rsid w:val="005754BD"/>
    <w:rsid w:val="00575533"/>
    <w:rsid w:val="005756A8"/>
    <w:rsid w:val="005756B5"/>
    <w:rsid w:val="0057574A"/>
    <w:rsid w:val="005757F1"/>
    <w:rsid w:val="0057580E"/>
    <w:rsid w:val="00575C19"/>
    <w:rsid w:val="00575CD9"/>
    <w:rsid w:val="00575D29"/>
    <w:rsid w:val="00575D33"/>
    <w:rsid w:val="00575DAA"/>
    <w:rsid w:val="00575E19"/>
    <w:rsid w:val="00575ED0"/>
    <w:rsid w:val="0057607A"/>
    <w:rsid w:val="005760A7"/>
    <w:rsid w:val="00576117"/>
    <w:rsid w:val="00576266"/>
    <w:rsid w:val="005765CA"/>
    <w:rsid w:val="0057676C"/>
    <w:rsid w:val="00576872"/>
    <w:rsid w:val="00576967"/>
    <w:rsid w:val="00576A50"/>
    <w:rsid w:val="00576B48"/>
    <w:rsid w:val="00576DC7"/>
    <w:rsid w:val="00576F00"/>
    <w:rsid w:val="0057721B"/>
    <w:rsid w:val="0057723A"/>
    <w:rsid w:val="0057737A"/>
    <w:rsid w:val="00577390"/>
    <w:rsid w:val="005775BE"/>
    <w:rsid w:val="0057762F"/>
    <w:rsid w:val="0057772D"/>
    <w:rsid w:val="00577730"/>
    <w:rsid w:val="005778A8"/>
    <w:rsid w:val="0057795A"/>
    <w:rsid w:val="005779D6"/>
    <w:rsid w:val="00577AD2"/>
    <w:rsid w:val="00577AD7"/>
    <w:rsid w:val="00577D07"/>
    <w:rsid w:val="00577E86"/>
    <w:rsid w:val="00580067"/>
    <w:rsid w:val="0058059D"/>
    <w:rsid w:val="00580689"/>
    <w:rsid w:val="005807EA"/>
    <w:rsid w:val="00580987"/>
    <w:rsid w:val="00580B81"/>
    <w:rsid w:val="00580D18"/>
    <w:rsid w:val="00580E3A"/>
    <w:rsid w:val="00580E4D"/>
    <w:rsid w:val="00580F98"/>
    <w:rsid w:val="00580FCD"/>
    <w:rsid w:val="00580FFB"/>
    <w:rsid w:val="00581274"/>
    <w:rsid w:val="00581346"/>
    <w:rsid w:val="0058144B"/>
    <w:rsid w:val="00581589"/>
    <w:rsid w:val="00581609"/>
    <w:rsid w:val="0058169B"/>
    <w:rsid w:val="00581763"/>
    <w:rsid w:val="00581879"/>
    <w:rsid w:val="0058192D"/>
    <w:rsid w:val="00581D86"/>
    <w:rsid w:val="00581DD0"/>
    <w:rsid w:val="00581E09"/>
    <w:rsid w:val="0058217F"/>
    <w:rsid w:val="0058234F"/>
    <w:rsid w:val="0058235C"/>
    <w:rsid w:val="005823E1"/>
    <w:rsid w:val="00582444"/>
    <w:rsid w:val="00582569"/>
    <w:rsid w:val="00582A33"/>
    <w:rsid w:val="00582AD5"/>
    <w:rsid w:val="00582BB3"/>
    <w:rsid w:val="00582CC1"/>
    <w:rsid w:val="00582CFD"/>
    <w:rsid w:val="00583266"/>
    <w:rsid w:val="0058327D"/>
    <w:rsid w:val="0058336E"/>
    <w:rsid w:val="005833DC"/>
    <w:rsid w:val="0058351E"/>
    <w:rsid w:val="005836D0"/>
    <w:rsid w:val="00583740"/>
    <w:rsid w:val="0058392D"/>
    <w:rsid w:val="00583BE2"/>
    <w:rsid w:val="00583CA3"/>
    <w:rsid w:val="00583E89"/>
    <w:rsid w:val="00583F55"/>
    <w:rsid w:val="00584036"/>
    <w:rsid w:val="00584054"/>
    <w:rsid w:val="005840CD"/>
    <w:rsid w:val="0058417C"/>
    <w:rsid w:val="00584206"/>
    <w:rsid w:val="005842E8"/>
    <w:rsid w:val="00584364"/>
    <w:rsid w:val="005843BC"/>
    <w:rsid w:val="00584480"/>
    <w:rsid w:val="005844F6"/>
    <w:rsid w:val="005848CB"/>
    <w:rsid w:val="00584983"/>
    <w:rsid w:val="00584ADF"/>
    <w:rsid w:val="00584AE4"/>
    <w:rsid w:val="00584BF9"/>
    <w:rsid w:val="00584F38"/>
    <w:rsid w:val="00585077"/>
    <w:rsid w:val="00585183"/>
    <w:rsid w:val="0058524F"/>
    <w:rsid w:val="005853E6"/>
    <w:rsid w:val="0058546B"/>
    <w:rsid w:val="005854FA"/>
    <w:rsid w:val="005857C4"/>
    <w:rsid w:val="00585827"/>
    <w:rsid w:val="00585886"/>
    <w:rsid w:val="00585979"/>
    <w:rsid w:val="00585B4E"/>
    <w:rsid w:val="00585BDF"/>
    <w:rsid w:val="00585C5A"/>
    <w:rsid w:val="00585C9B"/>
    <w:rsid w:val="00585D76"/>
    <w:rsid w:val="00585D7A"/>
    <w:rsid w:val="00585EBE"/>
    <w:rsid w:val="005860B8"/>
    <w:rsid w:val="005860D9"/>
    <w:rsid w:val="005860E6"/>
    <w:rsid w:val="0058617F"/>
    <w:rsid w:val="00586346"/>
    <w:rsid w:val="0058635E"/>
    <w:rsid w:val="005863EE"/>
    <w:rsid w:val="005863EF"/>
    <w:rsid w:val="00586407"/>
    <w:rsid w:val="005866EE"/>
    <w:rsid w:val="005866F8"/>
    <w:rsid w:val="0058693A"/>
    <w:rsid w:val="00586B2B"/>
    <w:rsid w:val="00586B91"/>
    <w:rsid w:val="00586E60"/>
    <w:rsid w:val="00586FBF"/>
    <w:rsid w:val="00587112"/>
    <w:rsid w:val="005871AF"/>
    <w:rsid w:val="005871E9"/>
    <w:rsid w:val="00587206"/>
    <w:rsid w:val="005872D2"/>
    <w:rsid w:val="005872D7"/>
    <w:rsid w:val="0058733A"/>
    <w:rsid w:val="0058749B"/>
    <w:rsid w:val="005874AD"/>
    <w:rsid w:val="005876A4"/>
    <w:rsid w:val="00587729"/>
    <w:rsid w:val="0058789F"/>
    <w:rsid w:val="005878C2"/>
    <w:rsid w:val="00587984"/>
    <w:rsid w:val="005879F5"/>
    <w:rsid w:val="00587A05"/>
    <w:rsid w:val="00587A06"/>
    <w:rsid w:val="00587A1E"/>
    <w:rsid w:val="00587C62"/>
    <w:rsid w:val="00587DB6"/>
    <w:rsid w:val="00587EB5"/>
    <w:rsid w:val="00587FEF"/>
    <w:rsid w:val="005900FA"/>
    <w:rsid w:val="005901CD"/>
    <w:rsid w:val="00590352"/>
    <w:rsid w:val="00590372"/>
    <w:rsid w:val="005904A5"/>
    <w:rsid w:val="00590588"/>
    <w:rsid w:val="00590776"/>
    <w:rsid w:val="00590854"/>
    <w:rsid w:val="00590912"/>
    <w:rsid w:val="00590C5D"/>
    <w:rsid w:val="00590CEB"/>
    <w:rsid w:val="005910D8"/>
    <w:rsid w:val="00591101"/>
    <w:rsid w:val="0059160B"/>
    <w:rsid w:val="005916B2"/>
    <w:rsid w:val="0059189D"/>
    <w:rsid w:val="005919CF"/>
    <w:rsid w:val="005919DE"/>
    <w:rsid w:val="00591BAD"/>
    <w:rsid w:val="00591CB1"/>
    <w:rsid w:val="00591EE3"/>
    <w:rsid w:val="00592025"/>
    <w:rsid w:val="005920F3"/>
    <w:rsid w:val="00592170"/>
    <w:rsid w:val="00592191"/>
    <w:rsid w:val="005922C9"/>
    <w:rsid w:val="00592621"/>
    <w:rsid w:val="0059269E"/>
    <w:rsid w:val="0059279C"/>
    <w:rsid w:val="00592A5D"/>
    <w:rsid w:val="00592C39"/>
    <w:rsid w:val="00592C8D"/>
    <w:rsid w:val="00592DEE"/>
    <w:rsid w:val="00592E82"/>
    <w:rsid w:val="00592FE8"/>
    <w:rsid w:val="00592FFE"/>
    <w:rsid w:val="00593019"/>
    <w:rsid w:val="00593030"/>
    <w:rsid w:val="0059323A"/>
    <w:rsid w:val="00593381"/>
    <w:rsid w:val="00593582"/>
    <w:rsid w:val="005935B0"/>
    <w:rsid w:val="005936E2"/>
    <w:rsid w:val="00593835"/>
    <w:rsid w:val="00593A77"/>
    <w:rsid w:val="00593A99"/>
    <w:rsid w:val="00593C19"/>
    <w:rsid w:val="00593C48"/>
    <w:rsid w:val="00593DA3"/>
    <w:rsid w:val="00593DDE"/>
    <w:rsid w:val="00593EDE"/>
    <w:rsid w:val="00593F85"/>
    <w:rsid w:val="00593FA9"/>
    <w:rsid w:val="005941F5"/>
    <w:rsid w:val="005942DF"/>
    <w:rsid w:val="00594501"/>
    <w:rsid w:val="00594552"/>
    <w:rsid w:val="00594700"/>
    <w:rsid w:val="005949A9"/>
    <w:rsid w:val="005949B8"/>
    <w:rsid w:val="00594B97"/>
    <w:rsid w:val="00594C07"/>
    <w:rsid w:val="00594C93"/>
    <w:rsid w:val="00594CBA"/>
    <w:rsid w:val="00594D0A"/>
    <w:rsid w:val="00594DA6"/>
    <w:rsid w:val="00594E45"/>
    <w:rsid w:val="00594F33"/>
    <w:rsid w:val="00594F50"/>
    <w:rsid w:val="0059524C"/>
    <w:rsid w:val="00595253"/>
    <w:rsid w:val="005953B3"/>
    <w:rsid w:val="005953EB"/>
    <w:rsid w:val="005955CC"/>
    <w:rsid w:val="0059573B"/>
    <w:rsid w:val="00595775"/>
    <w:rsid w:val="005957E1"/>
    <w:rsid w:val="00595841"/>
    <w:rsid w:val="005958DB"/>
    <w:rsid w:val="00595982"/>
    <w:rsid w:val="00595E34"/>
    <w:rsid w:val="00595E83"/>
    <w:rsid w:val="0059612D"/>
    <w:rsid w:val="00596153"/>
    <w:rsid w:val="0059617A"/>
    <w:rsid w:val="0059642F"/>
    <w:rsid w:val="005966E3"/>
    <w:rsid w:val="00596727"/>
    <w:rsid w:val="00596843"/>
    <w:rsid w:val="00596BB1"/>
    <w:rsid w:val="00596BD8"/>
    <w:rsid w:val="00596C40"/>
    <w:rsid w:val="00596DCA"/>
    <w:rsid w:val="00596E40"/>
    <w:rsid w:val="00596FBC"/>
    <w:rsid w:val="0059700F"/>
    <w:rsid w:val="0059715C"/>
    <w:rsid w:val="005971D2"/>
    <w:rsid w:val="00597306"/>
    <w:rsid w:val="00597314"/>
    <w:rsid w:val="0059743F"/>
    <w:rsid w:val="005977C4"/>
    <w:rsid w:val="00597834"/>
    <w:rsid w:val="00597B50"/>
    <w:rsid w:val="00597C8C"/>
    <w:rsid w:val="00597D39"/>
    <w:rsid w:val="00597DA8"/>
    <w:rsid w:val="00597E9F"/>
    <w:rsid w:val="00597F1A"/>
    <w:rsid w:val="005A0128"/>
    <w:rsid w:val="005A031D"/>
    <w:rsid w:val="005A032F"/>
    <w:rsid w:val="005A04F3"/>
    <w:rsid w:val="005A064B"/>
    <w:rsid w:val="005A083B"/>
    <w:rsid w:val="005A0A46"/>
    <w:rsid w:val="005A0AEB"/>
    <w:rsid w:val="005A0B93"/>
    <w:rsid w:val="005A0DEE"/>
    <w:rsid w:val="005A1077"/>
    <w:rsid w:val="005A12B2"/>
    <w:rsid w:val="005A1324"/>
    <w:rsid w:val="005A145D"/>
    <w:rsid w:val="005A15BD"/>
    <w:rsid w:val="005A17BA"/>
    <w:rsid w:val="005A17BB"/>
    <w:rsid w:val="005A17D0"/>
    <w:rsid w:val="005A184F"/>
    <w:rsid w:val="005A1A3D"/>
    <w:rsid w:val="005A1BB1"/>
    <w:rsid w:val="005A1BF4"/>
    <w:rsid w:val="005A1D90"/>
    <w:rsid w:val="005A1E32"/>
    <w:rsid w:val="005A200F"/>
    <w:rsid w:val="005A2088"/>
    <w:rsid w:val="005A21C0"/>
    <w:rsid w:val="005A2228"/>
    <w:rsid w:val="005A237E"/>
    <w:rsid w:val="005A23AA"/>
    <w:rsid w:val="005A252C"/>
    <w:rsid w:val="005A25A7"/>
    <w:rsid w:val="005A2612"/>
    <w:rsid w:val="005A2653"/>
    <w:rsid w:val="005A2754"/>
    <w:rsid w:val="005A27BD"/>
    <w:rsid w:val="005A27F6"/>
    <w:rsid w:val="005A2893"/>
    <w:rsid w:val="005A2ABA"/>
    <w:rsid w:val="005A2D44"/>
    <w:rsid w:val="005A2DA9"/>
    <w:rsid w:val="005A2F1D"/>
    <w:rsid w:val="005A3166"/>
    <w:rsid w:val="005A32C4"/>
    <w:rsid w:val="005A32DC"/>
    <w:rsid w:val="005A33F8"/>
    <w:rsid w:val="005A3534"/>
    <w:rsid w:val="005A3611"/>
    <w:rsid w:val="005A3618"/>
    <w:rsid w:val="005A3623"/>
    <w:rsid w:val="005A36EF"/>
    <w:rsid w:val="005A3741"/>
    <w:rsid w:val="005A37F9"/>
    <w:rsid w:val="005A381A"/>
    <w:rsid w:val="005A382C"/>
    <w:rsid w:val="005A3A75"/>
    <w:rsid w:val="005A3B3F"/>
    <w:rsid w:val="005A3B7D"/>
    <w:rsid w:val="005A3D2F"/>
    <w:rsid w:val="005A3E86"/>
    <w:rsid w:val="005A3F31"/>
    <w:rsid w:val="005A41D2"/>
    <w:rsid w:val="005A4329"/>
    <w:rsid w:val="005A43A4"/>
    <w:rsid w:val="005A4750"/>
    <w:rsid w:val="005A476D"/>
    <w:rsid w:val="005A4835"/>
    <w:rsid w:val="005A4BBA"/>
    <w:rsid w:val="005A4EA4"/>
    <w:rsid w:val="005A4EB9"/>
    <w:rsid w:val="005A4EDB"/>
    <w:rsid w:val="005A50DB"/>
    <w:rsid w:val="005A5227"/>
    <w:rsid w:val="005A5282"/>
    <w:rsid w:val="005A5590"/>
    <w:rsid w:val="005A5C2E"/>
    <w:rsid w:val="005A5C90"/>
    <w:rsid w:val="005A5DBE"/>
    <w:rsid w:val="005A5EF4"/>
    <w:rsid w:val="005A5FA9"/>
    <w:rsid w:val="005A6080"/>
    <w:rsid w:val="005A624C"/>
    <w:rsid w:val="005A6605"/>
    <w:rsid w:val="005A6814"/>
    <w:rsid w:val="005A6881"/>
    <w:rsid w:val="005A695E"/>
    <w:rsid w:val="005A69AB"/>
    <w:rsid w:val="005A6ACB"/>
    <w:rsid w:val="005A6BE1"/>
    <w:rsid w:val="005A6C92"/>
    <w:rsid w:val="005A6CD5"/>
    <w:rsid w:val="005A6DB3"/>
    <w:rsid w:val="005A6E50"/>
    <w:rsid w:val="005A6F5F"/>
    <w:rsid w:val="005A712A"/>
    <w:rsid w:val="005A714C"/>
    <w:rsid w:val="005A71AE"/>
    <w:rsid w:val="005A7249"/>
    <w:rsid w:val="005A775B"/>
    <w:rsid w:val="005A77FF"/>
    <w:rsid w:val="005A7861"/>
    <w:rsid w:val="005A796A"/>
    <w:rsid w:val="005A7B11"/>
    <w:rsid w:val="005A7CC5"/>
    <w:rsid w:val="005A7EE3"/>
    <w:rsid w:val="005B0011"/>
    <w:rsid w:val="005B0026"/>
    <w:rsid w:val="005B0117"/>
    <w:rsid w:val="005B022E"/>
    <w:rsid w:val="005B023A"/>
    <w:rsid w:val="005B0379"/>
    <w:rsid w:val="005B0512"/>
    <w:rsid w:val="005B077B"/>
    <w:rsid w:val="005B0860"/>
    <w:rsid w:val="005B08EF"/>
    <w:rsid w:val="005B0994"/>
    <w:rsid w:val="005B09CF"/>
    <w:rsid w:val="005B0AC6"/>
    <w:rsid w:val="005B0B8F"/>
    <w:rsid w:val="005B0C10"/>
    <w:rsid w:val="005B0CB0"/>
    <w:rsid w:val="005B0F60"/>
    <w:rsid w:val="005B107A"/>
    <w:rsid w:val="005B10C9"/>
    <w:rsid w:val="005B1206"/>
    <w:rsid w:val="005B1207"/>
    <w:rsid w:val="005B12FA"/>
    <w:rsid w:val="005B13EB"/>
    <w:rsid w:val="005B14E4"/>
    <w:rsid w:val="005B190D"/>
    <w:rsid w:val="005B1A1E"/>
    <w:rsid w:val="005B1DD1"/>
    <w:rsid w:val="005B1DDF"/>
    <w:rsid w:val="005B1FC5"/>
    <w:rsid w:val="005B1FC9"/>
    <w:rsid w:val="005B1FEA"/>
    <w:rsid w:val="005B209F"/>
    <w:rsid w:val="005B23C2"/>
    <w:rsid w:val="005B2516"/>
    <w:rsid w:val="005B25C9"/>
    <w:rsid w:val="005B275F"/>
    <w:rsid w:val="005B2940"/>
    <w:rsid w:val="005B29A7"/>
    <w:rsid w:val="005B2A02"/>
    <w:rsid w:val="005B2C85"/>
    <w:rsid w:val="005B2C86"/>
    <w:rsid w:val="005B2D6A"/>
    <w:rsid w:val="005B2E93"/>
    <w:rsid w:val="005B2F1F"/>
    <w:rsid w:val="005B2F30"/>
    <w:rsid w:val="005B3010"/>
    <w:rsid w:val="005B3011"/>
    <w:rsid w:val="005B31E1"/>
    <w:rsid w:val="005B3297"/>
    <w:rsid w:val="005B32BD"/>
    <w:rsid w:val="005B32BE"/>
    <w:rsid w:val="005B3552"/>
    <w:rsid w:val="005B356E"/>
    <w:rsid w:val="005B3753"/>
    <w:rsid w:val="005B392C"/>
    <w:rsid w:val="005B3A2E"/>
    <w:rsid w:val="005B3B1A"/>
    <w:rsid w:val="005B3BDF"/>
    <w:rsid w:val="005B3CE3"/>
    <w:rsid w:val="005B3D93"/>
    <w:rsid w:val="005B3DE1"/>
    <w:rsid w:val="005B3DE3"/>
    <w:rsid w:val="005B3EB7"/>
    <w:rsid w:val="005B3F34"/>
    <w:rsid w:val="005B3F8D"/>
    <w:rsid w:val="005B41BA"/>
    <w:rsid w:val="005B4240"/>
    <w:rsid w:val="005B43AE"/>
    <w:rsid w:val="005B43F5"/>
    <w:rsid w:val="005B441C"/>
    <w:rsid w:val="005B4527"/>
    <w:rsid w:val="005B47AE"/>
    <w:rsid w:val="005B4846"/>
    <w:rsid w:val="005B48A8"/>
    <w:rsid w:val="005B49F5"/>
    <w:rsid w:val="005B49FA"/>
    <w:rsid w:val="005B4A42"/>
    <w:rsid w:val="005B4C46"/>
    <w:rsid w:val="005B4DE2"/>
    <w:rsid w:val="005B4EA8"/>
    <w:rsid w:val="005B4F11"/>
    <w:rsid w:val="005B51B2"/>
    <w:rsid w:val="005B5255"/>
    <w:rsid w:val="005B526B"/>
    <w:rsid w:val="005B534F"/>
    <w:rsid w:val="005B53A8"/>
    <w:rsid w:val="005B5418"/>
    <w:rsid w:val="005B546D"/>
    <w:rsid w:val="005B5560"/>
    <w:rsid w:val="005B589D"/>
    <w:rsid w:val="005B5957"/>
    <w:rsid w:val="005B5CA1"/>
    <w:rsid w:val="005B5CEC"/>
    <w:rsid w:val="005B5D82"/>
    <w:rsid w:val="005B5E4D"/>
    <w:rsid w:val="005B600E"/>
    <w:rsid w:val="005B6045"/>
    <w:rsid w:val="005B6083"/>
    <w:rsid w:val="005B60F6"/>
    <w:rsid w:val="005B64AF"/>
    <w:rsid w:val="005B6554"/>
    <w:rsid w:val="005B6631"/>
    <w:rsid w:val="005B66E4"/>
    <w:rsid w:val="005B672E"/>
    <w:rsid w:val="005B676B"/>
    <w:rsid w:val="005B6C77"/>
    <w:rsid w:val="005B6D82"/>
    <w:rsid w:val="005B6DD0"/>
    <w:rsid w:val="005B6E15"/>
    <w:rsid w:val="005B6EB5"/>
    <w:rsid w:val="005B6F22"/>
    <w:rsid w:val="005B6F93"/>
    <w:rsid w:val="005B6F98"/>
    <w:rsid w:val="005B7062"/>
    <w:rsid w:val="005B706B"/>
    <w:rsid w:val="005B7335"/>
    <w:rsid w:val="005B740B"/>
    <w:rsid w:val="005B7474"/>
    <w:rsid w:val="005B75BB"/>
    <w:rsid w:val="005B760D"/>
    <w:rsid w:val="005B76D8"/>
    <w:rsid w:val="005B7C0C"/>
    <w:rsid w:val="005B7F0E"/>
    <w:rsid w:val="005B7F5D"/>
    <w:rsid w:val="005B7F80"/>
    <w:rsid w:val="005B7F8A"/>
    <w:rsid w:val="005C015E"/>
    <w:rsid w:val="005C0476"/>
    <w:rsid w:val="005C0575"/>
    <w:rsid w:val="005C05B9"/>
    <w:rsid w:val="005C065D"/>
    <w:rsid w:val="005C0868"/>
    <w:rsid w:val="005C08B6"/>
    <w:rsid w:val="005C0991"/>
    <w:rsid w:val="005C09D9"/>
    <w:rsid w:val="005C0C9E"/>
    <w:rsid w:val="005C0D73"/>
    <w:rsid w:val="005C0E5F"/>
    <w:rsid w:val="005C0E8F"/>
    <w:rsid w:val="005C0F7C"/>
    <w:rsid w:val="005C0FEB"/>
    <w:rsid w:val="005C1015"/>
    <w:rsid w:val="005C1068"/>
    <w:rsid w:val="005C108F"/>
    <w:rsid w:val="005C10AB"/>
    <w:rsid w:val="005C10EE"/>
    <w:rsid w:val="005C11D8"/>
    <w:rsid w:val="005C1259"/>
    <w:rsid w:val="005C12E6"/>
    <w:rsid w:val="005C1369"/>
    <w:rsid w:val="005C13AA"/>
    <w:rsid w:val="005C1571"/>
    <w:rsid w:val="005C15C4"/>
    <w:rsid w:val="005C16B2"/>
    <w:rsid w:val="005C16B8"/>
    <w:rsid w:val="005C1703"/>
    <w:rsid w:val="005C177D"/>
    <w:rsid w:val="005C1812"/>
    <w:rsid w:val="005C1815"/>
    <w:rsid w:val="005C193E"/>
    <w:rsid w:val="005C1A0D"/>
    <w:rsid w:val="005C1B78"/>
    <w:rsid w:val="005C1C19"/>
    <w:rsid w:val="005C1C57"/>
    <w:rsid w:val="005C1C93"/>
    <w:rsid w:val="005C1D01"/>
    <w:rsid w:val="005C1EE8"/>
    <w:rsid w:val="005C1F13"/>
    <w:rsid w:val="005C1F63"/>
    <w:rsid w:val="005C20F5"/>
    <w:rsid w:val="005C2478"/>
    <w:rsid w:val="005C24FF"/>
    <w:rsid w:val="005C259D"/>
    <w:rsid w:val="005C25A4"/>
    <w:rsid w:val="005C2619"/>
    <w:rsid w:val="005C2630"/>
    <w:rsid w:val="005C2AA5"/>
    <w:rsid w:val="005C2AA8"/>
    <w:rsid w:val="005C2CD3"/>
    <w:rsid w:val="005C2D3B"/>
    <w:rsid w:val="005C3035"/>
    <w:rsid w:val="005C30B3"/>
    <w:rsid w:val="005C3157"/>
    <w:rsid w:val="005C31AE"/>
    <w:rsid w:val="005C31F2"/>
    <w:rsid w:val="005C32C6"/>
    <w:rsid w:val="005C3402"/>
    <w:rsid w:val="005C3433"/>
    <w:rsid w:val="005C3497"/>
    <w:rsid w:val="005C3559"/>
    <w:rsid w:val="005C35F1"/>
    <w:rsid w:val="005C375A"/>
    <w:rsid w:val="005C3809"/>
    <w:rsid w:val="005C3863"/>
    <w:rsid w:val="005C389C"/>
    <w:rsid w:val="005C3A69"/>
    <w:rsid w:val="005C3B23"/>
    <w:rsid w:val="005C3CA4"/>
    <w:rsid w:val="005C3D5B"/>
    <w:rsid w:val="005C3E7F"/>
    <w:rsid w:val="005C3ED7"/>
    <w:rsid w:val="005C3F40"/>
    <w:rsid w:val="005C3F64"/>
    <w:rsid w:val="005C3FF2"/>
    <w:rsid w:val="005C406A"/>
    <w:rsid w:val="005C40A1"/>
    <w:rsid w:val="005C4209"/>
    <w:rsid w:val="005C4317"/>
    <w:rsid w:val="005C435A"/>
    <w:rsid w:val="005C4496"/>
    <w:rsid w:val="005C44FD"/>
    <w:rsid w:val="005C4561"/>
    <w:rsid w:val="005C459E"/>
    <w:rsid w:val="005C4673"/>
    <w:rsid w:val="005C47C6"/>
    <w:rsid w:val="005C4AA6"/>
    <w:rsid w:val="005C4C96"/>
    <w:rsid w:val="005C4EFF"/>
    <w:rsid w:val="005C52C3"/>
    <w:rsid w:val="005C5302"/>
    <w:rsid w:val="005C53C9"/>
    <w:rsid w:val="005C548B"/>
    <w:rsid w:val="005C557A"/>
    <w:rsid w:val="005C5616"/>
    <w:rsid w:val="005C563D"/>
    <w:rsid w:val="005C5640"/>
    <w:rsid w:val="005C5743"/>
    <w:rsid w:val="005C57BA"/>
    <w:rsid w:val="005C5983"/>
    <w:rsid w:val="005C5B42"/>
    <w:rsid w:val="005C5B8B"/>
    <w:rsid w:val="005C5DFB"/>
    <w:rsid w:val="005C5F2C"/>
    <w:rsid w:val="005C5F44"/>
    <w:rsid w:val="005C5F80"/>
    <w:rsid w:val="005C5F92"/>
    <w:rsid w:val="005C6188"/>
    <w:rsid w:val="005C6262"/>
    <w:rsid w:val="005C64EE"/>
    <w:rsid w:val="005C6631"/>
    <w:rsid w:val="005C6700"/>
    <w:rsid w:val="005C67FF"/>
    <w:rsid w:val="005C6937"/>
    <w:rsid w:val="005C699E"/>
    <w:rsid w:val="005C6A49"/>
    <w:rsid w:val="005C6A70"/>
    <w:rsid w:val="005C6BA9"/>
    <w:rsid w:val="005C6CC7"/>
    <w:rsid w:val="005C6D47"/>
    <w:rsid w:val="005C6D80"/>
    <w:rsid w:val="005C6DBA"/>
    <w:rsid w:val="005C6E12"/>
    <w:rsid w:val="005C6E8C"/>
    <w:rsid w:val="005C6E8D"/>
    <w:rsid w:val="005C6ED6"/>
    <w:rsid w:val="005C6EEE"/>
    <w:rsid w:val="005C6F6F"/>
    <w:rsid w:val="005C70C5"/>
    <w:rsid w:val="005C7195"/>
    <w:rsid w:val="005C7293"/>
    <w:rsid w:val="005C73D2"/>
    <w:rsid w:val="005C7630"/>
    <w:rsid w:val="005C76DC"/>
    <w:rsid w:val="005C7807"/>
    <w:rsid w:val="005C7875"/>
    <w:rsid w:val="005C788E"/>
    <w:rsid w:val="005C78C8"/>
    <w:rsid w:val="005C7953"/>
    <w:rsid w:val="005C79E4"/>
    <w:rsid w:val="005C7BE3"/>
    <w:rsid w:val="005C7C13"/>
    <w:rsid w:val="005C7DC5"/>
    <w:rsid w:val="005C7E63"/>
    <w:rsid w:val="005C7EF6"/>
    <w:rsid w:val="005D0162"/>
    <w:rsid w:val="005D05B0"/>
    <w:rsid w:val="005D07F5"/>
    <w:rsid w:val="005D0856"/>
    <w:rsid w:val="005D0973"/>
    <w:rsid w:val="005D09C6"/>
    <w:rsid w:val="005D0AF6"/>
    <w:rsid w:val="005D0B26"/>
    <w:rsid w:val="005D0B3D"/>
    <w:rsid w:val="005D0CA1"/>
    <w:rsid w:val="005D0DF2"/>
    <w:rsid w:val="005D0EC4"/>
    <w:rsid w:val="005D1215"/>
    <w:rsid w:val="005D14FC"/>
    <w:rsid w:val="005D15A9"/>
    <w:rsid w:val="005D1667"/>
    <w:rsid w:val="005D166B"/>
    <w:rsid w:val="005D16E3"/>
    <w:rsid w:val="005D1707"/>
    <w:rsid w:val="005D1744"/>
    <w:rsid w:val="005D1938"/>
    <w:rsid w:val="005D1998"/>
    <w:rsid w:val="005D19E4"/>
    <w:rsid w:val="005D1BEB"/>
    <w:rsid w:val="005D1C05"/>
    <w:rsid w:val="005D1EB1"/>
    <w:rsid w:val="005D2036"/>
    <w:rsid w:val="005D2076"/>
    <w:rsid w:val="005D21E4"/>
    <w:rsid w:val="005D2213"/>
    <w:rsid w:val="005D23CB"/>
    <w:rsid w:val="005D2439"/>
    <w:rsid w:val="005D24A6"/>
    <w:rsid w:val="005D2539"/>
    <w:rsid w:val="005D2669"/>
    <w:rsid w:val="005D26A1"/>
    <w:rsid w:val="005D26D1"/>
    <w:rsid w:val="005D2766"/>
    <w:rsid w:val="005D29B8"/>
    <w:rsid w:val="005D2BAC"/>
    <w:rsid w:val="005D2CBF"/>
    <w:rsid w:val="005D2D36"/>
    <w:rsid w:val="005D2E30"/>
    <w:rsid w:val="005D2F8D"/>
    <w:rsid w:val="005D3505"/>
    <w:rsid w:val="005D35ED"/>
    <w:rsid w:val="005D362C"/>
    <w:rsid w:val="005D3787"/>
    <w:rsid w:val="005D3792"/>
    <w:rsid w:val="005D38C8"/>
    <w:rsid w:val="005D3B23"/>
    <w:rsid w:val="005D3BF1"/>
    <w:rsid w:val="005D3CC4"/>
    <w:rsid w:val="005D3FAF"/>
    <w:rsid w:val="005D413E"/>
    <w:rsid w:val="005D427E"/>
    <w:rsid w:val="005D451F"/>
    <w:rsid w:val="005D45C6"/>
    <w:rsid w:val="005D46D9"/>
    <w:rsid w:val="005D4A57"/>
    <w:rsid w:val="005D4ADA"/>
    <w:rsid w:val="005D4B87"/>
    <w:rsid w:val="005D4D9D"/>
    <w:rsid w:val="005D4FE9"/>
    <w:rsid w:val="005D5151"/>
    <w:rsid w:val="005D52D6"/>
    <w:rsid w:val="005D5375"/>
    <w:rsid w:val="005D55BF"/>
    <w:rsid w:val="005D564B"/>
    <w:rsid w:val="005D576A"/>
    <w:rsid w:val="005D57BA"/>
    <w:rsid w:val="005D59EC"/>
    <w:rsid w:val="005D5B8E"/>
    <w:rsid w:val="005D5B93"/>
    <w:rsid w:val="005D5C63"/>
    <w:rsid w:val="005D5CAE"/>
    <w:rsid w:val="005D5E3A"/>
    <w:rsid w:val="005D5EAF"/>
    <w:rsid w:val="005D5F1C"/>
    <w:rsid w:val="005D5F21"/>
    <w:rsid w:val="005D6018"/>
    <w:rsid w:val="005D6085"/>
    <w:rsid w:val="005D60C9"/>
    <w:rsid w:val="005D64B6"/>
    <w:rsid w:val="005D65A5"/>
    <w:rsid w:val="005D65C0"/>
    <w:rsid w:val="005D65D3"/>
    <w:rsid w:val="005D66BB"/>
    <w:rsid w:val="005D695B"/>
    <w:rsid w:val="005D6961"/>
    <w:rsid w:val="005D69BE"/>
    <w:rsid w:val="005D6A20"/>
    <w:rsid w:val="005D6ABA"/>
    <w:rsid w:val="005D6ADA"/>
    <w:rsid w:val="005D6D0F"/>
    <w:rsid w:val="005D6D46"/>
    <w:rsid w:val="005D6FAA"/>
    <w:rsid w:val="005D724C"/>
    <w:rsid w:val="005D7295"/>
    <w:rsid w:val="005D754B"/>
    <w:rsid w:val="005D7620"/>
    <w:rsid w:val="005D7726"/>
    <w:rsid w:val="005D7843"/>
    <w:rsid w:val="005D7965"/>
    <w:rsid w:val="005D7AB3"/>
    <w:rsid w:val="005D7B0B"/>
    <w:rsid w:val="005D7B66"/>
    <w:rsid w:val="005D7C24"/>
    <w:rsid w:val="005D7C3D"/>
    <w:rsid w:val="005D7C4F"/>
    <w:rsid w:val="005D7D1D"/>
    <w:rsid w:val="005D7D96"/>
    <w:rsid w:val="005E010C"/>
    <w:rsid w:val="005E019E"/>
    <w:rsid w:val="005E04C5"/>
    <w:rsid w:val="005E05DA"/>
    <w:rsid w:val="005E067D"/>
    <w:rsid w:val="005E08AA"/>
    <w:rsid w:val="005E0909"/>
    <w:rsid w:val="005E09D8"/>
    <w:rsid w:val="005E0ED9"/>
    <w:rsid w:val="005E0FA2"/>
    <w:rsid w:val="005E1037"/>
    <w:rsid w:val="005E10F6"/>
    <w:rsid w:val="005E12CF"/>
    <w:rsid w:val="005E12FC"/>
    <w:rsid w:val="005E13A0"/>
    <w:rsid w:val="005E1478"/>
    <w:rsid w:val="005E15DA"/>
    <w:rsid w:val="005E15FC"/>
    <w:rsid w:val="005E16A7"/>
    <w:rsid w:val="005E16C2"/>
    <w:rsid w:val="005E16D6"/>
    <w:rsid w:val="005E1772"/>
    <w:rsid w:val="005E179A"/>
    <w:rsid w:val="005E1878"/>
    <w:rsid w:val="005E18B2"/>
    <w:rsid w:val="005E195C"/>
    <w:rsid w:val="005E1A8C"/>
    <w:rsid w:val="005E2066"/>
    <w:rsid w:val="005E2087"/>
    <w:rsid w:val="005E210E"/>
    <w:rsid w:val="005E225D"/>
    <w:rsid w:val="005E24E0"/>
    <w:rsid w:val="005E2565"/>
    <w:rsid w:val="005E2576"/>
    <w:rsid w:val="005E2646"/>
    <w:rsid w:val="005E2828"/>
    <w:rsid w:val="005E282F"/>
    <w:rsid w:val="005E286B"/>
    <w:rsid w:val="005E2A7F"/>
    <w:rsid w:val="005E2B4E"/>
    <w:rsid w:val="005E2C6A"/>
    <w:rsid w:val="005E2CA9"/>
    <w:rsid w:val="005E2D94"/>
    <w:rsid w:val="005E2DEE"/>
    <w:rsid w:val="005E2EDB"/>
    <w:rsid w:val="005E2F6E"/>
    <w:rsid w:val="005E2FF6"/>
    <w:rsid w:val="005E300E"/>
    <w:rsid w:val="005E3261"/>
    <w:rsid w:val="005E3687"/>
    <w:rsid w:val="005E396F"/>
    <w:rsid w:val="005E39A0"/>
    <w:rsid w:val="005E39D2"/>
    <w:rsid w:val="005E3B6E"/>
    <w:rsid w:val="005E3BB5"/>
    <w:rsid w:val="005E3C40"/>
    <w:rsid w:val="005E3C87"/>
    <w:rsid w:val="005E3EDA"/>
    <w:rsid w:val="005E3EDB"/>
    <w:rsid w:val="005E3F13"/>
    <w:rsid w:val="005E3FCB"/>
    <w:rsid w:val="005E3FEA"/>
    <w:rsid w:val="005E3FEC"/>
    <w:rsid w:val="005E4065"/>
    <w:rsid w:val="005E468C"/>
    <w:rsid w:val="005E46FB"/>
    <w:rsid w:val="005E47E2"/>
    <w:rsid w:val="005E47E8"/>
    <w:rsid w:val="005E499E"/>
    <w:rsid w:val="005E4A0A"/>
    <w:rsid w:val="005E4C69"/>
    <w:rsid w:val="005E4F0D"/>
    <w:rsid w:val="005E4F6E"/>
    <w:rsid w:val="005E4F85"/>
    <w:rsid w:val="005E4FC7"/>
    <w:rsid w:val="005E52CD"/>
    <w:rsid w:val="005E533C"/>
    <w:rsid w:val="005E534C"/>
    <w:rsid w:val="005E55BD"/>
    <w:rsid w:val="005E55D0"/>
    <w:rsid w:val="005E560E"/>
    <w:rsid w:val="005E5613"/>
    <w:rsid w:val="005E562F"/>
    <w:rsid w:val="005E5882"/>
    <w:rsid w:val="005E58DC"/>
    <w:rsid w:val="005E58E0"/>
    <w:rsid w:val="005E591B"/>
    <w:rsid w:val="005E5957"/>
    <w:rsid w:val="005E5980"/>
    <w:rsid w:val="005E5A56"/>
    <w:rsid w:val="005E5A83"/>
    <w:rsid w:val="005E5AC7"/>
    <w:rsid w:val="005E5BD9"/>
    <w:rsid w:val="005E5D76"/>
    <w:rsid w:val="005E5DF9"/>
    <w:rsid w:val="005E5E24"/>
    <w:rsid w:val="005E5E3D"/>
    <w:rsid w:val="005E5F68"/>
    <w:rsid w:val="005E5F72"/>
    <w:rsid w:val="005E5FA3"/>
    <w:rsid w:val="005E5FB8"/>
    <w:rsid w:val="005E5FC4"/>
    <w:rsid w:val="005E6003"/>
    <w:rsid w:val="005E6340"/>
    <w:rsid w:val="005E63DC"/>
    <w:rsid w:val="005E66B4"/>
    <w:rsid w:val="005E679E"/>
    <w:rsid w:val="005E68C2"/>
    <w:rsid w:val="005E68E9"/>
    <w:rsid w:val="005E68F7"/>
    <w:rsid w:val="005E694C"/>
    <w:rsid w:val="005E6AB9"/>
    <w:rsid w:val="005E6EA0"/>
    <w:rsid w:val="005E6ECC"/>
    <w:rsid w:val="005E6EF3"/>
    <w:rsid w:val="005E7125"/>
    <w:rsid w:val="005E7273"/>
    <w:rsid w:val="005E73B6"/>
    <w:rsid w:val="005E74D2"/>
    <w:rsid w:val="005E7543"/>
    <w:rsid w:val="005E75ED"/>
    <w:rsid w:val="005E76E8"/>
    <w:rsid w:val="005E770E"/>
    <w:rsid w:val="005E792C"/>
    <w:rsid w:val="005E797F"/>
    <w:rsid w:val="005E7CC8"/>
    <w:rsid w:val="005E7D56"/>
    <w:rsid w:val="005E7DA5"/>
    <w:rsid w:val="005E7E60"/>
    <w:rsid w:val="005F0003"/>
    <w:rsid w:val="005F004A"/>
    <w:rsid w:val="005F00D3"/>
    <w:rsid w:val="005F017A"/>
    <w:rsid w:val="005F018A"/>
    <w:rsid w:val="005F0281"/>
    <w:rsid w:val="005F0375"/>
    <w:rsid w:val="005F037F"/>
    <w:rsid w:val="005F03ED"/>
    <w:rsid w:val="005F04DF"/>
    <w:rsid w:val="005F058B"/>
    <w:rsid w:val="005F0653"/>
    <w:rsid w:val="005F07A0"/>
    <w:rsid w:val="005F07CF"/>
    <w:rsid w:val="005F086D"/>
    <w:rsid w:val="005F08B2"/>
    <w:rsid w:val="005F08BE"/>
    <w:rsid w:val="005F0B75"/>
    <w:rsid w:val="005F0BDD"/>
    <w:rsid w:val="005F0E1E"/>
    <w:rsid w:val="005F1029"/>
    <w:rsid w:val="005F10D8"/>
    <w:rsid w:val="005F1253"/>
    <w:rsid w:val="005F13A9"/>
    <w:rsid w:val="005F1427"/>
    <w:rsid w:val="005F15A4"/>
    <w:rsid w:val="005F16A0"/>
    <w:rsid w:val="005F1751"/>
    <w:rsid w:val="005F19C6"/>
    <w:rsid w:val="005F1A37"/>
    <w:rsid w:val="005F1ADC"/>
    <w:rsid w:val="005F1BD4"/>
    <w:rsid w:val="005F1C20"/>
    <w:rsid w:val="005F1C7A"/>
    <w:rsid w:val="005F1DEB"/>
    <w:rsid w:val="005F1E22"/>
    <w:rsid w:val="005F1EFE"/>
    <w:rsid w:val="005F201F"/>
    <w:rsid w:val="005F240A"/>
    <w:rsid w:val="005F2479"/>
    <w:rsid w:val="005F26F6"/>
    <w:rsid w:val="005F2714"/>
    <w:rsid w:val="005F2927"/>
    <w:rsid w:val="005F295F"/>
    <w:rsid w:val="005F29B4"/>
    <w:rsid w:val="005F2ACF"/>
    <w:rsid w:val="005F2B04"/>
    <w:rsid w:val="005F2BC7"/>
    <w:rsid w:val="005F2DF0"/>
    <w:rsid w:val="005F2E78"/>
    <w:rsid w:val="005F2F70"/>
    <w:rsid w:val="005F30D0"/>
    <w:rsid w:val="005F33B1"/>
    <w:rsid w:val="005F33DD"/>
    <w:rsid w:val="005F36BF"/>
    <w:rsid w:val="005F3720"/>
    <w:rsid w:val="005F3745"/>
    <w:rsid w:val="005F3A34"/>
    <w:rsid w:val="005F3A9E"/>
    <w:rsid w:val="005F3AAF"/>
    <w:rsid w:val="005F3B87"/>
    <w:rsid w:val="005F3D3C"/>
    <w:rsid w:val="005F3DBB"/>
    <w:rsid w:val="005F3E4A"/>
    <w:rsid w:val="005F3E55"/>
    <w:rsid w:val="005F3E77"/>
    <w:rsid w:val="005F3F46"/>
    <w:rsid w:val="005F403F"/>
    <w:rsid w:val="005F4210"/>
    <w:rsid w:val="005F45F4"/>
    <w:rsid w:val="005F46F7"/>
    <w:rsid w:val="005F470A"/>
    <w:rsid w:val="005F481F"/>
    <w:rsid w:val="005F4BFC"/>
    <w:rsid w:val="005F4E41"/>
    <w:rsid w:val="005F4E59"/>
    <w:rsid w:val="005F4E6E"/>
    <w:rsid w:val="005F5174"/>
    <w:rsid w:val="005F590F"/>
    <w:rsid w:val="005F5957"/>
    <w:rsid w:val="005F5A9E"/>
    <w:rsid w:val="005F5B3D"/>
    <w:rsid w:val="005F5B8E"/>
    <w:rsid w:val="005F5CC6"/>
    <w:rsid w:val="005F5E1F"/>
    <w:rsid w:val="005F5E27"/>
    <w:rsid w:val="005F5E2F"/>
    <w:rsid w:val="005F5EBF"/>
    <w:rsid w:val="005F5FF5"/>
    <w:rsid w:val="005F604B"/>
    <w:rsid w:val="005F605B"/>
    <w:rsid w:val="005F608B"/>
    <w:rsid w:val="005F6283"/>
    <w:rsid w:val="005F633A"/>
    <w:rsid w:val="005F63FD"/>
    <w:rsid w:val="005F66CD"/>
    <w:rsid w:val="005F677A"/>
    <w:rsid w:val="005F685C"/>
    <w:rsid w:val="005F68D3"/>
    <w:rsid w:val="005F68D8"/>
    <w:rsid w:val="005F6916"/>
    <w:rsid w:val="005F6938"/>
    <w:rsid w:val="005F6A91"/>
    <w:rsid w:val="005F6AF6"/>
    <w:rsid w:val="005F6BE8"/>
    <w:rsid w:val="005F6CB6"/>
    <w:rsid w:val="005F6D81"/>
    <w:rsid w:val="005F6DAD"/>
    <w:rsid w:val="005F6FB8"/>
    <w:rsid w:val="005F72E9"/>
    <w:rsid w:val="005F72F2"/>
    <w:rsid w:val="005F7352"/>
    <w:rsid w:val="005F7397"/>
    <w:rsid w:val="005F73E1"/>
    <w:rsid w:val="005F7421"/>
    <w:rsid w:val="005F74A0"/>
    <w:rsid w:val="005F779A"/>
    <w:rsid w:val="005F78AA"/>
    <w:rsid w:val="005F790C"/>
    <w:rsid w:val="005F7B29"/>
    <w:rsid w:val="005F7FD0"/>
    <w:rsid w:val="005F7FE3"/>
    <w:rsid w:val="00600134"/>
    <w:rsid w:val="0060018F"/>
    <w:rsid w:val="00600366"/>
    <w:rsid w:val="00600421"/>
    <w:rsid w:val="006004E5"/>
    <w:rsid w:val="00600594"/>
    <w:rsid w:val="006005F4"/>
    <w:rsid w:val="0060071C"/>
    <w:rsid w:val="00600993"/>
    <w:rsid w:val="00600AF3"/>
    <w:rsid w:val="00600B13"/>
    <w:rsid w:val="00600B33"/>
    <w:rsid w:val="00600C83"/>
    <w:rsid w:val="00600D1C"/>
    <w:rsid w:val="0060100C"/>
    <w:rsid w:val="0060101E"/>
    <w:rsid w:val="00601025"/>
    <w:rsid w:val="0060128B"/>
    <w:rsid w:val="0060154A"/>
    <w:rsid w:val="006016BB"/>
    <w:rsid w:val="0060179B"/>
    <w:rsid w:val="0060191A"/>
    <w:rsid w:val="00601AE6"/>
    <w:rsid w:val="00601B12"/>
    <w:rsid w:val="00601BF2"/>
    <w:rsid w:val="00601C88"/>
    <w:rsid w:val="00601D92"/>
    <w:rsid w:val="00601E7F"/>
    <w:rsid w:val="00601F0B"/>
    <w:rsid w:val="00601F69"/>
    <w:rsid w:val="0060216C"/>
    <w:rsid w:val="006021E9"/>
    <w:rsid w:val="00602454"/>
    <w:rsid w:val="00602512"/>
    <w:rsid w:val="00602906"/>
    <w:rsid w:val="00602971"/>
    <w:rsid w:val="00602A67"/>
    <w:rsid w:val="00602A84"/>
    <w:rsid w:val="00602A95"/>
    <w:rsid w:val="00602BDA"/>
    <w:rsid w:val="00602D4E"/>
    <w:rsid w:val="00602ECC"/>
    <w:rsid w:val="00602EDD"/>
    <w:rsid w:val="00602FA0"/>
    <w:rsid w:val="0060305C"/>
    <w:rsid w:val="006030BC"/>
    <w:rsid w:val="0060312C"/>
    <w:rsid w:val="00603296"/>
    <w:rsid w:val="00603381"/>
    <w:rsid w:val="006033F8"/>
    <w:rsid w:val="006035CD"/>
    <w:rsid w:val="006039EB"/>
    <w:rsid w:val="00603B11"/>
    <w:rsid w:val="00603BA3"/>
    <w:rsid w:val="00603C99"/>
    <w:rsid w:val="00603D66"/>
    <w:rsid w:val="00603D7C"/>
    <w:rsid w:val="00603E12"/>
    <w:rsid w:val="00603EAF"/>
    <w:rsid w:val="00603ED7"/>
    <w:rsid w:val="00603F6D"/>
    <w:rsid w:val="00603FD2"/>
    <w:rsid w:val="00604035"/>
    <w:rsid w:val="00604134"/>
    <w:rsid w:val="00604215"/>
    <w:rsid w:val="0060435F"/>
    <w:rsid w:val="00604409"/>
    <w:rsid w:val="00604744"/>
    <w:rsid w:val="00604844"/>
    <w:rsid w:val="00604903"/>
    <w:rsid w:val="00604988"/>
    <w:rsid w:val="00604AA0"/>
    <w:rsid w:val="00604B63"/>
    <w:rsid w:val="00604BA0"/>
    <w:rsid w:val="00604DBF"/>
    <w:rsid w:val="00604F85"/>
    <w:rsid w:val="00604FAA"/>
    <w:rsid w:val="00605171"/>
    <w:rsid w:val="0060523D"/>
    <w:rsid w:val="0060527F"/>
    <w:rsid w:val="0060536D"/>
    <w:rsid w:val="006053AC"/>
    <w:rsid w:val="0060540B"/>
    <w:rsid w:val="00605621"/>
    <w:rsid w:val="006057A2"/>
    <w:rsid w:val="0060594F"/>
    <w:rsid w:val="00605A0B"/>
    <w:rsid w:val="00605E00"/>
    <w:rsid w:val="00606119"/>
    <w:rsid w:val="0060611D"/>
    <w:rsid w:val="006061AC"/>
    <w:rsid w:val="006061D6"/>
    <w:rsid w:val="0060622C"/>
    <w:rsid w:val="0060623A"/>
    <w:rsid w:val="00606279"/>
    <w:rsid w:val="006064D9"/>
    <w:rsid w:val="0060659A"/>
    <w:rsid w:val="006065CF"/>
    <w:rsid w:val="00606675"/>
    <w:rsid w:val="0060678A"/>
    <w:rsid w:val="00606846"/>
    <w:rsid w:val="00606C70"/>
    <w:rsid w:val="00606C98"/>
    <w:rsid w:val="00606D29"/>
    <w:rsid w:val="00606E45"/>
    <w:rsid w:val="00606E6F"/>
    <w:rsid w:val="00606E8E"/>
    <w:rsid w:val="00606EA3"/>
    <w:rsid w:val="00606EDE"/>
    <w:rsid w:val="0060704D"/>
    <w:rsid w:val="006070D5"/>
    <w:rsid w:val="0060720B"/>
    <w:rsid w:val="0060737F"/>
    <w:rsid w:val="006074A4"/>
    <w:rsid w:val="006075C8"/>
    <w:rsid w:val="0060760C"/>
    <w:rsid w:val="006078BC"/>
    <w:rsid w:val="006079A9"/>
    <w:rsid w:val="00607A6E"/>
    <w:rsid w:val="00607ACC"/>
    <w:rsid w:val="00607ADA"/>
    <w:rsid w:val="00607BAD"/>
    <w:rsid w:val="00607C16"/>
    <w:rsid w:val="00607C99"/>
    <w:rsid w:val="00607ECF"/>
    <w:rsid w:val="00607FCD"/>
    <w:rsid w:val="00610043"/>
    <w:rsid w:val="0061004D"/>
    <w:rsid w:val="006104BF"/>
    <w:rsid w:val="006105C5"/>
    <w:rsid w:val="0061076B"/>
    <w:rsid w:val="006107DA"/>
    <w:rsid w:val="00610B35"/>
    <w:rsid w:val="00610BFF"/>
    <w:rsid w:val="00610E49"/>
    <w:rsid w:val="00610F22"/>
    <w:rsid w:val="00611097"/>
    <w:rsid w:val="006110B7"/>
    <w:rsid w:val="00611113"/>
    <w:rsid w:val="0061130A"/>
    <w:rsid w:val="006113DE"/>
    <w:rsid w:val="00611738"/>
    <w:rsid w:val="0061180D"/>
    <w:rsid w:val="006119AB"/>
    <w:rsid w:val="00611B49"/>
    <w:rsid w:val="00611D2A"/>
    <w:rsid w:val="00611E11"/>
    <w:rsid w:val="006120CB"/>
    <w:rsid w:val="00612249"/>
    <w:rsid w:val="00612281"/>
    <w:rsid w:val="006126DC"/>
    <w:rsid w:val="006127FA"/>
    <w:rsid w:val="00612A91"/>
    <w:rsid w:val="00612AA9"/>
    <w:rsid w:val="00612F80"/>
    <w:rsid w:val="0061308B"/>
    <w:rsid w:val="00613152"/>
    <w:rsid w:val="006131D8"/>
    <w:rsid w:val="006131E9"/>
    <w:rsid w:val="0061334E"/>
    <w:rsid w:val="00613485"/>
    <w:rsid w:val="006137DA"/>
    <w:rsid w:val="0061391F"/>
    <w:rsid w:val="006139C0"/>
    <w:rsid w:val="006139E5"/>
    <w:rsid w:val="00613C71"/>
    <w:rsid w:val="00613CD2"/>
    <w:rsid w:val="00613E05"/>
    <w:rsid w:val="00614227"/>
    <w:rsid w:val="00614307"/>
    <w:rsid w:val="00614326"/>
    <w:rsid w:val="006144D9"/>
    <w:rsid w:val="00614533"/>
    <w:rsid w:val="00614554"/>
    <w:rsid w:val="006145E1"/>
    <w:rsid w:val="00614610"/>
    <w:rsid w:val="00614688"/>
    <w:rsid w:val="00614896"/>
    <w:rsid w:val="00614B64"/>
    <w:rsid w:val="00614FC4"/>
    <w:rsid w:val="006151EA"/>
    <w:rsid w:val="00615296"/>
    <w:rsid w:val="006152E4"/>
    <w:rsid w:val="00615470"/>
    <w:rsid w:val="006154E6"/>
    <w:rsid w:val="00615524"/>
    <w:rsid w:val="006155F8"/>
    <w:rsid w:val="006158C7"/>
    <w:rsid w:val="0061594A"/>
    <w:rsid w:val="006159DD"/>
    <w:rsid w:val="006159EF"/>
    <w:rsid w:val="00615BB2"/>
    <w:rsid w:val="00615BFB"/>
    <w:rsid w:val="00615E18"/>
    <w:rsid w:val="00615E48"/>
    <w:rsid w:val="00615E81"/>
    <w:rsid w:val="00616083"/>
    <w:rsid w:val="00616484"/>
    <w:rsid w:val="0061651A"/>
    <w:rsid w:val="006166B6"/>
    <w:rsid w:val="00616746"/>
    <w:rsid w:val="00616784"/>
    <w:rsid w:val="00616E7D"/>
    <w:rsid w:val="00616F19"/>
    <w:rsid w:val="00616F25"/>
    <w:rsid w:val="00617178"/>
    <w:rsid w:val="00617373"/>
    <w:rsid w:val="00617467"/>
    <w:rsid w:val="006174FB"/>
    <w:rsid w:val="00617787"/>
    <w:rsid w:val="006177CF"/>
    <w:rsid w:val="0061784B"/>
    <w:rsid w:val="0061797A"/>
    <w:rsid w:val="00617B6C"/>
    <w:rsid w:val="00617C19"/>
    <w:rsid w:val="00617D26"/>
    <w:rsid w:val="00617D39"/>
    <w:rsid w:val="00617F82"/>
    <w:rsid w:val="00617FA8"/>
    <w:rsid w:val="00620317"/>
    <w:rsid w:val="006203AF"/>
    <w:rsid w:val="00620417"/>
    <w:rsid w:val="006204DF"/>
    <w:rsid w:val="00620577"/>
    <w:rsid w:val="006206A8"/>
    <w:rsid w:val="006206AD"/>
    <w:rsid w:val="0062084E"/>
    <w:rsid w:val="00620876"/>
    <w:rsid w:val="00620A29"/>
    <w:rsid w:val="00620B42"/>
    <w:rsid w:val="00620C1D"/>
    <w:rsid w:val="00620C96"/>
    <w:rsid w:val="00620EF0"/>
    <w:rsid w:val="0062108A"/>
    <w:rsid w:val="00621134"/>
    <w:rsid w:val="00621151"/>
    <w:rsid w:val="006211A8"/>
    <w:rsid w:val="00621244"/>
    <w:rsid w:val="006212D0"/>
    <w:rsid w:val="00621373"/>
    <w:rsid w:val="00621476"/>
    <w:rsid w:val="00621906"/>
    <w:rsid w:val="00621B8C"/>
    <w:rsid w:val="00621B9B"/>
    <w:rsid w:val="00621BBC"/>
    <w:rsid w:val="00621CFD"/>
    <w:rsid w:val="00622009"/>
    <w:rsid w:val="00622183"/>
    <w:rsid w:val="006224BE"/>
    <w:rsid w:val="00622528"/>
    <w:rsid w:val="0062266C"/>
    <w:rsid w:val="0062280A"/>
    <w:rsid w:val="0062292E"/>
    <w:rsid w:val="00622B4E"/>
    <w:rsid w:val="00622BFD"/>
    <w:rsid w:val="00622CDB"/>
    <w:rsid w:val="00622DF0"/>
    <w:rsid w:val="00622DF7"/>
    <w:rsid w:val="00622E01"/>
    <w:rsid w:val="00623091"/>
    <w:rsid w:val="0062317A"/>
    <w:rsid w:val="006231F4"/>
    <w:rsid w:val="00623207"/>
    <w:rsid w:val="00623293"/>
    <w:rsid w:val="0062339F"/>
    <w:rsid w:val="00623636"/>
    <w:rsid w:val="0062366F"/>
    <w:rsid w:val="006237DA"/>
    <w:rsid w:val="00623862"/>
    <w:rsid w:val="00623882"/>
    <w:rsid w:val="00623ABB"/>
    <w:rsid w:val="00623B2A"/>
    <w:rsid w:val="00623D0B"/>
    <w:rsid w:val="00623D53"/>
    <w:rsid w:val="00623FAA"/>
    <w:rsid w:val="006240EE"/>
    <w:rsid w:val="0062453E"/>
    <w:rsid w:val="00624659"/>
    <w:rsid w:val="0062466F"/>
    <w:rsid w:val="00624762"/>
    <w:rsid w:val="0062484B"/>
    <w:rsid w:val="0062493B"/>
    <w:rsid w:val="006249C4"/>
    <w:rsid w:val="00624AE1"/>
    <w:rsid w:val="00624B7B"/>
    <w:rsid w:val="00624B93"/>
    <w:rsid w:val="00624C2C"/>
    <w:rsid w:val="00624CEF"/>
    <w:rsid w:val="006251E3"/>
    <w:rsid w:val="00625262"/>
    <w:rsid w:val="006253AF"/>
    <w:rsid w:val="0062544D"/>
    <w:rsid w:val="006255B8"/>
    <w:rsid w:val="006257F3"/>
    <w:rsid w:val="0062583F"/>
    <w:rsid w:val="006259F7"/>
    <w:rsid w:val="00625B7B"/>
    <w:rsid w:val="00625BF8"/>
    <w:rsid w:val="00625C23"/>
    <w:rsid w:val="00625D4D"/>
    <w:rsid w:val="006260B3"/>
    <w:rsid w:val="0062619E"/>
    <w:rsid w:val="006261AD"/>
    <w:rsid w:val="00626246"/>
    <w:rsid w:val="0062625A"/>
    <w:rsid w:val="00626265"/>
    <w:rsid w:val="006263D6"/>
    <w:rsid w:val="0062651E"/>
    <w:rsid w:val="0062673D"/>
    <w:rsid w:val="006267D6"/>
    <w:rsid w:val="00626848"/>
    <w:rsid w:val="00626A76"/>
    <w:rsid w:val="00626AB9"/>
    <w:rsid w:val="00626BC7"/>
    <w:rsid w:val="00626D62"/>
    <w:rsid w:val="00626E3D"/>
    <w:rsid w:val="00626EA5"/>
    <w:rsid w:val="00626F61"/>
    <w:rsid w:val="00626FDE"/>
    <w:rsid w:val="0062721A"/>
    <w:rsid w:val="00627275"/>
    <w:rsid w:val="00627291"/>
    <w:rsid w:val="0062730D"/>
    <w:rsid w:val="0062733B"/>
    <w:rsid w:val="006273ED"/>
    <w:rsid w:val="006274D6"/>
    <w:rsid w:val="0062757B"/>
    <w:rsid w:val="00627D0E"/>
    <w:rsid w:val="00627D3D"/>
    <w:rsid w:val="00627FB3"/>
    <w:rsid w:val="00630084"/>
    <w:rsid w:val="0063016B"/>
    <w:rsid w:val="00630192"/>
    <w:rsid w:val="0063022F"/>
    <w:rsid w:val="00630267"/>
    <w:rsid w:val="0063032D"/>
    <w:rsid w:val="00630460"/>
    <w:rsid w:val="00630539"/>
    <w:rsid w:val="00630580"/>
    <w:rsid w:val="006305F5"/>
    <w:rsid w:val="006306CB"/>
    <w:rsid w:val="006307FB"/>
    <w:rsid w:val="006307FF"/>
    <w:rsid w:val="00630B0E"/>
    <w:rsid w:val="00630B0F"/>
    <w:rsid w:val="00630B8C"/>
    <w:rsid w:val="00630C8C"/>
    <w:rsid w:val="00630DD9"/>
    <w:rsid w:val="00630E8E"/>
    <w:rsid w:val="0063102B"/>
    <w:rsid w:val="00631212"/>
    <w:rsid w:val="00631437"/>
    <w:rsid w:val="006314A7"/>
    <w:rsid w:val="006314DC"/>
    <w:rsid w:val="00631516"/>
    <w:rsid w:val="00631835"/>
    <w:rsid w:val="006318E2"/>
    <w:rsid w:val="00631A80"/>
    <w:rsid w:val="00631B08"/>
    <w:rsid w:val="00631B49"/>
    <w:rsid w:val="00631B78"/>
    <w:rsid w:val="00631B8C"/>
    <w:rsid w:val="00631BB4"/>
    <w:rsid w:val="00631CCF"/>
    <w:rsid w:val="006321BB"/>
    <w:rsid w:val="006321F5"/>
    <w:rsid w:val="00632241"/>
    <w:rsid w:val="00632429"/>
    <w:rsid w:val="006325B3"/>
    <w:rsid w:val="006326E9"/>
    <w:rsid w:val="0063274E"/>
    <w:rsid w:val="00632774"/>
    <w:rsid w:val="00632881"/>
    <w:rsid w:val="006328F7"/>
    <w:rsid w:val="0063295E"/>
    <w:rsid w:val="006329FE"/>
    <w:rsid w:val="00632A1F"/>
    <w:rsid w:val="00632CF7"/>
    <w:rsid w:val="00632D42"/>
    <w:rsid w:val="00632EA2"/>
    <w:rsid w:val="00632F60"/>
    <w:rsid w:val="0063315A"/>
    <w:rsid w:val="0063319E"/>
    <w:rsid w:val="006334AE"/>
    <w:rsid w:val="00633510"/>
    <w:rsid w:val="00633606"/>
    <w:rsid w:val="00633626"/>
    <w:rsid w:val="0063362C"/>
    <w:rsid w:val="00633777"/>
    <w:rsid w:val="00633842"/>
    <w:rsid w:val="00633877"/>
    <w:rsid w:val="006338A1"/>
    <w:rsid w:val="006338BB"/>
    <w:rsid w:val="0063390C"/>
    <w:rsid w:val="00633AC4"/>
    <w:rsid w:val="00634049"/>
    <w:rsid w:val="0063443A"/>
    <w:rsid w:val="00634696"/>
    <w:rsid w:val="006347E1"/>
    <w:rsid w:val="0063488C"/>
    <w:rsid w:val="00634BD6"/>
    <w:rsid w:val="00634C8C"/>
    <w:rsid w:val="00634D8E"/>
    <w:rsid w:val="00634F72"/>
    <w:rsid w:val="00634FAE"/>
    <w:rsid w:val="00635013"/>
    <w:rsid w:val="0063533F"/>
    <w:rsid w:val="006354EE"/>
    <w:rsid w:val="0063579E"/>
    <w:rsid w:val="006358A3"/>
    <w:rsid w:val="00635912"/>
    <w:rsid w:val="0063592A"/>
    <w:rsid w:val="00635A32"/>
    <w:rsid w:val="00635A7B"/>
    <w:rsid w:val="00635D13"/>
    <w:rsid w:val="00635D3B"/>
    <w:rsid w:val="00635E09"/>
    <w:rsid w:val="00635E77"/>
    <w:rsid w:val="00635E87"/>
    <w:rsid w:val="00635EE5"/>
    <w:rsid w:val="00635F1F"/>
    <w:rsid w:val="0063607B"/>
    <w:rsid w:val="006360BE"/>
    <w:rsid w:val="00636100"/>
    <w:rsid w:val="006362C7"/>
    <w:rsid w:val="006365F8"/>
    <w:rsid w:val="00636622"/>
    <w:rsid w:val="006366ED"/>
    <w:rsid w:val="00636827"/>
    <w:rsid w:val="00636A92"/>
    <w:rsid w:val="00636A9C"/>
    <w:rsid w:val="00636BBF"/>
    <w:rsid w:val="00636DB3"/>
    <w:rsid w:val="00636EFF"/>
    <w:rsid w:val="00636F6C"/>
    <w:rsid w:val="00636FA5"/>
    <w:rsid w:val="00636FFE"/>
    <w:rsid w:val="00637107"/>
    <w:rsid w:val="00637218"/>
    <w:rsid w:val="006372DC"/>
    <w:rsid w:val="00637480"/>
    <w:rsid w:val="00637526"/>
    <w:rsid w:val="0063752F"/>
    <w:rsid w:val="0063763F"/>
    <w:rsid w:val="0063775E"/>
    <w:rsid w:val="0063782C"/>
    <w:rsid w:val="0063789F"/>
    <w:rsid w:val="00637995"/>
    <w:rsid w:val="00637AEF"/>
    <w:rsid w:val="00637B0B"/>
    <w:rsid w:val="00637B13"/>
    <w:rsid w:val="00637BCB"/>
    <w:rsid w:val="00637C8D"/>
    <w:rsid w:val="00637E4F"/>
    <w:rsid w:val="00637E51"/>
    <w:rsid w:val="00637F16"/>
    <w:rsid w:val="00637FAA"/>
    <w:rsid w:val="00637FB7"/>
    <w:rsid w:val="00640005"/>
    <w:rsid w:val="00640045"/>
    <w:rsid w:val="0064018E"/>
    <w:rsid w:val="006404D1"/>
    <w:rsid w:val="0064068E"/>
    <w:rsid w:val="006408DF"/>
    <w:rsid w:val="006408E9"/>
    <w:rsid w:val="00640910"/>
    <w:rsid w:val="006409F8"/>
    <w:rsid w:val="00640A3B"/>
    <w:rsid w:val="00640AEF"/>
    <w:rsid w:val="00640B40"/>
    <w:rsid w:val="00640BD4"/>
    <w:rsid w:val="00640DF6"/>
    <w:rsid w:val="006410FA"/>
    <w:rsid w:val="00641130"/>
    <w:rsid w:val="006411F1"/>
    <w:rsid w:val="006411FC"/>
    <w:rsid w:val="0064120E"/>
    <w:rsid w:val="00641419"/>
    <w:rsid w:val="006415C9"/>
    <w:rsid w:val="006416E7"/>
    <w:rsid w:val="0064171F"/>
    <w:rsid w:val="00641A20"/>
    <w:rsid w:val="00641B53"/>
    <w:rsid w:val="00641B61"/>
    <w:rsid w:val="00641D08"/>
    <w:rsid w:val="00641DAD"/>
    <w:rsid w:val="00641F0D"/>
    <w:rsid w:val="00642017"/>
    <w:rsid w:val="00642132"/>
    <w:rsid w:val="00642209"/>
    <w:rsid w:val="00642297"/>
    <w:rsid w:val="006422BF"/>
    <w:rsid w:val="00642340"/>
    <w:rsid w:val="00642439"/>
    <w:rsid w:val="0064249F"/>
    <w:rsid w:val="00642506"/>
    <w:rsid w:val="006425C1"/>
    <w:rsid w:val="00642600"/>
    <w:rsid w:val="0064263A"/>
    <w:rsid w:val="006428B8"/>
    <w:rsid w:val="006428D5"/>
    <w:rsid w:val="00642A4E"/>
    <w:rsid w:val="00642B0E"/>
    <w:rsid w:val="00642B5A"/>
    <w:rsid w:val="00642B78"/>
    <w:rsid w:val="00642C1D"/>
    <w:rsid w:val="006430DC"/>
    <w:rsid w:val="0064317A"/>
    <w:rsid w:val="006431FD"/>
    <w:rsid w:val="006438DD"/>
    <w:rsid w:val="00643C60"/>
    <w:rsid w:val="00643D6C"/>
    <w:rsid w:val="00643DA9"/>
    <w:rsid w:val="00643E67"/>
    <w:rsid w:val="00643E8E"/>
    <w:rsid w:val="00643FE5"/>
    <w:rsid w:val="00644098"/>
    <w:rsid w:val="006440C4"/>
    <w:rsid w:val="006440EA"/>
    <w:rsid w:val="006442B1"/>
    <w:rsid w:val="00644382"/>
    <w:rsid w:val="00644438"/>
    <w:rsid w:val="00644451"/>
    <w:rsid w:val="006444EC"/>
    <w:rsid w:val="00644782"/>
    <w:rsid w:val="00644950"/>
    <w:rsid w:val="006449C9"/>
    <w:rsid w:val="00644A0E"/>
    <w:rsid w:val="00644A8E"/>
    <w:rsid w:val="00644C49"/>
    <w:rsid w:val="00644C7B"/>
    <w:rsid w:val="00644DA1"/>
    <w:rsid w:val="00644EE4"/>
    <w:rsid w:val="00644F79"/>
    <w:rsid w:val="00644F9D"/>
    <w:rsid w:val="006452AC"/>
    <w:rsid w:val="006452AD"/>
    <w:rsid w:val="006454A9"/>
    <w:rsid w:val="0064554E"/>
    <w:rsid w:val="00645725"/>
    <w:rsid w:val="00645D33"/>
    <w:rsid w:val="00645E3A"/>
    <w:rsid w:val="00645ED6"/>
    <w:rsid w:val="00645EDE"/>
    <w:rsid w:val="00645F32"/>
    <w:rsid w:val="00645FD2"/>
    <w:rsid w:val="0064604E"/>
    <w:rsid w:val="00646073"/>
    <w:rsid w:val="006463FF"/>
    <w:rsid w:val="00646605"/>
    <w:rsid w:val="0064660E"/>
    <w:rsid w:val="00646654"/>
    <w:rsid w:val="00646742"/>
    <w:rsid w:val="006467F5"/>
    <w:rsid w:val="006467FC"/>
    <w:rsid w:val="00646869"/>
    <w:rsid w:val="006468CC"/>
    <w:rsid w:val="006469E7"/>
    <w:rsid w:val="00646A27"/>
    <w:rsid w:val="00646BE9"/>
    <w:rsid w:val="00646C92"/>
    <w:rsid w:val="00646EAE"/>
    <w:rsid w:val="00646F66"/>
    <w:rsid w:val="006473EA"/>
    <w:rsid w:val="00647553"/>
    <w:rsid w:val="0064769F"/>
    <w:rsid w:val="0064798A"/>
    <w:rsid w:val="00647B8C"/>
    <w:rsid w:val="00647BE5"/>
    <w:rsid w:val="00647C74"/>
    <w:rsid w:val="00647CAB"/>
    <w:rsid w:val="00647D07"/>
    <w:rsid w:val="00647D9E"/>
    <w:rsid w:val="00647F32"/>
    <w:rsid w:val="00650011"/>
    <w:rsid w:val="00650067"/>
    <w:rsid w:val="0065010F"/>
    <w:rsid w:val="0065012E"/>
    <w:rsid w:val="006501B8"/>
    <w:rsid w:val="00650289"/>
    <w:rsid w:val="006503B7"/>
    <w:rsid w:val="00650544"/>
    <w:rsid w:val="00650558"/>
    <w:rsid w:val="006505CA"/>
    <w:rsid w:val="0065060D"/>
    <w:rsid w:val="006506E2"/>
    <w:rsid w:val="006507EC"/>
    <w:rsid w:val="006509E9"/>
    <w:rsid w:val="00650BF1"/>
    <w:rsid w:val="00650C68"/>
    <w:rsid w:val="00650EB8"/>
    <w:rsid w:val="00650F55"/>
    <w:rsid w:val="00650FAE"/>
    <w:rsid w:val="00651063"/>
    <w:rsid w:val="00651064"/>
    <w:rsid w:val="00651084"/>
    <w:rsid w:val="006510F9"/>
    <w:rsid w:val="006512A9"/>
    <w:rsid w:val="0065132F"/>
    <w:rsid w:val="006513E8"/>
    <w:rsid w:val="0065157B"/>
    <w:rsid w:val="0065177B"/>
    <w:rsid w:val="0065184A"/>
    <w:rsid w:val="00651C0A"/>
    <w:rsid w:val="00651C8F"/>
    <w:rsid w:val="00651D0B"/>
    <w:rsid w:val="00651D15"/>
    <w:rsid w:val="00651D7C"/>
    <w:rsid w:val="00651E13"/>
    <w:rsid w:val="00651F5B"/>
    <w:rsid w:val="00652175"/>
    <w:rsid w:val="006521EE"/>
    <w:rsid w:val="0065238D"/>
    <w:rsid w:val="00652582"/>
    <w:rsid w:val="006525EE"/>
    <w:rsid w:val="00652611"/>
    <w:rsid w:val="0065266D"/>
    <w:rsid w:val="00652766"/>
    <w:rsid w:val="006528AF"/>
    <w:rsid w:val="0065298D"/>
    <w:rsid w:val="006529BD"/>
    <w:rsid w:val="00652B90"/>
    <w:rsid w:val="00652B95"/>
    <w:rsid w:val="00652C44"/>
    <w:rsid w:val="00652CEA"/>
    <w:rsid w:val="00652CF5"/>
    <w:rsid w:val="00652E28"/>
    <w:rsid w:val="00652F07"/>
    <w:rsid w:val="00652F0B"/>
    <w:rsid w:val="00653042"/>
    <w:rsid w:val="0065305D"/>
    <w:rsid w:val="006530A1"/>
    <w:rsid w:val="00653401"/>
    <w:rsid w:val="006535B2"/>
    <w:rsid w:val="00653D08"/>
    <w:rsid w:val="00653D2B"/>
    <w:rsid w:val="00653F07"/>
    <w:rsid w:val="00653F24"/>
    <w:rsid w:val="006542FB"/>
    <w:rsid w:val="00654399"/>
    <w:rsid w:val="00654496"/>
    <w:rsid w:val="006545E0"/>
    <w:rsid w:val="00654917"/>
    <w:rsid w:val="00654EE7"/>
    <w:rsid w:val="00654FCA"/>
    <w:rsid w:val="00655078"/>
    <w:rsid w:val="00655101"/>
    <w:rsid w:val="006551CE"/>
    <w:rsid w:val="0065536F"/>
    <w:rsid w:val="00655495"/>
    <w:rsid w:val="0065570A"/>
    <w:rsid w:val="0065572F"/>
    <w:rsid w:val="00655819"/>
    <w:rsid w:val="00655913"/>
    <w:rsid w:val="0065599A"/>
    <w:rsid w:val="00655EF9"/>
    <w:rsid w:val="006561DC"/>
    <w:rsid w:val="006562CB"/>
    <w:rsid w:val="0065639C"/>
    <w:rsid w:val="0065646A"/>
    <w:rsid w:val="0065665D"/>
    <w:rsid w:val="006566C6"/>
    <w:rsid w:val="00656783"/>
    <w:rsid w:val="00656843"/>
    <w:rsid w:val="00656885"/>
    <w:rsid w:val="006568AA"/>
    <w:rsid w:val="0065696E"/>
    <w:rsid w:val="006569AE"/>
    <w:rsid w:val="00656B96"/>
    <w:rsid w:val="00656BF3"/>
    <w:rsid w:val="00656CD1"/>
    <w:rsid w:val="00656CE7"/>
    <w:rsid w:val="00656DA3"/>
    <w:rsid w:val="006570AD"/>
    <w:rsid w:val="006571B4"/>
    <w:rsid w:val="006573FB"/>
    <w:rsid w:val="006574E1"/>
    <w:rsid w:val="0065750C"/>
    <w:rsid w:val="00657722"/>
    <w:rsid w:val="00657846"/>
    <w:rsid w:val="00657B47"/>
    <w:rsid w:val="00657E0A"/>
    <w:rsid w:val="00657EE9"/>
    <w:rsid w:val="00657F5C"/>
    <w:rsid w:val="00657F7F"/>
    <w:rsid w:val="00660087"/>
    <w:rsid w:val="0066055B"/>
    <w:rsid w:val="00660662"/>
    <w:rsid w:val="006608F5"/>
    <w:rsid w:val="00660ABF"/>
    <w:rsid w:val="00660CD0"/>
    <w:rsid w:val="00660D25"/>
    <w:rsid w:val="00660E44"/>
    <w:rsid w:val="00661329"/>
    <w:rsid w:val="006613A4"/>
    <w:rsid w:val="006613F6"/>
    <w:rsid w:val="00661504"/>
    <w:rsid w:val="0066150F"/>
    <w:rsid w:val="00661564"/>
    <w:rsid w:val="00661728"/>
    <w:rsid w:val="00661744"/>
    <w:rsid w:val="00661806"/>
    <w:rsid w:val="006618C0"/>
    <w:rsid w:val="006618DF"/>
    <w:rsid w:val="00661A21"/>
    <w:rsid w:val="00661D75"/>
    <w:rsid w:val="00662037"/>
    <w:rsid w:val="006620FC"/>
    <w:rsid w:val="00662116"/>
    <w:rsid w:val="006621BC"/>
    <w:rsid w:val="006624DF"/>
    <w:rsid w:val="00662576"/>
    <w:rsid w:val="006625A3"/>
    <w:rsid w:val="006625E7"/>
    <w:rsid w:val="006626B3"/>
    <w:rsid w:val="00662709"/>
    <w:rsid w:val="00662755"/>
    <w:rsid w:val="00662AF1"/>
    <w:rsid w:val="00662B7F"/>
    <w:rsid w:val="00662CA6"/>
    <w:rsid w:val="00662CA9"/>
    <w:rsid w:val="00662D48"/>
    <w:rsid w:val="006630A8"/>
    <w:rsid w:val="00663259"/>
    <w:rsid w:val="00663435"/>
    <w:rsid w:val="006634D8"/>
    <w:rsid w:val="00663502"/>
    <w:rsid w:val="00663516"/>
    <w:rsid w:val="006637EC"/>
    <w:rsid w:val="00663AFE"/>
    <w:rsid w:val="00663B0B"/>
    <w:rsid w:val="00663BA0"/>
    <w:rsid w:val="00663C13"/>
    <w:rsid w:val="00663E73"/>
    <w:rsid w:val="00663F04"/>
    <w:rsid w:val="0066422F"/>
    <w:rsid w:val="00664237"/>
    <w:rsid w:val="0066428F"/>
    <w:rsid w:val="00664343"/>
    <w:rsid w:val="006643F8"/>
    <w:rsid w:val="006644A4"/>
    <w:rsid w:val="006645E0"/>
    <w:rsid w:val="006649B8"/>
    <w:rsid w:val="00664A56"/>
    <w:rsid w:val="00664B7D"/>
    <w:rsid w:val="00664F1B"/>
    <w:rsid w:val="006651DD"/>
    <w:rsid w:val="00665479"/>
    <w:rsid w:val="00665825"/>
    <w:rsid w:val="00665884"/>
    <w:rsid w:val="006659D3"/>
    <w:rsid w:val="006659F3"/>
    <w:rsid w:val="00665C7C"/>
    <w:rsid w:val="00665DBA"/>
    <w:rsid w:val="00666036"/>
    <w:rsid w:val="00666209"/>
    <w:rsid w:val="0066621A"/>
    <w:rsid w:val="006663D1"/>
    <w:rsid w:val="0066640E"/>
    <w:rsid w:val="00666556"/>
    <w:rsid w:val="006665C3"/>
    <w:rsid w:val="006665C9"/>
    <w:rsid w:val="0066667A"/>
    <w:rsid w:val="006666E4"/>
    <w:rsid w:val="00666763"/>
    <w:rsid w:val="00666838"/>
    <w:rsid w:val="006668C2"/>
    <w:rsid w:val="00666934"/>
    <w:rsid w:val="0066699A"/>
    <w:rsid w:val="006669F0"/>
    <w:rsid w:val="00666D0F"/>
    <w:rsid w:val="00666D6E"/>
    <w:rsid w:val="00666E72"/>
    <w:rsid w:val="00666E8A"/>
    <w:rsid w:val="00666EEA"/>
    <w:rsid w:val="00666FAE"/>
    <w:rsid w:val="006670A2"/>
    <w:rsid w:val="00667110"/>
    <w:rsid w:val="006671AD"/>
    <w:rsid w:val="006673DE"/>
    <w:rsid w:val="00667495"/>
    <w:rsid w:val="0066782C"/>
    <w:rsid w:val="006678BB"/>
    <w:rsid w:val="006679C7"/>
    <w:rsid w:val="00667AC3"/>
    <w:rsid w:val="00667B16"/>
    <w:rsid w:val="00667BB9"/>
    <w:rsid w:val="00667BFC"/>
    <w:rsid w:val="00667C43"/>
    <w:rsid w:val="00667DE7"/>
    <w:rsid w:val="00667E9D"/>
    <w:rsid w:val="00667F0B"/>
    <w:rsid w:val="00667F9A"/>
    <w:rsid w:val="00670379"/>
    <w:rsid w:val="0067037A"/>
    <w:rsid w:val="00670436"/>
    <w:rsid w:val="00670455"/>
    <w:rsid w:val="00670479"/>
    <w:rsid w:val="006707F8"/>
    <w:rsid w:val="0067089D"/>
    <w:rsid w:val="00670A67"/>
    <w:rsid w:val="00670A7F"/>
    <w:rsid w:val="00670A9A"/>
    <w:rsid w:val="00670E32"/>
    <w:rsid w:val="00670F0B"/>
    <w:rsid w:val="00670F29"/>
    <w:rsid w:val="00671099"/>
    <w:rsid w:val="0067109D"/>
    <w:rsid w:val="00671178"/>
    <w:rsid w:val="006713C6"/>
    <w:rsid w:val="006715E1"/>
    <w:rsid w:val="00671640"/>
    <w:rsid w:val="006717A4"/>
    <w:rsid w:val="00671A5D"/>
    <w:rsid w:val="00671A74"/>
    <w:rsid w:val="00671AB2"/>
    <w:rsid w:val="00671AD2"/>
    <w:rsid w:val="00671BBC"/>
    <w:rsid w:val="00671CFE"/>
    <w:rsid w:val="00671D6C"/>
    <w:rsid w:val="00671DA1"/>
    <w:rsid w:val="00671DBF"/>
    <w:rsid w:val="00671EE6"/>
    <w:rsid w:val="006720C6"/>
    <w:rsid w:val="00672354"/>
    <w:rsid w:val="006724EC"/>
    <w:rsid w:val="006726A0"/>
    <w:rsid w:val="00672985"/>
    <w:rsid w:val="00672AF0"/>
    <w:rsid w:val="00672B15"/>
    <w:rsid w:val="00672ECE"/>
    <w:rsid w:val="006730AB"/>
    <w:rsid w:val="0067323D"/>
    <w:rsid w:val="00673324"/>
    <w:rsid w:val="0067335E"/>
    <w:rsid w:val="006734E2"/>
    <w:rsid w:val="00673573"/>
    <w:rsid w:val="00673717"/>
    <w:rsid w:val="006737FF"/>
    <w:rsid w:val="0067382B"/>
    <w:rsid w:val="00673876"/>
    <w:rsid w:val="00673916"/>
    <w:rsid w:val="006739ED"/>
    <w:rsid w:val="00673A79"/>
    <w:rsid w:val="00673BE6"/>
    <w:rsid w:val="00673FC4"/>
    <w:rsid w:val="0067404C"/>
    <w:rsid w:val="00674302"/>
    <w:rsid w:val="0067437B"/>
    <w:rsid w:val="006743CB"/>
    <w:rsid w:val="00674589"/>
    <w:rsid w:val="0067460E"/>
    <w:rsid w:val="00674658"/>
    <w:rsid w:val="0067467B"/>
    <w:rsid w:val="00674724"/>
    <w:rsid w:val="006749B0"/>
    <w:rsid w:val="00674ADA"/>
    <w:rsid w:val="00674B1C"/>
    <w:rsid w:val="00674B45"/>
    <w:rsid w:val="00674C8C"/>
    <w:rsid w:val="0067535C"/>
    <w:rsid w:val="006754BF"/>
    <w:rsid w:val="006757F4"/>
    <w:rsid w:val="006758B7"/>
    <w:rsid w:val="006758EC"/>
    <w:rsid w:val="006759B0"/>
    <w:rsid w:val="00675CE5"/>
    <w:rsid w:val="00675D0D"/>
    <w:rsid w:val="006760BF"/>
    <w:rsid w:val="0067629E"/>
    <w:rsid w:val="00676302"/>
    <w:rsid w:val="0067630D"/>
    <w:rsid w:val="0067636B"/>
    <w:rsid w:val="0067642A"/>
    <w:rsid w:val="00676491"/>
    <w:rsid w:val="006764CD"/>
    <w:rsid w:val="0067662B"/>
    <w:rsid w:val="006767B9"/>
    <w:rsid w:val="006767C6"/>
    <w:rsid w:val="0067683B"/>
    <w:rsid w:val="00676B34"/>
    <w:rsid w:val="00676BE1"/>
    <w:rsid w:val="00676C04"/>
    <w:rsid w:val="00676D27"/>
    <w:rsid w:val="00676F54"/>
    <w:rsid w:val="006770B1"/>
    <w:rsid w:val="006770E9"/>
    <w:rsid w:val="00677185"/>
    <w:rsid w:val="00677531"/>
    <w:rsid w:val="0067759D"/>
    <w:rsid w:val="006776B2"/>
    <w:rsid w:val="006776EA"/>
    <w:rsid w:val="00677A96"/>
    <w:rsid w:val="00677B82"/>
    <w:rsid w:val="00677B9B"/>
    <w:rsid w:val="00677BEB"/>
    <w:rsid w:val="00677EBB"/>
    <w:rsid w:val="00677ECD"/>
    <w:rsid w:val="00680263"/>
    <w:rsid w:val="006802FA"/>
    <w:rsid w:val="0068041A"/>
    <w:rsid w:val="00680456"/>
    <w:rsid w:val="00680483"/>
    <w:rsid w:val="00680577"/>
    <w:rsid w:val="006805DE"/>
    <w:rsid w:val="00680687"/>
    <w:rsid w:val="00680715"/>
    <w:rsid w:val="00680767"/>
    <w:rsid w:val="00680768"/>
    <w:rsid w:val="00680914"/>
    <w:rsid w:val="00680940"/>
    <w:rsid w:val="00680965"/>
    <w:rsid w:val="00680B7E"/>
    <w:rsid w:val="00680C8A"/>
    <w:rsid w:val="00680D5A"/>
    <w:rsid w:val="00680DF4"/>
    <w:rsid w:val="00680F78"/>
    <w:rsid w:val="0068102B"/>
    <w:rsid w:val="0068117B"/>
    <w:rsid w:val="006811D5"/>
    <w:rsid w:val="006811FF"/>
    <w:rsid w:val="006815AF"/>
    <w:rsid w:val="006815BD"/>
    <w:rsid w:val="006816AE"/>
    <w:rsid w:val="006818DA"/>
    <w:rsid w:val="00681935"/>
    <w:rsid w:val="00681AF7"/>
    <w:rsid w:val="00681CE5"/>
    <w:rsid w:val="00681F92"/>
    <w:rsid w:val="006820CE"/>
    <w:rsid w:val="00682162"/>
    <w:rsid w:val="00682187"/>
    <w:rsid w:val="006823D3"/>
    <w:rsid w:val="00682512"/>
    <w:rsid w:val="006826C1"/>
    <w:rsid w:val="006826C6"/>
    <w:rsid w:val="00682A20"/>
    <w:rsid w:val="00682D05"/>
    <w:rsid w:val="00682D3B"/>
    <w:rsid w:val="00682D6B"/>
    <w:rsid w:val="00682D71"/>
    <w:rsid w:val="00682DC0"/>
    <w:rsid w:val="00683199"/>
    <w:rsid w:val="006832FD"/>
    <w:rsid w:val="00683436"/>
    <w:rsid w:val="00683B16"/>
    <w:rsid w:val="00683B89"/>
    <w:rsid w:val="00683D37"/>
    <w:rsid w:val="00683EAB"/>
    <w:rsid w:val="00683EDE"/>
    <w:rsid w:val="00683F72"/>
    <w:rsid w:val="0068408B"/>
    <w:rsid w:val="0068408E"/>
    <w:rsid w:val="00684093"/>
    <w:rsid w:val="006840CC"/>
    <w:rsid w:val="006840E9"/>
    <w:rsid w:val="00684184"/>
    <w:rsid w:val="006842D7"/>
    <w:rsid w:val="00684390"/>
    <w:rsid w:val="006843AE"/>
    <w:rsid w:val="00684581"/>
    <w:rsid w:val="006845AC"/>
    <w:rsid w:val="006845E2"/>
    <w:rsid w:val="006847CF"/>
    <w:rsid w:val="00684804"/>
    <w:rsid w:val="00684871"/>
    <w:rsid w:val="00684882"/>
    <w:rsid w:val="006848D8"/>
    <w:rsid w:val="00684922"/>
    <w:rsid w:val="0068496B"/>
    <w:rsid w:val="006849DC"/>
    <w:rsid w:val="00684ABE"/>
    <w:rsid w:val="00684BB3"/>
    <w:rsid w:val="00684DA0"/>
    <w:rsid w:val="00684DB4"/>
    <w:rsid w:val="0068518D"/>
    <w:rsid w:val="0068531F"/>
    <w:rsid w:val="00685463"/>
    <w:rsid w:val="0068559F"/>
    <w:rsid w:val="00685686"/>
    <w:rsid w:val="0068572C"/>
    <w:rsid w:val="0068578D"/>
    <w:rsid w:val="006859D4"/>
    <w:rsid w:val="00685B41"/>
    <w:rsid w:val="00685EE1"/>
    <w:rsid w:val="00685FB6"/>
    <w:rsid w:val="00686007"/>
    <w:rsid w:val="00686351"/>
    <w:rsid w:val="0068646F"/>
    <w:rsid w:val="00686689"/>
    <w:rsid w:val="006866B6"/>
    <w:rsid w:val="006867B9"/>
    <w:rsid w:val="006869AD"/>
    <w:rsid w:val="00686C2F"/>
    <w:rsid w:val="00686C38"/>
    <w:rsid w:val="00686D16"/>
    <w:rsid w:val="00686E0D"/>
    <w:rsid w:val="0068720E"/>
    <w:rsid w:val="006872E8"/>
    <w:rsid w:val="00687364"/>
    <w:rsid w:val="00687388"/>
    <w:rsid w:val="006879B5"/>
    <w:rsid w:val="00687AE8"/>
    <w:rsid w:val="00687BB8"/>
    <w:rsid w:val="00687CE2"/>
    <w:rsid w:val="00687EF2"/>
    <w:rsid w:val="00690015"/>
    <w:rsid w:val="00690058"/>
    <w:rsid w:val="006905B2"/>
    <w:rsid w:val="006905F2"/>
    <w:rsid w:val="00690643"/>
    <w:rsid w:val="0069084E"/>
    <w:rsid w:val="00690B2C"/>
    <w:rsid w:val="00690BE0"/>
    <w:rsid w:val="00690C72"/>
    <w:rsid w:val="00690CF8"/>
    <w:rsid w:val="00690CFC"/>
    <w:rsid w:val="00690DE3"/>
    <w:rsid w:val="00691059"/>
    <w:rsid w:val="006910A7"/>
    <w:rsid w:val="00691234"/>
    <w:rsid w:val="006912AE"/>
    <w:rsid w:val="006912F0"/>
    <w:rsid w:val="0069139F"/>
    <w:rsid w:val="006914CF"/>
    <w:rsid w:val="006915BD"/>
    <w:rsid w:val="006915E7"/>
    <w:rsid w:val="006918E5"/>
    <w:rsid w:val="006919C7"/>
    <w:rsid w:val="00691AA9"/>
    <w:rsid w:val="00691B7D"/>
    <w:rsid w:val="00691BE7"/>
    <w:rsid w:val="00691CCD"/>
    <w:rsid w:val="00691DB6"/>
    <w:rsid w:val="00691E2E"/>
    <w:rsid w:val="00691EA9"/>
    <w:rsid w:val="00692105"/>
    <w:rsid w:val="006921DF"/>
    <w:rsid w:val="006921F2"/>
    <w:rsid w:val="00692268"/>
    <w:rsid w:val="006922A2"/>
    <w:rsid w:val="006924D8"/>
    <w:rsid w:val="00692536"/>
    <w:rsid w:val="00692544"/>
    <w:rsid w:val="006929A3"/>
    <w:rsid w:val="00692B00"/>
    <w:rsid w:val="00692BED"/>
    <w:rsid w:val="00692C17"/>
    <w:rsid w:val="00692ECD"/>
    <w:rsid w:val="00692F62"/>
    <w:rsid w:val="00692FC0"/>
    <w:rsid w:val="00693004"/>
    <w:rsid w:val="0069305B"/>
    <w:rsid w:val="006931D8"/>
    <w:rsid w:val="00693230"/>
    <w:rsid w:val="00693253"/>
    <w:rsid w:val="00693404"/>
    <w:rsid w:val="0069353C"/>
    <w:rsid w:val="00693AEC"/>
    <w:rsid w:val="00693C30"/>
    <w:rsid w:val="00693E84"/>
    <w:rsid w:val="00693F67"/>
    <w:rsid w:val="006940B7"/>
    <w:rsid w:val="006940E2"/>
    <w:rsid w:val="00694119"/>
    <w:rsid w:val="0069417B"/>
    <w:rsid w:val="006942CA"/>
    <w:rsid w:val="00694302"/>
    <w:rsid w:val="00694355"/>
    <w:rsid w:val="0069463B"/>
    <w:rsid w:val="00694761"/>
    <w:rsid w:val="00694833"/>
    <w:rsid w:val="0069486E"/>
    <w:rsid w:val="00694AFF"/>
    <w:rsid w:val="00694B59"/>
    <w:rsid w:val="00694DE6"/>
    <w:rsid w:val="00694E55"/>
    <w:rsid w:val="00694EB8"/>
    <w:rsid w:val="00695142"/>
    <w:rsid w:val="00695412"/>
    <w:rsid w:val="006958BF"/>
    <w:rsid w:val="00695A5B"/>
    <w:rsid w:val="00695D36"/>
    <w:rsid w:val="00695DE7"/>
    <w:rsid w:val="00695FF2"/>
    <w:rsid w:val="006960B0"/>
    <w:rsid w:val="0069633C"/>
    <w:rsid w:val="00696341"/>
    <w:rsid w:val="006963BC"/>
    <w:rsid w:val="00696559"/>
    <w:rsid w:val="00696695"/>
    <w:rsid w:val="006966CF"/>
    <w:rsid w:val="006967D3"/>
    <w:rsid w:val="0069685E"/>
    <w:rsid w:val="00696962"/>
    <w:rsid w:val="00696AB8"/>
    <w:rsid w:val="00696B25"/>
    <w:rsid w:val="00696C5A"/>
    <w:rsid w:val="00696F24"/>
    <w:rsid w:val="00696F4D"/>
    <w:rsid w:val="0069700E"/>
    <w:rsid w:val="00697068"/>
    <w:rsid w:val="00697255"/>
    <w:rsid w:val="00697261"/>
    <w:rsid w:val="00697269"/>
    <w:rsid w:val="0069742D"/>
    <w:rsid w:val="006976B7"/>
    <w:rsid w:val="0069789D"/>
    <w:rsid w:val="006978F2"/>
    <w:rsid w:val="00697C5D"/>
    <w:rsid w:val="00697C8A"/>
    <w:rsid w:val="00697DE4"/>
    <w:rsid w:val="00697EC9"/>
    <w:rsid w:val="00697F63"/>
    <w:rsid w:val="006A01C8"/>
    <w:rsid w:val="006A02BB"/>
    <w:rsid w:val="006A030E"/>
    <w:rsid w:val="006A035D"/>
    <w:rsid w:val="006A04D5"/>
    <w:rsid w:val="006A061B"/>
    <w:rsid w:val="006A063F"/>
    <w:rsid w:val="006A0641"/>
    <w:rsid w:val="006A064A"/>
    <w:rsid w:val="006A069C"/>
    <w:rsid w:val="006A0883"/>
    <w:rsid w:val="006A09E3"/>
    <w:rsid w:val="006A0BC0"/>
    <w:rsid w:val="006A0C28"/>
    <w:rsid w:val="006A0D08"/>
    <w:rsid w:val="006A0D84"/>
    <w:rsid w:val="006A0FDB"/>
    <w:rsid w:val="006A10B8"/>
    <w:rsid w:val="006A10FC"/>
    <w:rsid w:val="006A1288"/>
    <w:rsid w:val="006A1309"/>
    <w:rsid w:val="006A130E"/>
    <w:rsid w:val="006A133A"/>
    <w:rsid w:val="006A16F2"/>
    <w:rsid w:val="006A180B"/>
    <w:rsid w:val="006A1851"/>
    <w:rsid w:val="006A1B72"/>
    <w:rsid w:val="006A1BE8"/>
    <w:rsid w:val="006A1C55"/>
    <w:rsid w:val="006A1C78"/>
    <w:rsid w:val="006A1C97"/>
    <w:rsid w:val="006A1D00"/>
    <w:rsid w:val="006A1D20"/>
    <w:rsid w:val="006A1F16"/>
    <w:rsid w:val="006A1F7A"/>
    <w:rsid w:val="006A201B"/>
    <w:rsid w:val="006A20F2"/>
    <w:rsid w:val="006A217A"/>
    <w:rsid w:val="006A2467"/>
    <w:rsid w:val="006A2AEF"/>
    <w:rsid w:val="006A2B27"/>
    <w:rsid w:val="006A2BB7"/>
    <w:rsid w:val="006A2BF7"/>
    <w:rsid w:val="006A2DEB"/>
    <w:rsid w:val="006A2DFD"/>
    <w:rsid w:val="006A2EB6"/>
    <w:rsid w:val="006A30DF"/>
    <w:rsid w:val="006A33ED"/>
    <w:rsid w:val="006A344F"/>
    <w:rsid w:val="006A3522"/>
    <w:rsid w:val="006A3880"/>
    <w:rsid w:val="006A394B"/>
    <w:rsid w:val="006A3A67"/>
    <w:rsid w:val="006A3BAF"/>
    <w:rsid w:val="006A3BB5"/>
    <w:rsid w:val="006A3C37"/>
    <w:rsid w:val="006A3C5F"/>
    <w:rsid w:val="006A3C99"/>
    <w:rsid w:val="006A3FC3"/>
    <w:rsid w:val="006A3FD1"/>
    <w:rsid w:val="006A4073"/>
    <w:rsid w:val="006A414B"/>
    <w:rsid w:val="006A42CE"/>
    <w:rsid w:val="006A4351"/>
    <w:rsid w:val="006A4781"/>
    <w:rsid w:val="006A4AD8"/>
    <w:rsid w:val="006A4D0B"/>
    <w:rsid w:val="006A4D70"/>
    <w:rsid w:val="006A4D82"/>
    <w:rsid w:val="006A4EFE"/>
    <w:rsid w:val="006A4FE8"/>
    <w:rsid w:val="006A50D8"/>
    <w:rsid w:val="006A5197"/>
    <w:rsid w:val="006A51B6"/>
    <w:rsid w:val="006A51D0"/>
    <w:rsid w:val="006A5429"/>
    <w:rsid w:val="006A548E"/>
    <w:rsid w:val="006A55B3"/>
    <w:rsid w:val="006A5627"/>
    <w:rsid w:val="006A5823"/>
    <w:rsid w:val="006A5BF4"/>
    <w:rsid w:val="006A5CE2"/>
    <w:rsid w:val="006A5D7A"/>
    <w:rsid w:val="006A5DD5"/>
    <w:rsid w:val="006A5EF4"/>
    <w:rsid w:val="006A615F"/>
    <w:rsid w:val="006A616D"/>
    <w:rsid w:val="006A627F"/>
    <w:rsid w:val="006A65FE"/>
    <w:rsid w:val="006A663A"/>
    <w:rsid w:val="006A667E"/>
    <w:rsid w:val="006A67BD"/>
    <w:rsid w:val="006A6A29"/>
    <w:rsid w:val="006A6B59"/>
    <w:rsid w:val="006A6B79"/>
    <w:rsid w:val="006A6C44"/>
    <w:rsid w:val="006A6CA7"/>
    <w:rsid w:val="006A6CB2"/>
    <w:rsid w:val="006A6E08"/>
    <w:rsid w:val="006A6EC2"/>
    <w:rsid w:val="006A6FAC"/>
    <w:rsid w:val="006A70BF"/>
    <w:rsid w:val="006A71F6"/>
    <w:rsid w:val="006A7228"/>
    <w:rsid w:val="006A72C3"/>
    <w:rsid w:val="006A72E1"/>
    <w:rsid w:val="006A7404"/>
    <w:rsid w:val="006A7428"/>
    <w:rsid w:val="006A756A"/>
    <w:rsid w:val="006A759E"/>
    <w:rsid w:val="006A76EF"/>
    <w:rsid w:val="006A78EC"/>
    <w:rsid w:val="006A7ABB"/>
    <w:rsid w:val="006A7F05"/>
    <w:rsid w:val="006B0124"/>
    <w:rsid w:val="006B026C"/>
    <w:rsid w:val="006B0400"/>
    <w:rsid w:val="006B088A"/>
    <w:rsid w:val="006B09DE"/>
    <w:rsid w:val="006B0C24"/>
    <w:rsid w:val="006B0C4E"/>
    <w:rsid w:val="006B0F82"/>
    <w:rsid w:val="006B0FBA"/>
    <w:rsid w:val="006B1038"/>
    <w:rsid w:val="006B1042"/>
    <w:rsid w:val="006B10C9"/>
    <w:rsid w:val="006B15A7"/>
    <w:rsid w:val="006B166E"/>
    <w:rsid w:val="006B16EB"/>
    <w:rsid w:val="006B1765"/>
    <w:rsid w:val="006B18F1"/>
    <w:rsid w:val="006B18F5"/>
    <w:rsid w:val="006B19B2"/>
    <w:rsid w:val="006B19F9"/>
    <w:rsid w:val="006B1A64"/>
    <w:rsid w:val="006B1A8D"/>
    <w:rsid w:val="006B1AFE"/>
    <w:rsid w:val="006B1B2E"/>
    <w:rsid w:val="006B1D09"/>
    <w:rsid w:val="006B1FC0"/>
    <w:rsid w:val="006B2138"/>
    <w:rsid w:val="006B2162"/>
    <w:rsid w:val="006B2188"/>
    <w:rsid w:val="006B21E9"/>
    <w:rsid w:val="006B2247"/>
    <w:rsid w:val="006B2315"/>
    <w:rsid w:val="006B24DC"/>
    <w:rsid w:val="006B2749"/>
    <w:rsid w:val="006B27DB"/>
    <w:rsid w:val="006B28E9"/>
    <w:rsid w:val="006B2A65"/>
    <w:rsid w:val="006B2DA5"/>
    <w:rsid w:val="006B2EA0"/>
    <w:rsid w:val="006B2FB1"/>
    <w:rsid w:val="006B301C"/>
    <w:rsid w:val="006B313D"/>
    <w:rsid w:val="006B31A9"/>
    <w:rsid w:val="006B324A"/>
    <w:rsid w:val="006B32FC"/>
    <w:rsid w:val="006B3383"/>
    <w:rsid w:val="006B3481"/>
    <w:rsid w:val="006B34A5"/>
    <w:rsid w:val="006B3674"/>
    <w:rsid w:val="006B379E"/>
    <w:rsid w:val="006B383D"/>
    <w:rsid w:val="006B3858"/>
    <w:rsid w:val="006B3893"/>
    <w:rsid w:val="006B3983"/>
    <w:rsid w:val="006B39FF"/>
    <w:rsid w:val="006B3AEE"/>
    <w:rsid w:val="006B3DCC"/>
    <w:rsid w:val="006B3EBB"/>
    <w:rsid w:val="006B3F92"/>
    <w:rsid w:val="006B417A"/>
    <w:rsid w:val="006B41F2"/>
    <w:rsid w:val="006B44B9"/>
    <w:rsid w:val="006B4627"/>
    <w:rsid w:val="006B4766"/>
    <w:rsid w:val="006B47E4"/>
    <w:rsid w:val="006B4837"/>
    <w:rsid w:val="006B4CAE"/>
    <w:rsid w:val="006B4DD0"/>
    <w:rsid w:val="006B4E76"/>
    <w:rsid w:val="006B4F08"/>
    <w:rsid w:val="006B4F38"/>
    <w:rsid w:val="006B4F5C"/>
    <w:rsid w:val="006B51D8"/>
    <w:rsid w:val="006B52CD"/>
    <w:rsid w:val="006B577D"/>
    <w:rsid w:val="006B581B"/>
    <w:rsid w:val="006B5876"/>
    <w:rsid w:val="006B5988"/>
    <w:rsid w:val="006B59E1"/>
    <w:rsid w:val="006B5AE4"/>
    <w:rsid w:val="006B5C76"/>
    <w:rsid w:val="006B5CC1"/>
    <w:rsid w:val="006B5CCB"/>
    <w:rsid w:val="006B5E38"/>
    <w:rsid w:val="006B61D2"/>
    <w:rsid w:val="006B6273"/>
    <w:rsid w:val="006B62C7"/>
    <w:rsid w:val="006B63B6"/>
    <w:rsid w:val="006B6482"/>
    <w:rsid w:val="006B64D1"/>
    <w:rsid w:val="006B6892"/>
    <w:rsid w:val="006B6BEE"/>
    <w:rsid w:val="006B6CA2"/>
    <w:rsid w:val="006B6D55"/>
    <w:rsid w:val="006B6D67"/>
    <w:rsid w:val="006B6F3C"/>
    <w:rsid w:val="006B7151"/>
    <w:rsid w:val="006B7190"/>
    <w:rsid w:val="006B724D"/>
    <w:rsid w:val="006B72C4"/>
    <w:rsid w:val="006B7643"/>
    <w:rsid w:val="006B765F"/>
    <w:rsid w:val="006B76B0"/>
    <w:rsid w:val="006B7911"/>
    <w:rsid w:val="006B7A3E"/>
    <w:rsid w:val="006B7C01"/>
    <w:rsid w:val="006B7DA3"/>
    <w:rsid w:val="006B7EA4"/>
    <w:rsid w:val="006C00DF"/>
    <w:rsid w:val="006C0533"/>
    <w:rsid w:val="006C07C7"/>
    <w:rsid w:val="006C0869"/>
    <w:rsid w:val="006C0979"/>
    <w:rsid w:val="006C0A02"/>
    <w:rsid w:val="006C0DC3"/>
    <w:rsid w:val="006C1059"/>
    <w:rsid w:val="006C106E"/>
    <w:rsid w:val="006C11EC"/>
    <w:rsid w:val="006C1423"/>
    <w:rsid w:val="006C1494"/>
    <w:rsid w:val="006C1691"/>
    <w:rsid w:val="006C16D4"/>
    <w:rsid w:val="006C171E"/>
    <w:rsid w:val="006C1721"/>
    <w:rsid w:val="006C1998"/>
    <w:rsid w:val="006C1AB9"/>
    <w:rsid w:val="006C1B45"/>
    <w:rsid w:val="006C1E70"/>
    <w:rsid w:val="006C1EB8"/>
    <w:rsid w:val="006C1FA1"/>
    <w:rsid w:val="006C1FF4"/>
    <w:rsid w:val="006C2295"/>
    <w:rsid w:val="006C2701"/>
    <w:rsid w:val="006C27F9"/>
    <w:rsid w:val="006C28AE"/>
    <w:rsid w:val="006C28E3"/>
    <w:rsid w:val="006C295A"/>
    <w:rsid w:val="006C2979"/>
    <w:rsid w:val="006C2C8F"/>
    <w:rsid w:val="006C2C9A"/>
    <w:rsid w:val="006C2D61"/>
    <w:rsid w:val="006C2FAD"/>
    <w:rsid w:val="006C2FB6"/>
    <w:rsid w:val="006C313D"/>
    <w:rsid w:val="006C3143"/>
    <w:rsid w:val="006C320C"/>
    <w:rsid w:val="006C35AF"/>
    <w:rsid w:val="006C382F"/>
    <w:rsid w:val="006C39B4"/>
    <w:rsid w:val="006C3ADB"/>
    <w:rsid w:val="006C3AE3"/>
    <w:rsid w:val="006C3C6C"/>
    <w:rsid w:val="006C3C86"/>
    <w:rsid w:val="006C3E1F"/>
    <w:rsid w:val="006C3F80"/>
    <w:rsid w:val="006C41B8"/>
    <w:rsid w:val="006C41C8"/>
    <w:rsid w:val="006C449B"/>
    <w:rsid w:val="006C44F3"/>
    <w:rsid w:val="006C44F8"/>
    <w:rsid w:val="006C47BA"/>
    <w:rsid w:val="006C4809"/>
    <w:rsid w:val="006C48C1"/>
    <w:rsid w:val="006C4A90"/>
    <w:rsid w:val="006C4ADB"/>
    <w:rsid w:val="006C4B0E"/>
    <w:rsid w:val="006C4BD9"/>
    <w:rsid w:val="006C4BEA"/>
    <w:rsid w:val="006C4F4E"/>
    <w:rsid w:val="006C4F9C"/>
    <w:rsid w:val="006C5282"/>
    <w:rsid w:val="006C55FA"/>
    <w:rsid w:val="006C5709"/>
    <w:rsid w:val="006C5881"/>
    <w:rsid w:val="006C593F"/>
    <w:rsid w:val="006C5BFD"/>
    <w:rsid w:val="006C5D50"/>
    <w:rsid w:val="006C5DE9"/>
    <w:rsid w:val="006C5E9C"/>
    <w:rsid w:val="006C6180"/>
    <w:rsid w:val="006C61C5"/>
    <w:rsid w:val="006C65C4"/>
    <w:rsid w:val="006C673B"/>
    <w:rsid w:val="006C689B"/>
    <w:rsid w:val="006C69DD"/>
    <w:rsid w:val="006C6A89"/>
    <w:rsid w:val="006C6B6C"/>
    <w:rsid w:val="006C6C4D"/>
    <w:rsid w:val="006C6C89"/>
    <w:rsid w:val="006C6E1C"/>
    <w:rsid w:val="006C705F"/>
    <w:rsid w:val="006C7091"/>
    <w:rsid w:val="006C70F4"/>
    <w:rsid w:val="006C712D"/>
    <w:rsid w:val="006C729D"/>
    <w:rsid w:val="006C72A7"/>
    <w:rsid w:val="006C7356"/>
    <w:rsid w:val="006C7654"/>
    <w:rsid w:val="006C7907"/>
    <w:rsid w:val="006C79B9"/>
    <w:rsid w:val="006C7AE6"/>
    <w:rsid w:val="006C7AE8"/>
    <w:rsid w:val="006C7C42"/>
    <w:rsid w:val="006C7D49"/>
    <w:rsid w:val="006C7E4A"/>
    <w:rsid w:val="006C7E60"/>
    <w:rsid w:val="006C7ED9"/>
    <w:rsid w:val="006D0045"/>
    <w:rsid w:val="006D0167"/>
    <w:rsid w:val="006D01DF"/>
    <w:rsid w:val="006D041F"/>
    <w:rsid w:val="006D0618"/>
    <w:rsid w:val="006D062B"/>
    <w:rsid w:val="006D068B"/>
    <w:rsid w:val="006D06DE"/>
    <w:rsid w:val="006D094D"/>
    <w:rsid w:val="006D0CC2"/>
    <w:rsid w:val="006D0D4B"/>
    <w:rsid w:val="006D0EF4"/>
    <w:rsid w:val="006D10B0"/>
    <w:rsid w:val="006D11EE"/>
    <w:rsid w:val="006D1346"/>
    <w:rsid w:val="006D18BA"/>
    <w:rsid w:val="006D18E7"/>
    <w:rsid w:val="006D19E5"/>
    <w:rsid w:val="006D19FC"/>
    <w:rsid w:val="006D1AFC"/>
    <w:rsid w:val="006D1B3E"/>
    <w:rsid w:val="006D1F64"/>
    <w:rsid w:val="006D1F79"/>
    <w:rsid w:val="006D20C1"/>
    <w:rsid w:val="006D2354"/>
    <w:rsid w:val="006D2365"/>
    <w:rsid w:val="006D24A7"/>
    <w:rsid w:val="006D257F"/>
    <w:rsid w:val="006D25F3"/>
    <w:rsid w:val="006D26A6"/>
    <w:rsid w:val="006D27F5"/>
    <w:rsid w:val="006D2808"/>
    <w:rsid w:val="006D2880"/>
    <w:rsid w:val="006D2FE9"/>
    <w:rsid w:val="006D3032"/>
    <w:rsid w:val="006D304D"/>
    <w:rsid w:val="006D30EE"/>
    <w:rsid w:val="006D3118"/>
    <w:rsid w:val="006D363C"/>
    <w:rsid w:val="006D3A4C"/>
    <w:rsid w:val="006D3C08"/>
    <w:rsid w:val="006D3CD7"/>
    <w:rsid w:val="006D3D04"/>
    <w:rsid w:val="006D3D9A"/>
    <w:rsid w:val="006D402C"/>
    <w:rsid w:val="006D42BB"/>
    <w:rsid w:val="006D4326"/>
    <w:rsid w:val="006D43A7"/>
    <w:rsid w:val="006D4513"/>
    <w:rsid w:val="006D4662"/>
    <w:rsid w:val="006D4696"/>
    <w:rsid w:val="006D46BB"/>
    <w:rsid w:val="006D4923"/>
    <w:rsid w:val="006D4A4D"/>
    <w:rsid w:val="006D4A74"/>
    <w:rsid w:val="006D4B1A"/>
    <w:rsid w:val="006D5067"/>
    <w:rsid w:val="006D509A"/>
    <w:rsid w:val="006D5155"/>
    <w:rsid w:val="006D52B1"/>
    <w:rsid w:val="006D53F6"/>
    <w:rsid w:val="006D54EE"/>
    <w:rsid w:val="006D551E"/>
    <w:rsid w:val="006D5691"/>
    <w:rsid w:val="006D5720"/>
    <w:rsid w:val="006D595C"/>
    <w:rsid w:val="006D5A2B"/>
    <w:rsid w:val="006D5BFA"/>
    <w:rsid w:val="006D5C66"/>
    <w:rsid w:val="006D5CC0"/>
    <w:rsid w:val="006D5D59"/>
    <w:rsid w:val="006D5DF8"/>
    <w:rsid w:val="006D5F01"/>
    <w:rsid w:val="006D5F31"/>
    <w:rsid w:val="006D5FCD"/>
    <w:rsid w:val="006D603F"/>
    <w:rsid w:val="006D60EC"/>
    <w:rsid w:val="006D6101"/>
    <w:rsid w:val="006D622D"/>
    <w:rsid w:val="006D6256"/>
    <w:rsid w:val="006D64D2"/>
    <w:rsid w:val="006D6517"/>
    <w:rsid w:val="006D668D"/>
    <w:rsid w:val="006D6811"/>
    <w:rsid w:val="006D6876"/>
    <w:rsid w:val="006D6949"/>
    <w:rsid w:val="006D6D53"/>
    <w:rsid w:val="006D7003"/>
    <w:rsid w:val="006D7084"/>
    <w:rsid w:val="006D709C"/>
    <w:rsid w:val="006D70EA"/>
    <w:rsid w:val="006D713D"/>
    <w:rsid w:val="006D7177"/>
    <w:rsid w:val="006D71C3"/>
    <w:rsid w:val="006D7237"/>
    <w:rsid w:val="006D7442"/>
    <w:rsid w:val="006D77B3"/>
    <w:rsid w:val="006D7869"/>
    <w:rsid w:val="006D78D5"/>
    <w:rsid w:val="006D7A32"/>
    <w:rsid w:val="006D7AA1"/>
    <w:rsid w:val="006D7B57"/>
    <w:rsid w:val="006D7B59"/>
    <w:rsid w:val="006D7CB1"/>
    <w:rsid w:val="006D7CE7"/>
    <w:rsid w:val="006D7D4C"/>
    <w:rsid w:val="006D7D82"/>
    <w:rsid w:val="006D7F43"/>
    <w:rsid w:val="006D7F81"/>
    <w:rsid w:val="006E034F"/>
    <w:rsid w:val="006E03FA"/>
    <w:rsid w:val="006E0451"/>
    <w:rsid w:val="006E04F3"/>
    <w:rsid w:val="006E057B"/>
    <w:rsid w:val="006E0670"/>
    <w:rsid w:val="006E08EB"/>
    <w:rsid w:val="006E0EEB"/>
    <w:rsid w:val="006E12F1"/>
    <w:rsid w:val="006E14FA"/>
    <w:rsid w:val="006E18A0"/>
    <w:rsid w:val="006E1B11"/>
    <w:rsid w:val="006E1B16"/>
    <w:rsid w:val="006E1B37"/>
    <w:rsid w:val="006E1B57"/>
    <w:rsid w:val="006E1C05"/>
    <w:rsid w:val="006E1E83"/>
    <w:rsid w:val="006E1E90"/>
    <w:rsid w:val="006E1EE7"/>
    <w:rsid w:val="006E2015"/>
    <w:rsid w:val="006E20CA"/>
    <w:rsid w:val="006E23BA"/>
    <w:rsid w:val="006E2503"/>
    <w:rsid w:val="006E2751"/>
    <w:rsid w:val="006E27C3"/>
    <w:rsid w:val="006E28C3"/>
    <w:rsid w:val="006E2A01"/>
    <w:rsid w:val="006E2B6D"/>
    <w:rsid w:val="006E2C60"/>
    <w:rsid w:val="006E2D47"/>
    <w:rsid w:val="006E2DF5"/>
    <w:rsid w:val="006E2F00"/>
    <w:rsid w:val="006E30A3"/>
    <w:rsid w:val="006E3252"/>
    <w:rsid w:val="006E3381"/>
    <w:rsid w:val="006E338C"/>
    <w:rsid w:val="006E33CE"/>
    <w:rsid w:val="006E3581"/>
    <w:rsid w:val="006E35DA"/>
    <w:rsid w:val="006E3B36"/>
    <w:rsid w:val="006E3D6A"/>
    <w:rsid w:val="006E4042"/>
    <w:rsid w:val="006E409D"/>
    <w:rsid w:val="006E410E"/>
    <w:rsid w:val="006E41BF"/>
    <w:rsid w:val="006E441C"/>
    <w:rsid w:val="006E45E8"/>
    <w:rsid w:val="006E4A91"/>
    <w:rsid w:val="006E4AAA"/>
    <w:rsid w:val="006E4B28"/>
    <w:rsid w:val="006E4C23"/>
    <w:rsid w:val="006E4D19"/>
    <w:rsid w:val="006E4F41"/>
    <w:rsid w:val="006E50BA"/>
    <w:rsid w:val="006E51DD"/>
    <w:rsid w:val="006E5222"/>
    <w:rsid w:val="006E526B"/>
    <w:rsid w:val="006E527E"/>
    <w:rsid w:val="006E53BB"/>
    <w:rsid w:val="006E5491"/>
    <w:rsid w:val="006E5535"/>
    <w:rsid w:val="006E5541"/>
    <w:rsid w:val="006E5767"/>
    <w:rsid w:val="006E5834"/>
    <w:rsid w:val="006E5944"/>
    <w:rsid w:val="006E5A5D"/>
    <w:rsid w:val="006E5B52"/>
    <w:rsid w:val="006E5E86"/>
    <w:rsid w:val="006E5EFD"/>
    <w:rsid w:val="006E6056"/>
    <w:rsid w:val="006E60F4"/>
    <w:rsid w:val="006E616D"/>
    <w:rsid w:val="006E61AB"/>
    <w:rsid w:val="006E633B"/>
    <w:rsid w:val="006E6377"/>
    <w:rsid w:val="006E64AB"/>
    <w:rsid w:val="006E68A1"/>
    <w:rsid w:val="006E6A80"/>
    <w:rsid w:val="006E6C3B"/>
    <w:rsid w:val="006E6C4F"/>
    <w:rsid w:val="006E7255"/>
    <w:rsid w:val="006E7289"/>
    <w:rsid w:val="006E72C4"/>
    <w:rsid w:val="006E74C6"/>
    <w:rsid w:val="006E75C1"/>
    <w:rsid w:val="006E7970"/>
    <w:rsid w:val="006E79A4"/>
    <w:rsid w:val="006E79D8"/>
    <w:rsid w:val="006E7A38"/>
    <w:rsid w:val="006E7A3F"/>
    <w:rsid w:val="006E7A54"/>
    <w:rsid w:val="006E7D73"/>
    <w:rsid w:val="006E7DE8"/>
    <w:rsid w:val="006E7F46"/>
    <w:rsid w:val="006F0002"/>
    <w:rsid w:val="006F017A"/>
    <w:rsid w:val="006F01D6"/>
    <w:rsid w:val="006F02C4"/>
    <w:rsid w:val="006F049F"/>
    <w:rsid w:val="006F04EA"/>
    <w:rsid w:val="006F05EE"/>
    <w:rsid w:val="006F08AC"/>
    <w:rsid w:val="006F099D"/>
    <w:rsid w:val="006F0B1A"/>
    <w:rsid w:val="006F0B4F"/>
    <w:rsid w:val="006F0BF6"/>
    <w:rsid w:val="006F0CD8"/>
    <w:rsid w:val="006F0D6D"/>
    <w:rsid w:val="006F0E4F"/>
    <w:rsid w:val="006F0E8E"/>
    <w:rsid w:val="006F0F67"/>
    <w:rsid w:val="006F0F74"/>
    <w:rsid w:val="006F1110"/>
    <w:rsid w:val="006F1422"/>
    <w:rsid w:val="006F14FF"/>
    <w:rsid w:val="006F19E4"/>
    <w:rsid w:val="006F1ACB"/>
    <w:rsid w:val="006F1C28"/>
    <w:rsid w:val="006F1CD1"/>
    <w:rsid w:val="006F1D2F"/>
    <w:rsid w:val="006F1DA0"/>
    <w:rsid w:val="006F1DC7"/>
    <w:rsid w:val="006F213C"/>
    <w:rsid w:val="006F214D"/>
    <w:rsid w:val="006F214E"/>
    <w:rsid w:val="006F229B"/>
    <w:rsid w:val="006F23FC"/>
    <w:rsid w:val="006F2635"/>
    <w:rsid w:val="006F27A4"/>
    <w:rsid w:val="006F2876"/>
    <w:rsid w:val="006F2939"/>
    <w:rsid w:val="006F296A"/>
    <w:rsid w:val="006F2986"/>
    <w:rsid w:val="006F2A72"/>
    <w:rsid w:val="006F2DCE"/>
    <w:rsid w:val="006F305E"/>
    <w:rsid w:val="006F30E9"/>
    <w:rsid w:val="006F3127"/>
    <w:rsid w:val="006F3288"/>
    <w:rsid w:val="006F32C3"/>
    <w:rsid w:val="006F338C"/>
    <w:rsid w:val="006F33F0"/>
    <w:rsid w:val="006F355E"/>
    <w:rsid w:val="006F3823"/>
    <w:rsid w:val="006F3872"/>
    <w:rsid w:val="006F3E03"/>
    <w:rsid w:val="006F3E81"/>
    <w:rsid w:val="006F3F94"/>
    <w:rsid w:val="006F3FC3"/>
    <w:rsid w:val="006F400A"/>
    <w:rsid w:val="006F401C"/>
    <w:rsid w:val="006F40EC"/>
    <w:rsid w:val="006F4196"/>
    <w:rsid w:val="006F4201"/>
    <w:rsid w:val="006F42A6"/>
    <w:rsid w:val="006F42D6"/>
    <w:rsid w:val="006F4333"/>
    <w:rsid w:val="006F4416"/>
    <w:rsid w:val="006F4489"/>
    <w:rsid w:val="006F44B5"/>
    <w:rsid w:val="006F452D"/>
    <w:rsid w:val="006F461C"/>
    <w:rsid w:val="006F4626"/>
    <w:rsid w:val="006F46B6"/>
    <w:rsid w:val="006F4928"/>
    <w:rsid w:val="006F4BCE"/>
    <w:rsid w:val="006F4D9F"/>
    <w:rsid w:val="006F4F9E"/>
    <w:rsid w:val="006F505F"/>
    <w:rsid w:val="006F510A"/>
    <w:rsid w:val="006F53D2"/>
    <w:rsid w:val="006F56EC"/>
    <w:rsid w:val="006F5849"/>
    <w:rsid w:val="006F584A"/>
    <w:rsid w:val="006F58C2"/>
    <w:rsid w:val="006F58F4"/>
    <w:rsid w:val="006F5934"/>
    <w:rsid w:val="006F59E8"/>
    <w:rsid w:val="006F5A87"/>
    <w:rsid w:val="006F5C90"/>
    <w:rsid w:val="006F5CED"/>
    <w:rsid w:val="006F5EFE"/>
    <w:rsid w:val="006F608D"/>
    <w:rsid w:val="006F611A"/>
    <w:rsid w:val="006F61B9"/>
    <w:rsid w:val="006F634C"/>
    <w:rsid w:val="006F648D"/>
    <w:rsid w:val="006F64E4"/>
    <w:rsid w:val="006F6548"/>
    <w:rsid w:val="006F65F8"/>
    <w:rsid w:val="006F68C5"/>
    <w:rsid w:val="006F69DC"/>
    <w:rsid w:val="006F6BC1"/>
    <w:rsid w:val="006F6DC9"/>
    <w:rsid w:val="006F6EEA"/>
    <w:rsid w:val="006F71B9"/>
    <w:rsid w:val="006F73B9"/>
    <w:rsid w:val="006F7598"/>
    <w:rsid w:val="006F75FB"/>
    <w:rsid w:val="006F782C"/>
    <w:rsid w:val="006F79BA"/>
    <w:rsid w:val="006F7C26"/>
    <w:rsid w:val="006F7CC9"/>
    <w:rsid w:val="006F7D09"/>
    <w:rsid w:val="006F7D8B"/>
    <w:rsid w:val="006F7ED3"/>
    <w:rsid w:val="00700028"/>
    <w:rsid w:val="00700136"/>
    <w:rsid w:val="0070018E"/>
    <w:rsid w:val="00700370"/>
    <w:rsid w:val="007006AB"/>
    <w:rsid w:val="007008F0"/>
    <w:rsid w:val="00700CD4"/>
    <w:rsid w:val="00700D42"/>
    <w:rsid w:val="0070131F"/>
    <w:rsid w:val="00701397"/>
    <w:rsid w:val="007013E6"/>
    <w:rsid w:val="00701498"/>
    <w:rsid w:val="00701543"/>
    <w:rsid w:val="0070169A"/>
    <w:rsid w:val="00701809"/>
    <w:rsid w:val="0070180D"/>
    <w:rsid w:val="007018A0"/>
    <w:rsid w:val="007018C4"/>
    <w:rsid w:val="00701A5E"/>
    <w:rsid w:val="00701ACF"/>
    <w:rsid w:val="00701BAA"/>
    <w:rsid w:val="00701E4A"/>
    <w:rsid w:val="00701E9E"/>
    <w:rsid w:val="00701EFC"/>
    <w:rsid w:val="00701F03"/>
    <w:rsid w:val="00701F35"/>
    <w:rsid w:val="00702016"/>
    <w:rsid w:val="0070208B"/>
    <w:rsid w:val="0070214A"/>
    <w:rsid w:val="007021C8"/>
    <w:rsid w:val="007021F1"/>
    <w:rsid w:val="007022C0"/>
    <w:rsid w:val="007022EF"/>
    <w:rsid w:val="00702304"/>
    <w:rsid w:val="007023CF"/>
    <w:rsid w:val="0070243B"/>
    <w:rsid w:val="0070244B"/>
    <w:rsid w:val="007024EA"/>
    <w:rsid w:val="00702542"/>
    <w:rsid w:val="007025F1"/>
    <w:rsid w:val="00702728"/>
    <w:rsid w:val="00702A9F"/>
    <w:rsid w:val="00702AFA"/>
    <w:rsid w:val="00702B42"/>
    <w:rsid w:val="00702DD6"/>
    <w:rsid w:val="00703173"/>
    <w:rsid w:val="007032F3"/>
    <w:rsid w:val="00703374"/>
    <w:rsid w:val="00703441"/>
    <w:rsid w:val="00703474"/>
    <w:rsid w:val="007034A2"/>
    <w:rsid w:val="007035F1"/>
    <w:rsid w:val="00703616"/>
    <w:rsid w:val="00703636"/>
    <w:rsid w:val="00703968"/>
    <w:rsid w:val="00703A9E"/>
    <w:rsid w:val="00703ABF"/>
    <w:rsid w:val="00703AF3"/>
    <w:rsid w:val="00703B02"/>
    <w:rsid w:val="00703CF3"/>
    <w:rsid w:val="00703D60"/>
    <w:rsid w:val="00703EAD"/>
    <w:rsid w:val="00703F50"/>
    <w:rsid w:val="0070404B"/>
    <w:rsid w:val="007042BB"/>
    <w:rsid w:val="00704364"/>
    <w:rsid w:val="007043B7"/>
    <w:rsid w:val="00704413"/>
    <w:rsid w:val="007046F7"/>
    <w:rsid w:val="0070471C"/>
    <w:rsid w:val="00704743"/>
    <w:rsid w:val="007048D0"/>
    <w:rsid w:val="007049CC"/>
    <w:rsid w:val="00704C12"/>
    <w:rsid w:val="00704C51"/>
    <w:rsid w:val="00704C7C"/>
    <w:rsid w:val="00704D19"/>
    <w:rsid w:val="00704DC3"/>
    <w:rsid w:val="00704DDC"/>
    <w:rsid w:val="00704F55"/>
    <w:rsid w:val="0070515C"/>
    <w:rsid w:val="00705199"/>
    <w:rsid w:val="007052A3"/>
    <w:rsid w:val="007052F5"/>
    <w:rsid w:val="007055F8"/>
    <w:rsid w:val="007056E0"/>
    <w:rsid w:val="00705A10"/>
    <w:rsid w:val="00705A2E"/>
    <w:rsid w:val="00705A36"/>
    <w:rsid w:val="00705C58"/>
    <w:rsid w:val="00705DAE"/>
    <w:rsid w:val="00705EA4"/>
    <w:rsid w:val="00705F01"/>
    <w:rsid w:val="00705F5B"/>
    <w:rsid w:val="00705FF7"/>
    <w:rsid w:val="007061C5"/>
    <w:rsid w:val="007064B6"/>
    <w:rsid w:val="007065C2"/>
    <w:rsid w:val="007066AF"/>
    <w:rsid w:val="007067E5"/>
    <w:rsid w:val="007068F0"/>
    <w:rsid w:val="007069EB"/>
    <w:rsid w:val="00706B7A"/>
    <w:rsid w:val="00706BBC"/>
    <w:rsid w:val="00706BF9"/>
    <w:rsid w:val="00706DC6"/>
    <w:rsid w:val="00706E64"/>
    <w:rsid w:val="0070712A"/>
    <w:rsid w:val="00707231"/>
    <w:rsid w:val="0070725D"/>
    <w:rsid w:val="007072AD"/>
    <w:rsid w:val="007074D0"/>
    <w:rsid w:val="0070751E"/>
    <w:rsid w:val="00707543"/>
    <w:rsid w:val="00707699"/>
    <w:rsid w:val="00707960"/>
    <w:rsid w:val="007079FB"/>
    <w:rsid w:val="00707D48"/>
    <w:rsid w:val="00707EC6"/>
    <w:rsid w:val="00707EDF"/>
    <w:rsid w:val="00707FA0"/>
    <w:rsid w:val="0071006D"/>
    <w:rsid w:val="007100FE"/>
    <w:rsid w:val="00710333"/>
    <w:rsid w:val="007104F5"/>
    <w:rsid w:val="007106A1"/>
    <w:rsid w:val="0071073D"/>
    <w:rsid w:val="0071073E"/>
    <w:rsid w:val="00710855"/>
    <w:rsid w:val="00710AE1"/>
    <w:rsid w:val="00710B7F"/>
    <w:rsid w:val="00710D23"/>
    <w:rsid w:val="00710E47"/>
    <w:rsid w:val="0071134C"/>
    <w:rsid w:val="00711426"/>
    <w:rsid w:val="007115E1"/>
    <w:rsid w:val="007116ED"/>
    <w:rsid w:val="0071175D"/>
    <w:rsid w:val="007117C4"/>
    <w:rsid w:val="00711B0A"/>
    <w:rsid w:val="00711B0E"/>
    <w:rsid w:val="00711B94"/>
    <w:rsid w:val="00711BAE"/>
    <w:rsid w:val="00711C4D"/>
    <w:rsid w:val="00711DEE"/>
    <w:rsid w:val="00711E3E"/>
    <w:rsid w:val="00712254"/>
    <w:rsid w:val="0071238D"/>
    <w:rsid w:val="0071243D"/>
    <w:rsid w:val="0071267D"/>
    <w:rsid w:val="0071291D"/>
    <w:rsid w:val="00712926"/>
    <w:rsid w:val="007129FA"/>
    <w:rsid w:val="00712A3A"/>
    <w:rsid w:val="00712AE1"/>
    <w:rsid w:val="00712B30"/>
    <w:rsid w:val="00712EAE"/>
    <w:rsid w:val="00713051"/>
    <w:rsid w:val="00713063"/>
    <w:rsid w:val="00713559"/>
    <w:rsid w:val="00713566"/>
    <w:rsid w:val="0071395A"/>
    <w:rsid w:val="007139F0"/>
    <w:rsid w:val="007139FE"/>
    <w:rsid w:val="00713A71"/>
    <w:rsid w:val="00713D8A"/>
    <w:rsid w:val="0071404B"/>
    <w:rsid w:val="0071409C"/>
    <w:rsid w:val="00714105"/>
    <w:rsid w:val="007141B4"/>
    <w:rsid w:val="00714226"/>
    <w:rsid w:val="0071423A"/>
    <w:rsid w:val="00714304"/>
    <w:rsid w:val="00714444"/>
    <w:rsid w:val="0071469E"/>
    <w:rsid w:val="00714852"/>
    <w:rsid w:val="00714884"/>
    <w:rsid w:val="007148DC"/>
    <w:rsid w:val="00714D0E"/>
    <w:rsid w:val="00714D80"/>
    <w:rsid w:val="00714DF3"/>
    <w:rsid w:val="00714E30"/>
    <w:rsid w:val="00714E8E"/>
    <w:rsid w:val="00714F6F"/>
    <w:rsid w:val="0071536A"/>
    <w:rsid w:val="007153E1"/>
    <w:rsid w:val="007153EC"/>
    <w:rsid w:val="0071543C"/>
    <w:rsid w:val="0071553A"/>
    <w:rsid w:val="00715579"/>
    <w:rsid w:val="00715630"/>
    <w:rsid w:val="007157E8"/>
    <w:rsid w:val="007159CD"/>
    <w:rsid w:val="00715A4F"/>
    <w:rsid w:val="00715A86"/>
    <w:rsid w:val="00715B73"/>
    <w:rsid w:val="00715B94"/>
    <w:rsid w:val="00715BFB"/>
    <w:rsid w:val="007161E0"/>
    <w:rsid w:val="007164EA"/>
    <w:rsid w:val="007165B9"/>
    <w:rsid w:val="007165CD"/>
    <w:rsid w:val="00716680"/>
    <w:rsid w:val="007166F4"/>
    <w:rsid w:val="0071683F"/>
    <w:rsid w:val="0071689D"/>
    <w:rsid w:val="00716954"/>
    <w:rsid w:val="00716D02"/>
    <w:rsid w:val="0071716D"/>
    <w:rsid w:val="007171A9"/>
    <w:rsid w:val="007173E7"/>
    <w:rsid w:val="00717568"/>
    <w:rsid w:val="00717681"/>
    <w:rsid w:val="007176BA"/>
    <w:rsid w:val="0071773B"/>
    <w:rsid w:val="007177E4"/>
    <w:rsid w:val="00717825"/>
    <w:rsid w:val="0071793A"/>
    <w:rsid w:val="00717F8E"/>
    <w:rsid w:val="00717FD0"/>
    <w:rsid w:val="00717FF4"/>
    <w:rsid w:val="00720321"/>
    <w:rsid w:val="007203D2"/>
    <w:rsid w:val="00720448"/>
    <w:rsid w:val="0072050F"/>
    <w:rsid w:val="0072052E"/>
    <w:rsid w:val="007205DF"/>
    <w:rsid w:val="00720A4E"/>
    <w:rsid w:val="00720D38"/>
    <w:rsid w:val="00720F15"/>
    <w:rsid w:val="007211D8"/>
    <w:rsid w:val="007211F4"/>
    <w:rsid w:val="00721245"/>
    <w:rsid w:val="00721410"/>
    <w:rsid w:val="0072174F"/>
    <w:rsid w:val="00721755"/>
    <w:rsid w:val="00721878"/>
    <w:rsid w:val="00721930"/>
    <w:rsid w:val="00721B23"/>
    <w:rsid w:val="00721C85"/>
    <w:rsid w:val="00721E3A"/>
    <w:rsid w:val="007220D5"/>
    <w:rsid w:val="00722109"/>
    <w:rsid w:val="00722177"/>
    <w:rsid w:val="0072225C"/>
    <w:rsid w:val="0072285B"/>
    <w:rsid w:val="00722864"/>
    <w:rsid w:val="00722872"/>
    <w:rsid w:val="00722B52"/>
    <w:rsid w:val="00722BE6"/>
    <w:rsid w:val="00722EF9"/>
    <w:rsid w:val="00722F6B"/>
    <w:rsid w:val="007230AE"/>
    <w:rsid w:val="007231E6"/>
    <w:rsid w:val="0072327F"/>
    <w:rsid w:val="00723376"/>
    <w:rsid w:val="007233B5"/>
    <w:rsid w:val="007234F4"/>
    <w:rsid w:val="00723609"/>
    <w:rsid w:val="00723686"/>
    <w:rsid w:val="007238A3"/>
    <w:rsid w:val="0072398A"/>
    <w:rsid w:val="007239C0"/>
    <w:rsid w:val="00723A75"/>
    <w:rsid w:val="00723B87"/>
    <w:rsid w:val="00723BE0"/>
    <w:rsid w:val="00723CBE"/>
    <w:rsid w:val="00723CC9"/>
    <w:rsid w:val="00723D56"/>
    <w:rsid w:val="00723DCB"/>
    <w:rsid w:val="00723FE2"/>
    <w:rsid w:val="0072402B"/>
    <w:rsid w:val="0072403D"/>
    <w:rsid w:val="0072408A"/>
    <w:rsid w:val="007240C8"/>
    <w:rsid w:val="007243A6"/>
    <w:rsid w:val="007243B4"/>
    <w:rsid w:val="0072449F"/>
    <w:rsid w:val="00724562"/>
    <w:rsid w:val="00724665"/>
    <w:rsid w:val="007247FE"/>
    <w:rsid w:val="00724889"/>
    <w:rsid w:val="00724B53"/>
    <w:rsid w:val="00724CD0"/>
    <w:rsid w:val="00724DFE"/>
    <w:rsid w:val="00724EA0"/>
    <w:rsid w:val="0072508D"/>
    <w:rsid w:val="00725140"/>
    <w:rsid w:val="007252B3"/>
    <w:rsid w:val="007252E3"/>
    <w:rsid w:val="00725433"/>
    <w:rsid w:val="007254CA"/>
    <w:rsid w:val="00725547"/>
    <w:rsid w:val="007257FE"/>
    <w:rsid w:val="00725817"/>
    <w:rsid w:val="007258F1"/>
    <w:rsid w:val="007259AC"/>
    <w:rsid w:val="007259BB"/>
    <w:rsid w:val="00725ADA"/>
    <w:rsid w:val="00725B0B"/>
    <w:rsid w:val="00725BF1"/>
    <w:rsid w:val="00725C17"/>
    <w:rsid w:val="00725E93"/>
    <w:rsid w:val="00725F0A"/>
    <w:rsid w:val="00725FB2"/>
    <w:rsid w:val="00725FD7"/>
    <w:rsid w:val="00726162"/>
    <w:rsid w:val="0072617C"/>
    <w:rsid w:val="00726192"/>
    <w:rsid w:val="007264D9"/>
    <w:rsid w:val="007267B4"/>
    <w:rsid w:val="00726801"/>
    <w:rsid w:val="00726891"/>
    <w:rsid w:val="00726934"/>
    <w:rsid w:val="00726979"/>
    <w:rsid w:val="00726C78"/>
    <w:rsid w:val="00726CB3"/>
    <w:rsid w:val="00726E33"/>
    <w:rsid w:val="00726E56"/>
    <w:rsid w:val="00726F5A"/>
    <w:rsid w:val="007273A1"/>
    <w:rsid w:val="007273A4"/>
    <w:rsid w:val="0072742F"/>
    <w:rsid w:val="00727493"/>
    <w:rsid w:val="007275C8"/>
    <w:rsid w:val="007276EE"/>
    <w:rsid w:val="00727831"/>
    <w:rsid w:val="00727932"/>
    <w:rsid w:val="00727AB4"/>
    <w:rsid w:val="00727D08"/>
    <w:rsid w:val="00727F37"/>
    <w:rsid w:val="00727F58"/>
    <w:rsid w:val="0073017F"/>
    <w:rsid w:val="00730257"/>
    <w:rsid w:val="00730476"/>
    <w:rsid w:val="0073064A"/>
    <w:rsid w:val="007306CC"/>
    <w:rsid w:val="0073074C"/>
    <w:rsid w:val="00730837"/>
    <w:rsid w:val="007308B1"/>
    <w:rsid w:val="00730A3E"/>
    <w:rsid w:val="00730BF2"/>
    <w:rsid w:val="00730D61"/>
    <w:rsid w:val="00730F20"/>
    <w:rsid w:val="0073116C"/>
    <w:rsid w:val="00731287"/>
    <w:rsid w:val="0073131E"/>
    <w:rsid w:val="00731467"/>
    <w:rsid w:val="0073146F"/>
    <w:rsid w:val="007315A8"/>
    <w:rsid w:val="007318B5"/>
    <w:rsid w:val="007319F6"/>
    <w:rsid w:val="00731AA2"/>
    <w:rsid w:val="00731B15"/>
    <w:rsid w:val="00731C16"/>
    <w:rsid w:val="00731D75"/>
    <w:rsid w:val="00731F42"/>
    <w:rsid w:val="0073217C"/>
    <w:rsid w:val="00732247"/>
    <w:rsid w:val="00732261"/>
    <w:rsid w:val="00732345"/>
    <w:rsid w:val="007323B7"/>
    <w:rsid w:val="007323B8"/>
    <w:rsid w:val="0073244F"/>
    <w:rsid w:val="00732517"/>
    <w:rsid w:val="00732553"/>
    <w:rsid w:val="007325F2"/>
    <w:rsid w:val="007326EF"/>
    <w:rsid w:val="0073291A"/>
    <w:rsid w:val="007329A8"/>
    <w:rsid w:val="00732A60"/>
    <w:rsid w:val="00732B65"/>
    <w:rsid w:val="00732DFD"/>
    <w:rsid w:val="00732E25"/>
    <w:rsid w:val="00732E5A"/>
    <w:rsid w:val="00732FA2"/>
    <w:rsid w:val="00733043"/>
    <w:rsid w:val="00733153"/>
    <w:rsid w:val="00733250"/>
    <w:rsid w:val="007332DE"/>
    <w:rsid w:val="007333D6"/>
    <w:rsid w:val="00733482"/>
    <w:rsid w:val="007336FD"/>
    <w:rsid w:val="00733704"/>
    <w:rsid w:val="00733A11"/>
    <w:rsid w:val="00733A70"/>
    <w:rsid w:val="00733AB3"/>
    <w:rsid w:val="00733DC7"/>
    <w:rsid w:val="00733DD8"/>
    <w:rsid w:val="00733DDB"/>
    <w:rsid w:val="00733EDD"/>
    <w:rsid w:val="00733F7A"/>
    <w:rsid w:val="007340B7"/>
    <w:rsid w:val="007344F1"/>
    <w:rsid w:val="0073480D"/>
    <w:rsid w:val="00734874"/>
    <w:rsid w:val="00734904"/>
    <w:rsid w:val="00734A94"/>
    <w:rsid w:val="00734BA9"/>
    <w:rsid w:val="00734EB0"/>
    <w:rsid w:val="00734F12"/>
    <w:rsid w:val="00735161"/>
    <w:rsid w:val="007352A6"/>
    <w:rsid w:val="0073538C"/>
    <w:rsid w:val="0073538F"/>
    <w:rsid w:val="007355D3"/>
    <w:rsid w:val="00735AE4"/>
    <w:rsid w:val="00735B6E"/>
    <w:rsid w:val="00735D79"/>
    <w:rsid w:val="00735EC2"/>
    <w:rsid w:val="00736193"/>
    <w:rsid w:val="007361E0"/>
    <w:rsid w:val="00736222"/>
    <w:rsid w:val="007362D8"/>
    <w:rsid w:val="00736370"/>
    <w:rsid w:val="007363C4"/>
    <w:rsid w:val="0073640D"/>
    <w:rsid w:val="00736449"/>
    <w:rsid w:val="0073655D"/>
    <w:rsid w:val="007366C0"/>
    <w:rsid w:val="0073677F"/>
    <w:rsid w:val="0073683E"/>
    <w:rsid w:val="00736854"/>
    <w:rsid w:val="00736AF1"/>
    <w:rsid w:val="00736BA6"/>
    <w:rsid w:val="00736C2D"/>
    <w:rsid w:val="00736CFA"/>
    <w:rsid w:val="00736DCA"/>
    <w:rsid w:val="007371CC"/>
    <w:rsid w:val="007372AF"/>
    <w:rsid w:val="007372FD"/>
    <w:rsid w:val="0073739E"/>
    <w:rsid w:val="007373D4"/>
    <w:rsid w:val="0073747B"/>
    <w:rsid w:val="007374FF"/>
    <w:rsid w:val="0073750A"/>
    <w:rsid w:val="00737571"/>
    <w:rsid w:val="00737632"/>
    <w:rsid w:val="007376BD"/>
    <w:rsid w:val="00737802"/>
    <w:rsid w:val="0073781F"/>
    <w:rsid w:val="00737A58"/>
    <w:rsid w:val="00737AC9"/>
    <w:rsid w:val="00737AF4"/>
    <w:rsid w:val="00737F99"/>
    <w:rsid w:val="00737FB9"/>
    <w:rsid w:val="00740284"/>
    <w:rsid w:val="0074040F"/>
    <w:rsid w:val="0074052C"/>
    <w:rsid w:val="0074055D"/>
    <w:rsid w:val="007405FF"/>
    <w:rsid w:val="00740745"/>
    <w:rsid w:val="0074079D"/>
    <w:rsid w:val="007407C2"/>
    <w:rsid w:val="0074091E"/>
    <w:rsid w:val="00740A4E"/>
    <w:rsid w:val="00740B00"/>
    <w:rsid w:val="00740BD3"/>
    <w:rsid w:val="00740C4E"/>
    <w:rsid w:val="00740CCE"/>
    <w:rsid w:val="0074109B"/>
    <w:rsid w:val="007411CA"/>
    <w:rsid w:val="00741295"/>
    <w:rsid w:val="00741325"/>
    <w:rsid w:val="00741338"/>
    <w:rsid w:val="00741432"/>
    <w:rsid w:val="0074147C"/>
    <w:rsid w:val="00741498"/>
    <w:rsid w:val="007416DB"/>
    <w:rsid w:val="00741783"/>
    <w:rsid w:val="00741A71"/>
    <w:rsid w:val="00741A89"/>
    <w:rsid w:val="00741DDA"/>
    <w:rsid w:val="00741E03"/>
    <w:rsid w:val="00741E30"/>
    <w:rsid w:val="00741EA4"/>
    <w:rsid w:val="00741F62"/>
    <w:rsid w:val="00741FED"/>
    <w:rsid w:val="0074203B"/>
    <w:rsid w:val="0074210C"/>
    <w:rsid w:val="007421EE"/>
    <w:rsid w:val="007421F7"/>
    <w:rsid w:val="007422A4"/>
    <w:rsid w:val="007422BC"/>
    <w:rsid w:val="00742317"/>
    <w:rsid w:val="0074241C"/>
    <w:rsid w:val="00742791"/>
    <w:rsid w:val="007427A8"/>
    <w:rsid w:val="0074282A"/>
    <w:rsid w:val="00742836"/>
    <w:rsid w:val="00742B36"/>
    <w:rsid w:val="00742FC6"/>
    <w:rsid w:val="00743058"/>
    <w:rsid w:val="00743363"/>
    <w:rsid w:val="007436C3"/>
    <w:rsid w:val="0074390C"/>
    <w:rsid w:val="007439A7"/>
    <w:rsid w:val="00743C01"/>
    <w:rsid w:val="00743E65"/>
    <w:rsid w:val="00743E6E"/>
    <w:rsid w:val="00743FBA"/>
    <w:rsid w:val="007440EA"/>
    <w:rsid w:val="00744408"/>
    <w:rsid w:val="00744429"/>
    <w:rsid w:val="00744558"/>
    <w:rsid w:val="0074477A"/>
    <w:rsid w:val="007449CD"/>
    <w:rsid w:val="00744A73"/>
    <w:rsid w:val="00744AE7"/>
    <w:rsid w:val="00744F52"/>
    <w:rsid w:val="0074512D"/>
    <w:rsid w:val="00745186"/>
    <w:rsid w:val="0074527D"/>
    <w:rsid w:val="007452D7"/>
    <w:rsid w:val="007453E8"/>
    <w:rsid w:val="0074550A"/>
    <w:rsid w:val="007456CE"/>
    <w:rsid w:val="007457E9"/>
    <w:rsid w:val="0074586B"/>
    <w:rsid w:val="007458BE"/>
    <w:rsid w:val="00745D60"/>
    <w:rsid w:val="00745E57"/>
    <w:rsid w:val="00745F16"/>
    <w:rsid w:val="00745F77"/>
    <w:rsid w:val="0074603B"/>
    <w:rsid w:val="007461F4"/>
    <w:rsid w:val="0074641E"/>
    <w:rsid w:val="007465C3"/>
    <w:rsid w:val="007467B0"/>
    <w:rsid w:val="00746954"/>
    <w:rsid w:val="00746A88"/>
    <w:rsid w:val="00746D2A"/>
    <w:rsid w:val="00746F5D"/>
    <w:rsid w:val="00747195"/>
    <w:rsid w:val="00747373"/>
    <w:rsid w:val="00747590"/>
    <w:rsid w:val="007476B3"/>
    <w:rsid w:val="00747747"/>
    <w:rsid w:val="00747786"/>
    <w:rsid w:val="007477A3"/>
    <w:rsid w:val="00747B61"/>
    <w:rsid w:val="00747B8D"/>
    <w:rsid w:val="00747BC0"/>
    <w:rsid w:val="00747C60"/>
    <w:rsid w:val="00747CA8"/>
    <w:rsid w:val="00747CB4"/>
    <w:rsid w:val="00747D93"/>
    <w:rsid w:val="00747D9E"/>
    <w:rsid w:val="00747DB3"/>
    <w:rsid w:val="0075004F"/>
    <w:rsid w:val="00750277"/>
    <w:rsid w:val="00750345"/>
    <w:rsid w:val="0075040B"/>
    <w:rsid w:val="00750548"/>
    <w:rsid w:val="007509A4"/>
    <w:rsid w:val="007509F2"/>
    <w:rsid w:val="00750A05"/>
    <w:rsid w:val="00750C50"/>
    <w:rsid w:val="00750CCE"/>
    <w:rsid w:val="00750CD2"/>
    <w:rsid w:val="00750DDB"/>
    <w:rsid w:val="00750E7C"/>
    <w:rsid w:val="00750F13"/>
    <w:rsid w:val="0075105B"/>
    <w:rsid w:val="00751093"/>
    <w:rsid w:val="00751272"/>
    <w:rsid w:val="0075142F"/>
    <w:rsid w:val="00751531"/>
    <w:rsid w:val="0075158B"/>
    <w:rsid w:val="007515D7"/>
    <w:rsid w:val="007515F2"/>
    <w:rsid w:val="007516D6"/>
    <w:rsid w:val="00751BBC"/>
    <w:rsid w:val="00751E56"/>
    <w:rsid w:val="00751F72"/>
    <w:rsid w:val="00752024"/>
    <w:rsid w:val="00752027"/>
    <w:rsid w:val="00752116"/>
    <w:rsid w:val="00752173"/>
    <w:rsid w:val="007524E1"/>
    <w:rsid w:val="00752688"/>
    <w:rsid w:val="007527D8"/>
    <w:rsid w:val="007527F1"/>
    <w:rsid w:val="007529BE"/>
    <w:rsid w:val="00752C07"/>
    <w:rsid w:val="00752EE6"/>
    <w:rsid w:val="00753044"/>
    <w:rsid w:val="0075357A"/>
    <w:rsid w:val="007535A1"/>
    <w:rsid w:val="00753672"/>
    <w:rsid w:val="00753757"/>
    <w:rsid w:val="007538BE"/>
    <w:rsid w:val="00753DB4"/>
    <w:rsid w:val="00753FF0"/>
    <w:rsid w:val="00754053"/>
    <w:rsid w:val="007540C2"/>
    <w:rsid w:val="007540DD"/>
    <w:rsid w:val="0075410E"/>
    <w:rsid w:val="007541E5"/>
    <w:rsid w:val="00754264"/>
    <w:rsid w:val="007544B6"/>
    <w:rsid w:val="00754569"/>
    <w:rsid w:val="0075465F"/>
    <w:rsid w:val="00754660"/>
    <w:rsid w:val="007546A5"/>
    <w:rsid w:val="007547C0"/>
    <w:rsid w:val="00754804"/>
    <w:rsid w:val="007548B7"/>
    <w:rsid w:val="00754A87"/>
    <w:rsid w:val="00754C68"/>
    <w:rsid w:val="00754CDA"/>
    <w:rsid w:val="00754CF2"/>
    <w:rsid w:val="0075519A"/>
    <w:rsid w:val="00755299"/>
    <w:rsid w:val="00755349"/>
    <w:rsid w:val="0075554F"/>
    <w:rsid w:val="007555E2"/>
    <w:rsid w:val="007555FE"/>
    <w:rsid w:val="00755620"/>
    <w:rsid w:val="0075568C"/>
    <w:rsid w:val="00755779"/>
    <w:rsid w:val="00755893"/>
    <w:rsid w:val="007558B4"/>
    <w:rsid w:val="00755998"/>
    <w:rsid w:val="00755BDF"/>
    <w:rsid w:val="00755CA8"/>
    <w:rsid w:val="00755ED6"/>
    <w:rsid w:val="00755F34"/>
    <w:rsid w:val="0075609C"/>
    <w:rsid w:val="007562E6"/>
    <w:rsid w:val="007563C8"/>
    <w:rsid w:val="00756417"/>
    <w:rsid w:val="0075643A"/>
    <w:rsid w:val="00756482"/>
    <w:rsid w:val="0075656D"/>
    <w:rsid w:val="00756689"/>
    <w:rsid w:val="007566AD"/>
    <w:rsid w:val="00756822"/>
    <w:rsid w:val="007569AF"/>
    <w:rsid w:val="00756A1C"/>
    <w:rsid w:val="00756A35"/>
    <w:rsid w:val="00756AF3"/>
    <w:rsid w:val="00756B61"/>
    <w:rsid w:val="00756C2E"/>
    <w:rsid w:val="00756C55"/>
    <w:rsid w:val="00756CDA"/>
    <w:rsid w:val="00756CEB"/>
    <w:rsid w:val="00756D89"/>
    <w:rsid w:val="00756DEC"/>
    <w:rsid w:val="00756E9D"/>
    <w:rsid w:val="00756F1D"/>
    <w:rsid w:val="00756F5B"/>
    <w:rsid w:val="00757199"/>
    <w:rsid w:val="0075723B"/>
    <w:rsid w:val="007575FC"/>
    <w:rsid w:val="00757788"/>
    <w:rsid w:val="007577C8"/>
    <w:rsid w:val="007577FC"/>
    <w:rsid w:val="00757A48"/>
    <w:rsid w:val="00757BD6"/>
    <w:rsid w:val="00757BE5"/>
    <w:rsid w:val="00757D0C"/>
    <w:rsid w:val="00757F77"/>
    <w:rsid w:val="00760218"/>
    <w:rsid w:val="007603F1"/>
    <w:rsid w:val="00760432"/>
    <w:rsid w:val="007607D2"/>
    <w:rsid w:val="00760A85"/>
    <w:rsid w:val="00760BAB"/>
    <w:rsid w:val="00760C12"/>
    <w:rsid w:val="00760C95"/>
    <w:rsid w:val="00760D1B"/>
    <w:rsid w:val="00760FB9"/>
    <w:rsid w:val="007610F5"/>
    <w:rsid w:val="00761153"/>
    <w:rsid w:val="0076123B"/>
    <w:rsid w:val="00761275"/>
    <w:rsid w:val="00761438"/>
    <w:rsid w:val="007614E9"/>
    <w:rsid w:val="007614F6"/>
    <w:rsid w:val="00761570"/>
    <w:rsid w:val="0076159F"/>
    <w:rsid w:val="00761903"/>
    <w:rsid w:val="00761AE1"/>
    <w:rsid w:val="00761C06"/>
    <w:rsid w:val="00761CEF"/>
    <w:rsid w:val="00761E4C"/>
    <w:rsid w:val="0076208E"/>
    <w:rsid w:val="007620F0"/>
    <w:rsid w:val="007620FB"/>
    <w:rsid w:val="0076216B"/>
    <w:rsid w:val="0076217C"/>
    <w:rsid w:val="0076223B"/>
    <w:rsid w:val="007622C9"/>
    <w:rsid w:val="007623D3"/>
    <w:rsid w:val="0076248A"/>
    <w:rsid w:val="007624B4"/>
    <w:rsid w:val="007624CD"/>
    <w:rsid w:val="007624DB"/>
    <w:rsid w:val="007625AB"/>
    <w:rsid w:val="007625BB"/>
    <w:rsid w:val="00762630"/>
    <w:rsid w:val="007626DA"/>
    <w:rsid w:val="00762738"/>
    <w:rsid w:val="0076285E"/>
    <w:rsid w:val="00762963"/>
    <w:rsid w:val="007629C5"/>
    <w:rsid w:val="00762A43"/>
    <w:rsid w:val="00762D7C"/>
    <w:rsid w:val="00762D97"/>
    <w:rsid w:val="00762DA3"/>
    <w:rsid w:val="00762E14"/>
    <w:rsid w:val="00762F85"/>
    <w:rsid w:val="00762F93"/>
    <w:rsid w:val="0076305B"/>
    <w:rsid w:val="007633FA"/>
    <w:rsid w:val="00763441"/>
    <w:rsid w:val="007634B3"/>
    <w:rsid w:val="007634D9"/>
    <w:rsid w:val="00763528"/>
    <w:rsid w:val="00763605"/>
    <w:rsid w:val="00763899"/>
    <w:rsid w:val="0076389A"/>
    <w:rsid w:val="00763918"/>
    <w:rsid w:val="00763964"/>
    <w:rsid w:val="00763A4C"/>
    <w:rsid w:val="00763CE0"/>
    <w:rsid w:val="00763E10"/>
    <w:rsid w:val="00763E57"/>
    <w:rsid w:val="00763F49"/>
    <w:rsid w:val="00763F58"/>
    <w:rsid w:val="00763FFF"/>
    <w:rsid w:val="0076403D"/>
    <w:rsid w:val="007640C1"/>
    <w:rsid w:val="007641D6"/>
    <w:rsid w:val="00764228"/>
    <w:rsid w:val="00764248"/>
    <w:rsid w:val="007643C6"/>
    <w:rsid w:val="0076442B"/>
    <w:rsid w:val="0076487E"/>
    <w:rsid w:val="0076493E"/>
    <w:rsid w:val="00764B4F"/>
    <w:rsid w:val="00764EC4"/>
    <w:rsid w:val="00765176"/>
    <w:rsid w:val="007651AE"/>
    <w:rsid w:val="00765229"/>
    <w:rsid w:val="007654B4"/>
    <w:rsid w:val="007654F7"/>
    <w:rsid w:val="00765513"/>
    <w:rsid w:val="00765744"/>
    <w:rsid w:val="00765A3D"/>
    <w:rsid w:val="00765A6A"/>
    <w:rsid w:val="00765AF8"/>
    <w:rsid w:val="00765B23"/>
    <w:rsid w:val="00765B3B"/>
    <w:rsid w:val="00765C26"/>
    <w:rsid w:val="00765CC1"/>
    <w:rsid w:val="00765D7C"/>
    <w:rsid w:val="00765E29"/>
    <w:rsid w:val="00765FFA"/>
    <w:rsid w:val="00766020"/>
    <w:rsid w:val="0076605D"/>
    <w:rsid w:val="007660FA"/>
    <w:rsid w:val="0076630B"/>
    <w:rsid w:val="00766519"/>
    <w:rsid w:val="0076652E"/>
    <w:rsid w:val="00766822"/>
    <w:rsid w:val="007669F7"/>
    <w:rsid w:val="00766C10"/>
    <w:rsid w:val="00766C96"/>
    <w:rsid w:val="00766D7A"/>
    <w:rsid w:val="00767127"/>
    <w:rsid w:val="007674C1"/>
    <w:rsid w:val="007674E7"/>
    <w:rsid w:val="007675DF"/>
    <w:rsid w:val="007676AD"/>
    <w:rsid w:val="00767708"/>
    <w:rsid w:val="007677F5"/>
    <w:rsid w:val="00767B5B"/>
    <w:rsid w:val="00767BD2"/>
    <w:rsid w:val="00767D53"/>
    <w:rsid w:val="00767DAB"/>
    <w:rsid w:val="0077003A"/>
    <w:rsid w:val="00770054"/>
    <w:rsid w:val="00770096"/>
    <w:rsid w:val="0077017F"/>
    <w:rsid w:val="0077031D"/>
    <w:rsid w:val="007703C7"/>
    <w:rsid w:val="007704B0"/>
    <w:rsid w:val="007705E6"/>
    <w:rsid w:val="00770657"/>
    <w:rsid w:val="00770719"/>
    <w:rsid w:val="0077076D"/>
    <w:rsid w:val="007709DD"/>
    <w:rsid w:val="00770A4F"/>
    <w:rsid w:val="00770A52"/>
    <w:rsid w:val="00770B42"/>
    <w:rsid w:val="00770CC7"/>
    <w:rsid w:val="00770D42"/>
    <w:rsid w:val="00770E25"/>
    <w:rsid w:val="00770ECE"/>
    <w:rsid w:val="00770EDF"/>
    <w:rsid w:val="00770FF4"/>
    <w:rsid w:val="007710FA"/>
    <w:rsid w:val="0077121C"/>
    <w:rsid w:val="00771267"/>
    <w:rsid w:val="00771360"/>
    <w:rsid w:val="007714F1"/>
    <w:rsid w:val="00771550"/>
    <w:rsid w:val="007715B1"/>
    <w:rsid w:val="007715CE"/>
    <w:rsid w:val="007719A1"/>
    <w:rsid w:val="00771AC9"/>
    <w:rsid w:val="00771B88"/>
    <w:rsid w:val="00771BB8"/>
    <w:rsid w:val="00771EBE"/>
    <w:rsid w:val="00772127"/>
    <w:rsid w:val="00772173"/>
    <w:rsid w:val="007723B5"/>
    <w:rsid w:val="007724AF"/>
    <w:rsid w:val="007724D5"/>
    <w:rsid w:val="00772593"/>
    <w:rsid w:val="0077270F"/>
    <w:rsid w:val="007727CA"/>
    <w:rsid w:val="00772986"/>
    <w:rsid w:val="007729AF"/>
    <w:rsid w:val="00772B1F"/>
    <w:rsid w:val="00772B3D"/>
    <w:rsid w:val="00772BF3"/>
    <w:rsid w:val="00772CF2"/>
    <w:rsid w:val="00772D36"/>
    <w:rsid w:val="00772E72"/>
    <w:rsid w:val="00773197"/>
    <w:rsid w:val="007731D3"/>
    <w:rsid w:val="007732BB"/>
    <w:rsid w:val="007732C8"/>
    <w:rsid w:val="007732F8"/>
    <w:rsid w:val="00773337"/>
    <w:rsid w:val="00773538"/>
    <w:rsid w:val="007736A8"/>
    <w:rsid w:val="00773759"/>
    <w:rsid w:val="007739D5"/>
    <w:rsid w:val="007739E6"/>
    <w:rsid w:val="00773B1D"/>
    <w:rsid w:val="00773F8A"/>
    <w:rsid w:val="00773FFE"/>
    <w:rsid w:val="00774086"/>
    <w:rsid w:val="00774382"/>
    <w:rsid w:val="0077441B"/>
    <w:rsid w:val="0077469C"/>
    <w:rsid w:val="00774717"/>
    <w:rsid w:val="0077481D"/>
    <w:rsid w:val="00774BD0"/>
    <w:rsid w:val="00774DCD"/>
    <w:rsid w:val="00774E7E"/>
    <w:rsid w:val="00774EA1"/>
    <w:rsid w:val="00775079"/>
    <w:rsid w:val="007750AA"/>
    <w:rsid w:val="00775136"/>
    <w:rsid w:val="0077537F"/>
    <w:rsid w:val="0077547D"/>
    <w:rsid w:val="007754C6"/>
    <w:rsid w:val="007758FD"/>
    <w:rsid w:val="00775989"/>
    <w:rsid w:val="007759A2"/>
    <w:rsid w:val="00775A0B"/>
    <w:rsid w:val="00775A9F"/>
    <w:rsid w:val="00775BA2"/>
    <w:rsid w:val="00775CE7"/>
    <w:rsid w:val="00775DDC"/>
    <w:rsid w:val="00775DFF"/>
    <w:rsid w:val="00775EBF"/>
    <w:rsid w:val="00775EE1"/>
    <w:rsid w:val="00776241"/>
    <w:rsid w:val="007763E3"/>
    <w:rsid w:val="00776479"/>
    <w:rsid w:val="0077648D"/>
    <w:rsid w:val="00776623"/>
    <w:rsid w:val="007767D9"/>
    <w:rsid w:val="00776930"/>
    <w:rsid w:val="007769CA"/>
    <w:rsid w:val="00776AA7"/>
    <w:rsid w:val="00776C8C"/>
    <w:rsid w:val="00776ECC"/>
    <w:rsid w:val="00776F6C"/>
    <w:rsid w:val="00777017"/>
    <w:rsid w:val="00777030"/>
    <w:rsid w:val="00777690"/>
    <w:rsid w:val="007778E3"/>
    <w:rsid w:val="00777A91"/>
    <w:rsid w:val="00777AEB"/>
    <w:rsid w:val="00777B00"/>
    <w:rsid w:val="00777B1B"/>
    <w:rsid w:val="00777C45"/>
    <w:rsid w:val="00777C7B"/>
    <w:rsid w:val="007801F0"/>
    <w:rsid w:val="007802A9"/>
    <w:rsid w:val="007804BA"/>
    <w:rsid w:val="0078059B"/>
    <w:rsid w:val="00780693"/>
    <w:rsid w:val="007806BE"/>
    <w:rsid w:val="0078079F"/>
    <w:rsid w:val="0078094A"/>
    <w:rsid w:val="00780A70"/>
    <w:rsid w:val="00780B0A"/>
    <w:rsid w:val="00780B86"/>
    <w:rsid w:val="00780B8E"/>
    <w:rsid w:val="00780C4E"/>
    <w:rsid w:val="00780D9B"/>
    <w:rsid w:val="00780FEE"/>
    <w:rsid w:val="007810C1"/>
    <w:rsid w:val="007811E6"/>
    <w:rsid w:val="007814C9"/>
    <w:rsid w:val="007814F7"/>
    <w:rsid w:val="00781581"/>
    <w:rsid w:val="007815F8"/>
    <w:rsid w:val="007816EF"/>
    <w:rsid w:val="00781793"/>
    <w:rsid w:val="0078189E"/>
    <w:rsid w:val="00781919"/>
    <w:rsid w:val="00781A18"/>
    <w:rsid w:val="00781A1B"/>
    <w:rsid w:val="00781A2A"/>
    <w:rsid w:val="00781C61"/>
    <w:rsid w:val="00781CF3"/>
    <w:rsid w:val="00781D28"/>
    <w:rsid w:val="00781F9F"/>
    <w:rsid w:val="00781FA1"/>
    <w:rsid w:val="00782020"/>
    <w:rsid w:val="007821A4"/>
    <w:rsid w:val="007821AC"/>
    <w:rsid w:val="007822C5"/>
    <w:rsid w:val="00782319"/>
    <w:rsid w:val="00782404"/>
    <w:rsid w:val="0078244B"/>
    <w:rsid w:val="0078259E"/>
    <w:rsid w:val="0078260C"/>
    <w:rsid w:val="0078261D"/>
    <w:rsid w:val="007826B9"/>
    <w:rsid w:val="007827CB"/>
    <w:rsid w:val="007828DA"/>
    <w:rsid w:val="007829A4"/>
    <w:rsid w:val="00782A7A"/>
    <w:rsid w:val="00782AA6"/>
    <w:rsid w:val="00782B37"/>
    <w:rsid w:val="00782DD2"/>
    <w:rsid w:val="00783008"/>
    <w:rsid w:val="0078319C"/>
    <w:rsid w:val="007831E2"/>
    <w:rsid w:val="007832CD"/>
    <w:rsid w:val="00783419"/>
    <w:rsid w:val="0078354F"/>
    <w:rsid w:val="00783653"/>
    <w:rsid w:val="00783699"/>
    <w:rsid w:val="007836E5"/>
    <w:rsid w:val="00783729"/>
    <w:rsid w:val="00783828"/>
    <w:rsid w:val="0078388B"/>
    <w:rsid w:val="00783AC7"/>
    <w:rsid w:val="00783B32"/>
    <w:rsid w:val="00783C35"/>
    <w:rsid w:val="00783CF3"/>
    <w:rsid w:val="00783F26"/>
    <w:rsid w:val="00784198"/>
    <w:rsid w:val="007841D3"/>
    <w:rsid w:val="00784515"/>
    <w:rsid w:val="00784661"/>
    <w:rsid w:val="007847AB"/>
    <w:rsid w:val="007848A7"/>
    <w:rsid w:val="0078490B"/>
    <w:rsid w:val="00784A59"/>
    <w:rsid w:val="00784AF8"/>
    <w:rsid w:val="00784BE1"/>
    <w:rsid w:val="00784D32"/>
    <w:rsid w:val="00784F15"/>
    <w:rsid w:val="0078502B"/>
    <w:rsid w:val="0078524C"/>
    <w:rsid w:val="007852DB"/>
    <w:rsid w:val="00785330"/>
    <w:rsid w:val="007854E2"/>
    <w:rsid w:val="007856DA"/>
    <w:rsid w:val="00785720"/>
    <w:rsid w:val="007859A1"/>
    <w:rsid w:val="00785B3A"/>
    <w:rsid w:val="00785EED"/>
    <w:rsid w:val="00785F41"/>
    <w:rsid w:val="007860B4"/>
    <w:rsid w:val="00786273"/>
    <w:rsid w:val="00786540"/>
    <w:rsid w:val="007866A9"/>
    <w:rsid w:val="007867A3"/>
    <w:rsid w:val="007867C1"/>
    <w:rsid w:val="00786BAF"/>
    <w:rsid w:val="00786BB0"/>
    <w:rsid w:val="0078701A"/>
    <w:rsid w:val="00787199"/>
    <w:rsid w:val="007871E4"/>
    <w:rsid w:val="007872AF"/>
    <w:rsid w:val="00787301"/>
    <w:rsid w:val="00787443"/>
    <w:rsid w:val="00787478"/>
    <w:rsid w:val="00787579"/>
    <w:rsid w:val="007875E8"/>
    <w:rsid w:val="0078773C"/>
    <w:rsid w:val="007877E4"/>
    <w:rsid w:val="00787AAB"/>
    <w:rsid w:val="00787ABE"/>
    <w:rsid w:val="00787AD4"/>
    <w:rsid w:val="00787C5E"/>
    <w:rsid w:val="00787D36"/>
    <w:rsid w:val="00787D4B"/>
    <w:rsid w:val="00787DEE"/>
    <w:rsid w:val="00787E18"/>
    <w:rsid w:val="00787E30"/>
    <w:rsid w:val="0079005B"/>
    <w:rsid w:val="007900CC"/>
    <w:rsid w:val="00790110"/>
    <w:rsid w:val="00790142"/>
    <w:rsid w:val="007904DC"/>
    <w:rsid w:val="007906D7"/>
    <w:rsid w:val="007909E3"/>
    <w:rsid w:val="00790A31"/>
    <w:rsid w:val="00790B4C"/>
    <w:rsid w:val="00790D55"/>
    <w:rsid w:val="00790DF7"/>
    <w:rsid w:val="00790E4C"/>
    <w:rsid w:val="007910C1"/>
    <w:rsid w:val="00791275"/>
    <w:rsid w:val="007913DD"/>
    <w:rsid w:val="00791432"/>
    <w:rsid w:val="007914B1"/>
    <w:rsid w:val="0079168C"/>
    <w:rsid w:val="007917FF"/>
    <w:rsid w:val="00791823"/>
    <w:rsid w:val="007919F8"/>
    <w:rsid w:val="00791A26"/>
    <w:rsid w:val="00791AF0"/>
    <w:rsid w:val="00791AFB"/>
    <w:rsid w:val="00791C40"/>
    <w:rsid w:val="00791CC2"/>
    <w:rsid w:val="00792151"/>
    <w:rsid w:val="007921F0"/>
    <w:rsid w:val="00792298"/>
    <w:rsid w:val="00792448"/>
    <w:rsid w:val="007925C9"/>
    <w:rsid w:val="007925DD"/>
    <w:rsid w:val="007925F6"/>
    <w:rsid w:val="0079263E"/>
    <w:rsid w:val="00792766"/>
    <w:rsid w:val="00792A40"/>
    <w:rsid w:val="00792A64"/>
    <w:rsid w:val="00792A76"/>
    <w:rsid w:val="00792A7E"/>
    <w:rsid w:val="00792AF0"/>
    <w:rsid w:val="00792B13"/>
    <w:rsid w:val="00792BD9"/>
    <w:rsid w:val="00792CF0"/>
    <w:rsid w:val="00792E2A"/>
    <w:rsid w:val="00792F0C"/>
    <w:rsid w:val="00792F6E"/>
    <w:rsid w:val="00792F76"/>
    <w:rsid w:val="00792FB1"/>
    <w:rsid w:val="007930DD"/>
    <w:rsid w:val="0079332F"/>
    <w:rsid w:val="00793475"/>
    <w:rsid w:val="00793531"/>
    <w:rsid w:val="0079365F"/>
    <w:rsid w:val="007936DF"/>
    <w:rsid w:val="0079374F"/>
    <w:rsid w:val="0079384C"/>
    <w:rsid w:val="00793951"/>
    <w:rsid w:val="00793AD5"/>
    <w:rsid w:val="00793F0C"/>
    <w:rsid w:val="00793F24"/>
    <w:rsid w:val="00793FE9"/>
    <w:rsid w:val="0079403B"/>
    <w:rsid w:val="00794081"/>
    <w:rsid w:val="007940B6"/>
    <w:rsid w:val="00794173"/>
    <w:rsid w:val="0079433E"/>
    <w:rsid w:val="00794353"/>
    <w:rsid w:val="00794432"/>
    <w:rsid w:val="0079450C"/>
    <w:rsid w:val="007945A1"/>
    <w:rsid w:val="007947C7"/>
    <w:rsid w:val="00794844"/>
    <w:rsid w:val="00794878"/>
    <w:rsid w:val="00794D0D"/>
    <w:rsid w:val="00794D7C"/>
    <w:rsid w:val="00794DEE"/>
    <w:rsid w:val="00794E4F"/>
    <w:rsid w:val="00794F69"/>
    <w:rsid w:val="0079529A"/>
    <w:rsid w:val="007954E7"/>
    <w:rsid w:val="00795529"/>
    <w:rsid w:val="0079562C"/>
    <w:rsid w:val="00795776"/>
    <w:rsid w:val="007957CE"/>
    <w:rsid w:val="007958A4"/>
    <w:rsid w:val="00795933"/>
    <w:rsid w:val="00795996"/>
    <w:rsid w:val="00795AC5"/>
    <w:rsid w:val="00795ADE"/>
    <w:rsid w:val="00795D16"/>
    <w:rsid w:val="00795D36"/>
    <w:rsid w:val="00796141"/>
    <w:rsid w:val="0079619C"/>
    <w:rsid w:val="007961A5"/>
    <w:rsid w:val="00796424"/>
    <w:rsid w:val="00796484"/>
    <w:rsid w:val="007964FE"/>
    <w:rsid w:val="007966B8"/>
    <w:rsid w:val="007966C0"/>
    <w:rsid w:val="007967B4"/>
    <w:rsid w:val="00796C49"/>
    <w:rsid w:val="00796D2C"/>
    <w:rsid w:val="00796E07"/>
    <w:rsid w:val="00796EB0"/>
    <w:rsid w:val="00796F54"/>
    <w:rsid w:val="00796FAC"/>
    <w:rsid w:val="00796FD9"/>
    <w:rsid w:val="007970D4"/>
    <w:rsid w:val="0079756F"/>
    <w:rsid w:val="007977EC"/>
    <w:rsid w:val="00797961"/>
    <w:rsid w:val="00797B33"/>
    <w:rsid w:val="00797B93"/>
    <w:rsid w:val="00797F2C"/>
    <w:rsid w:val="00797F90"/>
    <w:rsid w:val="007A005C"/>
    <w:rsid w:val="007A0073"/>
    <w:rsid w:val="007A0354"/>
    <w:rsid w:val="007A0541"/>
    <w:rsid w:val="007A0674"/>
    <w:rsid w:val="007A067D"/>
    <w:rsid w:val="007A06C5"/>
    <w:rsid w:val="007A07B6"/>
    <w:rsid w:val="007A07E4"/>
    <w:rsid w:val="007A0942"/>
    <w:rsid w:val="007A0A17"/>
    <w:rsid w:val="007A0D39"/>
    <w:rsid w:val="007A0D69"/>
    <w:rsid w:val="007A0D88"/>
    <w:rsid w:val="007A0E99"/>
    <w:rsid w:val="007A1010"/>
    <w:rsid w:val="007A11C5"/>
    <w:rsid w:val="007A164C"/>
    <w:rsid w:val="007A17BE"/>
    <w:rsid w:val="007A18E3"/>
    <w:rsid w:val="007A1956"/>
    <w:rsid w:val="007A19D3"/>
    <w:rsid w:val="007A1B72"/>
    <w:rsid w:val="007A1BAF"/>
    <w:rsid w:val="007A1E32"/>
    <w:rsid w:val="007A2006"/>
    <w:rsid w:val="007A200A"/>
    <w:rsid w:val="007A20CE"/>
    <w:rsid w:val="007A21C9"/>
    <w:rsid w:val="007A21D8"/>
    <w:rsid w:val="007A21FC"/>
    <w:rsid w:val="007A2279"/>
    <w:rsid w:val="007A237C"/>
    <w:rsid w:val="007A247B"/>
    <w:rsid w:val="007A26C7"/>
    <w:rsid w:val="007A271A"/>
    <w:rsid w:val="007A27D5"/>
    <w:rsid w:val="007A2822"/>
    <w:rsid w:val="007A2886"/>
    <w:rsid w:val="007A289E"/>
    <w:rsid w:val="007A292B"/>
    <w:rsid w:val="007A29C4"/>
    <w:rsid w:val="007A2A06"/>
    <w:rsid w:val="007A2BE5"/>
    <w:rsid w:val="007A2CCA"/>
    <w:rsid w:val="007A2E24"/>
    <w:rsid w:val="007A2E86"/>
    <w:rsid w:val="007A2F2B"/>
    <w:rsid w:val="007A2F6F"/>
    <w:rsid w:val="007A320F"/>
    <w:rsid w:val="007A35D3"/>
    <w:rsid w:val="007A36AD"/>
    <w:rsid w:val="007A36FE"/>
    <w:rsid w:val="007A3787"/>
    <w:rsid w:val="007A37EB"/>
    <w:rsid w:val="007A3B67"/>
    <w:rsid w:val="007A3C4D"/>
    <w:rsid w:val="007A3EBB"/>
    <w:rsid w:val="007A3EE4"/>
    <w:rsid w:val="007A404D"/>
    <w:rsid w:val="007A4222"/>
    <w:rsid w:val="007A42CD"/>
    <w:rsid w:val="007A4432"/>
    <w:rsid w:val="007A44E7"/>
    <w:rsid w:val="007A4647"/>
    <w:rsid w:val="007A4707"/>
    <w:rsid w:val="007A4772"/>
    <w:rsid w:val="007A49CF"/>
    <w:rsid w:val="007A49FC"/>
    <w:rsid w:val="007A4ACD"/>
    <w:rsid w:val="007A4B33"/>
    <w:rsid w:val="007A4BAB"/>
    <w:rsid w:val="007A4BF0"/>
    <w:rsid w:val="007A4C42"/>
    <w:rsid w:val="007A4C51"/>
    <w:rsid w:val="007A4E2D"/>
    <w:rsid w:val="007A4ECC"/>
    <w:rsid w:val="007A50B5"/>
    <w:rsid w:val="007A50BF"/>
    <w:rsid w:val="007A51DD"/>
    <w:rsid w:val="007A51E2"/>
    <w:rsid w:val="007A51ED"/>
    <w:rsid w:val="007A5214"/>
    <w:rsid w:val="007A5245"/>
    <w:rsid w:val="007A5442"/>
    <w:rsid w:val="007A5477"/>
    <w:rsid w:val="007A54E8"/>
    <w:rsid w:val="007A55BE"/>
    <w:rsid w:val="007A56A9"/>
    <w:rsid w:val="007A56B3"/>
    <w:rsid w:val="007A56EE"/>
    <w:rsid w:val="007A5B2A"/>
    <w:rsid w:val="007A5B6D"/>
    <w:rsid w:val="007A5BB2"/>
    <w:rsid w:val="007A5DD7"/>
    <w:rsid w:val="007A5E55"/>
    <w:rsid w:val="007A5FA8"/>
    <w:rsid w:val="007A5FDD"/>
    <w:rsid w:val="007A6074"/>
    <w:rsid w:val="007A60E0"/>
    <w:rsid w:val="007A628D"/>
    <w:rsid w:val="007A6355"/>
    <w:rsid w:val="007A63FF"/>
    <w:rsid w:val="007A648C"/>
    <w:rsid w:val="007A64B1"/>
    <w:rsid w:val="007A6558"/>
    <w:rsid w:val="007A6594"/>
    <w:rsid w:val="007A6653"/>
    <w:rsid w:val="007A68F8"/>
    <w:rsid w:val="007A695C"/>
    <w:rsid w:val="007A6C18"/>
    <w:rsid w:val="007A6CA2"/>
    <w:rsid w:val="007A6E3B"/>
    <w:rsid w:val="007A6E55"/>
    <w:rsid w:val="007A6E6B"/>
    <w:rsid w:val="007A709D"/>
    <w:rsid w:val="007A70CD"/>
    <w:rsid w:val="007A724D"/>
    <w:rsid w:val="007A7310"/>
    <w:rsid w:val="007A760A"/>
    <w:rsid w:val="007A7927"/>
    <w:rsid w:val="007A7B49"/>
    <w:rsid w:val="007A7C51"/>
    <w:rsid w:val="007A7C79"/>
    <w:rsid w:val="007A7C9A"/>
    <w:rsid w:val="007A7D67"/>
    <w:rsid w:val="007A7EA3"/>
    <w:rsid w:val="007A7F08"/>
    <w:rsid w:val="007A7F17"/>
    <w:rsid w:val="007A7F9B"/>
    <w:rsid w:val="007B0234"/>
    <w:rsid w:val="007B036B"/>
    <w:rsid w:val="007B04BB"/>
    <w:rsid w:val="007B04CE"/>
    <w:rsid w:val="007B062D"/>
    <w:rsid w:val="007B0682"/>
    <w:rsid w:val="007B074C"/>
    <w:rsid w:val="007B07C5"/>
    <w:rsid w:val="007B0892"/>
    <w:rsid w:val="007B08DB"/>
    <w:rsid w:val="007B0B04"/>
    <w:rsid w:val="007B0B4D"/>
    <w:rsid w:val="007B0B65"/>
    <w:rsid w:val="007B0CDF"/>
    <w:rsid w:val="007B0D5C"/>
    <w:rsid w:val="007B0E0B"/>
    <w:rsid w:val="007B0EA9"/>
    <w:rsid w:val="007B0FD9"/>
    <w:rsid w:val="007B1313"/>
    <w:rsid w:val="007B172B"/>
    <w:rsid w:val="007B1757"/>
    <w:rsid w:val="007B17A6"/>
    <w:rsid w:val="007B17B8"/>
    <w:rsid w:val="007B1921"/>
    <w:rsid w:val="007B1B06"/>
    <w:rsid w:val="007B1B29"/>
    <w:rsid w:val="007B1B83"/>
    <w:rsid w:val="007B1B94"/>
    <w:rsid w:val="007B1C11"/>
    <w:rsid w:val="007B1DC9"/>
    <w:rsid w:val="007B1F14"/>
    <w:rsid w:val="007B1F4A"/>
    <w:rsid w:val="007B21B3"/>
    <w:rsid w:val="007B2204"/>
    <w:rsid w:val="007B2258"/>
    <w:rsid w:val="007B2336"/>
    <w:rsid w:val="007B2474"/>
    <w:rsid w:val="007B249E"/>
    <w:rsid w:val="007B261B"/>
    <w:rsid w:val="007B2804"/>
    <w:rsid w:val="007B2C69"/>
    <w:rsid w:val="007B2CA1"/>
    <w:rsid w:val="007B2CA5"/>
    <w:rsid w:val="007B2E3E"/>
    <w:rsid w:val="007B2F10"/>
    <w:rsid w:val="007B2FF7"/>
    <w:rsid w:val="007B3046"/>
    <w:rsid w:val="007B30B0"/>
    <w:rsid w:val="007B31B3"/>
    <w:rsid w:val="007B31FC"/>
    <w:rsid w:val="007B32D6"/>
    <w:rsid w:val="007B33E2"/>
    <w:rsid w:val="007B343A"/>
    <w:rsid w:val="007B3474"/>
    <w:rsid w:val="007B35C4"/>
    <w:rsid w:val="007B38BE"/>
    <w:rsid w:val="007B3AE6"/>
    <w:rsid w:val="007B3B4C"/>
    <w:rsid w:val="007B3C30"/>
    <w:rsid w:val="007B3C8E"/>
    <w:rsid w:val="007B3E4B"/>
    <w:rsid w:val="007B3F9F"/>
    <w:rsid w:val="007B417A"/>
    <w:rsid w:val="007B41CD"/>
    <w:rsid w:val="007B42F0"/>
    <w:rsid w:val="007B44D5"/>
    <w:rsid w:val="007B45DD"/>
    <w:rsid w:val="007B46F2"/>
    <w:rsid w:val="007B47BF"/>
    <w:rsid w:val="007B48AB"/>
    <w:rsid w:val="007B4A83"/>
    <w:rsid w:val="007B4AA2"/>
    <w:rsid w:val="007B4CC7"/>
    <w:rsid w:val="007B4FE3"/>
    <w:rsid w:val="007B503D"/>
    <w:rsid w:val="007B50BD"/>
    <w:rsid w:val="007B517F"/>
    <w:rsid w:val="007B520F"/>
    <w:rsid w:val="007B53A9"/>
    <w:rsid w:val="007B53DF"/>
    <w:rsid w:val="007B5511"/>
    <w:rsid w:val="007B55A0"/>
    <w:rsid w:val="007B5771"/>
    <w:rsid w:val="007B57C7"/>
    <w:rsid w:val="007B57FD"/>
    <w:rsid w:val="007B58D8"/>
    <w:rsid w:val="007B5B82"/>
    <w:rsid w:val="007B5BE0"/>
    <w:rsid w:val="007B5D23"/>
    <w:rsid w:val="007B5D9F"/>
    <w:rsid w:val="007B5E09"/>
    <w:rsid w:val="007B5ED5"/>
    <w:rsid w:val="007B62F1"/>
    <w:rsid w:val="007B636C"/>
    <w:rsid w:val="007B63C2"/>
    <w:rsid w:val="007B684B"/>
    <w:rsid w:val="007B6A6A"/>
    <w:rsid w:val="007B6AB6"/>
    <w:rsid w:val="007B6B32"/>
    <w:rsid w:val="007B6B57"/>
    <w:rsid w:val="007B6B6D"/>
    <w:rsid w:val="007B6B82"/>
    <w:rsid w:val="007B6BFE"/>
    <w:rsid w:val="007B6C56"/>
    <w:rsid w:val="007B6C81"/>
    <w:rsid w:val="007B6C90"/>
    <w:rsid w:val="007B6D7E"/>
    <w:rsid w:val="007B6DB8"/>
    <w:rsid w:val="007B6E2A"/>
    <w:rsid w:val="007B6EBE"/>
    <w:rsid w:val="007B7009"/>
    <w:rsid w:val="007B7092"/>
    <w:rsid w:val="007B722D"/>
    <w:rsid w:val="007B7681"/>
    <w:rsid w:val="007B76D2"/>
    <w:rsid w:val="007B7885"/>
    <w:rsid w:val="007B78AF"/>
    <w:rsid w:val="007B7B24"/>
    <w:rsid w:val="007B7CD1"/>
    <w:rsid w:val="007B7CD8"/>
    <w:rsid w:val="007B7E35"/>
    <w:rsid w:val="007B7F8A"/>
    <w:rsid w:val="007C01E0"/>
    <w:rsid w:val="007C027A"/>
    <w:rsid w:val="007C053B"/>
    <w:rsid w:val="007C0601"/>
    <w:rsid w:val="007C0645"/>
    <w:rsid w:val="007C06E4"/>
    <w:rsid w:val="007C071A"/>
    <w:rsid w:val="007C08AA"/>
    <w:rsid w:val="007C093A"/>
    <w:rsid w:val="007C0964"/>
    <w:rsid w:val="007C09CA"/>
    <w:rsid w:val="007C0C41"/>
    <w:rsid w:val="007C0DD9"/>
    <w:rsid w:val="007C0DFC"/>
    <w:rsid w:val="007C0F7F"/>
    <w:rsid w:val="007C10EC"/>
    <w:rsid w:val="007C1571"/>
    <w:rsid w:val="007C15F2"/>
    <w:rsid w:val="007C15F8"/>
    <w:rsid w:val="007C16CD"/>
    <w:rsid w:val="007C1708"/>
    <w:rsid w:val="007C1739"/>
    <w:rsid w:val="007C1857"/>
    <w:rsid w:val="007C19BB"/>
    <w:rsid w:val="007C1A62"/>
    <w:rsid w:val="007C1BC5"/>
    <w:rsid w:val="007C1E6D"/>
    <w:rsid w:val="007C1F4A"/>
    <w:rsid w:val="007C1F4B"/>
    <w:rsid w:val="007C1FFC"/>
    <w:rsid w:val="007C20A7"/>
    <w:rsid w:val="007C20D1"/>
    <w:rsid w:val="007C21F4"/>
    <w:rsid w:val="007C23E1"/>
    <w:rsid w:val="007C263C"/>
    <w:rsid w:val="007C274B"/>
    <w:rsid w:val="007C2A46"/>
    <w:rsid w:val="007C303A"/>
    <w:rsid w:val="007C3087"/>
    <w:rsid w:val="007C30AB"/>
    <w:rsid w:val="007C334F"/>
    <w:rsid w:val="007C33B9"/>
    <w:rsid w:val="007C33C9"/>
    <w:rsid w:val="007C3404"/>
    <w:rsid w:val="007C34E6"/>
    <w:rsid w:val="007C351F"/>
    <w:rsid w:val="007C3540"/>
    <w:rsid w:val="007C3556"/>
    <w:rsid w:val="007C35E1"/>
    <w:rsid w:val="007C35EA"/>
    <w:rsid w:val="007C367E"/>
    <w:rsid w:val="007C36A3"/>
    <w:rsid w:val="007C36D3"/>
    <w:rsid w:val="007C3733"/>
    <w:rsid w:val="007C375D"/>
    <w:rsid w:val="007C376F"/>
    <w:rsid w:val="007C377F"/>
    <w:rsid w:val="007C38F3"/>
    <w:rsid w:val="007C393E"/>
    <w:rsid w:val="007C39EE"/>
    <w:rsid w:val="007C3A30"/>
    <w:rsid w:val="007C3ABB"/>
    <w:rsid w:val="007C3B0D"/>
    <w:rsid w:val="007C3BAD"/>
    <w:rsid w:val="007C3C34"/>
    <w:rsid w:val="007C3F36"/>
    <w:rsid w:val="007C3F98"/>
    <w:rsid w:val="007C40DD"/>
    <w:rsid w:val="007C444B"/>
    <w:rsid w:val="007C44C7"/>
    <w:rsid w:val="007C44EB"/>
    <w:rsid w:val="007C4506"/>
    <w:rsid w:val="007C472E"/>
    <w:rsid w:val="007C4759"/>
    <w:rsid w:val="007C475B"/>
    <w:rsid w:val="007C47E4"/>
    <w:rsid w:val="007C4893"/>
    <w:rsid w:val="007C498F"/>
    <w:rsid w:val="007C49D8"/>
    <w:rsid w:val="007C49EC"/>
    <w:rsid w:val="007C4A60"/>
    <w:rsid w:val="007C4B23"/>
    <w:rsid w:val="007C4C80"/>
    <w:rsid w:val="007C4E07"/>
    <w:rsid w:val="007C4F25"/>
    <w:rsid w:val="007C5206"/>
    <w:rsid w:val="007C520B"/>
    <w:rsid w:val="007C54B0"/>
    <w:rsid w:val="007C55CE"/>
    <w:rsid w:val="007C55F7"/>
    <w:rsid w:val="007C5744"/>
    <w:rsid w:val="007C5810"/>
    <w:rsid w:val="007C5934"/>
    <w:rsid w:val="007C59BC"/>
    <w:rsid w:val="007C5A50"/>
    <w:rsid w:val="007C5A62"/>
    <w:rsid w:val="007C5A9F"/>
    <w:rsid w:val="007C5B05"/>
    <w:rsid w:val="007C5CFF"/>
    <w:rsid w:val="007C5E3C"/>
    <w:rsid w:val="007C5FDB"/>
    <w:rsid w:val="007C63BA"/>
    <w:rsid w:val="007C64C3"/>
    <w:rsid w:val="007C6744"/>
    <w:rsid w:val="007C6755"/>
    <w:rsid w:val="007C68B9"/>
    <w:rsid w:val="007C68CC"/>
    <w:rsid w:val="007C6C03"/>
    <w:rsid w:val="007C6EDF"/>
    <w:rsid w:val="007C70F8"/>
    <w:rsid w:val="007C7162"/>
    <w:rsid w:val="007C7531"/>
    <w:rsid w:val="007C754D"/>
    <w:rsid w:val="007C7634"/>
    <w:rsid w:val="007C763E"/>
    <w:rsid w:val="007C7715"/>
    <w:rsid w:val="007C77B7"/>
    <w:rsid w:val="007C783D"/>
    <w:rsid w:val="007C7965"/>
    <w:rsid w:val="007C7A62"/>
    <w:rsid w:val="007C7A7D"/>
    <w:rsid w:val="007C7AA5"/>
    <w:rsid w:val="007C7AD6"/>
    <w:rsid w:val="007C7E2A"/>
    <w:rsid w:val="007D0118"/>
    <w:rsid w:val="007D035B"/>
    <w:rsid w:val="007D043D"/>
    <w:rsid w:val="007D0487"/>
    <w:rsid w:val="007D05C8"/>
    <w:rsid w:val="007D05EF"/>
    <w:rsid w:val="007D077B"/>
    <w:rsid w:val="007D0B5C"/>
    <w:rsid w:val="007D0DA8"/>
    <w:rsid w:val="007D0E05"/>
    <w:rsid w:val="007D0EAB"/>
    <w:rsid w:val="007D0EF9"/>
    <w:rsid w:val="007D0F78"/>
    <w:rsid w:val="007D0F7D"/>
    <w:rsid w:val="007D0FE8"/>
    <w:rsid w:val="007D0FF4"/>
    <w:rsid w:val="007D10A8"/>
    <w:rsid w:val="007D1140"/>
    <w:rsid w:val="007D11C4"/>
    <w:rsid w:val="007D15BA"/>
    <w:rsid w:val="007D1628"/>
    <w:rsid w:val="007D16A0"/>
    <w:rsid w:val="007D16C6"/>
    <w:rsid w:val="007D1725"/>
    <w:rsid w:val="007D173B"/>
    <w:rsid w:val="007D1757"/>
    <w:rsid w:val="007D17C8"/>
    <w:rsid w:val="007D17DF"/>
    <w:rsid w:val="007D1892"/>
    <w:rsid w:val="007D197D"/>
    <w:rsid w:val="007D19F8"/>
    <w:rsid w:val="007D1A9C"/>
    <w:rsid w:val="007D1B42"/>
    <w:rsid w:val="007D1BB2"/>
    <w:rsid w:val="007D1CB3"/>
    <w:rsid w:val="007D1D23"/>
    <w:rsid w:val="007D1E0E"/>
    <w:rsid w:val="007D1E0F"/>
    <w:rsid w:val="007D1F82"/>
    <w:rsid w:val="007D1FFE"/>
    <w:rsid w:val="007D201B"/>
    <w:rsid w:val="007D20A9"/>
    <w:rsid w:val="007D213D"/>
    <w:rsid w:val="007D21AB"/>
    <w:rsid w:val="007D21D4"/>
    <w:rsid w:val="007D2344"/>
    <w:rsid w:val="007D23E0"/>
    <w:rsid w:val="007D2479"/>
    <w:rsid w:val="007D24BE"/>
    <w:rsid w:val="007D2510"/>
    <w:rsid w:val="007D2787"/>
    <w:rsid w:val="007D27EC"/>
    <w:rsid w:val="007D2863"/>
    <w:rsid w:val="007D2877"/>
    <w:rsid w:val="007D2B42"/>
    <w:rsid w:val="007D2BBC"/>
    <w:rsid w:val="007D2CAE"/>
    <w:rsid w:val="007D2D39"/>
    <w:rsid w:val="007D2DDF"/>
    <w:rsid w:val="007D2EA4"/>
    <w:rsid w:val="007D2ED4"/>
    <w:rsid w:val="007D302E"/>
    <w:rsid w:val="007D30FC"/>
    <w:rsid w:val="007D316D"/>
    <w:rsid w:val="007D33AE"/>
    <w:rsid w:val="007D3561"/>
    <w:rsid w:val="007D363D"/>
    <w:rsid w:val="007D38BF"/>
    <w:rsid w:val="007D38CA"/>
    <w:rsid w:val="007D390C"/>
    <w:rsid w:val="007D3A0B"/>
    <w:rsid w:val="007D3A91"/>
    <w:rsid w:val="007D3ABE"/>
    <w:rsid w:val="007D3ACA"/>
    <w:rsid w:val="007D3C99"/>
    <w:rsid w:val="007D4141"/>
    <w:rsid w:val="007D41DC"/>
    <w:rsid w:val="007D438C"/>
    <w:rsid w:val="007D453B"/>
    <w:rsid w:val="007D4830"/>
    <w:rsid w:val="007D485F"/>
    <w:rsid w:val="007D495C"/>
    <w:rsid w:val="007D4BA8"/>
    <w:rsid w:val="007D4D10"/>
    <w:rsid w:val="007D4D58"/>
    <w:rsid w:val="007D4F8F"/>
    <w:rsid w:val="007D50AA"/>
    <w:rsid w:val="007D50FA"/>
    <w:rsid w:val="007D5117"/>
    <w:rsid w:val="007D5329"/>
    <w:rsid w:val="007D5354"/>
    <w:rsid w:val="007D5466"/>
    <w:rsid w:val="007D54E2"/>
    <w:rsid w:val="007D5778"/>
    <w:rsid w:val="007D57DE"/>
    <w:rsid w:val="007D57F5"/>
    <w:rsid w:val="007D5882"/>
    <w:rsid w:val="007D5AEF"/>
    <w:rsid w:val="007D5BAC"/>
    <w:rsid w:val="007D5BFB"/>
    <w:rsid w:val="007D5F1D"/>
    <w:rsid w:val="007D6330"/>
    <w:rsid w:val="007D6606"/>
    <w:rsid w:val="007D66F8"/>
    <w:rsid w:val="007D693B"/>
    <w:rsid w:val="007D6999"/>
    <w:rsid w:val="007D6A91"/>
    <w:rsid w:val="007D6B01"/>
    <w:rsid w:val="007D6C17"/>
    <w:rsid w:val="007D6CA6"/>
    <w:rsid w:val="007D6DB4"/>
    <w:rsid w:val="007D6E8F"/>
    <w:rsid w:val="007D6F29"/>
    <w:rsid w:val="007D72A5"/>
    <w:rsid w:val="007D72C0"/>
    <w:rsid w:val="007D7319"/>
    <w:rsid w:val="007D7337"/>
    <w:rsid w:val="007D73CA"/>
    <w:rsid w:val="007D73EE"/>
    <w:rsid w:val="007D7401"/>
    <w:rsid w:val="007D7425"/>
    <w:rsid w:val="007D772E"/>
    <w:rsid w:val="007D7965"/>
    <w:rsid w:val="007D79A3"/>
    <w:rsid w:val="007D7A9E"/>
    <w:rsid w:val="007D7BE7"/>
    <w:rsid w:val="007D7C49"/>
    <w:rsid w:val="007D7D45"/>
    <w:rsid w:val="007D7DC3"/>
    <w:rsid w:val="007D7DE7"/>
    <w:rsid w:val="007D7E94"/>
    <w:rsid w:val="007D7EF2"/>
    <w:rsid w:val="007D7F4B"/>
    <w:rsid w:val="007E00B9"/>
    <w:rsid w:val="007E00CE"/>
    <w:rsid w:val="007E0178"/>
    <w:rsid w:val="007E0392"/>
    <w:rsid w:val="007E05E1"/>
    <w:rsid w:val="007E0927"/>
    <w:rsid w:val="007E0979"/>
    <w:rsid w:val="007E09F3"/>
    <w:rsid w:val="007E0AE0"/>
    <w:rsid w:val="007E0CC7"/>
    <w:rsid w:val="007E0CF0"/>
    <w:rsid w:val="007E0D69"/>
    <w:rsid w:val="007E0F54"/>
    <w:rsid w:val="007E1186"/>
    <w:rsid w:val="007E11D1"/>
    <w:rsid w:val="007E11D5"/>
    <w:rsid w:val="007E129A"/>
    <w:rsid w:val="007E1411"/>
    <w:rsid w:val="007E154F"/>
    <w:rsid w:val="007E15A3"/>
    <w:rsid w:val="007E1636"/>
    <w:rsid w:val="007E1737"/>
    <w:rsid w:val="007E17C0"/>
    <w:rsid w:val="007E18B5"/>
    <w:rsid w:val="007E204D"/>
    <w:rsid w:val="007E209F"/>
    <w:rsid w:val="007E230F"/>
    <w:rsid w:val="007E23BC"/>
    <w:rsid w:val="007E2407"/>
    <w:rsid w:val="007E2701"/>
    <w:rsid w:val="007E2885"/>
    <w:rsid w:val="007E2A1F"/>
    <w:rsid w:val="007E2B35"/>
    <w:rsid w:val="007E2C59"/>
    <w:rsid w:val="007E2C9E"/>
    <w:rsid w:val="007E2EAE"/>
    <w:rsid w:val="007E2F3A"/>
    <w:rsid w:val="007E31AC"/>
    <w:rsid w:val="007E32A3"/>
    <w:rsid w:val="007E3356"/>
    <w:rsid w:val="007E33CE"/>
    <w:rsid w:val="007E348A"/>
    <w:rsid w:val="007E3603"/>
    <w:rsid w:val="007E3717"/>
    <w:rsid w:val="007E3855"/>
    <w:rsid w:val="007E3867"/>
    <w:rsid w:val="007E38BC"/>
    <w:rsid w:val="007E39E7"/>
    <w:rsid w:val="007E3A12"/>
    <w:rsid w:val="007E3ACA"/>
    <w:rsid w:val="007E3B37"/>
    <w:rsid w:val="007E3BC2"/>
    <w:rsid w:val="007E3C18"/>
    <w:rsid w:val="007E3E3C"/>
    <w:rsid w:val="007E3F5A"/>
    <w:rsid w:val="007E3F7E"/>
    <w:rsid w:val="007E3FE1"/>
    <w:rsid w:val="007E4212"/>
    <w:rsid w:val="007E4293"/>
    <w:rsid w:val="007E443D"/>
    <w:rsid w:val="007E4446"/>
    <w:rsid w:val="007E44FE"/>
    <w:rsid w:val="007E45BD"/>
    <w:rsid w:val="007E45EF"/>
    <w:rsid w:val="007E4649"/>
    <w:rsid w:val="007E490B"/>
    <w:rsid w:val="007E4BDD"/>
    <w:rsid w:val="007E4E4C"/>
    <w:rsid w:val="007E4E94"/>
    <w:rsid w:val="007E4F41"/>
    <w:rsid w:val="007E4FD9"/>
    <w:rsid w:val="007E5055"/>
    <w:rsid w:val="007E508D"/>
    <w:rsid w:val="007E53C6"/>
    <w:rsid w:val="007E55C9"/>
    <w:rsid w:val="007E55F1"/>
    <w:rsid w:val="007E56F5"/>
    <w:rsid w:val="007E57AA"/>
    <w:rsid w:val="007E5970"/>
    <w:rsid w:val="007E5DC7"/>
    <w:rsid w:val="007E5DD5"/>
    <w:rsid w:val="007E5DEB"/>
    <w:rsid w:val="007E5E0E"/>
    <w:rsid w:val="007E5E45"/>
    <w:rsid w:val="007E5F47"/>
    <w:rsid w:val="007E5F48"/>
    <w:rsid w:val="007E5FA5"/>
    <w:rsid w:val="007E6194"/>
    <w:rsid w:val="007E641B"/>
    <w:rsid w:val="007E6468"/>
    <w:rsid w:val="007E64A7"/>
    <w:rsid w:val="007E671B"/>
    <w:rsid w:val="007E67C9"/>
    <w:rsid w:val="007E6887"/>
    <w:rsid w:val="007E6B80"/>
    <w:rsid w:val="007E6BBF"/>
    <w:rsid w:val="007E6C11"/>
    <w:rsid w:val="007E6F5B"/>
    <w:rsid w:val="007E6F76"/>
    <w:rsid w:val="007E725A"/>
    <w:rsid w:val="007E728D"/>
    <w:rsid w:val="007E7439"/>
    <w:rsid w:val="007E7491"/>
    <w:rsid w:val="007E7562"/>
    <w:rsid w:val="007E7573"/>
    <w:rsid w:val="007E758F"/>
    <w:rsid w:val="007E765C"/>
    <w:rsid w:val="007E76BA"/>
    <w:rsid w:val="007E7782"/>
    <w:rsid w:val="007E77D5"/>
    <w:rsid w:val="007E7A37"/>
    <w:rsid w:val="007E7C77"/>
    <w:rsid w:val="007E7C79"/>
    <w:rsid w:val="007F00E1"/>
    <w:rsid w:val="007F01F9"/>
    <w:rsid w:val="007F02A9"/>
    <w:rsid w:val="007F05F9"/>
    <w:rsid w:val="007F06A1"/>
    <w:rsid w:val="007F06CD"/>
    <w:rsid w:val="007F0717"/>
    <w:rsid w:val="007F0820"/>
    <w:rsid w:val="007F08FB"/>
    <w:rsid w:val="007F0915"/>
    <w:rsid w:val="007F095A"/>
    <w:rsid w:val="007F098A"/>
    <w:rsid w:val="007F0AAE"/>
    <w:rsid w:val="007F0B6D"/>
    <w:rsid w:val="007F0BCF"/>
    <w:rsid w:val="007F0BFE"/>
    <w:rsid w:val="007F0C3F"/>
    <w:rsid w:val="007F0CA0"/>
    <w:rsid w:val="007F0D2D"/>
    <w:rsid w:val="007F0DD5"/>
    <w:rsid w:val="007F0ED9"/>
    <w:rsid w:val="007F10E3"/>
    <w:rsid w:val="007F10FD"/>
    <w:rsid w:val="007F1406"/>
    <w:rsid w:val="007F15A2"/>
    <w:rsid w:val="007F165B"/>
    <w:rsid w:val="007F1724"/>
    <w:rsid w:val="007F17FC"/>
    <w:rsid w:val="007F1AD0"/>
    <w:rsid w:val="007F1B3C"/>
    <w:rsid w:val="007F1BAE"/>
    <w:rsid w:val="007F1BEC"/>
    <w:rsid w:val="007F1E3D"/>
    <w:rsid w:val="007F21BB"/>
    <w:rsid w:val="007F2383"/>
    <w:rsid w:val="007F24B1"/>
    <w:rsid w:val="007F2522"/>
    <w:rsid w:val="007F2526"/>
    <w:rsid w:val="007F267C"/>
    <w:rsid w:val="007F2793"/>
    <w:rsid w:val="007F28A9"/>
    <w:rsid w:val="007F28D1"/>
    <w:rsid w:val="007F297C"/>
    <w:rsid w:val="007F29D1"/>
    <w:rsid w:val="007F2C43"/>
    <w:rsid w:val="007F2DA6"/>
    <w:rsid w:val="007F2F86"/>
    <w:rsid w:val="007F3024"/>
    <w:rsid w:val="007F32A9"/>
    <w:rsid w:val="007F3374"/>
    <w:rsid w:val="007F3521"/>
    <w:rsid w:val="007F354F"/>
    <w:rsid w:val="007F3912"/>
    <w:rsid w:val="007F397A"/>
    <w:rsid w:val="007F39F1"/>
    <w:rsid w:val="007F3A3A"/>
    <w:rsid w:val="007F3A93"/>
    <w:rsid w:val="007F3AAB"/>
    <w:rsid w:val="007F3C97"/>
    <w:rsid w:val="007F3ECE"/>
    <w:rsid w:val="007F3EEC"/>
    <w:rsid w:val="007F4085"/>
    <w:rsid w:val="007F43EA"/>
    <w:rsid w:val="007F47B6"/>
    <w:rsid w:val="007F47D6"/>
    <w:rsid w:val="007F485A"/>
    <w:rsid w:val="007F494D"/>
    <w:rsid w:val="007F4B9F"/>
    <w:rsid w:val="007F4F0E"/>
    <w:rsid w:val="007F503F"/>
    <w:rsid w:val="007F50A4"/>
    <w:rsid w:val="007F522C"/>
    <w:rsid w:val="007F5501"/>
    <w:rsid w:val="007F560A"/>
    <w:rsid w:val="007F5616"/>
    <w:rsid w:val="007F573E"/>
    <w:rsid w:val="007F5747"/>
    <w:rsid w:val="007F5930"/>
    <w:rsid w:val="007F5A4D"/>
    <w:rsid w:val="007F5AA0"/>
    <w:rsid w:val="007F5BC8"/>
    <w:rsid w:val="007F5C35"/>
    <w:rsid w:val="007F5D1A"/>
    <w:rsid w:val="007F5E6D"/>
    <w:rsid w:val="007F5FAC"/>
    <w:rsid w:val="007F6228"/>
    <w:rsid w:val="007F622C"/>
    <w:rsid w:val="007F62D3"/>
    <w:rsid w:val="007F6309"/>
    <w:rsid w:val="007F63D2"/>
    <w:rsid w:val="007F64AB"/>
    <w:rsid w:val="007F6504"/>
    <w:rsid w:val="007F66A4"/>
    <w:rsid w:val="007F691F"/>
    <w:rsid w:val="007F693E"/>
    <w:rsid w:val="007F6AE0"/>
    <w:rsid w:val="007F6B5D"/>
    <w:rsid w:val="007F6BC6"/>
    <w:rsid w:val="007F6D13"/>
    <w:rsid w:val="007F6D6B"/>
    <w:rsid w:val="007F6DCD"/>
    <w:rsid w:val="007F6E30"/>
    <w:rsid w:val="007F6E31"/>
    <w:rsid w:val="007F7238"/>
    <w:rsid w:val="007F72EA"/>
    <w:rsid w:val="007F7318"/>
    <w:rsid w:val="007F736A"/>
    <w:rsid w:val="007F750F"/>
    <w:rsid w:val="007F76BE"/>
    <w:rsid w:val="007F795B"/>
    <w:rsid w:val="007F7B1A"/>
    <w:rsid w:val="007F7E55"/>
    <w:rsid w:val="007F7FBD"/>
    <w:rsid w:val="00800084"/>
    <w:rsid w:val="00800101"/>
    <w:rsid w:val="00800135"/>
    <w:rsid w:val="0080027B"/>
    <w:rsid w:val="00800281"/>
    <w:rsid w:val="00800289"/>
    <w:rsid w:val="0080040A"/>
    <w:rsid w:val="008004AA"/>
    <w:rsid w:val="008004EF"/>
    <w:rsid w:val="008004FC"/>
    <w:rsid w:val="008005BA"/>
    <w:rsid w:val="008006C6"/>
    <w:rsid w:val="0080082B"/>
    <w:rsid w:val="008008E9"/>
    <w:rsid w:val="00800B13"/>
    <w:rsid w:val="00800B84"/>
    <w:rsid w:val="00800BCA"/>
    <w:rsid w:val="00800CA8"/>
    <w:rsid w:val="00800CC1"/>
    <w:rsid w:val="00800DC7"/>
    <w:rsid w:val="00800F53"/>
    <w:rsid w:val="00801214"/>
    <w:rsid w:val="008014E7"/>
    <w:rsid w:val="008015D2"/>
    <w:rsid w:val="00801685"/>
    <w:rsid w:val="008016E0"/>
    <w:rsid w:val="008017CD"/>
    <w:rsid w:val="008017F1"/>
    <w:rsid w:val="00801818"/>
    <w:rsid w:val="0080186F"/>
    <w:rsid w:val="008018B5"/>
    <w:rsid w:val="00801964"/>
    <w:rsid w:val="00801A65"/>
    <w:rsid w:val="00801A88"/>
    <w:rsid w:val="00801AC5"/>
    <w:rsid w:val="00801B28"/>
    <w:rsid w:val="00801DED"/>
    <w:rsid w:val="00801E02"/>
    <w:rsid w:val="00801E7F"/>
    <w:rsid w:val="008020BA"/>
    <w:rsid w:val="008020C6"/>
    <w:rsid w:val="00802276"/>
    <w:rsid w:val="00802301"/>
    <w:rsid w:val="0080234A"/>
    <w:rsid w:val="008023F8"/>
    <w:rsid w:val="00802443"/>
    <w:rsid w:val="00802512"/>
    <w:rsid w:val="00802755"/>
    <w:rsid w:val="00802980"/>
    <w:rsid w:val="00802C59"/>
    <w:rsid w:val="00802CAD"/>
    <w:rsid w:val="00802E31"/>
    <w:rsid w:val="00802FE2"/>
    <w:rsid w:val="0080309C"/>
    <w:rsid w:val="008031DF"/>
    <w:rsid w:val="00803239"/>
    <w:rsid w:val="0080342F"/>
    <w:rsid w:val="008035C1"/>
    <w:rsid w:val="008035D0"/>
    <w:rsid w:val="00803643"/>
    <w:rsid w:val="008036E0"/>
    <w:rsid w:val="0080379A"/>
    <w:rsid w:val="008037F8"/>
    <w:rsid w:val="008039A0"/>
    <w:rsid w:val="00803C27"/>
    <w:rsid w:val="00803D61"/>
    <w:rsid w:val="00803D73"/>
    <w:rsid w:val="00803E72"/>
    <w:rsid w:val="0080437E"/>
    <w:rsid w:val="00804768"/>
    <w:rsid w:val="008048B0"/>
    <w:rsid w:val="0080497E"/>
    <w:rsid w:val="00804A6E"/>
    <w:rsid w:val="00804C21"/>
    <w:rsid w:val="00804C55"/>
    <w:rsid w:val="00804D50"/>
    <w:rsid w:val="00804E58"/>
    <w:rsid w:val="00804FFB"/>
    <w:rsid w:val="00805004"/>
    <w:rsid w:val="00805014"/>
    <w:rsid w:val="00805148"/>
    <w:rsid w:val="00805316"/>
    <w:rsid w:val="0080538E"/>
    <w:rsid w:val="00805478"/>
    <w:rsid w:val="008054B7"/>
    <w:rsid w:val="0080562D"/>
    <w:rsid w:val="008057D9"/>
    <w:rsid w:val="008058DF"/>
    <w:rsid w:val="00805A12"/>
    <w:rsid w:val="00805BA3"/>
    <w:rsid w:val="00805BFE"/>
    <w:rsid w:val="00805CA3"/>
    <w:rsid w:val="00805D84"/>
    <w:rsid w:val="00805E70"/>
    <w:rsid w:val="00805F0F"/>
    <w:rsid w:val="00806022"/>
    <w:rsid w:val="008060E6"/>
    <w:rsid w:val="00806107"/>
    <w:rsid w:val="008061AF"/>
    <w:rsid w:val="0080627F"/>
    <w:rsid w:val="00806501"/>
    <w:rsid w:val="00806674"/>
    <w:rsid w:val="0080672B"/>
    <w:rsid w:val="008067D4"/>
    <w:rsid w:val="00806872"/>
    <w:rsid w:val="00806A15"/>
    <w:rsid w:val="00806C7C"/>
    <w:rsid w:val="00806C97"/>
    <w:rsid w:val="00806D2F"/>
    <w:rsid w:val="00806E62"/>
    <w:rsid w:val="00806EE1"/>
    <w:rsid w:val="00807180"/>
    <w:rsid w:val="0080718C"/>
    <w:rsid w:val="00807264"/>
    <w:rsid w:val="00807271"/>
    <w:rsid w:val="008072BB"/>
    <w:rsid w:val="008074CE"/>
    <w:rsid w:val="00807774"/>
    <w:rsid w:val="00807C80"/>
    <w:rsid w:val="00807E99"/>
    <w:rsid w:val="00810011"/>
    <w:rsid w:val="008100EB"/>
    <w:rsid w:val="0081014E"/>
    <w:rsid w:val="008101D4"/>
    <w:rsid w:val="00810381"/>
    <w:rsid w:val="00810395"/>
    <w:rsid w:val="008103F7"/>
    <w:rsid w:val="0081041C"/>
    <w:rsid w:val="008104E4"/>
    <w:rsid w:val="008105DA"/>
    <w:rsid w:val="00810675"/>
    <w:rsid w:val="00810722"/>
    <w:rsid w:val="008108A1"/>
    <w:rsid w:val="00810AD5"/>
    <w:rsid w:val="00810DDC"/>
    <w:rsid w:val="00810FB6"/>
    <w:rsid w:val="0081100D"/>
    <w:rsid w:val="008110CC"/>
    <w:rsid w:val="0081160C"/>
    <w:rsid w:val="0081162B"/>
    <w:rsid w:val="008118E6"/>
    <w:rsid w:val="0081193E"/>
    <w:rsid w:val="00811CFA"/>
    <w:rsid w:val="00811DF8"/>
    <w:rsid w:val="00811E82"/>
    <w:rsid w:val="00811E9F"/>
    <w:rsid w:val="00812042"/>
    <w:rsid w:val="00812047"/>
    <w:rsid w:val="0081205C"/>
    <w:rsid w:val="00812109"/>
    <w:rsid w:val="0081212F"/>
    <w:rsid w:val="0081242C"/>
    <w:rsid w:val="008126B0"/>
    <w:rsid w:val="0081277F"/>
    <w:rsid w:val="008127AD"/>
    <w:rsid w:val="00812877"/>
    <w:rsid w:val="0081290E"/>
    <w:rsid w:val="00812AB4"/>
    <w:rsid w:val="00812AC2"/>
    <w:rsid w:val="00812C18"/>
    <w:rsid w:val="00812C47"/>
    <w:rsid w:val="00812D3B"/>
    <w:rsid w:val="00812DFB"/>
    <w:rsid w:val="00812E3F"/>
    <w:rsid w:val="00812E8F"/>
    <w:rsid w:val="008133F9"/>
    <w:rsid w:val="0081375F"/>
    <w:rsid w:val="008139E7"/>
    <w:rsid w:val="00813B44"/>
    <w:rsid w:val="00813B86"/>
    <w:rsid w:val="00813C88"/>
    <w:rsid w:val="00813CF9"/>
    <w:rsid w:val="00813D23"/>
    <w:rsid w:val="00813DBC"/>
    <w:rsid w:val="00813F4C"/>
    <w:rsid w:val="00813FB1"/>
    <w:rsid w:val="00813FEB"/>
    <w:rsid w:val="008144EF"/>
    <w:rsid w:val="0081450C"/>
    <w:rsid w:val="008145D7"/>
    <w:rsid w:val="008146AD"/>
    <w:rsid w:val="0081492D"/>
    <w:rsid w:val="00814AFE"/>
    <w:rsid w:val="00814DD0"/>
    <w:rsid w:val="00814E23"/>
    <w:rsid w:val="00815203"/>
    <w:rsid w:val="00815274"/>
    <w:rsid w:val="00815436"/>
    <w:rsid w:val="0081551C"/>
    <w:rsid w:val="008155BD"/>
    <w:rsid w:val="00815650"/>
    <w:rsid w:val="00815670"/>
    <w:rsid w:val="00815739"/>
    <w:rsid w:val="00815859"/>
    <w:rsid w:val="00815943"/>
    <w:rsid w:val="00815A0A"/>
    <w:rsid w:val="00815AF0"/>
    <w:rsid w:val="00815C2A"/>
    <w:rsid w:val="00815DA8"/>
    <w:rsid w:val="00815DAE"/>
    <w:rsid w:val="00815F13"/>
    <w:rsid w:val="008165CB"/>
    <w:rsid w:val="0081660F"/>
    <w:rsid w:val="00816672"/>
    <w:rsid w:val="0081671B"/>
    <w:rsid w:val="0081681E"/>
    <w:rsid w:val="0081688B"/>
    <w:rsid w:val="0081698B"/>
    <w:rsid w:val="00816A50"/>
    <w:rsid w:val="00816B97"/>
    <w:rsid w:val="00816C14"/>
    <w:rsid w:val="00816C79"/>
    <w:rsid w:val="00817105"/>
    <w:rsid w:val="00817274"/>
    <w:rsid w:val="0081727C"/>
    <w:rsid w:val="00817564"/>
    <w:rsid w:val="00817632"/>
    <w:rsid w:val="008178DD"/>
    <w:rsid w:val="008178E6"/>
    <w:rsid w:val="00817ACA"/>
    <w:rsid w:val="00817B8E"/>
    <w:rsid w:val="00817C5A"/>
    <w:rsid w:val="00817CDB"/>
    <w:rsid w:val="00817D2D"/>
    <w:rsid w:val="00817D47"/>
    <w:rsid w:val="00817D4D"/>
    <w:rsid w:val="00817D5B"/>
    <w:rsid w:val="00817E3F"/>
    <w:rsid w:val="0082012C"/>
    <w:rsid w:val="00820258"/>
    <w:rsid w:val="00820383"/>
    <w:rsid w:val="008206E0"/>
    <w:rsid w:val="00820737"/>
    <w:rsid w:val="0082078B"/>
    <w:rsid w:val="0082081F"/>
    <w:rsid w:val="008208BF"/>
    <w:rsid w:val="0082095F"/>
    <w:rsid w:val="008209C5"/>
    <w:rsid w:val="00820A91"/>
    <w:rsid w:val="00820ADC"/>
    <w:rsid w:val="00820C68"/>
    <w:rsid w:val="00820CC2"/>
    <w:rsid w:val="00820CE3"/>
    <w:rsid w:val="00820E13"/>
    <w:rsid w:val="00820EC8"/>
    <w:rsid w:val="00820F24"/>
    <w:rsid w:val="008211F4"/>
    <w:rsid w:val="00821473"/>
    <w:rsid w:val="00821480"/>
    <w:rsid w:val="00821599"/>
    <w:rsid w:val="008215ED"/>
    <w:rsid w:val="00821742"/>
    <w:rsid w:val="00821789"/>
    <w:rsid w:val="008219BC"/>
    <w:rsid w:val="00821A03"/>
    <w:rsid w:val="00821A26"/>
    <w:rsid w:val="00821B1A"/>
    <w:rsid w:val="00821BF0"/>
    <w:rsid w:val="00821C32"/>
    <w:rsid w:val="00821FB1"/>
    <w:rsid w:val="00822273"/>
    <w:rsid w:val="0082232E"/>
    <w:rsid w:val="00822410"/>
    <w:rsid w:val="0082251B"/>
    <w:rsid w:val="00822558"/>
    <w:rsid w:val="00822750"/>
    <w:rsid w:val="008229E2"/>
    <w:rsid w:val="00822B15"/>
    <w:rsid w:val="00822B55"/>
    <w:rsid w:val="00822DB8"/>
    <w:rsid w:val="008230C8"/>
    <w:rsid w:val="00823222"/>
    <w:rsid w:val="00823235"/>
    <w:rsid w:val="00823367"/>
    <w:rsid w:val="00823561"/>
    <w:rsid w:val="00823737"/>
    <w:rsid w:val="00823747"/>
    <w:rsid w:val="008239F7"/>
    <w:rsid w:val="00823A7A"/>
    <w:rsid w:val="00823AD1"/>
    <w:rsid w:val="00823BC4"/>
    <w:rsid w:val="00823C9A"/>
    <w:rsid w:val="00823D48"/>
    <w:rsid w:val="00823D76"/>
    <w:rsid w:val="0082409B"/>
    <w:rsid w:val="008240F1"/>
    <w:rsid w:val="008243A9"/>
    <w:rsid w:val="0082443A"/>
    <w:rsid w:val="00824461"/>
    <w:rsid w:val="00824601"/>
    <w:rsid w:val="0082464C"/>
    <w:rsid w:val="008246F9"/>
    <w:rsid w:val="0082472F"/>
    <w:rsid w:val="0082489E"/>
    <w:rsid w:val="0082494A"/>
    <w:rsid w:val="00824973"/>
    <w:rsid w:val="00824B4A"/>
    <w:rsid w:val="00824BFB"/>
    <w:rsid w:val="00824E07"/>
    <w:rsid w:val="00824F00"/>
    <w:rsid w:val="00825177"/>
    <w:rsid w:val="00825322"/>
    <w:rsid w:val="00825323"/>
    <w:rsid w:val="00825348"/>
    <w:rsid w:val="008253A4"/>
    <w:rsid w:val="008253C8"/>
    <w:rsid w:val="008253E4"/>
    <w:rsid w:val="008253FB"/>
    <w:rsid w:val="00825480"/>
    <w:rsid w:val="00825537"/>
    <w:rsid w:val="00825883"/>
    <w:rsid w:val="008258F6"/>
    <w:rsid w:val="00825DE2"/>
    <w:rsid w:val="00825E0D"/>
    <w:rsid w:val="00825E7D"/>
    <w:rsid w:val="00826218"/>
    <w:rsid w:val="0082622E"/>
    <w:rsid w:val="00826480"/>
    <w:rsid w:val="0082657E"/>
    <w:rsid w:val="008265C2"/>
    <w:rsid w:val="0082662C"/>
    <w:rsid w:val="00826826"/>
    <w:rsid w:val="008268FA"/>
    <w:rsid w:val="00826A2B"/>
    <w:rsid w:val="00826B8C"/>
    <w:rsid w:val="00826F38"/>
    <w:rsid w:val="00826F71"/>
    <w:rsid w:val="008270C3"/>
    <w:rsid w:val="00827233"/>
    <w:rsid w:val="008273C2"/>
    <w:rsid w:val="00827580"/>
    <w:rsid w:val="00827608"/>
    <w:rsid w:val="008276DB"/>
    <w:rsid w:val="00827730"/>
    <w:rsid w:val="008277B0"/>
    <w:rsid w:val="008278A6"/>
    <w:rsid w:val="0082799A"/>
    <w:rsid w:val="008279C3"/>
    <w:rsid w:val="00827D74"/>
    <w:rsid w:val="00827DB5"/>
    <w:rsid w:val="00827E2B"/>
    <w:rsid w:val="008300BF"/>
    <w:rsid w:val="008300DA"/>
    <w:rsid w:val="00830258"/>
    <w:rsid w:val="00830402"/>
    <w:rsid w:val="00830751"/>
    <w:rsid w:val="00830825"/>
    <w:rsid w:val="00830962"/>
    <w:rsid w:val="00830971"/>
    <w:rsid w:val="0083098D"/>
    <w:rsid w:val="00830A05"/>
    <w:rsid w:val="00830BAB"/>
    <w:rsid w:val="00830C53"/>
    <w:rsid w:val="00830F83"/>
    <w:rsid w:val="00830F8E"/>
    <w:rsid w:val="0083105C"/>
    <w:rsid w:val="00831299"/>
    <w:rsid w:val="0083138F"/>
    <w:rsid w:val="0083139F"/>
    <w:rsid w:val="008313CC"/>
    <w:rsid w:val="008316CA"/>
    <w:rsid w:val="00831779"/>
    <w:rsid w:val="0083186A"/>
    <w:rsid w:val="008319C8"/>
    <w:rsid w:val="00831D2D"/>
    <w:rsid w:val="00831E07"/>
    <w:rsid w:val="00831ED6"/>
    <w:rsid w:val="00832085"/>
    <w:rsid w:val="008320CF"/>
    <w:rsid w:val="008325F2"/>
    <w:rsid w:val="008328F5"/>
    <w:rsid w:val="00832984"/>
    <w:rsid w:val="00832C92"/>
    <w:rsid w:val="00832CE3"/>
    <w:rsid w:val="00832DA4"/>
    <w:rsid w:val="00833051"/>
    <w:rsid w:val="00833066"/>
    <w:rsid w:val="0083319A"/>
    <w:rsid w:val="0083334B"/>
    <w:rsid w:val="008333B1"/>
    <w:rsid w:val="008334B6"/>
    <w:rsid w:val="00833534"/>
    <w:rsid w:val="008335E7"/>
    <w:rsid w:val="008336E1"/>
    <w:rsid w:val="00833888"/>
    <w:rsid w:val="00833B7B"/>
    <w:rsid w:val="00833C9D"/>
    <w:rsid w:val="00833DAE"/>
    <w:rsid w:val="00833FE0"/>
    <w:rsid w:val="008340A4"/>
    <w:rsid w:val="0083435C"/>
    <w:rsid w:val="008344C0"/>
    <w:rsid w:val="0083455C"/>
    <w:rsid w:val="00834B4E"/>
    <w:rsid w:val="00834B7B"/>
    <w:rsid w:val="00834BF5"/>
    <w:rsid w:val="00834C74"/>
    <w:rsid w:val="00834D51"/>
    <w:rsid w:val="00834E0F"/>
    <w:rsid w:val="00835080"/>
    <w:rsid w:val="008352D5"/>
    <w:rsid w:val="0083543B"/>
    <w:rsid w:val="00835665"/>
    <w:rsid w:val="008356F3"/>
    <w:rsid w:val="00835944"/>
    <w:rsid w:val="008359B5"/>
    <w:rsid w:val="008359C3"/>
    <w:rsid w:val="008359F7"/>
    <w:rsid w:val="00835A7C"/>
    <w:rsid w:val="00835B35"/>
    <w:rsid w:val="00835BF2"/>
    <w:rsid w:val="00835C81"/>
    <w:rsid w:val="00835C9D"/>
    <w:rsid w:val="00835D49"/>
    <w:rsid w:val="00835FD4"/>
    <w:rsid w:val="0083618F"/>
    <w:rsid w:val="0083623C"/>
    <w:rsid w:val="00836251"/>
    <w:rsid w:val="008366B3"/>
    <w:rsid w:val="008367F7"/>
    <w:rsid w:val="00836938"/>
    <w:rsid w:val="00836A96"/>
    <w:rsid w:val="00836B24"/>
    <w:rsid w:val="00836B35"/>
    <w:rsid w:val="00836B55"/>
    <w:rsid w:val="00836C36"/>
    <w:rsid w:val="00836DAF"/>
    <w:rsid w:val="00836DB7"/>
    <w:rsid w:val="00836E11"/>
    <w:rsid w:val="00837016"/>
    <w:rsid w:val="008370FF"/>
    <w:rsid w:val="00837104"/>
    <w:rsid w:val="00837272"/>
    <w:rsid w:val="008372CF"/>
    <w:rsid w:val="008373AE"/>
    <w:rsid w:val="00837414"/>
    <w:rsid w:val="0083762E"/>
    <w:rsid w:val="00837795"/>
    <w:rsid w:val="008377B8"/>
    <w:rsid w:val="0083782C"/>
    <w:rsid w:val="008378C0"/>
    <w:rsid w:val="00837942"/>
    <w:rsid w:val="008379DE"/>
    <w:rsid w:val="00837D00"/>
    <w:rsid w:val="00837FAE"/>
    <w:rsid w:val="0084000C"/>
    <w:rsid w:val="00840167"/>
    <w:rsid w:val="00840484"/>
    <w:rsid w:val="00840498"/>
    <w:rsid w:val="00840508"/>
    <w:rsid w:val="00840605"/>
    <w:rsid w:val="00840703"/>
    <w:rsid w:val="0084092C"/>
    <w:rsid w:val="008409A4"/>
    <w:rsid w:val="008409A9"/>
    <w:rsid w:val="00840B4F"/>
    <w:rsid w:val="00840D7F"/>
    <w:rsid w:val="00840E5B"/>
    <w:rsid w:val="00840F62"/>
    <w:rsid w:val="00841034"/>
    <w:rsid w:val="00841083"/>
    <w:rsid w:val="0084116A"/>
    <w:rsid w:val="008413C9"/>
    <w:rsid w:val="008413D1"/>
    <w:rsid w:val="00841485"/>
    <w:rsid w:val="008415BC"/>
    <w:rsid w:val="008416A8"/>
    <w:rsid w:val="0084179A"/>
    <w:rsid w:val="008417B7"/>
    <w:rsid w:val="00841B95"/>
    <w:rsid w:val="00841CD6"/>
    <w:rsid w:val="00841DAC"/>
    <w:rsid w:val="00841DCD"/>
    <w:rsid w:val="00841E4F"/>
    <w:rsid w:val="0084218A"/>
    <w:rsid w:val="00842215"/>
    <w:rsid w:val="00842272"/>
    <w:rsid w:val="00842386"/>
    <w:rsid w:val="008423D8"/>
    <w:rsid w:val="008425DA"/>
    <w:rsid w:val="0084295F"/>
    <w:rsid w:val="008429ED"/>
    <w:rsid w:val="00842C19"/>
    <w:rsid w:val="00842D43"/>
    <w:rsid w:val="00842EA3"/>
    <w:rsid w:val="00843181"/>
    <w:rsid w:val="008432BE"/>
    <w:rsid w:val="0084335F"/>
    <w:rsid w:val="00843412"/>
    <w:rsid w:val="0084355A"/>
    <w:rsid w:val="00843695"/>
    <w:rsid w:val="0084373F"/>
    <w:rsid w:val="00843755"/>
    <w:rsid w:val="00843858"/>
    <w:rsid w:val="0084389A"/>
    <w:rsid w:val="008439B7"/>
    <w:rsid w:val="00843A23"/>
    <w:rsid w:val="00843A99"/>
    <w:rsid w:val="00843B7F"/>
    <w:rsid w:val="00843BD9"/>
    <w:rsid w:val="00843BDF"/>
    <w:rsid w:val="00843DB1"/>
    <w:rsid w:val="00843E12"/>
    <w:rsid w:val="00843F67"/>
    <w:rsid w:val="00843FAB"/>
    <w:rsid w:val="00844018"/>
    <w:rsid w:val="0084409F"/>
    <w:rsid w:val="0084415E"/>
    <w:rsid w:val="00844162"/>
    <w:rsid w:val="008441B8"/>
    <w:rsid w:val="00844448"/>
    <w:rsid w:val="0084454D"/>
    <w:rsid w:val="008445CA"/>
    <w:rsid w:val="00844725"/>
    <w:rsid w:val="008448BA"/>
    <w:rsid w:val="00844AAC"/>
    <w:rsid w:val="00844B16"/>
    <w:rsid w:val="00844B36"/>
    <w:rsid w:val="00844C4A"/>
    <w:rsid w:val="00844DBD"/>
    <w:rsid w:val="00844E02"/>
    <w:rsid w:val="00844E41"/>
    <w:rsid w:val="008452F5"/>
    <w:rsid w:val="0084544D"/>
    <w:rsid w:val="0084546E"/>
    <w:rsid w:val="0084553E"/>
    <w:rsid w:val="008455F2"/>
    <w:rsid w:val="008456D5"/>
    <w:rsid w:val="00845737"/>
    <w:rsid w:val="00845836"/>
    <w:rsid w:val="00845918"/>
    <w:rsid w:val="00845A9E"/>
    <w:rsid w:val="00845E26"/>
    <w:rsid w:val="00845E4F"/>
    <w:rsid w:val="00845EF4"/>
    <w:rsid w:val="00845F9F"/>
    <w:rsid w:val="00846170"/>
    <w:rsid w:val="008461CE"/>
    <w:rsid w:val="00846492"/>
    <w:rsid w:val="0084666B"/>
    <w:rsid w:val="00846902"/>
    <w:rsid w:val="00846A4A"/>
    <w:rsid w:val="00846CBD"/>
    <w:rsid w:val="00846DB1"/>
    <w:rsid w:val="00846EE2"/>
    <w:rsid w:val="00846FFE"/>
    <w:rsid w:val="0084704A"/>
    <w:rsid w:val="008470B1"/>
    <w:rsid w:val="008470B6"/>
    <w:rsid w:val="0084740F"/>
    <w:rsid w:val="00847453"/>
    <w:rsid w:val="0084746D"/>
    <w:rsid w:val="00847563"/>
    <w:rsid w:val="008475A8"/>
    <w:rsid w:val="00847656"/>
    <w:rsid w:val="008477F8"/>
    <w:rsid w:val="00847875"/>
    <w:rsid w:val="008478C3"/>
    <w:rsid w:val="008478DB"/>
    <w:rsid w:val="0084790D"/>
    <w:rsid w:val="00847B52"/>
    <w:rsid w:val="00847BE5"/>
    <w:rsid w:val="00847D19"/>
    <w:rsid w:val="00847E32"/>
    <w:rsid w:val="00850039"/>
    <w:rsid w:val="00850078"/>
    <w:rsid w:val="0085022D"/>
    <w:rsid w:val="0085034D"/>
    <w:rsid w:val="008503D4"/>
    <w:rsid w:val="0085046F"/>
    <w:rsid w:val="00850693"/>
    <w:rsid w:val="008506B0"/>
    <w:rsid w:val="008508A5"/>
    <w:rsid w:val="008509EF"/>
    <w:rsid w:val="00850CDF"/>
    <w:rsid w:val="00850D14"/>
    <w:rsid w:val="00850D3B"/>
    <w:rsid w:val="00850E50"/>
    <w:rsid w:val="00850F49"/>
    <w:rsid w:val="00851081"/>
    <w:rsid w:val="0085110C"/>
    <w:rsid w:val="008511A9"/>
    <w:rsid w:val="008512EF"/>
    <w:rsid w:val="008512F9"/>
    <w:rsid w:val="0085149D"/>
    <w:rsid w:val="0085153C"/>
    <w:rsid w:val="00851582"/>
    <w:rsid w:val="00851773"/>
    <w:rsid w:val="0085179B"/>
    <w:rsid w:val="0085179F"/>
    <w:rsid w:val="008518B9"/>
    <w:rsid w:val="008519C5"/>
    <w:rsid w:val="00851A4C"/>
    <w:rsid w:val="00851A66"/>
    <w:rsid w:val="00851A6E"/>
    <w:rsid w:val="00851BDB"/>
    <w:rsid w:val="00851C87"/>
    <w:rsid w:val="00851CD5"/>
    <w:rsid w:val="00851D7C"/>
    <w:rsid w:val="00851EBD"/>
    <w:rsid w:val="00851F7A"/>
    <w:rsid w:val="0085202E"/>
    <w:rsid w:val="0085211E"/>
    <w:rsid w:val="00852488"/>
    <w:rsid w:val="00852509"/>
    <w:rsid w:val="0085266C"/>
    <w:rsid w:val="00852828"/>
    <w:rsid w:val="00852ADE"/>
    <w:rsid w:val="00852C23"/>
    <w:rsid w:val="00852D90"/>
    <w:rsid w:val="0085312B"/>
    <w:rsid w:val="0085316D"/>
    <w:rsid w:val="0085328F"/>
    <w:rsid w:val="008532B1"/>
    <w:rsid w:val="0085342F"/>
    <w:rsid w:val="00853611"/>
    <w:rsid w:val="00853655"/>
    <w:rsid w:val="008539B4"/>
    <w:rsid w:val="008539DF"/>
    <w:rsid w:val="008539FE"/>
    <w:rsid w:val="00853DF4"/>
    <w:rsid w:val="00853E97"/>
    <w:rsid w:val="00853EF8"/>
    <w:rsid w:val="008543EE"/>
    <w:rsid w:val="0085440A"/>
    <w:rsid w:val="00854432"/>
    <w:rsid w:val="00854533"/>
    <w:rsid w:val="0085455E"/>
    <w:rsid w:val="0085463D"/>
    <w:rsid w:val="00854807"/>
    <w:rsid w:val="00854E98"/>
    <w:rsid w:val="00855070"/>
    <w:rsid w:val="0085540A"/>
    <w:rsid w:val="00855428"/>
    <w:rsid w:val="00855487"/>
    <w:rsid w:val="00855529"/>
    <w:rsid w:val="00855532"/>
    <w:rsid w:val="008555DD"/>
    <w:rsid w:val="0085565F"/>
    <w:rsid w:val="00855824"/>
    <w:rsid w:val="0085584C"/>
    <w:rsid w:val="008558A8"/>
    <w:rsid w:val="0085598F"/>
    <w:rsid w:val="00855A4D"/>
    <w:rsid w:val="00855ACA"/>
    <w:rsid w:val="00855BDA"/>
    <w:rsid w:val="00855D8F"/>
    <w:rsid w:val="00855DEB"/>
    <w:rsid w:val="00855E0E"/>
    <w:rsid w:val="00855E44"/>
    <w:rsid w:val="00855F9C"/>
    <w:rsid w:val="008560CF"/>
    <w:rsid w:val="0085622E"/>
    <w:rsid w:val="00856291"/>
    <w:rsid w:val="008562C0"/>
    <w:rsid w:val="008562E0"/>
    <w:rsid w:val="0085644B"/>
    <w:rsid w:val="00856575"/>
    <w:rsid w:val="0085666A"/>
    <w:rsid w:val="0085679F"/>
    <w:rsid w:val="008568D7"/>
    <w:rsid w:val="0085694B"/>
    <w:rsid w:val="008569D3"/>
    <w:rsid w:val="00856AA0"/>
    <w:rsid w:val="00856AC7"/>
    <w:rsid w:val="00856C62"/>
    <w:rsid w:val="00856C88"/>
    <w:rsid w:val="00856DE6"/>
    <w:rsid w:val="00856E3A"/>
    <w:rsid w:val="00856F8E"/>
    <w:rsid w:val="00856FB8"/>
    <w:rsid w:val="00857000"/>
    <w:rsid w:val="00857053"/>
    <w:rsid w:val="0085708C"/>
    <w:rsid w:val="008571DA"/>
    <w:rsid w:val="00857218"/>
    <w:rsid w:val="008572E0"/>
    <w:rsid w:val="008573F0"/>
    <w:rsid w:val="008574EB"/>
    <w:rsid w:val="00857518"/>
    <w:rsid w:val="008576DC"/>
    <w:rsid w:val="008577C4"/>
    <w:rsid w:val="00857C71"/>
    <w:rsid w:val="008600AE"/>
    <w:rsid w:val="008600B1"/>
    <w:rsid w:val="00860337"/>
    <w:rsid w:val="00860373"/>
    <w:rsid w:val="00860572"/>
    <w:rsid w:val="0086058D"/>
    <w:rsid w:val="00860661"/>
    <w:rsid w:val="00860700"/>
    <w:rsid w:val="008608ED"/>
    <w:rsid w:val="008608FA"/>
    <w:rsid w:val="00860B7B"/>
    <w:rsid w:val="00860DB2"/>
    <w:rsid w:val="00860EF7"/>
    <w:rsid w:val="00860F72"/>
    <w:rsid w:val="00861026"/>
    <w:rsid w:val="00861029"/>
    <w:rsid w:val="0086103F"/>
    <w:rsid w:val="00861108"/>
    <w:rsid w:val="0086118F"/>
    <w:rsid w:val="008611B8"/>
    <w:rsid w:val="00861310"/>
    <w:rsid w:val="0086135B"/>
    <w:rsid w:val="00861554"/>
    <w:rsid w:val="0086157B"/>
    <w:rsid w:val="008617DD"/>
    <w:rsid w:val="00861A92"/>
    <w:rsid w:val="00861AFA"/>
    <w:rsid w:val="00861C6B"/>
    <w:rsid w:val="00861CF2"/>
    <w:rsid w:val="00861D09"/>
    <w:rsid w:val="00861E96"/>
    <w:rsid w:val="00861F2D"/>
    <w:rsid w:val="00862046"/>
    <w:rsid w:val="008620EE"/>
    <w:rsid w:val="0086219D"/>
    <w:rsid w:val="008622AB"/>
    <w:rsid w:val="0086270F"/>
    <w:rsid w:val="0086298B"/>
    <w:rsid w:val="008629CC"/>
    <w:rsid w:val="00862CEB"/>
    <w:rsid w:val="00862D48"/>
    <w:rsid w:val="00862EDF"/>
    <w:rsid w:val="0086302F"/>
    <w:rsid w:val="00863120"/>
    <w:rsid w:val="00863139"/>
    <w:rsid w:val="008631A0"/>
    <w:rsid w:val="00863201"/>
    <w:rsid w:val="00863315"/>
    <w:rsid w:val="00863450"/>
    <w:rsid w:val="008638B3"/>
    <w:rsid w:val="008638BE"/>
    <w:rsid w:val="008638BF"/>
    <w:rsid w:val="00863A27"/>
    <w:rsid w:val="00863A4D"/>
    <w:rsid w:val="00863E07"/>
    <w:rsid w:val="00863E38"/>
    <w:rsid w:val="00863E8C"/>
    <w:rsid w:val="00863F55"/>
    <w:rsid w:val="00864011"/>
    <w:rsid w:val="0086454D"/>
    <w:rsid w:val="00864666"/>
    <w:rsid w:val="008646F6"/>
    <w:rsid w:val="00864873"/>
    <w:rsid w:val="008649FD"/>
    <w:rsid w:val="00864A56"/>
    <w:rsid w:val="00864B51"/>
    <w:rsid w:val="00864D98"/>
    <w:rsid w:val="00864DE3"/>
    <w:rsid w:val="00864DED"/>
    <w:rsid w:val="00864ED2"/>
    <w:rsid w:val="00864F62"/>
    <w:rsid w:val="0086504B"/>
    <w:rsid w:val="0086504F"/>
    <w:rsid w:val="008650F7"/>
    <w:rsid w:val="008650FA"/>
    <w:rsid w:val="00865369"/>
    <w:rsid w:val="0086536C"/>
    <w:rsid w:val="00865488"/>
    <w:rsid w:val="008654BD"/>
    <w:rsid w:val="008654FC"/>
    <w:rsid w:val="00865514"/>
    <w:rsid w:val="00865578"/>
    <w:rsid w:val="008655BA"/>
    <w:rsid w:val="00865718"/>
    <w:rsid w:val="00865931"/>
    <w:rsid w:val="00865A04"/>
    <w:rsid w:val="00865B01"/>
    <w:rsid w:val="00865C33"/>
    <w:rsid w:val="00865E84"/>
    <w:rsid w:val="00865F90"/>
    <w:rsid w:val="008660DE"/>
    <w:rsid w:val="00866124"/>
    <w:rsid w:val="008661C1"/>
    <w:rsid w:val="0086658E"/>
    <w:rsid w:val="00866667"/>
    <w:rsid w:val="008666D2"/>
    <w:rsid w:val="008667C5"/>
    <w:rsid w:val="00866922"/>
    <w:rsid w:val="00866A99"/>
    <w:rsid w:val="00866AA8"/>
    <w:rsid w:val="00866C2F"/>
    <w:rsid w:val="00866C87"/>
    <w:rsid w:val="00866D4E"/>
    <w:rsid w:val="0086702E"/>
    <w:rsid w:val="00867209"/>
    <w:rsid w:val="00867366"/>
    <w:rsid w:val="008673F9"/>
    <w:rsid w:val="00867630"/>
    <w:rsid w:val="00867679"/>
    <w:rsid w:val="008677E3"/>
    <w:rsid w:val="0086794A"/>
    <w:rsid w:val="008679AA"/>
    <w:rsid w:val="00867A2C"/>
    <w:rsid w:val="00867C88"/>
    <w:rsid w:val="00867CB3"/>
    <w:rsid w:val="00867EAB"/>
    <w:rsid w:val="0087005A"/>
    <w:rsid w:val="00870212"/>
    <w:rsid w:val="00870701"/>
    <w:rsid w:val="00870714"/>
    <w:rsid w:val="00870719"/>
    <w:rsid w:val="0087073D"/>
    <w:rsid w:val="00870869"/>
    <w:rsid w:val="00870880"/>
    <w:rsid w:val="00870980"/>
    <w:rsid w:val="0087099B"/>
    <w:rsid w:val="00870C37"/>
    <w:rsid w:val="00870D8C"/>
    <w:rsid w:val="00870DE2"/>
    <w:rsid w:val="00870E8E"/>
    <w:rsid w:val="00870F04"/>
    <w:rsid w:val="0087120A"/>
    <w:rsid w:val="00871349"/>
    <w:rsid w:val="00871582"/>
    <w:rsid w:val="008716E2"/>
    <w:rsid w:val="00871928"/>
    <w:rsid w:val="00871A37"/>
    <w:rsid w:val="00871B41"/>
    <w:rsid w:val="00871C14"/>
    <w:rsid w:val="00871D6A"/>
    <w:rsid w:val="00871EB1"/>
    <w:rsid w:val="008721D5"/>
    <w:rsid w:val="008722C1"/>
    <w:rsid w:val="0087230F"/>
    <w:rsid w:val="0087244D"/>
    <w:rsid w:val="008724D3"/>
    <w:rsid w:val="008725B8"/>
    <w:rsid w:val="00872772"/>
    <w:rsid w:val="008727D9"/>
    <w:rsid w:val="0087280E"/>
    <w:rsid w:val="008728E8"/>
    <w:rsid w:val="0087295E"/>
    <w:rsid w:val="00872969"/>
    <w:rsid w:val="00872979"/>
    <w:rsid w:val="00872BFA"/>
    <w:rsid w:val="00873034"/>
    <w:rsid w:val="0087308B"/>
    <w:rsid w:val="008730DF"/>
    <w:rsid w:val="00873208"/>
    <w:rsid w:val="008732CE"/>
    <w:rsid w:val="008733D8"/>
    <w:rsid w:val="00873466"/>
    <w:rsid w:val="008736C8"/>
    <w:rsid w:val="00873746"/>
    <w:rsid w:val="008738A8"/>
    <w:rsid w:val="0087398E"/>
    <w:rsid w:val="00873B58"/>
    <w:rsid w:val="00873C2C"/>
    <w:rsid w:val="00873DF8"/>
    <w:rsid w:val="0087416E"/>
    <w:rsid w:val="00874194"/>
    <w:rsid w:val="008742FD"/>
    <w:rsid w:val="008745F6"/>
    <w:rsid w:val="00874675"/>
    <w:rsid w:val="0087474F"/>
    <w:rsid w:val="008748E4"/>
    <w:rsid w:val="00874979"/>
    <w:rsid w:val="008749B2"/>
    <w:rsid w:val="00874C1B"/>
    <w:rsid w:val="00874F8D"/>
    <w:rsid w:val="008753B4"/>
    <w:rsid w:val="008755F1"/>
    <w:rsid w:val="00875738"/>
    <w:rsid w:val="008757B1"/>
    <w:rsid w:val="00875968"/>
    <w:rsid w:val="00875B79"/>
    <w:rsid w:val="00875B94"/>
    <w:rsid w:val="00875E1C"/>
    <w:rsid w:val="00875F17"/>
    <w:rsid w:val="00876447"/>
    <w:rsid w:val="0087645E"/>
    <w:rsid w:val="008764C7"/>
    <w:rsid w:val="00876575"/>
    <w:rsid w:val="008765A3"/>
    <w:rsid w:val="0087660C"/>
    <w:rsid w:val="0087669D"/>
    <w:rsid w:val="00876761"/>
    <w:rsid w:val="00876817"/>
    <w:rsid w:val="0087687F"/>
    <w:rsid w:val="00876A24"/>
    <w:rsid w:val="00876CD3"/>
    <w:rsid w:val="00876DA0"/>
    <w:rsid w:val="00876E4F"/>
    <w:rsid w:val="00876F6D"/>
    <w:rsid w:val="00876F9A"/>
    <w:rsid w:val="00876FB6"/>
    <w:rsid w:val="00877004"/>
    <w:rsid w:val="008771D3"/>
    <w:rsid w:val="0087720C"/>
    <w:rsid w:val="008772D6"/>
    <w:rsid w:val="008775AF"/>
    <w:rsid w:val="008775F6"/>
    <w:rsid w:val="008776A5"/>
    <w:rsid w:val="0087777F"/>
    <w:rsid w:val="008777D2"/>
    <w:rsid w:val="0087787F"/>
    <w:rsid w:val="008778F8"/>
    <w:rsid w:val="00877A0B"/>
    <w:rsid w:val="00877A3A"/>
    <w:rsid w:val="00877B39"/>
    <w:rsid w:val="00877C76"/>
    <w:rsid w:val="00877DCC"/>
    <w:rsid w:val="00877EEE"/>
    <w:rsid w:val="0088008F"/>
    <w:rsid w:val="008801C7"/>
    <w:rsid w:val="008801CB"/>
    <w:rsid w:val="0088023F"/>
    <w:rsid w:val="00880348"/>
    <w:rsid w:val="00880352"/>
    <w:rsid w:val="008803C0"/>
    <w:rsid w:val="00880502"/>
    <w:rsid w:val="008805A9"/>
    <w:rsid w:val="008805CB"/>
    <w:rsid w:val="0088065F"/>
    <w:rsid w:val="00880769"/>
    <w:rsid w:val="008807F7"/>
    <w:rsid w:val="008808B1"/>
    <w:rsid w:val="00880A1B"/>
    <w:rsid w:val="00880A72"/>
    <w:rsid w:val="00880CFF"/>
    <w:rsid w:val="0088116D"/>
    <w:rsid w:val="00881349"/>
    <w:rsid w:val="008813AC"/>
    <w:rsid w:val="008813DB"/>
    <w:rsid w:val="008814DB"/>
    <w:rsid w:val="008815C4"/>
    <w:rsid w:val="00881750"/>
    <w:rsid w:val="0088187F"/>
    <w:rsid w:val="008818B6"/>
    <w:rsid w:val="00881A37"/>
    <w:rsid w:val="00881AA7"/>
    <w:rsid w:val="00881B9D"/>
    <w:rsid w:val="00881BF6"/>
    <w:rsid w:val="00881C9D"/>
    <w:rsid w:val="00881C9E"/>
    <w:rsid w:val="00881D59"/>
    <w:rsid w:val="00881F88"/>
    <w:rsid w:val="00881FC3"/>
    <w:rsid w:val="00882129"/>
    <w:rsid w:val="00882340"/>
    <w:rsid w:val="00882456"/>
    <w:rsid w:val="00882573"/>
    <w:rsid w:val="008825C2"/>
    <w:rsid w:val="008825DF"/>
    <w:rsid w:val="008825EA"/>
    <w:rsid w:val="00882664"/>
    <w:rsid w:val="008827C0"/>
    <w:rsid w:val="0088284F"/>
    <w:rsid w:val="00882B9D"/>
    <w:rsid w:val="00882D8A"/>
    <w:rsid w:val="00882F15"/>
    <w:rsid w:val="00882F3F"/>
    <w:rsid w:val="00882FAC"/>
    <w:rsid w:val="0088302E"/>
    <w:rsid w:val="008832CD"/>
    <w:rsid w:val="00883440"/>
    <w:rsid w:val="008835BC"/>
    <w:rsid w:val="00883714"/>
    <w:rsid w:val="00883730"/>
    <w:rsid w:val="00883749"/>
    <w:rsid w:val="008837ED"/>
    <w:rsid w:val="00883871"/>
    <w:rsid w:val="00883C87"/>
    <w:rsid w:val="00883CB4"/>
    <w:rsid w:val="00883DF6"/>
    <w:rsid w:val="00883EBA"/>
    <w:rsid w:val="00883F87"/>
    <w:rsid w:val="00884151"/>
    <w:rsid w:val="008841FE"/>
    <w:rsid w:val="0088428B"/>
    <w:rsid w:val="008842EB"/>
    <w:rsid w:val="0088443D"/>
    <w:rsid w:val="008844D7"/>
    <w:rsid w:val="00884806"/>
    <w:rsid w:val="0088480D"/>
    <w:rsid w:val="00884932"/>
    <w:rsid w:val="00884A3C"/>
    <w:rsid w:val="00884B93"/>
    <w:rsid w:val="00884C3C"/>
    <w:rsid w:val="00884CB6"/>
    <w:rsid w:val="00884CD5"/>
    <w:rsid w:val="008851FB"/>
    <w:rsid w:val="008852E8"/>
    <w:rsid w:val="008854F9"/>
    <w:rsid w:val="0088557B"/>
    <w:rsid w:val="00885620"/>
    <w:rsid w:val="00885651"/>
    <w:rsid w:val="008856F8"/>
    <w:rsid w:val="00885928"/>
    <w:rsid w:val="00885A3F"/>
    <w:rsid w:val="00885C8C"/>
    <w:rsid w:val="008860B1"/>
    <w:rsid w:val="00886164"/>
    <w:rsid w:val="008862F5"/>
    <w:rsid w:val="008865CB"/>
    <w:rsid w:val="008865D0"/>
    <w:rsid w:val="00886681"/>
    <w:rsid w:val="00886730"/>
    <w:rsid w:val="0088682E"/>
    <w:rsid w:val="00886A0E"/>
    <w:rsid w:val="00886AC0"/>
    <w:rsid w:val="00886C08"/>
    <w:rsid w:val="00886D59"/>
    <w:rsid w:val="00886E9B"/>
    <w:rsid w:val="00886FCF"/>
    <w:rsid w:val="00886FDB"/>
    <w:rsid w:val="00887084"/>
    <w:rsid w:val="0088717F"/>
    <w:rsid w:val="0088723E"/>
    <w:rsid w:val="0088728F"/>
    <w:rsid w:val="008874EC"/>
    <w:rsid w:val="008875B6"/>
    <w:rsid w:val="008875BD"/>
    <w:rsid w:val="00887A5A"/>
    <w:rsid w:val="00887A88"/>
    <w:rsid w:val="00887B67"/>
    <w:rsid w:val="00887E66"/>
    <w:rsid w:val="00887E7B"/>
    <w:rsid w:val="00887EA5"/>
    <w:rsid w:val="00887EF0"/>
    <w:rsid w:val="0089013C"/>
    <w:rsid w:val="00890159"/>
    <w:rsid w:val="008902FC"/>
    <w:rsid w:val="00890348"/>
    <w:rsid w:val="0089035B"/>
    <w:rsid w:val="008903E6"/>
    <w:rsid w:val="008904C4"/>
    <w:rsid w:val="00890596"/>
    <w:rsid w:val="008908E3"/>
    <w:rsid w:val="00890902"/>
    <w:rsid w:val="00890919"/>
    <w:rsid w:val="00890953"/>
    <w:rsid w:val="00890961"/>
    <w:rsid w:val="008909FF"/>
    <w:rsid w:val="00890A2E"/>
    <w:rsid w:val="00890A91"/>
    <w:rsid w:val="00890C4E"/>
    <w:rsid w:val="00890D28"/>
    <w:rsid w:val="00890DB8"/>
    <w:rsid w:val="00890E69"/>
    <w:rsid w:val="008913ED"/>
    <w:rsid w:val="0089150C"/>
    <w:rsid w:val="0089159C"/>
    <w:rsid w:val="008915D6"/>
    <w:rsid w:val="00891628"/>
    <w:rsid w:val="008917AD"/>
    <w:rsid w:val="00891842"/>
    <w:rsid w:val="00891875"/>
    <w:rsid w:val="00891AA2"/>
    <w:rsid w:val="00891B26"/>
    <w:rsid w:val="00891B9C"/>
    <w:rsid w:val="00891E6A"/>
    <w:rsid w:val="00891FD2"/>
    <w:rsid w:val="008923EB"/>
    <w:rsid w:val="00892511"/>
    <w:rsid w:val="00892698"/>
    <w:rsid w:val="0089280D"/>
    <w:rsid w:val="00892F49"/>
    <w:rsid w:val="00892F9B"/>
    <w:rsid w:val="00892FCD"/>
    <w:rsid w:val="00893067"/>
    <w:rsid w:val="00893146"/>
    <w:rsid w:val="00893322"/>
    <w:rsid w:val="008934C0"/>
    <w:rsid w:val="00893539"/>
    <w:rsid w:val="0089371A"/>
    <w:rsid w:val="008937C5"/>
    <w:rsid w:val="008937D5"/>
    <w:rsid w:val="00893B56"/>
    <w:rsid w:val="00893C8D"/>
    <w:rsid w:val="00893C9E"/>
    <w:rsid w:val="00893D29"/>
    <w:rsid w:val="00893D6D"/>
    <w:rsid w:val="00893EDE"/>
    <w:rsid w:val="00893F18"/>
    <w:rsid w:val="00893F95"/>
    <w:rsid w:val="00894069"/>
    <w:rsid w:val="008940FF"/>
    <w:rsid w:val="00894122"/>
    <w:rsid w:val="00894156"/>
    <w:rsid w:val="00894187"/>
    <w:rsid w:val="00894196"/>
    <w:rsid w:val="00894262"/>
    <w:rsid w:val="008943A6"/>
    <w:rsid w:val="008943BD"/>
    <w:rsid w:val="00894516"/>
    <w:rsid w:val="00894538"/>
    <w:rsid w:val="00894548"/>
    <w:rsid w:val="00894559"/>
    <w:rsid w:val="00894781"/>
    <w:rsid w:val="00894B6F"/>
    <w:rsid w:val="00894CA7"/>
    <w:rsid w:val="0089517E"/>
    <w:rsid w:val="00895363"/>
    <w:rsid w:val="008953AB"/>
    <w:rsid w:val="00895491"/>
    <w:rsid w:val="008956FF"/>
    <w:rsid w:val="00895883"/>
    <w:rsid w:val="00895AD0"/>
    <w:rsid w:val="00895BDF"/>
    <w:rsid w:val="00895CD9"/>
    <w:rsid w:val="00895D1E"/>
    <w:rsid w:val="00895DAA"/>
    <w:rsid w:val="00895F8D"/>
    <w:rsid w:val="008960CB"/>
    <w:rsid w:val="008961B5"/>
    <w:rsid w:val="008962CB"/>
    <w:rsid w:val="0089634F"/>
    <w:rsid w:val="00896355"/>
    <w:rsid w:val="008963C1"/>
    <w:rsid w:val="008963D6"/>
    <w:rsid w:val="00896528"/>
    <w:rsid w:val="008968AC"/>
    <w:rsid w:val="008969CE"/>
    <w:rsid w:val="00896AF7"/>
    <w:rsid w:val="00896B19"/>
    <w:rsid w:val="00896B8E"/>
    <w:rsid w:val="00896C17"/>
    <w:rsid w:val="00896D79"/>
    <w:rsid w:val="00896F4C"/>
    <w:rsid w:val="00896F92"/>
    <w:rsid w:val="00897082"/>
    <w:rsid w:val="00897274"/>
    <w:rsid w:val="00897284"/>
    <w:rsid w:val="0089735B"/>
    <w:rsid w:val="00897483"/>
    <w:rsid w:val="00897499"/>
    <w:rsid w:val="0089749D"/>
    <w:rsid w:val="00897581"/>
    <w:rsid w:val="008976DF"/>
    <w:rsid w:val="00897811"/>
    <w:rsid w:val="00897E01"/>
    <w:rsid w:val="00897E19"/>
    <w:rsid w:val="00897E24"/>
    <w:rsid w:val="00897E3B"/>
    <w:rsid w:val="00897EBC"/>
    <w:rsid w:val="00897F15"/>
    <w:rsid w:val="00897F83"/>
    <w:rsid w:val="008A0069"/>
    <w:rsid w:val="008A00B4"/>
    <w:rsid w:val="008A01D9"/>
    <w:rsid w:val="008A0210"/>
    <w:rsid w:val="008A036A"/>
    <w:rsid w:val="008A03DA"/>
    <w:rsid w:val="008A0855"/>
    <w:rsid w:val="008A090D"/>
    <w:rsid w:val="008A0AF3"/>
    <w:rsid w:val="008A0C79"/>
    <w:rsid w:val="008A0EE3"/>
    <w:rsid w:val="008A130D"/>
    <w:rsid w:val="008A1349"/>
    <w:rsid w:val="008A13E8"/>
    <w:rsid w:val="008A147F"/>
    <w:rsid w:val="008A14C5"/>
    <w:rsid w:val="008A1674"/>
    <w:rsid w:val="008A189A"/>
    <w:rsid w:val="008A18D8"/>
    <w:rsid w:val="008A1989"/>
    <w:rsid w:val="008A1A75"/>
    <w:rsid w:val="008A1B92"/>
    <w:rsid w:val="008A1E66"/>
    <w:rsid w:val="008A1FF0"/>
    <w:rsid w:val="008A2002"/>
    <w:rsid w:val="008A2030"/>
    <w:rsid w:val="008A21F3"/>
    <w:rsid w:val="008A221D"/>
    <w:rsid w:val="008A2496"/>
    <w:rsid w:val="008A259C"/>
    <w:rsid w:val="008A2667"/>
    <w:rsid w:val="008A2772"/>
    <w:rsid w:val="008A278B"/>
    <w:rsid w:val="008A29A4"/>
    <w:rsid w:val="008A2C59"/>
    <w:rsid w:val="008A3267"/>
    <w:rsid w:val="008A33F0"/>
    <w:rsid w:val="008A35F6"/>
    <w:rsid w:val="008A362C"/>
    <w:rsid w:val="008A365F"/>
    <w:rsid w:val="008A36F8"/>
    <w:rsid w:val="008A3AF1"/>
    <w:rsid w:val="008A3BBC"/>
    <w:rsid w:val="008A3D8F"/>
    <w:rsid w:val="008A3DA0"/>
    <w:rsid w:val="008A3DB5"/>
    <w:rsid w:val="008A4098"/>
    <w:rsid w:val="008A40B6"/>
    <w:rsid w:val="008A4132"/>
    <w:rsid w:val="008A4336"/>
    <w:rsid w:val="008A4350"/>
    <w:rsid w:val="008A4544"/>
    <w:rsid w:val="008A46D9"/>
    <w:rsid w:val="008A475B"/>
    <w:rsid w:val="008A47B1"/>
    <w:rsid w:val="008A49D3"/>
    <w:rsid w:val="008A507C"/>
    <w:rsid w:val="008A50D0"/>
    <w:rsid w:val="008A5215"/>
    <w:rsid w:val="008A5434"/>
    <w:rsid w:val="008A5691"/>
    <w:rsid w:val="008A57C0"/>
    <w:rsid w:val="008A57EC"/>
    <w:rsid w:val="008A592B"/>
    <w:rsid w:val="008A59B8"/>
    <w:rsid w:val="008A5B18"/>
    <w:rsid w:val="008A5D88"/>
    <w:rsid w:val="008A5F45"/>
    <w:rsid w:val="008A602A"/>
    <w:rsid w:val="008A61D2"/>
    <w:rsid w:val="008A6220"/>
    <w:rsid w:val="008A6667"/>
    <w:rsid w:val="008A673F"/>
    <w:rsid w:val="008A6751"/>
    <w:rsid w:val="008A67E7"/>
    <w:rsid w:val="008A67EA"/>
    <w:rsid w:val="008A6894"/>
    <w:rsid w:val="008A68F7"/>
    <w:rsid w:val="008A690C"/>
    <w:rsid w:val="008A698A"/>
    <w:rsid w:val="008A6E24"/>
    <w:rsid w:val="008A6F6D"/>
    <w:rsid w:val="008A70DB"/>
    <w:rsid w:val="008A7523"/>
    <w:rsid w:val="008A76CD"/>
    <w:rsid w:val="008A78EB"/>
    <w:rsid w:val="008A7C45"/>
    <w:rsid w:val="008A7D12"/>
    <w:rsid w:val="008A7EB7"/>
    <w:rsid w:val="008A7ED8"/>
    <w:rsid w:val="008A7F94"/>
    <w:rsid w:val="008B01E2"/>
    <w:rsid w:val="008B01E8"/>
    <w:rsid w:val="008B0291"/>
    <w:rsid w:val="008B03A5"/>
    <w:rsid w:val="008B03ED"/>
    <w:rsid w:val="008B04C4"/>
    <w:rsid w:val="008B0602"/>
    <w:rsid w:val="008B08BD"/>
    <w:rsid w:val="008B091A"/>
    <w:rsid w:val="008B0B16"/>
    <w:rsid w:val="008B0B8D"/>
    <w:rsid w:val="008B0E56"/>
    <w:rsid w:val="008B1181"/>
    <w:rsid w:val="008B1368"/>
    <w:rsid w:val="008B138A"/>
    <w:rsid w:val="008B13B2"/>
    <w:rsid w:val="008B13F0"/>
    <w:rsid w:val="008B151A"/>
    <w:rsid w:val="008B1714"/>
    <w:rsid w:val="008B179A"/>
    <w:rsid w:val="008B18FA"/>
    <w:rsid w:val="008B1CAD"/>
    <w:rsid w:val="008B1D59"/>
    <w:rsid w:val="008B1EAD"/>
    <w:rsid w:val="008B1F5B"/>
    <w:rsid w:val="008B209C"/>
    <w:rsid w:val="008B20FE"/>
    <w:rsid w:val="008B2119"/>
    <w:rsid w:val="008B2460"/>
    <w:rsid w:val="008B246E"/>
    <w:rsid w:val="008B255A"/>
    <w:rsid w:val="008B2675"/>
    <w:rsid w:val="008B2739"/>
    <w:rsid w:val="008B27D0"/>
    <w:rsid w:val="008B2983"/>
    <w:rsid w:val="008B2A6F"/>
    <w:rsid w:val="008B2B0E"/>
    <w:rsid w:val="008B2B77"/>
    <w:rsid w:val="008B2BC8"/>
    <w:rsid w:val="008B2E42"/>
    <w:rsid w:val="008B3059"/>
    <w:rsid w:val="008B31B4"/>
    <w:rsid w:val="008B34B8"/>
    <w:rsid w:val="008B35B7"/>
    <w:rsid w:val="008B3616"/>
    <w:rsid w:val="008B3652"/>
    <w:rsid w:val="008B36CC"/>
    <w:rsid w:val="008B371B"/>
    <w:rsid w:val="008B38CB"/>
    <w:rsid w:val="008B3A66"/>
    <w:rsid w:val="008B3CF1"/>
    <w:rsid w:val="008B3F9C"/>
    <w:rsid w:val="008B4266"/>
    <w:rsid w:val="008B42C0"/>
    <w:rsid w:val="008B43AE"/>
    <w:rsid w:val="008B4481"/>
    <w:rsid w:val="008B453E"/>
    <w:rsid w:val="008B45FF"/>
    <w:rsid w:val="008B4714"/>
    <w:rsid w:val="008B4893"/>
    <w:rsid w:val="008B49BA"/>
    <w:rsid w:val="008B4B04"/>
    <w:rsid w:val="008B4C60"/>
    <w:rsid w:val="008B4CC2"/>
    <w:rsid w:val="008B4D3D"/>
    <w:rsid w:val="008B4DEA"/>
    <w:rsid w:val="008B4E05"/>
    <w:rsid w:val="008B4E82"/>
    <w:rsid w:val="008B50B1"/>
    <w:rsid w:val="008B5118"/>
    <w:rsid w:val="008B511F"/>
    <w:rsid w:val="008B51D0"/>
    <w:rsid w:val="008B5700"/>
    <w:rsid w:val="008B57CD"/>
    <w:rsid w:val="008B5863"/>
    <w:rsid w:val="008B593D"/>
    <w:rsid w:val="008B59A8"/>
    <w:rsid w:val="008B5A48"/>
    <w:rsid w:val="008B5A4C"/>
    <w:rsid w:val="008B5BA6"/>
    <w:rsid w:val="008B5CFA"/>
    <w:rsid w:val="008B5FDF"/>
    <w:rsid w:val="008B6007"/>
    <w:rsid w:val="008B619C"/>
    <w:rsid w:val="008B649D"/>
    <w:rsid w:val="008B65C5"/>
    <w:rsid w:val="008B66D3"/>
    <w:rsid w:val="008B6B4C"/>
    <w:rsid w:val="008B6CC2"/>
    <w:rsid w:val="008B6DCB"/>
    <w:rsid w:val="008B6ED9"/>
    <w:rsid w:val="008B6F9E"/>
    <w:rsid w:val="008B70B1"/>
    <w:rsid w:val="008B72D0"/>
    <w:rsid w:val="008B7331"/>
    <w:rsid w:val="008B73F8"/>
    <w:rsid w:val="008B7579"/>
    <w:rsid w:val="008B7740"/>
    <w:rsid w:val="008B785E"/>
    <w:rsid w:val="008B7A44"/>
    <w:rsid w:val="008B7A54"/>
    <w:rsid w:val="008B7A72"/>
    <w:rsid w:val="008B7C0B"/>
    <w:rsid w:val="008B7C39"/>
    <w:rsid w:val="008B7D0D"/>
    <w:rsid w:val="008B7D5C"/>
    <w:rsid w:val="008B7E30"/>
    <w:rsid w:val="008B7F11"/>
    <w:rsid w:val="008B7F84"/>
    <w:rsid w:val="008C0058"/>
    <w:rsid w:val="008C0233"/>
    <w:rsid w:val="008C03AC"/>
    <w:rsid w:val="008C046F"/>
    <w:rsid w:val="008C07F9"/>
    <w:rsid w:val="008C07FF"/>
    <w:rsid w:val="008C0C28"/>
    <w:rsid w:val="008C0DDC"/>
    <w:rsid w:val="008C0E14"/>
    <w:rsid w:val="008C0E4C"/>
    <w:rsid w:val="008C10CE"/>
    <w:rsid w:val="008C10ED"/>
    <w:rsid w:val="008C1100"/>
    <w:rsid w:val="008C130A"/>
    <w:rsid w:val="008C135D"/>
    <w:rsid w:val="008C13CA"/>
    <w:rsid w:val="008C1542"/>
    <w:rsid w:val="008C1543"/>
    <w:rsid w:val="008C17FF"/>
    <w:rsid w:val="008C18ED"/>
    <w:rsid w:val="008C1952"/>
    <w:rsid w:val="008C1DE1"/>
    <w:rsid w:val="008C21B8"/>
    <w:rsid w:val="008C21D2"/>
    <w:rsid w:val="008C22C9"/>
    <w:rsid w:val="008C2325"/>
    <w:rsid w:val="008C2442"/>
    <w:rsid w:val="008C246D"/>
    <w:rsid w:val="008C248B"/>
    <w:rsid w:val="008C266E"/>
    <w:rsid w:val="008C2675"/>
    <w:rsid w:val="008C27C4"/>
    <w:rsid w:val="008C2995"/>
    <w:rsid w:val="008C29EF"/>
    <w:rsid w:val="008C2A85"/>
    <w:rsid w:val="008C2AAD"/>
    <w:rsid w:val="008C2B13"/>
    <w:rsid w:val="008C2D2A"/>
    <w:rsid w:val="008C2D9A"/>
    <w:rsid w:val="008C2E61"/>
    <w:rsid w:val="008C3175"/>
    <w:rsid w:val="008C31B4"/>
    <w:rsid w:val="008C32DA"/>
    <w:rsid w:val="008C334D"/>
    <w:rsid w:val="008C33A4"/>
    <w:rsid w:val="008C35A2"/>
    <w:rsid w:val="008C3646"/>
    <w:rsid w:val="008C36E5"/>
    <w:rsid w:val="008C39F8"/>
    <w:rsid w:val="008C3B0C"/>
    <w:rsid w:val="008C3BD3"/>
    <w:rsid w:val="008C3C67"/>
    <w:rsid w:val="008C3D3F"/>
    <w:rsid w:val="008C41C1"/>
    <w:rsid w:val="008C42A7"/>
    <w:rsid w:val="008C42DC"/>
    <w:rsid w:val="008C42DD"/>
    <w:rsid w:val="008C454A"/>
    <w:rsid w:val="008C459E"/>
    <w:rsid w:val="008C4778"/>
    <w:rsid w:val="008C489E"/>
    <w:rsid w:val="008C494D"/>
    <w:rsid w:val="008C4B4F"/>
    <w:rsid w:val="008C4B65"/>
    <w:rsid w:val="008C4D7E"/>
    <w:rsid w:val="008C4E1F"/>
    <w:rsid w:val="008C4F04"/>
    <w:rsid w:val="008C5028"/>
    <w:rsid w:val="008C50A2"/>
    <w:rsid w:val="008C5407"/>
    <w:rsid w:val="008C5467"/>
    <w:rsid w:val="008C54EB"/>
    <w:rsid w:val="008C5529"/>
    <w:rsid w:val="008C56E1"/>
    <w:rsid w:val="008C575F"/>
    <w:rsid w:val="008C5908"/>
    <w:rsid w:val="008C59F9"/>
    <w:rsid w:val="008C5A85"/>
    <w:rsid w:val="008C5B56"/>
    <w:rsid w:val="008C5C3E"/>
    <w:rsid w:val="008C5CE5"/>
    <w:rsid w:val="008C5EBB"/>
    <w:rsid w:val="008C61B3"/>
    <w:rsid w:val="008C6208"/>
    <w:rsid w:val="008C6313"/>
    <w:rsid w:val="008C63C0"/>
    <w:rsid w:val="008C63F9"/>
    <w:rsid w:val="008C6427"/>
    <w:rsid w:val="008C6431"/>
    <w:rsid w:val="008C64C0"/>
    <w:rsid w:val="008C65C4"/>
    <w:rsid w:val="008C6662"/>
    <w:rsid w:val="008C6692"/>
    <w:rsid w:val="008C66FA"/>
    <w:rsid w:val="008C6873"/>
    <w:rsid w:val="008C68B0"/>
    <w:rsid w:val="008C68F7"/>
    <w:rsid w:val="008C6984"/>
    <w:rsid w:val="008C6A22"/>
    <w:rsid w:val="008C6A4E"/>
    <w:rsid w:val="008C6B43"/>
    <w:rsid w:val="008C6D26"/>
    <w:rsid w:val="008C7250"/>
    <w:rsid w:val="008C7333"/>
    <w:rsid w:val="008C7352"/>
    <w:rsid w:val="008C742D"/>
    <w:rsid w:val="008C7506"/>
    <w:rsid w:val="008C754F"/>
    <w:rsid w:val="008C75E2"/>
    <w:rsid w:val="008C7797"/>
    <w:rsid w:val="008C77E2"/>
    <w:rsid w:val="008C7851"/>
    <w:rsid w:val="008C7966"/>
    <w:rsid w:val="008C79C2"/>
    <w:rsid w:val="008C7F7E"/>
    <w:rsid w:val="008C7FE9"/>
    <w:rsid w:val="008D041B"/>
    <w:rsid w:val="008D05A2"/>
    <w:rsid w:val="008D065C"/>
    <w:rsid w:val="008D0674"/>
    <w:rsid w:val="008D0BB6"/>
    <w:rsid w:val="008D0C0C"/>
    <w:rsid w:val="008D0C88"/>
    <w:rsid w:val="008D0E14"/>
    <w:rsid w:val="008D0E4A"/>
    <w:rsid w:val="008D112E"/>
    <w:rsid w:val="008D11EB"/>
    <w:rsid w:val="008D123C"/>
    <w:rsid w:val="008D1280"/>
    <w:rsid w:val="008D1346"/>
    <w:rsid w:val="008D135A"/>
    <w:rsid w:val="008D16FD"/>
    <w:rsid w:val="008D1975"/>
    <w:rsid w:val="008D1B27"/>
    <w:rsid w:val="008D1B8C"/>
    <w:rsid w:val="008D1BA3"/>
    <w:rsid w:val="008D1BB0"/>
    <w:rsid w:val="008D1FA9"/>
    <w:rsid w:val="008D2088"/>
    <w:rsid w:val="008D21B9"/>
    <w:rsid w:val="008D2262"/>
    <w:rsid w:val="008D24C6"/>
    <w:rsid w:val="008D2537"/>
    <w:rsid w:val="008D25E2"/>
    <w:rsid w:val="008D26C8"/>
    <w:rsid w:val="008D2713"/>
    <w:rsid w:val="008D283E"/>
    <w:rsid w:val="008D29A9"/>
    <w:rsid w:val="008D2B21"/>
    <w:rsid w:val="008D2D92"/>
    <w:rsid w:val="008D312B"/>
    <w:rsid w:val="008D314E"/>
    <w:rsid w:val="008D3741"/>
    <w:rsid w:val="008D384A"/>
    <w:rsid w:val="008D3881"/>
    <w:rsid w:val="008D3952"/>
    <w:rsid w:val="008D39EC"/>
    <w:rsid w:val="008D3A87"/>
    <w:rsid w:val="008D3AAD"/>
    <w:rsid w:val="008D3C90"/>
    <w:rsid w:val="008D3CA1"/>
    <w:rsid w:val="008D3DA8"/>
    <w:rsid w:val="008D3EF8"/>
    <w:rsid w:val="008D3F8A"/>
    <w:rsid w:val="008D45D8"/>
    <w:rsid w:val="008D45DE"/>
    <w:rsid w:val="008D479A"/>
    <w:rsid w:val="008D4813"/>
    <w:rsid w:val="008D488F"/>
    <w:rsid w:val="008D490A"/>
    <w:rsid w:val="008D4977"/>
    <w:rsid w:val="008D49B4"/>
    <w:rsid w:val="008D4A4E"/>
    <w:rsid w:val="008D4BF5"/>
    <w:rsid w:val="008D4D21"/>
    <w:rsid w:val="008D4F33"/>
    <w:rsid w:val="008D508D"/>
    <w:rsid w:val="008D5130"/>
    <w:rsid w:val="008D5276"/>
    <w:rsid w:val="008D5464"/>
    <w:rsid w:val="008D55BE"/>
    <w:rsid w:val="008D5856"/>
    <w:rsid w:val="008D5878"/>
    <w:rsid w:val="008D5900"/>
    <w:rsid w:val="008D5B13"/>
    <w:rsid w:val="008D5B43"/>
    <w:rsid w:val="008D5BA6"/>
    <w:rsid w:val="008D5C45"/>
    <w:rsid w:val="008D5D16"/>
    <w:rsid w:val="008D5EC6"/>
    <w:rsid w:val="008D6016"/>
    <w:rsid w:val="008D6066"/>
    <w:rsid w:val="008D61CE"/>
    <w:rsid w:val="008D61D3"/>
    <w:rsid w:val="008D623E"/>
    <w:rsid w:val="008D625B"/>
    <w:rsid w:val="008D62AE"/>
    <w:rsid w:val="008D62F3"/>
    <w:rsid w:val="008D6313"/>
    <w:rsid w:val="008D639C"/>
    <w:rsid w:val="008D646D"/>
    <w:rsid w:val="008D67E8"/>
    <w:rsid w:val="008D6A33"/>
    <w:rsid w:val="008D6B7F"/>
    <w:rsid w:val="008D6C64"/>
    <w:rsid w:val="008D6D7A"/>
    <w:rsid w:val="008D6E55"/>
    <w:rsid w:val="008D6EB5"/>
    <w:rsid w:val="008D6EF2"/>
    <w:rsid w:val="008D6FFF"/>
    <w:rsid w:val="008D71D9"/>
    <w:rsid w:val="008D71E5"/>
    <w:rsid w:val="008D71EC"/>
    <w:rsid w:val="008D789D"/>
    <w:rsid w:val="008D79DB"/>
    <w:rsid w:val="008D7B68"/>
    <w:rsid w:val="008D7B73"/>
    <w:rsid w:val="008D7D13"/>
    <w:rsid w:val="008D7DC3"/>
    <w:rsid w:val="008D7E1B"/>
    <w:rsid w:val="008D7ED6"/>
    <w:rsid w:val="008D7F09"/>
    <w:rsid w:val="008E004C"/>
    <w:rsid w:val="008E0081"/>
    <w:rsid w:val="008E035D"/>
    <w:rsid w:val="008E042D"/>
    <w:rsid w:val="008E0440"/>
    <w:rsid w:val="008E0495"/>
    <w:rsid w:val="008E0A78"/>
    <w:rsid w:val="008E10AF"/>
    <w:rsid w:val="008E1140"/>
    <w:rsid w:val="008E116A"/>
    <w:rsid w:val="008E12DA"/>
    <w:rsid w:val="008E1459"/>
    <w:rsid w:val="008E16BC"/>
    <w:rsid w:val="008E1815"/>
    <w:rsid w:val="008E1833"/>
    <w:rsid w:val="008E1922"/>
    <w:rsid w:val="008E1978"/>
    <w:rsid w:val="008E197E"/>
    <w:rsid w:val="008E1D8E"/>
    <w:rsid w:val="008E1F63"/>
    <w:rsid w:val="008E2194"/>
    <w:rsid w:val="008E2605"/>
    <w:rsid w:val="008E27D4"/>
    <w:rsid w:val="008E28D2"/>
    <w:rsid w:val="008E2B03"/>
    <w:rsid w:val="008E2B34"/>
    <w:rsid w:val="008E303C"/>
    <w:rsid w:val="008E306F"/>
    <w:rsid w:val="008E30D5"/>
    <w:rsid w:val="008E33D1"/>
    <w:rsid w:val="008E361F"/>
    <w:rsid w:val="008E3657"/>
    <w:rsid w:val="008E368A"/>
    <w:rsid w:val="008E390F"/>
    <w:rsid w:val="008E3B0B"/>
    <w:rsid w:val="008E3D27"/>
    <w:rsid w:val="008E3D6A"/>
    <w:rsid w:val="008E410F"/>
    <w:rsid w:val="008E42FF"/>
    <w:rsid w:val="008E473E"/>
    <w:rsid w:val="008E4743"/>
    <w:rsid w:val="008E47A0"/>
    <w:rsid w:val="008E483D"/>
    <w:rsid w:val="008E4878"/>
    <w:rsid w:val="008E4967"/>
    <w:rsid w:val="008E4B63"/>
    <w:rsid w:val="008E4CCA"/>
    <w:rsid w:val="008E5077"/>
    <w:rsid w:val="008E53D7"/>
    <w:rsid w:val="008E5620"/>
    <w:rsid w:val="008E57C7"/>
    <w:rsid w:val="008E58C2"/>
    <w:rsid w:val="008E5B91"/>
    <w:rsid w:val="008E5CEC"/>
    <w:rsid w:val="008E5D07"/>
    <w:rsid w:val="008E5E0F"/>
    <w:rsid w:val="008E5FAE"/>
    <w:rsid w:val="008E5FD9"/>
    <w:rsid w:val="008E6386"/>
    <w:rsid w:val="008E642F"/>
    <w:rsid w:val="008E646D"/>
    <w:rsid w:val="008E64E9"/>
    <w:rsid w:val="008E6665"/>
    <w:rsid w:val="008E666C"/>
    <w:rsid w:val="008E66C3"/>
    <w:rsid w:val="008E672E"/>
    <w:rsid w:val="008E6845"/>
    <w:rsid w:val="008E6B6E"/>
    <w:rsid w:val="008E6C1C"/>
    <w:rsid w:val="008E6D18"/>
    <w:rsid w:val="008E6DCB"/>
    <w:rsid w:val="008E6E30"/>
    <w:rsid w:val="008E6E32"/>
    <w:rsid w:val="008E6EA4"/>
    <w:rsid w:val="008E7052"/>
    <w:rsid w:val="008E70E8"/>
    <w:rsid w:val="008E712A"/>
    <w:rsid w:val="008E7225"/>
    <w:rsid w:val="008E7243"/>
    <w:rsid w:val="008E7348"/>
    <w:rsid w:val="008E7480"/>
    <w:rsid w:val="008E782E"/>
    <w:rsid w:val="008E78D1"/>
    <w:rsid w:val="008E7920"/>
    <w:rsid w:val="008E79D7"/>
    <w:rsid w:val="008E7A01"/>
    <w:rsid w:val="008E7AFD"/>
    <w:rsid w:val="008E7C2B"/>
    <w:rsid w:val="008E7C88"/>
    <w:rsid w:val="008E7CA5"/>
    <w:rsid w:val="008E7CD8"/>
    <w:rsid w:val="008E7DC4"/>
    <w:rsid w:val="008F0002"/>
    <w:rsid w:val="008F0568"/>
    <w:rsid w:val="008F05EA"/>
    <w:rsid w:val="008F05FC"/>
    <w:rsid w:val="008F0685"/>
    <w:rsid w:val="008F06B9"/>
    <w:rsid w:val="008F06D9"/>
    <w:rsid w:val="008F08D7"/>
    <w:rsid w:val="008F08E5"/>
    <w:rsid w:val="008F0957"/>
    <w:rsid w:val="008F0B84"/>
    <w:rsid w:val="008F0BBF"/>
    <w:rsid w:val="008F0BC3"/>
    <w:rsid w:val="008F0D41"/>
    <w:rsid w:val="008F0E00"/>
    <w:rsid w:val="008F1073"/>
    <w:rsid w:val="008F1083"/>
    <w:rsid w:val="008F10AB"/>
    <w:rsid w:val="008F10B7"/>
    <w:rsid w:val="008F137C"/>
    <w:rsid w:val="008F1387"/>
    <w:rsid w:val="008F1670"/>
    <w:rsid w:val="008F1892"/>
    <w:rsid w:val="008F1E81"/>
    <w:rsid w:val="008F2072"/>
    <w:rsid w:val="008F22E3"/>
    <w:rsid w:val="008F2459"/>
    <w:rsid w:val="008F2476"/>
    <w:rsid w:val="008F254A"/>
    <w:rsid w:val="008F2560"/>
    <w:rsid w:val="008F261E"/>
    <w:rsid w:val="008F275E"/>
    <w:rsid w:val="008F2957"/>
    <w:rsid w:val="008F29CF"/>
    <w:rsid w:val="008F2A05"/>
    <w:rsid w:val="008F2ABB"/>
    <w:rsid w:val="008F2D2F"/>
    <w:rsid w:val="008F2D66"/>
    <w:rsid w:val="008F2D70"/>
    <w:rsid w:val="008F3020"/>
    <w:rsid w:val="008F305A"/>
    <w:rsid w:val="008F31C6"/>
    <w:rsid w:val="008F3543"/>
    <w:rsid w:val="008F38AC"/>
    <w:rsid w:val="008F38E3"/>
    <w:rsid w:val="008F3D05"/>
    <w:rsid w:val="008F41AD"/>
    <w:rsid w:val="008F41EA"/>
    <w:rsid w:val="008F4294"/>
    <w:rsid w:val="008F43CA"/>
    <w:rsid w:val="008F4646"/>
    <w:rsid w:val="008F4956"/>
    <w:rsid w:val="008F4C9F"/>
    <w:rsid w:val="008F4E84"/>
    <w:rsid w:val="008F5287"/>
    <w:rsid w:val="008F52CA"/>
    <w:rsid w:val="008F5399"/>
    <w:rsid w:val="008F5452"/>
    <w:rsid w:val="008F5487"/>
    <w:rsid w:val="008F55A1"/>
    <w:rsid w:val="008F55F8"/>
    <w:rsid w:val="008F5693"/>
    <w:rsid w:val="008F56FD"/>
    <w:rsid w:val="008F577A"/>
    <w:rsid w:val="008F59C2"/>
    <w:rsid w:val="008F5B70"/>
    <w:rsid w:val="008F5BA9"/>
    <w:rsid w:val="008F5D32"/>
    <w:rsid w:val="008F5F77"/>
    <w:rsid w:val="008F60A5"/>
    <w:rsid w:val="008F60C6"/>
    <w:rsid w:val="008F61A9"/>
    <w:rsid w:val="008F6287"/>
    <w:rsid w:val="008F6414"/>
    <w:rsid w:val="008F64F7"/>
    <w:rsid w:val="008F6534"/>
    <w:rsid w:val="008F6774"/>
    <w:rsid w:val="008F69A4"/>
    <w:rsid w:val="008F6A45"/>
    <w:rsid w:val="008F6A50"/>
    <w:rsid w:val="008F6A5A"/>
    <w:rsid w:val="008F6A86"/>
    <w:rsid w:val="008F6B16"/>
    <w:rsid w:val="008F6B83"/>
    <w:rsid w:val="008F6C8B"/>
    <w:rsid w:val="008F6CDE"/>
    <w:rsid w:val="008F6D66"/>
    <w:rsid w:val="008F6DB9"/>
    <w:rsid w:val="008F6EC4"/>
    <w:rsid w:val="008F70C0"/>
    <w:rsid w:val="008F70D6"/>
    <w:rsid w:val="008F7110"/>
    <w:rsid w:val="008F7334"/>
    <w:rsid w:val="008F734C"/>
    <w:rsid w:val="008F74DE"/>
    <w:rsid w:val="008F7590"/>
    <w:rsid w:val="008F7974"/>
    <w:rsid w:val="008F798A"/>
    <w:rsid w:val="008F7B5C"/>
    <w:rsid w:val="008F7BD2"/>
    <w:rsid w:val="008F7D88"/>
    <w:rsid w:val="008F7DBB"/>
    <w:rsid w:val="008F7FD5"/>
    <w:rsid w:val="0090021A"/>
    <w:rsid w:val="0090025D"/>
    <w:rsid w:val="009003C1"/>
    <w:rsid w:val="00900517"/>
    <w:rsid w:val="009006F2"/>
    <w:rsid w:val="009009F5"/>
    <w:rsid w:val="00900B4A"/>
    <w:rsid w:val="00900C5D"/>
    <w:rsid w:val="00900D10"/>
    <w:rsid w:val="00900D30"/>
    <w:rsid w:val="00900E10"/>
    <w:rsid w:val="00900F78"/>
    <w:rsid w:val="0090110E"/>
    <w:rsid w:val="0090117F"/>
    <w:rsid w:val="0090120B"/>
    <w:rsid w:val="009012AD"/>
    <w:rsid w:val="009012F3"/>
    <w:rsid w:val="009012F8"/>
    <w:rsid w:val="0090135A"/>
    <w:rsid w:val="00901396"/>
    <w:rsid w:val="009013CF"/>
    <w:rsid w:val="0090143E"/>
    <w:rsid w:val="0090145D"/>
    <w:rsid w:val="0090172E"/>
    <w:rsid w:val="0090179E"/>
    <w:rsid w:val="009017E6"/>
    <w:rsid w:val="00901828"/>
    <w:rsid w:val="0090183C"/>
    <w:rsid w:val="0090183D"/>
    <w:rsid w:val="009018B9"/>
    <w:rsid w:val="009018E5"/>
    <w:rsid w:val="00901B1F"/>
    <w:rsid w:val="00901B4D"/>
    <w:rsid w:val="00901BA9"/>
    <w:rsid w:val="00901BEC"/>
    <w:rsid w:val="00901D20"/>
    <w:rsid w:val="00901D54"/>
    <w:rsid w:val="00902034"/>
    <w:rsid w:val="009020E9"/>
    <w:rsid w:val="009024CB"/>
    <w:rsid w:val="009026B9"/>
    <w:rsid w:val="009026F9"/>
    <w:rsid w:val="00902753"/>
    <w:rsid w:val="009027CF"/>
    <w:rsid w:val="00902820"/>
    <w:rsid w:val="009028A4"/>
    <w:rsid w:val="00902B4F"/>
    <w:rsid w:val="00902BAD"/>
    <w:rsid w:val="00902CF0"/>
    <w:rsid w:val="0090309A"/>
    <w:rsid w:val="00903198"/>
    <w:rsid w:val="009031FB"/>
    <w:rsid w:val="00903570"/>
    <w:rsid w:val="0090359C"/>
    <w:rsid w:val="00903697"/>
    <w:rsid w:val="009036D3"/>
    <w:rsid w:val="009036E5"/>
    <w:rsid w:val="00903803"/>
    <w:rsid w:val="00903859"/>
    <w:rsid w:val="00903890"/>
    <w:rsid w:val="009038E7"/>
    <w:rsid w:val="00903933"/>
    <w:rsid w:val="00903A35"/>
    <w:rsid w:val="00903B20"/>
    <w:rsid w:val="00903B24"/>
    <w:rsid w:val="00903C21"/>
    <w:rsid w:val="00903C75"/>
    <w:rsid w:val="00903C9B"/>
    <w:rsid w:val="00903D2C"/>
    <w:rsid w:val="00903EFA"/>
    <w:rsid w:val="0090415E"/>
    <w:rsid w:val="00904170"/>
    <w:rsid w:val="0090435E"/>
    <w:rsid w:val="009045A8"/>
    <w:rsid w:val="0090475A"/>
    <w:rsid w:val="00904778"/>
    <w:rsid w:val="00904886"/>
    <w:rsid w:val="009049A7"/>
    <w:rsid w:val="00904AF2"/>
    <w:rsid w:val="00904ECF"/>
    <w:rsid w:val="0090503D"/>
    <w:rsid w:val="009051CB"/>
    <w:rsid w:val="0090521A"/>
    <w:rsid w:val="009055F9"/>
    <w:rsid w:val="009056E1"/>
    <w:rsid w:val="009057B5"/>
    <w:rsid w:val="00905C58"/>
    <w:rsid w:val="00905C5C"/>
    <w:rsid w:val="00905C63"/>
    <w:rsid w:val="00905D73"/>
    <w:rsid w:val="00905E04"/>
    <w:rsid w:val="00905FF6"/>
    <w:rsid w:val="00906144"/>
    <w:rsid w:val="0090624B"/>
    <w:rsid w:val="0090629E"/>
    <w:rsid w:val="00906393"/>
    <w:rsid w:val="009063D9"/>
    <w:rsid w:val="0090655E"/>
    <w:rsid w:val="009066E3"/>
    <w:rsid w:val="009068B5"/>
    <w:rsid w:val="009068F1"/>
    <w:rsid w:val="00906A9E"/>
    <w:rsid w:val="00906ABB"/>
    <w:rsid w:val="00906CE4"/>
    <w:rsid w:val="00906E2B"/>
    <w:rsid w:val="00907173"/>
    <w:rsid w:val="00907232"/>
    <w:rsid w:val="00907346"/>
    <w:rsid w:val="009077FD"/>
    <w:rsid w:val="00907828"/>
    <w:rsid w:val="0090783B"/>
    <w:rsid w:val="0090785F"/>
    <w:rsid w:val="0090791C"/>
    <w:rsid w:val="009079E7"/>
    <w:rsid w:val="00907A31"/>
    <w:rsid w:val="00907B42"/>
    <w:rsid w:val="00907B97"/>
    <w:rsid w:val="00907C32"/>
    <w:rsid w:val="00907C60"/>
    <w:rsid w:val="00907CE7"/>
    <w:rsid w:val="00907EAA"/>
    <w:rsid w:val="00910033"/>
    <w:rsid w:val="009102C9"/>
    <w:rsid w:val="009104C9"/>
    <w:rsid w:val="009104D4"/>
    <w:rsid w:val="0091050B"/>
    <w:rsid w:val="00910536"/>
    <w:rsid w:val="00910799"/>
    <w:rsid w:val="0091090B"/>
    <w:rsid w:val="00910EC4"/>
    <w:rsid w:val="00911248"/>
    <w:rsid w:val="00911257"/>
    <w:rsid w:val="00911258"/>
    <w:rsid w:val="00911267"/>
    <w:rsid w:val="00911280"/>
    <w:rsid w:val="009112AF"/>
    <w:rsid w:val="00911555"/>
    <w:rsid w:val="00911697"/>
    <w:rsid w:val="009119AD"/>
    <w:rsid w:val="00911A33"/>
    <w:rsid w:val="00911E74"/>
    <w:rsid w:val="00911EDA"/>
    <w:rsid w:val="00911F6B"/>
    <w:rsid w:val="00912008"/>
    <w:rsid w:val="009120AD"/>
    <w:rsid w:val="0091214B"/>
    <w:rsid w:val="00912318"/>
    <w:rsid w:val="00912320"/>
    <w:rsid w:val="009125B1"/>
    <w:rsid w:val="00912626"/>
    <w:rsid w:val="009126A0"/>
    <w:rsid w:val="00912758"/>
    <w:rsid w:val="00912784"/>
    <w:rsid w:val="00912794"/>
    <w:rsid w:val="00912AD3"/>
    <w:rsid w:val="00912CEC"/>
    <w:rsid w:val="00912DAC"/>
    <w:rsid w:val="00912E59"/>
    <w:rsid w:val="0091300E"/>
    <w:rsid w:val="00913120"/>
    <w:rsid w:val="009131C0"/>
    <w:rsid w:val="00913362"/>
    <w:rsid w:val="00913377"/>
    <w:rsid w:val="0091369D"/>
    <w:rsid w:val="009139AB"/>
    <w:rsid w:val="00913AAC"/>
    <w:rsid w:val="00913B55"/>
    <w:rsid w:val="00913BF4"/>
    <w:rsid w:val="00913FA0"/>
    <w:rsid w:val="00913FA6"/>
    <w:rsid w:val="0091400A"/>
    <w:rsid w:val="0091407A"/>
    <w:rsid w:val="009141BD"/>
    <w:rsid w:val="0091453F"/>
    <w:rsid w:val="009145F8"/>
    <w:rsid w:val="009149DF"/>
    <w:rsid w:val="00914B94"/>
    <w:rsid w:val="00914F10"/>
    <w:rsid w:val="00915038"/>
    <w:rsid w:val="0091507F"/>
    <w:rsid w:val="009150A4"/>
    <w:rsid w:val="00915193"/>
    <w:rsid w:val="009151B2"/>
    <w:rsid w:val="00915297"/>
    <w:rsid w:val="0091536B"/>
    <w:rsid w:val="00915438"/>
    <w:rsid w:val="00915644"/>
    <w:rsid w:val="0091574F"/>
    <w:rsid w:val="009157DC"/>
    <w:rsid w:val="009157EF"/>
    <w:rsid w:val="00915863"/>
    <w:rsid w:val="00915875"/>
    <w:rsid w:val="009158F3"/>
    <w:rsid w:val="009158F8"/>
    <w:rsid w:val="00915942"/>
    <w:rsid w:val="009159F2"/>
    <w:rsid w:val="00915C50"/>
    <w:rsid w:val="00915C9F"/>
    <w:rsid w:val="00915E77"/>
    <w:rsid w:val="00915F85"/>
    <w:rsid w:val="009160C9"/>
    <w:rsid w:val="009161CC"/>
    <w:rsid w:val="00916639"/>
    <w:rsid w:val="009166EA"/>
    <w:rsid w:val="00916744"/>
    <w:rsid w:val="0091676F"/>
    <w:rsid w:val="00916839"/>
    <w:rsid w:val="00916975"/>
    <w:rsid w:val="0091699A"/>
    <w:rsid w:val="009169D1"/>
    <w:rsid w:val="00916AF5"/>
    <w:rsid w:val="00916B6B"/>
    <w:rsid w:val="00916D16"/>
    <w:rsid w:val="009171FB"/>
    <w:rsid w:val="00917243"/>
    <w:rsid w:val="009172E7"/>
    <w:rsid w:val="00917352"/>
    <w:rsid w:val="00917368"/>
    <w:rsid w:val="00917490"/>
    <w:rsid w:val="0091785E"/>
    <w:rsid w:val="00917963"/>
    <w:rsid w:val="00917AC6"/>
    <w:rsid w:val="00917C35"/>
    <w:rsid w:val="00917D15"/>
    <w:rsid w:val="00917E6A"/>
    <w:rsid w:val="00920001"/>
    <w:rsid w:val="00920031"/>
    <w:rsid w:val="00920092"/>
    <w:rsid w:val="00920370"/>
    <w:rsid w:val="0092044E"/>
    <w:rsid w:val="009206CC"/>
    <w:rsid w:val="0092073C"/>
    <w:rsid w:val="009207D1"/>
    <w:rsid w:val="00920920"/>
    <w:rsid w:val="0092096D"/>
    <w:rsid w:val="00920AC3"/>
    <w:rsid w:val="00920C48"/>
    <w:rsid w:val="00920CC3"/>
    <w:rsid w:val="00920CC4"/>
    <w:rsid w:val="00921080"/>
    <w:rsid w:val="00921152"/>
    <w:rsid w:val="0092116F"/>
    <w:rsid w:val="009211C4"/>
    <w:rsid w:val="009211E2"/>
    <w:rsid w:val="00921294"/>
    <w:rsid w:val="009213D9"/>
    <w:rsid w:val="00921502"/>
    <w:rsid w:val="00921510"/>
    <w:rsid w:val="0092154B"/>
    <w:rsid w:val="0092155B"/>
    <w:rsid w:val="009215C0"/>
    <w:rsid w:val="00921898"/>
    <w:rsid w:val="009218CF"/>
    <w:rsid w:val="0092191C"/>
    <w:rsid w:val="00921B80"/>
    <w:rsid w:val="00921B87"/>
    <w:rsid w:val="00921C4C"/>
    <w:rsid w:val="00921D97"/>
    <w:rsid w:val="00921F17"/>
    <w:rsid w:val="009222AF"/>
    <w:rsid w:val="0092233F"/>
    <w:rsid w:val="00922367"/>
    <w:rsid w:val="009223E2"/>
    <w:rsid w:val="00922978"/>
    <w:rsid w:val="00922986"/>
    <w:rsid w:val="009229A6"/>
    <w:rsid w:val="00922A46"/>
    <w:rsid w:val="00922BA4"/>
    <w:rsid w:val="00923068"/>
    <w:rsid w:val="00923188"/>
    <w:rsid w:val="009231D8"/>
    <w:rsid w:val="009232CE"/>
    <w:rsid w:val="009232E3"/>
    <w:rsid w:val="009233E6"/>
    <w:rsid w:val="0092361A"/>
    <w:rsid w:val="009237B1"/>
    <w:rsid w:val="00923919"/>
    <w:rsid w:val="0092398C"/>
    <w:rsid w:val="00923E31"/>
    <w:rsid w:val="00923F5D"/>
    <w:rsid w:val="00923F84"/>
    <w:rsid w:val="0092401D"/>
    <w:rsid w:val="00924376"/>
    <w:rsid w:val="009244AB"/>
    <w:rsid w:val="009244FC"/>
    <w:rsid w:val="00924514"/>
    <w:rsid w:val="00924650"/>
    <w:rsid w:val="00924702"/>
    <w:rsid w:val="0092494E"/>
    <w:rsid w:val="00924990"/>
    <w:rsid w:val="00924AC4"/>
    <w:rsid w:val="00924C2D"/>
    <w:rsid w:val="0092504A"/>
    <w:rsid w:val="009251C7"/>
    <w:rsid w:val="00925307"/>
    <w:rsid w:val="0092533B"/>
    <w:rsid w:val="00925850"/>
    <w:rsid w:val="009258A2"/>
    <w:rsid w:val="00925AE1"/>
    <w:rsid w:val="00925EDB"/>
    <w:rsid w:val="00925F10"/>
    <w:rsid w:val="00925F8D"/>
    <w:rsid w:val="00926005"/>
    <w:rsid w:val="0092608B"/>
    <w:rsid w:val="009260C0"/>
    <w:rsid w:val="00926200"/>
    <w:rsid w:val="00926427"/>
    <w:rsid w:val="00926437"/>
    <w:rsid w:val="00926490"/>
    <w:rsid w:val="00926550"/>
    <w:rsid w:val="0092675B"/>
    <w:rsid w:val="009267C0"/>
    <w:rsid w:val="009267D6"/>
    <w:rsid w:val="00926802"/>
    <w:rsid w:val="00926A05"/>
    <w:rsid w:val="00926C89"/>
    <w:rsid w:val="00926CE1"/>
    <w:rsid w:val="00926E25"/>
    <w:rsid w:val="00926E2E"/>
    <w:rsid w:val="00927032"/>
    <w:rsid w:val="009270B3"/>
    <w:rsid w:val="00927183"/>
    <w:rsid w:val="009271A4"/>
    <w:rsid w:val="00927305"/>
    <w:rsid w:val="00927385"/>
    <w:rsid w:val="0092755E"/>
    <w:rsid w:val="0092756A"/>
    <w:rsid w:val="0092775A"/>
    <w:rsid w:val="0092784E"/>
    <w:rsid w:val="0092786D"/>
    <w:rsid w:val="00927928"/>
    <w:rsid w:val="009279E0"/>
    <w:rsid w:val="00927B58"/>
    <w:rsid w:val="00927C7C"/>
    <w:rsid w:val="00927D30"/>
    <w:rsid w:val="00927E03"/>
    <w:rsid w:val="00927E9B"/>
    <w:rsid w:val="00930152"/>
    <w:rsid w:val="0093038C"/>
    <w:rsid w:val="0093042D"/>
    <w:rsid w:val="0093070D"/>
    <w:rsid w:val="009307B0"/>
    <w:rsid w:val="009307D8"/>
    <w:rsid w:val="009308C3"/>
    <w:rsid w:val="009308FC"/>
    <w:rsid w:val="009308FD"/>
    <w:rsid w:val="00930ABE"/>
    <w:rsid w:val="00930ACE"/>
    <w:rsid w:val="00930DE1"/>
    <w:rsid w:val="00930EB4"/>
    <w:rsid w:val="00931036"/>
    <w:rsid w:val="009310C2"/>
    <w:rsid w:val="009310F4"/>
    <w:rsid w:val="00931110"/>
    <w:rsid w:val="00931193"/>
    <w:rsid w:val="00931213"/>
    <w:rsid w:val="009312E7"/>
    <w:rsid w:val="0093152C"/>
    <w:rsid w:val="009319D0"/>
    <w:rsid w:val="00931B63"/>
    <w:rsid w:val="00931D43"/>
    <w:rsid w:val="00931E09"/>
    <w:rsid w:val="00931E29"/>
    <w:rsid w:val="00931E55"/>
    <w:rsid w:val="00932140"/>
    <w:rsid w:val="0093217F"/>
    <w:rsid w:val="009324EA"/>
    <w:rsid w:val="009327CE"/>
    <w:rsid w:val="00932849"/>
    <w:rsid w:val="00932872"/>
    <w:rsid w:val="00932881"/>
    <w:rsid w:val="0093293B"/>
    <w:rsid w:val="009329FD"/>
    <w:rsid w:val="00932CB4"/>
    <w:rsid w:val="00932D49"/>
    <w:rsid w:val="00932FDC"/>
    <w:rsid w:val="00933036"/>
    <w:rsid w:val="009331EE"/>
    <w:rsid w:val="0093356F"/>
    <w:rsid w:val="0093363A"/>
    <w:rsid w:val="009336FC"/>
    <w:rsid w:val="009338F1"/>
    <w:rsid w:val="009339B0"/>
    <w:rsid w:val="00933B2D"/>
    <w:rsid w:val="00933C24"/>
    <w:rsid w:val="00933E0A"/>
    <w:rsid w:val="00933F0E"/>
    <w:rsid w:val="00933FA0"/>
    <w:rsid w:val="00934319"/>
    <w:rsid w:val="00934447"/>
    <w:rsid w:val="00934514"/>
    <w:rsid w:val="009345C5"/>
    <w:rsid w:val="0093462F"/>
    <w:rsid w:val="00934665"/>
    <w:rsid w:val="009346AB"/>
    <w:rsid w:val="00934756"/>
    <w:rsid w:val="0093497B"/>
    <w:rsid w:val="009349C1"/>
    <w:rsid w:val="009349DD"/>
    <w:rsid w:val="00934D94"/>
    <w:rsid w:val="00934E58"/>
    <w:rsid w:val="00934F9B"/>
    <w:rsid w:val="0093521F"/>
    <w:rsid w:val="00935387"/>
    <w:rsid w:val="0093546E"/>
    <w:rsid w:val="0093549E"/>
    <w:rsid w:val="00935592"/>
    <w:rsid w:val="00935606"/>
    <w:rsid w:val="00935718"/>
    <w:rsid w:val="0093588F"/>
    <w:rsid w:val="009358CA"/>
    <w:rsid w:val="0093598F"/>
    <w:rsid w:val="0093599D"/>
    <w:rsid w:val="00935BF0"/>
    <w:rsid w:val="00935C73"/>
    <w:rsid w:val="00935EC4"/>
    <w:rsid w:val="00936058"/>
    <w:rsid w:val="00936139"/>
    <w:rsid w:val="00936206"/>
    <w:rsid w:val="009367B4"/>
    <w:rsid w:val="00936805"/>
    <w:rsid w:val="009368D5"/>
    <w:rsid w:val="00936907"/>
    <w:rsid w:val="009369FA"/>
    <w:rsid w:val="00936ABD"/>
    <w:rsid w:val="00936ABF"/>
    <w:rsid w:val="00936B67"/>
    <w:rsid w:val="00936DEB"/>
    <w:rsid w:val="00936E89"/>
    <w:rsid w:val="00936E90"/>
    <w:rsid w:val="00936F3B"/>
    <w:rsid w:val="009370E0"/>
    <w:rsid w:val="00937184"/>
    <w:rsid w:val="00937366"/>
    <w:rsid w:val="00937561"/>
    <w:rsid w:val="00937A80"/>
    <w:rsid w:val="00937B42"/>
    <w:rsid w:val="00937CD0"/>
    <w:rsid w:val="00937DE2"/>
    <w:rsid w:val="00940092"/>
    <w:rsid w:val="009401CC"/>
    <w:rsid w:val="009403D0"/>
    <w:rsid w:val="009403FA"/>
    <w:rsid w:val="00940469"/>
    <w:rsid w:val="00940551"/>
    <w:rsid w:val="0094055F"/>
    <w:rsid w:val="009405A0"/>
    <w:rsid w:val="009405B3"/>
    <w:rsid w:val="0094069B"/>
    <w:rsid w:val="009406C0"/>
    <w:rsid w:val="00940889"/>
    <w:rsid w:val="00940A0B"/>
    <w:rsid w:val="00940B92"/>
    <w:rsid w:val="00940C3C"/>
    <w:rsid w:val="00940C47"/>
    <w:rsid w:val="00940C8D"/>
    <w:rsid w:val="00940EF4"/>
    <w:rsid w:val="00940F53"/>
    <w:rsid w:val="0094100C"/>
    <w:rsid w:val="0094116D"/>
    <w:rsid w:val="00941172"/>
    <w:rsid w:val="009411C2"/>
    <w:rsid w:val="009411FE"/>
    <w:rsid w:val="0094137F"/>
    <w:rsid w:val="0094138E"/>
    <w:rsid w:val="009413B4"/>
    <w:rsid w:val="009413C3"/>
    <w:rsid w:val="009413DF"/>
    <w:rsid w:val="00941518"/>
    <w:rsid w:val="00941588"/>
    <w:rsid w:val="00941731"/>
    <w:rsid w:val="009418E8"/>
    <w:rsid w:val="0094190D"/>
    <w:rsid w:val="00941A47"/>
    <w:rsid w:val="00941B23"/>
    <w:rsid w:val="00941C2A"/>
    <w:rsid w:val="00941C36"/>
    <w:rsid w:val="00941CFD"/>
    <w:rsid w:val="00941F55"/>
    <w:rsid w:val="009420F5"/>
    <w:rsid w:val="0094221E"/>
    <w:rsid w:val="009424AC"/>
    <w:rsid w:val="00942530"/>
    <w:rsid w:val="00942754"/>
    <w:rsid w:val="009427A5"/>
    <w:rsid w:val="0094285B"/>
    <w:rsid w:val="00942AE3"/>
    <w:rsid w:val="00942B09"/>
    <w:rsid w:val="00942B0D"/>
    <w:rsid w:val="00942B35"/>
    <w:rsid w:val="00942C29"/>
    <w:rsid w:val="00942CEB"/>
    <w:rsid w:val="00942E96"/>
    <w:rsid w:val="00942F84"/>
    <w:rsid w:val="00943102"/>
    <w:rsid w:val="0094316A"/>
    <w:rsid w:val="009431D2"/>
    <w:rsid w:val="009432FE"/>
    <w:rsid w:val="0094345F"/>
    <w:rsid w:val="009435D6"/>
    <w:rsid w:val="00943617"/>
    <w:rsid w:val="009436DD"/>
    <w:rsid w:val="00943729"/>
    <w:rsid w:val="00943809"/>
    <w:rsid w:val="00943810"/>
    <w:rsid w:val="00943870"/>
    <w:rsid w:val="0094387B"/>
    <w:rsid w:val="0094390F"/>
    <w:rsid w:val="009439CB"/>
    <w:rsid w:val="00943A48"/>
    <w:rsid w:val="00943A80"/>
    <w:rsid w:val="00943C08"/>
    <w:rsid w:val="00943C8B"/>
    <w:rsid w:val="00943D4D"/>
    <w:rsid w:val="00943DBA"/>
    <w:rsid w:val="00943E4C"/>
    <w:rsid w:val="00943ED3"/>
    <w:rsid w:val="00944006"/>
    <w:rsid w:val="009440AF"/>
    <w:rsid w:val="00944150"/>
    <w:rsid w:val="009441AB"/>
    <w:rsid w:val="009441C6"/>
    <w:rsid w:val="00944214"/>
    <w:rsid w:val="0094426B"/>
    <w:rsid w:val="00944327"/>
    <w:rsid w:val="009447D7"/>
    <w:rsid w:val="009447E3"/>
    <w:rsid w:val="009447FB"/>
    <w:rsid w:val="00944963"/>
    <w:rsid w:val="0094497A"/>
    <w:rsid w:val="0094497B"/>
    <w:rsid w:val="00944A0B"/>
    <w:rsid w:val="00944A12"/>
    <w:rsid w:val="00944B24"/>
    <w:rsid w:val="00944B55"/>
    <w:rsid w:val="00944BDD"/>
    <w:rsid w:val="00944D24"/>
    <w:rsid w:val="00944D53"/>
    <w:rsid w:val="00944D5B"/>
    <w:rsid w:val="009450F7"/>
    <w:rsid w:val="0094520F"/>
    <w:rsid w:val="0094522C"/>
    <w:rsid w:val="009453BC"/>
    <w:rsid w:val="00945424"/>
    <w:rsid w:val="00945554"/>
    <w:rsid w:val="00945909"/>
    <w:rsid w:val="00945953"/>
    <w:rsid w:val="00945B44"/>
    <w:rsid w:val="00945C27"/>
    <w:rsid w:val="00945C29"/>
    <w:rsid w:val="00945C7A"/>
    <w:rsid w:val="0094604D"/>
    <w:rsid w:val="00946102"/>
    <w:rsid w:val="009462CD"/>
    <w:rsid w:val="009464CE"/>
    <w:rsid w:val="00946657"/>
    <w:rsid w:val="009466E5"/>
    <w:rsid w:val="0094694A"/>
    <w:rsid w:val="0094695A"/>
    <w:rsid w:val="0094697D"/>
    <w:rsid w:val="00946AB2"/>
    <w:rsid w:val="00946B5C"/>
    <w:rsid w:val="00946C06"/>
    <w:rsid w:val="00946C80"/>
    <w:rsid w:val="00946CC8"/>
    <w:rsid w:val="00946E3B"/>
    <w:rsid w:val="00946F0E"/>
    <w:rsid w:val="0094706C"/>
    <w:rsid w:val="00947134"/>
    <w:rsid w:val="009471A2"/>
    <w:rsid w:val="009472D4"/>
    <w:rsid w:val="0094744F"/>
    <w:rsid w:val="00947476"/>
    <w:rsid w:val="009476BD"/>
    <w:rsid w:val="009478B9"/>
    <w:rsid w:val="009479CB"/>
    <w:rsid w:val="00947A07"/>
    <w:rsid w:val="00947A4A"/>
    <w:rsid w:val="00947B60"/>
    <w:rsid w:val="00947D6E"/>
    <w:rsid w:val="00947EB1"/>
    <w:rsid w:val="00947F4E"/>
    <w:rsid w:val="0095006E"/>
    <w:rsid w:val="009501FF"/>
    <w:rsid w:val="00950217"/>
    <w:rsid w:val="009502EE"/>
    <w:rsid w:val="00950343"/>
    <w:rsid w:val="00950620"/>
    <w:rsid w:val="00950659"/>
    <w:rsid w:val="00950663"/>
    <w:rsid w:val="009507C2"/>
    <w:rsid w:val="00950838"/>
    <w:rsid w:val="0095087F"/>
    <w:rsid w:val="00950C45"/>
    <w:rsid w:val="00950C9F"/>
    <w:rsid w:val="00950DA5"/>
    <w:rsid w:val="00950F43"/>
    <w:rsid w:val="0095146D"/>
    <w:rsid w:val="0095192E"/>
    <w:rsid w:val="00951AFE"/>
    <w:rsid w:val="00951FAC"/>
    <w:rsid w:val="00952140"/>
    <w:rsid w:val="00952238"/>
    <w:rsid w:val="009522EA"/>
    <w:rsid w:val="00952480"/>
    <w:rsid w:val="009524B9"/>
    <w:rsid w:val="0095269D"/>
    <w:rsid w:val="009526DA"/>
    <w:rsid w:val="00952701"/>
    <w:rsid w:val="0095287E"/>
    <w:rsid w:val="0095289E"/>
    <w:rsid w:val="009528A5"/>
    <w:rsid w:val="00952A2F"/>
    <w:rsid w:val="00952A63"/>
    <w:rsid w:val="00952AFE"/>
    <w:rsid w:val="00952B89"/>
    <w:rsid w:val="00952B9D"/>
    <w:rsid w:val="00952F27"/>
    <w:rsid w:val="00952F90"/>
    <w:rsid w:val="009533E1"/>
    <w:rsid w:val="00953448"/>
    <w:rsid w:val="00953474"/>
    <w:rsid w:val="0095375F"/>
    <w:rsid w:val="00953863"/>
    <w:rsid w:val="00953A6E"/>
    <w:rsid w:val="00953B9A"/>
    <w:rsid w:val="00953D78"/>
    <w:rsid w:val="00953EC0"/>
    <w:rsid w:val="00953FEC"/>
    <w:rsid w:val="0095415E"/>
    <w:rsid w:val="00954343"/>
    <w:rsid w:val="009543F2"/>
    <w:rsid w:val="009544F4"/>
    <w:rsid w:val="009546D2"/>
    <w:rsid w:val="00954724"/>
    <w:rsid w:val="009548A3"/>
    <w:rsid w:val="00954A89"/>
    <w:rsid w:val="00954C0E"/>
    <w:rsid w:val="00954E59"/>
    <w:rsid w:val="00954F9C"/>
    <w:rsid w:val="00955173"/>
    <w:rsid w:val="009551AA"/>
    <w:rsid w:val="0095535B"/>
    <w:rsid w:val="009553D9"/>
    <w:rsid w:val="0095548F"/>
    <w:rsid w:val="009554A6"/>
    <w:rsid w:val="009554F2"/>
    <w:rsid w:val="009557D6"/>
    <w:rsid w:val="00955BF3"/>
    <w:rsid w:val="00955C36"/>
    <w:rsid w:val="00955D39"/>
    <w:rsid w:val="00955D62"/>
    <w:rsid w:val="00955E3A"/>
    <w:rsid w:val="00955F39"/>
    <w:rsid w:val="0095625A"/>
    <w:rsid w:val="0095625D"/>
    <w:rsid w:val="009562B0"/>
    <w:rsid w:val="0095635F"/>
    <w:rsid w:val="009563FF"/>
    <w:rsid w:val="00956447"/>
    <w:rsid w:val="009564F5"/>
    <w:rsid w:val="00956717"/>
    <w:rsid w:val="009568C8"/>
    <w:rsid w:val="0095692C"/>
    <w:rsid w:val="00956B1E"/>
    <w:rsid w:val="00956E94"/>
    <w:rsid w:val="00957071"/>
    <w:rsid w:val="0095715F"/>
    <w:rsid w:val="0095716F"/>
    <w:rsid w:val="009571FB"/>
    <w:rsid w:val="00957248"/>
    <w:rsid w:val="009574B6"/>
    <w:rsid w:val="009574F9"/>
    <w:rsid w:val="009575ED"/>
    <w:rsid w:val="009576E8"/>
    <w:rsid w:val="00957959"/>
    <w:rsid w:val="00957A9E"/>
    <w:rsid w:val="00957BD1"/>
    <w:rsid w:val="00957C74"/>
    <w:rsid w:val="00957D21"/>
    <w:rsid w:val="00957ECD"/>
    <w:rsid w:val="00960256"/>
    <w:rsid w:val="009604C5"/>
    <w:rsid w:val="009604FA"/>
    <w:rsid w:val="0096054B"/>
    <w:rsid w:val="009605CA"/>
    <w:rsid w:val="0096086E"/>
    <w:rsid w:val="009609E3"/>
    <w:rsid w:val="00960A0C"/>
    <w:rsid w:val="00960A6E"/>
    <w:rsid w:val="00960B40"/>
    <w:rsid w:val="00960B50"/>
    <w:rsid w:val="00960E18"/>
    <w:rsid w:val="00960E31"/>
    <w:rsid w:val="00960F16"/>
    <w:rsid w:val="00961022"/>
    <w:rsid w:val="009613DD"/>
    <w:rsid w:val="009614D0"/>
    <w:rsid w:val="00961528"/>
    <w:rsid w:val="00961590"/>
    <w:rsid w:val="009617E9"/>
    <w:rsid w:val="00961AC3"/>
    <w:rsid w:val="00961AD2"/>
    <w:rsid w:val="00961AF3"/>
    <w:rsid w:val="00961CAB"/>
    <w:rsid w:val="00961CE7"/>
    <w:rsid w:val="00961DC1"/>
    <w:rsid w:val="00961FD3"/>
    <w:rsid w:val="00962044"/>
    <w:rsid w:val="009621AA"/>
    <w:rsid w:val="00962301"/>
    <w:rsid w:val="0096245F"/>
    <w:rsid w:val="009624EB"/>
    <w:rsid w:val="009625C1"/>
    <w:rsid w:val="00962744"/>
    <w:rsid w:val="00962799"/>
    <w:rsid w:val="00962902"/>
    <w:rsid w:val="00962912"/>
    <w:rsid w:val="00962962"/>
    <w:rsid w:val="0096298A"/>
    <w:rsid w:val="009629D1"/>
    <w:rsid w:val="00962A00"/>
    <w:rsid w:val="00962BD9"/>
    <w:rsid w:val="00962E2A"/>
    <w:rsid w:val="009630A7"/>
    <w:rsid w:val="0096316B"/>
    <w:rsid w:val="009633DA"/>
    <w:rsid w:val="00963547"/>
    <w:rsid w:val="00963600"/>
    <w:rsid w:val="009636E4"/>
    <w:rsid w:val="00963788"/>
    <w:rsid w:val="00963B04"/>
    <w:rsid w:val="00963C5A"/>
    <w:rsid w:val="00963D3C"/>
    <w:rsid w:val="00963DCA"/>
    <w:rsid w:val="00963F32"/>
    <w:rsid w:val="00963FFF"/>
    <w:rsid w:val="00964085"/>
    <w:rsid w:val="009642C0"/>
    <w:rsid w:val="009643C9"/>
    <w:rsid w:val="009647B6"/>
    <w:rsid w:val="00964807"/>
    <w:rsid w:val="00964839"/>
    <w:rsid w:val="009648D6"/>
    <w:rsid w:val="009649C4"/>
    <w:rsid w:val="009649D6"/>
    <w:rsid w:val="00964A53"/>
    <w:rsid w:val="00964B47"/>
    <w:rsid w:val="00964C3C"/>
    <w:rsid w:val="00964D57"/>
    <w:rsid w:val="00964F53"/>
    <w:rsid w:val="00965086"/>
    <w:rsid w:val="0096513D"/>
    <w:rsid w:val="00965251"/>
    <w:rsid w:val="009652FF"/>
    <w:rsid w:val="00965491"/>
    <w:rsid w:val="0096557C"/>
    <w:rsid w:val="00965641"/>
    <w:rsid w:val="00965771"/>
    <w:rsid w:val="00965778"/>
    <w:rsid w:val="0096577D"/>
    <w:rsid w:val="009658FF"/>
    <w:rsid w:val="00965913"/>
    <w:rsid w:val="00965B97"/>
    <w:rsid w:val="00965F1A"/>
    <w:rsid w:val="00965FEC"/>
    <w:rsid w:val="0096646C"/>
    <w:rsid w:val="00966541"/>
    <w:rsid w:val="009665AE"/>
    <w:rsid w:val="00966607"/>
    <w:rsid w:val="0096661E"/>
    <w:rsid w:val="0096663F"/>
    <w:rsid w:val="009667A5"/>
    <w:rsid w:val="00966861"/>
    <w:rsid w:val="00966A05"/>
    <w:rsid w:val="00966C3F"/>
    <w:rsid w:val="00966C5A"/>
    <w:rsid w:val="00966DD4"/>
    <w:rsid w:val="00966EF1"/>
    <w:rsid w:val="009671AA"/>
    <w:rsid w:val="0096722F"/>
    <w:rsid w:val="00967281"/>
    <w:rsid w:val="00967443"/>
    <w:rsid w:val="009675C5"/>
    <w:rsid w:val="00967615"/>
    <w:rsid w:val="00967814"/>
    <w:rsid w:val="0096783B"/>
    <w:rsid w:val="0096783E"/>
    <w:rsid w:val="009678EE"/>
    <w:rsid w:val="00967B53"/>
    <w:rsid w:val="00967BE5"/>
    <w:rsid w:val="00967D1D"/>
    <w:rsid w:val="00967E02"/>
    <w:rsid w:val="00967F22"/>
    <w:rsid w:val="00969CF2"/>
    <w:rsid w:val="0097030A"/>
    <w:rsid w:val="00970335"/>
    <w:rsid w:val="009704A2"/>
    <w:rsid w:val="009704AA"/>
    <w:rsid w:val="009705A9"/>
    <w:rsid w:val="009705D8"/>
    <w:rsid w:val="0097060F"/>
    <w:rsid w:val="009706A5"/>
    <w:rsid w:val="009707F2"/>
    <w:rsid w:val="00970CE0"/>
    <w:rsid w:val="00970EF9"/>
    <w:rsid w:val="00970FAB"/>
    <w:rsid w:val="0097112C"/>
    <w:rsid w:val="009711EE"/>
    <w:rsid w:val="009711F3"/>
    <w:rsid w:val="00971461"/>
    <w:rsid w:val="009714CD"/>
    <w:rsid w:val="0097153B"/>
    <w:rsid w:val="00971633"/>
    <w:rsid w:val="00971730"/>
    <w:rsid w:val="00971A02"/>
    <w:rsid w:val="00971B16"/>
    <w:rsid w:val="0097212C"/>
    <w:rsid w:val="00972170"/>
    <w:rsid w:val="0097219A"/>
    <w:rsid w:val="009722BB"/>
    <w:rsid w:val="009722E1"/>
    <w:rsid w:val="0097271D"/>
    <w:rsid w:val="00972723"/>
    <w:rsid w:val="00972A22"/>
    <w:rsid w:val="00972A8D"/>
    <w:rsid w:val="00972AA1"/>
    <w:rsid w:val="00972BD2"/>
    <w:rsid w:val="00972C55"/>
    <w:rsid w:val="00972CCE"/>
    <w:rsid w:val="00972CEB"/>
    <w:rsid w:val="00972D51"/>
    <w:rsid w:val="00973092"/>
    <w:rsid w:val="00973294"/>
    <w:rsid w:val="009735C8"/>
    <w:rsid w:val="009735D2"/>
    <w:rsid w:val="009737D3"/>
    <w:rsid w:val="00973848"/>
    <w:rsid w:val="009738E8"/>
    <w:rsid w:val="009738F4"/>
    <w:rsid w:val="00973A91"/>
    <w:rsid w:val="00973B68"/>
    <w:rsid w:val="00973B75"/>
    <w:rsid w:val="00973BB0"/>
    <w:rsid w:val="00973C4D"/>
    <w:rsid w:val="00973E7B"/>
    <w:rsid w:val="00974049"/>
    <w:rsid w:val="0097404C"/>
    <w:rsid w:val="009740FC"/>
    <w:rsid w:val="009742A4"/>
    <w:rsid w:val="0097436F"/>
    <w:rsid w:val="009744E2"/>
    <w:rsid w:val="009744F2"/>
    <w:rsid w:val="00974BFD"/>
    <w:rsid w:val="00974E39"/>
    <w:rsid w:val="00975017"/>
    <w:rsid w:val="009753C6"/>
    <w:rsid w:val="009757C9"/>
    <w:rsid w:val="00975807"/>
    <w:rsid w:val="00975AFA"/>
    <w:rsid w:val="00975B90"/>
    <w:rsid w:val="00975CDE"/>
    <w:rsid w:val="00975E4E"/>
    <w:rsid w:val="00975E4F"/>
    <w:rsid w:val="00975EA8"/>
    <w:rsid w:val="009760C7"/>
    <w:rsid w:val="0097613B"/>
    <w:rsid w:val="009762DE"/>
    <w:rsid w:val="009763C9"/>
    <w:rsid w:val="00976480"/>
    <w:rsid w:val="0097652A"/>
    <w:rsid w:val="009765E8"/>
    <w:rsid w:val="00976757"/>
    <w:rsid w:val="009767E1"/>
    <w:rsid w:val="00976861"/>
    <w:rsid w:val="00976A1A"/>
    <w:rsid w:val="00976A44"/>
    <w:rsid w:val="00976AB0"/>
    <w:rsid w:val="00976C55"/>
    <w:rsid w:val="00976E35"/>
    <w:rsid w:val="00976F5D"/>
    <w:rsid w:val="0097714A"/>
    <w:rsid w:val="009771DD"/>
    <w:rsid w:val="00977448"/>
    <w:rsid w:val="009776E0"/>
    <w:rsid w:val="00977853"/>
    <w:rsid w:val="0097792A"/>
    <w:rsid w:val="00977C64"/>
    <w:rsid w:val="00977C6D"/>
    <w:rsid w:val="00977C87"/>
    <w:rsid w:val="00977CB2"/>
    <w:rsid w:val="00977DE7"/>
    <w:rsid w:val="00977E3C"/>
    <w:rsid w:val="00980175"/>
    <w:rsid w:val="0098025F"/>
    <w:rsid w:val="009804A1"/>
    <w:rsid w:val="009804A8"/>
    <w:rsid w:val="009804F5"/>
    <w:rsid w:val="009805A7"/>
    <w:rsid w:val="009806B1"/>
    <w:rsid w:val="00980756"/>
    <w:rsid w:val="009808F6"/>
    <w:rsid w:val="009809B5"/>
    <w:rsid w:val="00980A02"/>
    <w:rsid w:val="00980BBC"/>
    <w:rsid w:val="00980CE0"/>
    <w:rsid w:val="00981034"/>
    <w:rsid w:val="00981121"/>
    <w:rsid w:val="00981282"/>
    <w:rsid w:val="009812E7"/>
    <w:rsid w:val="00981331"/>
    <w:rsid w:val="00981660"/>
    <w:rsid w:val="00981757"/>
    <w:rsid w:val="009817B4"/>
    <w:rsid w:val="00981827"/>
    <w:rsid w:val="00981967"/>
    <w:rsid w:val="00981A3D"/>
    <w:rsid w:val="00981B07"/>
    <w:rsid w:val="00981DBE"/>
    <w:rsid w:val="00981E05"/>
    <w:rsid w:val="00981F5E"/>
    <w:rsid w:val="009820E4"/>
    <w:rsid w:val="009820E5"/>
    <w:rsid w:val="00982245"/>
    <w:rsid w:val="00982706"/>
    <w:rsid w:val="009827DD"/>
    <w:rsid w:val="009829AD"/>
    <w:rsid w:val="00982BD5"/>
    <w:rsid w:val="00982D10"/>
    <w:rsid w:val="00982D9A"/>
    <w:rsid w:val="0098308B"/>
    <w:rsid w:val="0098309B"/>
    <w:rsid w:val="00983111"/>
    <w:rsid w:val="0098316B"/>
    <w:rsid w:val="00983171"/>
    <w:rsid w:val="00983265"/>
    <w:rsid w:val="009832A7"/>
    <w:rsid w:val="009832F8"/>
    <w:rsid w:val="00983489"/>
    <w:rsid w:val="009834EE"/>
    <w:rsid w:val="00983755"/>
    <w:rsid w:val="009837B6"/>
    <w:rsid w:val="00983819"/>
    <w:rsid w:val="0098381C"/>
    <w:rsid w:val="00983852"/>
    <w:rsid w:val="00983884"/>
    <w:rsid w:val="00983B06"/>
    <w:rsid w:val="00983B66"/>
    <w:rsid w:val="00983D71"/>
    <w:rsid w:val="00983DFE"/>
    <w:rsid w:val="00983EEB"/>
    <w:rsid w:val="00983F3A"/>
    <w:rsid w:val="00983F61"/>
    <w:rsid w:val="00984038"/>
    <w:rsid w:val="0098414C"/>
    <w:rsid w:val="009843F6"/>
    <w:rsid w:val="009844C7"/>
    <w:rsid w:val="009845BD"/>
    <w:rsid w:val="009845EE"/>
    <w:rsid w:val="0098461E"/>
    <w:rsid w:val="00984642"/>
    <w:rsid w:val="009846C3"/>
    <w:rsid w:val="00984732"/>
    <w:rsid w:val="009847DE"/>
    <w:rsid w:val="009848DD"/>
    <w:rsid w:val="00984916"/>
    <w:rsid w:val="00984AAF"/>
    <w:rsid w:val="00984AF3"/>
    <w:rsid w:val="00984C08"/>
    <w:rsid w:val="00984C58"/>
    <w:rsid w:val="00984D0F"/>
    <w:rsid w:val="00984E2E"/>
    <w:rsid w:val="00984E46"/>
    <w:rsid w:val="00985045"/>
    <w:rsid w:val="009850AB"/>
    <w:rsid w:val="00985372"/>
    <w:rsid w:val="00985699"/>
    <w:rsid w:val="00985EC8"/>
    <w:rsid w:val="00985EF3"/>
    <w:rsid w:val="00985F99"/>
    <w:rsid w:val="00986015"/>
    <w:rsid w:val="0098607C"/>
    <w:rsid w:val="00986127"/>
    <w:rsid w:val="0098629D"/>
    <w:rsid w:val="00986671"/>
    <w:rsid w:val="00986A70"/>
    <w:rsid w:val="00986A97"/>
    <w:rsid w:val="00986C02"/>
    <w:rsid w:val="00986C0F"/>
    <w:rsid w:val="00986C2A"/>
    <w:rsid w:val="00986E2B"/>
    <w:rsid w:val="00986E38"/>
    <w:rsid w:val="00986E67"/>
    <w:rsid w:val="0098706F"/>
    <w:rsid w:val="009870B3"/>
    <w:rsid w:val="009871CB"/>
    <w:rsid w:val="0098730F"/>
    <w:rsid w:val="009873F2"/>
    <w:rsid w:val="009874A1"/>
    <w:rsid w:val="00987502"/>
    <w:rsid w:val="0098750D"/>
    <w:rsid w:val="00987765"/>
    <w:rsid w:val="009879BD"/>
    <w:rsid w:val="00987A5F"/>
    <w:rsid w:val="00987AC1"/>
    <w:rsid w:val="00987BA9"/>
    <w:rsid w:val="00987CB8"/>
    <w:rsid w:val="00987E76"/>
    <w:rsid w:val="00987E91"/>
    <w:rsid w:val="00987E98"/>
    <w:rsid w:val="00987F2E"/>
    <w:rsid w:val="00987F60"/>
    <w:rsid w:val="00987F9D"/>
    <w:rsid w:val="009900AF"/>
    <w:rsid w:val="009900C8"/>
    <w:rsid w:val="009900EE"/>
    <w:rsid w:val="0099048B"/>
    <w:rsid w:val="009905C9"/>
    <w:rsid w:val="00990612"/>
    <w:rsid w:val="00990643"/>
    <w:rsid w:val="00990673"/>
    <w:rsid w:val="00990699"/>
    <w:rsid w:val="009906B4"/>
    <w:rsid w:val="00990900"/>
    <w:rsid w:val="00990B56"/>
    <w:rsid w:val="00990BB3"/>
    <w:rsid w:val="00990BB8"/>
    <w:rsid w:val="00990BD6"/>
    <w:rsid w:val="00990D0A"/>
    <w:rsid w:val="00990D3B"/>
    <w:rsid w:val="00990DEA"/>
    <w:rsid w:val="009912DB"/>
    <w:rsid w:val="0099134E"/>
    <w:rsid w:val="0099136E"/>
    <w:rsid w:val="00991626"/>
    <w:rsid w:val="009916EE"/>
    <w:rsid w:val="00991793"/>
    <w:rsid w:val="009919B9"/>
    <w:rsid w:val="00991AC6"/>
    <w:rsid w:val="00991C26"/>
    <w:rsid w:val="00991DDB"/>
    <w:rsid w:val="00991DE3"/>
    <w:rsid w:val="00991E20"/>
    <w:rsid w:val="00991E40"/>
    <w:rsid w:val="00991ED4"/>
    <w:rsid w:val="00991EE8"/>
    <w:rsid w:val="00991FA0"/>
    <w:rsid w:val="00992129"/>
    <w:rsid w:val="00992203"/>
    <w:rsid w:val="009922A3"/>
    <w:rsid w:val="0099233D"/>
    <w:rsid w:val="0099246A"/>
    <w:rsid w:val="00992475"/>
    <w:rsid w:val="00992574"/>
    <w:rsid w:val="0099263E"/>
    <w:rsid w:val="00992895"/>
    <w:rsid w:val="00992971"/>
    <w:rsid w:val="00992A1B"/>
    <w:rsid w:val="00992AC4"/>
    <w:rsid w:val="00992C6B"/>
    <w:rsid w:val="00992D7E"/>
    <w:rsid w:val="00992E38"/>
    <w:rsid w:val="00993053"/>
    <w:rsid w:val="009930CE"/>
    <w:rsid w:val="00993134"/>
    <w:rsid w:val="00993334"/>
    <w:rsid w:val="00993542"/>
    <w:rsid w:val="009936B2"/>
    <w:rsid w:val="009936FD"/>
    <w:rsid w:val="00993CDF"/>
    <w:rsid w:val="00993F87"/>
    <w:rsid w:val="00994301"/>
    <w:rsid w:val="00994367"/>
    <w:rsid w:val="0099444A"/>
    <w:rsid w:val="00994581"/>
    <w:rsid w:val="0099462B"/>
    <w:rsid w:val="0099480B"/>
    <w:rsid w:val="0099486C"/>
    <w:rsid w:val="009948B1"/>
    <w:rsid w:val="00994D25"/>
    <w:rsid w:val="00994D41"/>
    <w:rsid w:val="00994F9D"/>
    <w:rsid w:val="0099512F"/>
    <w:rsid w:val="009951C5"/>
    <w:rsid w:val="0099522A"/>
    <w:rsid w:val="00995411"/>
    <w:rsid w:val="0099544C"/>
    <w:rsid w:val="00995527"/>
    <w:rsid w:val="009958AC"/>
    <w:rsid w:val="00995A1D"/>
    <w:rsid w:val="00995A1E"/>
    <w:rsid w:val="00995E71"/>
    <w:rsid w:val="00995FE4"/>
    <w:rsid w:val="00996006"/>
    <w:rsid w:val="009962AF"/>
    <w:rsid w:val="0099633C"/>
    <w:rsid w:val="009963AB"/>
    <w:rsid w:val="00996489"/>
    <w:rsid w:val="0099662D"/>
    <w:rsid w:val="009967B1"/>
    <w:rsid w:val="00996870"/>
    <w:rsid w:val="009968FA"/>
    <w:rsid w:val="00996D23"/>
    <w:rsid w:val="00996DEB"/>
    <w:rsid w:val="00996F60"/>
    <w:rsid w:val="00996F73"/>
    <w:rsid w:val="00997029"/>
    <w:rsid w:val="0099703C"/>
    <w:rsid w:val="00997063"/>
    <w:rsid w:val="009970D3"/>
    <w:rsid w:val="009970EE"/>
    <w:rsid w:val="00997191"/>
    <w:rsid w:val="009972D4"/>
    <w:rsid w:val="00997343"/>
    <w:rsid w:val="00997472"/>
    <w:rsid w:val="00997620"/>
    <w:rsid w:val="0099771E"/>
    <w:rsid w:val="009978C3"/>
    <w:rsid w:val="00997989"/>
    <w:rsid w:val="009979BD"/>
    <w:rsid w:val="00997A04"/>
    <w:rsid w:val="00997A47"/>
    <w:rsid w:val="00997AB7"/>
    <w:rsid w:val="00997BF7"/>
    <w:rsid w:val="00997CC2"/>
    <w:rsid w:val="00997D99"/>
    <w:rsid w:val="00997D9E"/>
    <w:rsid w:val="00997F59"/>
    <w:rsid w:val="009A0001"/>
    <w:rsid w:val="009A028C"/>
    <w:rsid w:val="009A02E8"/>
    <w:rsid w:val="009A0488"/>
    <w:rsid w:val="009A052E"/>
    <w:rsid w:val="009A05BA"/>
    <w:rsid w:val="009A06D5"/>
    <w:rsid w:val="009A0716"/>
    <w:rsid w:val="009A0802"/>
    <w:rsid w:val="009A08E8"/>
    <w:rsid w:val="009A0996"/>
    <w:rsid w:val="009A0AC0"/>
    <w:rsid w:val="009A0BC9"/>
    <w:rsid w:val="009A0D70"/>
    <w:rsid w:val="009A0D87"/>
    <w:rsid w:val="009A0F72"/>
    <w:rsid w:val="009A122B"/>
    <w:rsid w:val="009A1391"/>
    <w:rsid w:val="009A13DE"/>
    <w:rsid w:val="009A1687"/>
    <w:rsid w:val="009A174A"/>
    <w:rsid w:val="009A1761"/>
    <w:rsid w:val="009A1854"/>
    <w:rsid w:val="009A1886"/>
    <w:rsid w:val="009A1BD3"/>
    <w:rsid w:val="009A1BEE"/>
    <w:rsid w:val="009A1D25"/>
    <w:rsid w:val="009A1E58"/>
    <w:rsid w:val="009A1E67"/>
    <w:rsid w:val="009A1F4C"/>
    <w:rsid w:val="009A1FC7"/>
    <w:rsid w:val="009A23ED"/>
    <w:rsid w:val="009A2521"/>
    <w:rsid w:val="009A2632"/>
    <w:rsid w:val="009A278B"/>
    <w:rsid w:val="009A2AF2"/>
    <w:rsid w:val="009A2B65"/>
    <w:rsid w:val="009A2CEF"/>
    <w:rsid w:val="009A2DFA"/>
    <w:rsid w:val="009A2ECE"/>
    <w:rsid w:val="009A30AC"/>
    <w:rsid w:val="009A3229"/>
    <w:rsid w:val="009A340B"/>
    <w:rsid w:val="009A3436"/>
    <w:rsid w:val="009A3557"/>
    <w:rsid w:val="009A3699"/>
    <w:rsid w:val="009A3885"/>
    <w:rsid w:val="009A3D5D"/>
    <w:rsid w:val="009A3F15"/>
    <w:rsid w:val="009A4219"/>
    <w:rsid w:val="009A4337"/>
    <w:rsid w:val="009A439E"/>
    <w:rsid w:val="009A43DD"/>
    <w:rsid w:val="009A4435"/>
    <w:rsid w:val="009A44D2"/>
    <w:rsid w:val="009A453B"/>
    <w:rsid w:val="009A4679"/>
    <w:rsid w:val="009A4752"/>
    <w:rsid w:val="009A4CF5"/>
    <w:rsid w:val="009A4E01"/>
    <w:rsid w:val="009A4EB9"/>
    <w:rsid w:val="009A5066"/>
    <w:rsid w:val="009A5101"/>
    <w:rsid w:val="009A517B"/>
    <w:rsid w:val="009A519D"/>
    <w:rsid w:val="009A553C"/>
    <w:rsid w:val="009A5701"/>
    <w:rsid w:val="009A5728"/>
    <w:rsid w:val="009A575F"/>
    <w:rsid w:val="009A5883"/>
    <w:rsid w:val="009A5B01"/>
    <w:rsid w:val="009A5CA1"/>
    <w:rsid w:val="009A5E1C"/>
    <w:rsid w:val="009A601D"/>
    <w:rsid w:val="009A602D"/>
    <w:rsid w:val="009A6202"/>
    <w:rsid w:val="009A63D8"/>
    <w:rsid w:val="009A63F7"/>
    <w:rsid w:val="009A6470"/>
    <w:rsid w:val="009A656D"/>
    <w:rsid w:val="009A67B0"/>
    <w:rsid w:val="009A682E"/>
    <w:rsid w:val="009A6916"/>
    <w:rsid w:val="009A69C9"/>
    <w:rsid w:val="009A6B3F"/>
    <w:rsid w:val="009A6BF3"/>
    <w:rsid w:val="009A6C25"/>
    <w:rsid w:val="009A6D7E"/>
    <w:rsid w:val="009A6F8D"/>
    <w:rsid w:val="009A70D6"/>
    <w:rsid w:val="009A7233"/>
    <w:rsid w:val="009A7251"/>
    <w:rsid w:val="009A733E"/>
    <w:rsid w:val="009A7711"/>
    <w:rsid w:val="009A7786"/>
    <w:rsid w:val="009A78E1"/>
    <w:rsid w:val="009A7933"/>
    <w:rsid w:val="009A7942"/>
    <w:rsid w:val="009A7B52"/>
    <w:rsid w:val="009A7BA4"/>
    <w:rsid w:val="009A7C63"/>
    <w:rsid w:val="009A7D04"/>
    <w:rsid w:val="009A7D69"/>
    <w:rsid w:val="009A7DCC"/>
    <w:rsid w:val="009B01B1"/>
    <w:rsid w:val="009B02D0"/>
    <w:rsid w:val="009B06CD"/>
    <w:rsid w:val="009B0903"/>
    <w:rsid w:val="009B0F56"/>
    <w:rsid w:val="009B100D"/>
    <w:rsid w:val="009B1149"/>
    <w:rsid w:val="009B1166"/>
    <w:rsid w:val="009B1223"/>
    <w:rsid w:val="009B12BA"/>
    <w:rsid w:val="009B1331"/>
    <w:rsid w:val="009B1429"/>
    <w:rsid w:val="009B1768"/>
    <w:rsid w:val="009B197E"/>
    <w:rsid w:val="009B1A53"/>
    <w:rsid w:val="009B1B06"/>
    <w:rsid w:val="009B1C17"/>
    <w:rsid w:val="009B1EA9"/>
    <w:rsid w:val="009B2041"/>
    <w:rsid w:val="009B2063"/>
    <w:rsid w:val="009B23A9"/>
    <w:rsid w:val="009B2637"/>
    <w:rsid w:val="009B2744"/>
    <w:rsid w:val="009B279B"/>
    <w:rsid w:val="009B280E"/>
    <w:rsid w:val="009B2AC4"/>
    <w:rsid w:val="009B2CFA"/>
    <w:rsid w:val="009B2D87"/>
    <w:rsid w:val="009B2DA7"/>
    <w:rsid w:val="009B2EB6"/>
    <w:rsid w:val="009B322C"/>
    <w:rsid w:val="009B333F"/>
    <w:rsid w:val="009B3377"/>
    <w:rsid w:val="009B35B9"/>
    <w:rsid w:val="009B3A63"/>
    <w:rsid w:val="009B3C2A"/>
    <w:rsid w:val="009B3D9A"/>
    <w:rsid w:val="009B3E5C"/>
    <w:rsid w:val="009B3E9D"/>
    <w:rsid w:val="009B3EF3"/>
    <w:rsid w:val="009B3F83"/>
    <w:rsid w:val="009B3FE6"/>
    <w:rsid w:val="009B4075"/>
    <w:rsid w:val="009B40C2"/>
    <w:rsid w:val="009B41C4"/>
    <w:rsid w:val="009B430F"/>
    <w:rsid w:val="009B4560"/>
    <w:rsid w:val="009B4614"/>
    <w:rsid w:val="009B4767"/>
    <w:rsid w:val="009B47B8"/>
    <w:rsid w:val="009B49F2"/>
    <w:rsid w:val="009B4A6D"/>
    <w:rsid w:val="009B4A99"/>
    <w:rsid w:val="009B4B2E"/>
    <w:rsid w:val="009B4B72"/>
    <w:rsid w:val="009B4B7A"/>
    <w:rsid w:val="009B4F2D"/>
    <w:rsid w:val="009B4F80"/>
    <w:rsid w:val="009B50F3"/>
    <w:rsid w:val="009B53E9"/>
    <w:rsid w:val="009B5554"/>
    <w:rsid w:val="009B5660"/>
    <w:rsid w:val="009B568B"/>
    <w:rsid w:val="009B5838"/>
    <w:rsid w:val="009B588F"/>
    <w:rsid w:val="009B5A32"/>
    <w:rsid w:val="009B5AC0"/>
    <w:rsid w:val="009B5B7B"/>
    <w:rsid w:val="009B5D54"/>
    <w:rsid w:val="009B5D7A"/>
    <w:rsid w:val="009B5DC8"/>
    <w:rsid w:val="009B6212"/>
    <w:rsid w:val="009B6278"/>
    <w:rsid w:val="009B62DF"/>
    <w:rsid w:val="009B643D"/>
    <w:rsid w:val="009B64C3"/>
    <w:rsid w:val="009B65AE"/>
    <w:rsid w:val="009B65C0"/>
    <w:rsid w:val="009B66BD"/>
    <w:rsid w:val="009B6AA2"/>
    <w:rsid w:val="009B6C3C"/>
    <w:rsid w:val="009B6CAD"/>
    <w:rsid w:val="009B6CB4"/>
    <w:rsid w:val="009B6EF2"/>
    <w:rsid w:val="009B6F62"/>
    <w:rsid w:val="009B6FBD"/>
    <w:rsid w:val="009B708A"/>
    <w:rsid w:val="009B7114"/>
    <w:rsid w:val="009B7224"/>
    <w:rsid w:val="009B7396"/>
    <w:rsid w:val="009B752F"/>
    <w:rsid w:val="009B7558"/>
    <w:rsid w:val="009B77E8"/>
    <w:rsid w:val="009B77EF"/>
    <w:rsid w:val="009B7826"/>
    <w:rsid w:val="009B7A4A"/>
    <w:rsid w:val="009B7D95"/>
    <w:rsid w:val="009B7DA7"/>
    <w:rsid w:val="009B7DBC"/>
    <w:rsid w:val="009B7E9A"/>
    <w:rsid w:val="009C0081"/>
    <w:rsid w:val="009C00BF"/>
    <w:rsid w:val="009C0254"/>
    <w:rsid w:val="009C04D9"/>
    <w:rsid w:val="009C0517"/>
    <w:rsid w:val="009C05F6"/>
    <w:rsid w:val="009C0905"/>
    <w:rsid w:val="009C0DC8"/>
    <w:rsid w:val="009C0EDE"/>
    <w:rsid w:val="009C101B"/>
    <w:rsid w:val="009C1247"/>
    <w:rsid w:val="009C1483"/>
    <w:rsid w:val="009C1852"/>
    <w:rsid w:val="009C189A"/>
    <w:rsid w:val="009C18C1"/>
    <w:rsid w:val="009C1A04"/>
    <w:rsid w:val="009C1C00"/>
    <w:rsid w:val="009C1CAA"/>
    <w:rsid w:val="009C1DB3"/>
    <w:rsid w:val="009C1E6A"/>
    <w:rsid w:val="009C1F99"/>
    <w:rsid w:val="009C21AF"/>
    <w:rsid w:val="009C22C3"/>
    <w:rsid w:val="009C22D9"/>
    <w:rsid w:val="009C271E"/>
    <w:rsid w:val="009C2936"/>
    <w:rsid w:val="009C295C"/>
    <w:rsid w:val="009C29A3"/>
    <w:rsid w:val="009C2B1C"/>
    <w:rsid w:val="009C2BC9"/>
    <w:rsid w:val="009C2C67"/>
    <w:rsid w:val="009C2C85"/>
    <w:rsid w:val="009C2D2A"/>
    <w:rsid w:val="009C2F7C"/>
    <w:rsid w:val="009C310D"/>
    <w:rsid w:val="009C3161"/>
    <w:rsid w:val="009C318B"/>
    <w:rsid w:val="009C35D1"/>
    <w:rsid w:val="009C36D4"/>
    <w:rsid w:val="009C3756"/>
    <w:rsid w:val="009C37E5"/>
    <w:rsid w:val="009C37E9"/>
    <w:rsid w:val="009C38EF"/>
    <w:rsid w:val="009C397A"/>
    <w:rsid w:val="009C39F3"/>
    <w:rsid w:val="009C3A40"/>
    <w:rsid w:val="009C3B17"/>
    <w:rsid w:val="009C3CA8"/>
    <w:rsid w:val="009C3D77"/>
    <w:rsid w:val="009C3DD1"/>
    <w:rsid w:val="009C3EA8"/>
    <w:rsid w:val="009C3EDB"/>
    <w:rsid w:val="009C3FC1"/>
    <w:rsid w:val="009C4222"/>
    <w:rsid w:val="009C462F"/>
    <w:rsid w:val="009C4704"/>
    <w:rsid w:val="009C4732"/>
    <w:rsid w:val="009C489C"/>
    <w:rsid w:val="009C4905"/>
    <w:rsid w:val="009C49E3"/>
    <w:rsid w:val="009C4A4D"/>
    <w:rsid w:val="009C4B1B"/>
    <w:rsid w:val="009C4C5D"/>
    <w:rsid w:val="009C4DEC"/>
    <w:rsid w:val="009C4E44"/>
    <w:rsid w:val="009C5277"/>
    <w:rsid w:val="009C54DA"/>
    <w:rsid w:val="009C5574"/>
    <w:rsid w:val="009C557E"/>
    <w:rsid w:val="009C55D4"/>
    <w:rsid w:val="009C57A6"/>
    <w:rsid w:val="009C581A"/>
    <w:rsid w:val="009C5B81"/>
    <w:rsid w:val="009C5E25"/>
    <w:rsid w:val="009C6007"/>
    <w:rsid w:val="009C616D"/>
    <w:rsid w:val="009C6356"/>
    <w:rsid w:val="009C6528"/>
    <w:rsid w:val="009C6667"/>
    <w:rsid w:val="009C6675"/>
    <w:rsid w:val="009C67F6"/>
    <w:rsid w:val="009C6915"/>
    <w:rsid w:val="009C69E7"/>
    <w:rsid w:val="009C6A0E"/>
    <w:rsid w:val="009C6ACD"/>
    <w:rsid w:val="009C6B56"/>
    <w:rsid w:val="009C6C3E"/>
    <w:rsid w:val="009C6D65"/>
    <w:rsid w:val="009C6DB2"/>
    <w:rsid w:val="009C704A"/>
    <w:rsid w:val="009C711B"/>
    <w:rsid w:val="009C718D"/>
    <w:rsid w:val="009C7496"/>
    <w:rsid w:val="009C760D"/>
    <w:rsid w:val="009C76D7"/>
    <w:rsid w:val="009C7765"/>
    <w:rsid w:val="009C779F"/>
    <w:rsid w:val="009C7AEE"/>
    <w:rsid w:val="009C7B8C"/>
    <w:rsid w:val="009C7D16"/>
    <w:rsid w:val="009C7DA7"/>
    <w:rsid w:val="009C7E1F"/>
    <w:rsid w:val="009C7E48"/>
    <w:rsid w:val="009C7F19"/>
    <w:rsid w:val="009C7FDE"/>
    <w:rsid w:val="009D0040"/>
    <w:rsid w:val="009D029B"/>
    <w:rsid w:val="009D0419"/>
    <w:rsid w:val="009D04DF"/>
    <w:rsid w:val="009D0560"/>
    <w:rsid w:val="009D06A5"/>
    <w:rsid w:val="009D0731"/>
    <w:rsid w:val="009D0796"/>
    <w:rsid w:val="009D081E"/>
    <w:rsid w:val="009D08DB"/>
    <w:rsid w:val="009D0995"/>
    <w:rsid w:val="009D099F"/>
    <w:rsid w:val="009D0C4C"/>
    <w:rsid w:val="009D0E37"/>
    <w:rsid w:val="009D0EDD"/>
    <w:rsid w:val="009D13BF"/>
    <w:rsid w:val="009D1446"/>
    <w:rsid w:val="009D1510"/>
    <w:rsid w:val="009D1678"/>
    <w:rsid w:val="009D188C"/>
    <w:rsid w:val="009D18CF"/>
    <w:rsid w:val="009D1A0F"/>
    <w:rsid w:val="009D1BC1"/>
    <w:rsid w:val="009D1BCC"/>
    <w:rsid w:val="009D1C36"/>
    <w:rsid w:val="009D1C69"/>
    <w:rsid w:val="009D1CF1"/>
    <w:rsid w:val="009D1D97"/>
    <w:rsid w:val="009D1E69"/>
    <w:rsid w:val="009D2001"/>
    <w:rsid w:val="009D20EC"/>
    <w:rsid w:val="009D23E3"/>
    <w:rsid w:val="009D265B"/>
    <w:rsid w:val="009D27D2"/>
    <w:rsid w:val="009D27E3"/>
    <w:rsid w:val="009D2A02"/>
    <w:rsid w:val="009D2A54"/>
    <w:rsid w:val="009D2B69"/>
    <w:rsid w:val="009D2B6B"/>
    <w:rsid w:val="009D2C3D"/>
    <w:rsid w:val="009D2DC9"/>
    <w:rsid w:val="009D304F"/>
    <w:rsid w:val="009D3108"/>
    <w:rsid w:val="009D32B7"/>
    <w:rsid w:val="009D330E"/>
    <w:rsid w:val="009D338F"/>
    <w:rsid w:val="009D36EF"/>
    <w:rsid w:val="009D3722"/>
    <w:rsid w:val="009D38E3"/>
    <w:rsid w:val="009D3983"/>
    <w:rsid w:val="009D3CF1"/>
    <w:rsid w:val="009D3FE1"/>
    <w:rsid w:val="009D3FFC"/>
    <w:rsid w:val="009D421C"/>
    <w:rsid w:val="009D42F6"/>
    <w:rsid w:val="009D44A6"/>
    <w:rsid w:val="009D44CF"/>
    <w:rsid w:val="009D4540"/>
    <w:rsid w:val="009D4663"/>
    <w:rsid w:val="009D46C2"/>
    <w:rsid w:val="009D4702"/>
    <w:rsid w:val="009D47A0"/>
    <w:rsid w:val="009D48C2"/>
    <w:rsid w:val="009D498F"/>
    <w:rsid w:val="009D49F2"/>
    <w:rsid w:val="009D4B6D"/>
    <w:rsid w:val="009D4C32"/>
    <w:rsid w:val="009D4D60"/>
    <w:rsid w:val="009D4EF1"/>
    <w:rsid w:val="009D4F36"/>
    <w:rsid w:val="009D50E3"/>
    <w:rsid w:val="009D52CF"/>
    <w:rsid w:val="009D5405"/>
    <w:rsid w:val="009D554A"/>
    <w:rsid w:val="009D5948"/>
    <w:rsid w:val="009D59AF"/>
    <w:rsid w:val="009D59DD"/>
    <w:rsid w:val="009D5A5F"/>
    <w:rsid w:val="009D5B90"/>
    <w:rsid w:val="009D5C27"/>
    <w:rsid w:val="009D5E5D"/>
    <w:rsid w:val="009D5F74"/>
    <w:rsid w:val="009D63C8"/>
    <w:rsid w:val="009D6594"/>
    <w:rsid w:val="009D6618"/>
    <w:rsid w:val="009D6631"/>
    <w:rsid w:val="009D67AC"/>
    <w:rsid w:val="009D6907"/>
    <w:rsid w:val="009D6968"/>
    <w:rsid w:val="009D6AF0"/>
    <w:rsid w:val="009D6C18"/>
    <w:rsid w:val="009D6D42"/>
    <w:rsid w:val="009D6E1D"/>
    <w:rsid w:val="009D6EB4"/>
    <w:rsid w:val="009D6F03"/>
    <w:rsid w:val="009D6F09"/>
    <w:rsid w:val="009D747A"/>
    <w:rsid w:val="009D750D"/>
    <w:rsid w:val="009D75BC"/>
    <w:rsid w:val="009D7662"/>
    <w:rsid w:val="009D770A"/>
    <w:rsid w:val="009D7772"/>
    <w:rsid w:val="009D7913"/>
    <w:rsid w:val="009D7945"/>
    <w:rsid w:val="009D79DE"/>
    <w:rsid w:val="009D79F3"/>
    <w:rsid w:val="009D7A7F"/>
    <w:rsid w:val="009D7A91"/>
    <w:rsid w:val="009D7AEA"/>
    <w:rsid w:val="009D7B19"/>
    <w:rsid w:val="009D7B3B"/>
    <w:rsid w:val="009D7D04"/>
    <w:rsid w:val="009D7D26"/>
    <w:rsid w:val="009D7E5E"/>
    <w:rsid w:val="009D7EDE"/>
    <w:rsid w:val="009E056A"/>
    <w:rsid w:val="009E05B9"/>
    <w:rsid w:val="009E082E"/>
    <w:rsid w:val="009E085E"/>
    <w:rsid w:val="009E0A12"/>
    <w:rsid w:val="009E0E4F"/>
    <w:rsid w:val="009E1066"/>
    <w:rsid w:val="009E10D0"/>
    <w:rsid w:val="009E1180"/>
    <w:rsid w:val="009E1185"/>
    <w:rsid w:val="009E11E7"/>
    <w:rsid w:val="009E123F"/>
    <w:rsid w:val="009E141E"/>
    <w:rsid w:val="009E1526"/>
    <w:rsid w:val="009E15B7"/>
    <w:rsid w:val="009E160E"/>
    <w:rsid w:val="009E165E"/>
    <w:rsid w:val="009E16FD"/>
    <w:rsid w:val="009E172B"/>
    <w:rsid w:val="009E17A1"/>
    <w:rsid w:val="009E19CC"/>
    <w:rsid w:val="009E1ECA"/>
    <w:rsid w:val="009E2093"/>
    <w:rsid w:val="009E20CC"/>
    <w:rsid w:val="009E2173"/>
    <w:rsid w:val="009E21EF"/>
    <w:rsid w:val="009E2232"/>
    <w:rsid w:val="009E22B8"/>
    <w:rsid w:val="009E24FE"/>
    <w:rsid w:val="009E25C2"/>
    <w:rsid w:val="009E2657"/>
    <w:rsid w:val="009E2883"/>
    <w:rsid w:val="009E28B2"/>
    <w:rsid w:val="009E28C4"/>
    <w:rsid w:val="009E29D3"/>
    <w:rsid w:val="009E2BC6"/>
    <w:rsid w:val="009E2CA9"/>
    <w:rsid w:val="009E2E21"/>
    <w:rsid w:val="009E2F74"/>
    <w:rsid w:val="009E31CC"/>
    <w:rsid w:val="009E32BF"/>
    <w:rsid w:val="009E32CE"/>
    <w:rsid w:val="009E3304"/>
    <w:rsid w:val="009E35F3"/>
    <w:rsid w:val="009E3943"/>
    <w:rsid w:val="009E394C"/>
    <w:rsid w:val="009E3B6C"/>
    <w:rsid w:val="009E3BFE"/>
    <w:rsid w:val="009E3CE7"/>
    <w:rsid w:val="009E3E70"/>
    <w:rsid w:val="009E3FF2"/>
    <w:rsid w:val="009E404D"/>
    <w:rsid w:val="009E40AA"/>
    <w:rsid w:val="009E41A0"/>
    <w:rsid w:val="009E43C0"/>
    <w:rsid w:val="009E4439"/>
    <w:rsid w:val="009E4677"/>
    <w:rsid w:val="009E46F9"/>
    <w:rsid w:val="009E48A5"/>
    <w:rsid w:val="009E48E7"/>
    <w:rsid w:val="009E491B"/>
    <w:rsid w:val="009E49B7"/>
    <w:rsid w:val="009E4A82"/>
    <w:rsid w:val="009E4D47"/>
    <w:rsid w:val="009E4E93"/>
    <w:rsid w:val="009E4EA8"/>
    <w:rsid w:val="009E4EE6"/>
    <w:rsid w:val="009E5047"/>
    <w:rsid w:val="009E5233"/>
    <w:rsid w:val="009E5278"/>
    <w:rsid w:val="009E55C4"/>
    <w:rsid w:val="009E5878"/>
    <w:rsid w:val="009E5901"/>
    <w:rsid w:val="009E5996"/>
    <w:rsid w:val="009E5A45"/>
    <w:rsid w:val="009E5BD1"/>
    <w:rsid w:val="009E5CEF"/>
    <w:rsid w:val="009E5CFB"/>
    <w:rsid w:val="009E5E59"/>
    <w:rsid w:val="009E5F29"/>
    <w:rsid w:val="009E5F37"/>
    <w:rsid w:val="009E5FB8"/>
    <w:rsid w:val="009E5FC5"/>
    <w:rsid w:val="009E600D"/>
    <w:rsid w:val="009E6063"/>
    <w:rsid w:val="009E6226"/>
    <w:rsid w:val="009E62B2"/>
    <w:rsid w:val="009E62B5"/>
    <w:rsid w:val="009E630B"/>
    <w:rsid w:val="009E652A"/>
    <w:rsid w:val="009E66F9"/>
    <w:rsid w:val="009E673D"/>
    <w:rsid w:val="009E67A5"/>
    <w:rsid w:val="009E6BB0"/>
    <w:rsid w:val="009E6BE0"/>
    <w:rsid w:val="009E6C25"/>
    <w:rsid w:val="009E6D65"/>
    <w:rsid w:val="009E6DF9"/>
    <w:rsid w:val="009E70BE"/>
    <w:rsid w:val="009E7121"/>
    <w:rsid w:val="009E72B6"/>
    <w:rsid w:val="009E762F"/>
    <w:rsid w:val="009E7664"/>
    <w:rsid w:val="009E766A"/>
    <w:rsid w:val="009E7734"/>
    <w:rsid w:val="009E7884"/>
    <w:rsid w:val="009E78BB"/>
    <w:rsid w:val="009E7931"/>
    <w:rsid w:val="009E7AEC"/>
    <w:rsid w:val="009E7C7A"/>
    <w:rsid w:val="009F00F1"/>
    <w:rsid w:val="009F0182"/>
    <w:rsid w:val="009F0512"/>
    <w:rsid w:val="009F051E"/>
    <w:rsid w:val="009F09F2"/>
    <w:rsid w:val="009F0A54"/>
    <w:rsid w:val="009F0A68"/>
    <w:rsid w:val="009F0ACD"/>
    <w:rsid w:val="009F1094"/>
    <w:rsid w:val="009F1171"/>
    <w:rsid w:val="009F1215"/>
    <w:rsid w:val="009F1431"/>
    <w:rsid w:val="009F1500"/>
    <w:rsid w:val="009F1697"/>
    <w:rsid w:val="009F1835"/>
    <w:rsid w:val="009F1AAA"/>
    <w:rsid w:val="009F1B1E"/>
    <w:rsid w:val="009F1C30"/>
    <w:rsid w:val="009F1CAD"/>
    <w:rsid w:val="009F1F76"/>
    <w:rsid w:val="009F1FA3"/>
    <w:rsid w:val="009F2072"/>
    <w:rsid w:val="009F21A8"/>
    <w:rsid w:val="009F22A4"/>
    <w:rsid w:val="009F2473"/>
    <w:rsid w:val="009F249E"/>
    <w:rsid w:val="009F27E4"/>
    <w:rsid w:val="009F290A"/>
    <w:rsid w:val="009F295A"/>
    <w:rsid w:val="009F2ABB"/>
    <w:rsid w:val="009F2AF6"/>
    <w:rsid w:val="009F2B5D"/>
    <w:rsid w:val="009F2BE1"/>
    <w:rsid w:val="009F2D18"/>
    <w:rsid w:val="009F2D2D"/>
    <w:rsid w:val="009F2D7D"/>
    <w:rsid w:val="009F2DF3"/>
    <w:rsid w:val="009F2E22"/>
    <w:rsid w:val="009F2E5C"/>
    <w:rsid w:val="009F2F5A"/>
    <w:rsid w:val="009F2FE4"/>
    <w:rsid w:val="009F309C"/>
    <w:rsid w:val="009F31A4"/>
    <w:rsid w:val="009F31C4"/>
    <w:rsid w:val="009F32B7"/>
    <w:rsid w:val="009F3370"/>
    <w:rsid w:val="009F34CB"/>
    <w:rsid w:val="009F35F8"/>
    <w:rsid w:val="009F36DA"/>
    <w:rsid w:val="009F3764"/>
    <w:rsid w:val="009F37B3"/>
    <w:rsid w:val="009F3886"/>
    <w:rsid w:val="009F3CA7"/>
    <w:rsid w:val="009F4034"/>
    <w:rsid w:val="009F40CB"/>
    <w:rsid w:val="009F421D"/>
    <w:rsid w:val="009F4297"/>
    <w:rsid w:val="009F4409"/>
    <w:rsid w:val="009F45FE"/>
    <w:rsid w:val="009F46A2"/>
    <w:rsid w:val="009F46D7"/>
    <w:rsid w:val="009F4755"/>
    <w:rsid w:val="009F489E"/>
    <w:rsid w:val="009F48B4"/>
    <w:rsid w:val="009F4BA4"/>
    <w:rsid w:val="009F4D1B"/>
    <w:rsid w:val="009F4D67"/>
    <w:rsid w:val="009F4DA6"/>
    <w:rsid w:val="009F4DBB"/>
    <w:rsid w:val="009F4F91"/>
    <w:rsid w:val="009F5025"/>
    <w:rsid w:val="009F5217"/>
    <w:rsid w:val="009F5340"/>
    <w:rsid w:val="009F5615"/>
    <w:rsid w:val="009F5620"/>
    <w:rsid w:val="009F5797"/>
    <w:rsid w:val="009F587B"/>
    <w:rsid w:val="009F59EE"/>
    <w:rsid w:val="009F5A75"/>
    <w:rsid w:val="009F5BD2"/>
    <w:rsid w:val="009F5D44"/>
    <w:rsid w:val="009F5DD4"/>
    <w:rsid w:val="009F60DD"/>
    <w:rsid w:val="009F614B"/>
    <w:rsid w:val="009F6253"/>
    <w:rsid w:val="009F6413"/>
    <w:rsid w:val="009F6854"/>
    <w:rsid w:val="009F6997"/>
    <w:rsid w:val="009F69A1"/>
    <w:rsid w:val="009F6ACD"/>
    <w:rsid w:val="009F6B62"/>
    <w:rsid w:val="009F6CE4"/>
    <w:rsid w:val="009F6DBC"/>
    <w:rsid w:val="009F6F4F"/>
    <w:rsid w:val="009F70EA"/>
    <w:rsid w:val="009F72E4"/>
    <w:rsid w:val="009F74A4"/>
    <w:rsid w:val="009F754F"/>
    <w:rsid w:val="009F75A7"/>
    <w:rsid w:val="009F766D"/>
    <w:rsid w:val="009F7A24"/>
    <w:rsid w:val="009F7A66"/>
    <w:rsid w:val="009F7BF5"/>
    <w:rsid w:val="009F7E13"/>
    <w:rsid w:val="00A001D9"/>
    <w:rsid w:val="00A003BC"/>
    <w:rsid w:val="00A004DF"/>
    <w:rsid w:val="00A00510"/>
    <w:rsid w:val="00A00514"/>
    <w:rsid w:val="00A007A2"/>
    <w:rsid w:val="00A00E0F"/>
    <w:rsid w:val="00A0116B"/>
    <w:rsid w:val="00A0117F"/>
    <w:rsid w:val="00A012DB"/>
    <w:rsid w:val="00A013E8"/>
    <w:rsid w:val="00A014D2"/>
    <w:rsid w:val="00A017C4"/>
    <w:rsid w:val="00A01863"/>
    <w:rsid w:val="00A01921"/>
    <w:rsid w:val="00A01A07"/>
    <w:rsid w:val="00A01B92"/>
    <w:rsid w:val="00A01C2D"/>
    <w:rsid w:val="00A01D22"/>
    <w:rsid w:val="00A01E48"/>
    <w:rsid w:val="00A01FAC"/>
    <w:rsid w:val="00A0216B"/>
    <w:rsid w:val="00A0260D"/>
    <w:rsid w:val="00A02702"/>
    <w:rsid w:val="00A028F9"/>
    <w:rsid w:val="00A02911"/>
    <w:rsid w:val="00A02AFF"/>
    <w:rsid w:val="00A02D0E"/>
    <w:rsid w:val="00A02DB8"/>
    <w:rsid w:val="00A02DE2"/>
    <w:rsid w:val="00A02E88"/>
    <w:rsid w:val="00A02FD1"/>
    <w:rsid w:val="00A03074"/>
    <w:rsid w:val="00A030C2"/>
    <w:rsid w:val="00A030EC"/>
    <w:rsid w:val="00A03166"/>
    <w:rsid w:val="00A03229"/>
    <w:rsid w:val="00A0326A"/>
    <w:rsid w:val="00A035BE"/>
    <w:rsid w:val="00A03833"/>
    <w:rsid w:val="00A038C1"/>
    <w:rsid w:val="00A039AB"/>
    <w:rsid w:val="00A039C4"/>
    <w:rsid w:val="00A03B46"/>
    <w:rsid w:val="00A03B66"/>
    <w:rsid w:val="00A03B96"/>
    <w:rsid w:val="00A03C0C"/>
    <w:rsid w:val="00A03C98"/>
    <w:rsid w:val="00A03CA7"/>
    <w:rsid w:val="00A04081"/>
    <w:rsid w:val="00A040FB"/>
    <w:rsid w:val="00A041A4"/>
    <w:rsid w:val="00A041B0"/>
    <w:rsid w:val="00A042C0"/>
    <w:rsid w:val="00A04475"/>
    <w:rsid w:val="00A044B6"/>
    <w:rsid w:val="00A04606"/>
    <w:rsid w:val="00A046FE"/>
    <w:rsid w:val="00A0482F"/>
    <w:rsid w:val="00A0483D"/>
    <w:rsid w:val="00A04B61"/>
    <w:rsid w:val="00A04CD6"/>
    <w:rsid w:val="00A04CE8"/>
    <w:rsid w:val="00A04DBA"/>
    <w:rsid w:val="00A0504D"/>
    <w:rsid w:val="00A0517F"/>
    <w:rsid w:val="00A051E7"/>
    <w:rsid w:val="00A05412"/>
    <w:rsid w:val="00A05AC1"/>
    <w:rsid w:val="00A05C4A"/>
    <w:rsid w:val="00A05C7B"/>
    <w:rsid w:val="00A05C9D"/>
    <w:rsid w:val="00A05DBE"/>
    <w:rsid w:val="00A05FB7"/>
    <w:rsid w:val="00A060AF"/>
    <w:rsid w:val="00A061C1"/>
    <w:rsid w:val="00A0628D"/>
    <w:rsid w:val="00A062E9"/>
    <w:rsid w:val="00A0637D"/>
    <w:rsid w:val="00A06385"/>
    <w:rsid w:val="00A063C0"/>
    <w:rsid w:val="00A063F6"/>
    <w:rsid w:val="00A064D5"/>
    <w:rsid w:val="00A06507"/>
    <w:rsid w:val="00A0693A"/>
    <w:rsid w:val="00A069F3"/>
    <w:rsid w:val="00A069F8"/>
    <w:rsid w:val="00A06F70"/>
    <w:rsid w:val="00A06F85"/>
    <w:rsid w:val="00A06FC3"/>
    <w:rsid w:val="00A0707F"/>
    <w:rsid w:val="00A0740A"/>
    <w:rsid w:val="00A07431"/>
    <w:rsid w:val="00A07681"/>
    <w:rsid w:val="00A076CF"/>
    <w:rsid w:val="00A079FD"/>
    <w:rsid w:val="00A07C28"/>
    <w:rsid w:val="00A07E41"/>
    <w:rsid w:val="00A100C1"/>
    <w:rsid w:val="00A1013D"/>
    <w:rsid w:val="00A1014A"/>
    <w:rsid w:val="00A10197"/>
    <w:rsid w:val="00A10560"/>
    <w:rsid w:val="00A10707"/>
    <w:rsid w:val="00A10AAB"/>
    <w:rsid w:val="00A10AAD"/>
    <w:rsid w:val="00A10B4E"/>
    <w:rsid w:val="00A10B9A"/>
    <w:rsid w:val="00A10CE6"/>
    <w:rsid w:val="00A10D46"/>
    <w:rsid w:val="00A10D71"/>
    <w:rsid w:val="00A10E39"/>
    <w:rsid w:val="00A11085"/>
    <w:rsid w:val="00A11112"/>
    <w:rsid w:val="00A11194"/>
    <w:rsid w:val="00A11238"/>
    <w:rsid w:val="00A11566"/>
    <w:rsid w:val="00A115AF"/>
    <w:rsid w:val="00A11751"/>
    <w:rsid w:val="00A11779"/>
    <w:rsid w:val="00A117EB"/>
    <w:rsid w:val="00A11884"/>
    <w:rsid w:val="00A11B22"/>
    <w:rsid w:val="00A11D4B"/>
    <w:rsid w:val="00A11F5D"/>
    <w:rsid w:val="00A1211A"/>
    <w:rsid w:val="00A12281"/>
    <w:rsid w:val="00A12376"/>
    <w:rsid w:val="00A12419"/>
    <w:rsid w:val="00A12582"/>
    <w:rsid w:val="00A12958"/>
    <w:rsid w:val="00A12BBF"/>
    <w:rsid w:val="00A12CA0"/>
    <w:rsid w:val="00A12FA2"/>
    <w:rsid w:val="00A12FA3"/>
    <w:rsid w:val="00A13057"/>
    <w:rsid w:val="00A13137"/>
    <w:rsid w:val="00A1337A"/>
    <w:rsid w:val="00A134A8"/>
    <w:rsid w:val="00A135CA"/>
    <w:rsid w:val="00A13707"/>
    <w:rsid w:val="00A13B3F"/>
    <w:rsid w:val="00A13C99"/>
    <w:rsid w:val="00A13F0D"/>
    <w:rsid w:val="00A13F3C"/>
    <w:rsid w:val="00A13F6C"/>
    <w:rsid w:val="00A1404C"/>
    <w:rsid w:val="00A14175"/>
    <w:rsid w:val="00A14266"/>
    <w:rsid w:val="00A142D3"/>
    <w:rsid w:val="00A142FC"/>
    <w:rsid w:val="00A144A8"/>
    <w:rsid w:val="00A144B0"/>
    <w:rsid w:val="00A144DF"/>
    <w:rsid w:val="00A145BF"/>
    <w:rsid w:val="00A14745"/>
    <w:rsid w:val="00A148A2"/>
    <w:rsid w:val="00A14AEC"/>
    <w:rsid w:val="00A14CB4"/>
    <w:rsid w:val="00A14D18"/>
    <w:rsid w:val="00A14D24"/>
    <w:rsid w:val="00A14D89"/>
    <w:rsid w:val="00A14EDB"/>
    <w:rsid w:val="00A14FDB"/>
    <w:rsid w:val="00A14FE1"/>
    <w:rsid w:val="00A15383"/>
    <w:rsid w:val="00A1542D"/>
    <w:rsid w:val="00A15585"/>
    <w:rsid w:val="00A155FC"/>
    <w:rsid w:val="00A1563B"/>
    <w:rsid w:val="00A1572A"/>
    <w:rsid w:val="00A1574A"/>
    <w:rsid w:val="00A1582B"/>
    <w:rsid w:val="00A15844"/>
    <w:rsid w:val="00A1598A"/>
    <w:rsid w:val="00A15992"/>
    <w:rsid w:val="00A159BC"/>
    <w:rsid w:val="00A159F6"/>
    <w:rsid w:val="00A15A4E"/>
    <w:rsid w:val="00A15AE0"/>
    <w:rsid w:val="00A15C19"/>
    <w:rsid w:val="00A15C25"/>
    <w:rsid w:val="00A15CD4"/>
    <w:rsid w:val="00A15DB5"/>
    <w:rsid w:val="00A15E30"/>
    <w:rsid w:val="00A15E63"/>
    <w:rsid w:val="00A15E6C"/>
    <w:rsid w:val="00A15FF4"/>
    <w:rsid w:val="00A16073"/>
    <w:rsid w:val="00A160D3"/>
    <w:rsid w:val="00A161F7"/>
    <w:rsid w:val="00A16256"/>
    <w:rsid w:val="00A1629B"/>
    <w:rsid w:val="00A1634D"/>
    <w:rsid w:val="00A1636C"/>
    <w:rsid w:val="00A16511"/>
    <w:rsid w:val="00A16591"/>
    <w:rsid w:val="00A165D9"/>
    <w:rsid w:val="00A166CA"/>
    <w:rsid w:val="00A1684E"/>
    <w:rsid w:val="00A16937"/>
    <w:rsid w:val="00A16974"/>
    <w:rsid w:val="00A16D14"/>
    <w:rsid w:val="00A16EC0"/>
    <w:rsid w:val="00A17039"/>
    <w:rsid w:val="00A17265"/>
    <w:rsid w:val="00A174BA"/>
    <w:rsid w:val="00A177BE"/>
    <w:rsid w:val="00A178AD"/>
    <w:rsid w:val="00A17949"/>
    <w:rsid w:val="00A179E9"/>
    <w:rsid w:val="00A17B3D"/>
    <w:rsid w:val="00A17DAF"/>
    <w:rsid w:val="00A17DB6"/>
    <w:rsid w:val="00A17E10"/>
    <w:rsid w:val="00A200D3"/>
    <w:rsid w:val="00A2018A"/>
    <w:rsid w:val="00A20286"/>
    <w:rsid w:val="00A20492"/>
    <w:rsid w:val="00A2051C"/>
    <w:rsid w:val="00A20592"/>
    <w:rsid w:val="00A2061A"/>
    <w:rsid w:val="00A20650"/>
    <w:rsid w:val="00A206DB"/>
    <w:rsid w:val="00A20724"/>
    <w:rsid w:val="00A20A5B"/>
    <w:rsid w:val="00A20AC0"/>
    <w:rsid w:val="00A20BB7"/>
    <w:rsid w:val="00A20BD3"/>
    <w:rsid w:val="00A20C8D"/>
    <w:rsid w:val="00A20CC2"/>
    <w:rsid w:val="00A20D5C"/>
    <w:rsid w:val="00A20D8E"/>
    <w:rsid w:val="00A20E74"/>
    <w:rsid w:val="00A20F77"/>
    <w:rsid w:val="00A20F9D"/>
    <w:rsid w:val="00A2125F"/>
    <w:rsid w:val="00A21268"/>
    <w:rsid w:val="00A213BE"/>
    <w:rsid w:val="00A21446"/>
    <w:rsid w:val="00A21461"/>
    <w:rsid w:val="00A214F6"/>
    <w:rsid w:val="00A215D8"/>
    <w:rsid w:val="00A21668"/>
    <w:rsid w:val="00A2178B"/>
    <w:rsid w:val="00A217B5"/>
    <w:rsid w:val="00A2198B"/>
    <w:rsid w:val="00A21C70"/>
    <w:rsid w:val="00A21D2A"/>
    <w:rsid w:val="00A21DE8"/>
    <w:rsid w:val="00A21FC8"/>
    <w:rsid w:val="00A220A6"/>
    <w:rsid w:val="00A22116"/>
    <w:rsid w:val="00A2218F"/>
    <w:rsid w:val="00A22250"/>
    <w:rsid w:val="00A2228A"/>
    <w:rsid w:val="00A22391"/>
    <w:rsid w:val="00A223DA"/>
    <w:rsid w:val="00A22536"/>
    <w:rsid w:val="00A22770"/>
    <w:rsid w:val="00A22802"/>
    <w:rsid w:val="00A2282B"/>
    <w:rsid w:val="00A2287B"/>
    <w:rsid w:val="00A228F1"/>
    <w:rsid w:val="00A229CD"/>
    <w:rsid w:val="00A22B17"/>
    <w:rsid w:val="00A22B50"/>
    <w:rsid w:val="00A22D9C"/>
    <w:rsid w:val="00A22DFD"/>
    <w:rsid w:val="00A22E62"/>
    <w:rsid w:val="00A22EA5"/>
    <w:rsid w:val="00A22EE5"/>
    <w:rsid w:val="00A2305A"/>
    <w:rsid w:val="00A23115"/>
    <w:rsid w:val="00A2316F"/>
    <w:rsid w:val="00A2329E"/>
    <w:rsid w:val="00A23403"/>
    <w:rsid w:val="00A23495"/>
    <w:rsid w:val="00A23595"/>
    <w:rsid w:val="00A235ED"/>
    <w:rsid w:val="00A23740"/>
    <w:rsid w:val="00A237CB"/>
    <w:rsid w:val="00A2381B"/>
    <w:rsid w:val="00A2387A"/>
    <w:rsid w:val="00A23ACE"/>
    <w:rsid w:val="00A23B5D"/>
    <w:rsid w:val="00A23BA9"/>
    <w:rsid w:val="00A23BC4"/>
    <w:rsid w:val="00A23CAA"/>
    <w:rsid w:val="00A241DA"/>
    <w:rsid w:val="00A24411"/>
    <w:rsid w:val="00A2446B"/>
    <w:rsid w:val="00A244F1"/>
    <w:rsid w:val="00A2453E"/>
    <w:rsid w:val="00A24548"/>
    <w:rsid w:val="00A245E0"/>
    <w:rsid w:val="00A2472D"/>
    <w:rsid w:val="00A247E0"/>
    <w:rsid w:val="00A24896"/>
    <w:rsid w:val="00A24B21"/>
    <w:rsid w:val="00A24C39"/>
    <w:rsid w:val="00A24D07"/>
    <w:rsid w:val="00A2503B"/>
    <w:rsid w:val="00A25080"/>
    <w:rsid w:val="00A2508D"/>
    <w:rsid w:val="00A251FF"/>
    <w:rsid w:val="00A253DC"/>
    <w:rsid w:val="00A254C9"/>
    <w:rsid w:val="00A25618"/>
    <w:rsid w:val="00A25635"/>
    <w:rsid w:val="00A256A0"/>
    <w:rsid w:val="00A256B3"/>
    <w:rsid w:val="00A2583D"/>
    <w:rsid w:val="00A25965"/>
    <w:rsid w:val="00A259F9"/>
    <w:rsid w:val="00A25C0E"/>
    <w:rsid w:val="00A25C75"/>
    <w:rsid w:val="00A25D35"/>
    <w:rsid w:val="00A25D89"/>
    <w:rsid w:val="00A25EBA"/>
    <w:rsid w:val="00A26181"/>
    <w:rsid w:val="00A26240"/>
    <w:rsid w:val="00A26245"/>
    <w:rsid w:val="00A263BD"/>
    <w:rsid w:val="00A263DD"/>
    <w:rsid w:val="00A2643A"/>
    <w:rsid w:val="00A26645"/>
    <w:rsid w:val="00A26671"/>
    <w:rsid w:val="00A266F6"/>
    <w:rsid w:val="00A26703"/>
    <w:rsid w:val="00A267BA"/>
    <w:rsid w:val="00A268AC"/>
    <w:rsid w:val="00A26A44"/>
    <w:rsid w:val="00A27087"/>
    <w:rsid w:val="00A270A3"/>
    <w:rsid w:val="00A27103"/>
    <w:rsid w:val="00A2711C"/>
    <w:rsid w:val="00A272D4"/>
    <w:rsid w:val="00A2732F"/>
    <w:rsid w:val="00A274BA"/>
    <w:rsid w:val="00A2756D"/>
    <w:rsid w:val="00A27858"/>
    <w:rsid w:val="00A278AE"/>
    <w:rsid w:val="00A278E0"/>
    <w:rsid w:val="00A27919"/>
    <w:rsid w:val="00A27A64"/>
    <w:rsid w:val="00A27BAF"/>
    <w:rsid w:val="00A27D77"/>
    <w:rsid w:val="00A27E4F"/>
    <w:rsid w:val="00A27EF6"/>
    <w:rsid w:val="00A30199"/>
    <w:rsid w:val="00A3029C"/>
    <w:rsid w:val="00A302A6"/>
    <w:rsid w:val="00A302BC"/>
    <w:rsid w:val="00A302E8"/>
    <w:rsid w:val="00A303D1"/>
    <w:rsid w:val="00A304E7"/>
    <w:rsid w:val="00A30545"/>
    <w:rsid w:val="00A30596"/>
    <w:rsid w:val="00A3069B"/>
    <w:rsid w:val="00A306BB"/>
    <w:rsid w:val="00A30988"/>
    <w:rsid w:val="00A30A7F"/>
    <w:rsid w:val="00A30A87"/>
    <w:rsid w:val="00A30D01"/>
    <w:rsid w:val="00A30D36"/>
    <w:rsid w:val="00A30D5E"/>
    <w:rsid w:val="00A30F4A"/>
    <w:rsid w:val="00A30F52"/>
    <w:rsid w:val="00A312B5"/>
    <w:rsid w:val="00A31485"/>
    <w:rsid w:val="00A31607"/>
    <w:rsid w:val="00A3179C"/>
    <w:rsid w:val="00A317FD"/>
    <w:rsid w:val="00A31975"/>
    <w:rsid w:val="00A31A4C"/>
    <w:rsid w:val="00A31AF1"/>
    <w:rsid w:val="00A31D8F"/>
    <w:rsid w:val="00A31F74"/>
    <w:rsid w:val="00A32104"/>
    <w:rsid w:val="00A32158"/>
    <w:rsid w:val="00A3216B"/>
    <w:rsid w:val="00A32197"/>
    <w:rsid w:val="00A323E4"/>
    <w:rsid w:val="00A3271B"/>
    <w:rsid w:val="00A32788"/>
    <w:rsid w:val="00A327B9"/>
    <w:rsid w:val="00A328A6"/>
    <w:rsid w:val="00A32A0A"/>
    <w:rsid w:val="00A32BD5"/>
    <w:rsid w:val="00A3341E"/>
    <w:rsid w:val="00A3342B"/>
    <w:rsid w:val="00A3359E"/>
    <w:rsid w:val="00A335B0"/>
    <w:rsid w:val="00A33605"/>
    <w:rsid w:val="00A33744"/>
    <w:rsid w:val="00A33A96"/>
    <w:rsid w:val="00A33CD4"/>
    <w:rsid w:val="00A33D2A"/>
    <w:rsid w:val="00A33D31"/>
    <w:rsid w:val="00A33DBD"/>
    <w:rsid w:val="00A33DC5"/>
    <w:rsid w:val="00A33E49"/>
    <w:rsid w:val="00A33E5B"/>
    <w:rsid w:val="00A33F7B"/>
    <w:rsid w:val="00A340CC"/>
    <w:rsid w:val="00A340E4"/>
    <w:rsid w:val="00A34160"/>
    <w:rsid w:val="00A34214"/>
    <w:rsid w:val="00A3421F"/>
    <w:rsid w:val="00A34411"/>
    <w:rsid w:val="00A3443E"/>
    <w:rsid w:val="00A34465"/>
    <w:rsid w:val="00A347B9"/>
    <w:rsid w:val="00A34A23"/>
    <w:rsid w:val="00A34AD8"/>
    <w:rsid w:val="00A34B8B"/>
    <w:rsid w:val="00A34BF6"/>
    <w:rsid w:val="00A34CC9"/>
    <w:rsid w:val="00A34CEA"/>
    <w:rsid w:val="00A34F20"/>
    <w:rsid w:val="00A352FC"/>
    <w:rsid w:val="00A35530"/>
    <w:rsid w:val="00A3558C"/>
    <w:rsid w:val="00A3569B"/>
    <w:rsid w:val="00A35762"/>
    <w:rsid w:val="00A35844"/>
    <w:rsid w:val="00A35ABF"/>
    <w:rsid w:val="00A35C5C"/>
    <w:rsid w:val="00A35D9A"/>
    <w:rsid w:val="00A35DE1"/>
    <w:rsid w:val="00A35DFF"/>
    <w:rsid w:val="00A35E8D"/>
    <w:rsid w:val="00A35FE0"/>
    <w:rsid w:val="00A360E0"/>
    <w:rsid w:val="00A3616B"/>
    <w:rsid w:val="00A36182"/>
    <w:rsid w:val="00A361FC"/>
    <w:rsid w:val="00A36290"/>
    <w:rsid w:val="00A363B1"/>
    <w:rsid w:val="00A36454"/>
    <w:rsid w:val="00A3651C"/>
    <w:rsid w:val="00A36595"/>
    <w:rsid w:val="00A36633"/>
    <w:rsid w:val="00A367A6"/>
    <w:rsid w:val="00A36880"/>
    <w:rsid w:val="00A36B64"/>
    <w:rsid w:val="00A36B9B"/>
    <w:rsid w:val="00A36D01"/>
    <w:rsid w:val="00A36D0A"/>
    <w:rsid w:val="00A36D64"/>
    <w:rsid w:val="00A36EC0"/>
    <w:rsid w:val="00A36F60"/>
    <w:rsid w:val="00A36FB1"/>
    <w:rsid w:val="00A372DE"/>
    <w:rsid w:val="00A3735B"/>
    <w:rsid w:val="00A375D7"/>
    <w:rsid w:val="00A37C50"/>
    <w:rsid w:val="00A37EA6"/>
    <w:rsid w:val="00A40003"/>
    <w:rsid w:val="00A40107"/>
    <w:rsid w:val="00A40126"/>
    <w:rsid w:val="00A403DC"/>
    <w:rsid w:val="00A405B2"/>
    <w:rsid w:val="00A407E4"/>
    <w:rsid w:val="00A4086D"/>
    <w:rsid w:val="00A4097C"/>
    <w:rsid w:val="00A40A31"/>
    <w:rsid w:val="00A40A63"/>
    <w:rsid w:val="00A40B74"/>
    <w:rsid w:val="00A40B81"/>
    <w:rsid w:val="00A40D11"/>
    <w:rsid w:val="00A40D14"/>
    <w:rsid w:val="00A4101A"/>
    <w:rsid w:val="00A410F1"/>
    <w:rsid w:val="00A41250"/>
    <w:rsid w:val="00A412A1"/>
    <w:rsid w:val="00A413E0"/>
    <w:rsid w:val="00A41575"/>
    <w:rsid w:val="00A415F6"/>
    <w:rsid w:val="00A41897"/>
    <w:rsid w:val="00A418EE"/>
    <w:rsid w:val="00A41999"/>
    <w:rsid w:val="00A41C49"/>
    <w:rsid w:val="00A41D38"/>
    <w:rsid w:val="00A41E11"/>
    <w:rsid w:val="00A41E17"/>
    <w:rsid w:val="00A4228C"/>
    <w:rsid w:val="00A424EF"/>
    <w:rsid w:val="00A4286F"/>
    <w:rsid w:val="00A42874"/>
    <w:rsid w:val="00A429B7"/>
    <w:rsid w:val="00A42AAE"/>
    <w:rsid w:val="00A42ACA"/>
    <w:rsid w:val="00A42B37"/>
    <w:rsid w:val="00A42C26"/>
    <w:rsid w:val="00A42C6A"/>
    <w:rsid w:val="00A42CA6"/>
    <w:rsid w:val="00A42CAD"/>
    <w:rsid w:val="00A42CE4"/>
    <w:rsid w:val="00A42DC6"/>
    <w:rsid w:val="00A42F1E"/>
    <w:rsid w:val="00A430FD"/>
    <w:rsid w:val="00A434FD"/>
    <w:rsid w:val="00A4352A"/>
    <w:rsid w:val="00A43677"/>
    <w:rsid w:val="00A43B2B"/>
    <w:rsid w:val="00A43C32"/>
    <w:rsid w:val="00A43DDD"/>
    <w:rsid w:val="00A43F2C"/>
    <w:rsid w:val="00A43FB5"/>
    <w:rsid w:val="00A442AC"/>
    <w:rsid w:val="00A443DF"/>
    <w:rsid w:val="00A4445D"/>
    <w:rsid w:val="00A44595"/>
    <w:rsid w:val="00A44741"/>
    <w:rsid w:val="00A44ABA"/>
    <w:rsid w:val="00A44BB4"/>
    <w:rsid w:val="00A44C92"/>
    <w:rsid w:val="00A44D07"/>
    <w:rsid w:val="00A44D27"/>
    <w:rsid w:val="00A44EC4"/>
    <w:rsid w:val="00A44F77"/>
    <w:rsid w:val="00A4517C"/>
    <w:rsid w:val="00A4523A"/>
    <w:rsid w:val="00A45256"/>
    <w:rsid w:val="00A454E6"/>
    <w:rsid w:val="00A45524"/>
    <w:rsid w:val="00A45568"/>
    <w:rsid w:val="00A457B9"/>
    <w:rsid w:val="00A45890"/>
    <w:rsid w:val="00A45A0B"/>
    <w:rsid w:val="00A45BE4"/>
    <w:rsid w:val="00A45D4D"/>
    <w:rsid w:val="00A45F63"/>
    <w:rsid w:val="00A46347"/>
    <w:rsid w:val="00A46469"/>
    <w:rsid w:val="00A46560"/>
    <w:rsid w:val="00A465CB"/>
    <w:rsid w:val="00A46639"/>
    <w:rsid w:val="00A4668C"/>
    <w:rsid w:val="00A466C7"/>
    <w:rsid w:val="00A466D1"/>
    <w:rsid w:val="00A4678E"/>
    <w:rsid w:val="00A46796"/>
    <w:rsid w:val="00A46A9C"/>
    <w:rsid w:val="00A46C07"/>
    <w:rsid w:val="00A46D6E"/>
    <w:rsid w:val="00A46D74"/>
    <w:rsid w:val="00A46DAF"/>
    <w:rsid w:val="00A46E08"/>
    <w:rsid w:val="00A46F34"/>
    <w:rsid w:val="00A4707A"/>
    <w:rsid w:val="00A471B1"/>
    <w:rsid w:val="00A47687"/>
    <w:rsid w:val="00A47A62"/>
    <w:rsid w:val="00A47A7E"/>
    <w:rsid w:val="00A47AD0"/>
    <w:rsid w:val="00A47BE8"/>
    <w:rsid w:val="00A47E12"/>
    <w:rsid w:val="00A47E53"/>
    <w:rsid w:val="00A47EA0"/>
    <w:rsid w:val="00A47FAA"/>
    <w:rsid w:val="00A50062"/>
    <w:rsid w:val="00A505E3"/>
    <w:rsid w:val="00A506BA"/>
    <w:rsid w:val="00A50B9F"/>
    <w:rsid w:val="00A50C53"/>
    <w:rsid w:val="00A50E7C"/>
    <w:rsid w:val="00A51055"/>
    <w:rsid w:val="00A51273"/>
    <w:rsid w:val="00A513BB"/>
    <w:rsid w:val="00A51424"/>
    <w:rsid w:val="00A51455"/>
    <w:rsid w:val="00A51574"/>
    <w:rsid w:val="00A517AB"/>
    <w:rsid w:val="00A517FA"/>
    <w:rsid w:val="00A518C5"/>
    <w:rsid w:val="00A519FE"/>
    <w:rsid w:val="00A51AAE"/>
    <w:rsid w:val="00A51AF0"/>
    <w:rsid w:val="00A51C2F"/>
    <w:rsid w:val="00A51DF5"/>
    <w:rsid w:val="00A51ECE"/>
    <w:rsid w:val="00A51F2D"/>
    <w:rsid w:val="00A52072"/>
    <w:rsid w:val="00A520A9"/>
    <w:rsid w:val="00A520D5"/>
    <w:rsid w:val="00A52131"/>
    <w:rsid w:val="00A5222E"/>
    <w:rsid w:val="00A522DD"/>
    <w:rsid w:val="00A5237F"/>
    <w:rsid w:val="00A524BF"/>
    <w:rsid w:val="00A525D7"/>
    <w:rsid w:val="00A52784"/>
    <w:rsid w:val="00A527CA"/>
    <w:rsid w:val="00A527FF"/>
    <w:rsid w:val="00A52847"/>
    <w:rsid w:val="00A52901"/>
    <w:rsid w:val="00A52932"/>
    <w:rsid w:val="00A529F7"/>
    <w:rsid w:val="00A52A38"/>
    <w:rsid w:val="00A52AAB"/>
    <w:rsid w:val="00A52AFA"/>
    <w:rsid w:val="00A52CBB"/>
    <w:rsid w:val="00A52D48"/>
    <w:rsid w:val="00A52F3F"/>
    <w:rsid w:val="00A5305D"/>
    <w:rsid w:val="00A5307E"/>
    <w:rsid w:val="00A530FC"/>
    <w:rsid w:val="00A5324F"/>
    <w:rsid w:val="00A53292"/>
    <w:rsid w:val="00A532B4"/>
    <w:rsid w:val="00A5349F"/>
    <w:rsid w:val="00A537B0"/>
    <w:rsid w:val="00A5380F"/>
    <w:rsid w:val="00A53972"/>
    <w:rsid w:val="00A53994"/>
    <w:rsid w:val="00A539F3"/>
    <w:rsid w:val="00A53D2C"/>
    <w:rsid w:val="00A53E93"/>
    <w:rsid w:val="00A53F00"/>
    <w:rsid w:val="00A54268"/>
    <w:rsid w:val="00A54353"/>
    <w:rsid w:val="00A54661"/>
    <w:rsid w:val="00A5475E"/>
    <w:rsid w:val="00A54893"/>
    <w:rsid w:val="00A548A3"/>
    <w:rsid w:val="00A54915"/>
    <w:rsid w:val="00A54A71"/>
    <w:rsid w:val="00A54ABE"/>
    <w:rsid w:val="00A54AFC"/>
    <w:rsid w:val="00A54DAD"/>
    <w:rsid w:val="00A54F39"/>
    <w:rsid w:val="00A54F6F"/>
    <w:rsid w:val="00A54FA8"/>
    <w:rsid w:val="00A55216"/>
    <w:rsid w:val="00A55458"/>
    <w:rsid w:val="00A55805"/>
    <w:rsid w:val="00A55944"/>
    <w:rsid w:val="00A559C2"/>
    <w:rsid w:val="00A55AA3"/>
    <w:rsid w:val="00A55BB8"/>
    <w:rsid w:val="00A55F27"/>
    <w:rsid w:val="00A560EB"/>
    <w:rsid w:val="00A560F1"/>
    <w:rsid w:val="00A56123"/>
    <w:rsid w:val="00A56151"/>
    <w:rsid w:val="00A561F6"/>
    <w:rsid w:val="00A5632C"/>
    <w:rsid w:val="00A56414"/>
    <w:rsid w:val="00A56578"/>
    <w:rsid w:val="00A56645"/>
    <w:rsid w:val="00A566AD"/>
    <w:rsid w:val="00A56748"/>
    <w:rsid w:val="00A567A1"/>
    <w:rsid w:val="00A56895"/>
    <w:rsid w:val="00A568EE"/>
    <w:rsid w:val="00A56E06"/>
    <w:rsid w:val="00A56F3F"/>
    <w:rsid w:val="00A56F65"/>
    <w:rsid w:val="00A56F72"/>
    <w:rsid w:val="00A56FF4"/>
    <w:rsid w:val="00A570DB"/>
    <w:rsid w:val="00A57114"/>
    <w:rsid w:val="00A572AB"/>
    <w:rsid w:val="00A5733F"/>
    <w:rsid w:val="00A5757D"/>
    <w:rsid w:val="00A5762D"/>
    <w:rsid w:val="00A5765B"/>
    <w:rsid w:val="00A57896"/>
    <w:rsid w:val="00A578E4"/>
    <w:rsid w:val="00A57924"/>
    <w:rsid w:val="00A57961"/>
    <w:rsid w:val="00A57A1C"/>
    <w:rsid w:val="00A57A49"/>
    <w:rsid w:val="00A57B11"/>
    <w:rsid w:val="00A57B75"/>
    <w:rsid w:val="00A57C47"/>
    <w:rsid w:val="00A57D14"/>
    <w:rsid w:val="00A57E42"/>
    <w:rsid w:val="00A57F06"/>
    <w:rsid w:val="00A57F73"/>
    <w:rsid w:val="00A600E7"/>
    <w:rsid w:val="00A60253"/>
    <w:rsid w:val="00A60336"/>
    <w:rsid w:val="00A603F0"/>
    <w:rsid w:val="00A6056A"/>
    <w:rsid w:val="00A6082E"/>
    <w:rsid w:val="00A609C3"/>
    <w:rsid w:val="00A609E2"/>
    <w:rsid w:val="00A60C1F"/>
    <w:rsid w:val="00A60C52"/>
    <w:rsid w:val="00A60D29"/>
    <w:rsid w:val="00A60E31"/>
    <w:rsid w:val="00A60E4E"/>
    <w:rsid w:val="00A60F68"/>
    <w:rsid w:val="00A610FE"/>
    <w:rsid w:val="00A611E7"/>
    <w:rsid w:val="00A61250"/>
    <w:rsid w:val="00A61545"/>
    <w:rsid w:val="00A61579"/>
    <w:rsid w:val="00A615D5"/>
    <w:rsid w:val="00A6174A"/>
    <w:rsid w:val="00A617D4"/>
    <w:rsid w:val="00A618F9"/>
    <w:rsid w:val="00A61C59"/>
    <w:rsid w:val="00A61D6B"/>
    <w:rsid w:val="00A61E7B"/>
    <w:rsid w:val="00A61FC5"/>
    <w:rsid w:val="00A62274"/>
    <w:rsid w:val="00A62504"/>
    <w:rsid w:val="00A62509"/>
    <w:rsid w:val="00A6257E"/>
    <w:rsid w:val="00A625C8"/>
    <w:rsid w:val="00A62742"/>
    <w:rsid w:val="00A6279A"/>
    <w:rsid w:val="00A628E3"/>
    <w:rsid w:val="00A62A76"/>
    <w:rsid w:val="00A62C90"/>
    <w:rsid w:val="00A62DC0"/>
    <w:rsid w:val="00A62EAD"/>
    <w:rsid w:val="00A632B6"/>
    <w:rsid w:val="00A63615"/>
    <w:rsid w:val="00A63624"/>
    <w:rsid w:val="00A63631"/>
    <w:rsid w:val="00A63680"/>
    <w:rsid w:val="00A63754"/>
    <w:rsid w:val="00A63A32"/>
    <w:rsid w:val="00A63AF1"/>
    <w:rsid w:val="00A63C4C"/>
    <w:rsid w:val="00A63D09"/>
    <w:rsid w:val="00A63FC6"/>
    <w:rsid w:val="00A640FE"/>
    <w:rsid w:val="00A644BD"/>
    <w:rsid w:val="00A6453D"/>
    <w:rsid w:val="00A645E2"/>
    <w:rsid w:val="00A6462A"/>
    <w:rsid w:val="00A6465C"/>
    <w:rsid w:val="00A648BB"/>
    <w:rsid w:val="00A648EE"/>
    <w:rsid w:val="00A64919"/>
    <w:rsid w:val="00A64933"/>
    <w:rsid w:val="00A64947"/>
    <w:rsid w:val="00A6494F"/>
    <w:rsid w:val="00A64A0D"/>
    <w:rsid w:val="00A64B02"/>
    <w:rsid w:val="00A64B6C"/>
    <w:rsid w:val="00A64CAF"/>
    <w:rsid w:val="00A64D46"/>
    <w:rsid w:val="00A64E26"/>
    <w:rsid w:val="00A64F85"/>
    <w:rsid w:val="00A650E9"/>
    <w:rsid w:val="00A650F1"/>
    <w:rsid w:val="00A651F6"/>
    <w:rsid w:val="00A653B4"/>
    <w:rsid w:val="00A65511"/>
    <w:rsid w:val="00A65540"/>
    <w:rsid w:val="00A65604"/>
    <w:rsid w:val="00A656F5"/>
    <w:rsid w:val="00A65829"/>
    <w:rsid w:val="00A6596A"/>
    <w:rsid w:val="00A659AC"/>
    <w:rsid w:val="00A65CE2"/>
    <w:rsid w:val="00A65E5E"/>
    <w:rsid w:val="00A6655D"/>
    <w:rsid w:val="00A66582"/>
    <w:rsid w:val="00A66636"/>
    <w:rsid w:val="00A66701"/>
    <w:rsid w:val="00A6671E"/>
    <w:rsid w:val="00A667E2"/>
    <w:rsid w:val="00A668CB"/>
    <w:rsid w:val="00A669C8"/>
    <w:rsid w:val="00A669F4"/>
    <w:rsid w:val="00A66ABD"/>
    <w:rsid w:val="00A66CA8"/>
    <w:rsid w:val="00A66CE9"/>
    <w:rsid w:val="00A67195"/>
    <w:rsid w:val="00A672A3"/>
    <w:rsid w:val="00A674E8"/>
    <w:rsid w:val="00A675CF"/>
    <w:rsid w:val="00A67663"/>
    <w:rsid w:val="00A6775B"/>
    <w:rsid w:val="00A67896"/>
    <w:rsid w:val="00A678FA"/>
    <w:rsid w:val="00A67C9C"/>
    <w:rsid w:val="00A67E34"/>
    <w:rsid w:val="00A70145"/>
    <w:rsid w:val="00A705F4"/>
    <w:rsid w:val="00A706BA"/>
    <w:rsid w:val="00A709A9"/>
    <w:rsid w:val="00A70C2B"/>
    <w:rsid w:val="00A70D08"/>
    <w:rsid w:val="00A70D18"/>
    <w:rsid w:val="00A70D68"/>
    <w:rsid w:val="00A70DC2"/>
    <w:rsid w:val="00A70E5F"/>
    <w:rsid w:val="00A711B7"/>
    <w:rsid w:val="00A71232"/>
    <w:rsid w:val="00A712E7"/>
    <w:rsid w:val="00A713A2"/>
    <w:rsid w:val="00A717E1"/>
    <w:rsid w:val="00A71857"/>
    <w:rsid w:val="00A71866"/>
    <w:rsid w:val="00A7189B"/>
    <w:rsid w:val="00A71A2A"/>
    <w:rsid w:val="00A71A5F"/>
    <w:rsid w:val="00A71BFD"/>
    <w:rsid w:val="00A71CBC"/>
    <w:rsid w:val="00A71D03"/>
    <w:rsid w:val="00A7217A"/>
    <w:rsid w:val="00A72821"/>
    <w:rsid w:val="00A72A0E"/>
    <w:rsid w:val="00A72B31"/>
    <w:rsid w:val="00A72C5D"/>
    <w:rsid w:val="00A72F35"/>
    <w:rsid w:val="00A72FFB"/>
    <w:rsid w:val="00A731A9"/>
    <w:rsid w:val="00A7326C"/>
    <w:rsid w:val="00A73395"/>
    <w:rsid w:val="00A7364C"/>
    <w:rsid w:val="00A7375E"/>
    <w:rsid w:val="00A73970"/>
    <w:rsid w:val="00A73995"/>
    <w:rsid w:val="00A73B7D"/>
    <w:rsid w:val="00A73B95"/>
    <w:rsid w:val="00A73E65"/>
    <w:rsid w:val="00A73F53"/>
    <w:rsid w:val="00A73FF8"/>
    <w:rsid w:val="00A7401E"/>
    <w:rsid w:val="00A7403E"/>
    <w:rsid w:val="00A740DF"/>
    <w:rsid w:val="00A740FD"/>
    <w:rsid w:val="00A74362"/>
    <w:rsid w:val="00A74531"/>
    <w:rsid w:val="00A7455A"/>
    <w:rsid w:val="00A745EA"/>
    <w:rsid w:val="00A7461F"/>
    <w:rsid w:val="00A746D7"/>
    <w:rsid w:val="00A7472A"/>
    <w:rsid w:val="00A747A1"/>
    <w:rsid w:val="00A74801"/>
    <w:rsid w:val="00A7482D"/>
    <w:rsid w:val="00A74CFC"/>
    <w:rsid w:val="00A74E9F"/>
    <w:rsid w:val="00A74F49"/>
    <w:rsid w:val="00A75243"/>
    <w:rsid w:val="00A7534F"/>
    <w:rsid w:val="00A754A5"/>
    <w:rsid w:val="00A75620"/>
    <w:rsid w:val="00A75784"/>
    <w:rsid w:val="00A759DB"/>
    <w:rsid w:val="00A75ADB"/>
    <w:rsid w:val="00A75E5E"/>
    <w:rsid w:val="00A75FAA"/>
    <w:rsid w:val="00A76069"/>
    <w:rsid w:val="00A76120"/>
    <w:rsid w:val="00A76179"/>
    <w:rsid w:val="00A761C4"/>
    <w:rsid w:val="00A7637F"/>
    <w:rsid w:val="00A764A8"/>
    <w:rsid w:val="00A764DB"/>
    <w:rsid w:val="00A766DA"/>
    <w:rsid w:val="00A76849"/>
    <w:rsid w:val="00A76947"/>
    <w:rsid w:val="00A769B5"/>
    <w:rsid w:val="00A76A60"/>
    <w:rsid w:val="00A76A90"/>
    <w:rsid w:val="00A76B77"/>
    <w:rsid w:val="00A76B81"/>
    <w:rsid w:val="00A76CFC"/>
    <w:rsid w:val="00A76D8F"/>
    <w:rsid w:val="00A76DA8"/>
    <w:rsid w:val="00A76DD5"/>
    <w:rsid w:val="00A76FEA"/>
    <w:rsid w:val="00A77085"/>
    <w:rsid w:val="00A77109"/>
    <w:rsid w:val="00A771CF"/>
    <w:rsid w:val="00A77206"/>
    <w:rsid w:val="00A77236"/>
    <w:rsid w:val="00A7728F"/>
    <w:rsid w:val="00A77293"/>
    <w:rsid w:val="00A773F8"/>
    <w:rsid w:val="00A774BE"/>
    <w:rsid w:val="00A7765E"/>
    <w:rsid w:val="00A777D2"/>
    <w:rsid w:val="00A77901"/>
    <w:rsid w:val="00A77BB6"/>
    <w:rsid w:val="00A77E6A"/>
    <w:rsid w:val="00A77F35"/>
    <w:rsid w:val="00A8006F"/>
    <w:rsid w:val="00A80165"/>
    <w:rsid w:val="00A80167"/>
    <w:rsid w:val="00A802F1"/>
    <w:rsid w:val="00A80327"/>
    <w:rsid w:val="00A80361"/>
    <w:rsid w:val="00A80400"/>
    <w:rsid w:val="00A805BD"/>
    <w:rsid w:val="00A808C2"/>
    <w:rsid w:val="00A80CE4"/>
    <w:rsid w:val="00A80D5E"/>
    <w:rsid w:val="00A80D6B"/>
    <w:rsid w:val="00A80E7D"/>
    <w:rsid w:val="00A80FA3"/>
    <w:rsid w:val="00A80FDC"/>
    <w:rsid w:val="00A811AE"/>
    <w:rsid w:val="00A8129F"/>
    <w:rsid w:val="00A812AC"/>
    <w:rsid w:val="00A8133A"/>
    <w:rsid w:val="00A81457"/>
    <w:rsid w:val="00A81675"/>
    <w:rsid w:val="00A81808"/>
    <w:rsid w:val="00A81851"/>
    <w:rsid w:val="00A8193F"/>
    <w:rsid w:val="00A81969"/>
    <w:rsid w:val="00A819BF"/>
    <w:rsid w:val="00A81A75"/>
    <w:rsid w:val="00A81AA3"/>
    <w:rsid w:val="00A81CB0"/>
    <w:rsid w:val="00A81D66"/>
    <w:rsid w:val="00A81DBB"/>
    <w:rsid w:val="00A81F43"/>
    <w:rsid w:val="00A8220C"/>
    <w:rsid w:val="00A822AE"/>
    <w:rsid w:val="00A822EE"/>
    <w:rsid w:val="00A82561"/>
    <w:rsid w:val="00A82596"/>
    <w:rsid w:val="00A825F7"/>
    <w:rsid w:val="00A8270A"/>
    <w:rsid w:val="00A82895"/>
    <w:rsid w:val="00A828CE"/>
    <w:rsid w:val="00A8294E"/>
    <w:rsid w:val="00A829F9"/>
    <w:rsid w:val="00A82B16"/>
    <w:rsid w:val="00A82B52"/>
    <w:rsid w:val="00A82D1E"/>
    <w:rsid w:val="00A82D94"/>
    <w:rsid w:val="00A82E68"/>
    <w:rsid w:val="00A82F27"/>
    <w:rsid w:val="00A8325C"/>
    <w:rsid w:val="00A83281"/>
    <w:rsid w:val="00A8342D"/>
    <w:rsid w:val="00A8351D"/>
    <w:rsid w:val="00A8356D"/>
    <w:rsid w:val="00A8365A"/>
    <w:rsid w:val="00A8377E"/>
    <w:rsid w:val="00A837A4"/>
    <w:rsid w:val="00A83836"/>
    <w:rsid w:val="00A83A36"/>
    <w:rsid w:val="00A83AF5"/>
    <w:rsid w:val="00A83B09"/>
    <w:rsid w:val="00A83B58"/>
    <w:rsid w:val="00A83EDC"/>
    <w:rsid w:val="00A84032"/>
    <w:rsid w:val="00A840DD"/>
    <w:rsid w:val="00A841A4"/>
    <w:rsid w:val="00A842ED"/>
    <w:rsid w:val="00A84503"/>
    <w:rsid w:val="00A84764"/>
    <w:rsid w:val="00A8476A"/>
    <w:rsid w:val="00A8485E"/>
    <w:rsid w:val="00A8495E"/>
    <w:rsid w:val="00A849E3"/>
    <w:rsid w:val="00A84BFD"/>
    <w:rsid w:val="00A84CA3"/>
    <w:rsid w:val="00A84CDB"/>
    <w:rsid w:val="00A85035"/>
    <w:rsid w:val="00A85083"/>
    <w:rsid w:val="00A85092"/>
    <w:rsid w:val="00A852C5"/>
    <w:rsid w:val="00A85449"/>
    <w:rsid w:val="00A856A0"/>
    <w:rsid w:val="00A856FC"/>
    <w:rsid w:val="00A8575E"/>
    <w:rsid w:val="00A857EB"/>
    <w:rsid w:val="00A85813"/>
    <w:rsid w:val="00A85845"/>
    <w:rsid w:val="00A8593F"/>
    <w:rsid w:val="00A859D4"/>
    <w:rsid w:val="00A85AD3"/>
    <w:rsid w:val="00A85AFD"/>
    <w:rsid w:val="00A85C2E"/>
    <w:rsid w:val="00A85D40"/>
    <w:rsid w:val="00A85E38"/>
    <w:rsid w:val="00A85FDF"/>
    <w:rsid w:val="00A85FE4"/>
    <w:rsid w:val="00A86088"/>
    <w:rsid w:val="00A86193"/>
    <w:rsid w:val="00A862BC"/>
    <w:rsid w:val="00A8635D"/>
    <w:rsid w:val="00A863D3"/>
    <w:rsid w:val="00A863D8"/>
    <w:rsid w:val="00A86475"/>
    <w:rsid w:val="00A864AF"/>
    <w:rsid w:val="00A86646"/>
    <w:rsid w:val="00A86874"/>
    <w:rsid w:val="00A869C9"/>
    <w:rsid w:val="00A86A36"/>
    <w:rsid w:val="00A86A88"/>
    <w:rsid w:val="00A86BDB"/>
    <w:rsid w:val="00A86D0F"/>
    <w:rsid w:val="00A86D11"/>
    <w:rsid w:val="00A86D3A"/>
    <w:rsid w:val="00A86DF6"/>
    <w:rsid w:val="00A86E8E"/>
    <w:rsid w:val="00A87063"/>
    <w:rsid w:val="00A87146"/>
    <w:rsid w:val="00A871FB"/>
    <w:rsid w:val="00A876E1"/>
    <w:rsid w:val="00A877A0"/>
    <w:rsid w:val="00A878E9"/>
    <w:rsid w:val="00A8796F"/>
    <w:rsid w:val="00A879F8"/>
    <w:rsid w:val="00A87ADE"/>
    <w:rsid w:val="00A87B2D"/>
    <w:rsid w:val="00A87C5E"/>
    <w:rsid w:val="00A87D19"/>
    <w:rsid w:val="00A9006B"/>
    <w:rsid w:val="00A902D1"/>
    <w:rsid w:val="00A90316"/>
    <w:rsid w:val="00A90317"/>
    <w:rsid w:val="00A90363"/>
    <w:rsid w:val="00A90364"/>
    <w:rsid w:val="00A9044A"/>
    <w:rsid w:val="00A904D9"/>
    <w:rsid w:val="00A904EF"/>
    <w:rsid w:val="00A90567"/>
    <w:rsid w:val="00A905E5"/>
    <w:rsid w:val="00A907F2"/>
    <w:rsid w:val="00A9090A"/>
    <w:rsid w:val="00A909F6"/>
    <w:rsid w:val="00A90B8B"/>
    <w:rsid w:val="00A90C6E"/>
    <w:rsid w:val="00A90DD6"/>
    <w:rsid w:val="00A90E67"/>
    <w:rsid w:val="00A90ECA"/>
    <w:rsid w:val="00A913C9"/>
    <w:rsid w:val="00A9140D"/>
    <w:rsid w:val="00A9142A"/>
    <w:rsid w:val="00A91594"/>
    <w:rsid w:val="00A91624"/>
    <w:rsid w:val="00A919D9"/>
    <w:rsid w:val="00A91AA1"/>
    <w:rsid w:val="00A91AE1"/>
    <w:rsid w:val="00A91AFF"/>
    <w:rsid w:val="00A91B44"/>
    <w:rsid w:val="00A91BE1"/>
    <w:rsid w:val="00A91C06"/>
    <w:rsid w:val="00A91E7B"/>
    <w:rsid w:val="00A91EB1"/>
    <w:rsid w:val="00A91FD5"/>
    <w:rsid w:val="00A92141"/>
    <w:rsid w:val="00A92182"/>
    <w:rsid w:val="00A924AB"/>
    <w:rsid w:val="00A926CC"/>
    <w:rsid w:val="00A92767"/>
    <w:rsid w:val="00A928FE"/>
    <w:rsid w:val="00A92A95"/>
    <w:rsid w:val="00A92B74"/>
    <w:rsid w:val="00A92CD0"/>
    <w:rsid w:val="00A93170"/>
    <w:rsid w:val="00A931C0"/>
    <w:rsid w:val="00A9323C"/>
    <w:rsid w:val="00A9344D"/>
    <w:rsid w:val="00A9346F"/>
    <w:rsid w:val="00A937B4"/>
    <w:rsid w:val="00A93879"/>
    <w:rsid w:val="00A938CE"/>
    <w:rsid w:val="00A939AF"/>
    <w:rsid w:val="00A939B9"/>
    <w:rsid w:val="00A93BE0"/>
    <w:rsid w:val="00A93C38"/>
    <w:rsid w:val="00A93C98"/>
    <w:rsid w:val="00A93C9B"/>
    <w:rsid w:val="00A93CCD"/>
    <w:rsid w:val="00A93DBE"/>
    <w:rsid w:val="00A93E6B"/>
    <w:rsid w:val="00A93EE6"/>
    <w:rsid w:val="00A93F3D"/>
    <w:rsid w:val="00A940F0"/>
    <w:rsid w:val="00A9423B"/>
    <w:rsid w:val="00A94273"/>
    <w:rsid w:val="00A942F3"/>
    <w:rsid w:val="00A944F6"/>
    <w:rsid w:val="00A94520"/>
    <w:rsid w:val="00A945FF"/>
    <w:rsid w:val="00A9490A"/>
    <w:rsid w:val="00A94AB9"/>
    <w:rsid w:val="00A94AD2"/>
    <w:rsid w:val="00A94BF3"/>
    <w:rsid w:val="00A94E3C"/>
    <w:rsid w:val="00A94E84"/>
    <w:rsid w:val="00A94ECC"/>
    <w:rsid w:val="00A95071"/>
    <w:rsid w:val="00A950FE"/>
    <w:rsid w:val="00A9543C"/>
    <w:rsid w:val="00A955B9"/>
    <w:rsid w:val="00A955D2"/>
    <w:rsid w:val="00A9568F"/>
    <w:rsid w:val="00A956F3"/>
    <w:rsid w:val="00A95830"/>
    <w:rsid w:val="00A9586A"/>
    <w:rsid w:val="00A95A72"/>
    <w:rsid w:val="00A95C86"/>
    <w:rsid w:val="00A95E9B"/>
    <w:rsid w:val="00A95FA1"/>
    <w:rsid w:val="00A960D5"/>
    <w:rsid w:val="00A961E1"/>
    <w:rsid w:val="00A9621A"/>
    <w:rsid w:val="00A9630E"/>
    <w:rsid w:val="00A96327"/>
    <w:rsid w:val="00A9666B"/>
    <w:rsid w:val="00A966EB"/>
    <w:rsid w:val="00A96AE4"/>
    <w:rsid w:val="00A96B08"/>
    <w:rsid w:val="00A96E96"/>
    <w:rsid w:val="00A96F3F"/>
    <w:rsid w:val="00A96FCD"/>
    <w:rsid w:val="00A9703D"/>
    <w:rsid w:val="00A970FC"/>
    <w:rsid w:val="00A9720B"/>
    <w:rsid w:val="00A972FF"/>
    <w:rsid w:val="00A975F9"/>
    <w:rsid w:val="00A9787D"/>
    <w:rsid w:val="00A978C5"/>
    <w:rsid w:val="00A97961"/>
    <w:rsid w:val="00A97A33"/>
    <w:rsid w:val="00A97AA6"/>
    <w:rsid w:val="00A97AC7"/>
    <w:rsid w:val="00A97C44"/>
    <w:rsid w:val="00A97D43"/>
    <w:rsid w:val="00A97F9E"/>
    <w:rsid w:val="00AA01B2"/>
    <w:rsid w:val="00AA021D"/>
    <w:rsid w:val="00AA0268"/>
    <w:rsid w:val="00AA037B"/>
    <w:rsid w:val="00AA03CD"/>
    <w:rsid w:val="00AA065A"/>
    <w:rsid w:val="00AA0BBC"/>
    <w:rsid w:val="00AA0DCB"/>
    <w:rsid w:val="00AA0DD2"/>
    <w:rsid w:val="00AA0DF9"/>
    <w:rsid w:val="00AA11A2"/>
    <w:rsid w:val="00AA1245"/>
    <w:rsid w:val="00AA1370"/>
    <w:rsid w:val="00AA14DD"/>
    <w:rsid w:val="00AA158A"/>
    <w:rsid w:val="00AA162C"/>
    <w:rsid w:val="00AA17F0"/>
    <w:rsid w:val="00AA1D57"/>
    <w:rsid w:val="00AA1D77"/>
    <w:rsid w:val="00AA1D99"/>
    <w:rsid w:val="00AA1E17"/>
    <w:rsid w:val="00AA20FB"/>
    <w:rsid w:val="00AA25C3"/>
    <w:rsid w:val="00AA2679"/>
    <w:rsid w:val="00AA2891"/>
    <w:rsid w:val="00AA28D2"/>
    <w:rsid w:val="00AA2B0A"/>
    <w:rsid w:val="00AA2C21"/>
    <w:rsid w:val="00AA2C53"/>
    <w:rsid w:val="00AA2E65"/>
    <w:rsid w:val="00AA2F4F"/>
    <w:rsid w:val="00AA3019"/>
    <w:rsid w:val="00AA314B"/>
    <w:rsid w:val="00AA321D"/>
    <w:rsid w:val="00AA33A7"/>
    <w:rsid w:val="00AA343E"/>
    <w:rsid w:val="00AA346F"/>
    <w:rsid w:val="00AA34E5"/>
    <w:rsid w:val="00AA3533"/>
    <w:rsid w:val="00AA36E7"/>
    <w:rsid w:val="00AA373C"/>
    <w:rsid w:val="00AA3746"/>
    <w:rsid w:val="00AA3748"/>
    <w:rsid w:val="00AA398C"/>
    <w:rsid w:val="00AA3994"/>
    <w:rsid w:val="00AA39DA"/>
    <w:rsid w:val="00AA3C89"/>
    <w:rsid w:val="00AA3D2A"/>
    <w:rsid w:val="00AA3FD2"/>
    <w:rsid w:val="00AA42BE"/>
    <w:rsid w:val="00AA42CE"/>
    <w:rsid w:val="00AA43D7"/>
    <w:rsid w:val="00AA43DD"/>
    <w:rsid w:val="00AA483D"/>
    <w:rsid w:val="00AA4904"/>
    <w:rsid w:val="00AA4A20"/>
    <w:rsid w:val="00AA4AF5"/>
    <w:rsid w:val="00AA4C31"/>
    <w:rsid w:val="00AA4C44"/>
    <w:rsid w:val="00AA4DD1"/>
    <w:rsid w:val="00AA4E24"/>
    <w:rsid w:val="00AA5439"/>
    <w:rsid w:val="00AA543C"/>
    <w:rsid w:val="00AA5642"/>
    <w:rsid w:val="00AA56F2"/>
    <w:rsid w:val="00AA580E"/>
    <w:rsid w:val="00AA5ECF"/>
    <w:rsid w:val="00AA5F64"/>
    <w:rsid w:val="00AA5FED"/>
    <w:rsid w:val="00AA6044"/>
    <w:rsid w:val="00AA60D0"/>
    <w:rsid w:val="00AA612D"/>
    <w:rsid w:val="00AA6183"/>
    <w:rsid w:val="00AA61EA"/>
    <w:rsid w:val="00AA649E"/>
    <w:rsid w:val="00AA6534"/>
    <w:rsid w:val="00AA6558"/>
    <w:rsid w:val="00AA658F"/>
    <w:rsid w:val="00AA66F2"/>
    <w:rsid w:val="00AA6BFD"/>
    <w:rsid w:val="00AA6C44"/>
    <w:rsid w:val="00AA6D45"/>
    <w:rsid w:val="00AA6D71"/>
    <w:rsid w:val="00AA7108"/>
    <w:rsid w:val="00AA7191"/>
    <w:rsid w:val="00AA71F1"/>
    <w:rsid w:val="00AA727F"/>
    <w:rsid w:val="00AA72D3"/>
    <w:rsid w:val="00AA730E"/>
    <w:rsid w:val="00AA7530"/>
    <w:rsid w:val="00AA7555"/>
    <w:rsid w:val="00AA7559"/>
    <w:rsid w:val="00AA76A2"/>
    <w:rsid w:val="00AA77F6"/>
    <w:rsid w:val="00AA78EE"/>
    <w:rsid w:val="00AA7A95"/>
    <w:rsid w:val="00AA7BFD"/>
    <w:rsid w:val="00AA7C35"/>
    <w:rsid w:val="00AA7CB7"/>
    <w:rsid w:val="00AA7DD3"/>
    <w:rsid w:val="00AB001D"/>
    <w:rsid w:val="00AB00F3"/>
    <w:rsid w:val="00AB02CE"/>
    <w:rsid w:val="00AB0423"/>
    <w:rsid w:val="00AB05C0"/>
    <w:rsid w:val="00AB0627"/>
    <w:rsid w:val="00AB07D0"/>
    <w:rsid w:val="00AB081B"/>
    <w:rsid w:val="00AB0854"/>
    <w:rsid w:val="00AB0877"/>
    <w:rsid w:val="00AB094E"/>
    <w:rsid w:val="00AB09C9"/>
    <w:rsid w:val="00AB0C03"/>
    <w:rsid w:val="00AB0E5E"/>
    <w:rsid w:val="00AB1330"/>
    <w:rsid w:val="00AB1397"/>
    <w:rsid w:val="00AB14ED"/>
    <w:rsid w:val="00AB14F1"/>
    <w:rsid w:val="00AB1506"/>
    <w:rsid w:val="00AB1864"/>
    <w:rsid w:val="00AB18B2"/>
    <w:rsid w:val="00AB195D"/>
    <w:rsid w:val="00AB1985"/>
    <w:rsid w:val="00AB1B30"/>
    <w:rsid w:val="00AB1C6E"/>
    <w:rsid w:val="00AB1D23"/>
    <w:rsid w:val="00AB1E71"/>
    <w:rsid w:val="00AB1FA9"/>
    <w:rsid w:val="00AB2247"/>
    <w:rsid w:val="00AB22DB"/>
    <w:rsid w:val="00AB2334"/>
    <w:rsid w:val="00AB23E4"/>
    <w:rsid w:val="00AB26C6"/>
    <w:rsid w:val="00AB2775"/>
    <w:rsid w:val="00AB282F"/>
    <w:rsid w:val="00AB28F3"/>
    <w:rsid w:val="00AB2CE3"/>
    <w:rsid w:val="00AB2DA1"/>
    <w:rsid w:val="00AB2DC8"/>
    <w:rsid w:val="00AB2EAE"/>
    <w:rsid w:val="00AB3529"/>
    <w:rsid w:val="00AB363C"/>
    <w:rsid w:val="00AB3786"/>
    <w:rsid w:val="00AB39FD"/>
    <w:rsid w:val="00AB3C65"/>
    <w:rsid w:val="00AB3CC9"/>
    <w:rsid w:val="00AB3F56"/>
    <w:rsid w:val="00AB4079"/>
    <w:rsid w:val="00AB41A5"/>
    <w:rsid w:val="00AB4263"/>
    <w:rsid w:val="00AB4340"/>
    <w:rsid w:val="00AB43BF"/>
    <w:rsid w:val="00AB43F4"/>
    <w:rsid w:val="00AB4501"/>
    <w:rsid w:val="00AB47C6"/>
    <w:rsid w:val="00AB4ED1"/>
    <w:rsid w:val="00AB4EFA"/>
    <w:rsid w:val="00AB5100"/>
    <w:rsid w:val="00AB51AE"/>
    <w:rsid w:val="00AB526A"/>
    <w:rsid w:val="00AB5385"/>
    <w:rsid w:val="00AB5416"/>
    <w:rsid w:val="00AB5554"/>
    <w:rsid w:val="00AB5578"/>
    <w:rsid w:val="00AB55D2"/>
    <w:rsid w:val="00AB5C0C"/>
    <w:rsid w:val="00AB5DBB"/>
    <w:rsid w:val="00AB5E51"/>
    <w:rsid w:val="00AB5F38"/>
    <w:rsid w:val="00AB6247"/>
    <w:rsid w:val="00AB63E5"/>
    <w:rsid w:val="00AB64E5"/>
    <w:rsid w:val="00AB650D"/>
    <w:rsid w:val="00AB659F"/>
    <w:rsid w:val="00AB6651"/>
    <w:rsid w:val="00AB67CE"/>
    <w:rsid w:val="00AB6B48"/>
    <w:rsid w:val="00AB6CAA"/>
    <w:rsid w:val="00AB6DF3"/>
    <w:rsid w:val="00AB6E27"/>
    <w:rsid w:val="00AB6E44"/>
    <w:rsid w:val="00AB6F52"/>
    <w:rsid w:val="00AB734D"/>
    <w:rsid w:val="00AB75B3"/>
    <w:rsid w:val="00AB7635"/>
    <w:rsid w:val="00AB771D"/>
    <w:rsid w:val="00AB7807"/>
    <w:rsid w:val="00AB782C"/>
    <w:rsid w:val="00AB7B5F"/>
    <w:rsid w:val="00AB7BB8"/>
    <w:rsid w:val="00AB7CBA"/>
    <w:rsid w:val="00AB7CDA"/>
    <w:rsid w:val="00AB7D1A"/>
    <w:rsid w:val="00AC0022"/>
    <w:rsid w:val="00AC02E1"/>
    <w:rsid w:val="00AC038F"/>
    <w:rsid w:val="00AC0420"/>
    <w:rsid w:val="00AC050C"/>
    <w:rsid w:val="00AC06FE"/>
    <w:rsid w:val="00AC0851"/>
    <w:rsid w:val="00AC0893"/>
    <w:rsid w:val="00AC0AB6"/>
    <w:rsid w:val="00AC0B55"/>
    <w:rsid w:val="00AC0C2B"/>
    <w:rsid w:val="00AC0C56"/>
    <w:rsid w:val="00AC0D62"/>
    <w:rsid w:val="00AC0F18"/>
    <w:rsid w:val="00AC0FCE"/>
    <w:rsid w:val="00AC10B2"/>
    <w:rsid w:val="00AC1352"/>
    <w:rsid w:val="00AC1429"/>
    <w:rsid w:val="00AC1655"/>
    <w:rsid w:val="00AC1691"/>
    <w:rsid w:val="00AC16B3"/>
    <w:rsid w:val="00AC1726"/>
    <w:rsid w:val="00AC182C"/>
    <w:rsid w:val="00AC1C2E"/>
    <w:rsid w:val="00AC1C9D"/>
    <w:rsid w:val="00AC1D23"/>
    <w:rsid w:val="00AC1D58"/>
    <w:rsid w:val="00AC1FE5"/>
    <w:rsid w:val="00AC205B"/>
    <w:rsid w:val="00AC20A5"/>
    <w:rsid w:val="00AC24B9"/>
    <w:rsid w:val="00AC25AD"/>
    <w:rsid w:val="00AC2840"/>
    <w:rsid w:val="00AC28B8"/>
    <w:rsid w:val="00AC29D2"/>
    <w:rsid w:val="00AC29E8"/>
    <w:rsid w:val="00AC2DF6"/>
    <w:rsid w:val="00AC2E5F"/>
    <w:rsid w:val="00AC2EE8"/>
    <w:rsid w:val="00AC2FCD"/>
    <w:rsid w:val="00AC2FED"/>
    <w:rsid w:val="00AC31DC"/>
    <w:rsid w:val="00AC3225"/>
    <w:rsid w:val="00AC35F8"/>
    <w:rsid w:val="00AC36BD"/>
    <w:rsid w:val="00AC3748"/>
    <w:rsid w:val="00AC3AF3"/>
    <w:rsid w:val="00AC3B54"/>
    <w:rsid w:val="00AC3B86"/>
    <w:rsid w:val="00AC3B9B"/>
    <w:rsid w:val="00AC3C71"/>
    <w:rsid w:val="00AC3F59"/>
    <w:rsid w:val="00AC40B9"/>
    <w:rsid w:val="00AC40DB"/>
    <w:rsid w:val="00AC40EF"/>
    <w:rsid w:val="00AC4220"/>
    <w:rsid w:val="00AC4483"/>
    <w:rsid w:val="00AC4556"/>
    <w:rsid w:val="00AC45DD"/>
    <w:rsid w:val="00AC48E1"/>
    <w:rsid w:val="00AC490E"/>
    <w:rsid w:val="00AC4B23"/>
    <w:rsid w:val="00AC4BBB"/>
    <w:rsid w:val="00AC4E8F"/>
    <w:rsid w:val="00AC4F7F"/>
    <w:rsid w:val="00AC5039"/>
    <w:rsid w:val="00AC50FD"/>
    <w:rsid w:val="00AC5397"/>
    <w:rsid w:val="00AC53D4"/>
    <w:rsid w:val="00AC549F"/>
    <w:rsid w:val="00AC57B8"/>
    <w:rsid w:val="00AC5A64"/>
    <w:rsid w:val="00AC5A8B"/>
    <w:rsid w:val="00AC5E1B"/>
    <w:rsid w:val="00AC5F4F"/>
    <w:rsid w:val="00AC5F5C"/>
    <w:rsid w:val="00AC5FFE"/>
    <w:rsid w:val="00AC62F4"/>
    <w:rsid w:val="00AC64DB"/>
    <w:rsid w:val="00AC683D"/>
    <w:rsid w:val="00AC6874"/>
    <w:rsid w:val="00AC6937"/>
    <w:rsid w:val="00AC6985"/>
    <w:rsid w:val="00AC69B1"/>
    <w:rsid w:val="00AC6BAF"/>
    <w:rsid w:val="00AC6C95"/>
    <w:rsid w:val="00AC6CBE"/>
    <w:rsid w:val="00AC6E12"/>
    <w:rsid w:val="00AC6F79"/>
    <w:rsid w:val="00AC705C"/>
    <w:rsid w:val="00AC724A"/>
    <w:rsid w:val="00AC746E"/>
    <w:rsid w:val="00AC752D"/>
    <w:rsid w:val="00AC7630"/>
    <w:rsid w:val="00AC76C9"/>
    <w:rsid w:val="00AC7AF0"/>
    <w:rsid w:val="00AC7B02"/>
    <w:rsid w:val="00AC7BA9"/>
    <w:rsid w:val="00AC7D1A"/>
    <w:rsid w:val="00AC7D3A"/>
    <w:rsid w:val="00AD022F"/>
    <w:rsid w:val="00AD0339"/>
    <w:rsid w:val="00AD038A"/>
    <w:rsid w:val="00AD057A"/>
    <w:rsid w:val="00AD0698"/>
    <w:rsid w:val="00AD0882"/>
    <w:rsid w:val="00AD08F0"/>
    <w:rsid w:val="00AD0A0C"/>
    <w:rsid w:val="00AD0BB5"/>
    <w:rsid w:val="00AD0BE3"/>
    <w:rsid w:val="00AD0C4E"/>
    <w:rsid w:val="00AD0D1A"/>
    <w:rsid w:val="00AD0E13"/>
    <w:rsid w:val="00AD0E2E"/>
    <w:rsid w:val="00AD103B"/>
    <w:rsid w:val="00AD10F2"/>
    <w:rsid w:val="00AD1199"/>
    <w:rsid w:val="00AD14A1"/>
    <w:rsid w:val="00AD14C4"/>
    <w:rsid w:val="00AD168E"/>
    <w:rsid w:val="00AD16BB"/>
    <w:rsid w:val="00AD1712"/>
    <w:rsid w:val="00AD17B9"/>
    <w:rsid w:val="00AD1864"/>
    <w:rsid w:val="00AD1A8F"/>
    <w:rsid w:val="00AD1B33"/>
    <w:rsid w:val="00AD1B40"/>
    <w:rsid w:val="00AD1B42"/>
    <w:rsid w:val="00AD1BFA"/>
    <w:rsid w:val="00AD1FB6"/>
    <w:rsid w:val="00AD2062"/>
    <w:rsid w:val="00AD2080"/>
    <w:rsid w:val="00AD2096"/>
    <w:rsid w:val="00AD2303"/>
    <w:rsid w:val="00AD230D"/>
    <w:rsid w:val="00AD2483"/>
    <w:rsid w:val="00AD2533"/>
    <w:rsid w:val="00AD2990"/>
    <w:rsid w:val="00AD2A38"/>
    <w:rsid w:val="00AD2A64"/>
    <w:rsid w:val="00AD2AD9"/>
    <w:rsid w:val="00AD2D28"/>
    <w:rsid w:val="00AD2F4A"/>
    <w:rsid w:val="00AD2FBF"/>
    <w:rsid w:val="00AD30CC"/>
    <w:rsid w:val="00AD30DC"/>
    <w:rsid w:val="00AD30FE"/>
    <w:rsid w:val="00AD33C4"/>
    <w:rsid w:val="00AD34B4"/>
    <w:rsid w:val="00AD375E"/>
    <w:rsid w:val="00AD3A10"/>
    <w:rsid w:val="00AD3BC9"/>
    <w:rsid w:val="00AD3C38"/>
    <w:rsid w:val="00AD3D00"/>
    <w:rsid w:val="00AD405E"/>
    <w:rsid w:val="00AD407B"/>
    <w:rsid w:val="00AD4218"/>
    <w:rsid w:val="00AD44DC"/>
    <w:rsid w:val="00AD44E7"/>
    <w:rsid w:val="00AD450B"/>
    <w:rsid w:val="00AD45B5"/>
    <w:rsid w:val="00AD4603"/>
    <w:rsid w:val="00AD4931"/>
    <w:rsid w:val="00AD4ACA"/>
    <w:rsid w:val="00AD4B0C"/>
    <w:rsid w:val="00AD4B5D"/>
    <w:rsid w:val="00AD4E2C"/>
    <w:rsid w:val="00AD4EBF"/>
    <w:rsid w:val="00AD4FAE"/>
    <w:rsid w:val="00AD501B"/>
    <w:rsid w:val="00AD50DE"/>
    <w:rsid w:val="00AD5195"/>
    <w:rsid w:val="00AD5329"/>
    <w:rsid w:val="00AD592E"/>
    <w:rsid w:val="00AD59ED"/>
    <w:rsid w:val="00AD5A14"/>
    <w:rsid w:val="00AD5B62"/>
    <w:rsid w:val="00AD5C8A"/>
    <w:rsid w:val="00AD5CB9"/>
    <w:rsid w:val="00AD5CF7"/>
    <w:rsid w:val="00AD5F7C"/>
    <w:rsid w:val="00AD61B3"/>
    <w:rsid w:val="00AD63A4"/>
    <w:rsid w:val="00AD65BC"/>
    <w:rsid w:val="00AD681D"/>
    <w:rsid w:val="00AD68DA"/>
    <w:rsid w:val="00AD699B"/>
    <w:rsid w:val="00AD6AFD"/>
    <w:rsid w:val="00AD6B65"/>
    <w:rsid w:val="00AD6CB6"/>
    <w:rsid w:val="00AD6D93"/>
    <w:rsid w:val="00AD73EA"/>
    <w:rsid w:val="00AD7456"/>
    <w:rsid w:val="00AD74F4"/>
    <w:rsid w:val="00AD768F"/>
    <w:rsid w:val="00AD777F"/>
    <w:rsid w:val="00AD791A"/>
    <w:rsid w:val="00AD7925"/>
    <w:rsid w:val="00AD7A08"/>
    <w:rsid w:val="00AD7EA5"/>
    <w:rsid w:val="00AD7EDA"/>
    <w:rsid w:val="00AE0016"/>
    <w:rsid w:val="00AE0101"/>
    <w:rsid w:val="00AE01EC"/>
    <w:rsid w:val="00AE037E"/>
    <w:rsid w:val="00AE046A"/>
    <w:rsid w:val="00AE046E"/>
    <w:rsid w:val="00AE05D4"/>
    <w:rsid w:val="00AE0663"/>
    <w:rsid w:val="00AE0B8C"/>
    <w:rsid w:val="00AE0E5E"/>
    <w:rsid w:val="00AE0F35"/>
    <w:rsid w:val="00AE0FB5"/>
    <w:rsid w:val="00AE0FEC"/>
    <w:rsid w:val="00AE0FEF"/>
    <w:rsid w:val="00AE10FB"/>
    <w:rsid w:val="00AE1121"/>
    <w:rsid w:val="00AE11B3"/>
    <w:rsid w:val="00AE1253"/>
    <w:rsid w:val="00AE1258"/>
    <w:rsid w:val="00AE1516"/>
    <w:rsid w:val="00AE1590"/>
    <w:rsid w:val="00AE15E9"/>
    <w:rsid w:val="00AE1809"/>
    <w:rsid w:val="00AE183E"/>
    <w:rsid w:val="00AE1843"/>
    <w:rsid w:val="00AE1EA5"/>
    <w:rsid w:val="00AE23F5"/>
    <w:rsid w:val="00AE24E4"/>
    <w:rsid w:val="00AE25A5"/>
    <w:rsid w:val="00AE2693"/>
    <w:rsid w:val="00AE277E"/>
    <w:rsid w:val="00AE29F4"/>
    <w:rsid w:val="00AE2AFD"/>
    <w:rsid w:val="00AE2B74"/>
    <w:rsid w:val="00AE2B78"/>
    <w:rsid w:val="00AE2B79"/>
    <w:rsid w:val="00AE2C87"/>
    <w:rsid w:val="00AE2F66"/>
    <w:rsid w:val="00AE2FA8"/>
    <w:rsid w:val="00AE300E"/>
    <w:rsid w:val="00AE3034"/>
    <w:rsid w:val="00AE30F0"/>
    <w:rsid w:val="00AE316E"/>
    <w:rsid w:val="00AE343B"/>
    <w:rsid w:val="00AE3481"/>
    <w:rsid w:val="00AE348D"/>
    <w:rsid w:val="00AE36C2"/>
    <w:rsid w:val="00AE38B9"/>
    <w:rsid w:val="00AE3A76"/>
    <w:rsid w:val="00AE3A81"/>
    <w:rsid w:val="00AE3D5F"/>
    <w:rsid w:val="00AE3E84"/>
    <w:rsid w:val="00AE3ECE"/>
    <w:rsid w:val="00AE40E6"/>
    <w:rsid w:val="00AE4287"/>
    <w:rsid w:val="00AE44DE"/>
    <w:rsid w:val="00AE4521"/>
    <w:rsid w:val="00AE4533"/>
    <w:rsid w:val="00AE467A"/>
    <w:rsid w:val="00AE4743"/>
    <w:rsid w:val="00AE476D"/>
    <w:rsid w:val="00AE47B3"/>
    <w:rsid w:val="00AE491D"/>
    <w:rsid w:val="00AE491E"/>
    <w:rsid w:val="00AE49A0"/>
    <w:rsid w:val="00AE49FD"/>
    <w:rsid w:val="00AE4B3C"/>
    <w:rsid w:val="00AE4CAC"/>
    <w:rsid w:val="00AE4CF1"/>
    <w:rsid w:val="00AE4CF9"/>
    <w:rsid w:val="00AE4D8C"/>
    <w:rsid w:val="00AE4E78"/>
    <w:rsid w:val="00AE4EAD"/>
    <w:rsid w:val="00AE4FC5"/>
    <w:rsid w:val="00AE4FD5"/>
    <w:rsid w:val="00AE5178"/>
    <w:rsid w:val="00AE51B1"/>
    <w:rsid w:val="00AE532A"/>
    <w:rsid w:val="00AE534F"/>
    <w:rsid w:val="00AE539C"/>
    <w:rsid w:val="00AE53E0"/>
    <w:rsid w:val="00AE53E3"/>
    <w:rsid w:val="00AE54FB"/>
    <w:rsid w:val="00AE5603"/>
    <w:rsid w:val="00AE5680"/>
    <w:rsid w:val="00AE56C7"/>
    <w:rsid w:val="00AE571C"/>
    <w:rsid w:val="00AE57E0"/>
    <w:rsid w:val="00AE58CB"/>
    <w:rsid w:val="00AE58E2"/>
    <w:rsid w:val="00AE599D"/>
    <w:rsid w:val="00AE59F9"/>
    <w:rsid w:val="00AE5B0B"/>
    <w:rsid w:val="00AE5E91"/>
    <w:rsid w:val="00AE610E"/>
    <w:rsid w:val="00AE61B4"/>
    <w:rsid w:val="00AE62D0"/>
    <w:rsid w:val="00AE62D1"/>
    <w:rsid w:val="00AE6569"/>
    <w:rsid w:val="00AE6589"/>
    <w:rsid w:val="00AE65DF"/>
    <w:rsid w:val="00AE6643"/>
    <w:rsid w:val="00AE66E9"/>
    <w:rsid w:val="00AE68D6"/>
    <w:rsid w:val="00AE69DE"/>
    <w:rsid w:val="00AE6A56"/>
    <w:rsid w:val="00AE6C42"/>
    <w:rsid w:val="00AE6C75"/>
    <w:rsid w:val="00AE6C82"/>
    <w:rsid w:val="00AE6D2A"/>
    <w:rsid w:val="00AE6D83"/>
    <w:rsid w:val="00AE6EF6"/>
    <w:rsid w:val="00AE74D8"/>
    <w:rsid w:val="00AE75B0"/>
    <w:rsid w:val="00AE76DF"/>
    <w:rsid w:val="00AE7735"/>
    <w:rsid w:val="00AE7876"/>
    <w:rsid w:val="00AE792E"/>
    <w:rsid w:val="00AE796D"/>
    <w:rsid w:val="00AE7CAF"/>
    <w:rsid w:val="00AE7CB4"/>
    <w:rsid w:val="00AE7D82"/>
    <w:rsid w:val="00AF026A"/>
    <w:rsid w:val="00AF0461"/>
    <w:rsid w:val="00AF051F"/>
    <w:rsid w:val="00AF06CF"/>
    <w:rsid w:val="00AF08A2"/>
    <w:rsid w:val="00AF0BB7"/>
    <w:rsid w:val="00AF0BD5"/>
    <w:rsid w:val="00AF0C5E"/>
    <w:rsid w:val="00AF0D04"/>
    <w:rsid w:val="00AF0D13"/>
    <w:rsid w:val="00AF0F83"/>
    <w:rsid w:val="00AF0FEB"/>
    <w:rsid w:val="00AF10D0"/>
    <w:rsid w:val="00AF10EE"/>
    <w:rsid w:val="00AF1161"/>
    <w:rsid w:val="00AF129B"/>
    <w:rsid w:val="00AF12DA"/>
    <w:rsid w:val="00AF1315"/>
    <w:rsid w:val="00AF1639"/>
    <w:rsid w:val="00AF1680"/>
    <w:rsid w:val="00AF184A"/>
    <w:rsid w:val="00AF1851"/>
    <w:rsid w:val="00AF1853"/>
    <w:rsid w:val="00AF1928"/>
    <w:rsid w:val="00AF1A3F"/>
    <w:rsid w:val="00AF1A90"/>
    <w:rsid w:val="00AF1B64"/>
    <w:rsid w:val="00AF1BF6"/>
    <w:rsid w:val="00AF1C67"/>
    <w:rsid w:val="00AF1FDD"/>
    <w:rsid w:val="00AF21D8"/>
    <w:rsid w:val="00AF232A"/>
    <w:rsid w:val="00AF2579"/>
    <w:rsid w:val="00AF25E0"/>
    <w:rsid w:val="00AF2679"/>
    <w:rsid w:val="00AF267B"/>
    <w:rsid w:val="00AF2720"/>
    <w:rsid w:val="00AF276A"/>
    <w:rsid w:val="00AF27E1"/>
    <w:rsid w:val="00AF2AB1"/>
    <w:rsid w:val="00AF2B19"/>
    <w:rsid w:val="00AF2B30"/>
    <w:rsid w:val="00AF2B39"/>
    <w:rsid w:val="00AF2B64"/>
    <w:rsid w:val="00AF2BEC"/>
    <w:rsid w:val="00AF2CF1"/>
    <w:rsid w:val="00AF2ED4"/>
    <w:rsid w:val="00AF3018"/>
    <w:rsid w:val="00AF30A0"/>
    <w:rsid w:val="00AF30B8"/>
    <w:rsid w:val="00AF30D9"/>
    <w:rsid w:val="00AF32FD"/>
    <w:rsid w:val="00AF36AB"/>
    <w:rsid w:val="00AF36F2"/>
    <w:rsid w:val="00AF3827"/>
    <w:rsid w:val="00AF39F0"/>
    <w:rsid w:val="00AF3AA5"/>
    <w:rsid w:val="00AF3C47"/>
    <w:rsid w:val="00AF3FA1"/>
    <w:rsid w:val="00AF40E7"/>
    <w:rsid w:val="00AF426A"/>
    <w:rsid w:val="00AF43A7"/>
    <w:rsid w:val="00AF4512"/>
    <w:rsid w:val="00AF47D0"/>
    <w:rsid w:val="00AF4AFA"/>
    <w:rsid w:val="00AF4D6C"/>
    <w:rsid w:val="00AF4DB8"/>
    <w:rsid w:val="00AF4DBB"/>
    <w:rsid w:val="00AF4EAB"/>
    <w:rsid w:val="00AF4F2B"/>
    <w:rsid w:val="00AF4F70"/>
    <w:rsid w:val="00AF4F97"/>
    <w:rsid w:val="00AF4FAA"/>
    <w:rsid w:val="00AF5104"/>
    <w:rsid w:val="00AF513D"/>
    <w:rsid w:val="00AF5281"/>
    <w:rsid w:val="00AF541E"/>
    <w:rsid w:val="00AF5538"/>
    <w:rsid w:val="00AF57C0"/>
    <w:rsid w:val="00AF5808"/>
    <w:rsid w:val="00AF589C"/>
    <w:rsid w:val="00AF5B73"/>
    <w:rsid w:val="00AF5B7E"/>
    <w:rsid w:val="00AF5D13"/>
    <w:rsid w:val="00AF5DC4"/>
    <w:rsid w:val="00AF5E3B"/>
    <w:rsid w:val="00AF5E6F"/>
    <w:rsid w:val="00AF5EED"/>
    <w:rsid w:val="00AF5F7E"/>
    <w:rsid w:val="00AF609B"/>
    <w:rsid w:val="00AF60FB"/>
    <w:rsid w:val="00AF61AF"/>
    <w:rsid w:val="00AF62D6"/>
    <w:rsid w:val="00AF648D"/>
    <w:rsid w:val="00AF64D4"/>
    <w:rsid w:val="00AF6603"/>
    <w:rsid w:val="00AF66E2"/>
    <w:rsid w:val="00AF68A7"/>
    <w:rsid w:val="00AF6A13"/>
    <w:rsid w:val="00AF6BDD"/>
    <w:rsid w:val="00AF6C67"/>
    <w:rsid w:val="00AF6E9F"/>
    <w:rsid w:val="00AF70FF"/>
    <w:rsid w:val="00AF7196"/>
    <w:rsid w:val="00AF734C"/>
    <w:rsid w:val="00AF73AD"/>
    <w:rsid w:val="00AF73EE"/>
    <w:rsid w:val="00AF73F2"/>
    <w:rsid w:val="00AF74FF"/>
    <w:rsid w:val="00AF75F3"/>
    <w:rsid w:val="00AF76FB"/>
    <w:rsid w:val="00AF771C"/>
    <w:rsid w:val="00AF77F5"/>
    <w:rsid w:val="00AF7B6B"/>
    <w:rsid w:val="00AF7DA8"/>
    <w:rsid w:val="00AF7E2C"/>
    <w:rsid w:val="00AF7ED0"/>
    <w:rsid w:val="00AF7FA9"/>
    <w:rsid w:val="00AF7FD3"/>
    <w:rsid w:val="00B0004B"/>
    <w:rsid w:val="00B006CA"/>
    <w:rsid w:val="00B0080E"/>
    <w:rsid w:val="00B00BE7"/>
    <w:rsid w:val="00B00BEF"/>
    <w:rsid w:val="00B00C10"/>
    <w:rsid w:val="00B00C4A"/>
    <w:rsid w:val="00B00C59"/>
    <w:rsid w:val="00B00CBC"/>
    <w:rsid w:val="00B00DA2"/>
    <w:rsid w:val="00B00DCF"/>
    <w:rsid w:val="00B00F1E"/>
    <w:rsid w:val="00B00F82"/>
    <w:rsid w:val="00B014D3"/>
    <w:rsid w:val="00B014DE"/>
    <w:rsid w:val="00B01567"/>
    <w:rsid w:val="00B0166B"/>
    <w:rsid w:val="00B01690"/>
    <w:rsid w:val="00B0176C"/>
    <w:rsid w:val="00B01B02"/>
    <w:rsid w:val="00B01CC0"/>
    <w:rsid w:val="00B01D1C"/>
    <w:rsid w:val="00B020CD"/>
    <w:rsid w:val="00B02161"/>
    <w:rsid w:val="00B02195"/>
    <w:rsid w:val="00B0228C"/>
    <w:rsid w:val="00B02356"/>
    <w:rsid w:val="00B02364"/>
    <w:rsid w:val="00B023E7"/>
    <w:rsid w:val="00B024A9"/>
    <w:rsid w:val="00B024F2"/>
    <w:rsid w:val="00B024FE"/>
    <w:rsid w:val="00B02797"/>
    <w:rsid w:val="00B027DE"/>
    <w:rsid w:val="00B02964"/>
    <w:rsid w:val="00B02A2E"/>
    <w:rsid w:val="00B02C3F"/>
    <w:rsid w:val="00B02D2E"/>
    <w:rsid w:val="00B02DCD"/>
    <w:rsid w:val="00B02E40"/>
    <w:rsid w:val="00B02E4B"/>
    <w:rsid w:val="00B02EE4"/>
    <w:rsid w:val="00B02F65"/>
    <w:rsid w:val="00B02FF1"/>
    <w:rsid w:val="00B03151"/>
    <w:rsid w:val="00B031FD"/>
    <w:rsid w:val="00B03281"/>
    <w:rsid w:val="00B0329A"/>
    <w:rsid w:val="00B032C6"/>
    <w:rsid w:val="00B033CA"/>
    <w:rsid w:val="00B03448"/>
    <w:rsid w:val="00B0351F"/>
    <w:rsid w:val="00B035A6"/>
    <w:rsid w:val="00B03652"/>
    <w:rsid w:val="00B03979"/>
    <w:rsid w:val="00B039A1"/>
    <w:rsid w:val="00B039BC"/>
    <w:rsid w:val="00B03A06"/>
    <w:rsid w:val="00B03C08"/>
    <w:rsid w:val="00B03C38"/>
    <w:rsid w:val="00B03C3B"/>
    <w:rsid w:val="00B03D6C"/>
    <w:rsid w:val="00B03E4A"/>
    <w:rsid w:val="00B03E9E"/>
    <w:rsid w:val="00B03F29"/>
    <w:rsid w:val="00B04148"/>
    <w:rsid w:val="00B041FE"/>
    <w:rsid w:val="00B04240"/>
    <w:rsid w:val="00B04324"/>
    <w:rsid w:val="00B04368"/>
    <w:rsid w:val="00B04528"/>
    <w:rsid w:val="00B04575"/>
    <w:rsid w:val="00B04584"/>
    <w:rsid w:val="00B045C1"/>
    <w:rsid w:val="00B047B8"/>
    <w:rsid w:val="00B0485A"/>
    <w:rsid w:val="00B04863"/>
    <w:rsid w:val="00B04935"/>
    <w:rsid w:val="00B049A1"/>
    <w:rsid w:val="00B04BB9"/>
    <w:rsid w:val="00B04C87"/>
    <w:rsid w:val="00B04E21"/>
    <w:rsid w:val="00B04E7E"/>
    <w:rsid w:val="00B04F42"/>
    <w:rsid w:val="00B050D7"/>
    <w:rsid w:val="00B050E8"/>
    <w:rsid w:val="00B051A6"/>
    <w:rsid w:val="00B052BB"/>
    <w:rsid w:val="00B05358"/>
    <w:rsid w:val="00B053F4"/>
    <w:rsid w:val="00B0542A"/>
    <w:rsid w:val="00B05536"/>
    <w:rsid w:val="00B05588"/>
    <w:rsid w:val="00B05654"/>
    <w:rsid w:val="00B05732"/>
    <w:rsid w:val="00B058F4"/>
    <w:rsid w:val="00B0590B"/>
    <w:rsid w:val="00B05A75"/>
    <w:rsid w:val="00B05A81"/>
    <w:rsid w:val="00B05B87"/>
    <w:rsid w:val="00B05C5E"/>
    <w:rsid w:val="00B05D95"/>
    <w:rsid w:val="00B05E3E"/>
    <w:rsid w:val="00B06158"/>
    <w:rsid w:val="00B06317"/>
    <w:rsid w:val="00B065C6"/>
    <w:rsid w:val="00B066AE"/>
    <w:rsid w:val="00B066BC"/>
    <w:rsid w:val="00B066E2"/>
    <w:rsid w:val="00B0670B"/>
    <w:rsid w:val="00B06787"/>
    <w:rsid w:val="00B067A6"/>
    <w:rsid w:val="00B069C2"/>
    <w:rsid w:val="00B069F8"/>
    <w:rsid w:val="00B06AC2"/>
    <w:rsid w:val="00B06C2B"/>
    <w:rsid w:val="00B06D05"/>
    <w:rsid w:val="00B06D08"/>
    <w:rsid w:val="00B06EBC"/>
    <w:rsid w:val="00B0705E"/>
    <w:rsid w:val="00B07076"/>
    <w:rsid w:val="00B070A4"/>
    <w:rsid w:val="00B0721B"/>
    <w:rsid w:val="00B07223"/>
    <w:rsid w:val="00B07232"/>
    <w:rsid w:val="00B0736D"/>
    <w:rsid w:val="00B073B8"/>
    <w:rsid w:val="00B07514"/>
    <w:rsid w:val="00B0759C"/>
    <w:rsid w:val="00B07625"/>
    <w:rsid w:val="00B076C0"/>
    <w:rsid w:val="00B076E0"/>
    <w:rsid w:val="00B078DA"/>
    <w:rsid w:val="00B07922"/>
    <w:rsid w:val="00B07A97"/>
    <w:rsid w:val="00B07BCB"/>
    <w:rsid w:val="00B07C82"/>
    <w:rsid w:val="00B07D2B"/>
    <w:rsid w:val="00B07DAC"/>
    <w:rsid w:val="00B07EC2"/>
    <w:rsid w:val="00B10075"/>
    <w:rsid w:val="00B10169"/>
    <w:rsid w:val="00B10267"/>
    <w:rsid w:val="00B1026A"/>
    <w:rsid w:val="00B1046B"/>
    <w:rsid w:val="00B104B7"/>
    <w:rsid w:val="00B1053F"/>
    <w:rsid w:val="00B10591"/>
    <w:rsid w:val="00B105B0"/>
    <w:rsid w:val="00B105BB"/>
    <w:rsid w:val="00B1061E"/>
    <w:rsid w:val="00B10858"/>
    <w:rsid w:val="00B108A0"/>
    <w:rsid w:val="00B10A0C"/>
    <w:rsid w:val="00B10A28"/>
    <w:rsid w:val="00B10D90"/>
    <w:rsid w:val="00B10F1D"/>
    <w:rsid w:val="00B110D9"/>
    <w:rsid w:val="00B11256"/>
    <w:rsid w:val="00B1139B"/>
    <w:rsid w:val="00B1192B"/>
    <w:rsid w:val="00B1197E"/>
    <w:rsid w:val="00B11AC3"/>
    <w:rsid w:val="00B11AC5"/>
    <w:rsid w:val="00B11C0A"/>
    <w:rsid w:val="00B11C96"/>
    <w:rsid w:val="00B11D57"/>
    <w:rsid w:val="00B11F4C"/>
    <w:rsid w:val="00B120CC"/>
    <w:rsid w:val="00B120DF"/>
    <w:rsid w:val="00B12289"/>
    <w:rsid w:val="00B12299"/>
    <w:rsid w:val="00B123E9"/>
    <w:rsid w:val="00B12667"/>
    <w:rsid w:val="00B12869"/>
    <w:rsid w:val="00B12A0A"/>
    <w:rsid w:val="00B12A1F"/>
    <w:rsid w:val="00B12B1A"/>
    <w:rsid w:val="00B12BFA"/>
    <w:rsid w:val="00B12E4A"/>
    <w:rsid w:val="00B12EDE"/>
    <w:rsid w:val="00B12F3C"/>
    <w:rsid w:val="00B130D1"/>
    <w:rsid w:val="00B1332F"/>
    <w:rsid w:val="00B13332"/>
    <w:rsid w:val="00B1368F"/>
    <w:rsid w:val="00B139F4"/>
    <w:rsid w:val="00B13A1D"/>
    <w:rsid w:val="00B13B67"/>
    <w:rsid w:val="00B13B89"/>
    <w:rsid w:val="00B13D3A"/>
    <w:rsid w:val="00B13F11"/>
    <w:rsid w:val="00B13F62"/>
    <w:rsid w:val="00B13F6D"/>
    <w:rsid w:val="00B13FBE"/>
    <w:rsid w:val="00B141F8"/>
    <w:rsid w:val="00B142C4"/>
    <w:rsid w:val="00B144D2"/>
    <w:rsid w:val="00B1453B"/>
    <w:rsid w:val="00B145AE"/>
    <w:rsid w:val="00B147FB"/>
    <w:rsid w:val="00B14940"/>
    <w:rsid w:val="00B14F7A"/>
    <w:rsid w:val="00B1508C"/>
    <w:rsid w:val="00B152AA"/>
    <w:rsid w:val="00B1537D"/>
    <w:rsid w:val="00B15447"/>
    <w:rsid w:val="00B154F6"/>
    <w:rsid w:val="00B158FC"/>
    <w:rsid w:val="00B15A1C"/>
    <w:rsid w:val="00B15C30"/>
    <w:rsid w:val="00B15D73"/>
    <w:rsid w:val="00B15E85"/>
    <w:rsid w:val="00B16024"/>
    <w:rsid w:val="00B16036"/>
    <w:rsid w:val="00B16122"/>
    <w:rsid w:val="00B1615B"/>
    <w:rsid w:val="00B1644C"/>
    <w:rsid w:val="00B16498"/>
    <w:rsid w:val="00B16664"/>
    <w:rsid w:val="00B1668B"/>
    <w:rsid w:val="00B167BB"/>
    <w:rsid w:val="00B167C3"/>
    <w:rsid w:val="00B168F1"/>
    <w:rsid w:val="00B16914"/>
    <w:rsid w:val="00B16AA8"/>
    <w:rsid w:val="00B16B1F"/>
    <w:rsid w:val="00B16B3D"/>
    <w:rsid w:val="00B16D68"/>
    <w:rsid w:val="00B16D9B"/>
    <w:rsid w:val="00B16FAD"/>
    <w:rsid w:val="00B17084"/>
    <w:rsid w:val="00B1727C"/>
    <w:rsid w:val="00B17329"/>
    <w:rsid w:val="00B173C2"/>
    <w:rsid w:val="00B1750D"/>
    <w:rsid w:val="00B1756C"/>
    <w:rsid w:val="00B175E4"/>
    <w:rsid w:val="00B17666"/>
    <w:rsid w:val="00B17693"/>
    <w:rsid w:val="00B178D1"/>
    <w:rsid w:val="00B17956"/>
    <w:rsid w:val="00B17A99"/>
    <w:rsid w:val="00B17BC6"/>
    <w:rsid w:val="00B17ED0"/>
    <w:rsid w:val="00B20214"/>
    <w:rsid w:val="00B20226"/>
    <w:rsid w:val="00B20323"/>
    <w:rsid w:val="00B20339"/>
    <w:rsid w:val="00B205D5"/>
    <w:rsid w:val="00B206FB"/>
    <w:rsid w:val="00B208C8"/>
    <w:rsid w:val="00B208DF"/>
    <w:rsid w:val="00B2093B"/>
    <w:rsid w:val="00B20A7D"/>
    <w:rsid w:val="00B20B45"/>
    <w:rsid w:val="00B20BD4"/>
    <w:rsid w:val="00B20BFE"/>
    <w:rsid w:val="00B20C0E"/>
    <w:rsid w:val="00B20C2A"/>
    <w:rsid w:val="00B20E0D"/>
    <w:rsid w:val="00B20E1E"/>
    <w:rsid w:val="00B20F94"/>
    <w:rsid w:val="00B211B4"/>
    <w:rsid w:val="00B211EE"/>
    <w:rsid w:val="00B212ED"/>
    <w:rsid w:val="00B21349"/>
    <w:rsid w:val="00B2140A"/>
    <w:rsid w:val="00B2157A"/>
    <w:rsid w:val="00B21734"/>
    <w:rsid w:val="00B217F8"/>
    <w:rsid w:val="00B21852"/>
    <w:rsid w:val="00B21899"/>
    <w:rsid w:val="00B218D4"/>
    <w:rsid w:val="00B21EE4"/>
    <w:rsid w:val="00B2205B"/>
    <w:rsid w:val="00B220BF"/>
    <w:rsid w:val="00B22275"/>
    <w:rsid w:val="00B222EC"/>
    <w:rsid w:val="00B2234E"/>
    <w:rsid w:val="00B22452"/>
    <w:rsid w:val="00B224FE"/>
    <w:rsid w:val="00B225EC"/>
    <w:rsid w:val="00B22989"/>
    <w:rsid w:val="00B229DB"/>
    <w:rsid w:val="00B22B36"/>
    <w:rsid w:val="00B22DA9"/>
    <w:rsid w:val="00B22DEB"/>
    <w:rsid w:val="00B230FD"/>
    <w:rsid w:val="00B23138"/>
    <w:rsid w:val="00B232DD"/>
    <w:rsid w:val="00B232E6"/>
    <w:rsid w:val="00B23369"/>
    <w:rsid w:val="00B2342F"/>
    <w:rsid w:val="00B23443"/>
    <w:rsid w:val="00B2345F"/>
    <w:rsid w:val="00B23522"/>
    <w:rsid w:val="00B23640"/>
    <w:rsid w:val="00B237C8"/>
    <w:rsid w:val="00B2389A"/>
    <w:rsid w:val="00B239E9"/>
    <w:rsid w:val="00B23D65"/>
    <w:rsid w:val="00B23ED6"/>
    <w:rsid w:val="00B23F11"/>
    <w:rsid w:val="00B2403A"/>
    <w:rsid w:val="00B242F3"/>
    <w:rsid w:val="00B243A9"/>
    <w:rsid w:val="00B243D1"/>
    <w:rsid w:val="00B24533"/>
    <w:rsid w:val="00B2459C"/>
    <w:rsid w:val="00B248DE"/>
    <w:rsid w:val="00B24C64"/>
    <w:rsid w:val="00B24CC0"/>
    <w:rsid w:val="00B24CD0"/>
    <w:rsid w:val="00B24D5C"/>
    <w:rsid w:val="00B24EE6"/>
    <w:rsid w:val="00B250A7"/>
    <w:rsid w:val="00B2525D"/>
    <w:rsid w:val="00B252B9"/>
    <w:rsid w:val="00B2547E"/>
    <w:rsid w:val="00B254AA"/>
    <w:rsid w:val="00B25609"/>
    <w:rsid w:val="00B2560A"/>
    <w:rsid w:val="00B25675"/>
    <w:rsid w:val="00B2570B"/>
    <w:rsid w:val="00B25767"/>
    <w:rsid w:val="00B2583C"/>
    <w:rsid w:val="00B258E2"/>
    <w:rsid w:val="00B259C9"/>
    <w:rsid w:val="00B25A53"/>
    <w:rsid w:val="00B25ACF"/>
    <w:rsid w:val="00B25C6B"/>
    <w:rsid w:val="00B25E19"/>
    <w:rsid w:val="00B25E69"/>
    <w:rsid w:val="00B25E85"/>
    <w:rsid w:val="00B25F80"/>
    <w:rsid w:val="00B25FD8"/>
    <w:rsid w:val="00B2605F"/>
    <w:rsid w:val="00B2621F"/>
    <w:rsid w:val="00B26278"/>
    <w:rsid w:val="00B262F5"/>
    <w:rsid w:val="00B263D2"/>
    <w:rsid w:val="00B2669A"/>
    <w:rsid w:val="00B2673D"/>
    <w:rsid w:val="00B2676B"/>
    <w:rsid w:val="00B26877"/>
    <w:rsid w:val="00B26A05"/>
    <w:rsid w:val="00B26C0C"/>
    <w:rsid w:val="00B26C49"/>
    <w:rsid w:val="00B26F69"/>
    <w:rsid w:val="00B27045"/>
    <w:rsid w:val="00B27327"/>
    <w:rsid w:val="00B2743E"/>
    <w:rsid w:val="00B278AE"/>
    <w:rsid w:val="00B27A26"/>
    <w:rsid w:val="00B27BB6"/>
    <w:rsid w:val="00B27CBF"/>
    <w:rsid w:val="00B30017"/>
    <w:rsid w:val="00B301B5"/>
    <w:rsid w:val="00B30374"/>
    <w:rsid w:val="00B30435"/>
    <w:rsid w:val="00B3045A"/>
    <w:rsid w:val="00B304CF"/>
    <w:rsid w:val="00B305B6"/>
    <w:rsid w:val="00B305E4"/>
    <w:rsid w:val="00B306D3"/>
    <w:rsid w:val="00B3073E"/>
    <w:rsid w:val="00B307AA"/>
    <w:rsid w:val="00B30960"/>
    <w:rsid w:val="00B30D20"/>
    <w:rsid w:val="00B30D4E"/>
    <w:rsid w:val="00B30EFF"/>
    <w:rsid w:val="00B31139"/>
    <w:rsid w:val="00B317F8"/>
    <w:rsid w:val="00B31919"/>
    <w:rsid w:val="00B31A43"/>
    <w:rsid w:val="00B31A72"/>
    <w:rsid w:val="00B31AEC"/>
    <w:rsid w:val="00B31D1E"/>
    <w:rsid w:val="00B31D65"/>
    <w:rsid w:val="00B31F80"/>
    <w:rsid w:val="00B31FF2"/>
    <w:rsid w:val="00B323FD"/>
    <w:rsid w:val="00B32670"/>
    <w:rsid w:val="00B32707"/>
    <w:rsid w:val="00B32A38"/>
    <w:rsid w:val="00B32A7A"/>
    <w:rsid w:val="00B32AF2"/>
    <w:rsid w:val="00B32AF4"/>
    <w:rsid w:val="00B32C09"/>
    <w:rsid w:val="00B32D3F"/>
    <w:rsid w:val="00B32D5A"/>
    <w:rsid w:val="00B32E49"/>
    <w:rsid w:val="00B32EF4"/>
    <w:rsid w:val="00B32F52"/>
    <w:rsid w:val="00B33040"/>
    <w:rsid w:val="00B331A6"/>
    <w:rsid w:val="00B332C1"/>
    <w:rsid w:val="00B332FE"/>
    <w:rsid w:val="00B3336D"/>
    <w:rsid w:val="00B3356A"/>
    <w:rsid w:val="00B335A0"/>
    <w:rsid w:val="00B3367B"/>
    <w:rsid w:val="00B33879"/>
    <w:rsid w:val="00B33A1F"/>
    <w:rsid w:val="00B33B14"/>
    <w:rsid w:val="00B33C2F"/>
    <w:rsid w:val="00B33DCA"/>
    <w:rsid w:val="00B33E94"/>
    <w:rsid w:val="00B33FB5"/>
    <w:rsid w:val="00B341B2"/>
    <w:rsid w:val="00B3458C"/>
    <w:rsid w:val="00B346ED"/>
    <w:rsid w:val="00B34719"/>
    <w:rsid w:val="00B349DD"/>
    <w:rsid w:val="00B349EE"/>
    <w:rsid w:val="00B34CE5"/>
    <w:rsid w:val="00B34DEF"/>
    <w:rsid w:val="00B34FFF"/>
    <w:rsid w:val="00B35009"/>
    <w:rsid w:val="00B3500A"/>
    <w:rsid w:val="00B350F4"/>
    <w:rsid w:val="00B35192"/>
    <w:rsid w:val="00B3520C"/>
    <w:rsid w:val="00B35276"/>
    <w:rsid w:val="00B35353"/>
    <w:rsid w:val="00B35469"/>
    <w:rsid w:val="00B35565"/>
    <w:rsid w:val="00B3556D"/>
    <w:rsid w:val="00B356B9"/>
    <w:rsid w:val="00B35BD3"/>
    <w:rsid w:val="00B35D52"/>
    <w:rsid w:val="00B35D8F"/>
    <w:rsid w:val="00B35EF2"/>
    <w:rsid w:val="00B36038"/>
    <w:rsid w:val="00B36176"/>
    <w:rsid w:val="00B361AC"/>
    <w:rsid w:val="00B36206"/>
    <w:rsid w:val="00B362D3"/>
    <w:rsid w:val="00B362F7"/>
    <w:rsid w:val="00B36352"/>
    <w:rsid w:val="00B364AA"/>
    <w:rsid w:val="00B36548"/>
    <w:rsid w:val="00B365C0"/>
    <w:rsid w:val="00B36644"/>
    <w:rsid w:val="00B36810"/>
    <w:rsid w:val="00B369B7"/>
    <w:rsid w:val="00B369BE"/>
    <w:rsid w:val="00B36A15"/>
    <w:rsid w:val="00B36A59"/>
    <w:rsid w:val="00B36AE5"/>
    <w:rsid w:val="00B36B5D"/>
    <w:rsid w:val="00B36D30"/>
    <w:rsid w:val="00B36F99"/>
    <w:rsid w:val="00B36FED"/>
    <w:rsid w:val="00B376F0"/>
    <w:rsid w:val="00B378E5"/>
    <w:rsid w:val="00B37B3F"/>
    <w:rsid w:val="00B37B45"/>
    <w:rsid w:val="00B37E87"/>
    <w:rsid w:val="00B37E96"/>
    <w:rsid w:val="00B37EF1"/>
    <w:rsid w:val="00B40102"/>
    <w:rsid w:val="00B4013C"/>
    <w:rsid w:val="00B40186"/>
    <w:rsid w:val="00B4027F"/>
    <w:rsid w:val="00B402E1"/>
    <w:rsid w:val="00B40639"/>
    <w:rsid w:val="00B4065A"/>
    <w:rsid w:val="00B4066E"/>
    <w:rsid w:val="00B40751"/>
    <w:rsid w:val="00B40B9D"/>
    <w:rsid w:val="00B40BC2"/>
    <w:rsid w:val="00B40C1F"/>
    <w:rsid w:val="00B40D33"/>
    <w:rsid w:val="00B40E47"/>
    <w:rsid w:val="00B40F88"/>
    <w:rsid w:val="00B4106E"/>
    <w:rsid w:val="00B41087"/>
    <w:rsid w:val="00B41283"/>
    <w:rsid w:val="00B41428"/>
    <w:rsid w:val="00B4145D"/>
    <w:rsid w:val="00B417E6"/>
    <w:rsid w:val="00B4186C"/>
    <w:rsid w:val="00B418E0"/>
    <w:rsid w:val="00B41A44"/>
    <w:rsid w:val="00B41C4C"/>
    <w:rsid w:val="00B41D40"/>
    <w:rsid w:val="00B41DB3"/>
    <w:rsid w:val="00B41E0C"/>
    <w:rsid w:val="00B41E6E"/>
    <w:rsid w:val="00B41F0D"/>
    <w:rsid w:val="00B41F6D"/>
    <w:rsid w:val="00B42130"/>
    <w:rsid w:val="00B4228D"/>
    <w:rsid w:val="00B4250C"/>
    <w:rsid w:val="00B42615"/>
    <w:rsid w:val="00B426AD"/>
    <w:rsid w:val="00B427F2"/>
    <w:rsid w:val="00B427FD"/>
    <w:rsid w:val="00B42889"/>
    <w:rsid w:val="00B4288E"/>
    <w:rsid w:val="00B42CB2"/>
    <w:rsid w:val="00B42CBB"/>
    <w:rsid w:val="00B42CCD"/>
    <w:rsid w:val="00B42EEB"/>
    <w:rsid w:val="00B42F6D"/>
    <w:rsid w:val="00B42FC9"/>
    <w:rsid w:val="00B430CE"/>
    <w:rsid w:val="00B431AD"/>
    <w:rsid w:val="00B43227"/>
    <w:rsid w:val="00B4322A"/>
    <w:rsid w:val="00B43305"/>
    <w:rsid w:val="00B43327"/>
    <w:rsid w:val="00B433AD"/>
    <w:rsid w:val="00B43409"/>
    <w:rsid w:val="00B4361A"/>
    <w:rsid w:val="00B4368B"/>
    <w:rsid w:val="00B436F0"/>
    <w:rsid w:val="00B438BA"/>
    <w:rsid w:val="00B4394B"/>
    <w:rsid w:val="00B43A2B"/>
    <w:rsid w:val="00B43ACF"/>
    <w:rsid w:val="00B43B62"/>
    <w:rsid w:val="00B43C53"/>
    <w:rsid w:val="00B43C67"/>
    <w:rsid w:val="00B43CAE"/>
    <w:rsid w:val="00B43CF4"/>
    <w:rsid w:val="00B43D1B"/>
    <w:rsid w:val="00B43D66"/>
    <w:rsid w:val="00B441EF"/>
    <w:rsid w:val="00B44371"/>
    <w:rsid w:val="00B443B2"/>
    <w:rsid w:val="00B445B5"/>
    <w:rsid w:val="00B44625"/>
    <w:rsid w:val="00B44633"/>
    <w:rsid w:val="00B44658"/>
    <w:rsid w:val="00B4467C"/>
    <w:rsid w:val="00B44CAA"/>
    <w:rsid w:val="00B44D18"/>
    <w:rsid w:val="00B44E13"/>
    <w:rsid w:val="00B44E56"/>
    <w:rsid w:val="00B44F02"/>
    <w:rsid w:val="00B4505F"/>
    <w:rsid w:val="00B45113"/>
    <w:rsid w:val="00B4512A"/>
    <w:rsid w:val="00B4514F"/>
    <w:rsid w:val="00B452AB"/>
    <w:rsid w:val="00B45366"/>
    <w:rsid w:val="00B45422"/>
    <w:rsid w:val="00B455FB"/>
    <w:rsid w:val="00B4561E"/>
    <w:rsid w:val="00B4565C"/>
    <w:rsid w:val="00B4569C"/>
    <w:rsid w:val="00B45842"/>
    <w:rsid w:val="00B45A33"/>
    <w:rsid w:val="00B45A88"/>
    <w:rsid w:val="00B45B68"/>
    <w:rsid w:val="00B45EB8"/>
    <w:rsid w:val="00B4628E"/>
    <w:rsid w:val="00B462A4"/>
    <w:rsid w:val="00B462E0"/>
    <w:rsid w:val="00B4638E"/>
    <w:rsid w:val="00B463C0"/>
    <w:rsid w:val="00B4659D"/>
    <w:rsid w:val="00B467A8"/>
    <w:rsid w:val="00B4686C"/>
    <w:rsid w:val="00B46872"/>
    <w:rsid w:val="00B468E2"/>
    <w:rsid w:val="00B469CB"/>
    <w:rsid w:val="00B46B55"/>
    <w:rsid w:val="00B46B5E"/>
    <w:rsid w:val="00B46CBD"/>
    <w:rsid w:val="00B46DF0"/>
    <w:rsid w:val="00B46ED8"/>
    <w:rsid w:val="00B46F6E"/>
    <w:rsid w:val="00B4712E"/>
    <w:rsid w:val="00B4714E"/>
    <w:rsid w:val="00B471FC"/>
    <w:rsid w:val="00B475AB"/>
    <w:rsid w:val="00B47907"/>
    <w:rsid w:val="00B47AFE"/>
    <w:rsid w:val="00B47B6F"/>
    <w:rsid w:val="00B47B95"/>
    <w:rsid w:val="00B47D62"/>
    <w:rsid w:val="00B5014D"/>
    <w:rsid w:val="00B50199"/>
    <w:rsid w:val="00B501CE"/>
    <w:rsid w:val="00B503D6"/>
    <w:rsid w:val="00B5095A"/>
    <w:rsid w:val="00B50A4A"/>
    <w:rsid w:val="00B50C24"/>
    <w:rsid w:val="00B511D4"/>
    <w:rsid w:val="00B51514"/>
    <w:rsid w:val="00B515A5"/>
    <w:rsid w:val="00B515E8"/>
    <w:rsid w:val="00B5160D"/>
    <w:rsid w:val="00B5164E"/>
    <w:rsid w:val="00B51830"/>
    <w:rsid w:val="00B5183E"/>
    <w:rsid w:val="00B51976"/>
    <w:rsid w:val="00B51A88"/>
    <w:rsid w:val="00B51A92"/>
    <w:rsid w:val="00B51B58"/>
    <w:rsid w:val="00B51CE2"/>
    <w:rsid w:val="00B51D7B"/>
    <w:rsid w:val="00B51F7C"/>
    <w:rsid w:val="00B5227F"/>
    <w:rsid w:val="00B5249C"/>
    <w:rsid w:val="00B52636"/>
    <w:rsid w:val="00B5270C"/>
    <w:rsid w:val="00B52799"/>
    <w:rsid w:val="00B527CD"/>
    <w:rsid w:val="00B527D7"/>
    <w:rsid w:val="00B52819"/>
    <w:rsid w:val="00B52B37"/>
    <w:rsid w:val="00B52D72"/>
    <w:rsid w:val="00B52D8E"/>
    <w:rsid w:val="00B52E40"/>
    <w:rsid w:val="00B52E42"/>
    <w:rsid w:val="00B52FBB"/>
    <w:rsid w:val="00B53122"/>
    <w:rsid w:val="00B53154"/>
    <w:rsid w:val="00B531B2"/>
    <w:rsid w:val="00B533C4"/>
    <w:rsid w:val="00B53533"/>
    <w:rsid w:val="00B5354B"/>
    <w:rsid w:val="00B53649"/>
    <w:rsid w:val="00B537AB"/>
    <w:rsid w:val="00B53A8D"/>
    <w:rsid w:val="00B53AB9"/>
    <w:rsid w:val="00B53AF5"/>
    <w:rsid w:val="00B53C11"/>
    <w:rsid w:val="00B53C65"/>
    <w:rsid w:val="00B53CBB"/>
    <w:rsid w:val="00B53D35"/>
    <w:rsid w:val="00B53FAE"/>
    <w:rsid w:val="00B54130"/>
    <w:rsid w:val="00B541B2"/>
    <w:rsid w:val="00B5429D"/>
    <w:rsid w:val="00B543D7"/>
    <w:rsid w:val="00B544A1"/>
    <w:rsid w:val="00B5455E"/>
    <w:rsid w:val="00B545AE"/>
    <w:rsid w:val="00B546A3"/>
    <w:rsid w:val="00B546F7"/>
    <w:rsid w:val="00B547CE"/>
    <w:rsid w:val="00B54867"/>
    <w:rsid w:val="00B54BC2"/>
    <w:rsid w:val="00B54CD3"/>
    <w:rsid w:val="00B54F24"/>
    <w:rsid w:val="00B55110"/>
    <w:rsid w:val="00B55364"/>
    <w:rsid w:val="00B55381"/>
    <w:rsid w:val="00B55477"/>
    <w:rsid w:val="00B55531"/>
    <w:rsid w:val="00B5559B"/>
    <w:rsid w:val="00B555AF"/>
    <w:rsid w:val="00B55A0F"/>
    <w:rsid w:val="00B55B9D"/>
    <w:rsid w:val="00B55BFC"/>
    <w:rsid w:val="00B55C4B"/>
    <w:rsid w:val="00B55CA9"/>
    <w:rsid w:val="00B55E3A"/>
    <w:rsid w:val="00B55EFD"/>
    <w:rsid w:val="00B55F68"/>
    <w:rsid w:val="00B56089"/>
    <w:rsid w:val="00B561DF"/>
    <w:rsid w:val="00B56257"/>
    <w:rsid w:val="00B5626E"/>
    <w:rsid w:val="00B562A8"/>
    <w:rsid w:val="00B564DD"/>
    <w:rsid w:val="00B56525"/>
    <w:rsid w:val="00B5660D"/>
    <w:rsid w:val="00B56813"/>
    <w:rsid w:val="00B56A14"/>
    <w:rsid w:val="00B56A72"/>
    <w:rsid w:val="00B56ABA"/>
    <w:rsid w:val="00B56BA7"/>
    <w:rsid w:val="00B56C6B"/>
    <w:rsid w:val="00B56D53"/>
    <w:rsid w:val="00B56E4F"/>
    <w:rsid w:val="00B56EFF"/>
    <w:rsid w:val="00B57036"/>
    <w:rsid w:val="00B57043"/>
    <w:rsid w:val="00B5725C"/>
    <w:rsid w:val="00B572DC"/>
    <w:rsid w:val="00B57418"/>
    <w:rsid w:val="00B5746B"/>
    <w:rsid w:val="00B575A9"/>
    <w:rsid w:val="00B575E9"/>
    <w:rsid w:val="00B57680"/>
    <w:rsid w:val="00B576E2"/>
    <w:rsid w:val="00B5799C"/>
    <w:rsid w:val="00B57A0C"/>
    <w:rsid w:val="00B57A14"/>
    <w:rsid w:val="00B57AB3"/>
    <w:rsid w:val="00B57C3E"/>
    <w:rsid w:val="00B57DE5"/>
    <w:rsid w:val="00B57E17"/>
    <w:rsid w:val="00B57E5D"/>
    <w:rsid w:val="00B57EBF"/>
    <w:rsid w:val="00B57FDD"/>
    <w:rsid w:val="00B6080B"/>
    <w:rsid w:val="00B60915"/>
    <w:rsid w:val="00B60C45"/>
    <w:rsid w:val="00B60D0A"/>
    <w:rsid w:val="00B60D44"/>
    <w:rsid w:val="00B60F28"/>
    <w:rsid w:val="00B60FED"/>
    <w:rsid w:val="00B61025"/>
    <w:rsid w:val="00B614AF"/>
    <w:rsid w:val="00B61527"/>
    <w:rsid w:val="00B6152C"/>
    <w:rsid w:val="00B6157F"/>
    <w:rsid w:val="00B61A7D"/>
    <w:rsid w:val="00B61B71"/>
    <w:rsid w:val="00B61CDE"/>
    <w:rsid w:val="00B61E54"/>
    <w:rsid w:val="00B61FEB"/>
    <w:rsid w:val="00B621EB"/>
    <w:rsid w:val="00B62350"/>
    <w:rsid w:val="00B624F7"/>
    <w:rsid w:val="00B62503"/>
    <w:rsid w:val="00B6263C"/>
    <w:rsid w:val="00B627F0"/>
    <w:rsid w:val="00B6283A"/>
    <w:rsid w:val="00B62BED"/>
    <w:rsid w:val="00B62D4A"/>
    <w:rsid w:val="00B62D55"/>
    <w:rsid w:val="00B62D97"/>
    <w:rsid w:val="00B62E92"/>
    <w:rsid w:val="00B62ED2"/>
    <w:rsid w:val="00B62F4F"/>
    <w:rsid w:val="00B63195"/>
    <w:rsid w:val="00B6325C"/>
    <w:rsid w:val="00B633F8"/>
    <w:rsid w:val="00B63437"/>
    <w:rsid w:val="00B63455"/>
    <w:rsid w:val="00B634E1"/>
    <w:rsid w:val="00B634ED"/>
    <w:rsid w:val="00B63552"/>
    <w:rsid w:val="00B63648"/>
    <w:rsid w:val="00B6381B"/>
    <w:rsid w:val="00B63A48"/>
    <w:rsid w:val="00B63AA1"/>
    <w:rsid w:val="00B63DCB"/>
    <w:rsid w:val="00B63F82"/>
    <w:rsid w:val="00B6413D"/>
    <w:rsid w:val="00B641A9"/>
    <w:rsid w:val="00B64250"/>
    <w:rsid w:val="00B642C0"/>
    <w:rsid w:val="00B644E5"/>
    <w:rsid w:val="00B64664"/>
    <w:rsid w:val="00B646DD"/>
    <w:rsid w:val="00B646FA"/>
    <w:rsid w:val="00B6478F"/>
    <w:rsid w:val="00B648FD"/>
    <w:rsid w:val="00B64992"/>
    <w:rsid w:val="00B64A65"/>
    <w:rsid w:val="00B64B0F"/>
    <w:rsid w:val="00B64B6F"/>
    <w:rsid w:val="00B64C32"/>
    <w:rsid w:val="00B64DF0"/>
    <w:rsid w:val="00B653A4"/>
    <w:rsid w:val="00B653E7"/>
    <w:rsid w:val="00B654C4"/>
    <w:rsid w:val="00B65533"/>
    <w:rsid w:val="00B6562F"/>
    <w:rsid w:val="00B6564B"/>
    <w:rsid w:val="00B6583C"/>
    <w:rsid w:val="00B658A6"/>
    <w:rsid w:val="00B6594A"/>
    <w:rsid w:val="00B65CF7"/>
    <w:rsid w:val="00B65FE5"/>
    <w:rsid w:val="00B66109"/>
    <w:rsid w:val="00B66124"/>
    <w:rsid w:val="00B662B1"/>
    <w:rsid w:val="00B664A8"/>
    <w:rsid w:val="00B664CD"/>
    <w:rsid w:val="00B66A01"/>
    <w:rsid w:val="00B66D2B"/>
    <w:rsid w:val="00B66D3D"/>
    <w:rsid w:val="00B66E2A"/>
    <w:rsid w:val="00B672CC"/>
    <w:rsid w:val="00B672E8"/>
    <w:rsid w:val="00B6739A"/>
    <w:rsid w:val="00B6743B"/>
    <w:rsid w:val="00B67502"/>
    <w:rsid w:val="00B675A6"/>
    <w:rsid w:val="00B675D3"/>
    <w:rsid w:val="00B675D9"/>
    <w:rsid w:val="00B6761B"/>
    <w:rsid w:val="00B67925"/>
    <w:rsid w:val="00B6799D"/>
    <w:rsid w:val="00B67A22"/>
    <w:rsid w:val="00B67A30"/>
    <w:rsid w:val="00B67AAC"/>
    <w:rsid w:val="00B67AB1"/>
    <w:rsid w:val="00B67B98"/>
    <w:rsid w:val="00B67BDC"/>
    <w:rsid w:val="00B67C58"/>
    <w:rsid w:val="00B67F7D"/>
    <w:rsid w:val="00B67FA0"/>
    <w:rsid w:val="00B67FD6"/>
    <w:rsid w:val="00B7031F"/>
    <w:rsid w:val="00B705A1"/>
    <w:rsid w:val="00B7067E"/>
    <w:rsid w:val="00B7070B"/>
    <w:rsid w:val="00B7075D"/>
    <w:rsid w:val="00B707A2"/>
    <w:rsid w:val="00B707E4"/>
    <w:rsid w:val="00B70805"/>
    <w:rsid w:val="00B70896"/>
    <w:rsid w:val="00B70974"/>
    <w:rsid w:val="00B70AB7"/>
    <w:rsid w:val="00B70CA5"/>
    <w:rsid w:val="00B70D5B"/>
    <w:rsid w:val="00B70D93"/>
    <w:rsid w:val="00B70EAE"/>
    <w:rsid w:val="00B70ED7"/>
    <w:rsid w:val="00B70FEA"/>
    <w:rsid w:val="00B711D6"/>
    <w:rsid w:val="00B712F7"/>
    <w:rsid w:val="00B71339"/>
    <w:rsid w:val="00B713D7"/>
    <w:rsid w:val="00B71667"/>
    <w:rsid w:val="00B7191B"/>
    <w:rsid w:val="00B71928"/>
    <w:rsid w:val="00B71B22"/>
    <w:rsid w:val="00B71C37"/>
    <w:rsid w:val="00B71CAE"/>
    <w:rsid w:val="00B71D21"/>
    <w:rsid w:val="00B71E77"/>
    <w:rsid w:val="00B71EE1"/>
    <w:rsid w:val="00B722DC"/>
    <w:rsid w:val="00B72623"/>
    <w:rsid w:val="00B726AC"/>
    <w:rsid w:val="00B7272E"/>
    <w:rsid w:val="00B729BB"/>
    <w:rsid w:val="00B72A2B"/>
    <w:rsid w:val="00B72AD8"/>
    <w:rsid w:val="00B72AF2"/>
    <w:rsid w:val="00B72AFF"/>
    <w:rsid w:val="00B72E9C"/>
    <w:rsid w:val="00B73032"/>
    <w:rsid w:val="00B73084"/>
    <w:rsid w:val="00B73095"/>
    <w:rsid w:val="00B730FF"/>
    <w:rsid w:val="00B731DD"/>
    <w:rsid w:val="00B731E7"/>
    <w:rsid w:val="00B73230"/>
    <w:rsid w:val="00B732CC"/>
    <w:rsid w:val="00B73336"/>
    <w:rsid w:val="00B73408"/>
    <w:rsid w:val="00B7342B"/>
    <w:rsid w:val="00B73431"/>
    <w:rsid w:val="00B73844"/>
    <w:rsid w:val="00B738CF"/>
    <w:rsid w:val="00B738F6"/>
    <w:rsid w:val="00B739B2"/>
    <w:rsid w:val="00B73DC3"/>
    <w:rsid w:val="00B73E2A"/>
    <w:rsid w:val="00B73FDE"/>
    <w:rsid w:val="00B7411A"/>
    <w:rsid w:val="00B74146"/>
    <w:rsid w:val="00B742E3"/>
    <w:rsid w:val="00B744A7"/>
    <w:rsid w:val="00B7469D"/>
    <w:rsid w:val="00B74885"/>
    <w:rsid w:val="00B749BD"/>
    <w:rsid w:val="00B74B06"/>
    <w:rsid w:val="00B74B37"/>
    <w:rsid w:val="00B74C0E"/>
    <w:rsid w:val="00B74C39"/>
    <w:rsid w:val="00B74CF3"/>
    <w:rsid w:val="00B74DB6"/>
    <w:rsid w:val="00B74DD4"/>
    <w:rsid w:val="00B75245"/>
    <w:rsid w:val="00B75287"/>
    <w:rsid w:val="00B752A4"/>
    <w:rsid w:val="00B7542D"/>
    <w:rsid w:val="00B7565E"/>
    <w:rsid w:val="00B75748"/>
    <w:rsid w:val="00B75873"/>
    <w:rsid w:val="00B758BF"/>
    <w:rsid w:val="00B75969"/>
    <w:rsid w:val="00B75AEA"/>
    <w:rsid w:val="00B75B8B"/>
    <w:rsid w:val="00B75C56"/>
    <w:rsid w:val="00B75FE8"/>
    <w:rsid w:val="00B76114"/>
    <w:rsid w:val="00B7621B"/>
    <w:rsid w:val="00B7628D"/>
    <w:rsid w:val="00B768FB"/>
    <w:rsid w:val="00B76996"/>
    <w:rsid w:val="00B769A1"/>
    <w:rsid w:val="00B769B6"/>
    <w:rsid w:val="00B76B3F"/>
    <w:rsid w:val="00B76BEA"/>
    <w:rsid w:val="00B76E56"/>
    <w:rsid w:val="00B76ECC"/>
    <w:rsid w:val="00B76EF9"/>
    <w:rsid w:val="00B770D2"/>
    <w:rsid w:val="00B770DA"/>
    <w:rsid w:val="00B77282"/>
    <w:rsid w:val="00B772EC"/>
    <w:rsid w:val="00B77349"/>
    <w:rsid w:val="00B77402"/>
    <w:rsid w:val="00B77476"/>
    <w:rsid w:val="00B775B8"/>
    <w:rsid w:val="00B77A6D"/>
    <w:rsid w:val="00B77AD4"/>
    <w:rsid w:val="00B77C17"/>
    <w:rsid w:val="00B77DBC"/>
    <w:rsid w:val="00B77E67"/>
    <w:rsid w:val="00B77F39"/>
    <w:rsid w:val="00B80026"/>
    <w:rsid w:val="00B8033A"/>
    <w:rsid w:val="00B80782"/>
    <w:rsid w:val="00B807B2"/>
    <w:rsid w:val="00B807D2"/>
    <w:rsid w:val="00B8084F"/>
    <w:rsid w:val="00B80875"/>
    <w:rsid w:val="00B808E8"/>
    <w:rsid w:val="00B80ACD"/>
    <w:rsid w:val="00B80B39"/>
    <w:rsid w:val="00B80BB8"/>
    <w:rsid w:val="00B80BD2"/>
    <w:rsid w:val="00B80DD0"/>
    <w:rsid w:val="00B80F54"/>
    <w:rsid w:val="00B81191"/>
    <w:rsid w:val="00B8121E"/>
    <w:rsid w:val="00B8130A"/>
    <w:rsid w:val="00B81347"/>
    <w:rsid w:val="00B81424"/>
    <w:rsid w:val="00B81534"/>
    <w:rsid w:val="00B8176A"/>
    <w:rsid w:val="00B817C8"/>
    <w:rsid w:val="00B818DB"/>
    <w:rsid w:val="00B81953"/>
    <w:rsid w:val="00B81AB1"/>
    <w:rsid w:val="00B81BBC"/>
    <w:rsid w:val="00B81C1D"/>
    <w:rsid w:val="00B81D66"/>
    <w:rsid w:val="00B81DFE"/>
    <w:rsid w:val="00B8208A"/>
    <w:rsid w:val="00B82121"/>
    <w:rsid w:val="00B82180"/>
    <w:rsid w:val="00B821AE"/>
    <w:rsid w:val="00B823AF"/>
    <w:rsid w:val="00B823EE"/>
    <w:rsid w:val="00B8246C"/>
    <w:rsid w:val="00B82485"/>
    <w:rsid w:val="00B8251F"/>
    <w:rsid w:val="00B82751"/>
    <w:rsid w:val="00B8291B"/>
    <w:rsid w:val="00B82A37"/>
    <w:rsid w:val="00B82B4F"/>
    <w:rsid w:val="00B82C08"/>
    <w:rsid w:val="00B82C73"/>
    <w:rsid w:val="00B82CFD"/>
    <w:rsid w:val="00B82D5D"/>
    <w:rsid w:val="00B82ED5"/>
    <w:rsid w:val="00B831DB"/>
    <w:rsid w:val="00B83263"/>
    <w:rsid w:val="00B8334E"/>
    <w:rsid w:val="00B833C1"/>
    <w:rsid w:val="00B8344E"/>
    <w:rsid w:val="00B834C2"/>
    <w:rsid w:val="00B83580"/>
    <w:rsid w:val="00B83653"/>
    <w:rsid w:val="00B83672"/>
    <w:rsid w:val="00B83690"/>
    <w:rsid w:val="00B8372E"/>
    <w:rsid w:val="00B837B3"/>
    <w:rsid w:val="00B83839"/>
    <w:rsid w:val="00B83A3E"/>
    <w:rsid w:val="00B83B6E"/>
    <w:rsid w:val="00B83BF1"/>
    <w:rsid w:val="00B83D7A"/>
    <w:rsid w:val="00B83D97"/>
    <w:rsid w:val="00B83E3B"/>
    <w:rsid w:val="00B8406C"/>
    <w:rsid w:val="00B84088"/>
    <w:rsid w:val="00B841D2"/>
    <w:rsid w:val="00B84391"/>
    <w:rsid w:val="00B843BF"/>
    <w:rsid w:val="00B84405"/>
    <w:rsid w:val="00B844B0"/>
    <w:rsid w:val="00B844F6"/>
    <w:rsid w:val="00B84668"/>
    <w:rsid w:val="00B84671"/>
    <w:rsid w:val="00B84955"/>
    <w:rsid w:val="00B849BE"/>
    <w:rsid w:val="00B84A54"/>
    <w:rsid w:val="00B84AD5"/>
    <w:rsid w:val="00B84CC1"/>
    <w:rsid w:val="00B84CCD"/>
    <w:rsid w:val="00B84D2B"/>
    <w:rsid w:val="00B84D84"/>
    <w:rsid w:val="00B84DA1"/>
    <w:rsid w:val="00B84DA7"/>
    <w:rsid w:val="00B84F06"/>
    <w:rsid w:val="00B852E8"/>
    <w:rsid w:val="00B854E6"/>
    <w:rsid w:val="00B8566B"/>
    <w:rsid w:val="00B85763"/>
    <w:rsid w:val="00B85A9D"/>
    <w:rsid w:val="00B85AC2"/>
    <w:rsid w:val="00B85B59"/>
    <w:rsid w:val="00B85BF2"/>
    <w:rsid w:val="00B85C01"/>
    <w:rsid w:val="00B85CA1"/>
    <w:rsid w:val="00B85DBE"/>
    <w:rsid w:val="00B86022"/>
    <w:rsid w:val="00B860E3"/>
    <w:rsid w:val="00B864EC"/>
    <w:rsid w:val="00B86500"/>
    <w:rsid w:val="00B86738"/>
    <w:rsid w:val="00B868C0"/>
    <w:rsid w:val="00B86934"/>
    <w:rsid w:val="00B869CB"/>
    <w:rsid w:val="00B869EA"/>
    <w:rsid w:val="00B86BAB"/>
    <w:rsid w:val="00B86BBB"/>
    <w:rsid w:val="00B86DDF"/>
    <w:rsid w:val="00B86F39"/>
    <w:rsid w:val="00B8718E"/>
    <w:rsid w:val="00B872A4"/>
    <w:rsid w:val="00B872B1"/>
    <w:rsid w:val="00B873B6"/>
    <w:rsid w:val="00B87622"/>
    <w:rsid w:val="00B87703"/>
    <w:rsid w:val="00B87766"/>
    <w:rsid w:val="00B87AAC"/>
    <w:rsid w:val="00B87EEE"/>
    <w:rsid w:val="00B87F32"/>
    <w:rsid w:val="00B9013C"/>
    <w:rsid w:val="00B90457"/>
    <w:rsid w:val="00B906E9"/>
    <w:rsid w:val="00B90820"/>
    <w:rsid w:val="00B90ACD"/>
    <w:rsid w:val="00B90BE8"/>
    <w:rsid w:val="00B90CC6"/>
    <w:rsid w:val="00B90DB9"/>
    <w:rsid w:val="00B90E19"/>
    <w:rsid w:val="00B90E3E"/>
    <w:rsid w:val="00B90EBF"/>
    <w:rsid w:val="00B90F34"/>
    <w:rsid w:val="00B912CA"/>
    <w:rsid w:val="00B91503"/>
    <w:rsid w:val="00B915B6"/>
    <w:rsid w:val="00B917F7"/>
    <w:rsid w:val="00B9195C"/>
    <w:rsid w:val="00B91A40"/>
    <w:rsid w:val="00B91AED"/>
    <w:rsid w:val="00B91AF5"/>
    <w:rsid w:val="00B91B71"/>
    <w:rsid w:val="00B91D2C"/>
    <w:rsid w:val="00B91DDA"/>
    <w:rsid w:val="00B91F19"/>
    <w:rsid w:val="00B9206E"/>
    <w:rsid w:val="00B92128"/>
    <w:rsid w:val="00B92233"/>
    <w:rsid w:val="00B922DE"/>
    <w:rsid w:val="00B925C7"/>
    <w:rsid w:val="00B9269A"/>
    <w:rsid w:val="00B926FE"/>
    <w:rsid w:val="00B928B1"/>
    <w:rsid w:val="00B928F6"/>
    <w:rsid w:val="00B92940"/>
    <w:rsid w:val="00B9296E"/>
    <w:rsid w:val="00B92D3A"/>
    <w:rsid w:val="00B92DA5"/>
    <w:rsid w:val="00B92DAA"/>
    <w:rsid w:val="00B92E0C"/>
    <w:rsid w:val="00B93229"/>
    <w:rsid w:val="00B93341"/>
    <w:rsid w:val="00B9339C"/>
    <w:rsid w:val="00B933C5"/>
    <w:rsid w:val="00B933EF"/>
    <w:rsid w:val="00B93432"/>
    <w:rsid w:val="00B93514"/>
    <w:rsid w:val="00B93550"/>
    <w:rsid w:val="00B9363A"/>
    <w:rsid w:val="00B93641"/>
    <w:rsid w:val="00B936CE"/>
    <w:rsid w:val="00B93778"/>
    <w:rsid w:val="00B937CE"/>
    <w:rsid w:val="00B9381F"/>
    <w:rsid w:val="00B938F0"/>
    <w:rsid w:val="00B939AF"/>
    <w:rsid w:val="00B93B73"/>
    <w:rsid w:val="00B93DFD"/>
    <w:rsid w:val="00B93E60"/>
    <w:rsid w:val="00B94055"/>
    <w:rsid w:val="00B941A4"/>
    <w:rsid w:val="00B9421C"/>
    <w:rsid w:val="00B94532"/>
    <w:rsid w:val="00B94798"/>
    <w:rsid w:val="00B9481F"/>
    <w:rsid w:val="00B94824"/>
    <w:rsid w:val="00B94837"/>
    <w:rsid w:val="00B94843"/>
    <w:rsid w:val="00B9486A"/>
    <w:rsid w:val="00B94A12"/>
    <w:rsid w:val="00B94AE2"/>
    <w:rsid w:val="00B94B29"/>
    <w:rsid w:val="00B94B56"/>
    <w:rsid w:val="00B94C98"/>
    <w:rsid w:val="00B94D66"/>
    <w:rsid w:val="00B94D75"/>
    <w:rsid w:val="00B94D83"/>
    <w:rsid w:val="00B94FAF"/>
    <w:rsid w:val="00B9533A"/>
    <w:rsid w:val="00B95415"/>
    <w:rsid w:val="00B9541C"/>
    <w:rsid w:val="00B9550A"/>
    <w:rsid w:val="00B9565F"/>
    <w:rsid w:val="00B957BB"/>
    <w:rsid w:val="00B957E8"/>
    <w:rsid w:val="00B95965"/>
    <w:rsid w:val="00B95A1C"/>
    <w:rsid w:val="00B95A8F"/>
    <w:rsid w:val="00B95B77"/>
    <w:rsid w:val="00B95C53"/>
    <w:rsid w:val="00B95D26"/>
    <w:rsid w:val="00B95E2A"/>
    <w:rsid w:val="00B95F52"/>
    <w:rsid w:val="00B960C1"/>
    <w:rsid w:val="00B96196"/>
    <w:rsid w:val="00B961F4"/>
    <w:rsid w:val="00B96264"/>
    <w:rsid w:val="00B96354"/>
    <w:rsid w:val="00B96626"/>
    <w:rsid w:val="00B96644"/>
    <w:rsid w:val="00B9670A"/>
    <w:rsid w:val="00B96A23"/>
    <w:rsid w:val="00B96A8F"/>
    <w:rsid w:val="00B96AD1"/>
    <w:rsid w:val="00B96AE9"/>
    <w:rsid w:val="00B96B79"/>
    <w:rsid w:val="00B96BA4"/>
    <w:rsid w:val="00B96BA7"/>
    <w:rsid w:val="00B96C8C"/>
    <w:rsid w:val="00B96CBD"/>
    <w:rsid w:val="00B96E88"/>
    <w:rsid w:val="00B96FB7"/>
    <w:rsid w:val="00B96FDE"/>
    <w:rsid w:val="00B97087"/>
    <w:rsid w:val="00B970D9"/>
    <w:rsid w:val="00B9743B"/>
    <w:rsid w:val="00B97589"/>
    <w:rsid w:val="00B97889"/>
    <w:rsid w:val="00B97897"/>
    <w:rsid w:val="00B97A7A"/>
    <w:rsid w:val="00B97AA9"/>
    <w:rsid w:val="00B97B36"/>
    <w:rsid w:val="00B97B67"/>
    <w:rsid w:val="00B97D65"/>
    <w:rsid w:val="00B97E25"/>
    <w:rsid w:val="00B97E29"/>
    <w:rsid w:val="00B97EF3"/>
    <w:rsid w:val="00BA00D3"/>
    <w:rsid w:val="00BA0159"/>
    <w:rsid w:val="00BA01D2"/>
    <w:rsid w:val="00BA0786"/>
    <w:rsid w:val="00BA0B46"/>
    <w:rsid w:val="00BA0CB1"/>
    <w:rsid w:val="00BA0D60"/>
    <w:rsid w:val="00BA0E1F"/>
    <w:rsid w:val="00BA0F40"/>
    <w:rsid w:val="00BA118D"/>
    <w:rsid w:val="00BA1334"/>
    <w:rsid w:val="00BA13FC"/>
    <w:rsid w:val="00BA1562"/>
    <w:rsid w:val="00BA15A6"/>
    <w:rsid w:val="00BA15AA"/>
    <w:rsid w:val="00BA19C0"/>
    <w:rsid w:val="00BA1C79"/>
    <w:rsid w:val="00BA1C90"/>
    <w:rsid w:val="00BA1D34"/>
    <w:rsid w:val="00BA1FFB"/>
    <w:rsid w:val="00BA211A"/>
    <w:rsid w:val="00BA2267"/>
    <w:rsid w:val="00BA23BE"/>
    <w:rsid w:val="00BA2565"/>
    <w:rsid w:val="00BA25A4"/>
    <w:rsid w:val="00BA25F7"/>
    <w:rsid w:val="00BA2884"/>
    <w:rsid w:val="00BA2887"/>
    <w:rsid w:val="00BA2931"/>
    <w:rsid w:val="00BA2D03"/>
    <w:rsid w:val="00BA2E7B"/>
    <w:rsid w:val="00BA2EF9"/>
    <w:rsid w:val="00BA2F0B"/>
    <w:rsid w:val="00BA2FCD"/>
    <w:rsid w:val="00BA3099"/>
    <w:rsid w:val="00BA3162"/>
    <w:rsid w:val="00BA31F4"/>
    <w:rsid w:val="00BA359E"/>
    <w:rsid w:val="00BA36C9"/>
    <w:rsid w:val="00BA3716"/>
    <w:rsid w:val="00BA3817"/>
    <w:rsid w:val="00BA3AEF"/>
    <w:rsid w:val="00BA3BED"/>
    <w:rsid w:val="00BA3CD0"/>
    <w:rsid w:val="00BA3D2E"/>
    <w:rsid w:val="00BA4057"/>
    <w:rsid w:val="00BA40B2"/>
    <w:rsid w:val="00BA40D6"/>
    <w:rsid w:val="00BA4101"/>
    <w:rsid w:val="00BA427E"/>
    <w:rsid w:val="00BA4289"/>
    <w:rsid w:val="00BA4307"/>
    <w:rsid w:val="00BA430D"/>
    <w:rsid w:val="00BA4600"/>
    <w:rsid w:val="00BA46E6"/>
    <w:rsid w:val="00BA4739"/>
    <w:rsid w:val="00BA483C"/>
    <w:rsid w:val="00BA4958"/>
    <w:rsid w:val="00BA4B18"/>
    <w:rsid w:val="00BA4C36"/>
    <w:rsid w:val="00BA4CB5"/>
    <w:rsid w:val="00BA4F84"/>
    <w:rsid w:val="00BA5026"/>
    <w:rsid w:val="00BA5059"/>
    <w:rsid w:val="00BA52FF"/>
    <w:rsid w:val="00BA54B6"/>
    <w:rsid w:val="00BA5788"/>
    <w:rsid w:val="00BA593A"/>
    <w:rsid w:val="00BA597E"/>
    <w:rsid w:val="00BA5AC8"/>
    <w:rsid w:val="00BA5D12"/>
    <w:rsid w:val="00BA5D28"/>
    <w:rsid w:val="00BA5E8F"/>
    <w:rsid w:val="00BA5EFC"/>
    <w:rsid w:val="00BA5F30"/>
    <w:rsid w:val="00BA603E"/>
    <w:rsid w:val="00BA6175"/>
    <w:rsid w:val="00BA61BE"/>
    <w:rsid w:val="00BA61D3"/>
    <w:rsid w:val="00BA627A"/>
    <w:rsid w:val="00BA62DD"/>
    <w:rsid w:val="00BA62FB"/>
    <w:rsid w:val="00BA633D"/>
    <w:rsid w:val="00BA6427"/>
    <w:rsid w:val="00BA645E"/>
    <w:rsid w:val="00BA65BB"/>
    <w:rsid w:val="00BA661A"/>
    <w:rsid w:val="00BA6B88"/>
    <w:rsid w:val="00BA6C5B"/>
    <w:rsid w:val="00BA6DAD"/>
    <w:rsid w:val="00BA7246"/>
    <w:rsid w:val="00BA72E2"/>
    <w:rsid w:val="00BA73B5"/>
    <w:rsid w:val="00BA7602"/>
    <w:rsid w:val="00BA765E"/>
    <w:rsid w:val="00BA76A6"/>
    <w:rsid w:val="00BA76BE"/>
    <w:rsid w:val="00BA77F1"/>
    <w:rsid w:val="00BA782F"/>
    <w:rsid w:val="00BA7A16"/>
    <w:rsid w:val="00BA7B2E"/>
    <w:rsid w:val="00BA7B48"/>
    <w:rsid w:val="00BA7EF9"/>
    <w:rsid w:val="00BA7F46"/>
    <w:rsid w:val="00BA7FD5"/>
    <w:rsid w:val="00BB037D"/>
    <w:rsid w:val="00BB05AB"/>
    <w:rsid w:val="00BB0635"/>
    <w:rsid w:val="00BB0785"/>
    <w:rsid w:val="00BB07B7"/>
    <w:rsid w:val="00BB0CE5"/>
    <w:rsid w:val="00BB0D0C"/>
    <w:rsid w:val="00BB0D89"/>
    <w:rsid w:val="00BB0DB9"/>
    <w:rsid w:val="00BB0EAD"/>
    <w:rsid w:val="00BB0EC8"/>
    <w:rsid w:val="00BB0F83"/>
    <w:rsid w:val="00BB1093"/>
    <w:rsid w:val="00BB10F5"/>
    <w:rsid w:val="00BB10FB"/>
    <w:rsid w:val="00BB1117"/>
    <w:rsid w:val="00BB1199"/>
    <w:rsid w:val="00BB12B3"/>
    <w:rsid w:val="00BB1317"/>
    <w:rsid w:val="00BB1450"/>
    <w:rsid w:val="00BB1496"/>
    <w:rsid w:val="00BB15C5"/>
    <w:rsid w:val="00BB15D3"/>
    <w:rsid w:val="00BB17A1"/>
    <w:rsid w:val="00BB17C1"/>
    <w:rsid w:val="00BB1800"/>
    <w:rsid w:val="00BB198B"/>
    <w:rsid w:val="00BB1A59"/>
    <w:rsid w:val="00BB1C48"/>
    <w:rsid w:val="00BB1CCB"/>
    <w:rsid w:val="00BB1EBB"/>
    <w:rsid w:val="00BB1FF3"/>
    <w:rsid w:val="00BB207D"/>
    <w:rsid w:val="00BB20B0"/>
    <w:rsid w:val="00BB20C4"/>
    <w:rsid w:val="00BB2135"/>
    <w:rsid w:val="00BB216E"/>
    <w:rsid w:val="00BB21FA"/>
    <w:rsid w:val="00BB2331"/>
    <w:rsid w:val="00BB2452"/>
    <w:rsid w:val="00BB24BC"/>
    <w:rsid w:val="00BB25B5"/>
    <w:rsid w:val="00BB261A"/>
    <w:rsid w:val="00BB269A"/>
    <w:rsid w:val="00BB27C3"/>
    <w:rsid w:val="00BB27C5"/>
    <w:rsid w:val="00BB29FF"/>
    <w:rsid w:val="00BB2AF5"/>
    <w:rsid w:val="00BB2BBA"/>
    <w:rsid w:val="00BB2C52"/>
    <w:rsid w:val="00BB2CE2"/>
    <w:rsid w:val="00BB2D1D"/>
    <w:rsid w:val="00BB2D9C"/>
    <w:rsid w:val="00BB2DC8"/>
    <w:rsid w:val="00BB2E0A"/>
    <w:rsid w:val="00BB2E42"/>
    <w:rsid w:val="00BB313D"/>
    <w:rsid w:val="00BB320F"/>
    <w:rsid w:val="00BB333C"/>
    <w:rsid w:val="00BB334C"/>
    <w:rsid w:val="00BB335B"/>
    <w:rsid w:val="00BB344C"/>
    <w:rsid w:val="00BB346F"/>
    <w:rsid w:val="00BB3492"/>
    <w:rsid w:val="00BB355B"/>
    <w:rsid w:val="00BB35A9"/>
    <w:rsid w:val="00BB36C5"/>
    <w:rsid w:val="00BB3819"/>
    <w:rsid w:val="00BB3AD1"/>
    <w:rsid w:val="00BB3B94"/>
    <w:rsid w:val="00BB3BDA"/>
    <w:rsid w:val="00BB3C95"/>
    <w:rsid w:val="00BB3CD9"/>
    <w:rsid w:val="00BB3E54"/>
    <w:rsid w:val="00BB3F4F"/>
    <w:rsid w:val="00BB400E"/>
    <w:rsid w:val="00BB4343"/>
    <w:rsid w:val="00BB4391"/>
    <w:rsid w:val="00BB45D9"/>
    <w:rsid w:val="00BB4655"/>
    <w:rsid w:val="00BB490D"/>
    <w:rsid w:val="00BB4A50"/>
    <w:rsid w:val="00BB4B87"/>
    <w:rsid w:val="00BB4C64"/>
    <w:rsid w:val="00BB4D2C"/>
    <w:rsid w:val="00BB4DCA"/>
    <w:rsid w:val="00BB4E15"/>
    <w:rsid w:val="00BB4F44"/>
    <w:rsid w:val="00BB5105"/>
    <w:rsid w:val="00BB515F"/>
    <w:rsid w:val="00BB51AA"/>
    <w:rsid w:val="00BB52EC"/>
    <w:rsid w:val="00BB5380"/>
    <w:rsid w:val="00BB53A4"/>
    <w:rsid w:val="00BB545A"/>
    <w:rsid w:val="00BB5494"/>
    <w:rsid w:val="00BB5535"/>
    <w:rsid w:val="00BB562B"/>
    <w:rsid w:val="00BB57C8"/>
    <w:rsid w:val="00BB583D"/>
    <w:rsid w:val="00BB58A2"/>
    <w:rsid w:val="00BB596B"/>
    <w:rsid w:val="00BB5B1B"/>
    <w:rsid w:val="00BB5BC0"/>
    <w:rsid w:val="00BB5BCF"/>
    <w:rsid w:val="00BB5BEE"/>
    <w:rsid w:val="00BB5E32"/>
    <w:rsid w:val="00BB5F13"/>
    <w:rsid w:val="00BB5F95"/>
    <w:rsid w:val="00BB609A"/>
    <w:rsid w:val="00BB61B3"/>
    <w:rsid w:val="00BB62A8"/>
    <w:rsid w:val="00BB6418"/>
    <w:rsid w:val="00BB644F"/>
    <w:rsid w:val="00BB648F"/>
    <w:rsid w:val="00BB65E1"/>
    <w:rsid w:val="00BB65FF"/>
    <w:rsid w:val="00BB6696"/>
    <w:rsid w:val="00BB66D3"/>
    <w:rsid w:val="00BB6901"/>
    <w:rsid w:val="00BB6A74"/>
    <w:rsid w:val="00BB6C50"/>
    <w:rsid w:val="00BB6C61"/>
    <w:rsid w:val="00BB6CA8"/>
    <w:rsid w:val="00BB6E48"/>
    <w:rsid w:val="00BB6F4F"/>
    <w:rsid w:val="00BB7007"/>
    <w:rsid w:val="00BB7201"/>
    <w:rsid w:val="00BB72AC"/>
    <w:rsid w:val="00BB748D"/>
    <w:rsid w:val="00BB74FE"/>
    <w:rsid w:val="00BB7588"/>
    <w:rsid w:val="00BB7629"/>
    <w:rsid w:val="00BB76C8"/>
    <w:rsid w:val="00BB7922"/>
    <w:rsid w:val="00BB79D1"/>
    <w:rsid w:val="00BB79FC"/>
    <w:rsid w:val="00BB7B37"/>
    <w:rsid w:val="00BB7F70"/>
    <w:rsid w:val="00BC0026"/>
    <w:rsid w:val="00BC0214"/>
    <w:rsid w:val="00BC0252"/>
    <w:rsid w:val="00BC0294"/>
    <w:rsid w:val="00BC036B"/>
    <w:rsid w:val="00BC03A4"/>
    <w:rsid w:val="00BC0712"/>
    <w:rsid w:val="00BC0778"/>
    <w:rsid w:val="00BC0900"/>
    <w:rsid w:val="00BC099B"/>
    <w:rsid w:val="00BC0A34"/>
    <w:rsid w:val="00BC0A50"/>
    <w:rsid w:val="00BC0B7D"/>
    <w:rsid w:val="00BC0BA7"/>
    <w:rsid w:val="00BC0CA0"/>
    <w:rsid w:val="00BC0DEB"/>
    <w:rsid w:val="00BC0E41"/>
    <w:rsid w:val="00BC0E63"/>
    <w:rsid w:val="00BC0F25"/>
    <w:rsid w:val="00BC0FEB"/>
    <w:rsid w:val="00BC1005"/>
    <w:rsid w:val="00BC15CD"/>
    <w:rsid w:val="00BC1748"/>
    <w:rsid w:val="00BC180D"/>
    <w:rsid w:val="00BC181B"/>
    <w:rsid w:val="00BC189D"/>
    <w:rsid w:val="00BC190A"/>
    <w:rsid w:val="00BC194B"/>
    <w:rsid w:val="00BC1AE7"/>
    <w:rsid w:val="00BC1E1B"/>
    <w:rsid w:val="00BC1E5C"/>
    <w:rsid w:val="00BC1ED2"/>
    <w:rsid w:val="00BC1F50"/>
    <w:rsid w:val="00BC1F6A"/>
    <w:rsid w:val="00BC1F8A"/>
    <w:rsid w:val="00BC20D2"/>
    <w:rsid w:val="00BC22A5"/>
    <w:rsid w:val="00BC22B0"/>
    <w:rsid w:val="00BC2340"/>
    <w:rsid w:val="00BC2758"/>
    <w:rsid w:val="00BC27D2"/>
    <w:rsid w:val="00BC2845"/>
    <w:rsid w:val="00BC2997"/>
    <w:rsid w:val="00BC2D9A"/>
    <w:rsid w:val="00BC2F24"/>
    <w:rsid w:val="00BC309B"/>
    <w:rsid w:val="00BC309F"/>
    <w:rsid w:val="00BC30B2"/>
    <w:rsid w:val="00BC32D1"/>
    <w:rsid w:val="00BC32EF"/>
    <w:rsid w:val="00BC33E1"/>
    <w:rsid w:val="00BC3439"/>
    <w:rsid w:val="00BC355C"/>
    <w:rsid w:val="00BC356F"/>
    <w:rsid w:val="00BC392E"/>
    <w:rsid w:val="00BC39AA"/>
    <w:rsid w:val="00BC3A1B"/>
    <w:rsid w:val="00BC3B7E"/>
    <w:rsid w:val="00BC3C01"/>
    <w:rsid w:val="00BC3CDC"/>
    <w:rsid w:val="00BC3CEA"/>
    <w:rsid w:val="00BC3E6B"/>
    <w:rsid w:val="00BC3F07"/>
    <w:rsid w:val="00BC3F41"/>
    <w:rsid w:val="00BC4094"/>
    <w:rsid w:val="00BC40A9"/>
    <w:rsid w:val="00BC41C0"/>
    <w:rsid w:val="00BC4295"/>
    <w:rsid w:val="00BC442B"/>
    <w:rsid w:val="00BC468E"/>
    <w:rsid w:val="00BC47E9"/>
    <w:rsid w:val="00BC4917"/>
    <w:rsid w:val="00BC49FE"/>
    <w:rsid w:val="00BC4BA3"/>
    <w:rsid w:val="00BC4C73"/>
    <w:rsid w:val="00BC4C9F"/>
    <w:rsid w:val="00BC4CFE"/>
    <w:rsid w:val="00BC4DC5"/>
    <w:rsid w:val="00BC4E1D"/>
    <w:rsid w:val="00BC4E72"/>
    <w:rsid w:val="00BC4F4C"/>
    <w:rsid w:val="00BC5028"/>
    <w:rsid w:val="00BC5059"/>
    <w:rsid w:val="00BC511D"/>
    <w:rsid w:val="00BC5484"/>
    <w:rsid w:val="00BC5628"/>
    <w:rsid w:val="00BC5681"/>
    <w:rsid w:val="00BC5750"/>
    <w:rsid w:val="00BC57E4"/>
    <w:rsid w:val="00BC585D"/>
    <w:rsid w:val="00BC589B"/>
    <w:rsid w:val="00BC5A35"/>
    <w:rsid w:val="00BC5A55"/>
    <w:rsid w:val="00BC5C4C"/>
    <w:rsid w:val="00BC5D1D"/>
    <w:rsid w:val="00BC5E65"/>
    <w:rsid w:val="00BC60C0"/>
    <w:rsid w:val="00BC60EB"/>
    <w:rsid w:val="00BC6201"/>
    <w:rsid w:val="00BC62BA"/>
    <w:rsid w:val="00BC62ED"/>
    <w:rsid w:val="00BC660C"/>
    <w:rsid w:val="00BC6752"/>
    <w:rsid w:val="00BC6769"/>
    <w:rsid w:val="00BC6947"/>
    <w:rsid w:val="00BC6A2C"/>
    <w:rsid w:val="00BC6A49"/>
    <w:rsid w:val="00BC6BA0"/>
    <w:rsid w:val="00BC6BA2"/>
    <w:rsid w:val="00BC6CA5"/>
    <w:rsid w:val="00BC6D14"/>
    <w:rsid w:val="00BC6D1A"/>
    <w:rsid w:val="00BC70E4"/>
    <w:rsid w:val="00BC718B"/>
    <w:rsid w:val="00BC719F"/>
    <w:rsid w:val="00BC71B1"/>
    <w:rsid w:val="00BC7290"/>
    <w:rsid w:val="00BC7393"/>
    <w:rsid w:val="00BC73A2"/>
    <w:rsid w:val="00BC73A4"/>
    <w:rsid w:val="00BC743B"/>
    <w:rsid w:val="00BC7468"/>
    <w:rsid w:val="00BC758C"/>
    <w:rsid w:val="00BC77C9"/>
    <w:rsid w:val="00BC788F"/>
    <w:rsid w:val="00BC7B35"/>
    <w:rsid w:val="00BC7DC5"/>
    <w:rsid w:val="00BC7E2B"/>
    <w:rsid w:val="00BC7E54"/>
    <w:rsid w:val="00BC7F3C"/>
    <w:rsid w:val="00BD0353"/>
    <w:rsid w:val="00BD03CD"/>
    <w:rsid w:val="00BD0507"/>
    <w:rsid w:val="00BD0707"/>
    <w:rsid w:val="00BD08CC"/>
    <w:rsid w:val="00BD0ACB"/>
    <w:rsid w:val="00BD0C00"/>
    <w:rsid w:val="00BD0CA4"/>
    <w:rsid w:val="00BD0D45"/>
    <w:rsid w:val="00BD0DA4"/>
    <w:rsid w:val="00BD0F16"/>
    <w:rsid w:val="00BD0FE3"/>
    <w:rsid w:val="00BD1012"/>
    <w:rsid w:val="00BD1097"/>
    <w:rsid w:val="00BD1188"/>
    <w:rsid w:val="00BD1282"/>
    <w:rsid w:val="00BD1349"/>
    <w:rsid w:val="00BD14D1"/>
    <w:rsid w:val="00BD14D7"/>
    <w:rsid w:val="00BD1522"/>
    <w:rsid w:val="00BD1527"/>
    <w:rsid w:val="00BD16C5"/>
    <w:rsid w:val="00BD197F"/>
    <w:rsid w:val="00BD19A0"/>
    <w:rsid w:val="00BD1AFB"/>
    <w:rsid w:val="00BD1B3D"/>
    <w:rsid w:val="00BD1D83"/>
    <w:rsid w:val="00BD1E6D"/>
    <w:rsid w:val="00BD1F8E"/>
    <w:rsid w:val="00BD1FE9"/>
    <w:rsid w:val="00BD20DC"/>
    <w:rsid w:val="00BD2269"/>
    <w:rsid w:val="00BD22D3"/>
    <w:rsid w:val="00BD2733"/>
    <w:rsid w:val="00BD284B"/>
    <w:rsid w:val="00BD284E"/>
    <w:rsid w:val="00BD290C"/>
    <w:rsid w:val="00BD2A68"/>
    <w:rsid w:val="00BD2B17"/>
    <w:rsid w:val="00BD2D4B"/>
    <w:rsid w:val="00BD2D9D"/>
    <w:rsid w:val="00BD2E81"/>
    <w:rsid w:val="00BD32AB"/>
    <w:rsid w:val="00BD347D"/>
    <w:rsid w:val="00BD34A8"/>
    <w:rsid w:val="00BD377F"/>
    <w:rsid w:val="00BD380F"/>
    <w:rsid w:val="00BD3921"/>
    <w:rsid w:val="00BD3977"/>
    <w:rsid w:val="00BD3CDF"/>
    <w:rsid w:val="00BD3E15"/>
    <w:rsid w:val="00BD3F2F"/>
    <w:rsid w:val="00BD4205"/>
    <w:rsid w:val="00BD422D"/>
    <w:rsid w:val="00BD4250"/>
    <w:rsid w:val="00BD434B"/>
    <w:rsid w:val="00BD47BE"/>
    <w:rsid w:val="00BD4AB9"/>
    <w:rsid w:val="00BD4CC2"/>
    <w:rsid w:val="00BD4CE6"/>
    <w:rsid w:val="00BD4E2E"/>
    <w:rsid w:val="00BD4F86"/>
    <w:rsid w:val="00BD5008"/>
    <w:rsid w:val="00BD51D8"/>
    <w:rsid w:val="00BD5519"/>
    <w:rsid w:val="00BD555F"/>
    <w:rsid w:val="00BD55F9"/>
    <w:rsid w:val="00BD564F"/>
    <w:rsid w:val="00BD574B"/>
    <w:rsid w:val="00BD586E"/>
    <w:rsid w:val="00BD5937"/>
    <w:rsid w:val="00BD5A43"/>
    <w:rsid w:val="00BD5AAA"/>
    <w:rsid w:val="00BD5B9C"/>
    <w:rsid w:val="00BD5BE2"/>
    <w:rsid w:val="00BD5D97"/>
    <w:rsid w:val="00BD5F96"/>
    <w:rsid w:val="00BD604B"/>
    <w:rsid w:val="00BD60BA"/>
    <w:rsid w:val="00BD6164"/>
    <w:rsid w:val="00BD62D8"/>
    <w:rsid w:val="00BD6600"/>
    <w:rsid w:val="00BD6695"/>
    <w:rsid w:val="00BD699E"/>
    <w:rsid w:val="00BD69C0"/>
    <w:rsid w:val="00BD6C61"/>
    <w:rsid w:val="00BD6D27"/>
    <w:rsid w:val="00BD6E81"/>
    <w:rsid w:val="00BD700E"/>
    <w:rsid w:val="00BD7252"/>
    <w:rsid w:val="00BD739C"/>
    <w:rsid w:val="00BD73AC"/>
    <w:rsid w:val="00BD75B9"/>
    <w:rsid w:val="00BD763E"/>
    <w:rsid w:val="00BD7659"/>
    <w:rsid w:val="00BD76F1"/>
    <w:rsid w:val="00BD77AC"/>
    <w:rsid w:val="00BD77D3"/>
    <w:rsid w:val="00BD7958"/>
    <w:rsid w:val="00BD7AB8"/>
    <w:rsid w:val="00BD7E27"/>
    <w:rsid w:val="00BD7E85"/>
    <w:rsid w:val="00BD7F55"/>
    <w:rsid w:val="00BE0118"/>
    <w:rsid w:val="00BE0174"/>
    <w:rsid w:val="00BE023F"/>
    <w:rsid w:val="00BE0291"/>
    <w:rsid w:val="00BE02CC"/>
    <w:rsid w:val="00BE035D"/>
    <w:rsid w:val="00BE0385"/>
    <w:rsid w:val="00BE03C7"/>
    <w:rsid w:val="00BE03FA"/>
    <w:rsid w:val="00BE0564"/>
    <w:rsid w:val="00BE0582"/>
    <w:rsid w:val="00BE0630"/>
    <w:rsid w:val="00BE0765"/>
    <w:rsid w:val="00BE0781"/>
    <w:rsid w:val="00BE07B3"/>
    <w:rsid w:val="00BE0A31"/>
    <w:rsid w:val="00BE0B17"/>
    <w:rsid w:val="00BE0F46"/>
    <w:rsid w:val="00BE0FD2"/>
    <w:rsid w:val="00BE0FD8"/>
    <w:rsid w:val="00BE1142"/>
    <w:rsid w:val="00BE11C5"/>
    <w:rsid w:val="00BE12D7"/>
    <w:rsid w:val="00BE142D"/>
    <w:rsid w:val="00BE17C7"/>
    <w:rsid w:val="00BE1816"/>
    <w:rsid w:val="00BE1817"/>
    <w:rsid w:val="00BE18EA"/>
    <w:rsid w:val="00BE1A59"/>
    <w:rsid w:val="00BE1AAF"/>
    <w:rsid w:val="00BE1BBB"/>
    <w:rsid w:val="00BE1E0D"/>
    <w:rsid w:val="00BE1F5B"/>
    <w:rsid w:val="00BE1F5D"/>
    <w:rsid w:val="00BE2192"/>
    <w:rsid w:val="00BE22BE"/>
    <w:rsid w:val="00BE2420"/>
    <w:rsid w:val="00BE242E"/>
    <w:rsid w:val="00BE24A1"/>
    <w:rsid w:val="00BE253A"/>
    <w:rsid w:val="00BE2554"/>
    <w:rsid w:val="00BE2568"/>
    <w:rsid w:val="00BE2617"/>
    <w:rsid w:val="00BE2656"/>
    <w:rsid w:val="00BE27AB"/>
    <w:rsid w:val="00BE286E"/>
    <w:rsid w:val="00BE2907"/>
    <w:rsid w:val="00BE2919"/>
    <w:rsid w:val="00BE2922"/>
    <w:rsid w:val="00BE292B"/>
    <w:rsid w:val="00BE2C0C"/>
    <w:rsid w:val="00BE2C32"/>
    <w:rsid w:val="00BE2D50"/>
    <w:rsid w:val="00BE2E05"/>
    <w:rsid w:val="00BE2E6D"/>
    <w:rsid w:val="00BE2F75"/>
    <w:rsid w:val="00BE2F93"/>
    <w:rsid w:val="00BE2FC8"/>
    <w:rsid w:val="00BE339C"/>
    <w:rsid w:val="00BE339D"/>
    <w:rsid w:val="00BE3808"/>
    <w:rsid w:val="00BE3B64"/>
    <w:rsid w:val="00BE3C09"/>
    <w:rsid w:val="00BE3EB3"/>
    <w:rsid w:val="00BE4068"/>
    <w:rsid w:val="00BE40E8"/>
    <w:rsid w:val="00BE4134"/>
    <w:rsid w:val="00BE415D"/>
    <w:rsid w:val="00BE420A"/>
    <w:rsid w:val="00BE43F8"/>
    <w:rsid w:val="00BE467F"/>
    <w:rsid w:val="00BE46F8"/>
    <w:rsid w:val="00BE47BD"/>
    <w:rsid w:val="00BE4832"/>
    <w:rsid w:val="00BE49AE"/>
    <w:rsid w:val="00BE4A0B"/>
    <w:rsid w:val="00BE4BAD"/>
    <w:rsid w:val="00BE4CF0"/>
    <w:rsid w:val="00BE4D4F"/>
    <w:rsid w:val="00BE4DF4"/>
    <w:rsid w:val="00BE509E"/>
    <w:rsid w:val="00BE51E7"/>
    <w:rsid w:val="00BE533B"/>
    <w:rsid w:val="00BE53BE"/>
    <w:rsid w:val="00BE53EF"/>
    <w:rsid w:val="00BE5433"/>
    <w:rsid w:val="00BE5A13"/>
    <w:rsid w:val="00BE5A90"/>
    <w:rsid w:val="00BE5F22"/>
    <w:rsid w:val="00BE5F25"/>
    <w:rsid w:val="00BE5FEF"/>
    <w:rsid w:val="00BE60BF"/>
    <w:rsid w:val="00BE62AC"/>
    <w:rsid w:val="00BE6822"/>
    <w:rsid w:val="00BE687D"/>
    <w:rsid w:val="00BE68F9"/>
    <w:rsid w:val="00BE6964"/>
    <w:rsid w:val="00BE6999"/>
    <w:rsid w:val="00BE6C06"/>
    <w:rsid w:val="00BE6C71"/>
    <w:rsid w:val="00BE6E11"/>
    <w:rsid w:val="00BE712B"/>
    <w:rsid w:val="00BE7300"/>
    <w:rsid w:val="00BE7401"/>
    <w:rsid w:val="00BE767C"/>
    <w:rsid w:val="00BE7758"/>
    <w:rsid w:val="00BE777D"/>
    <w:rsid w:val="00BE77D3"/>
    <w:rsid w:val="00BE7A52"/>
    <w:rsid w:val="00BE7C69"/>
    <w:rsid w:val="00BE7E81"/>
    <w:rsid w:val="00BF004A"/>
    <w:rsid w:val="00BF00C7"/>
    <w:rsid w:val="00BF0122"/>
    <w:rsid w:val="00BF0185"/>
    <w:rsid w:val="00BF01D0"/>
    <w:rsid w:val="00BF060D"/>
    <w:rsid w:val="00BF082D"/>
    <w:rsid w:val="00BF0830"/>
    <w:rsid w:val="00BF087A"/>
    <w:rsid w:val="00BF094A"/>
    <w:rsid w:val="00BF0B2A"/>
    <w:rsid w:val="00BF0C92"/>
    <w:rsid w:val="00BF0DAC"/>
    <w:rsid w:val="00BF1733"/>
    <w:rsid w:val="00BF1772"/>
    <w:rsid w:val="00BF17B0"/>
    <w:rsid w:val="00BF18B3"/>
    <w:rsid w:val="00BF18ED"/>
    <w:rsid w:val="00BF1AA3"/>
    <w:rsid w:val="00BF1B14"/>
    <w:rsid w:val="00BF1C32"/>
    <w:rsid w:val="00BF1C4F"/>
    <w:rsid w:val="00BF1CD4"/>
    <w:rsid w:val="00BF1DA7"/>
    <w:rsid w:val="00BF1E40"/>
    <w:rsid w:val="00BF1E47"/>
    <w:rsid w:val="00BF1F8D"/>
    <w:rsid w:val="00BF1FBB"/>
    <w:rsid w:val="00BF2126"/>
    <w:rsid w:val="00BF21F3"/>
    <w:rsid w:val="00BF22A2"/>
    <w:rsid w:val="00BF238E"/>
    <w:rsid w:val="00BF2473"/>
    <w:rsid w:val="00BF25CA"/>
    <w:rsid w:val="00BF2602"/>
    <w:rsid w:val="00BF28D2"/>
    <w:rsid w:val="00BF2ABA"/>
    <w:rsid w:val="00BF2B41"/>
    <w:rsid w:val="00BF2B93"/>
    <w:rsid w:val="00BF2C7C"/>
    <w:rsid w:val="00BF2CFD"/>
    <w:rsid w:val="00BF2F95"/>
    <w:rsid w:val="00BF306B"/>
    <w:rsid w:val="00BF325D"/>
    <w:rsid w:val="00BF329D"/>
    <w:rsid w:val="00BF33E7"/>
    <w:rsid w:val="00BF356C"/>
    <w:rsid w:val="00BF365A"/>
    <w:rsid w:val="00BF3755"/>
    <w:rsid w:val="00BF38BC"/>
    <w:rsid w:val="00BF397E"/>
    <w:rsid w:val="00BF3B06"/>
    <w:rsid w:val="00BF3B49"/>
    <w:rsid w:val="00BF3C78"/>
    <w:rsid w:val="00BF3D38"/>
    <w:rsid w:val="00BF3DFC"/>
    <w:rsid w:val="00BF4407"/>
    <w:rsid w:val="00BF4416"/>
    <w:rsid w:val="00BF44EF"/>
    <w:rsid w:val="00BF4510"/>
    <w:rsid w:val="00BF472E"/>
    <w:rsid w:val="00BF475A"/>
    <w:rsid w:val="00BF47A2"/>
    <w:rsid w:val="00BF484B"/>
    <w:rsid w:val="00BF4941"/>
    <w:rsid w:val="00BF49BC"/>
    <w:rsid w:val="00BF4AE7"/>
    <w:rsid w:val="00BF4B0D"/>
    <w:rsid w:val="00BF4D0E"/>
    <w:rsid w:val="00BF4EF3"/>
    <w:rsid w:val="00BF511F"/>
    <w:rsid w:val="00BF5279"/>
    <w:rsid w:val="00BF52D2"/>
    <w:rsid w:val="00BF551C"/>
    <w:rsid w:val="00BF563F"/>
    <w:rsid w:val="00BF5693"/>
    <w:rsid w:val="00BF5747"/>
    <w:rsid w:val="00BF57FB"/>
    <w:rsid w:val="00BF5AF1"/>
    <w:rsid w:val="00BF5C2D"/>
    <w:rsid w:val="00BF5CE4"/>
    <w:rsid w:val="00BF5DC1"/>
    <w:rsid w:val="00BF5E88"/>
    <w:rsid w:val="00BF5E9E"/>
    <w:rsid w:val="00BF5F09"/>
    <w:rsid w:val="00BF604F"/>
    <w:rsid w:val="00BF614C"/>
    <w:rsid w:val="00BF6282"/>
    <w:rsid w:val="00BF640C"/>
    <w:rsid w:val="00BF6469"/>
    <w:rsid w:val="00BF6478"/>
    <w:rsid w:val="00BF6504"/>
    <w:rsid w:val="00BF65C5"/>
    <w:rsid w:val="00BF65CC"/>
    <w:rsid w:val="00BF66AD"/>
    <w:rsid w:val="00BF675A"/>
    <w:rsid w:val="00BF6775"/>
    <w:rsid w:val="00BF68FD"/>
    <w:rsid w:val="00BF69AF"/>
    <w:rsid w:val="00BF6B82"/>
    <w:rsid w:val="00BF6D03"/>
    <w:rsid w:val="00BF6D7D"/>
    <w:rsid w:val="00BF6EAA"/>
    <w:rsid w:val="00BF73B6"/>
    <w:rsid w:val="00BF7476"/>
    <w:rsid w:val="00BF755C"/>
    <w:rsid w:val="00BF773B"/>
    <w:rsid w:val="00BF7774"/>
    <w:rsid w:val="00BF78F7"/>
    <w:rsid w:val="00BF79ED"/>
    <w:rsid w:val="00BF7A07"/>
    <w:rsid w:val="00BF7D16"/>
    <w:rsid w:val="00C0008F"/>
    <w:rsid w:val="00C00112"/>
    <w:rsid w:val="00C00154"/>
    <w:rsid w:val="00C001E6"/>
    <w:rsid w:val="00C003A4"/>
    <w:rsid w:val="00C00457"/>
    <w:rsid w:val="00C004B9"/>
    <w:rsid w:val="00C00735"/>
    <w:rsid w:val="00C00A4E"/>
    <w:rsid w:val="00C00BC6"/>
    <w:rsid w:val="00C00C4C"/>
    <w:rsid w:val="00C00CC0"/>
    <w:rsid w:val="00C00D93"/>
    <w:rsid w:val="00C00EB6"/>
    <w:rsid w:val="00C00EE9"/>
    <w:rsid w:val="00C00F1B"/>
    <w:rsid w:val="00C0107F"/>
    <w:rsid w:val="00C01088"/>
    <w:rsid w:val="00C010BD"/>
    <w:rsid w:val="00C0126F"/>
    <w:rsid w:val="00C01288"/>
    <w:rsid w:val="00C01294"/>
    <w:rsid w:val="00C012D4"/>
    <w:rsid w:val="00C0148C"/>
    <w:rsid w:val="00C014B5"/>
    <w:rsid w:val="00C01615"/>
    <w:rsid w:val="00C0168C"/>
    <w:rsid w:val="00C018C2"/>
    <w:rsid w:val="00C0196B"/>
    <w:rsid w:val="00C01DB9"/>
    <w:rsid w:val="00C020CE"/>
    <w:rsid w:val="00C02265"/>
    <w:rsid w:val="00C02344"/>
    <w:rsid w:val="00C0249E"/>
    <w:rsid w:val="00C02565"/>
    <w:rsid w:val="00C02671"/>
    <w:rsid w:val="00C02680"/>
    <w:rsid w:val="00C027ED"/>
    <w:rsid w:val="00C02979"/>
    <w:rsid w:val="00C02D96"/>
    <w:rsid w:val="00C02E7E"/>
    <w:rsid w:val="00C02F93"/>
    <w:rsid w:val="00C034A3"/>
    <w:rsid w:val="00C03538"/>
    <w:rsid w:val="00C035B7"/>
    <w:rsid w:val="00C03758"/>
    <w:rsid w:val="00C037C3"/>
    <w:rsid w:val="00C038C7"/>
    <w:rsid w:val="00C039AD"/>
    <w:rsid w:val="00C03A65"/>
    <w:rsid w:val="00C03B1A"/>
    <w:rsid w:val="00C03B93"/>
    <w:rsid w:val="00C03D62"/>
    <w:rsid w:val="00C03FAA"/>
    <w:rsid w:val="00C04180"/>
    <w:rsid w:val="00C04287"/>
    <w:rsid w:val="00C04390"/>
    <w:rsid w:val="00C043AA"/>
    <w:rsid w:val="00C04460"/>
    <w:rsid w:val="00C04510"/>
    <w:rsid w:val="00C0463D"/>
    <w:rsid w:val="00C0489D"/>
    <w:rsid w:val="00C048AA"/>
    <w:rsid w:val="00C04A0F"/>
    <w:rsid w:val="00C04AAE"/>
    <w:rsid w:val="00C04AEE"/>
    <w:rsid w:val="00C04C26"/>
    <w:rsid w:val="00C04C7A"/>
    <w:rsid w:val="00C04D2A"/>
    <w:rsid w:val="00C04F4A"/>
    <w:rsid w:val="00C05038"/>
    <w:rsid w:val="00C0515E"/>
    <w:rsid w:val="00C051FD"/>
    <w:rsid w:val="00C05206"/>
    <w:rsid w:val="00C05324"/>
    <w:rsid w:val="00C05781"/>
    <w:rsid w:val="00C057F6"/>
    <w:rsid w:val="00C05925"/>
    <w:rsid w:val="00C05A4C"/>
    <w:rsid w:val="00C05AE0"/>
    <w:rsid w:val="00C05B6E"/>
    <w:rsid w:val="00C05B8A"/>
    <w:rsid w:val="00C05BB4"/>
    <w:rsid w:val="00C05BED"/>
    <w:rsid w:val="00C05D00"/>
    <w:rsid w:val="00C05DD6"/>
    <w:rsid w:val="00C05EDF"/>
    <w:rsid w:val="00C05F78"/>
    <w:rsid w:val="00C05F9C"/>
    <w:rsid w:val="00C060D7"/>
    <w:rsid w:val="00C062BF"/>
    <w:rsid w:val="00C062CF"/>
    <w:rsid w:val="00C0650D"/>
    <w:rsid w:val="00C06537"/>
    <w:rsid w:val="00C067DF"/>
    <w:rsid w:val="00C067FC"/>
    <w:rsid w:val="00C06BC0"/>
    <w:rsid w:val="00C06F0E"/>
    <w:rsid w:val="00C06FD5"/>
    <w:rsid w:val="00C070D5"/>
    <w:rsid w:val="00C0710C"/>
    <w:rsid w:val="00C07121"/>
    <w:rsid w:val="00C07223"/>
    <w:rsid w:val="00C07287"/>
    <w:rsid w:val="00C073BE"/>
    <w:rsid w:val="00C07455"/>
    <w:rsid w:val="00C074D5"/>
    <w:rsid w:val="00C07695"/>
    <w:rsid w:val="00C07816"/>
    <w:rsid w:val="00C07A05"/>
    <w:rsid w:val="00C07A68"/>
    <w:rsid w:val="00C07A73"/>
    <w:rsid w:val="00C07C15"/>
    <w:rsid w:val="00C07C2F"/>
    <w:rsid w:val="00C07E65"/>
    <w:rsid w:val="00C1004D"/>
    <w:rsid w:val="00C1022E"/>
    <w:rsid w:val="00C102FD"/>
    <w:rsid w:val="00C10385"/>
    <w:rsid w:val="00C10502"/>
    <w:rsid w:val="00C106FF"/>
    <w:rsid w:val="00C107A4"/>
    <w:rsid w:val="00C10AE4"/>
    <w:rsid w:val="00C10B9B"/>
    <w:rsid w:val="00C10C48"/>
    <w:rsid w:val="00C10C4E"/>
    <w:rsid w:val="00C10C5F"/>
    <w:rsid w:val="00C10FF9"/>
    <w:rsid w:val="00C110EA"/>
    <w:rsid w:val="00C11120"/>
    <w:rsid w:val="00C111D1"/>
    <w:rsid w:val="00C113EE"/>
    <w:rsid w:val="00C11449"/>
    <w:rsid w:val="00C11455"/>
    <w:rsid w:val="00C1148C"/>
    <w:rsid w:val="00C114A0"/>
    <w:rsid w:val="00C114C1"/>
    <w:rsid w:val="00C11565"/>
    <w:rsid w:val="00C11917"/>
    <w:rsid w:val="00C11A46"/>
    <w:rsid w:val="00C11ABD"/>
    <w:rsid w:val="00C11B42"/>
    <w:rsid w:val="00C11BE9"/>
    <w:rsid w:val="00C11BEE"/>
    <w:rsid w:val="00C11BFB"/>
    <w:rsid w:val="00C11C78"/>
    <w:rsid w:val="00C11DE1"/>
    <w:rsid w:val="00C11DED"/>
    <w:rsid w:val="00C11E3A"/>
    <w:rsid w:val="00C11EFF"/>
    <w:rsid w:val="00C120A9"/>
    <w:rsid w:val="00C12164"/>
    <w:rsid w:val="00C12187"/>
    <w:rsid w:val="00C122EA"/>
    <w:rsid w:val="00C1237F"/>
    <w:rsid w:val="00C1239B"/>
    <w:rsid w:val="00C123CC"/>
    <w:rsid w:val="00C12426"/>
    <w:rsid w:val="00C125A2"/>
    <w:rsid w:val="00C125AE"/>
    <w:rsid w:val="00C125E9"/>
    <w:rsid w:val="00C12811"/>
    <w:rsid w:val="00C128D0"/>
    <w:rsid w:val="00C12C64"/>
    <w:rsid w:val="00C12CBC"/>
    <w:rsid w:val="00C12D31"/>
    <w:rsid w:val="00C12E1F"/>
    <w:rsid w:val="00C12E5A"/>
    <w:rsid w:val="00C12F5D"/>
    <w:rsid w:val="00C12FBA"/>
    <w:rsid w:val="00C131C0"/>
    <w:rsid w:val="00C1326F"/>
    <w:rsid w:val="00C132CA"/>
    <w:rsid w:val="00C132D3"/>
    <w:rsid w:val="00C134C1"/>
    <w:rsid w:val="00C13620"/>
    <w:rsid w:val="00C1373F"/>
    <w:rsid w:val="00C13743"/>
    <w:rsid w:val="00C1378F"/>
    <w:rsid w:val="00C137EC"/>
    <w:rsid w:val="00C138A2"/>
    <w:rsid w:val="00C13908"/>
    <w:rsid w:val="00C13A3F"/>
    <w:rsid w:val="00C13FED"/>
    <w:rsid w:val="00C142D0"/>
    <w:rsid w:val="00C143A9"/>
    <w:rsid w:val="00C143C9"/>
    <w:rsid w:val="00C1445F"/>
    <w:rsid w:val="00C1462F"/>
    <w:rsid w:val="00C14748"/>
    <w:rsid w:val="00C148F4"/>
    <w:rsid w:val="00C14A17"/>
    <w:rsid w:val="00C14B8E"/>
    <w:rsid w:val="00C14C7C"/>
    <w:rsid w:val="00C14EF0"/>
    <w:rsid w:val="00C14F9F"/>
    <w:rsid w:val="00C15073"/>
    <w:rsid w:val="00C150EB"/>
    <w:rsid w:val="00C15133"/>
    <w:rsid w:val="00C15148"/>
    <w:rsid w:val="00C15278"/>
    <w:rsid w:val="00C1535F"/>
    <w:rsid w:val="00C15403"/>
    <w:rsid w:val="00C1582E"/>
    <w:rsid w:val="00C15AD9"/>
    <w:rsid w:val="00C15ADB"/>
    <w:rsid w:val="00C15C81"/>
    <w:rsid w:val="00C15C8D"/>
    <w:rsid w:val="00C15D68"/>
    <w:rsid w:val="00C15DDA"/>
    <w:rsid w:val="00C15DE2"/>
    <w:rsid w:val="00C15EB1"/>
    <w:rsid w:val="00C15EE2"/>
    <w:rsid w:val="00C15F8E"/>
    <w:rsid w:val="00C1602B"/>
    <w:rsid w:val="00C16303"/>
    <w:rsid w:val="00C16437"/>
    <w:rsid w:val="00C1648A"/>
    <w:rsid w:val="00C16660"/>
    <w:rsid w:val="00C1687A"/>
    <w:rsid w:val="00C168D7"/>
    <w:rsid w:val="00C16956"/>
    <w:rsid w:val="00C169AC"/>
    <w:rsid w:val="00C16CA6"/>
    <w:rsid w:val="00C16D08"/>
    <w:rsid w:val="00C16F45"/>
    <w:rsid w:val="00C17063"/>
    <w:rsid w:val="00C1708A"/>
    <w:rsid w:val="00C171A1"/>
    <w:rsid w:val="00C171BA"/>
    <w:rsid w:val="00C1722C"/>
    <w:rsid w:val="00C1732B"/>
    <w:rsid w:val="00C17336"/>
    <w:rsid w:val="00C174F4"/>
    <w:rsid w:val="00C17655"/>
    <w:rsid w:val="00C1767E"/>
    <w:rsid w:val="00C17742"/>
    <w:rsid w:val="00C17839"/>
    <w:rsid w:val="00C17A6A"/>
    <w:rsid w:val="00C17B19"/>
    <w:rsid w:val="00C17B7B"/>
    <w:rsid w:val="00C17BAF"/>
    <w:rsid w:val="00C17C06"/>
    <w:rsid w:val="00C17F72"/>
    <w:rsid w:val="00C2000D"/>
    <w:rsid w:val="00C201B2"/>
    <w:rsid w:val="00C202B8"/>
    <w:rsid w:val="00C20332"/>
    <w:rsid w:val="00C20381"/>
    <w:rsid w:val="00C205BD"/>
    <w:rsid w:val="00C2073D"/>
    <w:rsid w:val="00C20804"/>
    <w:rsid w:val="00C209C8"/>
    <w:rsid w:val="00C209E9"/>
    <w:rsid w:val="00C20A23"/>
    <w:rsid w:val="00C20B38"/>
    <w:rsid w:val="00C20B9E"/>
    <w:rsid w:val="00C20C26"/>
    <w:rsid w:val="00C20CBA"/>
    <w:rsid w:val="00C20EE2"/>
    <w:rsid w:val="00C20F11"/>
    <w:rsid w:val="00C20FEE"/>
    <w:rsid w:val="00C21110"/>
    <w:rsid w:val="00C2128F"/>
    <w:rsid w:val="00C212B2"/>
    <w:rsid w:val="00C2131C"/>
    <w:rsid w:val="00C21537"/>
    <w:rsid w:val="00C2159D"/>
    <w:rsid w:val="00C21638"/>
    <w:rsid w:val="00C2187A"/>
    <w:rsid w:val="00C2198D"/>
    <w:rsid w:val="00C21ACE"/>
    <w:rsid w:val="00C21C2D"/>
    <w:rsid w:val="00C21D25"/>
    <w:rsid w:val="00C21EF6"/>
    <w:rsid w:val="00C21F71"/>
    <w:rsid w:val="00C21FE1"/>
    <w:rsid w:val="00C2212D"/>
    <w:rsid w:val="00C223D4"/>
    <w:rsid w:val="00C224C2"/>
    <w:rsid w:val="00C225CF"/>
    <w:rsid w:val="00C22632"/>
    <w:rsid w:val="00C227F1"/>
    <w:rsid w:val="00C22991"/>
    <w:rsid w:val="00C22B25"/>
    <w:rsid w:val="00C22CA5"/>
    <w:rsid w:val="00C22CED"/>
    <w:rsid w:val="00C22E1A"/>
    <w:rsid w:val="00C22E84"/>
    <w:rsid w:val="00C22FA7"/>
    <w:rsid w:val="00C22FCA"/>
    <w:rsid w:val="00C23299"/>
    <w:rsid w:val="00C23530"/>
    <w:rsid w:val="00C23882"/>
    <w:rsid w:val="00C238E5"/>
    <w:rsid w:val="00C238EB"/>
    <w:rsid w:val="00C239F1"/>
    <w:rsid w:val="00C23DE1"/>
    <w:rsid w:val="00C240C2"/>
    <w:rsid w:val="00C241AA"/>
    <w:rsid w:val="00C243D1"/>
    <w:rsid w:val="00C243E7"/>
    <w:rsid w:val="00C24634"/>
    <w:rsid w:val="00C24641"/>
    <w:rsid w:val="00C248B1"/>
    <w:rsid w:val="00C24997"/>
    <w:rsid w:val="00C24A0F"/>
    <w:rsid w:val="00C24AFC"/>
    <w:rsid w:val="00C24C17"/>
    <w:rsid w:val="00C24D0B"/>
    <w:rsid w:val="00C24D23"/>
    <w:rsid w:val="00C24D52"/>
    <w:rsid w:val="00C24EC8"/>
    <w:rsid w:val="00C250FD"/>
    <w:rsid w:val="00C25156"/>
    <w:rsid w:val="00C251D0"/>
    <w:rsid w:val="00C25201"/>
    <w:rsid w:val="00C25208"/>
    <w:rsid w:val="00C25598"/>
    <w:rsid w:val="00C25623"/>
    <w:rsid w:val="00C25845"/>
    <w:rsid w:val="00C25BF2"/>
    <w:rsid w:val="00C25D0A"/>
    <w:rsid w:val="00C25D1D"/>
    <w:rsid w:val="00C25D57"/>
    <w:rsid w:val="00C25E25"/>
    <w:rsid w:val="00C25EEC"/>
    <w:rsid w:val="00C25F47"/>
    <w:rsid w:val="00C2635C"/>
    <w:rsid w:val="00C263BE"/>
    <w:rsid w:val="00C265F2"/>
    <w:rsid w:val="00C266BC"/>
    <w:rsid w:val="00C26ACC"/>
    <w:rsid w:val="00C26B75"/>
    <w:rsid w:val="00C26BDB"/>
    <w:rsid w:val="00C26C2E"/>
    <w:rsid w:val="00C26F03"/>
    <w:rsid w:val="00C270AB"/>
    <w:rsid w:val="00C27799"/>
    <w:rsid w:val="00C27A48"/>
    <w:rsid w:val="00C27B17"/>
    <w:rsid w:val="00C27B23"/>
    <w:rsid w:val="00C27D3B"/>
    <w:rsid w:val="00C27E92"/>
    <w:rsid w:val="00C27F4E"/>
    <w:rsid w:val="00C27F56"/>
    <w:rsid w:val="00C300FE"/>
    <w:rsid w:val="00C3019B"/>
    <w:rsid w:val="00C302C0"/>
    <w:rsid w:val="00C3038B"/>
    <w:rsid w:val="00C30526"/>
    <w:rsid w:val="00C305DD"/>
    <w:rsid w:val="00C30879"/>
    <w:rsid w:val="00C30B30"/>
    <w:rsid w:val="00C30B60"/>
    <w:rsid w:val="00C30B9A"/>
    <w:rsid w:val="00C30C88"/>
    <w:rsid w:val="00C30CC2"/>
    <w:rsid w:val="00C30E2A"/>
    <w:rsid w:val="00C30F66"/>
    <w:rsid w:val="00C31301"/>
    <w:rsid w:val="00C3135D"/>
    <w:rsid w:val="00C31395"/>
    <w:rsid w:val="00C315BF"/>
    <w:rsid w:val="00C3198C"/>
    <w:rsid w:val="00C319E8"/>
    <w:rsid w:val="00C319EF"/>
    <w:rsid w:val="00C31E74"/>
    <w:rsid w:val="00C32237"/>
    <w:rsid w:val="00C32273"/>
    <w:rsid w:val="00C32386"/>
    <w:rsid w:val="00C32498"/>
    <w:rsid w:val="00C324D9"/>
    <w:rsid w:val="00C32752"/>
    <w:rsid w:val="00C3287E"/>
    <w:rsid w:val="00C328F7"/>
    <w:rsid w:val="00C32A51"/>
    <w:rsid w:val="00C32AC5"/>
    <w:rsid w:val="00C32D6E"/>
    <w:rsid w:val="00C32E63"/>
    <w:rsid w:val="00C32E80"/>
    <w:rsid w:val="00C32F5F"/>
    <w:rsid w:val="00C33111"/>
    <w:rsid w:val="00C33112"/>
    <w:rsid w:val="00C33129"/>
    <w:rsid w:val="00C332A2"/>
    <w:rsid w:val="00C33486"/>
    <w:rsid w:val="00C3359D"/>
    <w:rsid w:val="00C335B3"/>
    <w:rsid w:val="00C335CB"/>
    <w:rsid w:val="00C336DD"/>
    <w:rsid w:val="00C3371C"/>
    <w:rsid w:val="00C3376E"/>
    <w:rsid w:val="00C337AA"/>
    <w:rsid w:val="00C337F4"/>
    <w:rsid w:val="00C3393D"/>
    <w:rsid w:val="00C3396E"/>
    <w:rsid w:val="00C33C09"/>
    <w:rsid w:val="00C33D77"/>
    <w:rsid w:val="00C33EC3"/>
    <w:rsid w:val="00C33EF2"/>
    <w:rsid w:val="00C33FE3"/>
    <w:rsid w:val="00C340BF"/>
    <w:rsid w:val="00C3421C"/>
    <w:rsid w:val="00C342CE"/>
    <w:rsid w:val="00C342F5"/>
    <w:rsid w:val="00C3433D"/>
    <w:rsid w:val="00C34479"/>
    <w:rsid w:val="00C344B4"/>
    <w:rsid w:val="00C34602"/>
    <w:rsid w:val="00C34BB2"/>
    <w:rsid w:val="00C34E3D"/>
    <w:rsid w:val="00C34F29"/>
    <w:rsid w:val="00C35015"/>
    <w:rsid w:val="00C35199"/>
    <w:rsid w:val="00C35244"/>
    <w:rsid w:val="00C3524F"/>
    <w:rsid w:val="00C35285"/>
    <w:rsid w:val="00C35365"/>
    <w:rsid w:val="00C35531"/>
    <w:rsid w:val="00C355BE"/>
    <w:rsid w:val="00C35850"/>
    <w:rsid w:val="00C3588D"/>
    <w:rsid w:val="00C35A04"/>
    <w:rsid w:val="00C35A31"/>
    <w:rsid w:val="00C36004"/>
    <w:rsid w:val="00C36054"/>
    <w:rsid w:val="00C36308"/>
    <w:rsid w:val="00C36728"/>
    <w:rsid w:val="00C36830"/>
    <w:rsid w:val="00C368B9"/>
    <w:rsid w:val="00C368D1"/>
    <w:rsid w:val="00C36959"/>
    <w:rsid w:val="00C36A38"/>
    <w:rsid w:val="00C36B66"/>
    <w:rsid w:val="00C36D09"/>
    <w:rsid w:val="00C36DA9"/>
    <w:rsid w:val="00C36E9D"/>
    <w:rsid w:val="00C36FD0"/>
    <w:rsid w:val="00C37030"/>
    <w:rsid w:val="00C37041"/>
    <w:rsid w:val="00C37187"/>
    <w:rsid w:val="00C372B5"/>
    <w:rsid w:val="00C3754E"/>
    <w:rsid w:val="00C37590"/>
    <w:rsid w:val="00C3768F"/>
    <w:rsid w:val="00C376BE"/>
    <w:rsid w:val="00C37D7E"/>
    <w:rsid w:val="00C37D94"/>
    <w:rsid w:val="00C37DBE"/>
    <w:rsid w:val="00C37ED1"/>
    <w:rsid w:val="00C37ED7"/>
    <w:rsid w:val="00C4006B"/>
    <w:rsid w:val="00C40210"/>
    <w:rsid w:val="00C402BB"/>
    <w:rsid w:val="00C402CF"/>
    <w:rsid w:val="00C406FB"/>
    <w:rsid w:val="00C407E2"/>
    <w:rsid w:val="00C4082E"/>
    <w:rsid w:val="00C408AD"/>
    <w:rsid w:val="00C40A12"/>
    <w:rsid w:val="00C40A92"/>
    <w:rsid w:val="00C40CBD"/>
    <w:rsid w:val="00C4100D"/>
    <w:rsid w:val="00C4106C"/>
    <w:rsid w:val="00C412D7"/>
    <w:rsid w:val="00C414AD"/>
    <w:rsid w:val="00C415DE"/>
    <w:rsid w:val="00C41841"/>
    <w:rsid w:val="00C418C5"/>
    <w:rsid w:val="00C419CF"/>
    <w:rsid w:val="00C41C0C"/>
    <w:rsid w:val="00C41C18"/>
    <w:rsid w:val="00C41F02"/>
    <w:rsid w:val="00C421DB"/>
    <w:rsid w:val="00C423C5"/>
    <w:rsid w:val="00C423EB"/>
    <w:rsid w:val="00C42483"/>
    <w:rsid w:val="00C424F1"/>
    <w:rsid w:val="00C425F2"/>
    <w:rsid w:val="00C42600"/>
    <w:rsid w:val="00C4293F"/>
    <w:rsid w:val="00C429D5"/>
    <w:rsid w:val="00C42AD5"/>
    <w:rsid w:val="00C42DA7"/>
    <w:rsid w:val="00C42E66"/>
    <w:rsid w:val="00C42F33"/>
    <w:rsid w:val="00C42F82"/>
    <w:rsid w:val="00C43436"/>
    <w:rsid w:val="00C434BA"/>
    <w:rsid w:val="00C43599"/>
    <w:rsid w:val="00C43617"/>
    <w:rsid w:val="00C43646"/>
    <w:rsid w:val="00C43650"/>
    <w:rsid w:val="00C4367E"/>
    <w:rsid w:val="00C43777"/>
    <w:rsid w:val="00C43879"/>
    <w:rsid w:val="00C4392C"/>
    <w:rsid w:val="00C4392F"/>
    <w:rsid w:val="00C43959"/>
    <w:rsid w:val="00C43A42"/>
    <w:rsid w:val="00C43BA8"/>
    <w:rsid w:val="00C43E81"/>
    <w:rsid w:val="00C43EAE"/>
    <w:rsid w:val="00C44195"/>
    <w:rsid w:val="00C44319"/>
    <w:rsid w:val="00C44321"/>
    <w:rsid w:val="00C445E8"/>
    <w:rsid w:val="00C447E0"/>
    <w:rsid w:val="00C447F3"/>
    <w:rsid w:val="00C44A5B"/>
    <w:rsid w:val="00C44A78"/>
    <w:rsid w:val="00C44DE6"/>
    <w:rsid w:val="00C44FE7"/>
    <w:rsid w:val="00C45175"/>
    <w:rsid w:val="00C45234"/>
    <w:rsid w:val="00C4533A"/>
    <w:rsid w:val="00C45529"/>
    <w:rsid w:val="00C45609"/>
    <w:rsid w:val="00C45636"/>
    <w:rsid w:val="00C45730"/>
    <w:rsid w:val="00C457B8"/>
    <w:rsid w:val="00C45A08"/>
    <w:rsid w:val="00C45AB9"/>
    <w:rsid w:val="00C45B15"/>
    <w:rsid w:val="00C45C1F"/>
    <w:rsid w:val="00C45F3A"/>
    <w:rsid w:val="00C460CD"/>
    <w:rsid w:val="00C4616B"/>
    <w:rsid w:val="00C461BE"/>
    <w:rsid w:val="00C462E1"/>
    <w:rsid w:val="00C462F4"/>
    <w:rsid w:val="00C46332"/>
    <w:rsid w:val="00C46402"/>
    <w:rsid w:val="00C46466"/>
    <w:rsid w:val="00C4646D"/>
    <w:rsid w:val="00C46B08"/>
    <w:rsid w:val="00C46BEB"/>
    <w:rsid w:val="00C46CBB"/>
    <w:rsid w:val="00C46E26"/>
    <w:rsid w:val="00C46E5D"/>
    <w:rsid w:val="00C46F06"/>
    <w:rsid w:val="00C46FB7"/>
    <w:rsid w:val="00C4702D"/>
    <w:rsid w:val="00C47205"/>
    <w:rsid w:val="00C4749A"/>
    <w:rsid w:val="00C474CB"/>
    <w:rsid w:val="00C474E8"/>
    <w:rsid w:val="00C474FC"/>
    <w:rsid w:val="00C47723"/>
    <w:rsid w:val="00C47810"/>
    <w:rsid w:val="00C47C13"/>
    <w:rsid w:val="00C47CBC"/>
    <w:rsid w:val="00C47F46"/>
    <w:rsid w:val="00C50003"/>
    <w:rsid w:val="00C50136"/>
    <w:rsid w:val="00C503AA"/>
    <w:rsid w:val="00C5043D"/>
    <w:rsid w:val="00C505BD"/>
    <w:rsid w:val="00C50698"/>
    <w:rsid w:val="00C5087B"/>
    <w:rsid w:val="00C50B29"/>
    <w:rsid w:val="00C50BC9"/>
    <w:rsid w:val="00C50C20"/>
    <w:rsid w:val="00C50C88"/>
    <w:rsid w:val="00C50CFE"/>
    <w:rsid w:val="00C50D00"/>
    <w:rsid w:val="00C50DEC"/>
    <w:rsid w:val="00C50DF2"/>
    <w:rsid w:val="00C50E2E"/>
    <w:rsid w:val="00C50E40"/>
    <w:rsid w:val="00C50ED4"/>
    <w:rsid w:val="00C51100"/>
    <w:rsid w:val="00C511D0"/>
    <w:rsid w:val="00C511E8"/>
    <w:rsid w:val="00C51487"/>
    <w:rsid w:val="00C514D2"/>
    <w:rsid w:val="00C514F2"/>
    <w:rsid w:val="00C5155C"/>
    <w:rsid w:val="00C5170B"/>
    <w:rsid w:val="00C5178E"/>
    <w:rsid w:val="00C517EB"/>
    <w:rsid w:val="00C51A89"/>
    <w:rsid w:val="00C51B74"/>
    <w:rsid w:val="00C51B9A"/>
    <w:rsid w:val="00C51BFF"/>
    <w:rsid w:val="00C51C08"/>
    <w:rsid w:val="00C51DFD"/>
    <w:rsid w:val="00C51E2F"/>
    <w:rsid w:val="00C51FB1"/>
    <w:rsid w:val="00C51FEA"/>
    <w:rsid w:val="00C51FF5"/>
    <w:rsid w:val="00C52113"/>
    <w:rsid w:val="00C5257E"/>
    <w:rsid w:val="00C52589"/>
    <w:rsid w:val="00C52594"/>
    <w:rsid w:val="00C5275E"/>
    <w:rsid w:val="00C52764"/>
    <w:rsid w:val="00C52769"/>
    <w:rsid w:val="00C5278C"/>
    <w:rsid w:val="00C5283D"/>
    <w:rsid w:val="00C5284D"/>
    <w:rsid w:val="00C52F14"/>
    <w:rsid w:val="00C530BA"/>
    <w:rsid w:val="00C530E0"/>
    <w:rsid w:val="00C53142"/>
    <w:rsid w:val="00C5319F"/>
    <w:rsid w:val="00C5335D"/>
    <w:rsid w:val="00C53471"/>
    <w:rsid w:val="00C53741"/>
    <w:rsid w:val="00C53B10"/>
    <w:rsid w:val="00C53CDF"/>
    <w:rsid w:val="00C53D7A"/>
    <w:rsid w:val="00C53F29"/>
    <w:rsid w:val="00C54049"/>
    <w:rsid w:val="00C54084"/>
    <w:rsid w:val="00C54104"/>
    <w:rsid w:val="00C54256"/>
    <w:rsid w:val="00C54358"/>
    <w:rsid w:val="00C543A8"/>
    <w:rsid w:val="00C54811"/>
    <w:rsid w:val="00C5483F"/>
    <w:rsid w:val="00C54898"/>
    <w:rsid w:val="00C54986"/>
    <w:rsid w:val="00C54A51"/>
    <w:rsid w:val="00C54A91"/>
    <w:rsid w:val="00C54B5B"/>
    <w:rsid w:val="00C54C18"/>
    <w:rsid w:val="00C54C74"/>
    <w:rsid w:val="00C54D9A"/>
    <w:rsid w:val="00C54DC0"/>
    <w:rsid w:val="00C54DEA"/>
    <w:rsid w:val="00C54E80"/>
    <w:rsid w:val="00C54FFE"/>
    <w:rsid w:val="00C55007"/>
    <w:rsid w:val="00C55644"/>
    <w:rsid w:val="00C5566D"/>
    <w:rsid w:val="00C5576F"/>
    <w:rsid w:val="00C5578C"/>
    <w:rsid w:val="00C5585B"/>
    <w:rsid w:val="00C559AF"/>
    <w:rsid w:val="00C55C22"/>
    <w:rsid w:val="00C55D88"/>
    <w:rsid w:val="00C55E20"/>
    <w:rsid w:val="00C55E5E"/>
    <w:rsid w:val="00C55EA8"/>
    <w:rsid w:val="00C55FD9"/>
    <w:rsid w:val="00C5612E"/>
    <w:rsid w:val="00C56187"/>
    <w:rsid w:val="00C561A0"/>
    <w:rsid w:val="00C562A6"/>
    <w:rsid w:val="00C5647A"/>
    <w:rsid w:val="00C5677D"/>
    <w:rsid w:val="00C569DB"/>
    <w:rsid w:val="00C56A01"/>
    <w:rsid w:val="00C56BDC"/>
    <w:rsid w:val="00C56DB2"/>
    <w:rsid w:val="00C56E6E"/>
    <w:rsid w:val="00C57058"/>
    <w:rsid w:val="00C571F9"/>
    <w:rsid w:val="00C57674"/>
    <w:rsid w:val="00C57675"/>
    <w:rsid w:val="00C5767A"/>
    <w:rsid w:val="00C576E6"/>
    <w:rsid w:val="00C57729"/>
    <w:rsid w:val="00C579B6"/>
    <w:rsid w:val="00C579E4"/>
    <w:rsid w:val="00C57A38"/>
    <w:rsid w:val="00C57A77"/>
    <w:rsid w:val="00C57A7A"/>
    <w:rsid w:val="00C57B16"/>
    <w:rsid w:val="00C57B17"/>
    <w:rsid w:val="00C57B5D"/>
    <w:rsid w:val="00C57C06"/>
    <w:rsid w:val="00C57D8C"/>
    <w:rsid w:val="00C57E14"/>
    <w:rsid w:val="00C57F4E"/>
    <w:rsid w:val="00C601D0"/>
    <w:rsid w:val="00C60212"/>
    <w:rsid w:val="00C602B2"/>
    <w:rsid w:val="00C6041D"/>
    <w:rsid w:val="00C60429"/>
    <w:rsid w:val="00C605BF"/>
    <w:rsid w:val="00C60612"/>
    <w:rsid w:val="00C60742"/>
    <w:rsid w:val="00C609D2"/>
    <w:rsid w:val="00C609E4"/>
    <w:rsid w:val="00C60B3F"/>
    <w:rsid w:val="00C60DCD"/>
    <w:rsid w:val="00C60DFB"/>
    <w:rsid w:val="00C60F3F"/>
    <w:rsid w:val="00C60FE0"/>
    <w:rsid w:val="00C60FE7"/>
    <w:rsid w:val="00C61162"/>
    <w:rsid w:val="00C61500"/>
    <w:rsid w:val="00C616BD"/>
    <w:rsid w:val="00C6175E"/>
    <w:rsid w:val="00C6180F"/>
    <w:rsid w:val="00C61997"/>
    <w:rsid w:val="00C619CB"/>
    <w:rsid w:val="00C61A83"/>
    <w:rsid w:val="00C61BA6"/>
    <w:rsid w:val="00C61DB4"/>
    <w:rsid w:val="00C61EE0"/>
    <w:rsid w:val="00C628CF"/>
    <w:rsid w:val="00C628EB"/>
    <w:rsid w:val="00C62907"/>
    <w:rsid w:val="00C62A34"/>
    <w:rsid w:val="00C62B53"/>
    <w:rsid w:val="00C62BB3"/>
    <w:rsid w:val="00C62C07"/>
    <w:rsid w:val="00C62C1C"/>
    <w:rsid w:val="00C62D28"/>
    <w:rsid w:val="00C62E93"/>
    <w:rsid w:val="00C62EB6"/>
    <w:rsid w:val="00C62F07"/>
    <w:rsid w:val="00C62F58"/>
    <w:rsid w:val="00C630E7"/>
    <w:rsid w:val="00C6329C"/>
    <w:rsid w:val="00C63388"/>
    <w:rsid w:val="00C63667"/>
    <w:rsid w:val="00C636A2"/>
    <w:rsid w:val="00C63899"/>
    <w:rsid w:val="00C639A0"/>
    <w:rsid w:val="00C63AB4"/>
    <w:rsid w:val="00C63D2E"/>
    <w:rsid w:val="00C63EA8"/>
    <w:rsid w:val="00C63F39"/>
    <w:rsid w:val="00C63FCE"/>
    <w:rsid w:val="00C641CD"/>
    <w:rsid w:val="00C6444C"/>
    <w:rsid w:val="00C644D9"/>
    <w:rsid w:val="00C6458E"/>
    <w:rsid w:val="00C64830"/>
    <w:rsid w:val="00C64A46"/>
    <w:rsid w:val="00C64A50"/>
    <w:rsid w:val="00C64C72"/>
    <w:rsid w:val="00C64CC1"/>
    <w:rsid w:val="00C64D14"/>
    <w:rsid w:val="00C64E15"/>
    <w:rsid w:val="00C64E46"/>
    <w:rsid w:val="00C64ED0"/>
    <w:rsid w:val="00C64F15"/>
    <w:rsid w:val="00C64FBA"/>
    <w:rsid w:val="00C6507A"/>
    <w:rsid w:val="00C6509B"/>
    <w:rsid w:val="00C650AB"/>
    <w:rsid w:val="00C6511C"/>
    <w:rsid w:val="00C6511F"/>
    <w:rsid w:val="00C65240"/>
    <w:rsid w:val="00C653DE"/>
    <w:rsid w:val="00C657CC"/>
    <w:rsid w:val="00C658AF"/>
    <w:rsid w:val="00C6590C"/>
    <w:rsid w:val="00C659F0"/>
    <w:rsid w:val="00C65BCC"/>
    <w:rsid w:val="00C65CF9"/>
    <w:rsid w:val="00C65EFC"/>
    <w:rsid w:val="00C65F05"/>
    <w:rsid w:val="00C65F2E"/>
    <w:rsid w:val="00C66071"/>
    <w:rsid w:val="00C663C8"/>
    <w:rsid w:val="00C66449"/>
    <w:rsid w:val="00C6647A"/>
    <w:rsid w:val="00C664CB"/>
    <w:rsid w:val="00C6654C"/>
    <w:rsid w:val="00C666F2"/>
    <w:rsid w:val="00C66729"/>
    <w:rsid w:val="00C6681C"/>
    <w:rsid w:val="00C6694B"/>
    <w:rsid w:val="00C66C0F"/>
    <w:rsid w:val="00C66C69"/>
    <w:rsid w:val="00C66D1E"/>
    <w:rsid w:val="00C67016"/>
    <w:rsid w:val="00C6725F"/>
    <w:rsid w:val="00C6733E"/>
    <w:rsid w:val="00C673B5"/>
    <w:rsid w:val="00C677CE"/>
    <w:rsid w:val="00C679F1"/>
    <w:rsid w:val="00C67A51"/>
    <w:rsid w:val="00C67D32"/>
    <w:rsid w:val="00C67EA9"/>
    <w:rsid w:val="00C67F25"/>
    <w:rsid w:val="00C67FC6"/>
    <w:rsid w:val="00C70221"/>
    <w:rsid w:val="00C703FC"/>
    <w:rsid w:val="00C7044B"/>
    <w:rsid w:val="00C704FD"/>
    <w:rsid w:val="00C706D1"/>
    <w:rsid w:val="00C70710"/>
    <w:rsid w:val="00C70A80"/>
    <w:rsid w:val="00C70E53"/>
    <w:rsid w:val="00C70F6C"/>
    <w:rsid w:val="00C70FA3"/>
    <w:rsid w:val="00C70FC6"/>
    <w:rsid w:val="00C70FFC"/>
    <w:rsid w:val="00C71059"/>
    <w:rsid w:val="00C714EA"/>
    <w:rsid w:val="00C71566"/>
    <w:rsid w:val="00C71570"/>
    <w:rsid w:val="00C71673"/>
    <w:rsid w:val="00C71772"/>
    <w:rsid w:val="00C718C0"/>
    <w:rsid w:val="00C7198A"/>
    <w:rsid w:val="00C7199F"/>
    <w:rsid w:val="00C71A4F"/>
    <w:rsid w:val="00C71ABA"/>
    <w:rsid w:val="00C71B4F"/>
    <w:rsid w:val="00C71CB1"/>
    <w:rsid w:val="00C71D39"/>
    <w:rsid w:val="00C71F46"/>
    <w:rsid w:val="00C720B7"/>
    <w:rsid w:val="00C722C1"/>
    <w:rsid w:val="00C72377"/>
    <w:rsid w:val="00C72470"/>
    <w:rsid w:val="00C7265E"/>
    <w:rsid w:val="00C726D0"/>
    <w:rsid w:val="00C727B7"/>
    <w:rsid w:val="00C72823"/>
    <w:rsid w:val="00C729D4"/>
    <w:rsid w:val="00C72A77"/>
    <w:rsid w:val="00C72A9F"/>
    <w:rsid w:val="00C72AB0"/>
    <w:rsid w:val="00C72D0C"/>
    <w:rsid w:val="00C73072"/>
    <w:rsid w:val="00C731DC"/>
    <w:rsid w:val="00C732C8"/>
    <w:rsid w:val="00C732CA"/>
    <w:rsid w:val="00C734D4"/>
    <w:rsid w:val="00C7358E"/>
    <w:rsid w:val="00C73643"/>
    <w:rsid w:val="00C7399A"/>
    <w:rsid w:val="00C73A2E"/>
    <w:rsid w:val="00C73BD0"/>
    <w:rsid w:val="00C73C0B"/>
    <w:rsid w:val="00C73C6A"/>
    <w:rsid w:val="00C73D6A"/>
    <w:rsid w:val="00C73E4F"/>
    <w:rsid w:val="00C73F9B"/>
    <w:rsid w:val="00C73FEE"/>
    <w:rsid w:val="00C745CF"/>
    <w:rsid w:val="00C746BE"/>
    <w:rsid w:val="00C7485F"/>
    <w:rsid w:val="00C74872"/>
    <w:rsid w:val="00C748C5"/>
    <w:rsid w:val="00C7491A"/>
    <w:rsid w:val="00C7494E"/>
    <w:rsid w:val="00C74A1C"/>
    <w:rsid w:val="00C74B42"/>
    <w:rsid w:val="00C74D0E"/>
    <w:rsid w:val="00C74D2E"/>
    <w:rsid w:val="00C74D94"/>
    <w:rsid w:val="00C74DAC"/>
    <w:rsid w:val="00C74E0A"/>
    <w:rsid w:val="00C7510B"/>
    <w:rsid w:val="00C751B5"/>
    <w:rsid w:val="00C754E2"/>
    <w:rsid w:val="00C7568C"/>
    <w:rsid w:val="00C758E4"/>
    <w:rsid w:val="00C75A5F"/>
    <w:rsid w:val="00C75A74"/>
    <w:rsid w:val="00C75ABC"/>
    <w:rsid w:val="00C75B73"/>
    <w:rsid w:val="00C75DA5"/>
    <w:rsid w:val="00C75DE2"/>
    <w:rsid w:val="00C75E2E"/>
    <w:rsid w:val="00C75E4A"/>
    <w:rsid w:val="00C75E8C"/>
    <w:rsid w:val="00C75ED5"/>
    <w:rsid w:val="00C75EED"/>
    <w:rsid w:val="00C75F33"/>
    <w:rsid w:val="00C7606F"/>
    <w:rsid w:val="00C76191"/>
    <w:rsid w:val="00C7632C"/>
    <w:rsid w:val="00C764AE"/>
    <w:rsid w:val="00C764D4"/>
    <w:rsid w:val="00C764EC"/>
    <w:rsid w:val="00C76593"/>
    <w:rsid w:val="00C765A4"/>
    <w:rsid w:val="00C76659"/>
    <w:rsid w:val="00C7668B"/>
    <w:rsid w:val="00C76821"/>
    <w:rsid w:val="00C7682D"/>
    <w:rsid w:val="00C76963"/>
    <w:rsid w:val="00C769DA"/>
    <w:rsid w:val="00C76A1C"/>
    <w:rsid w:val="00C76A6A"/>
    <w:rsid w:val="00C76B47"/>
    <w:rsid w:val="00C76BE4"/>
    <w:rsid w:val="00C76EBB"/>
    <w:rsid w:val="00C77017"/>
    <w:rsid w:val="00C770DA"/>
    <w:rsid w:val="00C771B5"/>
    <w:rsid w:val="00C771CB"/>
    <w:rsid w:val="00C7722A"/>
    <w:rsid w:val="00C7754A"/>
    <w:rsid w:val="00C776BF"/>
    <w:rsid w:val="00C777D8"/>
    <w:rsid w:val="00C77809"/>
    <w:rsid w:val="00C779AB"/>
    <w:rsid w:val="00C77AB2"/>
    <w:rsid w:val="00C77AB6"/>
    <w:rsid w:val="00C77B26"/>
    <w:rsid w:val="00C77B2B"/>
    <w:rsid w:val="00C77C47"/>
    <w:rsid w:val="00C77EF5"/>
    <w:rsid w:val="00C77F8B"/>
    <w:rsid w:val="00C77F8C"/>
    <w:rsid w:val="00C80118"/>
    <w:rsid w:val="00C80357"/>
    <w:rsid w:val="00C8038A"/>
    <w:rsid w:val="00C803A0"/>
    <w:rsid w:val="00C80480"/>
    <w:rsid w:val="00C8058F"/>
    <w:rsid w:val="00C805E1"/>
    <w:rsid w:val="00C805FB"/>
    <w:rsid w:val="00C806A0"/>
    <w:rsid w:val="00C80771"/>
    <w:rsid w:val="00C80C4F"/>
    <w:rsid w:val="00C80CD8"/>
    <w:rsid w:val="00C80D60"/>
    <w:rsid w:val="00C80E65"/>
    <w:rsid w:val="00C80E95"/>
    <w:rsid w:val="00C80F52"/>
    <w:rsid w:val="00C81225"/>
    <w:rsid w:val="00C812F4"/>
    <w:rsid w:val="00C813BD"/>
    <w:rsid w:val="00C81437"/>
    <w:rsid w:val="00C81590"/>
    <w:rsid w:val="00C815A1"/>
    <w:rsid w:val="00C8163F"/>
    <w:rsid w:val="00C8167C"/>
    <w:rsid w:val="00C81788"/>
    <w:rsid w:val="00C8192C"/>
    <w:rsid w:val="00C81951"/>
    <w:rsid w:val="00C8199D"/>
    <w:rsid w:val="00C819FA"/>
    <w:rsid w:val="00C81A71"/>
    <w:rsid w:val="00C81AB3"/>
    <w:rsid w:val="00C81AD1"/>
    <w:rsid w:val="00C81C02"/>
    <w:rsid w:val="00C81C06"/>
    <w:rsid w:val="00C81DFC"/>
    <w:rsid w:val="00C8201C"/>
    <w:rsid w:val="00C822B8"/>
    <w:rsid w:val="00C8234F"/>
    <w:rsid w:val="00C82446"/>
    <w:rsid w:val="00C82490"/>
    <w:rsid w:val="00C82520"/>
    <w:rsid w:val="00C827FA"/>
    <w:rsid w:val="00C82853"/>
    <w:rsid w:val="00C82886"/>
    <w:rsid w:val="00C829B5"/>
    <w:rsid w:val="00C82A9A"/>
    <w:rsid w:val="00C82D51"/>
    <w:rsid w:val="00C82EF9"/>
    <w:rsid w:val="00C82F67"/>
    <w:rsid w:val="00C83045"/>
    <w:rsid w:val="00C8308E"/>
    <w:rsid w:val="00C83270"/>
    <w:rsid w:val="00C833E5"/>
    <w:rsid w:val="00C8354B"/>
    <w:rsid w:val="00C835F7"/>
    <w:rsid w:val="00C836C0"/>
    <w:rsid w:val="00C838D5"/>
    <w:rsid w:val="00C83A40"/>
    <w:rsid w:val="00C83BD7"/>
    <w:rsid w:val="00C83EE2"/>
    <w:rsid w:val="00C83FC3"/>
    <w:rsid w:val="00C840B6"/>
    <w:rsid w:val="00C842E1"/>
    <w:rsid w:val="00C84432"/>
    <w:rsid w:val="00C844BC"/>
    <w:rsid w:val="00C844C0"/>
    <w:rsid w:val="00C84589"/>
    <w:rsid w:val="00C845BC"/>
    <w:rsid w:val="00C84917"/>
    <w:rsid w:val="00C84BB9"/>
    <w:rsid w:val="00C84F2B"/>
    <w:rsid w:val="00C84FDD"/>
    <w:rsid w:val="00C85011"/>
    <w:rsid w:val="00C85059"/>
    <w:rsid w:val="00C85076"/>
    <w:rsid w:val="00C851F1"/>
    <w:rsid w:val="00C852FE"/>
    <w:rsid w:val="00C85398"/>
    <w:rsid w:val="00C8549E"/>
    <w:rsid w:val="00C8550C"/>
    <w:rsid w:val="00C85571"/>
    <w:rsid w:val="00C8562E"/>
    <w:rsid w:val="00C8566C"/>
    <w:rsid w:val="00C85719"/>
    <w:rsid w:val="00C858A3"/>
    <w:rsid w:val="00C8594B"/>
    <w:rsid w:val="00C85987"/>
    <w:rsid w:val="00C85E05"/>
    <w:rsid w:val="00C85F67"/>
    <w:rsid w:val="00C8600C"/>
    <w:rsid w:val="00C86078"/>
    <w:rsid w:val="00C868FA"/>
    <w:rsid w:val="00C86975"/>
    <w:rsid w:val="00C86A9E"/>
    <w:rsid w:val="00C86AEA"/>
    <w:rsid w:val="00C86C3E"/>
    <w:rsid w:val="00C86F6D"/>
    <w:rsid w:val="00C873E5"/>
    <w:rsid w:val="00C874BF"/>
    <w:rsid w:val="00C87611"/>
    <w:rsid w:val="00C87614"/>
    <w:rsid w:val="00C8781C"/>
    <w:rsid w:val="00C8786D"/>
    <w:rsid w:val="00C87A75"/>
    <w:rsid w:val="00C87C9D"/>
    <w:rsid w:val="00C87D96"/>
    <w:rsid w:val="00C87DE4"/>
    <w:rsid w:val="00C87E07"/>
    <w:rsid w:val="00C87ED5"/>
    <w:rsid w:val="00C9009A"/>
    <w:rsid w:val="00C900DE"/>
    <w:rsid w:val="00C9012D"/>
    <w:rsid w:val="00C90132"/>
    <w:rsid w:val="00C90292"/>
    <w:rsid w:val="00C90302"/>
    <w:rsid w:val="00C9046E"/>
    <w:rsid w:val="00C905B2"/>
    <w:rsid w:val="00C908C2"/>
    <w:rsid w:val="00C90A06"/>
    <w:rsid w:val="00C90B13"/>
    <w:rsid w:val="00C90B53"/>
    <w:rsid w:val="00C90C09"/>
    <w:rsid w:val="00C90DB6"/>
    <w:rsid w:val="00C910B2"/>
    <w:rsid w:val="00C9113A"/>
    <w:rsid w:val="00C9113B"/>
    <w:rsid w:val="00C9115F"/>
    <w:rsid w:val="00C9145C"/>
    <w:rsid w:val="00C917A0"/>
    <w:rsid w:val="00C91BFF"/>
    <w:rsid w:val="00C91E67"/>
    <w:rsid w:val="00C91F84"/>
    <w:rsid w:val="00C922E8"/>
    <w:rsid w:val="00C9239F"/>
    <w:rsid w:val="00C92404"/>
    <w:rsid w:val="00C9245B"/>
    <w:rsid w:val="00C925A6"/>
    <w:rsid w:val="00C925A8"/>
    <w:rsid w:val="00C92633"/>
    <w:rsid w:val="00C927E6"/>
    <w:rsid w:val="00C928DA"/>
    <w:rsid w:val="00C92999"/>
    <w:rsid w:val="00C92B9B"/>
    <w:rsid w:val="00C92BEE"/>
    <w:rsid w:val="00C92C34"/>
    <w:rsid w:val="00C92D67"/>
    <w:rsid w:val="00C92D9C"/>
    <w:rsid w:val="00C92DC9"/>
    <w:rsid w:val="00C92EE5"/>
    <w:rsid w:val="00C92F15"/>
    <w:rsid w:val="00C92F51"/>
    <w:rsid w:val="00C92F83"/>
    <w:rsid w:val="00C932BE"/>
    <w:rsid w:val="00C932EE"/>
    <w:rsid w:val="00C932F4"/>
    <w:rsid w:val="00C93398"/>
    <w:rsid w:val="00C933AC"/>
    <w:rsid w:val="00C93525"/>
    <w:rsid w:val="00C93573"/>
    <w:rsid w:val="00C93763"/>
    <w:rsid w:val="00C93827"/>
    <w:rsid w:val="00C93828"/>
    <w:rsid w:val="00C9389A"/>
    <w:rsid w:val="00C939A6"/>
    <w:rsid w:val="00C93A52"/>
    <w:rsid w:val="00C93B92"/>
    <w:rsid w:val="00C93CE8"/>
    <w:rsid w:val="00C93E30"/>
    <w:rsid w:val="00C93FAE"/>
    <w:rsid w:val="00C93FE1"/>
    <w:rsid w:val="00C94117"/>
    <w:rsid w:val="00C94484"/>
    <w:rsid w:val="00C944A6"/>
    <w:rsid w:val="00C9461F"/>
    <w:rsid w:val="00C94642"/>
    <w:rsid w:val="00C94643"/>
    <w:rsid w:val="00C94670"/>
    <w:rsid w:val="00C94788"/>
    <w:rsid w:val="00C94873"/>
    <w:rsid w:val="00C9488E"/>
    <w:rsid w:val="00C94950"/>
    <w:rsid w:val="00C949FD"/>
    <w:rsid w:val="00C94AB7"/>
    <w:rsid w:val="00C94AEF"/>
    <w:rsid w:val="00C94B30"/>
    <w:rsid w:val="00C94E65"/>
    <w:rsid w:val="00C94EEB"/>
    <w:rsid w:val="00C950C9"/>
    <w:rsid w:val="00C952E4"/>
    <w:rsid w:val="00C954FF"/>
    <w:rsid w:val="00C95847"/>
    <w:rsid w:val="00C95893"/>
    <w:rsid w:val="00C95924"/>
    <w:rsid w:val="00C95942"/>
    <w:rsid w:val="00C9597B"/>
    <w:rsid w:val="00C95B2D"/>
    <w:rsid w:val="00C95F24"/>
    <w:rsid w:val="00C95F8E"/>
    <w:rsid w:val="00C9613F"/>
    <w:rsid w:val="00C961A7"/>
    <w:rsid w:val="00C96200"/>
    <w:rsid w:val="00C9635B"/>
    <w:rsid w:val="00C9650A"/>
    <w:rsid w:val="00C96581"/>
    <w:rsid w:val="00C965E6"/>
    <w:rsid w:val="00C9681B"/>
    <w:rsid w:val="00C96A02"/>
    <w:rsid w:val="00C96B1D"/>
    <w:rsid w:val="00C96C34"/>
    <w:rsid w:val="00C96D0F"/>
    <w:rsid w:val="00C96D90"/>
    <w:rsid w:val="00C96E0A"/>
    <w:rsid w:val="00C96E9D"/>
    <w:rsid w:val="00C96EDF"/>
    <w:rsid w:val="00C96F2C"/>
    <w:rsid w:val="00C9708D"/>
    <w:rsid w:val="00C97118"/>
    <w:rsid w:val="00C9711A"/>
    <w:rsid w:val="00C97162"/>
    <w:rsid w:val="00C97265"/>
    <w:rsid w:val="00C972A7"/>
    <w:rsid w:val="00C972D0"/>
    <w:rsid w:val="00C97360"/>
    <w:rsid w:val="00C974C7"/>
    <w:rsid w:val="00C97622"/>
    <w:rsid w:val="00C97688"/>
    <w:rsid w:val="00C97789"/>
    <w:rsid w:val="00C978B3"/>
    <w:rsid w:val="00C9790D"/>
    <w:rsid w:val="00C97925"/>
    <w:rsid w:val="00C97BF1"/>
    <w:rsid w:val="00CA00A1"/>
    <w:rsid w:val="00CA0180"/>
    <w:rsid w:val="00CA01AA"/>
    <w:rsid w:val="00CA0319"/>
    <w:rsid w:val="00CA0374"/>
    <w:rsid w:val="00CA03A2"/>
    <w:rsid w:val="00CA03C5"/>
    <w:rsid w:val="00CA049E"/>
    <w:rsid w:val="00CA04C1"/>
    <w:rsid w:val="00CA0556"/>
    <w:rsid w:val="00CA0562"/>
    <w:rsid w:val="00CA05A5"/>
    <w:rsid w:val="00CA05A9"/>
    <w:rsid w:val="00CA0617"/>
    <w:rsid w:val="00CA0646"/>
    <w:rsid w:val="00CA0924"/>
    <w:rsid w:val="00CA0A67"/>
    <w:rsid w:val="00CA0B7F"/>
    <w:rsid w:val="00CA0DC5"/>
    <w:rsid w:val="00CA0DE0"/>
    <w:rsid w:val="00CA1155"/>
    <w:rsid w:val="00CA13E6"/>
    <w:rsid w:val="00CA16E0"/>
    <w:rsid w:val="00CA18D2"/>
    <w:rsid w:val="00CA1B01"/>
    <w:rsid w:val="00CA2129"/>
    <w:rsid w:val="00CA2361"/>
    <w:rsid w:val="00CA23FB"/>
    <w:rsid w:val="00CA25CD"/>
    <w:rsid w:val="00CA2813"/>
    <w:rsid w:val="00CA29F5"/>
    <w:rsid w:val="00CA2C14"/>
    <w:rsid w:val="00CA2C29"/>
    <w:rsid w:val="00CA2D35"/>
    <w:rsid w:val="00CA2D39"/>
    <w:rsid w:val="00CA2D3B"/>
    <w:rsid w:val="00CA2E98"/>
    <w:rsid w:val="00CA2F77"/>
    <w:rsid w:val="00CA2FCD"/>
    <w:rsid w:val="00CA2FD7"/>
    <w:rsid w:val="00CA2FEA"/>
    <w:rsid w:val="00CA32D8"/>
    <w:rsid w:val="00CA32F1"/>
    <w:rsid w:val="00CA34FA"/>
    <w:rsid w:val="00CA351E"/>
    <w:rsid w:val="00CA35DF"/>
    <w:rsid w:val="00CA3621"/>
    <w:rsid w:val="00CA37D4"/>
    <w:rsid w:val="00CA39F2"/>
    <w:rsid w:val="00CA3AA0"/>
    <w:rsid w:val="00CA3CAC"/>
    <w:rsid w:val="00CA3E9F"/>
    <w:rsid w:val="00CA405D"/>
    <w:rsid w:val="00CA428E"/>
    <w:rsid w:val="00CA437F"/>
    <w:rsid w:val="00CA4438"/>
    <w:rsid w:val="00CA4467"/>
    <w:rsid w:val="00CA44CE"/>
    <w:rsid w:val="00CA4551"/>
    <w:rsid w:val="00CA4639"/>
    <w:rsid w:val="00CA468A"/>
    <w:rsid w:val="00CA4A75"/>
    <w:rsid w:val="00CA4AEC"/>
    <w:rsid w:val="00CA4E41"/>
    <w:rsid w:val="00CA4F4E"/>
    <w:rsid w:val="00CA506E"/>
    <w:rsid w:val="00CA509C"/>
    <w:rsid w:val="00CA523D"/>
    <w:rsid w:val="00CA5275"/>
    <w:rsid w:val="00CA52B1"/>
    <w:rsid w:val="00CA52D3"/>
    <w:rsid w:val="00CA53B3"/>
    <w:rsid w:val="00CA5457"/>
    <w:rsid w:val="00CA56AA"/>
    <w:rsid w:val="00CA570A"/>
    <w:rsid w:val="00CA576E"/>
    <w:rsid w:val="00CA5E93"/>
    <w:rsid w:val="00CA5FAA"/>
    <w:rsid w:val="00CA6000"/>
    <w:rsid w:val="00CA60F0"/>
    <w:rsid w:val="00CA616C"/>
    <w:rsid w:val="00CA61CE"/>
    <w:rsid w:val="00CA630A"/>
    <w:rsid w:val="00CA63D8"/>
    <w:rsid w:val="00CA6581"/>
    <w:rsid w:val="00CA6617"/>
    <w:rsid w:val="00CA6A6D"/>
    <w:rsid w:val="00CA6A96"/>
    <w:rsid w:val="00CA6B64"/>
    <w:rsid w:val="00CA6DD7"/>
    <w:rsid w:val="00CA6E52"/>
    <w:rsid w:val="00CA6EC7"/>
    <w:rsid w:val="00CA6F45"/>
    <w:rsid w:val="00CA6FC7"/>
    <w:rsid w:val="00CA7158"/>
    <w:rsid w:val="00CA71D2"/>
    <w:rsid w:val="00CA7375"/>
    <w:rsid w:val="00CA7380"/>
    <w:rsid w:val="00CA73D5"/>
    <w:rsid w:val="00CA763D"/>
    <w:rsid w:val="00CA7A2D"/>
    <w:rsid w:val="00CA7DF6"/>
    <w:rsid w:val="00CA7EF6"/>
    <w:rsid w:val="00CB02C4"/>
    <w:rsid w:val="00CB02D3"/>
    <w:rsid w:val="00CB04F0"/>
    <w:rsid w:val="00CB09D9"/>
    <w:rsid w:val="00CB0C00"/>
    <w:rsid w:val="00CB0C18"/>
    <w:rsid w:val="00CB0CB7"/>
    <w:rsid w:val="00CB0E73"/>
    <w:rsid w:val="00CB0F32"/>
    <w:rsid w:val="00CB1258"/>
    <w:rsid w:val="00CB1274"/>
    <w:rsid w:val="00CB1336"/>
    <w:rsid w:val="00CB1529"/>
    <w:rsid w:val="00CB1643"/>
    <w:rsid w:val="00CB16A4"/>
    <w:rsid w:val="00CB199F"/>
    <w:rsid w:val="00CB1C43"/>
    <w:rsid w:val="00CB1D96"/>
    <w:rsid w:val="00CB1FC1"/>
    <w:rsid w:val="00CB23FE"/>
    <w:rsid w:val="00CB24BF"/>
    <w:rsid w:val="00CB257A"/>
    <w:rsid w:val="00CB2762"/>
    <w:rsid w:val="00CB27DF"/>
    <w:rsid w:val="00CB2B53"/>
    <w:rsid w:val="00CB2C4A"/>
    <w:rsid w:val="00CB2C59"/>
    <w:rsid w:val="00CB2D3E"/>
    <w:rsid w:val="00CB2F18"/>
    <w:rsid w:val="00CB2F2B"/>
    <w:rsid w:val="00CB3244"/>
    <w:rsid w:val="00CB363E"/>
    <w:rsid w:val="00CB38E6"/>
    <w:rsid w:val="00CB3939"/>
    <w:rsid w:val="00CB393F"/>
    <w:rsid w:val="00CB3B3B"/>
    <w:rsid w:val="00CB3B9D"/>
    <w:rsid w:val="00CB3BF5"/>
    <w:rsid w:val="00CB3C06"/>
    <w:rsid w:val="00CB3C49"/>
    <w:rsid w:val="00CB3E36"/>
    <w:rsid w:val="00CB3FB1"/>
    <w:rsid w:val="00CB3FC4"/>
    <w:rsid w:val="00CB407C"/>
    <w:rsid w:val="00CB4158"/>
    <w:rsid w:val="00CB41FE"/>
    <w:rsid w:val="00CB427D"/>
    <w:rsid w:val="00CB44AC"/>
    <w:rsid w:val="00CB4543"/>
    <w:rsid w:val="00CB4565"/>
    <w:rsid w:val="00CB4591"/>
    <w:rsid w:val="00CB482E"/>
    <w:rsid w:val="00CB48F9"/>
    <w:rsid w:val="00CB4B1F"/>
    <w:rsid w:val="00CB4B36"/>
    <w:rsid w:val="00CB4C4F"/>
    <w:rsid w:val="00CB4D83"/>
    <w:rsid w:val="00CB4DBB"/>
    <w:rsid w:val="00CB4EE7"/>
    <w:rsid w:val="00CB4FA4"/>
    <w:rsid w:val="00CB4FB7"/>
    <w:rsid w:val="00CB5281"/>
    <w:rsid w:val="00CB533E"/>
    <w:rsid w:val="00CB568B"/>
    <w:rsid w:val="00CB584C"/>
    <w:rsid w:val="00CB58DD"/>
    <w:rsid w:val="00CB5970"/>
    <w:rsid w:val="00CB5BD8"/>
    <w:rsid w:val="00CB5C8A"/>
    <w:rsid w:val="00CB5C90"/>
    <w:rsid w:val="00CB5D92"/>
    <w:rsid w:val="00CB5E28"/>
    <w:rsid w:val="00CB5E45"/>
    <w:rsid w:val="00CB5EDE"/>
    <w:rsid w:val="00CB5EF4"/>
    <w:rsid w:val="00CB5F2E"/>
    <w:rsid w:val="00CB5FB1"/>
    <w:rsid w:val="00CB60A5"/>
    <w:rsid w:val="00CB619F"/>
    <w:rsid w:val="00CB61E4"/>
    <w:rsid w:val="00CB634E"/>
    <w:rsid w:val="00CB6386"/>
    <w:rsid w:val="00CB65AE"/>
    <w:rsid w:val="00CB66D3"/>
    <w:rsid w:val="00CB6BEC"/>
    <w:rsid w:val="00CB6BFE"/>
    <w:rsid w:val="00CB6C1D"/>
    <w:rsid w:val="00CB6CB7"/>
    <w:rsid w:val="00CB707E"/>
    <w:rsid w:val="00CB70AD"/>
    <w:rsid w:val="00CB72E3"/>
    <w:rsid w:val="00CB7306"/>
    <w:rsid w:val="00CB7363"/>
    <w:rsid w:val="00CB7383"/>
    <w:rsid w:val="00CB75D1"/>
    <w:rsid w:val="00CB7639"/>
    <w:rsid w:val="00CB78E4"/>
    <w:rsid w:val="00CB78FD"/>
    <w:rsid w:val="00CB7AF6"/>
    <w:rsid w:val="00CB7B5B"/>
    <w:rsid w:val="00CB7BEF"/>
    <w:rsid w:val="00CB7C8D"/>
    <w:rsid w:val="00CB7F05"/>
    <w:rsid w:val="00CB7F30"/>
    <w:rsid w:val="00CC0126"/>
    <w:rsid w:val="00CC0289"/>
    <w:rsid w:val="00CC02D4"/>
    <w:rsid w:val="00CC02EE"/>
    <w:rsid w:val="00CC02F2"/>
    <w:rsid w:val="00CC053D"/>
    <w:rsid w:val="00CC062B"/>
    <w:rsid w:val="00CC06C9"/>
    <w:rsid w:val="00CC0D61"/>
    <w:rsid w:val="00CC0E3F"/>
    <w:rsid w:val="00CC10A7"/>
    <w:rsid w:val="00CC10F3"/>
    <w:rsid w:val="00CC11E5"/>
    <w:rsid w:val="00CC1522"/>
    <w:rsid w:val="00CC1642"/>
    <w:rsid w:val="00CC179C"/>
    <w:rsid w:val="00CC1827"/>
    <w:rsid w:val="00CC18B3"/>
    <w:rsid w:val="00CC1A89"/>
    <w:rsid w:val="00CC1B82"/>
    <w:rsid w:val="00CC1BE1"/>
    <w:rsid w:val="00CC1D22"/>
    <w:rsid w:val="00CC1DE0"/>
    <w:rsid w:val="00CC1E3E"/>
    <w:rsid w:val="00CC1F9E"/>
    <w:rsid w:val="00CC218D"/>
    <w:rsid w:val="00CC228E"/>
    <w:rsid w:val="00CC248F"/>
    <w:rsid w:val="00CC254E"/>
    <w:rsid w:val="00CC2652"/>
    <w:rsid w:val="00CC2704"/>
    <w:rsid w:val="00CC279D"/>
    <w:rsid w:val="00CC27D0"/>
    <w:rsid w:val="00CC29CA"/>
    <w:rsid w:val="00CC2C11"/>
    <w:rsid w:val="00CC2CA2"/>
    <w:rsid w:val="00CC2DD4"/>
    <w:rsid w:val="00CC2E6D"/>
    <w:rsid w:val="00CC2ED2"/>
    <w:rsid w:val="00CC2EF6"/>
    <w:rsid w:val="00CC3084"/>
    <w:rsid w:val="00CC30DD"/>
    <w:rsid w:val="00CC317D"/>
    <w:rsid w:val="00CC31FF"/>
    <w:rsid w:val="00CC3868"/>
    <w:rsid w:val="00CC395E"/>
    <w:rsid w:val="00CC397B"/>
    <w:rsid w:val="00CC3A2E"/>
    <w:rsid w:val="00CC3B66"/>
    <w:rsid w:val="00CC3B67"/>
    <w:rsid w:val="00CC3CCA"/>
    <w:rsid w:val="00CC3E3B"/>
    <w:rsid w:val="00CC3EB6"/>
    <w:rsid w:val="00CC3F16"/>
    <w:rsid w:val="00CC3FB4"/>
    <w:rsid w:val="00CC4026"/>
    <w:rsid w:val="00CC4032"/>
    <w:rsid w:val="00CC411D"/>
    <w:rsid w:val="00CC4148"/>
    <w:rsid w:val="00CC45FA"/>
    <w:rsid w:val="00CC46B0"/>
    <w:rsid w:val="00CC472B"/>
    <w:rsid w:val="00CC48FC"/>
    <w:rsid w:val="00CC492B"/>
    <w:rsid w:val="00CC4A59"/>
    <w:rsid w:val="00CC4AF0"/>
    <w:rsid w:val="00CC4B13"/>
    <w:rsid w:val="00CC4EB6"/>
    <w:rsid w:val="00CC4F5C"/>
    <w:rsid w:val="00CC4FC7"/>
    <w:rsid w:val="00CC5016"/>
    <w:rsid w:val="00CC5209"/>
    <w:rsid w:val="00CC5315"/>
    <w:rsid w:val="00CC539A"/>
    <w:rsid w:val="00CC5468"/>
    <w:rsid w:val="00CC582F"/>
    <w:rsid w:val="00CC59D6"/>
    <w:rsid w:val="00CC5A24"/>
    <w:rsid w:val="00CC5BAD"/>
    <w:rsid w:val="00CC5BD6"/>
    <w:rsid w:val="00CC5C52"/>
    <w:rsid w:val="00CC5EE1"/>
    <w:rsid w:val="00CC5FC6"/>
    <w:rsid w:val="00CC5FF4"/>
    <w:rsid w:val="00CC6004"/>
    <w:rsid w:val="00CC613E"/>
    <w:rsid w:val="00CC630A"/>
    <w:rsid w:val="00CC64CC"/>
    <w:rsid w:val="00CC6519"/>
    <w:rsid w:val="00CC6642"/>
    <w:rsid w:val="00CC6759"/>
    <w:rsid w:val="00CC677C"/>
    <w:rsid w:val="00CC6783"/>
    <w:rsid w:val="00CC67AF"/>
    <w:rsid w:val="00CC694F"/>
    <w:rsid w:val="00CC6ADF"/>
    <w:rsid w:val="00CC6D2A"/>
    <w:rsid w:val="00CC6F93"/>
    <w:rsid w:val="00CC7179"/>
    <w:rsid w:val="00CC71A9"/>
    <w:rsid w:val="00CC725E"/>
    <w:rsid w:val="00CC74BE"/>
    <w:rsid w:val="00CC752B"/>
    <w:rsid w:val="00CC787C"/>
    <w:rsid w:val="00CC7AB6"/>
    <w:rsid w:val="00CC7D92"/>
    <w:rsid w:val="00CD0226"/>
    <w:rsid w:val="00CD0393"/>
    <w:rsid w:val="00CD040A"/>
    <w:rsid w:val="00CD050D"/>
    <w:rsid w:val="00CD0623"/>
    <w:rsid w:val="00CD08A7"/>
    <w:rsid w:val="00CD0A8D"/>
    <w:rsid w:val="00CD0AEA"/>
    <w:rsid w:val="00CD0AF3"/>
    <w:rsid w:val="00CD0DE3"/>
    <w:rsid w:val="00CD0E09"/>
    <w:rsid w:val="00CD0E87"/>
    <w:rsid w:val="00CD110C"/>
    <w:rsid w:val="00CD1315"/>
    <w:rsid w:val="00CD1463"/>
    <w:rsid w:val="00CD1569"/>
    <w:rsid w:val="00CD1822"/>
    <w:rsid w:val="00CD18FC"/>
    <w:rsid w:val="00CD19D6"/>
    <w:rsid w:val="00CD1B13"/>
    <w:rsid w:val="00CD1D9D"/>
    <w:rsid w:val="00CD1E14"/>
    <w:rsid w:val="00CD1E7F"/>
    <w:rsid w:val="00CD201D"/>
    <w:rsid w:val="00CD20BD"/>
    <w:rsid w:val="00CD2184"/>
    <w:rsid w:val="00CD22EA"/>
    <w:rsid w:val="00CD24CD"/>
    <w:rsid w:val="00CD312E"/>
    <w:rsid w:val="00CD3168"/>
    <w:rsid w:val="00CD31A3"/>
    <w:rsid w:val="00CD34C0"/>
    <w:rsid w:val="00CD35B1"/>
    <w:rsid w:val="00CD35E8"/>
    <w:rsid w:val="00CD373E"/>
    <w:rsid w:val="00CD3934"/>
    <w:rsid w:val="00CD3A87"/>
    <w:rsid w:val="00CD3D78"/>
    <w:rsid w:val="00CD3D9D"/>
    <w:rsid w:val="00CD3E48"/>
    <w:rsid w:val="00CD3E8B"/>
    <w:rsid w:val="00CD3FA9"/>
    <w:rsid w:val="00CD3FC1"/>
    <w:rsid w:val="00CD411C"/>
    <w:rsid w:val="00CD4170"/>
    <w:rsid w:val="00CD4178"/>
    <w:rsid w:val="00CD42EE"/>
    <w:rsid w:val="00CD432B"/>
    <w:rsid w:val="00CD433E"/>
    <w:rsid w:val="00CD440D"/>
    <w:rsid w:val="00CD44EB"/>
    <w:rsid w:val="00CD4681"/>
    <w:rsid w:val="00CD4A61"/>
    <w:rsid w:val="00CD4ADB"/>
    <w:rsid w:val="00CD4B62"/>
    <w:rsid w:val="00CD4CE2"/>
    <w:rsid w:val="00CD4CE9"/>
    <w:rsid w:val="00CD4D3C"/>
    <w:rsid w:val="00CD5079"/>
    <w:rsid w:val="00CD5086"/>
    <w:rsid w:val="00CD5117"/>
    <w:rsid w:val="00CD513B"/>
    <w:rsid w:val="00CD517E"/>
    <w:rsid w:val="00CD5311"/>
    <w:rsid w:val="00CD5315"/>
    <w:rsid w:val="00CD538C"/>
    <w:rsid w:val="00CD562B"/>
    <w:rsid w:val="00CD5959"/>
    <w:rsid w:val="00CD5B16"/>
    <w:rsid w:val="00CD5D21"/>
    <w:rsid w:val="00CD5D9C"/>
    <w:rsid w:val="00CD5EBE"/>
    <w:rsid w:val="00CD5F23"/>
    <w:rsid w:val="00CD6082"/>
    <w:rsid w:val="00CD6260"/>
    <w:rsid w:val="00CD657B"/>
    <w:rsid w:val="00CD65CF"/>
    <w:rsid w:val="00CD6705"/>
    <w:rsid w:val="00CD671A"/>
    <w:rsid w:val="00CD6950"/>
    <w:rsid w:val="00CD6B43"/>
    <w:rsid w:val="00CD6CC8"/>
    <w:rsid w:val="00CD6D94"/>
    <w:rsid w:val="00CD6DB7"/>
    <w:rsid w:val="00CD6E4B"/>
    <w:rsid w:val="00CD6EC8"/>
    <w:rsid w:val="00CD6ED1"/>
    <w:rsid w:val="00CD6F02"/>
    <w:rsid w:val="00CD6F44"/>
    <w:rsid w:val="00CD702A"/>
    <w:rsid w:val="00CD7253"/>
    <w:rsid w:val="00CD72EE"/>
    <w:rsid w:val="00CD7527"/>
    <w:rsid w:val="00CD78DE"/>
    <w:rsid w:val="00CD7905"/>
    <w:rsid w:val="00CD7914"/>
    <w:rsid w:val="00CD7B8F"/>
    <w:rsid w:val="00CD7BCD"/>
    <w:rsid w:val="00CD7E1E"/>
    <w:rsid w:val="00CD7E55"/>
    <w:rsid w:val="00CD7F61"/>
    <w:rsid w:val="00CE00E0"/>
    <w:rsid w:val="00CE03D6"/>
    <w:rsid w:val="00CE04BE"/>
    <w:rsid w:val="00CE0541"/>
    <w:rsid w:val="00CE0584"/>
    <w:rsid w:val="00CE06F9"/>
    <w:rsid w:val="00CE0B90"/>
    <w:rsid w:val="00CE0C07"/>
    <w:rsid w:val="00CE0DA0"/>
    <w:rsid w:val="00CE0F06"/>
    <w:rsid w:val="00CE11BC"/>
    <w:rsid w:val="00CE11D3"/>
    <w:rsid w:val="00CE1206"/>
    <w:rsid w:val="00CE120E"/>
    <w:rsid w:val="00CE13E9"/>
    <w:rsid w:val="00CE14BE"/>
    <w:rsid w:val="00CE16CF"/>
    <w:rsid w:val="00CE1811"/>
    <w:rsid w:val="00CE1893"/>
    <w:rsid w:val="00CE18D9"/>
    <w:rsid w:val="00CE1A1F"/>
    <w:rsid w:val="00CE1E1D"/>
    <w:rsid w:val="00CE2101"/>
    <w:rsid w:val="00CE222F"/>
    <w:rsid w:val="00CE234F"/>
    <w:rsid w:val="00CE2757"/>
    <w:rsid w:val="00CE276B"/>
    <w:rsid w:val="00CE276C"/>
    <w:rsid w:val="00CE2988"/>
    <w:rsid w:val="00CE2E61"/>
    <w:rsid w:val="00CE2E81"/>
    <w:rsid w:val="00CE2F28"/>
    <w:rsid w:val="00CE2F82"/>
    <w:rsid w:val="00CE3051"/>
    <w:rsid w:val="00CE329C"/>
    <w:rsid w:val="00CE3405"/>
    <w:rsid w:val="00CE348C"/>
    <w:rsid w:val="00CE355E"/>
    <w:rsid w:val="00CE366A"/>
    <w:rsid w:val="00CE378A"/>
    <w:rsid w:val="00CE3902"/>
    <w:rsid w:val="00CE399E"/>
    <w:rsid w:val="00CE3A6C"/>
    <w:rsid w:val="00CE3A7E"/>
    <w:rsid w:val="00CE3C33"/>
    <w:rsid w:val="00CE3CB9"/>
    <w:rsid w:val="00CE3E21"/>
    <w:rsid w:val="00CE3F5C"/>
    <w:rsid w:val="00CE403B"/>
    <w:rsid w:val="00CE4121"/>
    <w:rsid w:val="00CE41D7"/>
    <w:rsid w:val="00CE426D"/>
    <w:rsid w:val="00CE4318"/>
    <w:rsid w:val="00CE4350"/>
    <w:rsid w:val="00CE4377"/>
    <w:rsid w:val="00CE46F0"/>
    <w:rsid w:val="00CE4741"/>
    <w:rsid w:val="00CE478E"/>
    <w:rsid w:val="00CE47F8"/>
    <w:rsid w:val="00CE485C"/>
    <w:rsid w:val="00CE4A3D"/>
    <w:rsid w:val="00CE4C4C"/>
    <w:rsid w:val="00CE4CB5"/>
    <w:rsid w:val="00CE4D54"/>
    <w:rsid w:val="00CE4D92"/>
    <w:rsid w:val="00CE4F05"/>
    <w:rsid w:val="00CE4F23"/>
    <w:rsid w:val="00CE4F41"/>
    <w:rsid w:val="00CE4FC5"/>
    <w:rsid w:val="00CE51DB"/>
    <w:rsid w:val="00CE56BB"/>
    <w:rsid w:val="00CE5846"/>
    <w:rsid w:val="00CE5848"/>
    <w:rsid w:val="00CE58BF"/>
    <w:rsid w:val="00CE595F"/>
    <w:rsid w:val="00CE5976"/>
    <w:rsid w:val="00CE5B56"/>
    <w:rsid w:val="00CE5B63"/>
    <w:rsid w:val="00CE5BB0"/>
    <w:rsid w:val="00CE5BD5"/>
    <w:rsid w:val="00CE5BF3"/>
    <w:rsid w:val="00CE5EB4"/>
    <w:rsid w:val="00CE5EEE"/>
    <w:rsid w:val="00CE6216"/>
    <w:rsid w:val="00CE626F"/>
    <w:rsid w:val="00CE62A1"/>
    <w:rsid w:val="00CE62F7"/>
    <w:rsid w:val="00CE64AF"/>
    <w:rsid w:val="00CE66A5"/>
    <w:rsid w:val="00CE6803"/>
    <w:rsid w:val="00CE69C1"/>
    <w:rsid w:val="00CE69CF"/>
    <w:rsid w:val="00CE6D28"/>
    <w:rsid w:val="00CE6D7F"/>
    <w:rsid w:val="00CE6E95"/>
    <w:rsid w:val="00CE707B"/>
    <w:rsid w:val="00CE7118"/>
    <w:rsid w:val="00CE718C"/>
    <w:rsid w:val="00CE71B8"/>
    <w:rsid w:val="00CE71EC"/>
    <w:rsid w:val="00CE725A"/>
    <w:rsid w:val="00CE7270"/>
    <w:rsid w:val="00CE74BA"/>
    <w:rsid w:val="00CE7544"/>
    <w:rsid w:val="00CE7647"/>
    <w:rsid w:val="00CE76AD"/>
    <w:rsid w:val="00CE76B8"/>
    <w:rsid w:val="00CE7798"/>
    <w:rsid w:val="00CE794F"/>
    <w:rsid w:val="00CE7975"/>
    <w:rsid w:val="00CE79EF"/>
    <w:rsid w:val="00CE7A95"/>
    <w:rsid w:val="00CE7B09"/>
    <w:rsid w:val="00CE7B1F"/>
    <w:rsid w:val="00CE7B5B"/>
    <w:rsid w:val="00CE7D16"/>
    <w:rsid w:val="00CE7D1C"/>
    <w:rsid w:val="00CE7E6C"/>
    <w:rsid w:val="00CE7F0A"/>
    <w:rsid w:val="00CE7FCC"/>
    <w:rsid w:val="00CF008A"/>
    <w:rsid w:val="00CF00D8"/>
    <w:rsid w:val="00CF01B4"/>
    <w:rsid w:val="00CF01D0"/>
    <w:rsid w:val="00CF0230"/>
    <w:rsid w:val="00CF0396"/>
    <w:rsid w:val="00CF040D"/>
    <w:rsid w:val="00CF0679"/>
    <w:rsid w:val="00CF06F0"/>
    <w:rsid w:val="00CF0758"/>
    <w:rsid w:val="00CF0783"/>
    <w:rsid w:val="00CF0A71"/>
    <w:rsid w:val="00CF0B87"/>
    <w:rsid w:val="00CF0C24"/>
    <w:rsid w:val="00CF0F69"/>
    <w:rsid w:val="00CF0F98"/>
    <w:rsid w:val="00CF0F99"/>
    <w:rsid w:val="00CF1152"/>
    <w:rsid w:val="00CF11FE"/>
    <w:rsid w:val="00CF1231"/>
    <w:rsid w:val="00CF1264"/>
    <w:rsid w:val="00CF1283"/>
    <w:rsid w:val="00CF128B"/>
    <w:rsid w:val="00CF13A2"/>
    <w:rsid w:val="00CF13F1"/>
    <w:rsid w:val="00CF13F5"/>
    <w:rsid w:val="00CF13F7"/>
    <w:rsid w:val="00CF16F7"/>
    <w:rsid w:val="00CF1815"/>
    <w:rsid w:val="00CF1B06"/>
    <w:rsid w:val="00CF1B59"/>
    <w:rsid w:val="00CF1EFE"/>
    <w:rsid w:val="00CF1F82"/>
    <w:rsid w:val="00CF1FDE"/>
    <w:rsid w:val="00CF210D"/>
    <w:rsid w:val="00CF212A"/>
    <w:rsid w:val="00CF21E9"/>
    <w:rsid w:val="00CF2259"/>
    <w:rsid w:val="00CF22D7"/>
    <w:rsid w:val="00CF2302"/>
    <w:rsid w:val="00CF2378"/>
    <w:rsid w:val="00CF23D8"/>
    <w:rsid w:val="00CF244C"/>
    <w:rsid w:val="00CF24CA"/>
    <w:rsid w:val="00CF2728"/>
    <w:rsid w:val="00CF2B16"/>
    <w:rsid w:val="00CF2E2E"/>
    <w:rsid w:val="00CF2E75"/>
    <w:rsid w:val="00CF2F26"/>
    <w:rsid w:val="00CF3279"/>
    <w:rsid w:val="00CF327E"/>
    <w:rsid w:val="00CF3280"/>
    <w:rsid w:val="00CF3281"/>
    <w:rsid w:val="00CF32B8"/>
    <w:rsid w:val="00CF3306"/>
    <w:rsid w:val="00CF331E"/>
    <w:rsid w:val="00CF350C"/>
    <w:rsid w:val="00CF357B"/>
    <w:rsid w:val="00CF35C2"/>
    <w:rsid w:val="00CF370A"/>
    <w:rsid w:val="00CF38C7"/>
    <w:rsid w:val="00CF3929"/>
    <w:rsid w:val="00CF393D"/>
    <w:rsid w:val="00CF39C7"/>
    <w:rsid w:val="00CF3A2A"/>
    <w:rsid w:val="00CF3AA8"/>
    <w:rsid w:val="00CF3BFC"/>
    <w:rsid w:val="00CF3CB9"/>
    <w:rsid w:val="00CF41AB"/>
    <w:rsid w:val="00CF41B7"/>
    <w:rsid w:val="00CF4245"/>
    <w:rsid w:val="00CF426E"/>
    <w:rsid w:val="00CF44BA"/>
    <w:rsid w:val="00CF44C4"/>
    <w:rsid w:val="00CF4510"/>
    <w:rsid w:val="00CF4BC8"/>
    <w:rsid w:val="00CF4C39"/>
    <w:rsid w:val="00CF4CBC"/>
    <w:rsid w:val="00CF4D52"/>
    <w:rsid w:val="00CF5314"/>
    <w:rsid w:val="00CF5652"/>
    <w:rsid w:val="00CF5887"/>
    <w:rsid w:val="00CF59BF"/>
    <w:rsid w:val="00CF5A89"/>
    <w:rsid w:val="00CF5AC5"/>
    <w:rsid w:val="00CF5BBF"/>
    <w:rsid w:val="00CF5D6A"/>
    <w:rsid w:val="00CF5DB4"/>
    <w:rsid w:val="00CF5EC7"/>
    <w:rsid w:val="00CF6112"/>
    <w:rsid w:val="00CF61D8"/>
    <w:rsid w:val="00CF62EB"/>
    <w:rsid w:val="00CF632D"/>
    <w:rsid w:val="00CF65CF"/>
    <w:rsid w:val="00CF6807"/>
    <w:rsid w:val="00CF684C"/>
    <w:rsid w:val="00CF6BC5"/>
    <w:rsid w:val="00CF6C26"/>
    <w:rsid w:val="00CF6C9D"/>
    <w:rsid w:val="00CF6D0A"/>
    <w:rsid w:val="00CF6D48"/>
    <w:rsid w:val="00CF6D9B"/>
    <w:rsid w:val="00CF6ECA"/>
    <w:rsid w:val="00CF6EFC"/>
    <w:rsid w:val="00CF6F0A"/>
    <w:rsid w:val="00CF6F47"/>
    <w:rsid w:val="00CF6F94"/>
    <w:rsid w:val="00CF6FCB"/>
    <w:rsid w:val="00CF702F"/>
    <w:rsid w:val="00CF7227"/>
    <w:rsid w:val="00CF724C"/>
    <w:rsid w:val="00CF724D"/>
    <w:rsid w:val="00CF73EE"/>
    <w:rsid w:val="00CF74B1"/>
    <w:rsid w:val="00CF7572"/>
    <w:rsid w:val="00CF75B2"/>
    <w:rsid w:val="00CF75BD"/>
    <w:rsid w:val="00CF75D9"/>
    <w:rsid w:val="00CF76E0"/>
    <w:rsid w:val="00CF774D"/>
    <w:rsid w:val="00CF7797"/>
    <w:rsid w:val="00CF784E"/>
    <w:rsid w:val="00CF7853"/>
    <w:rsid w:val="00CF7869"/>
    <w:rsid w:val="00CF787D"/>
    <w:rsid w:val="00CF7925"/>
    <w:rsid w:val="00CF7A35"/>
    <w:rsid w:val="00CF7BD9"/>
    <w:rsid w:val="00CF7CC3"/>
    <w:rsid w:val="00CF7D80"/>
    <w:rsid w:val="00D00033"/>
    <w:rsid w:val="00D0013C"/>
    <w:rsid w:val="00D00150"/>
    <w:rsid w:val="00D00166"/>
    <w:rsid w:val="00D001FC"/>
    <w:rsid w:val="00D00337"/>
    <w:rsid w:val="00D00351"/>
    <w:rsid w:val="00D0041F"/>
    <w:rsid w:val="00D004D9"/>
    <w:rsid w:val="00D0050E"/>
    <w:rsid w:val="00D0058B"/>
    <w:rsid w:val="00D00ACE"/>
    <w:rsid w:val="00D00B14"/>
    <w:rsid w:val="00D00B64"/>
    <w:rsid w:val="00D00B6E"/>
    <w:rsid w:val="00D00C02"/>
    <w:rsid w:val="00D00C42"/>
    <w:rsid w:val="00D00DD1"/>
    <w:rsid w:val="00D00EDE"/>
    <w:rsid w:val="00D01195"/>
    <w:rsid w:val="00D01348"/>
    <w:rsid w:val="00D01506"/>
    <w:rsid w:val="00D0155B"/>
    <w:rsid w:val="00D01C58"/>
    <w:rsid w:val="00D01DCA"/>
    <w:rsid w:val="00D01F20"/>
    <w:rsid w:val="00D01F85"/>
    <w:rsid w:val="00D02044"/>
    <w:rsid w:val="00D021C6"/>
    <w:rsid w:val="00D025D6"/>
    <w:rsid w:val="00D0263C"/>
    <w:rsid w:val="00D0295E"/>
    <w:rsid w:val="00D029AF"/>
    <w:rsid w:val="00D02A91"/>
    <w:rsid w:val="00D02B88"/>
    <w:rsid w:val="00D02CF5"/>
    <w:rsid w:val="00D02E56"/>
    <w:rsid w:val="00D02F41"/>
    <w:rsid w:val="00D02FBD"/>
    <w:rsid w:val="00D03158"/>
    <w:rsid w:val="00D0334E"/>
    <w:rsid w:val="00D03384"/>
    <w:rsid w:val="00D03434"/>
    <w:rsid w:val="00D0346F"/>
    <w:rsid w:val="00D034A0"/>
    <w:rsid w:val="00D03607"/>
    <w:rsid w:val="00D03684"/>
    <w:rsid w:val="00D0378F"/>
    <w:rsid w:val="00D03819"/>
    <w:rsid w:val="00D03869"/>
    <w:rsid w:val="00D03A3F"/>
    <w:rsid w:val="00D03A78"/>
    <w:rsid w:val="00D03AD4"/>
    <w:rsid w:val="00D03B39"/>
    <w:rsid w:val="00D03C65"/>
    <w:rsid w:val="00D03CF5"/>
    <w:rsid w:val="00D03D5E"/>
    <w:rsid w:val="00D03F18"/>
    <w:rsid w:val="00D04007"/>
    <w:rsid w:val="00D040E8"/>
    <w:rsid w:val="00D041DD"/>
    <w:rsid w:val="00D043FE"/>
    <w:rsid w:val="00D04417"/>
    <w:rsid w:val="00D0455E"/>
    <w:rsid w:val="00D0459E"/>
    <w:rsid w:val="00D04669"/>
    <w:rsid w:val="00D04988"/>
    <w:rsid w:val="00D04A22"/>
    <w:rsid w:val="00D04A69"/>
    <w:rsid w:val="00D04AE7"/>
    <w:rsid w:val="00D04BCB"/>
    <w:rsid w:val="00D04C74"/>
    <w:rsid w:val="00D04FEB"/>
    <w:rsid w:val="00D05165"/>
    <w:rsid w:val="00D05229"/>
    <w:rsid w:val="00D052F3"/>
    <w:rsid w:val="00D054BB"/>
    <w:rsid w:val="00D05556"/>
    <w:rsid w:val="00D0577B"/>
    <w:rsid w:val="00D05A2F"/>
    <w:rsid w:val="00D05B35"/>
    <w:rsid w:val="00D05C27"/>
    <w:rsid w:val="00D05EE6"/>
    <w:rsid w:val="00D06019"/>
    <w:rsid w:val="00D062D4"/>
    <w:rsid w:val="00D0630A"/>
    <w:rsid w:val="00D064D3"/>
    <w:rsid w:val="00D0650F"/>
    <w:rsid w:val="00D06867"/>
    <w:rsid w:val="00D0694D"/>
    <w:rsid w:val="00D0695F"/>
    <w:rsid w:val="00D06B9C"/>
    <w:rsid w:val="00D06C37"/>
    <w:rsid w:val="00D06EBD"/>
    <w:rsid w:val="00D06F63"/>
    <w:rsid w:val="00D06F7E"/>
    <w:rsid w:val="00D0720D"/>
    <w:rsid w:val="00D07274"/>
    <w:rsid w:val="00D073A2"/>
    <w:rsid w:val="00D073FE"/>
    <w:rsid w:val="00D074CB"/>
    <w:rsid w:val="00D07574"/>
    <w:rsid w:val="00D07596"/>
    <w:rsid w:val="00D07679"/>
    <w:rsid w:val="00D078BB"/>
    <w:rsid w:val="00D07965"/>
    <w:rsid w:val="00D07A85"/>
    <w:rsid w:val="00D07B51"/>
    <w:rsid w:val="00D07CC1"/>
    <w:rsid w:val="00D07CF7"/>
    <w:rsid w:val="00D07EA6"/>
    <w:rsid w:val="00D10067"/>
    <w:rsid w:val="00D10210"/>
    <w:rsid w:val="00D1029E"/>
    <w:rsid w:val="00D102CF"/>
    <w:rsid w:val="00D106AB"/>
    <w:rsid w:val="00D10759"/>
    <w:rsid w:val="00D10909"/>
    <w:rsid w:val="00D10B65"/>
    <w:rsid w:val="00D10B97"/>
    <w:rsid w:val="00D10CFD"/>
    <w:rsid w:val="00D10F24"/>
    <w:rsid w:val="00D10FF8"/>
    <w:rsid w:val="00D110D1"/>
    <w:rsid w:val="00D11110"/>
    <w:rsid w:val="00D112BF"/>
    <w:rsid w:val="00D11395"/>
    <w:rsid w:val="00D11402"/>
    <w:rsid w:val="00D114E3"/>
    <w:rsid w:val="00D115E7"/>
    <w:rsid w:val="00D1169B"/>
    <w:rsid w:val="00D1188C"/>
    <w:rsid w:val="00D1190C"/>
    <w:rsid w:val="00D11A51"/>
    <w:rsid w:val="00D11C24"/>
    <w:rsid w:val="00D11D39"/>
    <w:rsid w:val="00D11D6D"/>
    <w:rsid w:val="00D11D98"/>
    <w:rsid w:val="00D11ECA"/>
    <w:rsid w:val="00D11FAD"/>
    <w:rsid w:val="00D11FF1"/>
    <w:rsid w:val="00D120EA"/>
    <w:rsid w:val="00D12114"/>
    <w:rsid w:val="00D122AD"/>
    <w:rsid w:val="00D124BA"/>
    <w:rsid w:val="00D127F6"/>
    <w:rsid w:val="00D12833"/>
    <w:rsid w:val="00D128AF"/>
    <w:rsid w:val="00D12902"/>
    <w:rsid w:val="00D129FE"/>
    <w:rsid w:val="00D12AF6"/>
    <w:rsid w:val="00D12B25"/>
    <w:rsid w:val="00D12B9C"/>
    <w:rsid w:val="00D12BCF"/>
    <w:rsid w:val="00D12CF6"/>
    <w:rsid w:val="00D12DD5"/>
    <w:rsid w:val="00D12DF4"/>
    <w:rsid w:val="00D12E5D"/>
    <w:rsid w:val="00D12EC4"/>
    <w:rsid w:val="00D12F81"/>
    <w:rsid w:val="00D13004"/>
    <w:rsid w:val="00D13024"/>
    <w:rsid w:val="00D13049"/>
    <w:rsid w:val="00D13381"/>
    <w:rsid w:val="00D13592"/>
    <w:rsid w:val="00D13649"/>
    <w:rsid w:val="00D1383A"/>
    <w:rsid w:val="00D1387C"/>
    <w:rsid w:val="00D13992"/>
    <w:rsid w:val="00D139D7"/>
    <w:rsid w:val="00D13B6A"/>
    <w:rsid w:val="00D13BF9"/>
    <w:rsid w:val="00D13C1D"/>
    <w:rsid w:val="00D13C78"/>
    <w:rsid w:val="00D13D2C"/>
    <w:rsid w:val="00D14099"/>
    <w:rsid w:val="00D14284"/>
    <w:rsid w:val="00D14328"/>
    <w:rsid w:val="00D143EC"/>
    <w:rsid w:val="00D14447"/>
    <w:rsid w:val="00D1450D"/>
    <w:rsid w:val="00D146F0"/>
    <w:rsid w:val="00D1472A"/>
    <w:rsid w:val="00D148B0"/>
    <w:rsid w:val="00D14931"/>
    <w:rsid w:val="00D1496A"/>
    <w:rsid w:val="00D14993"/>
    <w:rsid w:val="00D149AA"/>
    <w:rsid w:val="00D149C1"/>
    <w:rsid w:val="00D14BEF"/>
    <w:rsid w:val="00D14BFA"/>
    <w:rsid w:val="00D14C20"/>
    <w:rsid w:val="00D14D49"/>
    <w:rsid w:val="00D14D77"/>
    <w:rsid w:val="00D14DA6"/>
    <w:rsid w:val="00D14DE7"/>
    <w:rsid w:val="00D15118"/>
    <w:rsid w:val="00D15333"/>
    <w:rsid w:val="00D15456"/>
    <w:rsid w:val="00D15560"/>
    <w:rsid w:val="00D15624"/>
    <w:rsid w:val="00D15B33"/>
    <w:rsid w:val="00D15B91"/>
    <w:rsid w:val="00D15FA3"/>
    <w:rsid w:val="00D1600E"/>
    <w:rsid w:val="00D16038"/>
    <w:rsid w:val="00D161EB"/>
    <w:rsid w:val="00D162FF"/>
    <w:rsid w:val="00D1656D"/>
    <w:rsid w:val="00D165A3"/>
    <w:rsid w:val="00D1685E"/>
    <w:rsid w:val="00D169DD"/>
    <w:rsid w:val="00D16CA5"/>
    <w:rsid w:val="00D16CF4"/>
    <w:rsid w:val="00D16E62"/>
    <w:rsid w:val="00D17011"/>
    <w:rsid w:val="00D170BC"/>
    <w:rsid w:val="00D170BE"/>
    <w:rsid w:val="00D1725E"/>
    <w:rsid w:val="00D17469"/>
    <w:rsid w:val="00D17597"/>
    <w:rsid w:val="00D1771C"/>
    <w:rsid w:val="00D179B7"/>
    <w:rsid w:val="00D17AE2"/>
    <w:rsid w:val="00D17B45"/>
    <w:rsid w:val="00D17ED3"/>
    <w:rsid w:val="00D20058"/>
    <w:rsid w:val="00D200EC"/>
    <w:rsid w:val="00D20425"/>
    <w:rsid w:val="00D204B3"/>
    <w:rsid w:val="00D20523"/>
    <w:rsid w:val="00D2052B"/>
    <w:rsid w:val="00D20721"/>
    <w:rsid w:val="00D20801"/>
    <w:rsid w:val="00D209E2"/>
    <w:rsid w:val="00D209EF"/>
    <w:rsid w:val="00D20CF7"/>
    <w:rsid w:val="00D2102D"/>
    <w:rsid w:val="00D21165"/>
    <w:rsid w:val="00D214D4"/>
    <w:rsid w:val="00D215DB"/>
    <w:rsid w:val="00D21642"/>
    <w:rsid w:val="00D21790"/>
    <w:rsid w:val="00D218BA"/>
    <w:rsid w:val="00D21984"/>
    <w:rsid w:val="00D21E3B"/>
    <w:rsid w:val="00D22029"/>
    <w:rsid w:val="00D221C6"/>
    <w:rsid w:val="00D22291"/>
    <w:rsid w:val="00D222F9"/>
    <w:rsid w:val="00D228A7"/>
    <w:rsid w:val="00D229D9"/>
    <w:rsid w:val="00D229DA"/>
    <w:rsid w:val="00D22BE4"/>
    <w:rsid w:val="00D22F6F"/>
    <w:rsid w:val="00D231EE"/>
    <w:rsid w:val="00D237A5"/>
    <w:rsid w:val="00D23BD4"/>
    <w:rsid w:val="00D23EFF"/>
    <w:rsid w:val="00D23F5C"/>
    <w:rsid w:val="00D2407A"/>
    <w:rsid w:val="00D241BF"/>
    <w:rsid w:val="00D241DB"/>
    <w:rsid w:val="00D24299"/>
    <w:rsid w:val="00D2436F"/>
    <w:rsid w:val="00D24412"/>
    <w:rsid w:val="00D246F8"/>
    <w:rsid w:val="00D249D7"/>
    <w:rsid w:val="00D24BDE"/>
    <w:rsid w:val="00D24D2B"/>
    <w:rsid w:val="00D24F03"/>
    <w:rsid w:val="00D24F6F"/>
    <w:rsid w:val="00D25007"/>
    <w:rsid w:val="00D250AE"/>
    <w:rsid w:val="00D2516C"/>
    <w:rsid w:val="00D25719"/>
    <w:rsid w:val="00D2590D"/>
    <w:rsid w:val="00D25A8C"/>
    <w:rsid w:val="00D25B04"/>
    <w:rsid w:val="00D25D11"/>
    <w:rsid w:val="00D25D46"/>
    <w:rsid w:val="00D25EDA"/>
    <w:rsid w:val="00D260B9"/>
    <w:rsid w:val="00D261D2"/>
    <w:rsid w:val="00D26206"/>
    <w:rsid w:val="00D2635E"/>
    <w:rsid w:val="00D26407"/>
    <w:rsid w:val="00D26600"/>
    <w:rsid w:val="00D26634"/>
    <w:rsid w:val="00D26720"/>
    <w:rsid w:val="00D26725"/>
    <w:rsid w:val="00D26847"/>
    <w:rsid w:val="00D2699B"/>
    <w:rsid w:val="00D26A22"/>
    <w:rsid w:val="00D26B2B"/>
    <w:rsid w:val="00D26B3C"/>
    <w:rsid w:val="00D26C26"/>
    <w:rsid w:val="00D26FA6"/>
    <w:rsid w:val="00D27078"/>
    <w:rsid w:val="00D2707D"/>
    <w:rsid w:val="00D270DC"/>
    <w:rsid w:val="00D270F4"/>
    <w:rsid w:val="00D27115"/>
    <w:rsid w:val="00D27122"/>
    <w:rsid w:val="00D2718C"/>
    <w:rsid w:val="00D271AD"/>
    <w:rsid w:val="00D272B7"/>
    <w:rsid w:val="00D27384"/>
    <w:rsid w:val="00D275CC"/>
    <w:rsid w:val="00D276EC"/>
    <w:rsid w:val="00D2789D"/>
    <w:rsid w:val="00D279B6"/>
    <w:rsid w:val="00D27B7A"/>
    <w:rsid w:val="00D27D0F"/>
    <w:rsid w:val="00D27ECF"/>
    <w:rsid w:val="00D27F84"/>
    <w:rsid w:val="00D3000A"/>
    <w:rsid w:val="00D30105"/>
    <w:rsid w:val="00D301DA"/>
    <w:rsid w:val="00D30677"/>
    <w:rsid w:val="00D30761"/>
    <w:rsid w:val="00D307B7"/>
    <w:rsid w:val="00D30885"/>
    <w:rsid w:val="00D30AC1"/>
    <w:rsid w:val="00D30C8C"/>
    <w:rsid w:val="00D30D2A"/>
    <w:rsid w:val="00D31097"/>
    <w:rsid w:val="00D310A4"/>
    <w:rsid w:val="00D31129"/>
    <w:rsid w:val="00D311C4"/>
    <w:rsid w:val="00D311F7"/>
    <w:rsid w:val="00D3146B"/>
    <w:rsid w:val="00D315D4"/>
    <w:rsid w:val="00D316A9"/>
    <w:rsid w:val="00D318AF"/>
    <w:rsid w:val="00D31B2C"/>
    <w:rsid w:val="00D31B39"/>
    <w:rsid w:val="00D31B87"/>
    <w:rsid w:val="00D31BBB"/>
    <w:rsid w:val="00D31C58"/>
    <w:rsid w:val="00D31CB6"/>
    <w:rsid w:val="00D31D51"/>
    <w:rsid w:val="00D31DA0"/>
    <w:rsid w:val="00D31DC7"/>
    <w:rsid w:val="00D3204E"/>
    <w:rsid w:val="00D32156"/>
    <w:rsid w:val="00D32162"/>
    <w:rsid w:val="00D322EE"/>
    <w:rsid w:val="00D32319"/>
    <w:rsid w:val="00D32378"/>
    <w:rsid w:val="00D32450"/>
    <w:rsid w:val="00D32667"/>
    <w:rsid w:val="00D3292A"/>
    <w:rsid w:val="00D329B1"/>
    <w:rsid w:val="00D32B38"/>
    <w:rsid w:val="00D32BDB"/>
    <w:rsid w:val="00D32C1F"/>
    <w:rsid w:val="00D32E00"/>
    <w:rsid w:val="00D33010"/>
    <w:rsid w:val="00D33157"/>
    <w:rsid w:val="00D33495"/>
    <w:rsid w:val="00D335A5"/>
    <w:rsid w:val="00D337EC"/>
    <w:rsid w:val="00D339CC"/>
    <w:rsid w:val="00D33AB4"/>
    <w:rsid w:val="00D33AFA"/>
    <w:rsid w:val="00D33C1D"/>
    <w:rsid w:val="00D33C9D"/>
    <w:rsid w:val="00D33EA3"/>
    <w:rsid w:val="00D3401E"/>
    <w:rsid w:val="00D3409A"/>
    <w:rsid w:val="00D34255"/>
    <w:rsid w:val="00D342CB"/>
    <w:rsid w:val="00D34395"/>
    <w:rsid w:val="00D343D5"/>
    <w:rsid w:val="00D34523"/>
    <w:rsid w:val="00D34E0D"/>
    <w:rsid w:val="00D34FB2"/>
    <w:rsid w:val="00D34FE3"/>
    <w:rsid w:val="00D35169"/>
    <w:rsid w:val="00D35247"/>
    <w:rsid w:val="00D352AB"/>
    <w:rsid w:val="00D352EC"/>
    <w:rsid w:val="00D35330"/>
    <w:rsid w:val="00D3537C"/>
    <w:rsid w:val="00D353DF"/>
    <w:rsid w:val="00D35691"/>
    <w:rsid w:val="00D3585E"/>
    <w:rsid w:val="00D35974"/>
    <w:rsid w:val="00D35B6A"/>
    <w:rsid w:val="00D35B93"/>
    <w:rsid w:val="00D35BF7"/>
    <w:rsid w:val="00D35C95"/>
    <w:rsid w:val="00D35E05"/>
    <w:rsid w:val="00D35F5D"/>
    <w:rsid w:val="00D36057"/>
    <w:rsid w:val="00D360C5"/>
    <w:rsid w:val="00D3620A"/>
    <w:rsid w:val="00D362DA"/>
    <w:rsid w:val="00D363DC"/>
    <w:rsid w:val="00D363EC"/>
    <w:rsid w:val="00D36434"/>
    <w:rsid w:val="00D3664E"/>
    <w:rsid w:val="00D36660"/>
    <w:rsid w:val="00D367A7"/>
    <w:rsid w:val="00D368B6"/>
    <w:rsid w:val="00D36B6D"/>
    <w:rsid w:val="00D36D3E"/>
    <w:rsid w:val="00D36E4E"/>
    <w:rsid w:val="00D36F75"/>
    <w:rsid w:val="00D37204"/>
    <w:rsid w:val="00D37415"/>
    <w:rsid w:val="00D37535"/>
    <w:rsid w:val="00D37586"/>
    <w:rsid w:val="00D378D2"/>
    <w:rsid w:val="00D37AEE"/>
    <w:rsid w:val="00D37B58"/>
    <w:rsid w:val="00D37CD5"/>
    <w:rsid w:val="00D37CF2"/>
    <w:rsid w:val="00D37F22"/>
    <w:rsid w:val="00D4000F"/>
    <w:rsid w:val="00D40149"/>
    <w:rsid w:val="00D4019B"/>
    <w:rsid w:val="00D40246"/>
    <w:rsid w:val="00D40272"/>
    <w:rsid w:val="00D4037D"/>
    <w:rsid w:val="00D403F1"/>
    <w:rsid w:val="00D40402"/>
    <w:rsid w:val="00D4047F"/>
    <w:rsid w:val="00D4050F"/>
    <w:rsid w:val="00D40924"/>
    <w:rsid w:val="00D4095A"/>
    <w:rsid w:val="00D40C2D"/>
    <w:rsid w:val="00D40D22"/>
    <w:rsid w:val="00D40F49"/>
    <w:rsid w:val="00D41402"/>
    <w:rsid w:val="00D4143D"/>
    <w:rsid w:val="00D414EC"/>
    <w:rsid w:val="00D415E7"/>
    <w:rsid w:val="00D417A3"/>
    <w:rsid w:val="00D4183D"/>
    <w:rsid w:val="00D4198E"/>
    <w:rsid w:val="00D41BB9"/>
    <w:rsid w:val="00D41C40"/>
    <w:rsid w:val="00D41D98"/>
    <w:rsid w:val="00D41E80"/>
    <w:rsid w:val="00D41F71"/>
    <w:rsid w:val="00D42039"/>
    <w:rsid w:val="00D421E8"/>
    <w:rsid w:val="00D42624"/>
    <w:rsid w:val="00D426EF"/>
    <w:rsid w:val="00D42AA2"/>
    <w:rsid w:val="00D42B8E"/>
    <w:rsid w:val="00D42BFE"/>
    <w:rsid w:val="00D42C97"/>
    <w:rsid w:val="00D42F16"/>
    <w:rsid w:val="00D42F2D"/>
    <w:rsid w:val="00D43193"/>
    <w:rsid w:val="00D43271"/>
    <w:rsid w:val="00D43316"/>
    <w:rsid w:val="00D4337E"/>
    <w:rsid w:val="00D436B3"/>
    <w:rsid w:val="00D438C0"/>
    <w:rsid w:val="00D43959"/>
    <w:rsid w:val="00D43C58"/>
    <w:rsid w:val="00D44023"/>
    <w:rsid w:val="00D4407A"/>
    <w:rsid w:val="00D44088"/>
    <w:rsid w:val="00D4414E"/>
    <w:rsid w:val="00D441D6"/>
    <w:rsid w:val="00D44427"/>
    <w:rsid w:val="00D44542"/>
    <w:rsid w:val="00D44719"/>
    <w:rsid w:val="00D447D2"/>
    <w:rsid w:val="00D4485C"/>
    <w:rsid w:val="00D449A4"/>
    <w:rsid w:val="00D449A8"/>
    <w:rsid w:val="00D449D4"/>
    <w:rsid w:val="00D44CF8"/>
    <w:rsid w:val="00D44D42"/>
    <w:rsid w:val="00D44E09"/>
    <w:rsid w:val="00D44E10"/>
    <w:rsid w:val="00D44EA8"/>
    <w:rsid w:val="00D44F26"/>
    <w:rsid w:val="00D45013"/>
    <w:rsid w:val="00D450D2"/>
    <w:rsid w:val="00D4522E"/>
    <w:rsid w:val="00D45251"/>
    <w:rsid w:val="00D45292"/>
    <w:rsid w:val="00D454B7"/>
    <w:rsid w:val="00D457AA"/>
    <w:rsid w:val="00D4598B"/>
    <w:rsid w:val="00D45ABF"/>
    <w:rsid w:val="00D45F68"/>
    <w:rsid w:val="00D4611F"/>
    <w:rsid w:val="00D4614D"/>
    <w:rsid w:val="00D461CF"/>
    <w:rsid w:val="00D46372"/>
    <w:rsid w:val="00D46430"/>
    <w:rsid w:val="00D464E4"/>
    <w:rsid w:val="00D46565"/>
    <w:rsid w:val="00D46569"/>
    <w:rsid w:val="00D46578"/>
    <w:rsid w:val="00D46735"/>
    <w:rsid w:val="00D46AF0"/>
    <w:rsid w:val="00D46CFA"/>
    <w:rsid w:val="00D46E5C"/>
    <w:rsid w:val="00D46ED1"/>
    <w:rsid w:val="00D46F25"/>
    <w:rsid w:val="00D47192"/>
    <w:rsid w:val="00D471B9"/>
    <w:rsid w:val="00D47226"/>
    <w:rsid w:val="00D47284"/>
    <w:rsid w:val="00D47324"/>
    <w:rsid w:val="00D47391"/>
    <w:rsid w:val="00D47474"/>
    <w:rsid w:val="00D474D5"/>
    <w:rsid w:val="00D47566"/>
    <w:rsid w:val="00D477F0"/>
    <w:rsid w:val="00D47855"/>
    <w:rsid w:val="00D478F8"/>
    <w:rsid w:val="00D47B21"/>
    <w:rsid w:val="00D47C6E"/>
    <w:rsid w:val="00D47D1B"/>
    <w:rsid w:val="00D47DB6"/>
    <w:rsid w:val="00D47E39"/>
    <w:rsid w:val="00D47F15"/>
    <w:rsid w:val="00D500D9"/>
    <w:rsid w:val="00D500FE"/>
    <w:rsid w:val="00D50321"/>
    <w:rsid w:val="00D5057A"/>
    <w:rsid w:val="00D505FA"/>
    <w:rsid w:val="00D50738"/>
    <w:rsid w:val="00D507C9"/>
    <w:rsid w:val="00D50850"/>
    <w:rsid w:val="00D50B22"/>
    <w:rsid w:val="00D50BEB"/>
    <w:rsid w:val="00D50C75"/>
    <w:rsid w:val="00D50D53"/>
    <w:rsid w:val="00D50D9D"/>
    <w:rsid w:val="00D50EDE"/>
    <w:rsid w:val="00D50F01"/>
    <w:rsid w:val="00D50FD4"/>
    <w:rsid w:val="00D511A1"/>
    <w:rsid w:val="00D51384"/>
    <w:rsid w:val="00D51506"/>
    <w:rsid w:val="00D51615"/>
    <w:rsid w:val="00D5180C"/>
    <w:rsid w:val="00D5186C"/>
    <w:rsid w:val="00D51910"/>
    <w:rsid w:val="00D5195A"/>
    <w:rsid w:val="00D51A32"/>
    <w:rsid w:val="00D51B0A"/>
    <w:rsid w:val="00D51B8E"/>
    <w:rsid w:val="00D51C4A"/>
    <w:rsid w:val="00D51C6F"/>
    <w:rsid w:val="00D51D48"/>
    <w:rsid w:val="00D51DF9"/>
    <w:rsid w:val="00D51DFA"/>
    <w:rsid w:val="00D52096"/>
    <w:rsid w:val="00D520E1"/>
    <w:rsid w:val="00D523A5"/>
    <w:rsid w:val="00D5244B"/>
    <w:rsid w:val="00D525D8"/>
    <w:rsid w:val="00D52633"/>
    <w:rsid w:val="00D52670"/>
    <w:rsid w:val="00D52837"/>
    <w:rsid w:val="00D52931"/>
    <w:rsid w:val="00D529A4"/>
    <w:rsid w:val="00D529C4"/>
    <w:rsid w:val="00D52A40"/>
    <w:rsid w:val="00D52AD3"/>
    <w:rsid w:val="00D52F5C"/>
    <w:rsid w:val="00D53102"/>
    <w:rsid w:val="00D53245"/>
    <w:rsid w:val="00D5342E"/>
    <w:rsid w:val="00D534D9"/>
    <w:rsid w:val="00D537A4"/>
    <w:rsid w:val="00D5383A"/>
    <w:rsid w:val="00D53846"/>
    <w:rsid w:val="00D53889"/>
    <w:rsid w:val="00D53A99"/>
    <w:rsid w:val="00D53B62"/>
    <w:rsid w:val="00D53B63"/>
    <w:rsid w:val="00D53C5C"/>
    <w:rsid w:val="00D53D7A"/>
    <w:rsid w:val="00D53D91"/>
    <w:rsid w:val="00D53E6A"/>
    <w:rsid w:val="00D540F8"/>
    <w:rsid w:val="00D54290"/>
    <w:rsid w:val="00D54319"/>
    <w:rsid w:val="00D543D7"/>
    <w:rsid w:val="00D545E8"/>
    <w:rsid w:val="00D5471A"/>
    <w:rsid w:val="00D54B82"/>
    <w:rsid w:val="00D54CC4"/>
    <w:rsid w:val="00D54EA0"/>
    <w:rsid w:val="00D54F5A"/>
    <w:rsid w:val="00D55137"/>
    <w:rsid w:val="00D55175"/>
    <w:rsid w:val="00D5550C"/>
    <w:rsid w:val="00D5553F"/>
    <w:rsid w:val="00D555FD"/>
    <w:rsid w:val="00D5561B"/>
    <w:rsid w:val="00D55696"/>
    <w:rsid w:val="00D5569F"/>
    <w:rsid w:val="00D5574B"/>
    <w:rsid w:val="00D558A3"/>
    <w:rsid w:val="00D55BAC"/>
    <w:rsid w:val="00D55CD4"/>
    <w:rsid w:val="00D55CE2"/>
    <w:rsid w:val="00D5609A"/>
    <w:rsid w:val="00D5612A"/>
    <w:rsid w:val="00D561F6"/>
    <w:rsid w:val="00D56228"/>
    <w:rsid w:val="00D5622C"/>
    <w:rsid w:val="00D562C9"/>
    <w:rsid w:val="00D563D7"/>
    <w:rsid w:val="00D565C3"/>
    <w:rsid w:val="00D568DD"/>
    <w:rsid w:val="00D569A3"/>
    <w:rsid w:val="00D56A6C"/>
    <w:rsid w:val="00D56B2E"/>
    <w:rsid w:val="00D56DE4"/>
    <w:rsid w:val="00D56F67"/>
    <w:rsid w:val="00D5710E"/>
    <w:rsid w:val="00D5713F"/>
    <w:rsid w:val="00D571C6"/>
    <w:rsid w:val="00D571EC"/>
    <w:rsid w:val="00D57275"/>
    <w:rsid w:val="00D575EF"/>
    <w:rsid w:val="00D5769D"/>
    <w:rsid w:val="00D576DE"/>
    <w:rsid w:val="00D5773D"/>
    <w:rsid w:val="00D578A4"/>
    <w:rsid w:val="00D578A7"/>
    <w:rsid w:val="00D57A83"/>
    <w:rsid w:val="00D57AA1"/>
    <w:rsid w:val="00D57CA5"/>
    <w:rsid w:val="00D57CF0"/>
    <w:rsid w:val="00D57DD3"/>
    <w:rsid w:val="00D600C3"/>
    <w:rsid w:val="00D60179"/>
    <w:rsid w:val="00D60415"/>
    <w:rsid w:val="00D60565"/>
    <w:rsid w:val="00D605A2"/>
    <w:rsid w:val="00D60651"/>
    <w:rsid w:val="00D6067A"/>
    <w:rsid w:val="00D60966"/>
    <w:rsid w:val="00D60996"/>
    <w:rsid w:val="00D60A11"/>
    <w:rsid w:val="00D60D27"/>
    <w:rsid w:val="00D60DA9"/>
    <w:rsid w:val="00D60F9D"/>
    <w:rsid w:val="00D61165"/>
    <w:rsid w:val="00D612B6"/>
    <w:rsid w:val="00D612D3"/>
    <w:rsid w:val="00D6149E"/>
    <w:rsid w:val="00D6157E"/>
    <w:rsid w:val="00D615A8"/>
    <w:rsid w:val="00D6167C"/>
    <w:rsid w:val="00D6173B"/>
    <w:rsid w:val="00D61B25"/>
    <w:rsid w:val="00D61B4D"/>
    <w:rsid w:val="00D61BF2"/>
    <w:rsid w:val="00D61C5F"/>
    <w:rsid w:val="00D61D78"/>
    <w:rsid w:val="00D61EB8"/>
    <w:rsid w:val="00D6209C"/>
    <w:rsid w:val="00D62135"/>
    <w:rsid w:val="00D621FA"/>
    <w:rsid w:val="00D62350"/>
    <w:rsid w:val="00D623F1"/>
    <w:rsid w:val="00D623F8"/>
    <w:rsid w:val="00D6247D"/>
    <w:rsid w:val="00D62571"/>
    <w:rsid w:val="00D625A8"/>
    <w:rsid w:val="00D627F8"/>
    <w:rsid w:val="00D62924"/>
    <w:rsid w:val="00D62928"/>
    <w:rsid w:val="00D62CFC"/>
    <w:rsid w:val="00D62DA5"/>
    <w:rsid w:val="00D62ECF"/>
    <w:rsid w:val="00D63129"/>
    <w:rsid w:val="00D6330D"/>
    <w:rsid w:val="00D6377F"/>
    <w:rsid w:val="00D637FE"/>
    <w:rsid w:val="00D638CB"/>
    <w:rsid w:val="00D6390B"/>
    <w:rsid w:val="00D63A3A"/>
    <w:rsid w:val="00D63C17"/>
    <w:rsid w:val="00D63CB5"/>
    <w:rsid w:val="00D63CE0"/>
    <w:rsid w:val="00D63D7B"/>
    <w:rsid w:val="00D63DB7"/>
    <w:rsid w:val="00D63EA1"/>
    <w:rsid w:val="00D63ED7"/>
    <w:rsid w:val="00D63EE1"/>
    <w:rsid w:val="00D64121"/>
    <w:rsid w:val="00D641BD"/>
    <w:rsid w:val="00D643A8"/>
    <w:rsid w:val="00D64576"/>
    <w:rsid w:val="00D64588"/>
    <w:rsid w:val="00D64817"/>
    <w:rsid w:val="00D64854"/>
    <w:rsid w:val="00D648D8"/>
    <w:rsid w:val="00D6492E"/>
    <w:rsid w:val="00D64AEF"/>
    <w:rsid w:val="00D64BF7"/>
    <w:rsid w:val="00D64C7E"/>
    <w:rsid w:val="00D64CD4"/>
    <w:rsid w:val="00D65057"/>
    <w:rsid w:val="00D650CD"/>
    <w:rsid w:val="00D651EC"/>
    <w:rsid w:val="00D65206"/>
    <w:rsid w:val="00D65235"/>
    <w:rsid w:val="00D652C4"/>
    <w:rsid w:val="00D65389"/>
    <w:rsid w:val="00D6548B"/>
    <w:rsid w:val="00D654A2"/>
    <w:rsid w:val="00D6563F"/>
    <w:rsid w:val="00D6576B"/>
    <w:rsid w:val="00D657C9"/>
    <w:rsid w:val="00D65AE7"/>
    <w:rsid w:val="00D65B78"/>
    <w:rsid w:val="00D65C9A"/>
    <w:rsid w:val="00D65D06"/>
    <w:rsid w:val="00D65D49"/>
    <w:rsid w:val="00D65DDE"/>
    <w:rsid w:val="00D65DF1"/>
    <w:rsid w:val="00D65F55"/>
    <w:rsid w:val="00D65F60"/>
    <w:rsid w:val="00D660F5"/>
    <w:rsid w:val="00D66124"/>
    <w:rsid w:val="00D66373"/>
    <w:rsid w:val="00D66557"/>
    <w:rsid w:val="00D665E7"/>
    <w:rsid w:val="00D669F7"/>
    <w:rsid w:val="00D66C03"/>
    <w:rsid w:val="00D66C19"/>
    <w:rsid w:val="00D66D52"/>
    <w:rsid w:val="00D66DF5"/>
    <w:rsid w:val="00D66E3B"/>
    <w:rsid w:val="00D6701A"/>
    <w:rsid w:val="00D6725B"/>
    <w:rsid w:val="00D67383"/>
    <w:rsid w:val="00D676BE"/>
    <w:rsid w:val="00D67733"/>
    <w:rsid w:val="00D67838"/>
    <w:rsid w:val="00D67884"/>
    <w:rsid w:val="00D678DE"/>
    <w:rsid w:val="00D6794F"/>
    <w:rsid w:val="00D67A4A"/>
    <w:rsid w:val="00D67A54"/>
    <w:rsid w:val="00D67AA5"/>
    <w:rsid w:val="00D67AFE"/>
    <w:rsid w:val="00D67B09"/>
    <w:rsid w:val="00D67B42"/>
    <w:rsid w:val="00D67B75"/>
    <w:rsid w:val="00D67B9D"/>
    <w:rsid w:val="00D67C25"/>
    <w:rsid w:val="00D67C5B"/>
    <w:rsid w:val="00D67D30"/>
    <w:rsid w:val="00D67ECA"/>
    <w:rsid w:val="00D7007C"/>
    <w:rsid w:val="00D7008A"/>
    <w:rsid w:val="00D70093"/>
    <w:rsid w:val="00D701C2"/>
    <w:rsid w:val="00D7027A"/>
    <w:rsid w:val="00D708DD"/>
    <w:rsid w:val="00D70965"/>
    <w:rsid w:val="00D709A4"/>
    <w:rsid w:val="00D70AE6"/>
    <w:rsid w:val="00D70C43"/>
    <w:rsid w:val="00D70C79"/>
    <w:rsid w:val="00D70D86"/>
    <w:rsid w:val="00D70EBF"/>
    <w:rsid w:val="00D71092"/>
    <w:rsid w:val="00D7110F"/>
    <w:rsid w:val="00D71188"/>
    <w:rsid w:val="00D71244"/>
    <w:rsid w:val="00D714F1"/>
    <w:rsid w:val="00D714F5"/>
    <w:rsid w:val="00D715AD"/>
    <w:rsid w:val="00D719A4"/>
    <w:rsid w:val="00D71B11"/>
    <w:rsid w:val="00D71B93"/>
    <w:rsid w:val="00D71D2A"/>
    <w:rsid w:val="00D71D63"/>
    <w:rsid w:val="00D71D7C"/>
    <w:rsid w:val="00D71E36"/>
    <w:rsid w:val="00D71E84"/>
    <w:rsid w:val="00D71F3B"/>
    <w:rsid w:val="00D71F7A"/>
    <w:rsid w:val="00D7203D"/>
    <w:rsid w:val="00D72087"/>
    <w:rsid w:val="00D720D9"/>
    <w:rsid w:val="00D720F7"/>
    <w:rsid w:val="00D72114"/>
    <w:rsid w:val="00D72115"/>
    <w:rsid w:val="00D72322"/>
    <w:rsid w:val="00D72471"/>
    <w:rsid w:val="00D7247B"/>
    <w:rsid w:val="00D7256F"/>
    <w:rsid w:val="00D72589"/>
    <w:rsid w:val="00D72785"/>
    <w:rsid w:val="00D72AB6"/>
    <w:rsid w:val="00D72E19"/>
    <w:rsid w:val="00D72E3C"/>
    <w:rsid w:val="00D72E3F"/>
    <w:rsid w:val="00D72F37"/>
    <w:rsid w:val="00D72FE5"/>
    <w:rsid w:val="00D73059"/>
    <w:rsid w:val="00D7307E"/>
    <w:rsid w:val="00D73083"/>
    <w:rsid w:val="00D730C5"/>
    <w:rsid w:val="00D7317D"/>
    <w:rsid w:val="00D733E2"/>
    <w:rsid w:val="00D733FE"/>
    <w:rsid w:val="00D7342A"/>
    <w:rsid w:val="00D7342E"/>
    <w:rsid w:val="00D73485"/>
    <w:rsid w:val="00D737E3"/>
    <w:rsid w:val="00D73847"/>
    <w:rsid w:val="00D738CE"/>
    <w:rsid w:val="00D73A9F"/>
    <w:rsid w:val="00D73AD8"/>
    <w:rsid w:val="00D73BD4"/>
    <w:rsid w:val="00D73CC6"/>
    <w:rsid w:val="00D73FBF"/>
    <w:rsid w:val="00D741ED"/>
    <w:rsid w:val="00D742D9"/>
    <w:rsid w:val="00D74322"/>
    <w:rsid w:val="00D7451B"/>
    <w:rsid w:val="00D7455F"/>
    <w:rsid w:val="00D74813"/>
    <w:rsid w:val="00D74A21"/>
    <w:rsid w:val="00D74AE7"/>
    <w:rsid w:val="00D74B75"/>
    <w:rsid w:val="00D74C77"/>
    <w:rsid w:val="00D75104"/>
    <w:rsid w:val="00D7510A"/>
    <w:rsid w:val="00D7516E"/>
    <w:rsid w:val="00D75314"/>
    <w:rsid w:val="00D753A1"/>
    <w:rsid w:val="00D753D1"/>
    <w:rsid w:val="00D75408"/>
    <w:rsid w:val="00D75496"/>
    <w:rsid w:val="00D755D5"/>
    <w:rsid w:val="00D75690"/>
    <w:rsid w:val="00D7578E"/>
    <w:rsid w:val="00D75F40"/>
    <w:rsid w:val="00D75FF1"/>
    <w:rsid w:val="00D76238"/>
    <w:rsid w:val="00D762FC"/>
    <w:rsid w:val="00D76302"/>
    <w:rsid w:val="00D763A5"/>
    <w:rsid w:val="00D764D9"/>
    <w:rsid w:val="00D76569"/>
    <w:rsid w:val="00D7656E"/>
    <w:rsid w:val="00D76606"/>
    <w:rsid w:val="00D767FC"/>
    <w:rsid w:val="00D76868"/>
    <w:rsid w:val="00D769A2"/>
    <w:rsid w:val="00D769C3"/>
    <w:rsid w:val="00D76ABF"/>
    <w:rsid w:val="00D76ADE"/>
    <w:rsid w:val="00D76B1E"/>
    <w:rsid w:val="00D76C42"/>
    <w:rsid w:val="00D76D65"/>
    <w:rsid w:val="00D76E02"/>
    <w:rsid w:val="00D76F36"/>
    <w:rsid w:val="00D77108"/>
    <w:rsid w:val="00D771C0"/>
    <w:rsid w:val="00D7732F"/>
    <w:rsid w:val="00D77422"/>
    <w:rsid w:val="00D77497"/>
    <w:rsid w:val="00D774CD"/>
    <w:rsid w:val="00D7753E"/>
    <w:rsid w:val="00D776C4"/>
    <w:rsid w:val="00D776C7"/>
    <w:rsid w:val="00D77739"/>
    <w:rsid w:val="00D77770"/>
    <w:rsid w:val="00D77772"/>
    <w:rsid w:val="00D77A0F"/>
    <w:rsid w:val="00D77A36"/>
    <w:rsid w:val="00D77A3D"/>
    <w:rsid w:val="00D77A66"/>
    <w:rsid w:val="00D77A86"/>
    <w:rsid w:val="00D77AFF"/>
    <w:rsid w:val="00D77BBF"/>
    <w:rsid w:val="00D77CE2"/>
    <w:rsid w:val="00D77D04"/>
    <w:rsid w:val="00D77D1A"/>
    <w:rsid w:val="00D80027"/>
    <w:rsid w:val="00D8007B"/>
    <w:rsid w:val="00D802DD"/>
    <w:rsid w:val="00D80358"/>
    <w:rsid w:val="00D803C0"/>
    <w:rsid w:val="00D80403"/>
    <w:rsid w:val="00D80633"/>
    <w:rsid w:val="00D8083D"/>
    <w:rsid w:val="00D808EB"/>
    <w:rsid w:val="00D808FD"/>
    <w:rsid w:val="00D8094C"/>
    <w:rsid w:val="00D80B55"/>
    <w:rsid w:val="00D80B8F"/>
    <w:rsid w:val="00D80BAB"/>
    <w:rsid w:val="00D80BD2"/>
    <w:rsid w:val="00D80BE0"/>
    <w:rsid w:val="00D80FBF"/>
    <w:rsid w:val="00D8101E"/>
    <w:rsid w:val="00D81304"/>
    <w:rsid w:val="00D813E2"/>
    <w:rsid w:val="00D816DF"/>
    <w:rsid w:val="00D81729"/>
    <w:rsid w:val="00D81859"/>
    <w:rsid w:val="00D81A31"/>
    <w:rsid w:val="00D81C6F"/>
    <w:rsid w:val="00D81EFE"/>
    <w:rsid w:val="00D82231"/>
    <w:rsid w:val="00D82246"/>
    <w:rsid w:val="00D8224A"/>
    <w:rsid w:val="00D8257E"/>
    <w:rsid w:val="00D826E1"/>
    <w:rsid w:val="00D829A9"/>
    <w:rsid w:val="00D82B0F"/>
    <w:rsid w:val="00D82B6D"/>
    <w:rsid w:val="00D82C5B"/>
    <w:rsid w:val="00D82D9A"/>
    <w:rsid w:val="00D82DED"/>
    <w:rsid w:val="00D82E03"/>
    <w:rsid w:val="00D82E79"/>
    <w:rsid w:val="00D82F54"/>
    <w:rsid w:val="00D82FAA"/>
    <w:rsid w:val="00D83044"/>
    <w:rsid w:val="00D83515"/>
    <w:rsid w:val="00D83609"/>
    <w:rsid w:val="00D8366D"/>
    <w:rsid w:val="00D836A2"/>
    <w:rsid w:val="00D837A6"/>
    <w:rsid w:val="00D837D0"/>
    <w:rsid w:val="00D8381B"/>
    <w:rsid w:val="00D83823"/>
    <w:rsid w:val="00D83920"/>
    <w:rsid w:val="00D83AA8"/>
    <w:rsid w:val="00D83AA9"/>
    <w:rsid w:val="00D83EDE"/>
    <w:rsid w:val="00D83FBF"/>
    <w:rsid w:val="00D84615"/>
    <w:rsid w:val="00D84789"/>
    <w:rsid w:val="00D847B5"/>
    <w:rsid w:val="00D847C6"/>
    <w:rsid w:val="00D848C1"/>
    <w:rsid w:val="00D84B99"/>
    <w:rsid w:val="00D84DA4"/>
    <w:rsid w:val="00D84E81"/>
    <w:rsid w:val="00D84EAD"/>
    <w:rsid w:val="00D851C6"/>
    <w:rsid w:val="00D8527A"/>
    <w:rsid w:val="00D8556F"/>
    <w:rsid w:val="00D85763"/>
    <w:rsid w:val="00D8584A"/>
    <w:rsid w:val="00D85A5C"/>
    <w:rsid w:val="00D85AAB"/>
    <w:rsid w:val="00D85B48"/>
    <w:rsid w:val="00D85B64"/>
    <w:rsid w:val="00D85C0C"/>
    <w:rsid w:val="00D85C5A"/>
    <w:rsid w:val="00D85F98"/>
    <w:rsid w:val="00D85FCD"/>
    <w:rsid w:val="00D8633D"/>
    <w:rsid w:val="00D864C5"/>
    <w:rsid w:val="00D8652A"/>
    <w:rsid w:val="00D8664C"/>
    <w:rsid w:val="00D86661"/>
    <w:rsid w:val="00D86767"/>
    <w:rsid w:val="00D86941"/>
    <w:rsid w:val="00D869D8"/>
    <w:rsid w:val="00D869F4"/>
    <w:rsid w:val="00D86E27"/>
    <w:rsid w:val="00D87082"/>
    <w:rsid w:val="00D8709F"/>
    <w:rsid w:val="00D87112"/>
    <w:rsid w:val="00D8719F"/>
    <w:rsid w:val="00D8748A"/>
    <w:rsid w:val="00D874B7"/>
    <w:rsid w:val="00D876F2"/>
    <w:rsid w:val="00D87860"/>
    <w:rsid w:val="00D8794B"/>
    <w:rsid w:val="00D87A08"/>
    <w:rsid w:val="00D87AC9"/>
    <w:rsid w:val="00D87C8C"/>
    <w:rsid w:val="00D87DEC"/>
    <w:rsid w:val="00D87F7C"/>
    <w:rsid w:val="00D90094"/>
    <w:rsid w:val="00D9011E"/>
    <w:rsid w:val="00D9018F"/>
    <w:rsid w:val="00D902C5"/>
    <w:rsid w:val="00D90508"/>
    <w:rsid w:val="00D90796"/>
    <w:rsid w:val="00D907E0"/>
    <w:rsid w:val="00D90ABD"/>
    <w:rsid w:val="00D90AD0"/>
    <w:rsid w:val="00D90B70"/>
    <w:rsid w:val="00D90CAC"/>
    <w:rsid w:val="00D90CAE"/>
    <w:rsid w:val="00D90CCF"/>
    <w:rsid w:val="00D90DBD"/>
    <w:rsid w:val="00D90DCE"/>
    <w:rsid w:val="00D90DFA"/>
    <w:rsid w:val="00D91038"/>
    <w:rsid w:val="00D91042"/>
    <w:rsid w:val="00D911CF"/>
    <w:rsid w:val="00D911F9"/>
    <w:rsid w:val="00D91493"/>
    <w:rsid w:val="00D9151D"/>
    <w:rsid w:val="00D915B1"/>
    <w:rsid w:val="00D9164A"/>
    <w:rsid w:val="00D91728"/>
    <w:rsid w:val="00D91757"/>
    <w:rsid w:val="00D91945"/>
    <w:rsid w:val="00D91965"/>
    <w:rsid w:val="00D91997"/>
    <w:rsid w:val="00D91A3C"/>
    <w:rsid w:val="00D91C7C"/>
    <w:rsid w:val="00D91E5E"/>
    <w:rsid w:val="00D91FCD"/>
    <w:rsid w:val="00D9201B"/>
    <w:rsid w:val="00D92072"/>
    <w:rsid w:val="00D922DB"/>
    <w:rsid w:val="00D922E7"/>
    <w:rsid w:val="00D923A3"/>
    <w:rsid w:val="00D924B6"/>
    <w:rsid w:val="00D92567"/>
    <w:rsid w:val="00D9257C"/>
    <w:rsid w:val="00D92594"/>
    <w:rsid w:val="00D9262A"/>
    <w:rsid w:val="00D926CE"/>
    <w:rsid w:val="00D92710"/>
    <w:rsid w:val="00D92820"/>
    <w:rsid w:val="00D92864"/>
    <w:rsid w:val="00D92869"/>
    <w:rsid w:val="00D9290D"/>
    <w:rsid w:val="00D9295F"/>
    <w:rsid w:val="00D92A66"/>
    <w:rsid w:val="00D92B66"/>
    <w:rsid w:val="00D92B7D"/>
    <w:rsid w:val="00D92C2E"/>
    <w:rsid w:val="00D92CE5"/>
    <w:rsid w:val="00D92CFB"/>
    <w:rsid w:val="00D92E98"/>
    <w:rsid w:val="00D9326D"/>
    <w:rsid w:val="00D9342F"/>
    <w:rsid w:val="00D9354F"/>
    <w:rsid w:val="00D935DA"/>
    <w:rsid w:val="00D936BE"/>
    <w:rsid w:val="00D936E2"/>
    <w:rsid w:val="00D93732"/>
    <w:rsid w:val="00D93748"/>
    <w:rsid w:val="00D93755"/>
    <w:rsid w:val="00D93796"/>
    <w:rsid w:val="00D938D6"/>
    <w:rsid w:val="00D93ACB"/>
    <w:rsid w:val="00D93CD7"/>
    <w:rsid w:val="00D93ECB"/>
    <w:rsid w:val="00D94048"/>
    <w:rsid w:val="00D94074"/>
    <w:rsid w:val="00D941E3"/>
    <w:rsid w:val="00D9420D"/>
    <w:rsid w:val="00D94784"/>
    <w:rsid w:val="00D947EA"/>
    <w:rsid w:val="00D949AB"/>
    <w:rsid w:val="00D949FE"/>
    <w:rsid w:val="00D94A4B"/>
    <w:rsid w:val="00D94AAA"/>
    <w:rsid w:val="00D94B31"/>
    <w:rsid w:val="00D94B5B"/>
    <w:rsid w:val="00D94E8A"/>
    <w:rsid w:val="00D94F0F"/>
    <w:rsid w:val="00D94F38"/>
    <w:rsid w:val="00D95170"/>
    <w:rsid w:val="00D9519B"/>
    <w:rsid w:val="00D951B3"/>
    <w:rsid w:val="00D952FB"/>
    <w:rsid w:val="00D954F7"/>
    <w:rsid w:val="00D9565C"/>
    <w:rsid w:val="00D9577C"/>
    <w:rsid w:val="00D957E2"/>
    <w:rsid w:val="00D9583C"/>
    <w:rsid w:val="00D95AA4"/>
    <w:rsid w:val="00D95B86"/>
    <w:rsid w:val="00D95CCA"/>
    <w:rsid w:val="00D95DF2"/>
    <w:rsid w:val="00D95ECF"/>
    <w:rsid w:val="00D95FD6"/>
    <w:rsid w:val="00D96092"/>
    <w:rsid w:val="00D961F2"/>
    <w:rsid w:val="00D96283"/>
    <w:rsid w:val="00D962F7"/>
    <w:rsid w:val="00D96406"/>
    <w:rsid w:val="00D96504"/>
    <w:rsid w:val="00D96542"/>
    <w:rsid w:val="00D966E0"/>
    <w:rsid w:val="00D96839"/>
    <w:rsid w:val="00D968DA"/>
    <w:rsid w:val="00D96A71"/>
    <w:rsid w:val="00D96BB5"/>
    <w:rsid w:val="00D96D61"/>
    <w:rsid w:val="00D96E0C"/>
    <w:rsid w:val="00D96F0D"/>
    <w:rsid w:val="00D97223"/>
    <w:rsid w:val="00D972AC"/>
    <w:rsid w:val="00D9738B"/>
    <w:rsid w:val="00D97451"/>
    <w:rsid w:val="00D974FE"/>
    <w:rsid w:val="00D97514"/>
    <w:rsid w:val="00D9766E"/>
    <w:rsid w:val="00D977F6"/>
    <w:rsid w:val="00D97A9E"/>
    <w:rsid w:val="00D97E10"/>
    <w:rsid w:val="00D97FAE"/>
    <w:rsid w:val="00DA0028"/>
    <w:rsid w:val="00DA00C5"/>
    <w:rsid w:val="00DA00D8"/>
    <w:rsid w:val="00DA047D"/>
    <w:rsid w:val="00DA0505"/>
    <w:rsid w:val="00DA05C9"/>
    <w:rsid w:val="00DA05DA"/>
    <w:rsid w:val="00DA0620"/>
    <w:rsid w:val="00DA0D3E"/>
    <w:rsid w:val="00DA0E8F"/>
    <w:rsid w:val="00DA0EE3"/>
    <w:rsid w:val="00DA0FB3"/>
    <w:rsid w:val="00DA104A"/>
    <w:rsid w:val="00DA10D8"/>
    <w:rsid w:val="00DA13C2"/>
    <w:rsid w:val="00DA1659"/>
    <w:rsid w:val="00DA16BA"/>
    <w:rsid w:val="00DA171F"/>
    <w:rsid w:val="00DA172D"/>
    <w:rsid w:val="00DA17E6"/>
    <w:rsid w:val="00DA1A1A"/>
    <w:rsid w:val="00DA1A28"/>
    <w:rsid w:val="00DA1A9D"/>
    <w:rsid w:val="00DA1BE3"/>
    <w:rsid w:val="00DA1CB6"/>
    <w:rsid w:val="00DA1DFB"/>
    <w:rsid w:val="00DA1E2B"/>
    <w:rsid w:val="00DA2195"/>
    <w:rsid w:val="00DA2334"/>
    <w:rsid w:val="00DA24B5"/>
    <w:rsid w:val="00DA24FC"/>
    <w:rsid w:val="00DA2602"/>
    <w:rsid w:val="00DA2718"/>
    <w:rsid w:val="00DA27F9"/>
    <w:rsid w:val="00DA2AFC"/>
    <w:rsid w:val="00DA2BE3"/>
    <w:rsid w:val="00DA2EF8"/>
    <w:rsid w:val="00DA3398"/>
    <w:rsid w:val="00DA35F9"/>
    <w:rsid w:val="00DA38E6"/>
    <w:rsid w:val="00DA38FF"/>
    <w:rsid w:val="00DA3E8D"/>
    <w:rsid w:val="00DA3FEC"/>
    <w:rsid w:val="00DA4163"/>
    <w:rsid w:val="00DA429E"/>
    <w:rsid w:val="00DA42A3"/>
    <w:rsid w:val="00DA43EC"/>
    <w:rsid w:val="00DA465D"/>
    <w:rsid w:val="00DA4699"/>
    <w:rsid w:val="00DA4722"/>
    <w:rsid w:val="00DA4814"/>
    <w:rsid w:val="00DA4949"/>
    <w:rsid w:val="00DA4CE2"/>
    <w:rsid w:val="00DA4E16"/>
    <w:rsid w:val="00DA4F86"/>
    <w:rsid w:val="00DA4FF7"/>
    <w:rsid w:val="00DA502E"/>
    <w:rsid w:val="00DA515B"/>
    <w:rsid w:val="00DA5213"/>
    <w:rsid w:val="00DA53EE"/>
    <w:rsid w:val="00DA570B"/>
    <w:rsid w:val="00DA5771"/>
    <w:rsid w:val="00DA57A2"/>
    <w:rsid w:val="00DA5881"/>
    <w:rsid w:val="00DA5891"/>
    <w:rsid w:val="00DA5897"/>
    <w:rsid w:val="00DA58C6"/>
    <w:rsid w:val="00DA5A76"/>
    <w:rsid w:val="00DA5AD3"/>
    <w:rsid w:val="00DA5B7B"/>
    <w:rsid w:val="00DA5BF6"/>
    <w:rsid w:val="00DA5D0F"/>
    <w:rsid w:val="00DA5F7C"/>
    <w:rsid w:val="00DA6022"/>
    <w:rsid w:val="00DA60DC"/>
    <w:rsid w:val="00DA62E4"/>
    <w:rsid w:val="00DA6471"/>
    <w:rsid w:val="00DA6832"/>
    <w:rsid w:val="00DA6A06"/>
    <w:rsid w:val="00DA6A12"/>
    <w:rsid w:val="00DA6A2C"/>
    <w:rsid w:val="00DA6A3E"/>
    <w:rsid w:val="00DA6CBD"/>
    <w:rsid w:val="00DA6D04"/>
    <w:rsid w:val="00DA6D12"/>
    <w:rsid w:val="00DA6E74"/>
    <w:rsid w:val="00DA6F7A"/>
    <w:rsid w:val="00DA7021"/>
    <w:rsid w:val="00DA709B"/>
    <w:rsid w:val="00DA718A"/>
    <w:rsid w:val="00DA72CB"/>
    <w:rsid w:val="00DA74B3"/>
    <w:rsid w:val="00DA764C"/>
    <w:rsid w:val="00DA7770"/>
    <w:rsid w:val="00DA7AD7"/>
    <w:rsid w:val="00DA7BB3"/>
    <w:rsid w:val="00DA7BD9"/>
    <w:rsid w:val="00DA7E0F"/>
    <w:rsid w:val="00DA7E83"/>
    <w:rsid w:val="00DA7F57"/>
    <w:rsid w:val="00DB0050"/>
    <w:rsid w:val="00DB01F3"/>
    <w:rsid w:val="00DB027F"/>
    <w:rsid w:val="00DB03B6"/>
    <w:rsid w:val="00DB03D4"/>
    <w:rsid w:val="00DB041A"/>
    <w:rsid w:val="00DB04AE"/>
    <w:rsid w:val="00DB0541"/>
    <w:rsid w:val="00DB07EE"/>
    <w:rsid w:val="00DB08FA"/>
    <w:rsid w:val="00DB0938"/>
    <w:rsid w:val="00DB0A5E"/>
    <w:rsid w:val="00DB0B55"/>
    <w:rsid w:val="00DB0C86"/>
    <w:rsid w:val="00DB0C87"/>
    <w:rsid w:val="00DB0EA0"/>
    <w:rsid w:val="00DB0EC4"/>
    <w:rsid w:val="00DB0F01"/>
    <w:rsid w:val="00DB1185"/>
    <w:rsid w:val="00DB131E"/>
    <w:rsid w:val="00DB1553"/>
    <w:rsid w:val="00DB169D"/>
    <w:rsid w:val="00DB19BF"/>
    <w:rsid w:val="00DB1A89"/>
    <w:rsid w:val="00DB1B0E"/>
    <w:rsid w:val="00DB1B4F"/>
    <w:rsid w:val="00DB1B6E"/>
    <w:rsid w:val="00DB1C88"/>
    <w:rsid w:val="00DB1CB2"/>
    <w:rsid w:val="00DB1D50"/>
    <w:rsid w:val="00DB1E9F"/>
    <w:rsid w:val="00DB1F9C"/>
    <w:rsid w:val="00DB2100"/>
    <w:rsid w:val="00DB22F1"/>
    <w:rsid w:val="00DB2369"/>
    <w:rsid w:val="00DB23E9"/>
    <w:rsid w:val="00DB2411"/>
    <w:rsid w:val="00DB24BB"/>
    <w:rsid w:val="00DB275D"/>
    <w:rsid w:val="00DB281B"/>
    <w:rsid w:val="00DB2981"/>
    <w:rsid w:val="00DB2C43"/>
    <w:rsid w:val="00DB2DF7"/>
    <w:rsid w:val="00DB2E24"/>
    <w:rsid w:val="00DB2F1F"/>
    <w:rsid w:val="00DB31C8"/>
    <w:rsid w:val="00DB32B0"/>
    <w:rsid w:val="00DB33C6"/>
    <w:rsid w:val="00DB34A5"/>
    <w:rsid w:val="00DB358C"/>
    <w:rsid w:val="00DB35FD"/>
    <w:rsid w:val="00DB369D"/>
    <w:rsid w:val="00DB3816"/>
    <w:rsid w:val="00DB4241"/>
    <w:rsid w:val="00DB441D"/>
    <w:rsid w:val="00DB4453"/>
    <w:rsid w:val="00DB453A"/>
    <w:rsid w:val="00DB4718"/>
    <w:rsid w:val="00DB4782"/>
    <w:rsid w:val="00DB481A"/>
    <w:rsid w:val="00DB4927"/>
    <w:rsid w:val="00DB49CA"/>
    <w:rsid w:val="00DB4C7E"/>
    <w:rsid w:val="00DB4D86"/>
    <w:rsid w:val="00DB4DC4"/>
    <w:rsid w:val="00DB4DE7"/>
    <w:rsid w:val="00DB4F64"/>
    <w:rsid w:val="00DB4F6A"/>
    <w:rsid w:val="00DB5067"/>
    <w:rsid w:val="00DB5113"/>
    <w:rsid w:val="00DB513A"/>
    <w:rsid w:val="00DB5220"/>
    <w:rsid w:val="00DB52BA"/>
    <w:rsid w:val="00DB5424"/>
    <w:rsid w:val="00DB545E"/>
    <w:rsid w:val="00DB54B6"/>
    <w:rsid w:val="00DB5527"/>
    <w:rsid w:val="00DB55B6"/>
    <w:rsid w:val="00DB5676"/>
    <w:rsid w:val="00DB56A2"/>
    <w:rsid w:val="00DB5786"/>
    <w:rsid w:val="00DB5799"/>
    <w:rsid w:val="00DB5989"/>
    <w:rsid w:val="00DB5A6F"/>
    <w:rsid w:val="00DB5AF3"/>
    <w:rsid w:val="00DB5BDC"/>
    <w:rsid w:val="00DB5ED1"/>
    <w:rsid w:val="00DB5F5A"/>
    <w:rsid w:val="00DB5FD1"/>
    <w:rsid w:val="00DB606F"/>
    <w:rsid w:val="00DB6246"/>
    <w:rsid w:val="00DB626D"/>
    <w:rsid w:val="00DB64B3"/>
    <w:rsid w:val="00DB6626"/>
    <w:rsid w:val="00DB666F"/>
    <w:rsid w:val="00DB68AB"/>
    <w:rsid w:val="00DB6C4F"/>
    <w:rsid w:val="00DB6D67"/>
    <w:rsid w:val="00DB6E40"/>
    <w:rsid w:val="00DB6F19"/>
    <w:rsid w:val="00DB723B"/>
    <w:rsid w:val="00DB7312"/>
    <w:rsid w:val="00DB733C"/>
    <w:rsid w:val="00DB7452"/>
    <w:rsid w:val="00DB758E"/>
    <w:rsid w:val="00DB763C"/>
    <w:rsid w:val="00DB7689"/>
    <w:rsid w:val="00DB7724"/>
    <w:rsid w:val="00DB77A5"/>
    <w:rsid w:val="00DB77CE"/>
    <w:rsid w:val="00DB7825"/>
    <w:rsid w:val="00DB7C77"/>
    <w:rsid w:val="00DB7D86"/>
    <w:rsid w:val="00DB7DA0"/>
    <w:rsid w:val="00DB7FBA"/>
    <w:rsid w:val="00DC0001"/>
    <w:rsid w:val="00DC01E7"/>
    <w:rsid w:val="00DC02B2"/>
    <w:rsid w:val="00DC03BB"/>
    <w:rsid w:val="00DC066E"/>
    <w:rsid w:val="00DC0805"/>
    <w:rsid w:val="00DC084D"/>
    <w:rsid w:val="00DC08CF"/>
    <w:rsid w:val="00DC08DC"/>
    <w:rsid w:val="00DC08EE"/>
    <w:rsid w:val="00DC0939"/>
    <w:rsid w:val="00DC0B9A"/>
    <w:rsid w:val="00DC0BC6"/>
    <w:rsid w:val="00DC0C18"/>
    <w:rsid w:val="00DC0D96"/>
    <w:rsid w:val="00DC10C6"/>
    <w:rsid w:val="00DC10EE"/>
    <w:rsid w:val="00DC12AD"/>
    <w:rsid w:val="00DC130A"/>
    <w:rsid w:val="00DC1436"/>
    <w:rsid w:val="00DC14BC"/>
    <w:rsid w:val="00DC155A"/>
    <w:rsid w:val="00DC1727"/>
    <w:rsid w:val="00DC190B"/>
    <w:rsid w:val="00DC19E7"/>
    <w:rsid w:val="00DC1B59"/>
    <w:rsid w:val="00DC1B6B"/>
    <w:rsid w:val="00DC210D"/>
    <w:rsid w:val="00DC2135"/>
    <w:rsid w:val="00DC2208"/>
    <w:rsid w:val="00DC2253"/>
    <w:rsid w:val="00DC2335"/>
    <w:rsid w:val="00DC24BF"/>
    <w:rsid w:val="00DC255F"/>
    <w:rsid w:val="00DC2631"/>
    <w:rsid w:val="00DC26C9"/>
    <w:rsid w:val="00DC28C0"/>
    <w:rsid w:val="00DC2933"/>
    <w:rsid w:val="00DC2C2B"/>
    <w:rsid w:val="00DC2CCE"/>
    <w:rsid w:val="00DC2E37"/>
    <w:rsid w:val="00DC2E91"/>
    <w:rsid w:val="00DC3038"/>
    <w:rsid w:val="00DC309E"/>
    <w:rsid w:val="00DC3196"/>
    <w:rsid w:val="00DC3383"/>
    <w:rsid w:val="00DC344B"/>
    <w:rsid w:val="00DC346E"/>
    <w:rsid w:val="00DC362C"/>
    <w:rsid w:val="00DC3783"/>
    <w:rsid w:val="00DC37CB"/>
    <w:rsid w:val="00DC37E5"/>
    <w:rsid w:val="00DC3834"/>
    <w:rsid w:val="00DC3BAD"/>
    <w:rsid w:val="00DC3CB7"/>
    <w:rsid w:val="00DC3F10"/>
    <w:rsid w:val="00DC3FE7"/>
    <w:rsid w:val="00DC4164"/>
    <w:rsid w:val="00DC437F"/>
    <w:rsid w:val="00DC4418"/>
    <w:rsid w:val="00DC488A"/>
    <w:rsid w:val="00DC4906"/>
    <w:rsid w:val="00DC4A9F"/>
    <w:rsid w:val="00DC4AC1"/>
    <w:rsid w:val="00DC4B56"/>
    <w:rsid w:val="00DC4C08"/>
    <w:rsid w:val="00DC4F3B"/>
    <w:rsid w:val="00DC4F58"/>
    <w:rsid w:val="00DC51B0"/>
    <w:rsid w:val="00DC525E"/>
    <w:rsid w:val="00DC5412"/>
    <w:rsid w:val="00DC54F7"/>
    <w:rsid w:val="00DC55E1"/>
    <w:rsid w:val="00DC55E6"/>
    <w:rsid w:val="00DC5623"/>
    <w:rsid w:val="00DC5A82"/>
    <w:rsid w:val="00DC5AF1"/>
    <w:rsid w:val="00DC5CCB"/>
    <w:rsid w:val="00DC5E29"/>
    <w:rsid w:val="00DC5E89"/>
    <w:rsid w:val="00DC6239"/>
    <w:rsid w:val="00DC65F9"/>
    <w:rsid w:val="00DC6712"/>
    <w:rsid w:val="00DC674A"/>
    <w:rsid w:val="00DC6764"/>
    <w:rsid w:val="00DC67EC"/>
    <w:rsid w:val="00DC67FC"/>
    <w:rsid w:val="00DC6829"/>
    <w:rsid w:val="00DC6856"/>
    <w:rsid w:val="00DC68E4"/>
    <w:rsid w:val="00DC69DC"/>
    <w:rsid w:val="00DC6A30"/>
    <w:rsid w:val="00DC6D8C"/>
    <w:rsid w:val="00DC6D9B"/>
    <w:rsid w:val="00DC7141"/>
    <w:rsid w:val="00DC7149"/>
    <w:rsid w:val="00DC71A1"/>
    <w:rsid w:val="00DC71B2"/>
    <w:rsid w:val="00DC7758"/>
    <w:rsid w:val="00DC7847"/>
    <w:rsid w:val="00DC7AA2"/>
    <w:rsid w:val="00DC7B68"/>
    <w:rsid w:val="00DC7C32"/>
    <w:rsid w:val="00DC7CA4"/>
    <w:rsid w:val="00DC7CBD"/>
    <w:rsid w:val="00DD0123"/>
    <w:rsid w:val="00DD039A"/>
    <w:rsid w:val="00DD0518"/>
    <w:rsid w:val="00DD0528"/>
    <w:rsid w:val="00DD07B2"/>
    <w:rsid w:val="00DD08BA"/>
    <w:rsid w:val="00DD090A"/>
    <w:rsid w:val="00DD0917"/>
    <w:rsid w:val="00DD091F"/>
    <w:rsid w:val="00DD0C67"/>
    <w:rsid w:val="00DD0C9D"/>
    <w:rsid w:val="00DD0D45"/>
    <w:rsid w:val="00DD0DAD"/>
    <w:rsid w:val="00DD0E53"/>
    <w:rsid w:val="00DD0ED5"/>
    <w:rsid w:val="00DD127C"/>
    <w:rsid w:val="00DD13EB"/>
    <w:rsid w:val="00DD147A"/>
    <w:rsid w:val="00DD1481"/>
    <w:rsid w:val="00DD1499"/>
    <w:rsid w:val="00DD1718"/>
    <w:rsid w:val="00DD1832"/>
    <w:rsid w:val="00DD1A8D"/>
    <w:rsid w:val="00DD1AA8"/>
    <w:rsid w:val="00DD1BD9"/>
    <w:rsid w:val="00DD1C83"/>
    <w:rsid w:val="00DD1F51"/>
    <w:rsid w:val="00DD202C"/>
    <w:rsid w:val="00DD20BE"/>
    <w:rsid w:val="00DD2172"/>
    <w:rsid w:val="00DD2445"/>
    <w:rsid w:val="00DD2471"/>
    <w:rsid w:val="00DD2685"/>
    <w:rsid w:val="00DD269B"/>
    <w:rsid w:val="00DD2748"/>
    <w:rsid w:val="00DD2897"/>
    <w:rsid w:val="00DD2A4A"/>
    <w:rsid w:val="00DD2AA2"/>
    <w:rsid w:val="00DD2EDD"/>
    <w:rsid w:val="00DD3086"/>
    <w:rsid w:val="00DD33DD"/>
    <w:rsid w:val="00DD3477"/>
    <w:rsid w:val="00DD350C"/>
    <w:rsid w:val="00DD36A6"/>
    <w:rsid w:val="00DD378A"/>
    <w:rsid w:val="00DD37B5"/>
    <w:rsid w:val="00DD37B9"/>
    <w:rsid w:val="00DD3803"/>
    <w:rsid w:val="00DD3CFB"/>
    <w:rsid w:val="00DD3ED9"/>
    <w:rsid w:val="00DD4181"/>
    <w:rsid w:val="00DD43E7"/>
    <w:rsid w:val="00DD447D"/>
    <w:rsid w:val="00DD4572"/>
    <w:rsid w:val="00DD461E"/>
    <w:rsid w:val="00DD46F0"/>
    <w:rsid w:val="00DD47CD"/>
    <w:rsid w:val="00DD4A1E"/>
    <w:rsid w:val="00DD4A38"/>
    <w:rsid w:val="00DD4AD2"/>
    <w:rsid w:val="00DD4D0F"/>
    <w:rsid w:val="00DD4E2C"/>
    <w:rsid w:val="00DD4E37"/>
    <w:rsid w:val="00DD4E58"/>
    <w:rsid w:val="00DD4F77"/>
    <w:rsid w:val="00DD53ED"/>
    <w:rsid w:val="00DD5407"/>
    <w:rsid w:val="00DD5414"/>
    <w:rsid w:val="00DD54B3"/>
    <w:rsid w:val="00DD5569"/>
    <w:rsid w:val="00DD5665"/>
    <w:rsid w:val="00DD56B6"/>
    <w:rsid w:val="00DD5941"/>
    <w:rsid w:val="00DD5D0E"/>
    <w:rsid w:val="00DD5D30"/>
    <w:rsid w:val="00DD5EAE"/>
    <w:rsid w:val="00DD5F19"/>
    <w:rsid w:val="00DD5FAE"/>
    <w:rsid w:val="00DD5FD9"/>
    <w:rsid w:val="00DD5FDE"/>
    <w:rsid w:val="00DD627A"/>
    <w:rsid w:val="00DD630D"/>
    <w:rsid w:val="00DD6376"/>
    <w:rsid w:val="00DD64DF"/>
    <w:rsid w:val="00DD66AB"/>
    <w:rsid w:val="00DD68B6"/>
    <w:rsid w:val="00DD69AA"/>
    <w:rsid w:val="00DD6B35"/>
    <w:rsid w:val="00DD6C84"/>
    <w:rsid w:val="00DD6CCF"/>
    <w:rsid w:val="00DD6D26"/>
    <w:rsid w:val="00DD6E51"/>
    <w:rsid w:val="00DD6E6C"/>
    <w:rsid w:val="00DD6F0F"/>
    <w:rsid w:val="00DD6FC8"/>
    <w:rsid w:val="00DD72A0"/>
    <w:rsid w:val="00DD790B"/>
    <w:rsid w:val="00DD7A45"/>
    <w:rsid w:val="00DD7AD7"/>
    <w:rsid w:val="00DD7E62"/>
    <w:rsid w:val="00DD7FF9"/>
    <w:rsid w:val="00DE0117"/>
    <w:rsid w:val="00DE031A"/>
    <w:rsid w:val="00DE03BF"/>
    <w:rsid w:val="00DE0539"/>
    <w:rsid w:val="00DE0684"/>
    <w:rsid w:val="00DE0727"/>
    <w:rsid w:val="00DE07CF"/>
    <w:rsid w:val="00DE0905"/>
    <w:rsid w:val="00DE09FD"/>
    <w:rsid w:val="00DE0BC2"/>
    <w:rsid w:val="00DE0C75"/>
    <w:rsid w:val="00DE0FAF"/>
    <w:rsid w:val="00DE1038"/>
    <w:rsid w:val="00DE12AD"/>
    <w:rsid w:val="00DE14CF"/>
    <w:rsid w:val="00DE150E"/>
    <w:rsid w:val="00DE1539"/>
    <w:rsid w:val="00DE1735"/>
    <w:rsid w:val="00DE1829"/>
    <w:rsid w:val="00DE1835"/>
    <w:rsid w:val="00DE1873"/>
    <w:rsid w:val="00DE1B36"/>
    <w:rsid w:val="00DE1BB0"/>
    <w:rsid w:val="00DE1BC7"/>
    <w:rsid w:val="00DE1BF7"/>
    <w:rsid w:val="00DE1D7F"/>
    <w:rsid w:val="00DE1EE6"/>
    <w:rsid w:val="00DE27C3"/>
    <w:rsid w:val="00DE2A12"/>
    <w:rsid w:val="00DE2BF9"/>
    <w:rsid w:val="00DE2D30"/>
    <w:rsid w:val="00DE2D58"/>
    <w:rsid w:val="00DE2ED5"/>
    <w:rsid w:val="00DE2FAF"/>
    <w:rsid w:val="00DE3201"/>
    <w:rsid w:val="00DE3270"/>
    <w:rsid w:val="00DE33C6"/>
    <w:rsid w:val="00DE33CB"/>
    <w:rsid w:val="00DE3530"/>
    <w:rsid w:val="00DE3596"/>
    <w:rsid w:val="00DE35F4"/>
    <w:rsid w:val="00DE3B46"/>
    <w:rsid w:val="00DE3BF8"/>
    <w:rsid w:val="00DE3C85"/>
    <w:rsid w:val="00DE4270"/>
    <w:rsid w:val="00DE429D"/>
    <w:rsid w:val="00DE42A1"/>
    <w:rsid w:val="00DE44CA"/>
    <w:rsid w:val="00DE44FC"/>
    <w:rsid w:val="00DE458C"/>
    <w:rsid w:val="00DE465D"/>
    <w:rsid w:val="00DE478F"/>
    <w:rsid w:val="00DE49CE"/>
    <w:rsid w:val="00DE4C3D"/>
    <w:rsid w:val="00DE4E91"/>
    <w:rsid w:val="00DE4EC5"/>
    <w:rsid w:val="00DE4F61"/>
    <w:rsid w:val="00DE4FE7"/>
    <w:rsid w:val="00DE5013"/>
    <w:rsid w:val="00DE504B"/>
    <w:rsid w:val="00DE52F1"/>
    <w:rsid w:val="00DE554F"/>
    <w:rsid w:val="00DE56DD"/>
    <w:rsid w:val="00DE5793"/>
    <w:rsid w:val="00DE57C4"/>
    <w:rsid w:val="00DE5824"/>
    <w:rsid w:val="00DE58AC"/>
    <w:rsid w:val="00DE58E6"/>
    <w:rsid w:val="00DE5B95"/>
    <w:rsid w:val="00DE609B"/>
    <w:rsid w:val="00DE668A"/>
    <w:rsid w:val="00DE67C5"/>
    <w:rsid w:val="00DE67E6"/>
    <w:rsid w:val="00DE67F0"/>
    <w:rsid w:val="00DE67F4"/>
    <w:rsid w:val="00DE681F"/>
    <w:rsid w:val="00DE69CC"/>
    <w:rsid w:val="00DE6C49"/>
    <w:rsid w:val="00DE6C4B"/>
    <w:rsid w:val="00DE6D46"/>
    <w:rsid w:val="00DE6D9A"/>
    <w:rsid w:val="00DE6E78"/>
    <w:rsid w:val="00DE7002"/>
    <w:rsid w:val="00DE71D2"/>
    <w:rsid w:val="00DE7271"/>
    <w:rsid w:val="00DE7705"/>
    <w:rsid w:val="00DE7750"/>
    <w:rsid w:val="00DE7939"/>
    <w:rsid w:val="00DE7940"/>
    <w:rsid w:val="00DE7DBC"/>
    <w:rsid w:val="00DF013A"/>
    <w:rsid w:val="00DF0462"/>
    <w:rsid w:val="00DF09F3"/>
    <w:rsid w:val="00DF0B17"/>
    <w:rsid w:val="00DF0BB4"/>
    <w:rsid w:val="00DF0E72"/>
    <w:rsid w:val="00DF0EF1"/>
    <w:rsid w:val="00DF0F41"/>
    <w:rsid w:val="00DF171E"/>
    <w:rsid w:val="00DF1877"/>
    <w:rsid w:val="00DF1C54"/>
    <w:rsid w:val="00DF1D70"/>
    <w:rsid w:val="00DF1DEE"/>
    <w:rsid w:val="00DF1E66"/>
    <w:rsid w:val="00DF1ED4"/>
    <w:rsid w:val="00DF20E3"/>
    <w:rsid w:val="00DF22FF"/>
    <w:rsid w:val="00DF2672"/>
    <w:rsid w:val="00DF271A"/>
    <w:rsid w:val="00DF2AA9"/>
    <w:rsid w:val="00DF2B54"/>
    <w:rsid w:val="00DF2BF6"/>
    <w:rsid w:val="00DF2D9A"/>
    <w:rsid w:val="00DF3282"/>
    <w:rsid w:val="00DF330C"/>
    <w:rsid w:val="00DF3384"/>
    <w:rsid w:val="00DF3399"/>
    <w:rsid w:val="00DF3604"/>
    <w:rsid w:val="00DF36FC"/>
    <w:rsid w:val="00DF3A4A"/>
    <w:rsid w:val="00DF3A4C"/>
    <w:rsid w:val="00DF3B5A"/>
    <w:rsid w:val="00DF3D4C"/>
    <w:rsid w:val="00DF3E42"/>
    <w:rsid w:val="00DF3E5C"/>
    <w:rsid w:val="00DF3E9D"/>
    <w:rsid w:val="00DF3EA1"/>
    <w:rsid w:val="00DF4068"/>
    <w:rsid w:val="00DF4076"/>
    <w:rsid w:val="00DF41BE"/>
    <w:rsid w:val="00DF430C"/>
    <w:rsid w:val="00DF45BF"/>
    <w:rsid w:val="00DF4667"/>
    <w:rsid w:val="00DF4692"/>
    <w:rsid w:val="00DF48CC"/>
    <w:rsid w:val="00DF490E"/>
    <w:rsid w:val="00DF4BF9"/>
    <w:rsid w:val="00DF4C08"/>
    <w:rsid w:val="00DF4E91"/>
    <w:rsid w:val="00DF4E98"/>
    <w:rsid w:val="00DF511F"/>
    <w:rsid w:val="00DF52FB"/>
    <w:rsid w:val="00DF563F"/>
    <w:rsid w:val="00DF5A2F"/>
    <w:rsid w:val="00DF5A49"/>
    <w:rsid w:val="00DF5A91"/>
    <w:rsid w:val="00DF5AC5"/>
    <w:rsid w:val="00DF5B11"/>
    <w:rsid w:val="00DF5BFF"/>
    <w:rsid w:val="00DF5D56"/>
    <w:rsid w:val="00DF5D7E"/>
    <w:rsid w:val="00DF5DA5"/>
    <w:rsid w:val="00DF612C"/>
    <w:rsid w:val="00DF6171"/>
    <w:rsid w:val="00DF61B1"/>
    <w:rsid w:val="00DF61B2"/>
    <w:rsid w:val="00DF62AF"/>
    <w:rsid w:val="00DF63BE"/>
    <w:rsid w:val="00DF6536"/>
    <w:rsid w:val="00DF6569"/>
    <w:rsid w:val="00DF65BB"/>
    <w:rsid w:val="00DF66E0"/>
    <w:rsid w:val="00DF6809"/>
    <w:rsid w:val="00DF6935"/>
    <w:rsid w:val="00DF69DE"/>
    <w:rsid w:val="00DF6A07"/>
    <w:rsid w:val="00DF6B90"/>
    <w:rsid w:val="00DF6BFA"/>
    <w:rsid w:val="00DF6FFB"/>
    <w:rsid w:val="00DF70B3"/>
    <w:rsid w:val="00DF7162"/>
    <w:rsid w:val="00DF727F"/>
    <w:rsid w:val="00DF738F"/>
    <w:rsid w:val="00DF73D1"/>
    <w:rsid w:val="00DF7480"/>
    <w:rsid w:val="00DF749D"/>
    <w:rsid w:val="00DF7833"/>
    <w:rsid w:val="00DF7972"/>
    <w:rsid w:val="00DF7B06"/>
    <w:rsid w:val="00DF7C6C"/>
    <w:rsid w:val="00DF7CDC"/>
    <w:rsid w:val="00DF7D30"/>
    <w:rsid w:val="00DF7D54"/>
    <w:rsid w:val="00DF7F07"/>
    <w:rsid w:val="00DF7FA4"/>
    <w:rsid w:val="00E00426"/>
    <w:rsid w:val="00E004DF"/>
    <w:rsid w:val="00E0083C"/>
    <w:rsid w:val="00E00C61"/>
    <w:rsid w:val="00E00C8C"/>
    <w:rsid w:val="00E00F65"/>
    <w:rsid w:val="00E0100C"/>
    <w:rsid w:val="00E01192"/>
    <w:rsid w:val="00E011BE"/>
    <w:rsid w:val="00E0145A"/>
    <w:rsid w:val="00E0147E"/>
    <w:rsid w:val="00E0150D"/>
    <w:rsid w:val="00E0154F"/>
    <w:rsid w:val="00E01612"/>
    <w:rsid w:val="00E01634"/>
    <w:rsid w:val="00E0182F"/>
    <w:rsid w:val="00E01A77"/>
    <w:rsid w:val="00E01A9E"/>
    <w:rsid w:val="00E01EE6"/>
    <w:rsid w:val="00E01F1F"/>
    <w:rsid w:val="00E01FED"/>
    <w:rsid w:val="00E020C0"/>
    <w:rsid w:val="00E02152"/>
    <w:rsid w:val="00E02234"/>
    <w:rsid w:val="00E0229A"/>
    <w:rsid w:val="00E023A8"/>
    <w:rsid w:val="00E024A5"/>
    <w:rsid w:val="00E027C3"/>
    <w:rsid w:val="00E02901"/>
    <w:rsid w:val="00E029DF"/>
    <w:rsid w:val="00E02A55"/>
    <w:rsid w:val="00E02A8F"/>
    <w:rsid w:val="00E02AEB"/>
    <w:rsid w:val="00E02C22"/>
    <w:rsid w:val="00E02F45"/>
    <w:rsid w:val="00E0301F"/>
    <w:rsid w:val="00E03285"/>
    <w:rsid w:val="00E032F8"/>
    <w:rsid w:val="00E03318"/>
    <w:rsid w:val="00E03344"/>
    <w:rsid w:val="00E0334A"/>
    <w:rsid w:val="00E0370E"/>
    <w:rsid w:val="00E039A4"/>
    <w:rsid w:val="00E03B14"/>
    <w:rsid w:val="00E03C59"/>
    <w:rsid w:val="00E03E15"/>
    <w:rsid w:val="00E04142"/>
    <w:rsid w:val="00E041C5"/>
    <w:rsid w:val="00E041EE"/>
    <w:rsid w:val="00E0423D"/>
    <w:rsid w:val="00E04277"/>
    <w:rsid w:val="00E043C7"/>
    <w:rsid w:val="00E045C9"/>
    <w:rsid w:val="00E046FE"/>
    <w:rsid w:val="00E04741"/>
    <w:rsid w:val="00E04794"/>
    <w:rsid w:val="00E04999"/>
    <w:rsid w:val="00E04BC0"/>
    <w:rsid w:val="00E04C98"/>
    <w:rsid w:val="00E04D1D"/>
    <w:rsid w:val="00E04DBB"/>
    <w:rsid w:val="00E04DF3"/>
    <w:rsid w:val="00E04E3D"/>
    <w:rsid w:val="00E04EF4"/>
    <w:rsid w:val="00E04F1B"/>
    <w:rsid w:val="00E05049"/>
    <w:rsid w:val="00E051AA"/>
    <w:rsid w:val="00E05436"/>
    <w:rsid w:val="00E05482"/>
    <w:rsid w:val="00E054F8"/>
    <w:rsid w:val="00E05679"/>
    <w:rsid w:val="00E056A6"/>
    <w:rsid w:val="00E056A8"/>
    <w:rsid w:val="00E05755"/>
    <w:rsid w:val="00E0597D"/>
    <w:rsid w:val="00E05AD4"/>
    <w:rsid w:val="00E05BC5"/>
    <w:rsid w:val="00E05BF0"/>
    <w:rsid w:val="00E05BF6"/>
    <w:rsid w:val="00E05DB6"/>
    <w:rsid w:val="00E05EA3"/>
    <w:rsid w:val="00E061FE"/>
    <w:rsid w:val="00E0626F"/>
    <w:rsid w:val="00E06661"/>
    <w:rsid w:val="00E06787"/>
    <w:rsid w:val="00E06825"/>
    <w:rsid w:val="00E06F81"/>
    <w:rsid w:val="00E071E8"/>
    <w:rsid w:val="00E07241"/>
    <w:rsid w:val="00E07278"/>
    <w:rsid w:val="00E07336"/>
    <w:rsid w:val="00E07347"/>
    <w:rsid w:val="00E07624"/>
    <w:rsid w:val="00E07902"/>
    <w:rsid w:val="00E079FC"/>
    <w:rsid w:val="00E07BA1"/>
    <w:rsid w:val="00E07C43"/>
    <w:rsid w:val="00E07F5A"/>
    <w:rsid w:val="00E101CD"/>
    <w:rsid w:val="00E1026E"/>
    <w:rsid w:val="00E10272"/>
    <w:rsid w:val="00E10502"/>
    <w:rsid w:val="00E105DE"/>
    <w:rsid w:val="00E10633"/>
    <w:rsid w:val="00E107F0"/>
    <w:rsid w:val="00E10802"/>
    <w:rsid w:val="00E10829"/>
    <w:rsid w:val="00E1096D"/>
    <w:rsid w:val="00E109C4"/>
    <w:rsid w:val="00E10AFC"/>
    <w:rsid w:val="00E10C35"/>
    <w:rsid w:val="00E10F2F"/>
    <w:rsid w:val="00E1100D"/>
    <w:rsid w:val="00E110CC"/>
    <w:rsid w:val="00E1115A"/>
    <w:rsid w:val="00E11244"/>
    <w:rsid w:val="00E1124E"/>
    <w:rsid w:val="00E11377"/>
    <w:rsid w:val="00E115B6"/>
    <w:rsid w:val="00E11B15"/>
    <w:rsid w:val="00E11E04"/>
    <w:rsid w:val="00E11FAE"/>
    <w:rsid w:val="00E11FAF"/>
    <w:rsid w:val="00E12087"/>
    <w:rsid w:val="00E1226C"/>
    <w:rsid w:val="00E1228B"/>
    <w:rsid w:val="00E122C4"/>
    <w:rsid w:val="00E123D0"/>
    <w:rsid w:val="00E12421"/>
    <w:rsid w:val="00E1263A"/>
    <w:rsid w:val="00E12677"/>
    <w:rsid w:val="00E12904"/>
    <w:rsid w:val="00E12934"/>
    <w:rsid w:val="00E12C63"/>
    <w:rsid w:val="00E12D99"/>
    <w:rsid w:val="00E12DFD"/>
    <w:rsid w:val="00E13025"/>
    <w:rsid w:val="00E131B8"/>
    <w:rsid w:val="00E13373"/>
    <w:rsid w:val="00E1337B"/>
    <w:rsid w:val="00E1373A"/>
    <w:rsid w:val="00E138E3"/>
    <w:rsid w:val="00E1392B"/>
    <w:rsid w:val="00E139DE"/>
    <w:rsid w:val="00E13A28"/>
    <w:rsid w:val="00E13A61"/>
    <w:rsid w:val="00E141DC"/>
    <w:rsid w:val="00E141DE"/>
    <w:rsid w:val="00E14220"/>
    <w:rsid w:val="00E1423A"/>
    <w:rsid w:val="00E142E8"/>
    <w:rsid w:val="00E1438F"/>
    <w:rsid w:val="00E14433"/>
    <w:rsid w:val="00E14530"/>
    <w:rsid w:val="00E14546"/>
    <w:rsid w:val="00E14638"/>
    <w:rsid w:val="00E14763"/>
    <w:rsid w:val="00E14864"/>
    <w:rsid w:val="00E148BB"/>
    <w:rsid w:val="00E14961"/>
    <w:rsid w:val="00E14B33"/>
    <w:rsid w:val="00E14C40"/>
    <w:rsid w:val="00E14C4E"/>
    <w:rsid w:val="00E14CAA"/>
    <w:rsid w:val="00E14D2C"/>
    <w:rsid w:val="00E1504A"/>
    <w:rsid w:val="00E15083"/>
    <w:rsid w:val="00E150AB"/>
    <w:rsid w:val="00E151E3"/>
    <w:rsid w:val="00E15235"/>
    <w:rsid w:val="00E1538A"/>
    <w:rsid w:val="00E15446"/>
    <w:rsid w:val="00E155B5"/>
    <w:rsid w:val="00E1566A"/>
    <w:rsid w:val="00E15816"/>
    <w:rsid w:val="00E1584B"/>
    <w:rsid w:val="00E158F1"/>
    <w:rsid w:val="00E15B77"/>
    <w:rsid w:val="00E15ED0"/>
    <w:rsid w:val="00E16052"/>
    <w:rsid w:val="00E16472"/>
    <w:rsid w:val="00E164F8"/>
    <w:rsid w:val="00E164FD"/>
    <w:rsid w:val="00E167CD"/>
    <w:rsid w:val="00E16921"/>
    <w:rsid w:val="00E16967"/>
    <w:rsid w:val="00E16ACF"/>
    <w:rsid w:val="00E16B4B"/>
    <w:rsid w:val="00E16CD7"/>
    <w:rsid w:val="00E16D25"/>
    <w:rsid w:val="00E16DC1"/>
    <w:rsid w:val="00E16FAD"/>
    <w:rsid w:val="00E17010"/>
    <w:rsid w:val="00E17106"/>
    <w:rsid w:val="00E174B7"/>
    <w:rsid w:val="00E174D0"/>
    <w:rsid w:val="00E177EC"/>
    <w:rsid w:val="00E17A27"/>
    <w:rsid w:val="00E17C1F"/>
    <w:rsid w:val="00E17E6F"/>
    <w:rsid w:val="00E17E82"/>
    <w:rsid w:val="00E2016A"/>
    <w:rsid w:val="00E20171"/>
    <w:rsid w:val="00E201B3"/>
    <w:rsid w:val="00E20285"/>
    <w:rsid w:val="00E203D7"/>
    <w:rsid w:val="00E2040E"/>
    <w:rsid w:val="00E2051E"/>
    <w:rsid w:val="00E205B1"/>
    <w:rsid w:val="00E207AB"/>
    <w:rsid w:val="00E2095E"/>
    <w:rsid w:val="00E20B3D"/>
    <w:rsid w:val="00E20C86"/>
    <w:rsid w:val="00E20CDF"/>
    <w:rsid w:val="00E20D78"/>
    <w:rsid w:val="00E20E7D"/>
    <w:rsid w:val="00E20EF4"/>
    <w:rsid w:val="00E2104F"/>
    <w:rsid w:val="00E211AE"/>
    <w:rsid w:val="00E211DB"/>
    <w:rsid w:val="00E21287"/>
    <w:rsid w:val="00E212A4"/>
    <w:rsid w:val="00E212C3"/>
    <w:rsid w:val="00E21307"/>
    <w:rsid w:val="00E21327"/>
    <w:rsid w:val="00E213BB"/>
    <w:rsid w:val="00E213FE"/>
    <w:rsid w:val="00E21547"/>
    <w:rsid w:val="00E215AE"/>
    <w:rsid w:val="00E2171C"/>
    <w:rsid w:val="00E2173C"/>
    <w:rsid w:val="00E21825"/>
    <w:rsid w:val="00E21866"/>
    <w:rsid w:val="00E21AEF"/>
    <w:rsid w:val="00E21C25"/>
    <w:rsid w:val="00E21C68"/>
    <w:rsid w:val="00E21D4D"/>
    <w:rsid w:val="00E21F45"/>
    <w:rsid w:val="00E22092"/>
    <w:rsid w:val="00E2209E"/>
    <w:rsid w:val="00E224E5"/>
    <w:rsid w:val="00E22538"/>
    <w:rsid w:val="00E2266A"/>
    <w:rsid w:val="00E22872"/>
    <w:rsid w:val="00E228D8"/>
    <w:rsid w:val="00E22AA2"/>
    <w:rsid w:val="00E22D40"/>
    <w:rsid w:val="00E22DEA"/>
    <w:rsid w:val="00E22E0F"/>
    <w:rsid w:val="00E22EE1"/>
    <w:rsid w:val="00E22F44"/>
    <w:rsid w:val="00E230DB"/>
    <w:rsid w:val="00E2326B"/>
    <w:rsid w:val="00E23403"/>
    <w:rsid w:val="00E2341B"/>
    <w:rsid w:val="00E23427"/>
    <w:rsid w:val="00E234D0"/>
    <w:rsid w:val="00E23518"/>
    <w:rsid w:val="00E236F6"/>
    <w:rsid w:val="00E23768"/>
    <w:rsid w:val="00E23A9E"/>
    <w:rsid w:val="00E23B87"/>
    <w:rsid w:val="00E23C30"/>
    <w:rsid w:val="00E23E63"/>
    <w:rsid w:val="00E23FEF"/>
    <w:rsid w:val="00E242DF"/>
    <w:rsid w:val="00E24360"/>
    <w:rsid w:val="00E24377"/>
    <w:rsid w:val="00E2458B"/>
    <w:rsid w:val="00E2467B"/>
    <w:rsid w:val="00E24727"/>
    <w:rsid w:val="00E2483E"/>
    <w:rsid w:val="00E248A8"/>
    <w:rsid w:val="00E24A38"/>
    <w:rsid w:val="00E24A73"/>
    <w:rsid w:val="00E24A94"/>
    <w:rsid w:val="00E24BBA"/>
    <w:rsid w:val="00E24BBB"/>
    <w:rsid w:val="00E24D68"/>
    <w:rsid w:val="00E24DA2"/>
    <w:rsid w:val="00E24DEF"/>
    <w:rsid w:val="00E24F1B"/>
    <w:rsid w:val="00E24FB0"/>
    <w:rsid w:val="00E24FD0"/>
    <w:rsid w:val="00E251BB"/>
    <w:rsid w:val="00E25268"/>
    <w:rsid w:val="00E254F3"/>
    <w:rsid w:val="00E25D84"/>
    <w:rsid w:val="00E25FD4"/>
    <w:rsid w:val="00E25FF0"/>
    <w:rsid w:val="00E26245"/>
    <w:rsid w:val="00E2648B"/>
    <w:rsid w:val="00E266DE"/>
    <w:rsid w:val="00E267B7"/>
    <w:rsid w:val="00E268ED"/>
    <w:rsid w:val="00E26936"/>
    <w:rsid w:val="00E26BEE"/>
    <w:rsid w:val="00E26C46"/>
    <w:rsid w:val="00E26D0B"/>
    <w:rsid w:val="00E27127"/>
    <w:rsid w:val="00E2732F"/>
    <w:rsid w:val="00E274FC"/>
    <w:rsid w:val="00E27653"/>
    <w:rsid w:val="00E27697"/>
    <w:rsid w:val="00E27719"/>
    <w:rsid w:val="00E27727"/>
    <w:rsid w:val="00E27A33"/>
    <w:rsid w:val="00E27C0E"/>
    <w:rsid w:val="00E27D3B"/>
    <w:rsid w:val="00E27E42"/>
    <w:rsid w:val="00E27F21"/>
    <w:rsid w:val="00E27FB3"/>
    <w:rsid w:val="00E300EF"/>
    <w:rsid w:val="00E301CA"/>
    <w:rsid w:val="00E302DD"/>
    <w:rsid w:val="00E3036C"/>
    <w:rsid w:val="00E3057E"/>
    <w:rsid w:val="00E306C7"/>
    <w:rsid w:val="00E30724"/>
    <w:rsid w:val="00E30755"/>
    <w:rsid w:val="00E30A40"/>
    <w:rsid w:val="00E30A78"/>
    <w:rsid w:val="00E30B47"/>
    <w:rsid w:val="00E30CC6"/>
    <w:rsid w:val="00E30D45"/>
    <w:rsid w:val="00E31450"/>
    <w:rsid w:val="00E31535"/>
    <w:rsid w:val="00E31662"/>
    <w:rsid w:val="00E31719"/>
    <w:rsid w:val="00E31887"/>
    <w:rsid w:val="00E318E2"/>
    <w:rsid w:val="00E31B26"/>
    <w:rsid w:val="00E31B97"/>
    <w:rsid w:val="00E31BB1"/>
    <w:rsid w:val="00E31FC5"/>
    <w:rsid w:val="00E32129"/>
    <w:rsid w:val="00E32485"/>
    <w:rsid w:val="00E325C1"/>
    <w:rsid w:val="00E3263A"/>
    <w:rsid w:val="00E3284A"/>
    <w:rsid w:val="00E32C4E"/>
    <w:rsid w:val="00E32D5D"/>
    <w:rsid w:val="00E32E2D"/>
    <w:rsid w:val="00E32E9F"/>
    <w:rsid w:val="00E32F4E"/>
    <w:rsid w:val="00E32F7D"/>
    <w:rsid w:val="00E3313D"/>
    <w:rsid w:val="00E3322A"/>
    <w:rsid w:val="00E33431"/>
    <w:rsid w:val="00E33470"/>
    <w:rsid w:val="00E336F6"/>
    <w:rsid w:val="00E33742"/>
    <w:rsid w:val="00E33A16"/>
    <w:rsid w:val="00E33A19"/>
    <w:rsid w:val="00E33A1F"/>
    <w:rsid w:val="00E33C57"/>
    <w:rsid w:val="00E33C7B"/>
    <w:rsid w:val="00E33CD3"/>
    <w:rsid w:val="00E33D5F"/>
    <w:rsid w:val="00E33F55"/>
    <w:rsid w:val="00E33FFF"/>
    <w:rsid w:val="00E341C4"/>
    <w:rsid w:val="00E3453E"/>
    <w:rsid w:val="00E3454E"/>
    <w:rsid w:val="00E3468B"/>
    <w:rsid w:val="00E34A96"/>
    <w:rsid w:val="00E34B6D"/>
    <w:rsid w:val="00E34C61"/>
    <w:rsid w:val="00E34C97"/>
    <w:rsid w:val="00E34E5B"/>
    <w:rsid w:val="00E34E6D"/>
    <w:rsid w:val="00E3507C"/>
    <w:rsid w:val="00E35124"/>
    <w:rsid w:val="00E351DF"/>
    <w:rsid w:val="00E35253"/>
    <w:rsid w:val="00E3533A"/>
    <w:rsid w:val="00E3552D"/>
    <w:rsid w:val="00E3583F"/>
    <w:rsid w:val="00E358F1"/>
    <w:rsid w:val="00E358F7"/>
    <w:rsid w:val="00E35905"/>
    <w:rsid w:val="00E3593B"/>
    <w:rsid w:val="00E35971"/>
    <w:rsid w:val="00E35A34"/>
    <w:rsid w:val="00E35B35"/>
    <w:rsid w:val="00E35BC5"/>
    <w:rsid w:val="00E35BD3"/>
    <w:rsid w:val="00E35CBC"/>
    <w:rsid w:val="00E35CCD"/>
    <w:rsid w:val="00E35D05"/>
    <w:rsid w:val="00E35F16"/>
    <w:rsid w:val="00E361E1"/>
    <w:rsid w:val="00E362A7"/>
    <w:rsid w:val="00E363B0"/>
    <w:rsid w:val="00E363FC"/>
    <w:rsid w:val="00E36411"/>
    <w:rsid w:val="00E36464"/>
    <w:rsid w:val="00E36511"/>
    <w:rsid w:val="00E3660E"/>
    <w:rsid w:val="00E366E6"/>
    <w:rsid w:val="00E36881"/>
    <w:rsid w:val="00E368F9"/>
    <w:rsid w:val="00E369AA"/>
    <w:rsid w:val="00E36A24"/>
    <w:rsid w:val="00E36A2E"/>
    <w:rsid w:val="00E36EFB"/>
    <w:rsid w:val="00E36FC8"/>
    <w:rsid w:val="00E37002"/>
    <w:rsid w:val="00E370A2"/>
    <w:rsid w:val="00E370B8"/>
    <w:rsid w:val="00E370E5"/>
    <w:rsid w:val="00E3728B"/>
    <w:rsid w:val="00E3751D"/>
    <w:rsid w:val="00E375F9"/>
    <w:rsid w:val="00E37618"/>
    <w:rsid w:val="00E37715"/>
    <w:rsid w:val="00E3777B"/>
    <w:rsid w:val="00E37922"/>
    <w:rsid w:val="00E37A40"/>
    <w:rsid w:val="00E37BE2"/>
    <w:rsid w:val="00E37DBD"/>
    <w:rsid w:val="00E37DBF"/>
    <w:rsid w:val="00E37EF7"/>
    <w:rsid w:val="00E37F18"/>
    <w:rsid w:val="00E37F8C"/>
    <w:rsid w:val="00E40261"/>
    <w:rsid w:val="00E402EE"/>
    <w:rsid w:val="00E40345"/>
    <w:rsid w:val="00E404C5"/>
    <w:rsid w:val="00E405D4"/>
    <w:rsid w:val="00E405D8"/>
    <w:rsid w:val="00E40659"/>
    <w:rsid w:val="00E408BB"/>
    <w:rsid w:val="00E40C0F"/>
    <w:rsid w:val="00E40D98"/>
    <w:rsid w:val="00E40E13"/>
    <w:rsid w:val="00E40EEF"/>
    <w:rsid w:val="00E4121D"/>
    <w:rsid w:val="00E41261"/>
    <w:rsid w:val="00E41335"/>
    <w:rsid w:val="00E4143C"/>
    <w:rsid w:val="00E41451"/>
    <w:rsid w:val="00E414BD"/>
    <w:rsid w:val="00E4174C"/>
    <w:rsid w:val="00E418E5"/>
    <w:rsid w:val="00E41910"/>
    <w:rsid w:val="00E41CB4"/>
    <w:rsid w:val="00E41D75"/>
    <w:rsid w:val="00E421EE"/>
    <w:rsid w:val="00E42382"/>
    <w:rsid w:val="00E423F1"/>
    <w:rsid w:val="00E4259F"/>
    <w:rsid w:val="00E4268D"/>
    <w:rsid w:val="00E4275E"/>
    <w:rsid w:val="00E42834"/>
    <w:rsid w:val="00E42872"/>
    <w:rsid w:val="00E4287F"/>
    <w:rsid w:val="00E42AAB"/>
    <w:rsid w:val="00E42B68"/>
    <w:rsid w:val="00E42E73"/>
    <w:rsid w:val="00E42EC6"/>
    <w:rsid w:val="00E42EDE"/>
    <w:rsid w:val="00E42F6A"/>
    <w:rsid w:val="00E435DF"/>
    <w:rsid w:val="00E43623"/>
    <w:rsid w:val="00E43650"/>
    <w:rsid w:val="00E436FE"/>
    <w:rsid w:val="00E4378A"/>
    <w:rsid w:val="00E43878"/>
    <w:rsid w:val="00E43920"/>
    <w:rsid w:val="00E43D56"/>
    <w:rsid w:val="00E43EF6"/>
    <w:rsid w:val="00E441AE"/>
    <w:rsid w:val="00E44202"/>
    <w:rsid w:val="00E44470"/>
    <w:rsid w:val="00E44537"/>
    <w:rsid w:val="00E4455B"/>
    <w:rsid w:val="00E445A9"/>
    <w:rsid w:val="00E4468A"/>
    <w:rsid w:val="00E44722"/>
    <w:rsid w:val="00E44810"/>
    <w:rsid w:val="00E44843"/>
    <w:rsid w:val="00E448B8"/>
    <w:rsid w:val="00E44982"/>
    <w:rsid w:val="00E44A44"/>
    <w:rsid w:val="00E44BE8"/>
    <w:rsid w:val="00E44C72"/>
    <w:rsid w:val="00E44DBE"/>
    <w:rsid w:val="00E44F4B"/>
    <w:rsid w:val="00E4501E"/>
    <w:rsid w:val="00E45154"/>
    <w:rsid w:val="00E451F9"/>
    <w:rsid w:val="00E45485"/>
    <w:rsid w:val="00E45492"/>
    <w:rsid w:val="00E454C2"/>
    <w:rsid w:val="00E4550F"/>
    <w:rsid w:val="00E4561E"/>
    <w:rsid w:val="00E45696"/>
    <w:rsid w:val="00E4569F"/>
    <w:rsid w:val="00E45954"/>
    <w:rsid w:val="00E459E3"/>
    <w:rsid w:val="00E45A09"/>
    <w:rsid w:val="00E45AD7"/>
    <w:rsid w:val="00E45CAE"/>
    <w:rsid w:val="00E45D5C"/>
    <w:rsid w:val="00E45DEF"/>
    <w:rsid w:val="00E45E00"/>
    <w:rsid w:val="00E45E0D"/>
    <w:rsid w:val="00E45EA8"/>
    <w:rsid w:val="00E45F8B"/>
    <w:rsid w:val="00E4605E"/>
    <w:rsid w:val="00E4617E"/>
    <w:rsid w:val="00E462F0"/>
    <w:rsid w:val="00E46307"/>
    <w:rsid w:val="00E463D4"/>
    <w:rsid w:val="00E46686"/>
    <w:rsid w:val="00E46688"/>
    <w:rsid w:val="00E4668D"/>
    <w:rsid w:val="00E4670C"/>
    <w:rsid w:val="00E4685E"/>
    <w:rsid w:val="00E46919"/>
    <w:rsid w:val="00E469F2"/>
    <w:rsid w:val="00E469F6"/>
    <w:rsid w:val="00E46A30"/>
    <w:rsid w:val="00E46BB6"/>
    <w:rsid w:val="00E46C0A"/>
    <w:rsid w:val="00E46C57"/>
    <w:rsid w:val="00E46D8A"/>
    <w:rsid w:val="00E46E8D"/>
    <w:rsid w:val="00E46EEC"/>
    <w:rsid w:val="00E46F5C"/>
    <w:rsid w:val="00E46F8B"/>
    <w:rsid w:val="00E47043"/>
    <w:rsid w:val="00E47048"/>
    <w:rsid w:val="00E475CE"/>
    <w:rsid w:val="00E475E2"/>
    <w:rsid w:val="00E47746"/>
    <w:rsid w:val="00E47786"/>
    <w:rsid w:val="00E478EB"/>
    <w:rsid w:val="00E4793D"/>
    <w:rsid w:val="00E479E7"/>
    <w:rsid w:val="00E47A0E"/>
    <w:rsid w:val="00E47D6D"/>
    <w:rsid w:val="00E47FCE"/>
    <w:rsid w:val="00E50130"/>
    <w:rsid w:val="00E5063E"/>
    <w:rsid w:val="00E506AF"/>
    <w:rsid w:val="00E5073A"/>
    <w:rsid w:val="00E5075D"/>
    <w:rsid w:val="00E50780"/>
    <w:rsid w:val="00E50860"/>
    <w:rsid w:val="00E508C7"/>
    <w:rsid w:val="00E50A07"/>
    <w:rsid w:val="00E50CB7"/>
    <w:rsid w:val="00E50F0F"/>
    <w:rsid w:val="00E510AB"/>
    <w:rsid w:val="00E511C6"/>
    <w:rsid w:val="00E5128B"/>
    <w:rsid w:val="00E512DD"/>
    <w:rsid w:val="00E51363"/>
    <w:rsid w:val="00E5136C"/>
    <w:rsid w:val="00E513AA"/>
    <w:rsid w:val="00E51407"/>
    <w:rsid w:val="00E51569"/>
    <w:rsid w:val="00E51626"/>
    <w:rsid w:val="00E51657"/>
    <w:rsid w:val="00E51AFF"/>
    <w:rsid w:val="00E51D85"/>
    <w:rsid w:val="00E51DCA"/>
    <w:rsid w:val="00E51EB8"/>
    <w:rsid w:val="00E51FD8"/>
    <w:rsid w:val="00E52077"/>
    <w:rsid w:val="00E520B6"/>
    <w:rsid w:val="00E521AC"/>
    <w:rsid w:val="00E522E6"/>
    <w:rsid w:val="00E523F5"/>
    <w:rsid w:val="00E524DA"/>
    <w:rsid w:val="00E524DF"/>
    <w:rsid w:val="00E5261C"/>
    <w:rsid w:val="00E5267B"/>
    <w:rsid w:val="00E527CE"/>
    <w:rsid w:val="00E5285F"/>
    <w:rsid w:val="00E528FD"/>
    <w:rsid w:val="00E5297D"/>
    <w:rsid w:val="00E52A12"/>
    <w:rsid w:val="00E52B25"/>
    <w:rsid w:val="00E52DF8"/>
    <w:rsid w:val="00E52ED7"/>
    <w:rsid w:val="00E52F3A"/>
    <w:rsid w:val="00E52FD4"/>
    <w:rsid w:val="00E535C0"/>
    <w:rsid w:val="00E535F0"/>
    <w:rsid w:val="00E53807"/>
    <w:rsid w:val="00E53829"/>
    <w:rsid w:val="00E53866"/>
    <w:rsid w:val="00E538B2"/>
    <w:rsid w:val="00E53B2E"/>
    <w:rsid w:val="00E53B35"/>
    <w:rsid w:val="00E53DB5"/>
    <w:rsid w:val="00E53EBB"/>
    <w:rsid w:val="00E53FFB"/>
    <w:rsid w:val="00E540BB"/>
    <w:rsid w:val="00E540D5"/>
    <w:rsid w:val="00E541B4"/>
    <w:rsid w:val="00E5422A"/>
    <w:rsid w:val="00E542F7"/>
    <w:rsid w:val="00E544E3"/>
    <w:rsid w:val="00E544F6"/>
    <w:rsid w:val="00E545B7"/>
    <w:rsid w:val="00E546D2"/>
    <w:rsid w:val="00E54842"/>
    <w:rsid w:val="00E54CA9"/>
    <w:rsid w:val="00E54D9C"/>
    <w:rsid w:val="00E5500C"/>
    <w:rsid w:val="00E550FD"/>
    <w:rsid w:val="00E55104"/>
    <w:rsid w:val="00E55131"/>
    <w:rsid w:val="00E552D1"/>
    <w:rsid w:val="00E553EC"/>
    <w:rsid w:val="00E5547B"/>
    <w:rsid w:val="00E556A2"/>
    <w:rsid w:val="00E557A7"/>
    <w:rsid w:val="00E55A1F"/>
    <w:rsid w:val="00E55AD2"/>
    <w:rsid w:val="00E55B68"/>
    <w:rsid w:val="00E560B1"/>
    <w:rsid w:val="00E56153"/>
    <w:rsid w:val="00E5615D"/>
    <w:rsid w:val="00E562DC"/>
    <w:rsid w:val="00E563D1"/>
    <w:rsid w:val="00E564AA"/>
    <w:rsid w:val="00E5660C"/>
    <w:rsid w:val="00E56641"/>
    <w:rsid w:val="00E56837"/>
    <w:rsid w:val="00E5685E"/>
    <w:rsid w:val="00E5689E"/>
    <w:rsid w:val="00E56A97"/>
    <w:rsid w:val="00E56A9B"/>
    <w:rsid w:val="00E56C27"/>
    <w:rsid w:val="00E56C6A"/>
    <w:rsid w:val="00E56ECC"/>
    <w:rsid w:val="00E56EE5"/>
    <w:rsid w:val="00E5720E"/>
    <w:rsid w:val="00E5730D"/>
    <w:rsid w:val="00E57564"/>
    <w:rsid w:val="00E5757C"/>
    <w:rsid w:val="00E57690"/>
    <w:rsid w:val="00E577DD"/>
    <w:rsid w:val="00E5780C"/>
    <w:rsid w:val="00E57846"/>
    <w:rsid w:val="00E57937"/>
    <w:rsid w:val="00E57E4B"/>
    <w:rsid w:val="00E60026"/>
    <w:rsid w:val="00E6011C"/>
    <w:rsid w:val="00E60239"/>
    <w:rsid w:val="00E6023C"/>
    <w:rsid w:val="00E60447"/>
    <w:rsid w:val="00E6063C"/>
    <w:rsid w:val="00E60720"/>
    <w:rsid w:val="00E607D6"/>
    <w:rsid w:val="00E60AD6"/>
    <w:rsid w:val="00E60DFC"/>
    <w:rsid w:val="00E611AE"/>
    <w:rsid w:val="00E611B5"/>
    <w:rsid w:val="00E615B0"/>
    <w:rsid w:val="00E6167F"/>
    <w:rsid w:val="00E61C95"/>
    <w:rsid w:val="00E61DA8"/>
    <w:rsid w:val="00E61E9B"/>
    <w:rsid w:val="00E61F7C"/>
    <w:rsid w:val="00E62182"/>
    <w:rsid w:val="00E6218B"/>
    <w:rsid w:val="00E6231F"/>
    <w:rsid w:val="00E62492"/>
    <w:rsid w:val="00E62495"/>
    <w:rsid w:val="00E62533"/>
    <w:rsid w:val="00E62591"/>
    <w:rsid w:val="00E626BB"/>
    <w:rsid w:val="00E627A8"/>
    <w:rsid w:val="00E629C5"/>
    <w:rsid w:val="00E62A8A"/>
    <w:rsid w:val="00E62B4A"/>
    <w:rsid w:val="00E62D51"/>
    <w:rsid w:val="00E62E9B"/>
    <w:rsid w:val="00E62F9E"/>
    <w:rsid w:val="00E63210"/>
    <w:rsid w:val="00E63343"/>
    <w:rsid w:val="00E63352"/>
    <w:rsid w:val="00E633F2"/>
    <w:rsid w:val="00E63880"/>
    <w:rsid w:val="00E638B3"/>
    <w:rsid w:val="00E63940"/>
    <w:rsid w:val="00E63AD8"/>
    <w:rsid w:val="00E63D55"/>
    <w:rsid w:val="00E640C0"/>
    <w:rsid w:val="00E640F8"/>
    <w:rsid w:val="00E64252"/>
    <w:rsid w:val="00E64370"/>
    <w:rsid w:val="00E645E3"/>
    <w:rsid w:val="00E64646"/>
    <w:rsid w:val="00E649F5"/>
    <w:rsid w:val="00E64B1A"/>
    <w:rsid w:val="00E64B41"/>
    <w:rsid w:val="00E64C4D"/>
    <w:rsid w:val="00E64CC3"/>
    <w:rsid w:val="00E64D86"/>
    <w:rsid w:val="00E65206"/>
    <w:rsid w:val="00E652CB"/>
    <w:rsid w:val="00E654EC"/>
    <w:rsid w:val="00E656CB"/>
    <w:rsid w:val="00E658FC"/>
    <w:rsid w:val="00E65AD0"/>
    <w:rsid w:val="00E65ADD"/>
    <w:rsid w:val="00E65EB2"/>
    <w:rsid w:val="00E66058"/>
    <w:rsid w:val="00E6610A"/>
    <w:rsid w:val="00E66149"/>
    <w:rsid w:val="00E66404"/>
    <w:rsid w:val="00E6656A"/>
    <w:rsid w:val="00E665E0"/>
    <w:rsid w:val="00E666AB"/>
    <w:rsid w:val="00E666BE"/>
    <w:rsid w:val="00E666C1"/>
    <w:rsid w:val="00E66821"/>
    <w:rsid w:val="00E66B35"/>
    <w:rsid w:val="00E66DE8"/>
    <w:rsid w:val="00E66F96"/>
    <w:rsid w:val="00E67001"/>
    <w:rsid w:val="00E670E9"/>
    <w:rsid w:val="00E67199"/>
    <w:rsid w:val="00E67205"/>
    <w:rsid w:val="00E67301"/>
    <w:rsid w:val="00E67416"/>
    <w:rsid w:val="00E674D5"/>
    <w:rsid w:val="00E67506"/>
    <w:rsid w:val="00E67966"/>
    <w:rsid w:val="00E67AF5"/>
    <w:rsid w:val="00E67B57"/>
    <w:rsid w:val="00E67B7B"/>
    <w:rsid w:val="00E67C77"/>
    <w:rsid w:val="00E67D67"/>
    <w:rsid w:val="00E67ED0"/>
    <w:rsid w:val="00E67F6E"/>
    <w:rsid w:val="00E7008F"/>
    <w:rsid w:val="00E701FB"/>
    <w:rsid w:val="00E70282"/>
    <w:rsid w:val="00E70344"/>
    <w:rsid w:val="00E704DC"/>
    <w:rsid w:val="00E70680"/>
    <w:rsid w:val="00E7082C"/>
    <w:rsid w:val="00E708BC"/>
    <w:rsid w:val="00E70BBC"/>
    <w:rsid w:val="00E70DA6"/>
    <w:rsid w:val="00E70DB7"/>
    <w:rsid w:val="00E70E10"/>
    <w:rsid w:val="00E70E3F"/>
    <w:rsid w:val="00E70E9D"/>
    <w:rsid w:val="00E71045"/>
    <w:rsid w:val="00E7110D"/>
    <w:rsid w:val="00E7113D"/>
    <w:rsid w:val="00E71235"/>
    <w:rsid w:val="00E71270"/>
    <w:rsid w:val="00E71385"/>
    <w:rsid w:val="00E71475"/>
    <w:rsid w:val="00E714E3"/>
    <w:rsid w:val="00E71590"/>
    <w:rsid w:val="00E7172B"/>
    <w:rsid w:val="00E717D2"/>
    <w:rsid w:val="00E71844"/>
    <w:rsid w:val="00E71972"/>
    <w:rsid w:val="00E71994"/>
    <w:rsid w:val="00E72208"/>
    <w:rsid w:val="00E72216"/>
    <w:rsid w:val="00E72226"/>
    <w:rsid w:val="00E724AE"/>
    <w:rsid w:val="00E7279E"/>
    <w:rsid w:val="00E7284A"/>
    <w:rsid w:val="00E72A6A"/>
    <w:rsid w:val="00E72BE3"/>
    <w:rsid w:val="00E72C48"/>
    <w:rsid w:val="00E72E52"/>
    <w:rsid w:val="00E73124"/>
    <w:rsid w:val="00E73252"/>
    <w:rsid w:val="00E734E0"/>
    <w:rsid w:val="00E7374F"/>
    <w:rsid w:val="00E737B7"/>
    <w:rsid w:val="00E737CE"/>
    <w:rsid w:val="00E73A4A"/>
    <w:rsid w:val="00E73C90"/>
    <w:rsid w:val="00E73F27"/>
    <w:rsid w:val="00E74082"/>
    <w:rsid w:val="00E74112"/>
    <w:rsid w:val="00E741A9"/>
    <w:rsid w:val="00E744D8"/>
    <w:rsid w:val="00E7465C"/>
    <w:rsid w:val="00E7472D"/>
    <w:rsid w:val="00E7485C"/>
    <w:rsid w:val="00E74877"/>
    <w:rsid w:val="00E7488E"/>
    <w:rsid w:val="00E748CB"/>
    <w:rsid w:val="00E74A9E"/>
    <w:rsid w:val="00E74AE1"/>
    <w:rsid w:val="00E74B52"/>
    <w:rsid w:val="00E74C95"/>
    <w:rsid w:val="00E7509D"/>
    <w:rsid w:val="00E751C0"/>
    <w:rsid w:val="00E754FA"/>
    <w:rsid w:val="00E755BD"/>
    <w:rsid w:val="00E7572A"/>
    <w:rsid w:val="00E75A72"/>
    <w:rsid w:val="00E75B5A"/>
    <w:rsid w:val="00E75E41"/>
    <w:rsid w:val="00E7613A"/>
    <w:rsid w:val="00E761F7"/>
    <w:rsid w:val="00E7698F"/>
    <w:rsid w:val="00E76C4B"/>
    <w:rsid w:val="00E76C61"/>
    <w:rsid w:val="00E76DB4"/>
    <w:rsid w:val="00E7718B"/>
    <w:rsid w:val="00E77261"/>
    <w:rsid w:val="00E772D3"/>
    <w:rsid w:val="00E773DA"/>
    <w:rsid w:val="00E773F7"/>
    <w:rsid w:val="00E7748E"/>
    <w:rsid w:val="00E7759B"/>
    <w:rsid w:val="00E775F6"/>
    <w:rsid w:val="00E779C1"/>
    <w:rsid w:val="00E77AAD"/>
    <w:rsid w:val="00E77B09"/>
    <w:rsid w:val="00E77B9D"/>
    <w:rsid w:val="00E77CB9"/>
    <w:rsid w:val="00E77D1E"/>
    <w:rsid w:val="00E77FF9"/>
    <w:rsid w:val="00E80044"/>
    <w:rsid w:val="00E801E3"/>
    <w:rsid w:val="00E801F9"/>
    <w:rsid w:val="00E80210"/>
    <w:rsid w:val="00E8027A"/>
    <w:rsid w:val="00E802E2"/>
    <w:rsid w:val="00E80802"/>
    <w:rsid w:val="00E80AE1"/>
    <w:rsid w:val="00E80C44"/>
    <w:rsid w:val="00E80E5B"/>
    <w:rsid w:val="00E80EF5"/>
    <w:rsid w:val="00E80F3E"/>
    <w:rsid w:val="00E80F91"/>
    <w:rsid w:val="00E8113C"/>
    <w:rsid w:val="00E8131C"/>
    <w:rsid w:val="00E8132A"/>
    <w:rsid w:val="00E814BB"/>
    <w:rsid w:val="00E81692"/>
    <w:rsid w:val="00E81886"/>
    <w:rsid w:val="00E81AB2"/>
    <w:rsid w:val="00E81B68"/>
    <w:rsid w:val="00E81CC3"/>
    <w:rsid w:val="00E81DB2"/>
    <w:rsid w:val="00E81F19"/>
    <w:rsid w:val="00E81F37"/>
    <w:rsid w:val="00E8214E"/>
    <w:rsid w:val="00E8224E"/>
    <w:rsid w:val="00E82483"/>
    <w:rsid w:val="00E824A2"/>
    <w:rsid w:val="00E8257C"/>
    <w:rsid w:val="00E8264D"/>
    <w:rsid w:val="00E82834"/>
    <w:rsid w:val="00E83110"/>
    <w:rsid w:val="00E83402"/>
    <w:rsid w:val="00E83420"/>
    <w:rsid w:val="00E83660"/>
    <w:rsid w:val="00E836B5"/>
    <w:rsid w:val="00E83754"/>
    <w:rsid w:val="00E837A8"/>
    <w:rsid w:val="00E8394A"/>
    <w:rsid w:val="00E83A51"/>
    <w:rsid w:val="00E83D4A"/>
    <w:rsid w:val="00E83EE5"/>
    <w:rsid w:val="00E83F0F"/>
    <w:rsid w:val="00E83F5C"/>
    <w:rsid w:val="00E83FCC"/>
    <w:rsid w:val="00E8458E"/>
    <w:rsid w:val="00E845EC"/>
    <w:rsid w:val="00E848DE"/>
    <w:rsid w:val="00E84981"/>
    <w:rsid w:val="00E84A02"/>
    <w:rsid w:val="00E84CA2"/>
    <w:rsid w:val="00E84CBA"/>
    <w:rsid w:val="00E84D84"/>
    <w:rsid w:val="00E84F9D"/>
    <w:rsid w:val="00E85008"/>
    <w:rsid w:val="00E85029"/>
    <w:rsid w:val="00E853C2"/>
    <w:rsid w:val="00E8542B"/>
    <w:rsid w:val="00E8571C"/>
    <w:rsid w:val="00E85736"/>
    <w:rsid w:val="00E85823"/>
    <w:rsid w:val="00E85969"/>
    <w:rsid w:val="00E85A3E"/>
    <w:rsid w:val="00E85AD0"/>
    <w:rsid w:val="00E85AD5"/>
    <w:rsid w:val="00E85C0D"/>
    <w:rsid w:val="00E85D68"/>
    <w:rsid w:val="00E85D8E"/>
    <w:rsid w:val="00E85EAA"/>
    <w:rsid w:val="00E85F9C"/>
    <w:rsid w:val="00E862EF"/>
    <w:rsid w:val="00E86392"/>
    <w:rsid w:val="00E8651E"/>
    <w:rsid w:val="00E865F1"/>
    <w:rsid w:val="00E8668A"/>
    <w:rsid w:val="00E869AB"/>
    <w:rsid w:val="00E86BCB"/>
    <w:rsid w:val="00E86D58"/>
    <w:rsid w:val="00E86E22"/>
    <w:rsid w:val="00E86F08"/>
    <w:rsid w:val="00E8702A"/>
    <w:rsid w:val="00E8704C"/>
    <w:rsid w:val="00E8707A"/>
    <w:rsid w:val="00E87101"/>
    <w:rsid w:val="00E87313"/>
    <w:rsid w:val="00E873F2"/>
    <w:rsid w:val="00E87743"/>
    <w:rsid w:val="00E8777B"/>
    <w:rsid w:val="00E877BA"/>
    <w:rsid w:val="00E87827"/>
    <w:rsid w:val="00E8782C"/>
    <w:rsid w:val="00E8795E"/>
    <w:rsid w:val="00E879A1"/>
    <w:rsid w:val="00E87D09"/>
    <w:rsid w:val="00E87EFC"/>
    <w:rsid w:val="00E9004C"/>
    <w:rsid w:val="00E90075"/>
    <w:rsid w:val="00E90080"/>
    <w:rsid w:val="00E9008B"/>
    <w:rsid w:val="00E90179"/>
    <w:rsid w:val="00E90192"/>
    <w:rsid w:val="00E901C3"/>
    <w:rsid w:val="00E906AB"/>
    <w:rsid w:val="00E9078A"/>
    <w:rsid w:val="00E90892"/>
    <w:rsid w:val="00E908DA"/>
    <w:rsid w:val="00E909D5"/>
    <w:rsid w:val="00E909F0"/>
    <w:rsid w:val="00E90AAE"/>
    <w:rsid w:val="00E90BC1"/>
    <w:rsid w:val="00E90D02"/>
    <w:rsid w:val="00E90E74"/>
    <w:rsid w:val="00E90FAA"/>
    <w:rsid w:val="00E91070"/>
    <w:rsid w:val="00E9127C"/>
    <w:rsid w:val="00E91350"/>
    <w:rsid w:val="00E913EA"/>
    <w:rsid w:val="00E9145C"/>
    <w:rsid w:val="00E9148C"/>
    <w:rsid w:val="00E9162B"/>
    <w:rsid w:val="00E916F5"/>
    <w:rsid w:val="00E9196E"/>
    <w:rsid w:val="00E919DA"/>
    <w:rsid w:val="00E91A97"/>
    <w:rsid w:val="00E91D6F"/>
    <w:rsid w:val="00E91E88"/>
    <w:rsid w:val="00E91FDC"/>
    <w:rsid w:val="00E920FC"/>
    <w:rsid w:val="00E922BF"/>
    <w:rsid w:val="00E928EF"/>
    <w:rsid w:val="00E929E6"/>
    <w:rsid w:val="00E92ADA"/>
    <w:rsid w:val="00E92B09"/>
    <w:rsid w:val="00E92DF1"/>
    <w:rsid w:val="00E92E18"/>
    <w:rsid w:val="00E92ECE"/>
    <w:rsid w:val="00E92EE1"/>
    <w:rsid w:val="00E93297"/>
    <w:rsid w:val="00E93318"/>
    <w:rsid w:val="00E933EA"/>
    <w:rsid w:val="00E93517"/>
    <w:rsid w:val="00E9364F"/>
    <w:rsid w:val="00E93B22"/>
    <w:rsid w:val="00E93DAE"/>
    <w:rsid w:val="00E93E7E"/>
    <w:rsid w:val="00E93EF0"/>
    <w:rsid w:val="00E940F2"/>
    <w:rsid w:val="00E9411B"/>
    <w:rsid w:val="00E94132"/>
    <w:rsid w:val="00E9438A"/>
    <w:rsid w:val="00E9448A"/>
    <w:rsid w:val="00E944AC"/>
    <w:rsid w:val="00E94685"/>
    <w:rsid w:val="00E9476E"/>
    <w:rsid w:val="00E9478B"/>
    <w:rsid w:val="00E947A2"/>
    <w:rsid w:val="00E94831"/>
    <w:rsid w:val="00E94839"/>
    <w:rsid w:val="00E9494B"/>
    <w:rsid w:val="00E949C8"/>
    <w:rsid w:val="00E94CDD"/>
    <w:rsid w:val="00E94DAC"/>
    <w:rsid w:val="00E94F20"/>
    <w:rsid w:val="00E94F38"/>
    <w:rsid w:val="00E94F4A"/>
    <w:rsid w:val="00E9535A"/>
    <w:rsid w:val="00E9539E"/>
    <w:rsid w:val="00E953A5"/>
    <w:rsid w:val="00E953C8"/>
    <w:rsid w:val="00E9540B"/>
    <w:rsid w:val="00E95801"/>
    <w:rsid w:val="00E9586E"/>
    <w:rsid w:val="00E958B6"/>
    <w:rsid w:val="00E9593B"/>
    <w:rsid w:val="00E9598C"/>
    <w:rsid w:val="00E95AB1"/>
    <w:rsid w:val="00E95BD0"/>
    <w:rsid w:val="00E95C2C"/>
    <w:rsid w:val="00E95CEA"/>
    <w:rsid w:val="00E95E24"/>
    <w:rsid w:val="00E95F80"/>
    <w:rsid w:val="00E95FCF"/>
    <w:rsid w:val="00E96386"/>
    <w:rsid w:val="00E96401"/>
    <w:rsid w:val="00E9649E"/>
    <w:rsid w:val="00E968C0"/>
    <w:rsid w:val="00E96A1A"/>
    <w:rsid w:val="00E96B38"/>
    <w:rsid w:val="00E96CEF"/>
    <w:rsid w:val="00E96DAB"/>
    <w:rsid w:val="00E96DAF"/>
    <w:rsid w:val="00E96E7E"/>
    <w:rsid w:val="00E972C1"/>
    <w:rsid w:val="00E97528"/>
    <w:rsid w:val="00E97797"/>
    <w:rsid w:val="00E97956"/>
    <w:rsid w:val="00E97AC4"/>
    <w:rsid w:val="00E97BEF"/>
    <w:rsid w:val="00EA012D"/>
    <w:rsid w:val="00EA0142"/>
    <w:rsid w:val="00EA0159"/>
    <w:rsid w:val="00EA022C"/>
    <w:rsid w:val="00EA0479"/>
    <w:rsid w:val="00EA0652"/>
    <w:rsid w:val="00EA0664"/>
    <w:rsid w:val="00EA0836"/>
    <w:rsid w:val="00EA088E"/>
    <w:rsid w:val="00EA08BE"/>
    <w:rsid w:val="00EA08E5"/>
    <w:rsid w:val="00EA0B93"/>
    <w:rsid w:val="00EA0DA2"/>
    <w:rsid w:val="00EA0E25"/>
    <w:rsid w:val="00EA0FB2"/>
    <w:rsid w:val="00EA1033"/>
    <w:rsid w:val="00EA1367"/>
    <w:rsid w:val="00EA15D8"/>
    <w:rsid w:val="00EA1747"/>
    <w:rsid w:val="00EA1762"/>
    <w:rsid w:val="00EA1840"/>
    <w:rsid w:val="00EA1998"/>
    <w:rsid w:val="00EA19C3"/>
    <w:rsid w:val="00EA1A3C"/>
    <w:rsid w:val="00EA1C92"/>
    <w:rsid w:val="00EA1EC8"/>
    <w:rsid w:val="00EA2253"/>
    <w:rsid w:val="00EA231C"/>
    <w:rsid w:val="00EA263B"/>
    <w:rsid w:val="00EA299E"/>
    <w:rsid w:val="00EA2A87"/>
    <w:rsid w:val="00EA2CE0"/>
    <w:rsid w:val="00EA2D82"/>
    <w:rsid w:val="00EA2E98"/>
    <w:rsid w:val="00EA312A"/>
    <w:rsid w:val="00EA31C9"/>
    <w:rsid w:val="00EA3221"/>
    <w:rsid w:val="00EA3228"/>
    <w:rsid w:val="00EA3422"/>
    <w:rsid w:val="00EA374C"/>
    <w:rsid w:val="00EA3759"/>
    <w:rsid w:val="00EA37B5"/>
    <w:rsid w:val="00EA3932"/>
    <w:rsid w:val="00EA3A6F"/>
    <w:rsid w:val="00EA3B59"/>
    <w:rsid w:val="00EA3B84"/>
    <w:rsid w:val="00EA3BD8"/>
    <w:rsid w:val="00EA3CEE"/>
    <w:rsid w:val="00EA3E90"/>
    <w:rsid w:val="00EA4124"/>
    <w:rsid w:val="00EA4222"/>
    <w:rsid w:val="00EA42B2"/>
    <w:rsid w:val="00EA42D8"/>
    <w:rsid w:val="00EA42F2"/>
    <w:rsid w:val="00EA43A8"/>
    <w:rsid w:val="00EA44DC"/>
    <w:rsid w:val="00EA4B3E"/>
    <w:rsid w:val="00EA4C98"/>
    <w:rsid w:val="00EA4ED3"/>
    <w:rsid w:val="00EA4F1B"/>
    <w:rsid w:val="00EA4F4B"/>
    <w:rsid w:val="00EA4FD2"/>
    <w:rsid w:val="00EA50EF"/>
    <w:rsid w:val="00EA50F6"/>
    <w:rsid w:val="00EA5224"/>
    <w:rsid w:val="00EA52E4"/>
    <w:rsid w:val="00EA546C"/>
    <w:rsid w:val="00EA5560"/>
    <w:rsid w:val="00EA5585"/>
    <w:rsid w:val="00EA56D7"/>
    <w:rsid w:val="00EA5743"/>
    <w:rsid w:val="00EA57BE"/>
    <w:rsid w:val="00EA57E2"/>
    <w:rsid w:val="00EA5900"/>
    <w:rsid w:val="00EA59AA"/>
    <w:rsid w:val="00EA5A7F"/>
    <w:rsid w:val="00EA5B62"/>
    <w:rsid w:val="00EA5BE5"/>
    <w:rsid w:val="00EA5C01"/>
    <w:rsid w:val="00EA5CF3"/>
    <w:rsid w:val="00EA5D85"/>
    <w:rsid w:val="00EA5F4B"/>
    <w:rsid w:val="00EA6335"/>
    <w:rsid w:val="00EA6548"/>
    <w:rsid w:val="00EA65A9"/>
    <w:rsid w:val="00EA662D"/>
    <w:rsid w:val="00EA675D"/>
    <w:rsid w:val="00EA678E"/>
    <w:rsid w:val="00EA68B8"/>
    <w:rsid w:val="00EA6931"/>
    <w:rsid w:val="00EA699B"/>
    <w:rsid w:val="00EA6C08"/>
    <w:rsid w:val="00EA6E5C"/>
    <w:rsid w:val="00EA707F"/>
    <w:rsid w:val="00EA775F"/>
    <w:rsid w:val="00EA7918"/>
    <w:rsid w:val="00EA798A"/>
    <w:rsid w:val="00EA79A2"/>
    <w:rsid w:val="00EA7A39"/>
    <w:rsid w:val="00EA7A5A"/>
    <w:rsid w:val="00EA7A88"/>
    <w:rsid w:val="00EA7AC4"/>
    <w:rsid w:val="00EA7FB9"/>
    <w:rsid w:val="00EB011A"/>
    <w:rsid w:val="00EB0333"/>
    <w:rsid w:val="00EB0380"/>
    <w:rsid w:val="00EB03FD"/>
    <w:rsid w:val="00EB041E"/>
    <w:rsid w:val="00EB0423"/>
    <w:rsid w:val="00EB060C"/>
    <w:rsid w:val="00EB0992"/>
    <w:rsid w:val="00EB0A12"/>
    <w:rsid w:val="00EB0A77"/>
    <w:rsid w:val="00EB0B7C"/>
    <w:rsid w:val="00EB0E36"/>
    <w:rsid w:val="00EB0F2C"/>
    <w:rsid w:val="00EB115C"/>
    <w:rsid w:val="00EB11DA"/>
    <w:rsid w:val="00EB1250"/>
    <w:rsid w:val="00EB1316"/>
    <w:rsid w:val="00EB1484"/>
    <w:rsid w:val="00EB14B0"/>
    <w:rsid w:val="00EB1528"/>
    <w:rsid w:val="00EB173E"/>
    <w:rsid w:val="00EB1770"/>
    <w:rsid w:val="00EB1886"/>
    <w:rsid w:val="00EB19B2"/>
    <w:rsid w:val="00EB1A5C"/>
    <w:rsid w:val="00EB1AFF"/>
    <w:rsid w:val="00EB1CC2"/>
    <w:rsid w:val="00EB1CC6"/>
    <w:rsid w:val="00EB1DEE"/>
    <w:rsid w:val="00EB1E37"/>
    <w:rsid w:val="00EB1E80"/>
    <w:rsid w:val="00EB2043"/>
    <w:rsid w:val="00EB21D6"/>
    <w:rsid w:val="00EB21F9"/>
    <w:rsid w:val="00EB2257"/>
    <w:rsid w:val="00EB2299"/>
    <w:rsid w:val="00EB2343"/>
    <w:rsid w:val="00EB23AF"/>
    <w:rsid w:val="00EB23D2"/>
    <w:rsid w:val="00EB2432"/>
    <w:rsid w:val="00EB24CB"/>
    <w:rsid w:val="00EB24F3"/>
    <w:rsid w:val="00EB2534"/>
    <w:rsid w:val="00EB256A"/>
    <w:rsid w:val="00EB25F3"/>
    <w:rsid w:val="00EB265D"/>
    <w:rsid w:val="00EB26B6"/>
    <w:rsid w:val="00EB28FE"/>
    <w:rsid w:val="00EB2928"/>
    <w:rsid w:val="00EB293F"/>
    <w:rsid w:val="00EB2B35"/>
    <w:rsid w:val="00EB2CEE"/>
    <w:rsid w:val="00EB3013"/>
    <w:rsid w:val="00EB303A"/>
    <w:rsid w:val="00EB34F0"/>
    <w:rsid w:val="00EB3630"/>
    <w:rsid w:val="00EB392C"/>
    <w:rsid w:val="00EB39CF"/>
    <w:rsid w:val="00EB3BE3"/>
    <w:rsid w:val="00EB3C2B"/>
    <w:rsid w:val="00EB3C38"/>
    <w:rsid w:val="00EB3C64"/>
    <w:rsid w:val="00EB3C72"/>
    <w:rsid w:val="00EB3C83"/>
    <w:rsid w:val="00EB3E86"/>
    <w:rsid w:val="00EB3EA9"/>
    <w:rsid w:val="00EB3F83"/>
    <w:rsid w:val="00EB40BC"/>
    <w:rsid w:val="00EB40F0"/>
    <w:rsid w:val="00EB422C"/>
    <w:rsid w:val="00EB4287"/>
    <w:rsid w:val="00EB428A"/>
    <w:rsid w:val="00EB42A3"/>
    <w:rsid w:val="00EB432A"/>
    <w:rsid w:val="00EB4512"/>
    <w:rsid w:val="00EB4602"/>
    <w:rsid w:val="00EB4661"/>
    <w:rsid w:val="00EB47A0"/>
    <w:rsid w:val="00EB49CE"/>
    <w:rsid w:val="00EB49D5"/>
    <w:rsid w:val="00EB4B7E"/>
    <w:rsid w:val="00EB4C8A"/>
    <w:rsid w:val="00EB4EB2"/>
    <w:rsid w:val="00EB503D"/>
    <w:rsid w:val="00EB5109"/>
    <w:rsid w:val="00EB5113"/>
    <w:rsid w:val="00EB53CC"/>
    <w:rsid w:val="00EB54D7"/>
    <w:rsid w:val="00EB56B6"/>
    <w:rsid w:val="00EB56D3"/>
    <w:rsid w:val="00EB577C"/>
    <w:rsid w:val="00EB59A2"/>
    <w:rsid w:val="00EB5AA2"/>
    <w:rsid w:val="00EB5AE3"/>
    <w:rsid w:val="00EB5AEE"/>
    <w:rsid w:val="00EB5BB9"/>
    <w:rsid w:val="00EB5C3B"/>
    <w:rsid w:val="00EB5CDD"/>
    <w:rsid w:val="00EB5D59"/>
    <w:rsid w:val="00EB5EB5"/>
    <w:rsid w:val="00EB605E"/>
    <w:rsid w:val="00EB6243"/>
    <w:rsid w:val="00EB6295"/>
    <w:rsid w:val="00EB62F0"/>
    <w:rsid w:val="00EB6597"/>
    <w:rsid w:val="00EB662F"/>
    <w:rsid w:val="00EB6770"/>
    <w:rsid w:val="00EB677E"/>
    <w:rsid w:val="00EB6A4E"/>
    <w:rsid w:val="00EB6BE8"/>
    <w:rsid w:val="00EB6D43"/>
    <w:rsid w:val="00EB6EBD"/>
    <w:rsid w:val="00EB73A5"/>
    <w:rsid w:val="00EB7476"/>
    <w:rsid w:val="00EB7581"/>
    <w:rsid w:val="00EB75AD"/>
    <w:rsid w:val="00EB75CF"/>
    <w:rsid w:val="00EB768B"/>
    <w:rsid w:val="00EB7801"/>
    <w:rsid w:val="00EB79C5"/>
    <w:rsid w:val="00EB7D16"/>
    <w:rsid w:val="00EB7D6D"/>
    <w:rsid w:val="00EC0068"/>
    <w:rsid w:val="00EC008F"/>
    <w:rsid w:val="00EC0108"/>
    <w:rsid w:val="00EC0140"/>
    <w:rsid w:val="00EC026C"/>
    <w:rsid w:val="00EC02B6"/>
    <w:rsid w:val="00EC03AB"/>
    <w:rsid w:val="00EC0421"/>
    <w:rsid w:val="00EC063F"/>
    <w:rsid w:val="00EC06D5"/>
    <w:rsid w:val="00EC071D"/>
    <w:rsid w:val="00EC0949"/>
    <w:rsid w:val="00EC0AAF"/>
    <w:rsid w:val="00EC0AF4"/>
    <w:rsid w:val="00EC0B35"/>
    <w:rsid w:val="00EC0B96"/>
    <w:rsid w:val="00EC0E53"/>
    <w:rsid w:val="00EC116A"/>
    <w:rsid w:val="00EC1377"/>
    <w:rsid w:val="00EC149A"/>
    <w:rsid w:val="00EC16BB"/>
    <w:rsid w:val="00EC2038"/>
    <w:rsid w:val="00EC20B2"/>
    <w:rsid w:val="00EC22C3"/>
    <w:rsid w:val="00EC233A"/>
    <w:rsid w:val="00EC2359"/>
    <w:rsid w:val="00EC23A5"/>
    <w:rsid w:val="00EC24B3"/>
    <w:rsid w:val="00EC2723"/>
    <w:rsid w:val="00EC2764"/>
    <w:rsid w:val="00EC279A"/>
    <w:rsid w:val="00EC28DB"/>
    <w:rsid w:val="00EC28E6"/>
    <w:rsid w:val="00EC28EF"/>
    <w:rsid w:val="00EC2B59"/>
    <w:rsid w:val="00EC2BE7"/>
    <w:rsid w:val="00EC2BEC"/>
    <w:rsid w:val="00EC2C3F"/>
    <w:rsid w:val="00EC2E03"/>
    <w:rsid w:val="00EC2EC1"/>
    <w:rsid w:val="00EC310D"/>
    <w:rsid w:val="00EC3215"/>
    <w:rsid w:val="00EC321B"/>
    <w:rsid w:val="00EC32AF"/>
    <w:rsid w:val="00EC344B"/>
    <w:rsid w:val="00EC3468"/>
    <w:rsid w:val="00EC3477"/>
    <w:rsid w:val="00EC3489"/>
    <w:rsid w:val="00EC3688"/>
    <w:rsid w:val="00EC36C2"/>
    <w:rsid w:val="00EC3924"/>
    <w:rsid w:val="00EC3DFB"/>
    <w:rsid w:val="00EC3E3E"/>
    <w:rsid w:val="00EC3FC7"/>
    <w:rsid w:val="00EC420A"/>
    <w:rsid w:val="00EC4231"/>
    <w:rsid w:val="00EC4393"/>
    <w:rsid w:val="00EC459E"/>
    <w:rsid w:val="00EC460F"/>
    <w:rsid w:val="00EC4B8C"/>
    <w:rsid w:val="00EC4CA2"/>
    <w:rsid w:val="00EC4E9E"/>
    <w:rsid w:val="00EC4F5F"/>
    <w:rsid w:val="00EC5092"/>
    <w:rsid w:val="00EC51D3"/>
    <w:rsid w:val="00EC51EB"/>
    <w:rsid w:val="00EC54A0"/>
    <w:rsid w:val="00EC57A9"/>
    <w:rsid w:val="00EC5866"/>
    <w:rsid w:val="00EC599C"/>
    <w:rsid w:val="00EC5AD8"/>
    <w:rsid w:val="00EC5B6C"/>
    <w:rsid w:val="00EC5B89"/>
    <w:rsid w:val="00EC5D48"/>
    <w:rsid w:val="00EC5DA1"/>
    <w:rsid w:val="00EC5DA2"/>
    <w:rsid w:val="00EC5E6D"/>
    <w:rsid w:val="00EC5EB6"/>
    <w:rsid w:val="00EC6112"/>
    <w:rsid w:val="00EC617D"/>
    <w:rsid w:val="00EC6321"/>
    <w:rsid w:val="00EC6411"/>
    <w:rsid w:val="00EC64A7"/>
    <w:rsid w:val="00EC6609"/>
    <w:rsid w:val="00EC667F"/>
    <w:rsid w:val="00EC66A2"/>
    <w:rsid w:val="00EC6782"/>
    <w:rsid w:val="00EC6947"/>
    <w:rsid w:val="00EC6BAB"/>
    <w:rsid w:val="00EC6C24"/>
    <w:rsid w:val="00EC6CEF"/>
    <w:rsid w:val="00EC6D1D"/>
    <w:rsid w:val="00EC6E02"/>
    <w:rsid w:val="00EC6E1E"/>
    <w:rsid w:val="00EC7033"/>
    <w:rsid w:val="00EC7066"/>
    <w:rsid w:val="00EC708F"/>
    <w:rsid w:val="00EC7151"/>
    <w:rsid w:val="00EC728C"/>
    <w:rsid w:val="00EC72A8"/>
    <w:rsid w:val="00EC7331"/>
    <w:rsid w:val="00EC7453"/>
    <w:rsid w:val="00EC74CA"/>
    <w:rsid w:val="00EC74CD"/>
    <w:rsid w:val="00EC77F0"/>
    <w:rsid w:val="00EC7B2F"/>
    <w:rsid w:val="00EC7CBC"/>
    <w:rsid w:val="00EC7CF0"/>
    <w:rsid w:val="00EC7D6B"/>
    <w:rsid w:val="00EC7DE2"/>
    <w:rsid w:val="00EC7F0C"/>
    <w:rsid w:val="00ED0000"/>
    <w:rsid w:val="00ED015F"/>
    <w:rsid w:val="00ED02B6"/>
    <w:rsid w:val="00ED02F3"/>
    <w:rsid w:val="00ED0390"/>
    <w:rsid w:val="00ED03F5"/>
    <w:rsid w:val="00ED0515"/>
    <w:rsid w:val="00ED0603"/>
    <w:rsid w:val="00ED06CC"/>
    <w:rsid w:val="00ED0718"/>
    <w:rsid w:val="00ED0835"/>
    <w:rsid w:val="00ED08E5"/>
    <w:rsid w:val="00ED0ACC"/>
    <w:rsid w:val="00ED0BBA"/>
    <w:rsid w:val="00ED0C3B"/>
    <w:rsid w:val="00ED0C4C"/>
    <w:rsid w:val="00ED0C81"/>
    <w:rsid w:val="00ED0CC4"/>
    <w:rsid w:val="00ED0D2C"/>
    <w:rsid w:val="00ED0D89"/>
    <w:rsid w:val="00ED0F25"/>
    <w:rsid w:val="00ED1154"/>
    <w:rsid w:val="00ED1257"/>
    <w:rsid w:val="00ED1272"/>
    <w:rsid w:val="00ED143E"/>
    <w:rsid w:val="00ED14EB"/>
    <w:rsid w:val="00ED14ED"/>
    <w:rsid w:val="00ED15A3"/>
    <w:rsid w:val="00ED16D6"/>
    <w:rsid w:val="00ED18A2"/>
    <w:rsid w:val="00ED1AD8"/>
    <w:rsid w:val="00ED1BC7"/>
    <w:rsid w:val="00ED1C36"/>
    <w:rsid w:val="00ED1C64"/>
    <w:rsid w:val="00ED1D25"/>
    <w:rsid w:val="00ED1D57"/>
    <w:rsid w:val="00ED1F4C"/>
    <w:rsid w:val="00ED1FAC"/>
    <w:rsid w:val="00ED219F"/>
    <w:rsid w:val="00ED24D4"/>
    <w:rsid w:val="00ED2502"/>
    <w:rsid w:val="00ED2549"/>
    <w:rsid w:val="00ED2565"/>
    <w:rsid w:val="00ED258A"/>
    <w:rsid w:val="00ED26CA"/>
    <w:rsid w:val="00ED2720"/>
    <w:rsid w:val="00ED274D"/>
    <w:rsid w:val="00ED29D0"/>
    <w:rsid w:val="00ED2A83"/>
    <w:rsid w:val="00ED2ABF"/>
    <w:rsid w:val="00ED2B16"/>
    <w:rsid w:val="00ED2BAC"/>
    <w:rsid w:val="00ED2C8D"/>
    <w:rsid w:val="00ED2F74"/>
    <w:rsid w:val="00ED300A"/>
    <w:rsid w:val="00ED329E"/>
    <w:rsid w:val="00ED331D"/>
    <w:rsid w:val="00ED339B"/>
    <w:rsid w:val="00ED3488"/>
    <w:rsid w:val="00ED3510"/>
    <w:rsid w:val="00ED3514"/>
    <w:rsid w:val="00ED35E1"/>
    <w:rsid w:val="00ED3700"/>
    <w:rsid w:val="00ED381C"/>
    <w:rsid w:val="00ED3B6D"/>
    <w:rsid w:val="00ED3B7D"/>
    <w:rsid w:val="00ED3C5B"/>
    <w:rsid w:val="00ED3D83"/>
    <w:rsid w:val="00ED3DE5"/>
    <w:rsid w:val="00ED3E90"/>
    <w:rsid w:val="00ED411D"/>
    <w:rsid w:val="00ED4159"/>
    <w:rsid w:val="00ED420D"/>
    <w:rsid w:val="00ED4233"/>
    <w:rsid w:val="00ED446A"/>
    <w:rsid w:val="00ED4743"/>
    <w:rsid w:val="00ED4A7A"/>
    <w:rsid w:val="00ED4AF9"/>
    <w:rsid w:val="00ED4C29"/>
    <w:rsid w:val="00ED4D11"/>
    <w:rsid w:val="00ED4EB6"/>
    <w:rsid w:val="00ED516D"/>
    <w:rsid w:val="00ED52AD"/>
    <w:rsid w:val="00ED533D"/>
    <w:rsid w:val="00ED5499"/>
    <w:rsid w:val="00ED568E"/>
    <w:rsid w:val="00ED5871"/>
    <w:rsid w:val="00ED59E5"/>
    <w:rsid w:val="00ED5A66"/>
    <w:rsid w:val="00ED5B53"/>
    <w:rsid w:val="00ED5BE5"/>
    <w:rsid w:val="00ED6046"/>
    <w:rsid w:val="00ED643B"/>
    <w:rsid w:val="00ED6471"/>
    <w:rsid w:val="00ED6531"/>
    <w:rsid w:val="00ED673D"/>
    <w:rsid w:val="00ED67E3"/>
    <w:rsid w:val="00ED67E7"/>
    <w:rsid w:val="00ED685D"/>
    <w:rsid w:val="00ED68B4"/>
    <w:rsid w:val="00ED68E0"/>
    <w:rsid w:val="00ED6943"/>
    <w:rsid w:val="00ED6973"/>
    <w:rsid w:val="00ED6985"/>
    <w:rsid w:val="00ED69A2"/>
    <w:rsid w:val="00ED6A02"/>
    <w:rsid w:val="00ED6B0A"/>
    <w:rsid w:val="00ED6C00"/>
    <w:rsid w:val="00ED6C9F"/>
    <w:rsid w:val="00ED6D2C"/>
    <w:rsid w:val="00ED6D40"/>
    <w:rsid w:val="00ED6D9E"/>
    <w:rsid w:val="00ED6FB2"/>
    <w:rsid w:val="00ED71AE"/>
    <w:rsid w:val="00ED73C5"/>
    <w:rsid w:val="00ED740A"/>
    <w:rsid w:val="00ED74E8"/>
    <w:rsid w:val="00ED7569"/>
    <w:rsid w:val="00ED765B"/>
    <w:rsid w:val="00ED767A"/>
    <w:rsid w:val="00ED76F6"/>
    <w:rsid w:val="00ED775E"/>
    <w:rsid w:val="00ED78B4"/>
    <w:rsid w:val="00ED7913"/>
    <w:rsid w:val="00ED7961"/>
    <w:rsid w:val="00ED7B79"/>
    <w:rsid w:val="00ED7B82"/>
    <w:rsid w:val="00ED7BD8"/>
    <w:rsid w:val="00ED7F53"/>
    <w:rsid w:val="00EE0202"/>
    <w:rsid w:val="00EE0427"/>
    <w:rsid w:val="00EE07E1"/>
    <w:rsid w:val="00EE0AF7"/>
    <w:rsid w:val="00EE0B42"/>
    <w:rsid w:val="00EE0C18"/>
    <w:rsid w:val="00EE0EB5"/>
    <w:rsid w:val="00EE11DA"/>
    <w:rsid w:val="00EE122D"/>
    <w:rsid w:val="00EE1251"/>
    <w:rsid w:val="00EE1414"/>
    <w:rsid w:val="00EE1443"/>
    <w:rsid w:val="00EE15A4"/>
    <w:rsid w:val="00EE19DD"/>
    <w:rsid w:val="00EE1A3F"/>
    <w:rsid w:val="00EE1B50"/>
    <w:rsid w:val="00EE1B9D"/>
    <w:rsid w:val="00EE1E19"/>
    <w:rsid w:val="00EE1ECE"/>
    <w:rsid w:val="00EE1EEE"/>
    <w:rsid w:val="00EE1FDC"/>
    <w:rsid w:val="00EE208B"/>
    <w:rsid w:val="00EE2147"/>
    <w:rsid w:val="00EE2247"/>
    <w:rsid w:val="00EE22AE"/>
    <w:rsid w:val="00EE2380"/>
    <w:rsid w:val="00EE270E"/>
    <w:rsid w:val="00EE2779"/>
    <w:rsid w:val="00EE293B"/>
    <w:rsid w:val="00EE2BA0"/>
    <w:rsid w:val="00EE2BC3"/>
    <w:rsid w:val="00EE2D80"/>
    <w:rsid w:val="00EE2DFC"/>
    <w:rsid w:val="00EE2E12"/>
    <w:rsid w:val="00EE2EC5"/>
    <w:rsid w:val="00EE2EE3"/>
    <w:rsid w:val="00EE2EE6"/>
    <w:rsid w:val="00EE3139"/>
    <w:rsid w:val="00EE318B"/>
    <w:rsid w:val="00EE3262"/>
    <w:rsid w:val="00EE3307"/>
    <w:rsid w:val="00EE3426"/>
    <w:rsid w:val="00EE36A3"/>
    <w:rsid w:val="00EE36BC"/>
    <w:rsid w:val="00EE384C"/>
    <w:rsid w:val="00EE39A6"/>
    <w:rsid w:val="00EE3B28"/>
    <w:rsid w:val="00EE3C12"/>
    <w:rsid w:val="00EE3E3B"/>
    <w:rsid w:val="00EE40D9"/>
    <w:rsid w:val="00EE4153"/>
    <w:rsid w:val="00EE4295"/>
    <w:rsid w:val="00EE42FA"/>
    <w:rsid w:val="00EE4465"/>
    <w:rsid w:val="00EE44D7"/>
    <w:rsid w:val="00EE4527"/>
    <w:rsid w:val="00EE456F"/>
    <w:rsid w:val="00EE46E8"/>
    <w:rsid w:val="00EE4851"/>
    <w:rsid w:val="00EE4954"/>
    <w:rsid w:val="00EE4A77"/>
    <w:rsid w:val="00EE4C37"/>
    <w:rsid w:val="00EE4C9D"/>
    <w:rsid w:val="00EE4D2B"/>
    <w:rsid w:val="00EE4DCF"/>
    <w:rsid w:val="00EE5157"/>
    <w:rsid w:val="00EE528D"/>
    <w:rsid w:val="00EE542F"/>
    <w:rsid w:val="00EE543A"/>
    <w:rsid w:val="00EE549A"/>
    <w:rsid w:val="00EE571C"/>
    <w:rsid w:val="00EE57E3"/>
    <w:rsid w:val="00EE59AE"/>
    <w:rsid w:val="00EE59E4"/>
    <w:rsid w:val="00EE5AFD"/>
    <w:rsid w:val="00EE5B9D"/>
    <w:rsid w:val="00EE5BC3"/>
    <w:rsid w:val="00EE5C81"/>
    <w:rsid w:val="00EE5E92"/>
    <w:rsid w:val="00EE5F59"/>
    <w:rsid w:val="00EE61AA"/>
    <w:rsid w:val="00EE62DC"/>
    <w:rsid w:val="00EE633E"/>
    <w:rsid w:val="00EE638D"/>
    <w:rsid w:val="00EE63B8"/>
    <w:rsid w:val="00EE63DA"/>
    <w:rsid w:val="00EE640E"/>
    <w:rsid w:val="00EE6549"/>
    <w:rsid w:val="00EE66DA"/>
    <w:rsid w:val="00EE6850"/>
    <w:rsid w:val="00EE68DD"/>
    <w:rsid w:val="00EE6AB0"/>
    <w:rsid w:val="00EE6B33"/>
    <w:rsid w:val="00EE6B60"/>
    <w:rsid w:val="00EE6B7F"/>
    <w:rsid w:val="00EE6D21"/>
    <w:rsid w:val="00EE6D53"/>
    <w:rsid w:val="00EE6DCB"/>
    <w:rsid w:val="00EE6E44"/>
    <w:rsid w:val="00EE729C"/>
    <w:rsid w:val="00EE7381"/>
    <w:rsid w:val="00EE776B"/>
    <w:rsid w:val="00EE778E"/>
    <w:rsid w:val="00EE79C4"/>
    <w:rsid w:val="00EE7A06"/>
    <w:rsid w:val="00EE7A3C"/>
    <w:rsid w:val="00EE7B13"/>
    <w:rsid w:val="00EE7B97"/>
    <w:rsid w:val="00EE7BE5"/>
    <w:rsid w:val="00EE7D11"/>
    <w:rsid w:val="00EF0043"/>
    <w:rsid w:val="00EF00CE"/>
    <w:rsid w:val="00EF0322"/>
    <w:rsid w:val="00EF0405"/>
    <w:rsid w:val="00EF04F0"/>
    <w:rsid w:val="00EF0631"/>
    <w:rsid w:val="00EF0657"/>
    <w:rsid w:val="00EF0781"/>
    <w:rsid w:val="00EF0950"/>
    <w:rsid w:val="00EF0A36"/>
    <w:rsid w:val="00EF0BB5"/>
    <w:rsid w:val="00EF0D4B"/>
    <w:rsid w:val="00EF0D82"/>
    <w:rsid w:val="00EF0F8C"/>
    <w:rsid w:val="00EF0FCD"/>
    <w:rsid w:val="00EF103C"/>
    <w:rsid w:val="00EF1065"/>
    <w:rsid w:val="00EF10D5"/>
    <w:rsid w:val="00EF11EB"/>
    <w:rsid w:val="00EF1213"/>
    <w:rsid w:val="00EF12C7"/>
    <w:rsid w:val="00EF1320"/>
    <w:rsid w:val="00EF1388"/>
    <w:rsid w:val="00EF1452"/>
    <w:rsid w:val="00EF14A1"/>
    <w:rsid w:val="00EF14D5"/>
    <w:rsid w:val="00EF1B43"/>
    <w:rsid w:val="00EF1B5A"/>
    <w:rsid w:val="00EF1B7E"/>
    <w:rsid w:val="00EF1CE8"/>
    <w:rsid w:val="00EF1D2A"/>
    <w:rsid w:val="00EF1DAF"/>
    <w:rsid w:val="00EF1DBE"/>
    <w:rsid w:val="00EF1E54"/>
    <w:rsid w:val="00EF1F43"/>
    <w:rsid w:val="00EF242A"/>
    <w:rsid w:val="00EF257D"/>
    <w:rsid w:val="00EF26F6"/>
    <w:rsid w:val="00EF2770"/>
    <w:rsid w:val="00EF28AB"/>
    <w:rsid w:val="00EF2A5F"/>
    <w:rsid w:val="00EF2AF7"/>
    <w:rsid w:val="00EF2CC7"/>
    <w:rsid w:val="00EF2E80"/>
    <w:rsid w:val="00EF307A"/>
    <w:rsid w:val="00EF31DF"/>
    <w:rsid w:val="00EF325F"/>
    <w:rsid w:val="00EF3331"/>
    <w:rsid w:val="00EF338C"/>
    <w:rsid w:val="00EF3647"/>
    <w:rsid w:val="00EF37AC"/>
    <w:rsid w:val="00EF3839"/>
    <w:rsid w:val="00EF3840"/>
    <w:rsid w:val="00EF3979"/>
    <w:rsid w:val="00EF3E9E"/>
    <w:rsid w:val="00EF4087"/>
    <w:rsid w:val="00EF443B"/>
    <w:rsid w:val="00EF4471"/>
    <w:rsid w:val="00EF44FE"/>
    <w:rsid w:val="00EF4657"/>
    <w:rsid w:val="00EF4702"/>
    <w:rsid w:val="00EF488C"/>
    <w:rsid w:val="00EF49EC"/>
    <w:rsid w:val="00EF4A48"/>
    <w:rsid w:val="00EF4BB0"/>
    <w:rsid w:val="00EF4BB9"/>
    <w:rsid w:val="00EF4C06"/>
    <w:rsid w:val="00EF4C8A"/>
    <w:rsid w:val="00EF4CE1"/>
    <w:rsid w:val="00EF4E1B"/>
    <w:rsid w:val="00EF4F6A"/>
    <w:rsid w:val="00EF5009"/>
    <w:rsid w:val="00EF50C4"/>
    <w:rsid w:val="00EF51FA"/>
    <w:rsid w:val="00EF52F9"/>
    <w:rsid w:val="00EF5475"/>
    <w:rsid w:val="00EF5585"/>
    <w:rsid w:val="00EF5723"/>
    <w:rsid w:val="00EF59DB"/>
    <w:rsid w:val="00EF5AAE"/>
    <w:rsid w:val="00EF5BE0"/>
    <w:rsid w:val="00EF5C3C"/>
    <w:rsid w:val="00EF5DE0"/>
    <w:rsid w:val="00EF5E6A"/>
    <w:rsid w:val="00EF5E76"/>
    <w:rsid w:val="00EF5FC1"/>
    <w:rsid w:val="00EF60F0"/>
    <w:rsid w:val="00EF61CC"/>
    <w:rsid w:val="00EF620E"/>
    <w:rsid w:val="00EF6262"/>
    <w:rsid w:val="00EF62DD"/>
    <w:rsid w:val="00EF6527"/>
    <w:rsid w:val="00EF655C"/>
    <w:rsid w:val="00EF65D0"/>
    <w:rsid w:val="00EF65D2"/>
    <w:rsid w:val="00EF67E9"/>
    <w:rsid w:val="00EF6A0D"/>
    <w:rsid w:val="00EF6C14"/>
    <w:rsid w:val="00EF6D0E"/>
    <w:rsid w:val="00EF6E2D"/>
    <w:rsid w:val="00EF721B"/>
    <w:rsid w:val="00EF7223"/>
    <w:rsid w:val="00EF722F"/>
    <w:rsid w:val="00EF7983"/>
    <w:rsid w:val="00EF7A26"/>
    <w:rsid w:val="00EF7A96"/>
    <w:rsid w:val="00EF7C90"/>
    <w:rsid w:val="00EF7D69"/>
    <w:rsid w:val="00EF7DA0"/>
    <w:rsid w:val="00EF7EA3"/>
    <w:rsid w:val="00EF7FFA"/>
    <w:rsid w:val="00F00063"/>
    <w:rsid w:val="00F00262"/>
    <w:rsid w:val="00F007B6"/>
    <w:rsid w:val="00F00AB6"/>
    <w:rsid w:val="00F00D99"/>
    <w:rsid w:val="00F00EC9"/>
    <w:rsid w:val="00F011F4"/>
    <w:rsid w:val="00F012C0"/>
    <w:rsid w:val="00F0130F"/>
    <w:rsid w:val="00F014B8"/>
    <w:rsid w:val="00F0172D"/>
    <w:rsid w:val="00F017E3"/>
    <w:rsid w:val="00F01815"/>
    <w:rsid w:val="00F019EC"/>
    <w:rsid w:val="00F01B53"/>
    <w:rsid w:val="00F01C0C"/>
    <w:rsid w:val="00F01E60"/>
    <w:rsid w:val="00F01EED"/>
    <w:rsid w:val="00F01FE8"/>
    <w:rsid w:val="00F02079"/>
    <w:rsid w:val="00F0229F"/>
    <w:rsid w:val="00F023F2"/>
    <w:rsid w:val="00F024B9"/>
    <w:rsid w:val="00F024FB"/>
    <w:rsid w:val="00F02594"/>
    <w:rsid w:val="00F02735"/>
    <w:rsid w:val="00F02933"/>
    <w:rsid w:val="00F02A96"/>
    <w:rsid w:val="00F02AA8"/>
    <w:rsid w:val="00F02ADF"/>
    <w:rsid w:val="00F02B36"/>
    <w:rsid w:val="00F02BB6"/>
    <w:rsid w:val="00F02CF1"/>
    <w:rsid w:val="00F02D21"/>
    <w:rsid w:val="00F02D5B"/>
    <w:rsid w:val="00F02DAA"/>
    <w:rsid w:val="00F02DD4"/>
    <w:rsid w:val="00F02F79"/>
    <w:rsid w:val="00F02F89"/>
    <w:rsid w:val="00F03117"/>
    <w:rsid w:val="00F032CE"/>
    <w:rsid w:val="00F0346E"/>
    <w:rsid w:val="00F0395C"/>
    <w:rsid w:val="00F03988"/>
    <w:rsid w:val="00F0399B"/>
    <w:rsid w:val="00F03A8D"/>
    <w:rsid w:val="00F03AF6"/>
    <w:rsid w:val="00F03B75"/>
    <w:rsid w:val="00F03B97"/>
    <w:rsid w:val="00F03C06"/>
    <w:rsid w:val="00F03C6A"/>
    <w:rsid w:val="00F03C76"/>
    <w:rsid w:val="00F04011"/>
    <w:rsid w:val="00F04479"/>
    <w:rsid w:val="00F045D5"/>
    <w:rsid w:val="00F0470F"/>
    <w:rsid w:val="00F0473C"/>
    <w:rsid w:val="00F04747"/>
    <w:rsid w:val="00F04798"/>
    <w:rsid w:val="00F047A1"/>
    <w:rsid w:val="00F047D6"/>
    <w:rsid w:val="00F04864"/>
    <w:rsid w:val="00F04B49"/>
    <w:rsid w:val="00F04B6E"/>
    <w:rsid w:val="00F04BD9"/>
    <w:rsid w:val="00F04BE8"/>
    <w:rsid w:val="00F04C97"/>
    <w:rsid w:val="00F04E59"/>
    <w:rsid w:val="00F04F54"/>
    <w:rsid w:val="00F05096"/>
    <w:rsid w:val="00F050B9"/>
    <w:rsid w:val="00F050BE"/>
    <w:rsid w:val="00F0521B"/>
    <w:rsid w:val="00F05302"/>
    <w:rsid w:val="00F053E0"/>
    <w:rsid w:val="00F05871"/>
    <w:rsid w:val="00F05921"/>
    <w:rsid w:val="00F05AB6"/>
    <w:rsid w:val="00F05AB7"/>
    <w:rsid w:val="00F05B07"/>
    <w:rsid w:val="00F05BB6"/>
    <w:rsid w:val="00F05C11"/>
    <w:rsid w:val="00F05D6A"/>
    <w:rsid w:val="00F0642E"/>
    <w:rsid w:val="00F06455"/>
    <w:rsid w:val="00F06519"/>
    <w:rsid w:val="00F06661"/>
    <w:rsid w:val="00F067A8"/>
    <w:rsid w:val="00F06874"/>
    <w:rsid w:val="00F06931"/>
    <w:rsid w:val="00F069EE"/>
    <w:rsid w:val="00F06A47"/>
    <w:rsid w:val="00F06ADA"/>
    <w:rsid w:val="00F06BE0"/>
    <w:rsid w:val="00F06EF6"/>
    <w:rsid w:val="00F07020"/>
    <w:rsid w:val="00F072B1"/>
    <w:rsid w:val="00F073DF"/>
    <w:rsid w:val="00F0741B"/>
    <w:rsid w:val="00F07459"/>
    <w:rsid w:val="00F07478"/>
    <w:rsid w:val="00F07530"/>
    <w:rsid w:val="00F07582"/>
    <w:rsid w:val="00F07677"/>
    <w:rsid w:val="00F0781F"/>
    <w:rsid w:val="00F07849"/>
    <w:rsid w:val="00F07A7F"/>
    <w:rsid w:val="00F07B77"/>
    <w:rsid w:val="00F07CD7"/>
    <w:rsid w:val="00F07CDC"/>
    <w:rsid w:val="00F07E4C"/>
    <w:rsid w:val="00F07E6D"/>
    <w:rsid w:val="00F07FEB"/>
    <w:rsid w:val="00F1006E"/>
    <w:rsid w:val="00F1023B"/>
    <w:rsid w:val="00F1065A"/>
    <w:rsid w:val="00F10726"/>
    <w:rsid w:val="00F1074B"/>
    <w:rsid w:val="00F10921"/>
    <w:rsid w:val="00F109F4"/>
    <w:rsid w:val="00F10A34"/>
    <w:rsid w:val="00F10A82"/>
    <w:rsid w:val="00F10AFF"/>
    <w:rsid w:val="00F10D28"/>
    <w:rsid w:val="00F10E84"/>
    <w:rsid w:val="00F10FC7"/>
    <w:rsid w:val="00F11365"/>
    <w:rsid w:val="00F114AE"/>
    <w:rsid w:val="00F114BF"/>
    <w:rsid w:val="00F114D9"/>
    <w:rsid w:val="00F115CD"/>
    <w:rsid w:val="00F11689"/>
    <w:rsid w:val="00F11AD7"/>
    <w:rsid w:val="00F11BD3"/>
    <w:rsid w:val="00F11DBB"/>
    <w:rsid w:val="00F11FD6"/>
    <w:rsid w:val="00F120B2"/>
    <w:rsid w:val="00F12106"/>
    <w:rsid w:val="00F12285"/>
    <w:rsid w:val="00F122A1"/>
    <w:rsid w:val="00F12444"/>
    <w:rsid w:val="00F1259B"/>
    <w:rsid w:val="00F125DA"/>
    <w:rsid w:val="00F1271D"/>
    <w:rsid w:val="00F128B8"/>
    <w:rsid w:val="00F12A30"/>
    <w:rsid w:val="00F12CA6"/>
    <w:rsid w:val="00F13090"/>
    <w:rsid w:val="00F130AC"/>
    <w:rsid w:val="00F13188"/>
    <w:rsid w:val="00F131CD"/>
    <w:rsid w:val="00F13258"/>
    <w:rsid w:val="00F132AB"/>
    <w:rsid w:val="00F132BB"/>
    <w:rsid w:val="00F13360"/>
    <w:rsid w:val="00F133E7"/>
    <w:rsid w:val="00F134B0"/>
    <w:rsid w:val="00F134EB"/>
    <w:rsid w:val="00F13559"/>
    <w:rsid w:val="00F138F7"/>
    <w:rsid w:val="00F1396B"/>
    <w:rsid w:val="00F13A25"/>
    <w:rsid w:val="00F13B64"/>
    <w:rsid w:val="00F13C2C"/>
    <w:rsid w:val="00F13DFE"/>
    <w:rsid w:val="00F13F76"/>
    <w:rsid w:val="00F13FA5"/>
    <w:rsid w:val="00F1402A"/>
    <w:rsid w:val="00F14034"/>
    <w:rsid w:val="00F14320"/>
    <w:rsid w:val="00F143C5"/>
    <w:rsid w:val="00F14541"/>
    <w:rsid w:val="00F146B0"/>
    <w:rsid w:val="00F149A1"/>
    <w:rsid w:val="00F149C7"/>
    <w:rsid w:val="00F14AA5"/>
    <w:rsid w:val="00F14AB7"/>
    <w:rsid w:val="00F14BB3"/>
    <w:rsid w:val="00F14EA5"/>
    <w:rsid w:val="00F14FAF"/>
    <w:rsid w:val="00F15021"/>
    <w:rsid w:val="00F15022"/>
    <w:rsid w:val="00F1524E"/>
    <w:rsid w:val="00F15328"/>
    <w:rsid w:val="00F155A2"/>
    <w:rsid w:val="00F155A7"/>
    <w:rsid w:val="00F156D0"/>
    <w:rsid w:val="00F15796"/>
    <w:rsid w:val="00F158A7"/>
    <w:rsid w:val="00F159F1"/>
    <w:rsid w:val="00F15E3F"/>
    <w:rsid w:val="00F16085"/>
    <w:rsid w:val="00F16086"/>
    <w:rsid w:val="00F160CD"/>
    <w:rsid w:val="00F162FD"/>
    <w:rsid w:val="00F16359"/>
    <w:rsid w:val="00F16503"/>
    <w:rsid w:val="00F16562"/>
    <w:rsid w:val="00F16623"/>
    <w:rsid w:val="00F1663E"/>
    <w:rsid w:val="00F16667"/>
    <w:rsid w:val="00F166B8"/>
    <w:rsid w:val="00F16774"/>
    <w:rsid w:val="00F167CE"/>
    <w:rsid w:val="00F1684A"/>
    <w:rsid w:val="00F16856"/>
    <w:rsid w:val="00F16BFF"/>
    <w:rsid w:val="00F16D20"/>
    <w:rsid w:val="00F16D6E"/>
    <w:rsid w:val="00F16F60"/>
    <w:rsid w:val="00F16F76"/>
    <w:rsid w:val="00F16FBB"/>
    <w:rsid w:val="00F17063"/>
    <w:rsid w:val="00F1709C"/>
    <w:rsid w:val="00F171DA"/>
    <w:rsid w:val="00F17229"/>
    <w:rsid w:val="00F1736B"/>
    <w:rsid w:val="00F17399"/>
    <w:rsid w:val="00F173A6"/>
    <w:rsid w:val="00F17785"/>
    <w:rsid w:val="00F179B5"/>
    <w:rsid w:val="00F179CF"/>
    <w:rsid w:val="00F17AA3"/>
    <w:rsid w:val="00F17B4B"/>
    <w:rsid w:val="00F17CBE"/>
    <w:rsid w:val="00F17D07"/>
    <w:rsid w:val="00F17DCC"/>
    <w:rsid w:val="00F200A2"/>
    <w:rsid w:val="00F2036A"/>
    <w:rsid w:val="00F203A7"/>
    <w:rsid w:val="00F20578"/>
    <w:rsid w:val="00F20656"/>
    <w:rsid w:val="00F208C5"/>
    <w:rsid w:val="00F20A08"/>
    <w:rsid w:val="00F20ADB"/>
    <w:rsid w:val="00F20BD8"/>
    <w:rsid w:val="00F20EA9"/>
    <w:rsid w:val="00F20FB1"/>
    <w:rsid w:val="00F20FD9"/>
    <w:rsid w:val="00F210A7"/>
    <w:rsid w:val="00F210FD"/>
    <w:rsid w:val="00F21220"/>
    <w:rsid w:val="00F2145E"/>
    <w:rsid w:val="00F214AB"/>
    <w:rsid w:val="00F214CF"/>
    <w:rsid w:val="00F217C8"/>
    <w:rsid w:val="00F217DA"/>
    <w:rsid w:val="00F218B8"/>
    <w:rsid w:val="00F21968"/>
    <w:rsid w:val="00F21A0B"/>
    <w:rsid w:val="00F21A59"/>
    <w:rsid w:val="00F21D23"/>
    <w:rsid w:val="00F21D2D"/>
    <w:rsid w:val="00F21D37"/>
    <w:rsid w:val="00F21D3B"/>
    <w:rsid w:val="00F21DCF"/>
    <w:rsid w:val="00F21E36"/>
    <w:rsid w:val="00F2215A"/>
    <w:rsid w:val="00F222B5"/>
    <w:rsid w:val="00F22453"/>
    <w:rsid w:val="00F2263A"/>
    <w:rsid w:val="00F227E5"/>
    <w:rsid w:val="00F22922"/>
    <w:rsid w:val="00F22C41"/>
    <w:rsid w:val="00F22E27"/>
    <w:rsid w:val="00F22EAA"/>
    <w:rsid w:val="00F2301F"/>
    <w:rsid w:val="00F23764"/>
    <w:rsid w:val="00F23A5B"/>
    <w:rsid w:val="00F23AAB"/>
    <w:rsid w:val="00F23B2A"/>
    <w:rsid w:val="00F23B85"/>
    <w:rsid w:val="00F23BEF"/>
    <w:rsid w:val="00F23C0E"/>
    <w:rsid w:val="00F23C2F"/>
    <w:rsid w:val="00F2417E"/>
    <w:rsid w:val="00F2433F"/>
    <w:rsid w:val="00F243F6"/>
    <w:rsid w:val="00F24712"/>
    <w:rsid w:val="00F248D6"/>
    <w:rsid w:val="00F24908"/>
    <w:rsid w:val="00F24925"/>
    <w:rsid w:val="00F24946"/>
    <w:rsid w:val="00F24A43"/>
    <w:rsid w:val="00F24AD9"/>
    <w:rsid w:val="00F24B80"/>
    <w:rsid w:val="00F24B96"/>
    <w:rsid w:val="00F24BB6"/>
    <w:rsid w:val="00F24CCB"/>
    <w:rsid w:val="00F24FD7"/>
    <w:rsid w:val="00F24FF2"/>
    <w:rsid w:val="00F251AC"/>
    <w:rsid w:val="00F251AE"/>
    <w:rsid w:val="00F252EB"/>
    <w:rsid w:val="00F25478"/>
    <w:rsid w:val="00F254AC"/>
    <w:rsid w:val="00F254FE"/>
    <w:rsid w:val="00F2551C"/>
    <w:rsid w:val="00F25577"/>
    <w:rsid w:val="00F25775"/>
    <w:rsid w:val="00F257AC"/>
    <w:rsid w:val="00F259BF"/>
    <w:rsid w:val="00F25A6E"/>
    <w:rsid w:val="00F25CA2"/>
    <w:rsid w:val="00F25D61"/>
    <w:rsid w:val="00F25EC9"/>
    <w:rsid w:val="00F2601C"/>
    <w:rsid w:val="00F2606A"/>
    <w:rsid w:val="00F260E5"/>
    <w:rsid w:val="00F2613F"/>
    <w:rsid w:val="00F263F0"/>
    <w:rsid w:val="00F2652E"/>
    <w:rsid w:val="00F26545"/>
    <w:rsid w:val="00F265C5"/>
    <w:rsid w:val="00F26664"/>
    <w:rsid w:val="00F266A0"/>
    <w:rsid w:val="00F26707"/>
    <w:rsid w:val="00F267DF"/>
    <w:rsid w:val="00F2686D"/>
    <w:rsid w:val="00F26AA8"/>
    <w:rsid w:val="00F26AB3"/>
    <w:rsid w:val="00F26E44"/>
    <w:rsid w:val="00F26E96"/>
    <w:rsid w:val="00F26F57"/>
    <w:rsid w:val="00F270F7"/>
    <w:rsid w:val="00F271AB"/>
    <w:rsid w:val="00F27249"/>
    <w:rsid w:val="00F27422"/>
    <w:rsid w:val="00F2744E"/>
    <w:rsid w:val="00F27646"/>
    <w:rsid w:val="00F2794F"/>
    <w:rsid w:val="00F27C23"/>
    <w:rsid w:val="00F27D53"/>
    <w:rsid w:val="00F27DF2"/>
    <w:rsid w:val="00F27EE6"/>
    <w:rsid w:val="00F27F0C"/>
    <w:rsid w:val="00F27F19"/>
    <w:rsid w:val="00F30379"/>
    <w:rsid w:val="00F30432"/>
    <w:rsid w:val="00F304EA"/>
    <w:rsid w:val="00F30637"/>
    <w:rsid w:val="00F30738"/>
    <w:rsid w:val="00F309D9"/>
    <w:rsid w:val="00F30C4B"/>
    <w:rsid w:val="00F30E67"/>
    <w:rsid w:val="00F30F16"/>
    <w:rsid w:val="00F30FEE"/>
    <w:rsid w:val="00F31187"/>
    <w:rsid w:val="00F311FA"/>
    <w:rsid w:val="00F31256"/>
    <w:rsid w:val="00F3161D"/>
    <w:rsid w:val="00F31779"/>
    <w:rsid w:val="00F31876"/>
    <w:rsid w:val="00F31924"/>
    <w:rsid w:val="00F31990"/>
    <w:rsid w:val="00F31D83"/>
    <w:rsid w:val="00F31E18"/>
    <w:rsid w:val="00F31EEF"/>
    <w:rsid w:val="00F31FC9"/>
    <w:rsid w:val="00F32015"/>
    <w:rsid w:val="00F3224A"/>
    <w:rsid w:val="00F3232D"/>
    <w:rsid w:val="00F3238A"/>
    <w:rsid w:val="00F3241C"/>
    <w:rsid w:val="00F32519"/>
    <w:rsid w:val="00F3253D"/>
    <w:rsid w:val="00F3272A"/>
    <w:rsid w:val="00F3283A"/>
    <w:rsid w:val="00F329D6"/>
    <w:rsid w:val="00F32C2D"/>
    <w:rsid w:val="00F32CAB"/>
    <w:rsid w:val="00F32DAF"/>
    <w:rsid w:val="00F32DD9"/>
    <w:rsid w:val="00F32E27"/>
    <w:rsid w:val="00F32F57"/>
    <w:rsid w:val="00F33004"/>
    <w:rsid w:val="00F33092"/>
    <w:rsid w:val="00F334BD"/>
    <w:rsid w:val="00F33797"/>
    <w:rsid w:val="00F337D3"/>
    <w:rsid w:val="00F338E8"/>
    <w:rsid w:val="00F338F3"/>
    <w:rsid w:val="00F33994"/>
    <w:rsid w:val="00F33C26"/>
    <w:rsid w:val="00F33D60"/>
    <w:rsid w:val="00F33D7C"/>
    <w:rsid w:val="00F33E3A"/>
    <w:rsid w:val="00F34046"/>
    <w:rsid w:val="00F340C0"/>
    <w:rsid w:val="00F340C5"/>
    <w:rsid w:val="00F340DF"/>
    <w:rsid w:val="00F3418C"/>
    <w:rsid w:val="00F342E7"/>
    <w:rsid w:val="00F343E4"/>
    <w:rsid w:val="00F34431"/>
    <w:rsid w:val="00F3446C"/>
    <w:rsid w:val="00F34486"/>
    <w:rsid w:val="00F3449D"/>
    <w:rsid w:val="00F344AD"/>
    <w:rsid w:val="00F345BD"/>
    <w:rsid w:val="00F345C0"/>
    <w:rsid w:val="00F345F2"/>
    <w:rsid w:val="00F34733"/>
    <w:rsid w:val="00F3474F"/>
    <w:rsid w:val="00F347AE"/>
    <w:rsid w:val="00F34C3F"/>
    <w:rsid w:val="00F34CC2"/>
    <w:rsid w:val="00F34E20"/>
    <w:rsid w:val="00F34E48"/>
    <w:rsid w:val="00F34E7F"/>
    <w:rsid w:val="00F3509F"/>
    <w:rsid w:val="00F3511F"/>
    <w:rsid w:val="00F351F2"/>
    <w:rsid w:val="00F35355"/>
    <w:rsid w:val="00F3536B"/>
    <w:rsid w:val="00F35428"/>
    <w:rsid w:val="00F3574A"/>
    <w:rsid w:val="00F35969"/>
    <w:rsid w:val="00F359C4"/>
    <w:rsid w:val="00F35A5E"/>
    <w:rsid w:val="00F35AFB"/>
    <w:rsid w:val="00F35B34"/>
    <w:rsid w:val="00F35BA0"/>
    <w:rsid w:val="00F35C28"/>
    <w:rsid w:val="00F362DE"/>
    <w:rsid w:val="00F36378"/>
    <w:rsid w:val="00F365FF"/>
    <w:rsid w:val="00F3665C"/>
    <w:rsid w:val="00F36A20"/>
    <w:rsid w:val="00F36A8E"/>
    <w:rsid w:val="00F36CC9"/>
    <w:rsid w:val="00F36D3C"/>
    <w:rsid w:val="00F36DBF"/>
    <w:rsid w:val="00F37161"/>
    <w:rsid w:val="00F372DF"/>
    <w:rsid w:val="00F37400"/>
    <w:rsid w:val="00F37415"/>
    <w:rsid w:val="00F3743A"/>
    <w:rsid w:val="00F37BC2"/>
    <w:rsid w:val="00F37BD5"/>
    <w:rsid w:val="00F37E1F"/>
    <w:rsid w:val="00F400FD"/>
    <w:rsid w:val="00F404C5"/>
    <w:rsid w:val="00F40545"/>
    <w:rsid w:val="00F40550"/>
    <w:rsid w:val="00F405D4"/>
    <w:rsid w:val="00F406C0"/>
    <w:rsid w:val="00F4071E"/>
    <w:rsid w:val="00F408AE"/>
    <w:rsid w:val="00F409B5"/>
    <w:rsid w:val="00F40A50"/>
    <w:rsid w:val="00F40BF4"/>
    <w:rsid w:val="00F40D10"/>
    <w:rsid w:val="00F40DC9"/>
    <w:rsid w:val="00F40F35"/>
    <w:rsid w:val="00F4101D"/>
    <w:rsid w:val="00F410BE"/>
    <w:rsid w:val="00F410C6"/>
    <w:rsid w:val="00F411E5"/>
    <w:rsid w:val="00F412E7"/>
    <w:rsid w:val="00F41479"/>
    <w:rsid w:val="00F416E9"/>
    <w:rsid w:val="00F416F8"/>
    <w:rsid w:val="00F4184F"/>
    <w:rsid w:val="00F4196B"/>
    <w:rsid w:val="00F419C2"/>
    <w:rsid w:val="00F41CA2"/>
    <w:rsid w:val="00F41D24"/>
    <w:rsid w:val="00F41F3C"/>
    <w:rsid w:val="00F42027"/>
    <w:rsid w:val="00F4212F"/>
    <w:rsid w:val="00F42144"/>
    <w:rsid w:val="00F4216F"/>
    <w:rsid w:val="00F421C8"/>
    <w:rsid w:val="00F42305"/>
    <w:rsid w:val="00F425A6"/>
    <w:rsid w:val="00F4265F"/>
    <w:rsid w:val="00F426FF"/>
    <w:rsid w:val="00F42748"/>
    <w:rsid w:val="00F42783"/>
    <w:rsid w:val="00F429EA"/>
    <w:rsid w:val="00F42A33"/>
    <w:rsid w:val="00F42AF7"/>
    <w:rsid w:val="00F42CF2"/>
    <w:rsid w:val="00F42D15"/>
    <w:rsid w:val="00F42FC5"/>
    <w:rsid w:val="00F42FDA"/>
    <w:rsid w:val="00F43148"/>
    <w:rsid w:val="00F43306"/>
    <w:rsid w:val="00F434B2"/>
    <w:rsid w:val="00F434FB"/>
    <w:rsid w:val="00F4355B"/>
    <w:rsid w:val="00F43565"/>
    <w:rsid w:val="00F4356E"/>
    <w:rsid w:val="00F4380F"/>
    <w:rsid w:val="00F43881"/>
    <w:rsid w:val="00F43938"/>
    <w:rsid w:val="00F43BD8"/>
    <w:rsid w:val="00F43BF9"/>
    <w:rsid w:val="00F43C6C"/>
    <w:rsid w:val="00F43E5B"/>
    <w:rsid w:val="00F44012"/>
    <w:rsid w:val="00F4410C"/>
    <w:rsid w:val="00F4429E"/>
    <w:rsid w:val="00F442F6"/>
    <w:rsid w:val="00F44346"/>
    <w:rsid w:val="00F443CC"/>
    <w:rsid w:val="00F44417"/>
    <w:rsid w:val="00F4449B"/>
    <w:rsid w:val="00F444B6"/>
    <w:rsid w:val="00F4456E"/>
    <w:rsid w:val="00F44592"/>
    <w:rsid w:val="00F44664"/>
    <w:rsid w:val="00F4466B"/>
    <w:rsid w:val="00F4468C"/>
    <w:rsid w:val="00F4476C"/>
    <w:rsid w:val="00F448BE"/>
    <w:rsid w:val="00F44987"/>
    <w:rsid w:val="00F44AFD"/>
    <w:rsid w:val="00F44DB9"/>
    <w:rsid w:val="00F44E47"/>
    <w:rsid w:val="00F44E82"/>
    <w:rsid w:val="00F44F44"/>
    <w:rsid w:val="00F44F9D"/>
    <w:rsid w:val="00F45033"/>
    <w:rsid w:val="00F45196"/>
    <w:rsid w:val="00F45423"/>
    <w:rsid w:val="00F454CF"/>
    <w:rsid w:val="00F45602"/>
    <w:rsid w:val="00F4587A"/>
    <w:rsid w:val="00F458B3"/>
    <w:rsid w:val="00F458EF"/>
    <w:rsid w:val="00F4593A"/>
    <w:rsid w:val="00F45967"/>
    <w:rsid w:val="00F45A03"/>
    <w:rsid w:val="00F45B2E"/>
    <w:rsid w:val="00F45BE7"/>
    <w:rsid w:val="00F45C97"/>
    <w:rsid w:val="00F45E5C"/>
    <w:rsid w:val="00F45E86"/>
    <w:rsid w:val="00F45F81"/>
    <w:rsid w:val="00F46020"/>
    <w:rsid w:val="00F4612A"/>
    <w:rsid w:val="00F4633E"/>
    <w:rsid w:val="00F463D2"/>
    <w:rsid w:val="00F466D8"/>
    <w:rsid w:val="00F469BC"/>
    <w:rsid w:val="00F46BF3"/>
    <w:rsid w:val="00F47423"/>
    <w:rsid w:val="00F4749B"/>
    <w:rsid w:val="00F47972"/>
    <w:rsid w:val="00F47979"/>
    <w:rsid w:val="00F47A8A"/>
    <w:rsid w:val="00F47B87"/>
    <w:rsid w:val="00F47C24"/>
    <w:rsid w:val="00F47C88"/>
    <w:rsid w:val="00F47EAC"/>
    <w:rsid w:val="00F47F40"/>
    <w:rsid w:val="00F47F88"/>
    <w:rsid w:val="00F501F9"/>
    <w:rsid w:val="00F5021A"/>
    <w:rsid w:val="00F50431"/>
    <w:rsid w:val="00F50442"/>
    <w:rsid w:val="00F504A1"/>
    <w:rsid w:val="00F50562"/>
    <w:rsid w:val="00F5075D"/>
    <w:rsid w:val="00F50782"/>
    <w:rsid w:val="00F508EE"/>
    <w:rsid w:val="00F50957"/>
    <w:rsid w:val="00F50968"/>
    <w:rsid w:val="00F50A07"/>
    <w:rsid w:val="00F50C60"/>
    <w:rsid w:val="00F50D44"/>
    <w:rsid w:val="00F50D4B"/>
    <w:rsid w:val="00F50D96"/>
    <w:rsid w:val="00F50EC3"/>
    <w:rsid w:val="00F51039"/>
    <w:rsid w:val="00F510FE"/>
    <w:rsid w:val="00F511BC"/>
    <w:rsid w:val="00F51465"/>
    <w:rsid w:val="00F5150B"/>
    <w:rsid w:val="00F515C2"/>
    <w:rsid w:val="00F516E2"/>
    <w:rsid w:val="00F5183B"/>
    <w:rsid w:val="00F51C91"/>
    <w:rsid w:val="00F51D3A"/>
    <w:rsid w:val="00F51DA2"/>
    <w:rsid w:val="00F51E1C"/>
    <w:rsid w:val="00F51F93"/>
    <w:rsid w:val="00F521C4"/>
    <w:rsid w:val="00F5220E"/>
    <w:rsid w:val="00F5247A"/>
    <w:rsid w:val="00F5250C"/>
    <w:rsid w:val="00F52547"/>
    <w:rsid w:val="00F52602"/>
    <w:rsid w:val="00F52620"/>
    <w:rsid w:val="00F52685"/>
    <w:rsid w:val="00F52699"/>
    <w:rsid w:val="00F526C7"/>
    <w:rsid w:val="00F526EA"/>
    <w:rsid w:val="00F52758"/>
    <w:rsid w:val="00F52A81"/>
    <w:rsid w:val="00F52E45"/>
    <w:rsid w:val="00F52E5F"/>
    <w:rsid w:val="00F52EB1"/>
    <w:rsid w:val="00F53036"/>
    <w:rsid w:val="00F532F9"/>
    <w:rsid w:val="00F5335E"/>
    <w:rsid w:val="00F5340B"/>
    <w:rsid w:val="00F53438"/>
    <w:rsid w:val="00F5351C"/>
    <w:rsid w:val="00F53540"/>
    <w:rsid w:val="00F5356F"/>
    <w:rsid w:val="00F537F6"/>
    <w:rsid w:val="00F53B10"/>
    <w:rsid w:val="00F53B49"/>
    <w:rsid w:val="00F53B55"/>
    <w:rsid w:val="00F53D62"/>
    <w:rsid w:val="00F53E0C"/>
    <w:rsid w:val="00F5413A"/>
    <w:rsid w:val="00F5420D"/>
    <w:rsid w:val="00F5431A"/>
    <w:rsid w:val="00F54368"/>
    <w:rsid w:val="00F54540"/>
    <w:rsid w:val="00F545B6"/>
    <w:rsid w:val="00F54711"/>
    <w:rsid w:val="00F54762"/>
    <w:rsid w:val="00F54E7D"/>
    <w:rsid w:val="00F55060"/>
    <w:rsid w:val="00F5506E"/>
    <w:rsid w:val="00F550C5"/>
    <w:rsid w:val="00F553BE"/>
    <w:rsid w:val="00F555DC"/>
    <w:rsid w:val="00F5563E"/>
    <w:rsid w:val="00F55701"/>
    <w:rsid w:val="00F558B5"/>
    <w:rsid w:val="00F55932"/>
    <w:rsid w:val="00F55A03"/>
    <w:rsid w:val="00F55AFB"/>
    <w:rsid w:val="00F55C2A"/>
    <w:rsid w:val="00F55D2F"/>
    <w:rsid w:val="00F55EDE"/>
    <w:rsid w:val="00F560FA"/>
    <w:rsid w:val="00F56174"/>
    <w:rsid w:val="00F56223"/>
    <w:rsid w:val="00F5632D"/>
    <w:rsid w:val="00F56454"/>
    <w:rsid w:val="00F565A9"/>
    <w:rsid w:val="00F565D0"/>
    <w:rsid w:val="00F56841"/>
    <w:rsid w:val="00F568E1"/>
    <w:rsid w:val="00F5695D"/>
    <w:rsid w:val="00F56C71"/>
    <w:rsid w:val="00F56CDF"/>
    <w:rsid w:val="00F56D92"/>
    <w:rsid w:val="00F56F8C"/>
    <w:rsid w:val="00F56FE9"/>
    <w:rsid w:val="00F570D1"/>
    <w:rsid w:val="00F57101"/>
    <w:rsid w:val="00F57142"/>
    <w:rsid w:val="00F5722F"/>
    <w:rsid w:val="00F572B9"/>
    <w:rsid w:val="00F573CC"/>
    <w:rsid w:val="00F57402"/>
    <w:rsid w:val="00F57456"/>
    <w:rsid w:val="00F57617"/>
    <w:rsid w:val="00F57712"/>
    <w:rsid w:val="00F57794"/>
    <w:rsid w:val="00F579E1"/>
    <w:rsid w:val="00F57AF7"/>
    <w:rsid w:val="00F57B7C"/>
    <w:rsid w:val="00F57F36"/>
    <w:rsid w:val="00F60190"/>
    <w:rsid w:val="00F60229"/>
    <w:rsid w:val="00F606B9"/>
    <w:rsid w:val="00F606F2"/>
    <w:rsid w:val="00F60766"/>
    <w:rsid w:val="00F6084D"/>
    <w:rsid w:val="00F60B03"/>
    <w:rsid w:val="00F60B9D"/>
    <w:rsid w:val="00F60DEB"/>
    <w:rsid w:val="00F60E63"/>
    <w:rsid w:val="00F60E9E"/>
    <w:rsid w:val="00F60EA1"/>
    <w:rsid w:val="00F61100"/>
    <w:rsid w:val="00F61163"/>
    <w:rsid w:val="00F611E8"/>
    <w:rsid w:val="00F611F0"/>
    <w:rsid w:val="00F616A6"/>
    <w:rsid w:val="00F6176D"/>
    <w:rsid w:val="00F618BA"/>
    <w:rsid w:val="00F61A1C"/>
    <w:rsid w:val="00F61A73"/>
    <w:rsid w:val="00F61B78"/>
    <w:rsid w:val="00F61CBE"/>
    <w:rsid w:val="00F61CCA"/>
    <w:rsid w:val="00F61E76"/>
    <w:rsid w:val="00F61EA3"/>
    <w:rsid w:val="00F62048"/>
    <w:rsid w:val="00F6208C"/>
    <w:rsid w:val="00F621B9"/>
    <w:rsid w:val="00F621F3"/>
    <w:rsid w:val="00F62757"/>
    <w:rsid w:val="00F62759"/>
    <w:rsid w:val="00F628B5"/>
    <w:rsid w:val="00F628BD"/>
    <w:rsid w:val="00F6298F"/>
    <w:rsid w:val="00F62DC0"/>
    <w:rsid w:val="00F62F6D"/>
    <w:rsid w:val="00F630F5"/>
    <w:rsid w:val="00F63260"/>
    <w:rsid w:val="00F633A7"/>
    <w:rsid w:val="00F6365C"/>
    <w:rsid w:val="00F6369F"/>
    <w:rsid w:val="00F6387B"/>
    <w:rsid w:val="00F63917"/>
    <w:rsid w:val="00F639A3"/>
    <w:rsid w:val="00F63B0B"/>
    <w:rsid w:val="00F63E1C"/>
    <w:rsid w:val="00F63E57"/>
    <w:rsid w:val="00F6401F"/>
    <w:rsid w:val="00F6405B"/>
    <w:rsid w:val="00F641B4"/>
    <w:rsid w:val="00F643E0"/>
    <w:rsid w:val="00F64434"/>
    <w:rsid w:val="00F64450"/>
    <w:rsid w:val="00F64746"/>
    <w:rsid w:val="00F6485D"/>
    <w:rsid w:val="00F649EC"/>
    <w:rsid w:val="00F64B38"/>
    <w:rsid w:val="00F64BEA"/>
    <w:rsid w:val="00F64C70"/>
    <w:rsid w:val="00F6503D"/>
    <w:rsid w:val="00F650C6"/>
    <w:rsid w:val="00F652DE"/>
    <w:rsid w:val="00F653D1"/>
    <w:rsid w:val="00F6541D"/>
    <w:rsid w:val="00F65547"/>
    <w:rsid w:val="00F6560E"/>
    <w:rsid w:val="00F65903"/>
    <w:rsid w:val="00F659C9"/>
    <w:rsid w:val="00F659DF"/>
    <w:rsid w:val="00F65A7F"/>
    <w:rsid w:val="00F65BBC"/>
    <w:rsid w:val="00F65C31"/>
    <w:rsid w:val="00F65D44"/>
    <w:rsid w:val="00F65EF1"/>
    <w:rsid w:val="00F66236"/>
    <w:rsid w:val="00F663ED"/>
    <w:rsid w:val="00F6655C"/>
    <w:rsid w:val="00F66651"/>
    <w:rsid w:val="00F668B3"/>
    <w:rsid w:val="00F6693E"/>
    <w:rsid w:val="00F669AF"/>
    <w:rsid w:val="00F66AE0"/>
    <w:rsid w:val="00F66AF1"/>
    <w:rsid w:val="00F66BA9"/>
    <w:rsid w:val="00F66BB1"/>
    <w:rsid w:val="00F66C4E"/>
    <w:rsid w:val="00F66C5E"/>
    <w:rsid w:val="00F66D61"/>
    <w:rsid w:val="00F66E7A"/>
    <w:rsid w:val="00F66F1D"/>
    <w:rsid w:val="00F66F85"/>
    <w:rsid w:val="00F6702D"/>
    <w:rsid w:val="00F670F5"/>
    <w:rsid w:val="00F67166"/>
    <w:rsid w:val="00F672AC"/>
    <w:rsid w:val="00F674D6"/>
    <w:rsid w:val="00F674FA"/>
    <w:rsid w:val="00F67803"/>
    <w:rsid w:val="00F67AFC"/>
    <w:rsid w:val="00F67B97"/>
    <w:rsid w:val="00F67D2F"/>
    <w:rsid w:val="00F701FB"/>
    <w:rsid w:val="00F70448"/>
    <w:rsid w:val="00F70656"/>
    <w:rsid w:val="00F70711"/>
    <w:rsid w:val="00F70823"/>
    <w:rsid w:val="00F70A34"/>
    <w:rsid w:val="00F70ACE"/>
    <w:rsid w:val="00F70B58"/>
    <w:rsid w:val="00F70B8C"/>
    <w:rsid w:val="00F70C93"/>
    <w:rsid w:val="00F70F7D"/>
    <w:rsid w:val="00F7104C"/>
    <w:rsid w:val="00F7109B"/>
    <w:rsid w:val="00F71164"/>
    <w:rsid w:val="00F71419"/>
    <w:rsid w:val="00F7142E"/>
    <w:rsid w:val="00F714E3"/>
    <w:rsid w:val="00F7154F"/>
    <w:rsid w:val="00F7158F"/>
    <w:rsid w:val="00F71826"/>
    <w:rsid w:val="00F718D4"/>
    <w:rsid w:val="00F71931"/>
    <w:rsid w:val="00F71961"/>
    <w:rsid w:val="00F71AAB"/>
    <w:rsid w:val="00F71DBC"/>
    <w:rsid w:val="00F71E27"/>
    <w:rsid w:val="00F71E58"/>
    <w:rsid w:val="00F720E2"/>
    <w:rsid w:val="00F72467"/>
    <w:rsid w:val="00F724FF"/>
    <w:rsid w:val="00F7260D"/>
    <w:rsid w:val="00F72A16"/>
    <w:rsid w:val="00F72B6F"/>
    <w:rsid w:val="00F72C0C"/>
    <w:rsid w:val="00F72C4A"/>
    <w:rsid w:val="00F72F74"/>
    <w:rsid w:val="00F730B6"/>
    <w:rsid w:val="00F732C3"/>
    <w:rsid w:val="00F737A3"/>
    <w:rsid w:val="00F737F7"/>
    <w:rsid w:val="00F73868"/>
    <w:rsid w:val="00F738BC"/>
    <w:rsid w:val="00F73B91"/>
    <w:rsid w:val="00F73C1D"/>
    <w:rsid w:val="00F73CC8"/>
    <w:rsid w:val="00F73D44"/>
    <w:rsid w:val="00F73DDE"/>
    <w:rsid w:val="00F73EF7"/>
    <w:rsid w:val="00F74433"/>
    <w:rsid w:val="00F74931"/>
    <w:rsid w:val="00F74949"/>
    <w:rsid w:val="00F74BF7"/>
    <w:rsid w:val="00F74BFE"/>
    <w:rsid w:val="00F74D8D"/>
    <w:rsid w:val="00F75091"/>
    <w:rsid w:val="00F75202"/>
    <w:rsid w:val="00F75239"/>
    <w:rsid w:val="00F754EF"/>
    <w:rsid w:val="00F755D2"/>
    <w:rsid w:val="00F7570B"/>
    <w:rsid w:val="00F7572E"/>
    <w:rsid w:val="00F7594C"/>
    <w:rsid w:val="00F75B96"/>
    <w:rsid w:val="00F75E04"/>
    <w:rsid w:val="00F75E58"/>
    <w:rsid w:val="00F76029"/>
    <w:rsid w:val="00F76038"/>
    <w:rsid w:val="00F7620E"/>
    <w:rsid w:val="00F76288"/>
    <w:rsid w:val="00F7633F"/>
    <w:rsid w:val="00F76365"/>
    <w:rsid w:val="00F763E0"/>
    <w:rsid w:val="00F767B4"/>
    <w:rsid w:val="00F7685A"/>
    <w:rsid w:val="00F769A2"/>
    <w:rsid w:val="00F76A18"/>
    <w:rsid w:val="00F76C1B"/>
    <w:rsid w:val="00F76DA5"/>
    <w:rsid w:val="00F76DC8"/>
    <w:rsid w:val="00F76EC4"/>
    <w:rsid w:val="00F76F4B"/>
    <w:rsid w:val="00F76FD8"/>
    <w:rsid w:val="00F770F0"/>
    <w:rsid w:val="00F771C6"/>
    <w:rsid w:val="00F7741F"/>
    <w:rsid w:val="00F774A5"/>
    <w:rsid w:val="00F774B5"/>
    <w:rsid w:val="00F7777A"/>
    <w:rsid w:val="00F777B1"/>
    <w:rsid w:val="00F77902"/>
    <w:rsid w:val="00F77AA0"/>
    <w:rsid w:val="00F77C2B"/>
    <w:rsid w:val="00F77E8A"/>
    <w:rsid w:val="00F77EF7"/>
    <w:rsid w:val="00F77FEA"/>
    <w:rsid w:val="00F80250"/>
    <w:rsid w:val="00F80390"/>
    <w:rsid w:val="00F80509"/>
    <w:rsid w:val="00F805AC"/>
    <w:rsid w:val="00F80611"/>
    <w:rsid w:val="00F8068A"/>
    <w:rsid w:val="00F8080D"/>
    <w:rsid w:val="00F808B5"/>
    <w:rsid w:val="00F8098D"/>
    <w:rsid w:val="00F80A88"/>
    <w:rsid w:val="00F80B88"/>
    <w:rsid w:val="00F80BBA"/>
    <w:rsid w:val="00F80C36"/>
    <w:rsid w:val="00F80C4F"/>
    <w:rsid w:val="00F80CA3"/>
    <w:rsid w:val="00F80DCF"/>
    <w:rsid w:val="00F81037"/>
    <w:rsid w:val="00F81062"/>
    <w:rsid w:val="00F811AE"/>
    <w:rsid w:val="00F815FB"/>
    <w:rsid w:val="00F81A75"/>
    <w:rsid w:val="00F81B07"/>
    <w:rsid w:val="00F81CB0"/>
    <w:rsid w:val="00F81D73"/>
    <w:rsid w:val="00F81DED"/>
    <w:rsid w:val="00F81EAF"/>
    <w:rsid w:val="00F82610"/>
    <w:rsid w:val="00F827C4"/>
    <w:rsid w:val="00F82B2B"/>
    <w:rsid w:val="00F82C91"/>
    <w:rsid w:val="00F82D6E"/>
    <w:rsid w:val="00F82DCB"/>
    <w:rsid w:val="00F82E0A"/>
    <w:rsid w:val="00F82EB7"/>
    <w:rsid w:val="00F82EF8"/>
    <w:rsid w:val="00F82F52"/>
    <w:rsid w:val="00F82F64"/>
    <w:rsid w:val="00F830A4"/>
    <w:rsid w:val="00F83207"/>
    <w:rsid w:val="00F832B5"/>
    <w:rsid w:val="00F8372E"/>
    <w:rsid w:val="00F837B1"/>
    <w:rsid w:val="00F83876"/>
    <w:rsid w:val="00F8388A"/>
    <w:rsid w:val="00F83914"/>
    <w:rsid w:val="00F839EC"/>
    <w:rsid w:val="00F83B47"/>
    <w:rsid w:val="00F83B49"/>
    <w:rsid w:val="00F83FC5"/>
    <w:rsid w:val="00F840DE"/>
    <w:rsid w:val="00F840FC"/>
    <w:rsid w:val="00F841CC"/>
    <w:rsid w:val="00F846A4"/>
    <w:rsid w:val="00F846B0"/>
    <w:rsid w:val="00F846D2"/>
    <w:rsid w:val="00F8476D"/>
    <w:rsid w:val="00F847E7"/>
    <w:rsid w:val="00F848BA"/>
    <w:rsid w:val="00F84BEC"/>
    <w:rsid w:val="00F84CA1"/>
    <w:rsid w:val="00F84D07"/>
    <w:rsid w:val="00F84DEC"/>
    <w:rsid w:val="00F84F40"/>
    <w:rsid w:val="00F84F74"/>
    <w:rsid w:val="00F84FC1"/>
    <w:rsid w:val="00F85234"/>
    <w:rsid w:val="00F85472"/>
    <w:rsid w:val="00F854C7"/>
    <w:rsid w:val="00F855EF"/>
    <w:rsid w:val="00F855F6"/>
    <w:rsid w:val="00F85841"/>
    <w:rsid w:val="00F85866"/>
    <w:rsid w:val="00F8588B"/>
    <w:rsid w:val="00F8595C"/>
    <w:rsid w:val="00F859D8"/>
    <w:rsid w:val="00F85AEF"/>
    <w:rsid w:val="00F85C59"/>
    <w:rsid w:val="00F85CCF"/>
    <w:rsid w:val="00F8600E"/>
    <w:rsid w:val="00F8600F"/>
    <w:rsid w:val="00F86067"/>
    <w:rsid w:val="00F86340"/>
    <w:rsid w:val="00F864D4"/>
    <w:rsid w:val="00F86561"/>
    <w:rsid w:val="00F86994"/>
    <w:rsid w:val="00F86C7F"/>
    <w:rsid w:val="00F86DB9"/>
    <w:rsid w:val="00F86EE7"/>
    <w:rsid w:val="00F87085"/>
    <w:rsid w:val="00F872A2"/>
    <w:rsid w:val="00F874A9"/>
    <w:rsid w:val="00F876A0"/>
    <w:rsid w:val="00F87A66"/>
    <w:rsid w:val="00F87A97"/>
    <w:rsid w:val="00F87B74"/>
    <w:rsid w:val="00F87D3B"/>
    <w:rsid w:val="00F90130"/>
    <w:rsid w:val="00F90186"/>
    <w:rsid w:val="00F9020A"/>
    <w:rsid w:val="00F90220"/>
    <w:rsid w:val="00F903D7"/>
    <w:rsid w:val="00F90434"/>
    <w:rsid w:val="00F90577"/>
    <w:rsid w:val="00F90638"/>
    <w:rsid w:val="00F909A9"/>
    <w:rsid w:val="00F909CF"/>
    <w:rsid w:val="00F909E4"/>
    <w:rsid w:val="00F90A95"/>
    <w:rsid w:val="00F90AC4"/>
    <w:rsid w:val="00F90B2C"/>
    <w:rsid w:val="00F90D30"/>
    <w:rsid w:val="00F90E4F"/>
    <w:rsid w:val="00F90F07"/>
    <w:rsid w:val="00F90F43"/>
    <w:rsid w:val="00F910C6"/>
    <w:rsid w:val="00F910CB"/>
    <w:rsid w:val="00F91293"/>
    <w:rsid w:val="00F91356"/>
    <w:rsid w:val="00F9139B"/>
    <w:rsid w:val="00F9171D"/>
    <w:rsid w:val="00F91A94"/>
    <w:rsid w:val="00F91BDA"/>
    <w:rsid w:val="00F91CAA"/>
    <w:rsid w:val="00F91FA6"/>
    <w:rsid w:val="00F92040"/>
    <w:rsid w:val="00F921D9"/>
    <w:rsid w:val="00F92275"/>
    <w:rsid w:val="00F92283"/>
    <w:rsid w:val="00F926FF"/>
    <w:rsid w:val="00F927AA"/>
    <w:rsid w:val="00F92A58"/>
    <w:rsid w:val="00F92A9F"/>
    <w:rsid w:val="00F92B97"/>
    <w:rsid w:val="00F92CCA"/>
    <w:rsid w:val="00F9347F"/>
    <w:rsid w:val="00F934DF"/>
    <w:rsid w:val="00F9378B"/>
    <w:rsid w:val="00F93A38"/>
    <w:rsid w:val="00F93A9E"/>
    <w:rsid w:val="00F93B39"/>
    <w:rsid w:val="00F93BB3"/>
    <w:rsid w:val="00F93E12"/>
    <w:rsid w:val="00F93E58"/>
    <w:rsid w:val="00F93E68"/>
    <w:rsid w:val="00F93E8F"/>
    <w:rsid w:val="00F93E9D"/>
    <w:rsid w:val="00F93FC1"/>
    <w:rsid w:val="00F940D8"/>
    <w:rsid w:val="00F9411C"/>
    <w:rsid w:val="00F943A6"/>
    <w:rsid w:val="00F9452A"/>
    <w:rsid w:val="00F94604"/>
    <w:rsid w:val="00F9467A"/>
    <w:rsid w:val="00F948D0"/>
    <w:rsid w:val="00F949E8"/>
    <w:rsid w:val="00F94C35"/>
    <w:rsid w:val="00F94CAB"/>
    <w:rsid w:val="00F94CBC"/>
    <w:rsid w:val="00F94CE2"/>
    <w:rsid w:val="00F94D08"/>
    <w:rsid w:val="00F94D80"/>
    <w:rsid w:val="00F94D9E"/>
    <w:rsid w:val="00F95375"/>
    <w:rsid w:val="00F953F8"/>
    <w:rsid w:val="00F958F3"/>
    <w:rsid w:val="00F959A1"/>
    <w:rsid w:val="00F959A2"/>
    <w:rsid w:val="00F959DA"/>
    <w:rsid w:val="00F95ABB"/>
    <w:rsid w:val="00F95ED5"/>
    <w:rsid w:val="00F95F5B"/>
    <w:rsid w:val="00F95F9C"/>
    <w:rsid w:val="00F9611C"/>
    <w:rsid w:val="00F963BC"/>
    <w:rsid w:val="00F964A4"/>
    <w:rsid w:val="00F965EB"/>
    <w:rsid w:val="00F96728"/>
    <w:rsid w:val="00F968BC"/>
    <w:rsid w:val="00F96CC5"/>
    <w:rsid w:val="00F970C1"/>
    <w:rsid w:val="00F97360"/>
    <w:rsid w:val="00F97457"/>
    <w:rsid w:val="00F97519"/>
    <w:rsid w:val="00F97533"/>
    <w:rsid w:val="00F97591"/>
    <w:rsid w:val="00F976AF"/>
    <w:rsid w:val="00F97A80"/>
    <w:rsid w:val="00F97AF1"/>
    <w:rsid w:val="00F97B9A"/>
    <w:rsid w:val="00F97C4B"/>
    <w:rsid w:val="00F97D5B"/>
    <w:rsid w:val="00F97EB2"/>
    <w:rsid w:val="00F97FF6"/>
    <w:rsid w:val="00FA0306"/>
    <w:rsid w:val="00FA03A9"/>
    <w:rsid w:val="00FA0594"/>
    <w:rsid w:val="00FA0633"/>
    <w:rsid w:val="00FA0635"/>
    <w:rsid w:val="00FA0938"/>
    <w:rsid w:val="00FA0C5B"/>
    <w:rsid w:val="00FA0CB9"/>
    <w:rsid w:val="00FA0CFB"/>
    <w:rsid w:val="00FA1101"/>
    <w:rsid w:val="00FA1184"/>
    <w:rsid w:val="00FA1352"/>
    <w:rsid w:val="00FA137E"/>
    <w:rsid w:val="00FA14B4"/>
    <w:rsid w:val="00FA14C6"/>
    <w:rsid w:val="00FA15C7"/>
    <w:rsid w:val="00FA16B5"/>
    <w:rsid w:val="00FA16FD"/>
    <w:rsid w:val="00FA1915"/>
    <w:rsid w:val="00FA1963"/>
    <w:rsid w:val="00FA1A65"/>
    <w:rsid w:val="00FA1B68"/>
    <w:rsid w:val="00FA1BE4"/>
    <w:rsid w:val="00FA1C31"/>
    <w:rsid w:val="00FA1C63"/>
    <w:rsid w:val="00FA1F81"/>
    <w:rsid w:val="00FA1F9D"/>
    <w:rsid w:val="00FA1FAA"/>
    <w:rsid w:val="00FA1FE1"/>
    <w:rsid w:val="00FA2198"/>
    <w:rsid w:val="00FA21CC"/>
    <w:rsid w:val="00FA21ED"/>
    <w:rsid w:val="00FA2281"/>
    <w:rsid w:val="00FA22DC"/>
    <w:rsid w:val="00FA24E9"/>
    <w:rsid w:val="00FA2510"/>
    <w:rsid w:val="00FA263F"/>
    <w:rsid w:val="00FA2707"/>
    <w:rsid w:val="00FA280B"/>
    <w:rsid w:val="00FA285F"/>
    <w:rsid w:val="00FA2931"/>
    <w:rsid w:val="00FA2B88"/>
    <w:rsid w:val="00FA2B8A"/>
    <w:rsid w:val="00FA2C2A"/>
    <w:rsid w:val="00FA2F15"/>
    <w:rsid w:val="00FA2F7F"/>
    <w:rsid w:val="00FA2FA6"/>
    <w:rsid w:val="00FA30D0"/>
    <w:rsid w:val="00FA32FC"/>
    <w:rsid w:val="00FA34C2"/>
    <w:rsid w:val="00FA3732"/>
    <w:rsid w:val="00FA3756"/>
    <w:rsid w:val="00FA37C4"/>
    <w:rsid w:val="00FA37ED"/>
    <w:rsid w:val="00FA3800"/>
    <w:rsid w:val="00FA38B4"/>
    <w:rsid w:val="00FA3ACA"/>
    <w:rsid w:val="00FA3BA9"/>
    <w:rsid w:val="00FA3CF0"/>
    <w:rsid w:val="00FA3D29"/>
    <w:rsid w:val="00FA3DD8"/>
    <w:rsid w:val="00FA3F1A"/>
    <w:rsid w:val="00FA4006"/>
    <w:rsid w:val="00FA4309"/>
    <w:rsid w:val="00FA44C2"/>
    <w:rsid w:val="00FA45AC"/>
    <w:rsid w:val="00FA45BC"/>
    <w:rsid w:val="00FA48CD"/>
    <w:rsid w:val="00FA49C3"/>
    <w:rsid w:val="00FA4C07"/>
    <w:rsid w:val="00FA4C4B"/>
    <w:rsid w:val="00FA4D5C"/>
    <w:rsid w:val="00FA4DBF"/>
    <w:rsid w:val="00FA4FBF"/>
    <w:rsid w:val="00FA5300"/>
    <w:rsid w:val="00FA5315"/>
    <w:rsid w:val="00FA5330"/>
    <w:rsid w:val="00FA546D"/>
    <w:rsid w:val="00FA551F"/>
    <w:rsid w:val="00FA5552"/>
    <w:rsid w:val="00FA5630"/>
    <w:rsid w:val="00FA5644"/>
    <w:rsid w:val="00FA5BE8"/>
    <w:rsid w:val="00FA5CB2"/>
    <w:rsid w:val="00FA5D58"/>
    <w:rsid w:val="00FA6004"/>
    <w:rsid w:val="00FA6037"/>
    <w:rsid w:val="00FA60EF"/>
    <w:rsid w:val="00FA60FB"/>
    <w:rsid w:val="00FA64D2"/>
    <w:rsid w:val="00FA64DD"/>
    <w:rsid w:val="00FA6571"/>
    <w:rsid w:val="00FA65D3"/>
    <w:rsid w:val="00FA65FA"/>
    <w:rsid w:val="00FA6634"/>
    <w:rsid w:val="00FA6662"/>
    <w:rsid w:val="00FA673C"/>
    <w:rsid w:val="00FA6762"/>
    <w:rsid w:val="00FA684D"/>
    <w:rsid w:val="00FA6927"/>
    <w:rsid w:val="00FA6AF1"/>
    <w:rsid w:val="00FA6CB2"/>
    <w:rsid w:val="00FA6D99"/>
    <w:rsid w:val="00FA6FAC"/>
    <w:rsid w:val="00FA6FBF"/>
    <w:rsid w:val="00FA704F"/>
    <w:rsid w:val="00FA731E"/>
    <w:rsid w:val="00FA7558"/>
    <w:rsid w:val="00FA766F"/>
    <w:rsid w:val="00FA76C4"/>
    <w:rsid w:val="00FA778A"/>
    <w:rsid w:val="00FA79C5"/>
    <w:rsid w:val="00FA79C7"/>
    <w:rsid w:val="00FA7A17"/>
    <w:rsid w:val="00FA7D31"/>
    <w:rsid w:val="00FA7F7D"/>
    <w:rsid w:val="00FB0125"/>
    <w:rsid w:val="00FB03FC"/>
    <w:rsid w:val="00FB0454"/>
    <w:rsid w:val="00FB0579"/>
    <w:rsid w:val="00FB0688"/>
    <w:rsid w:val="00FB06C4"/>
    <w:rsid w:val="00FB087D"/>
    <w:rsid w:val="00FB0A71"/>
    <w:rsid w:val="00FB0B0F"/>
    <w:rsid w:val="00FB0B28"/>
    <w:rsid w:val="00FB0B67"/>
    <w:rsid w:val="00FB0C44"/>
    <w:rsid w:val="00FB0D1D"/>
    <w:rsid w:val="00FB0D4E"/>
    <w:rsid w:val="00FB0E3B"/>
    <w:rsid w:val="00FB0F7F"/>
    <w:rsid w:val="00FB0FBF"/>
    <w:rsid w:val="00FB0FF9"/>
    <w:rsid w:val="00FB1095"/>
    <w:rsid w:val="00FB11ED"/>
    <w:rsid w:val="00FB1230"/>
    <w:rsid w:val="00FB1318"/>
    <w:rsid w:val="00FB1433"/>
    <w:rsid w:val="00FB1456"/>
    <w:rsid w:val="00FB1508"/>
    <w:rsid w:val="00FB15B4"/>
    <w:rsid w:val="00FB1781"/>
    <w:rsid w:val="00FB18C0"/>
    <w:rsid w:val="00FB19FC"/>
    <w:rsid w:val="00FB1ABD"/>
    <w:rsid w:val="00FB1AEF"/>
    <w:rsid w:val="00FB1DB8"/>
    <w:rsid w:val="00FB1DF8"/>
    <w:rsid w:val="00FB208B"/>
    <w:rsid w:val="00FB20AE"/>
    <w:rsid w:val="00FB20EB"/>
    <w:rsid w:val="00FB2245"/>
    <w:rsid w:val="00FB2495"/>
    <w:rsid w:val="00FB25B9"/>
    <w:rsid w:val="00FB26E7"/>
    <w:rsid w:val="00FB2718"/>
    <w:rsid w:val="00FB2762"/>
    <w:rsid w:val="00FB276A"/>
    <w:rsid w:val="00FB286D"/>
    <w:rsid w:val="00FB2A96"/>
    <w:rsid w:val="00FB2C56"/>
    <w:rsid w:val="00FB2D1E"/>
    <w:rsid w:val="00FB2D5C"/>
    <w:rsid w:val="00FB2DF8"/>
    <w:rsid w:val="00FB3281"/>
    <w:rsid w:val="00FB32DB"/>
    <w:rsid w:val="00FB32F3"/>
    <w:rsid w:val="00FB331A"/>
    <w:rsid w:val="00FB3412"/>
    <w:rsid w:val="00FB3731"/>
    <w:rsid w:val="00FB3750"/>
    <w:rsid w:val="00FB38A0"/>
    <w:rsid w:val="00FB38CD"/>
    <w:rsid w:val="00FB38E5"/>
    <w:rsid w:val="00FB39D0"/>
    <w:rsid w:val="00FB3A0D"/>
    <w:rsid w:val="00FB3B37"/>
    <w:rsid w:val="00FB3BC6"/>
    <w:rsid w:val="00FB3C6D"/>
    <w:rsid w:val="00FB3E58"/>
    <w:rsid w:val="00FB436C"/>
    <w:rsid w:val="00FB4433"/>
    <w:rsid w:val="00FB4494"/>
    <w:rsid w:val="00FB4635"/>
    <w:rsid w:val="00FB48F8"/>
    <w:rsid w:val="00FB495D"/>
    <w:rsid w:val="00FB4A0D"/>
    <w:rsid w:val="00FB4BBD"/>
    <w:rsid w:val="00FB4C51"/>
    <w:rsid w:val="00FB4D01"/>
    <w:rsid w:val="00FB4DC3"/>
    <w:rsid w:val="00FB4EA4"/>
    <w:rsid w:val="00FB4EE1"/>
    <w:rsid w:val="00FB4F30"/>
    <w:rsid w:val="00FB4FA4"/>
    <w:rsid w:val="00FB525A"/>
    <w:rsid w:val="00FB5264"/>
    <w:rsid w:val="00FB5286"/>
    <w:rsid w:val="00FB5421"/>
    <w:rsid w:val="00FB5598"/>
    <w:rsid w:val="00FB569D"/>
    <w:rsid w:val="00FB5706"/>
    <w:rsid w:val="00FB576E"/>
    <w:rsid w:val="00FB5898"/>
    <w:rsid w:val="00FB5938"/>
    <w:rsid w:val="00FB5A54"/>
    <w:rsid w:val="00FB5ADE"/>
    <w:rsid w:val="00FB5B6E"/>
    <w:rsid w:val="00FB5C0B"/>
    <w:rsid w:val="00FB5DDD"/>
    <w:rsid w:val="00FB5F2B"/>
    <w:rsid w:val="00FB607A"/>
    <w:rsid w:val="00FB6164"/>
    <w:rsid w:val="00FB621D"/>
    <w:rsid w:val="00FB65CA"/>
    <w:rsid w:val="00FB6648"/>
    <w:rsid w:val="00FB67E3"/>
    <w:rsid w:val="00FB68A2"/>
    <w:rsid w:val="00FB693F"/>
    <w:rsid w:val="00FB696B"/>
    <w:rsid w:val="00FB6B4C"/>
    <w:rsid w:val="00FB6B80"/>
    <w:rsid w:val="00FB6C90"/>
    <w:rsid w:val="00FB6D3C"/>
    <w:rsid w:val="00FB6D3E"/>
    <w:rsid w:val="00FB7082"/>
    <w:rsid w:val="00FB70A1"/>
    <w:rsid w:val="00FB71C3"/>
    <w:rsid w:val="00FB73A5"/>
    <w:rsid w:val="00FB740A"/>
    <w:rsid w:val="00FB7422"/>
    <w:rsid w:val="00FB7473"/>
    <w:rsid w:val="00FB78E8"/>
    <w:rsid w:val="00FB794E"/>
    <w:rsid w:val="00FB799A"/>
    <w:rsid w:val="00FB7A01"/>
    <w:rsid w:val="00FB7A9A"/>
    <w:rsid w:val="00FB7AE6"/>
    <w:rsid w:val="00FB7B14"/>
    <w:rsid w:val="00FB7D3C"/>
    <w:rsid w:val="00FB7E16"/>
    <w:rsid w:val="00FB7FAD"/>
    <w:rsid w:val="00FC0005"/>
    <w:rsid w:val="00FC00D1"/>
    <w:rsid w:val="00FC019B"/>
    <w:rsid w:val="00FC0399"/>
    <w:rsid w:val="00FC0626"/>
    <w:rsid w:val="00FC066A"/>
    <w:rsid w:val="00FC0812"/>
    <w:rsid w:val="00FC0855"/>
    <w:rsid w:val="00FC08CF"/>
    <w:rsid w:val="00FC0C32"/>
    <w:rsid w:val="00FC0CBE"/>
    <w:rsid w:val="00FC0DA9"/>
    <w:rsid w:val="00FC0F6C"/>
    <w:rsid w:val="00FC10E0"/>
    <w:rsid w:val="00FC11CB"/>
    <w:rsid w:val="00FC128A"/>
    <w:rsid w:val="00FC12B0"/>
    <w:rsid w:val="00FC1399"/>
    <w:rsid w:val="00FC139F"/>
    <w:rsid w:val="00FC13CA"/>
    <w:rsid w:val="00FC1491"/>
    <w:rsid w:val="00FC149C"/>
    <w:rsid w:val="00FC14FB"/>
    <w:rsid w:val="00FC1554"/>
    <w:rsid w:val="00FC161A"/>
    <w:rsid w:val="00FC1628"/>
    <w:rsid w:val="00FC19F9"/>
    <w:rsid w:val="00FC1D30"/>
    <w:rsid w:val="00FC1D57"/>
    <w:rsid w:val="00FC1DB0"/>
    <w:rsid w:val="00FC1E35"/>
    <w:rsid w:val="00FC1E7E"/>
    <w:rsid w:val="00FC226A"/>
    <w:rsid w:val="00FC2291"/>
    <w:rsid w:val="00FC2307"/>
    <w:rsid w:val="00FC243E"/>
    <w:rsid w:val="00FC251B"/>
    <w:rsid w:val="00FC26B4"/>
    <w:rsid w:val="00FC2768"/>
    <w:rsid w:val="00FC2914"/>
    <w:rsid w:val="00FC2AD3"/>
    <w:rsid w:val="00FC2D84"/>
    <w:rsid w:val="00FC3002"/>
    <w:rsid w:val="00FC3029"/>
    <w:rsid w:val="00FC3077"/>
    <w:rsid w:val="00FC33D6"/>
    <w:rsid w:val="00FC33E4"/>
    <w:rsid w:val="00FC346C"/>
    <w:rsid w:val="00FC34B0"/>
    <w:rsid w:val="00FC3539"/>
    <w:rsid w:val="00FC35EC"/>
    <w:rsid w:val="00FC37DF"/>
    <w:rsid w:val="00FC3859"/>
    <w:rsid w:val="00FC394E"/>
    <w:rsid w:val="00FC39E9"/>
    <w:rsid w:val="00FC3C0B"/>
    <w:rsid w:val="00FC3C33"/>
    <w:rsid w:val="00FC3D2F"/>
    <w:rsid w:val="00FC3DC5"/>
    <w:rsid w:val="00FC4146"/>
    <w:rsid w:val="00FC414C"/>
    <w:rsid w:val="00FC4203"/>
    <w:rsid w:val="00FC446B"/>
    <w:rsid w:val="00FC4496"/>
    <w:rsid w:val="00FC449A"/>
    <w:rsid w:val="00FC464B"/>
    <w:rsid w:val="00FC487A"/>
    <w:rsid w:val="00FC4A1A"/>
    <w:rsid w:val="00FC4AF5"/>
    <w:rsid w:val="00FC4B35"/>
    <w:rsid w:val="00FC4B5E"/>
    <w:rsid w:val="00FC4BF9"/>
    <w:rsid w:val="00FC4C00"/>
    <w:rsid w:val="00FC4C9F"/>
    <w:rsid w:val="00FC4D24"/>
    <w:rsid w:val="00FC4F3F"/>
    <w:rsid w:val="00FC51EB"/>
    <w:rsid w:val="00FC51FA"/>
    <w:rsid w:val="00FC525E"/>
    <w:rsid w:val="00FC52B6"/>
    <w:rsid w:val="00FC52D4"/>
    <w:rsid w:val="00FC54C6"/>
    <w:rsid w:val="00FC5577"/>
    <w:rsid w:val="00FC562E"/>
    <w:rsid w:val="00FC5702"/>
    <w:rsid w:val="00FC5816"/>
    <w:rsid w:val="00FC5AAA"/>
    <w:rsid w:val="00FC5BAE"/>
    <w:rsid w:val="00FC5BDB"/>
    <w:rsid w:val="00FC5C2D"/>
    <w:rsid w:val="00FC5C81"/>
    <w:rsid w:val="00FC5CA1"/>
    <w:rsid w:val="00FC5D18"/>
    <w:rsid w:val="00FC5D67"/>
    <w:rsid w:val="00FC5F04"/>
    <w:rsid w:val="00FC5F42"/>
    <w:rsid w:val="00FC5FA6"/>
    <w:rsid w:val="00FC5FB0"/>
    <w:rsid w:val="00FC5FBD"/>
    <w:rsid w:val="00FC6120"/>
    <w:rsid w:val="00FC613C"/>
    <w:rsid w:val="00FC62C5"/>
    <w:rsid w:val="00FC64FD"/>
    <w:rsid w:val="00FC6B74"/>
    <w:rsid w:val="00FC6BE7"/>
    <w:rsid w:val="00FC6FA3"/>
    <w:rsid w:val="00FC7143"/>
    <w:rsid w:val="00FC72A8"/>
    <w:rsid w:val="00FC72C7"/>
    <w:rsid w:val="00FC734E"/>
    <w:rsid w:val="00FC7371"/>
    <w:rsid w:val="00FC742D"/>
    <w:rsid w:val="00FC7572"/>
    <w:rsid w:val="00FC7614"/>
    <w:rsid w:val="00FC7944"/>
    <w:rsid w:val="00FC79C2"/>
    <w:rsid w:val="00FC7A88"/>
    <w:rsid w:val="00FC7BCA"/>
    <w:rsid w:val="00FC7BE8"/>
    <w:rsid w:val="00FC7C72"/>
    <w:rsid w:val="00FC7CC0"/>
    <w:rsid w:val="00FC7E1E"/>
    <w:rsid w:val="00FD0011"/>
    <w:rsid w:val="00FD0055"/>
    <w:rsid w:val="00FD0059"/>
    <w:rsid w:val="00FD01CB"/>
    <w:rsid w:val="00FD03E6"/>
    <w:rsid w:val="00FD0562"/>
    <w:rsid w:val="00FD057E"/>
    <w:rsid w:val="00FD06E5"/>
    <w:rsid w:val="00FD09C1"/>
    <w:rsid w:val="00FD0A03"/>
    <w:rsid w:val="00FD0A51"/>
    <w:rsid w:val="00FD0C1E"/>
    <w:rsid w:val="00FD0CED"/>
    <w:rsid w:val="00FD0E4D"/>
    <w:rsid w:val="00FD0E83"/>
    <w:rsid w:val="00FD0FA3"/>
    <w:rsid w:val="00FD0FD6"/>
    <w:rsid w:val="00FD0FE9"/>
    <w:rsid w:val="00FD10EC"/>
    <w:rsid w:val="00FD1253"/>
    <w:rsid w:val="00FD13DC"/>
    <w:rsid w:val="00FD1501"/>
    <w:rsid w:val="00FD1542"/>
    <w:rsid w:val="00FD15F4"/>
    <w:rsid w:val="00FD1652"/>
    <w:rsid w:val="00FD1659"/>
    <w:rsid w:val="00FD1760"/>
    <w:rsid w:val="00FD17D9"/>
    <w:rsid w:val="00FD17E4"/>
    <w:rsid w:val="00FD19AD"/>
    <w:rsid w:val="00FD1A84"/>
    <w:rsid w:val="00FD1A92"/>
    <w:rsid w:val="00FD1AD1"/>
    <w:rsid w:val="00FD1DC9"/>
    <w:rsid w:val="00FD1DCD"/>
    <w:rsid w:val="00FD20DC"/>
    <w:rsid w:val="00FD2119"/>
    <w:rsid w:val="00FD2250"/>
    <w:rsid w:val="00FD26C6"/>
    <w:rsid w:val="00FD28E4"/>
    <w:rsid w:val="00FD29C0"/>
    <w:rsid w:val="00FD2A38"/>
    <w:rsid w:val="00FD2AA0"/>
    <w:rsid w:val="00FD2B0A"/>
    <w:rsid w:val="00FD2B24"/>
    <w:rsid w:val="00FD2BC3"/>
    <w:rsid w:val="00FD2D2C"/>
    <w:rsid w:val="00FD2E67"/>
    <w:rsid w:val="00FD2E6E"/>
    <w:rsid w:val="00FD2ECE"/>
    <w:rsid w:val="00FD2EEB"/>
    <w:rsid w:val="00FD309E"/>
    <w:rsid w:val="00FD30AB"/>
    <w:rsid w:val="00FD30DE"/>
    <w:rsid w:val="00FD30E8"/>
    <w:rsid w:val="00FD3136"/>
    <w:rsid w:val="00FD3187"/>
    <w:rsid w:val="00FD31A3"/>
    <w:rsid w:val="00FD339E"/>
    <w:rsid w:val="00FD3550"/>
    <w:rsid w:val="00FD3579"/>
    <w:rsid w:val="00FD360E"/>
    <w:rsid w:val="00FD37E0"/>
    <w:rsid w:val="00FD390E"/>
    <w:rsid w:val="00FD3D93"/>
    <w:rsid w:val="00FD3E0C"/>
    <w:rsid w:val="00FD4129"/>
    <w:rsid w:val="00FD4198"/>
    <w:rsid w:val="00FD4458"/>
    <w:rsid w:val="00FD44A2"/>
    <w:rsid w:val="00FD4557"/>
    <w:rsid w:val="00FD456A"/>
    <w:rsid w:val="00FD4738"/>
    <w:rsid w:val="00FD4784"/>
    <w:rsid w:val="00FD4860"/>
    <w:rsid w:val="00FD4984"/>
    <w:rsid w:val="00FD4A14"/>
    <w:rsid w:val="00FD4C2D"/>
    <w:rsid w:val="00FD4C78"/>
    <w:rsid w:val="00FD4CAC"/>
    <w:rsid w:val="00FD4D8C"/>
    <w:rsid w:val="00FD5100"/>
    <w:rsid w:val="00FD5126"/>
    <w:rsid w:val="00FD5179"/>
    <w:rsid w:val="00FD5278"/>
    <w:rsid w:val="00FD537D"/>
    <w:rsid w:val="00FD54AE"/>
    <w:rsid w:val="00FD5573"/>
    <w:rsid w:val="00FD578F"/>
    <w:rsid w:val="00FD5806"/>
    <w:rsid w:val="00FD5894"/>
    <w:rsid w:val="00FD5AB7"/>
    <w:rsid w:val="00FD5B13"/>
    <w:rsid w:val="00FD5B5E"/>
    <w:rsid w:val="00FD5CD2"/>
    <w:rsid w:val="00FD5CE8"/>
    <w:rsid w:val="00FD5DBA"/>
    <w:rsid w:val="00FD6018"/>
    <w:rsid w:val="00FD6180"/>
    <w:rsid w:val="00FD623C"/>
    <w:rsid w:val="00FD6254"/>
    <w:rsid w:val="00FD628E"/>
    <w:rsid w:val="00FD6355"/>
    <w:rsid w:val="00FD6369"/>
    <w:rsid w:val="00FD63BA"/>
    <w:rsid w:val="00FD667D"/>
    <w:rsid w:val="00FD669B"/>
    <w:rsid w:val="00FD6857"/>
    <w:rsid w:val="00FD68B6"/>
    <w:rsid w:val="00FD695B"/>
    <w:rsid w:val="00FD697F"/>
    <w:rsid w:val="00FD6A14"/>
    <w:rsid w:val="00FD6B9D"/>
    <w:rsid w:val="00FD6CD4"/>
    <w:rsid w:val="00FD6CDE"/>
    <w:rsid w:val="00FD6D55"/>
    <w:rsid w:val="00FD6E66"/>
    <w:rsid w:val="00FD6E8E"/>
    <w:rsid w:val="00FD6ED3"/>
    <w:rsid w:val="00FD7516"/>
    <w:rsid w:val="00FD75C6"/>
    <w:rsid w:val="00FD764F"/>
    <w:rsid w:val="00FD769D"/>
    <w:rsid w:val="00FD7875"/>
    <w:rsid w:val="00FD7888"/>
    <w:rsid w:val="00FD78AE"/>
    <w:rsid w:val="00FD7946"/>
    <w:rsid w:val="00FD79B0"/>
    <w:rsid w:val="00FD7AD8"/>
    <w:rsid w:val="00FD7C98"/>
    <w:rsid w:val="00FD7DE3"/>
    <w:rsid w:val="00FD7DF9"/>
    <w:rsid w:val="00FD7ED1"/>
    <w:rsid w:val="00FE0042"/>
    <w:rsid w:val="00FE0089"/>
    <w:rsid w:val="00FE01AA"/>
    <w:rsid w:val="00FE023C"/>
    <w:rsid w:val="00FE0564"/>
    <w:rsid w:val="00FE0570"/>
    <w:rsid w:val="00FE08B9"/>
    <w:rsid w:val="00FE0A9F"/>
    <w:rsid w:val="00FE0B40"/>
    <w:rsid w:val="00FE0C22"/>
    <w:rsid w:val="00FE0E15"/>
    <w:rsid w:val="00FE0E6D"/>
    <w:rsid w:val="00FE1031"/>
    <w:rsid w:val="00FE1114"/>
    <w:rsid w:val="00FE12D3"/>
    <w:rsid w:val="00FE15D2"/>
    <w:rsid w:val="00FE1763"/>
    <w:rsid w:val="00FE185E"/>
    <w:rsid w:val="00FE18EA"/>
    <w:rsid w:val="00FE19E8"/>
    <w:rsid w:val="00FE19FD"/>
    <w:rsid w:val="00FE1B00"/>
    <w:rsid w:val="00FE1CEB"/>
    <w:rsid w:val="00FE1E79"/>
    <w:rsid w:val="00FE1E7A"/>
    <w:rsid w:val="00FE1F05"/>
    <w:rsid w:val="00FE2010"/>
    <w:rsid w:val="00FE214C"/>
    <w:rsid w:val="00FE22C4"/>
    <w:rsid w:val="00FE245E"/>
    <w:rsid w:val="00FE24CD"/>
    <w:rsid w:val="00FE24E1"/>
    <w:rsid w:val="00FE2634"/>
    <w:rsid w:val="00FE26B1"/>
    <w:rsid w:val="00FE26DB"/>
    <w:rsid w:val="00FE27E6"/>
    <w:rsid w:val="00FE280F"/>
    <w:rsid w:val="00FE295D"/>
    <w:rsid w:val="00FE299F"/>
    <w:rsid w:val="00FE2B13"/>
    <w:rsid w:val="00FE2D32"/>
    <w:rsid w:val="00FE2DF0"/>
    <w:rsid w:val="00FE3068"/>
    <w:rsid w:val="00FE3113"/>
    <w:rsid w:val="00FE312D"/>
    <w:rsid w:val="00FE31DB"/>
    <w:rsid w:val="00FE323D"/>
    <w:rsid w:val="00FE32A5"/>
    <w:rsid w:val="00FE3336"/>
    <w:rsid w:val="00FE33AE"/>
    <w:rsid w:val="00FE35AA"/>
    <w:rsid w:val="00FE36FE"/>
    <w:rsid w:val="00FE3778"/>
    <w:rsid w:val="00FE37DB"/>
    <w:rsid w:val="00FE389C"/>
    <w:rsid w:val="00FE38A2"/>
    <w:rsid w:val="00FE3E31"/>
    <w:rsid w:val="00FE3EF2"/>
    <w:rsid w:val="00FE4221"/>
    <w:rsid w:val="00FE44C7"/>
    <w:rsid w:val="00FE4567"/>
    <w:rsid w:val="00FE45BE"/>
    <w:rsid w:val="00FE461C"/>
    <w:rsid w:val="00FE46C8"/>
    <w:rsid w:val="00FE4704"/>
    <w:rsid w:val="00FE4748"/>
    <w:rsid w:val="00FE47C5"/>
    <w:rsid w:val="00FE48A3"/>
    <w:rsid w:val="00FE4931"/>
    <w:rsid w:val="00FE4F2D"/>
    <w:rsid w:val="00FE4F6B"/>
    <w:rsid w:val="00FE4F73"/>
    <w:rsid w:val="00FE4FFC"/>
    <w:rsid w:val="00FE5034"/>
    <w:rsid w:val="00FE507C"/>
    <w:rsid w:val="00FE51AF"/>
    <w:rsid w:val="00FE542F"/>
    <w:rsid w:val="00FE5569"/>
    <w:rsid w:val="00FE56AC"/>
    <w:rsid w:val="00FE584D"/>
    <w:rsid w:val="00FE5861"/>
    <w:rsid w:val="00FE58BA"/>
    <w:rsid w:val="00FE59AD"/>
    <w:rsid w:val="00FE5B5C"/>
    <w:rsid w:val="00FE5C3C"/>
    <w:rsid w:val="00FE5D43"/>
    <w:rsid w:val="00FE5D62"/>
    <w:rsid w:val="00FE5E96"/>
    <w:rsid w:val="00FE61D3"/>
    <w:rsid w:val="00FE627C"/>
    <w:rsid w:val="00FE62A2"/>
    <w:rsid w:val="00FE62E8"/>
    <w:rsid w:val="00FE6371"/>
    <w:rsid w:val="00FE6650"/>
    <w:rsid w:val="00FE66C9"/>
    <w:rsid w:val="00FE66E5"/>
    <w:rsid w:val="00FE6A93"/>
    <w:rsid w:val="00FE6B5E"/>
    <w:rsid w:val="00FE6E03"/>
    <w:rsid w:val="00FE6E29"/>
    <w:rsid w:val="00FE6F13"/>
    <w:rsid w:val="00FE6F42"/>
    <w:rsid w:val="00FE6FDD"/>
    <w:rsid w:val="00FE700C"/>
    <w:rsid w:val="00FE703E"/>
    <w:rsid w:val="00FE7192"/>
    <w:rsid w:val="00FE7205"/>
    <w:rsid w:val="00FE72E5"/>
    <w:rsid w:val="00FE73A8"/>
    <w:rsid w:val="00FE74EE"/>
    <w:rsid w:val="00FE764D"/>
    <w:rsid w:val="00FE772F"/>
    <w:rsid w:val="00FE7968"/>
    <w:rsid w:val="00FE796A"/>
    <w:rsid w:val="00FE79C7"/>
    <w:rsid w:val="00FE7ADE"/>
    <w:rsid w:val="00FE7C7E"/>
    <w:rsid w:val="00FE7DE6"/>
    <w:rsid w:val="00FF015B"/>
    <w:rsid w:val="00FF02C5"/>
    <w:rsid w:val="00FF0303"/>
    <w:rsid w:val="00FF031F"/>
    <w:rsid w:val="00FF038A"/>
    <w:rsid w:val="00FF0573"/>
    <w:rsid w:val="00FF05AC"/>
    <w:rsid w:val="00FF05ED"/>
    <w:rsid w:val="00FF0655"/>
    <w:rsid w:val="00FF0777"/>
    <w:rsid w:val="00FF0868"/>
    <w:rsid w:val="00FF0916"/>
    <w:rsid w:val="00FF09D9"/>
    <w:rsid w:val="00FF0BA3"/>
    <w:rsid w:val="00FF0C01"/>
    <w:rsid w:val="00FF1038"/>
    <w:rsid w:val="00FF12CF"/>
    <w:rsid w:val="00FF1451"/>
    <w:rsid w:val="00FF1499"/>
    <w:rsid w:val="00FF14C6"/>
    <w:rsid w:val="00FF1615"/>
    <w:rsid w:val="00FF1663"/>
    <w:rsid w:val="00FF1961"/>
    <w:rsid w:val="00FF19BB"/>
    <w:rsid w:val="00FF1A8B"/>
    <w:rsid w:val="00FF1C97"/>
    <w:rsid w:val="00FF1DEB"/>
    <w:rsid w:val="00FF1E49"/>
    <w:rsid w:val="00FF1EA1"/>
    <w:rsid w:val="00FF1F66"/>
    <w:rsid w:val="00FF2189"/>
    <w:rsid w:val="00FF2291"/>
    <w:rsid w:val="00FF236E"/>
    <w:rsid w:val="00FF246F"/>
    <w:rsid w:val="00FF2486"/>
    <w:rsid w:val="00FF24A1"/>
    <w:rsid w:val="00FF25B7"/>
    <w:rsid w:val="00FF2604"/>
    <w:rsid w:val="00FF284C"/>
    <w:rsid w:val="00FF2885"/>
    <w:rsid w:val="00FF28C6"/>
    <w:rsid w:val="00FF29ED"/>
    <w:rsid w:val="00FF2B50"/>
    <w:rsid w:val="00FF2DFA"/>
    <w:rsid w:val="00FF2E7E"/>
    <w:rsid w:val="00FF325D"/>
    <w:rsid w:val="00FF326E"/>
    <w:rsid w:val="00FF32CA"/>
    <w:rsid w:val="00FF3349"/>
    <w:rsid w:val="00FF33DD"/>
    <w:rsid w:val="00FF35A3"/>
    <w:rsid w:val="00FF3720"/>
    <w:rsid w:val="00FF3789"/>
    <w:rsid w:val="00FF37A8"/>
    <w:rsid w:val="00FF39D3"/>
    <w:rsid w:val="00FF39FC"/>
    <w:rsid w:val="00FF3B18"/>
    <w:rsid w:val="00FF3DF9"/>
    <w:rsid w:val="00FF3F9D"/>
    <w:rsid w:val="00FF4210"/>
    <w:rsid w:val="00FF439E"/>
    <w:rsid w:val="00FF4570"/>
    <w:rsid w:val="00FF469A"/>
    <w:rsid w:val="00FF479C"/>
    <w:rsid w:val="00FF47B8"/>
    <w:rsid w:val="00FF4AEE"/>
    <w:rsid w:val="00FF4B11"/>
    <w:rsid w:val="00FF4C1A"/>
    <w:rsid w:val="00FF4D93"/>
    <w:rsid w:val="00FF4DEB"/>
    <w:rsid w:val="00FF5029"/>
    <w:rsid w:val="00FF518E"/>
    <w:rsid w:val="00FF51E8"/>
    <w:rsid w:val="00FF51FF"/>
    <w:rsid w:val="00FF5273"/>
    <w:rsid w:val="00FF543E"/>
    <w:rsid w:val="00FF5509"/>
    <w:rsid w:val="00FF574D"/>
    <w:rsid w:val="00FF5778"/>
    <w:rsid w:val="00FF59F2"/>
    <w:rsid w:val="00FF5A4F"/>
    <w:rsid w:val="00FF5BD0"/>
    <w:rsid w:val="00FF5C50"/>
    <w:rsid w:val="00FF5DE1"/>
    <w:rsid w:val="00FF5EEF"/>
    <w:rsid w:val="00FF5F00"/>
    <w:rsid w:val="00FF60FD"/>
    <w:rsid w:val="00FF6424"/>
    <w:rsid w:val="00FF6433"/>
    <w:rsid w:val="00FF64E8"/>
    <w:rsid w:val="00FF6644"/>
    <w:rsid w:val="00FF68C6"/>
    <w:rsid w:val="00FF6A64"/>
    <w:rsid w:val="00FF6E07"/>
    <w:rsid w:val="00FF6E6D"/>
    <w:rsid w:val="00FF6FA9"/>
    <w:rsid w:val="00FF6FCA"/>
    <w:rsid w:val="00FF7080"/>
    <w:rsid w:val="00FF71D7"/>
    <w:rsid w:val="00FF71F3"/>
    <w:rsid w:val="00FF729F"/>
    <w:rsid w:val="00FF7352"/>
    <w:rsid w:val="00FF73D0"/>
    <w:rsid w:val="00FF7430"/>
    <w:rsid w:val="00FF7740"/>
    <w:rsid w:val="00FF77B3"/>
    <w:rsid w:val="00FF7873"/>
    <w:rsid w:val="00FF7885"/>
    <w:rsid w:val="00FF7A1C"/>
    <w:rsid w:val="00FF7A5C"/>
    <w:rsid w:val="00FF7B5E"/>
    <w:rsid w:val="00FF7C27"/>
    <w:rsid w:val="00FF7C5D"/>
    <w:rsid w:val="00FF7CB6"/>
    <w:rsid w:val="00FF7D8C"/>
    <w:rsid w:val="02161B51"/>
    <w:rsid w:val="024590BC"/>
    <w:rsid w:val="02FD0C20"/>
    <w:rsid w:val="0325A3E7"/>
    <w:rsid w:val="0329AF14"/>
    <w:rsid w:val="03351DDE"/>
    <w:rsid w:val="033C9B1F"/>
    <w:rsid w:val="0435B485"/>
    <w:rsid w:val="0559B025"/>
    <w:rsid w:val="05B81E26"/>
    <w:rsid w:val="05C5482E"/>
    <w:rsid w:val="0607B819"/>
    <w:rsid w:val="0682C5DF"/>
    <w:rsid w:val="06AEC0C5"/>
    <w:rsid w:val="07686111"/>
    <w:rsid w:val="07A604F9"/>
    <w:rsid w:val="09A1B104"/>
    <w:rsid w:val="0A94FB82"/>
    <w:rsid w:val="0AC91817"/>
    <w:rsid w:val="0BBC7F8D"/>
    <w:rsid w:val="0C091368"/>
    <w:rsid w:val="0C1B70F5"/>
    <w:rsid w:val="0C62BA63"/>
    <w:rsid w:val="0CA3F212"/>
    <w:rsid w:val="0CB7A564"/>
    <w:rsid w:val="0DA2F4C7"/>
    <w:rsid w:val="0E61DE90"/>
    <w:rsid w:val="0EFF5153"/>
    <w:rsid w:val="0F374426"/>
    <w:rsid w:val="0F96CC37"/>
    <w:rsid w:val="11C848CD"/>
    <w:rsid w:val="121DC53A"/>
    <w:rsid w:val="12200012"/>
    <w:rsid w:val="128DD9C8"/>
    <w:rsid w:val="12AF568F"/>
    <w:rsid w:val="12C79B47"/>
    <w:rsid w:val="13615D37"/>
    <w:rsid w:val="13CCCD68"/>
    <w:rsid w:val="14DE343E"/>
    <w:rsid w:val="150903D3"/>
    <w:rsid w:val="15125E55"/>
    <w:rsid w:val="15BB0D44"/>
    <w:rsid w:val="160FD5F3"/>
    <w:rsid w:val="161330BA"/>
    <w:rsid w:val="175D66B1"/>
    <w:rsid w:val="17D26250"/>
    <w:rsid w:val="19855661"/>
    <w:rsid w:val="1A2C924B"/>
    <w:rsid w:val="1BADFFBA"/>
    <w:rsid w:val="1BDD3301"/>
    <w:rsid w:val="1C33CE69"/>
    <w:rsid w:val="1C9ED643"/>
    <w:rsid w:val="1C9FB4FC"/>
    <w:rsid w:val="1D3EBF2D"/>
    <w:rsid w:val="1D4450C2"/>
    <w:rsid w:val="1D453842"/>
    <w:rsid w:val="1DC88F91"/>
    <w:rsid w:val="1DFFF78F"/>
    <w:rsid w:val="1E0F111B"/>
    <w:rsid w:val="1E245267"/>
    <w:rsid w:val="1E819ED6"/>
    <w:rsid w:val="1EE98AFF"/>
    <w:rsid w:val="1F443477"/>
    <w:rsid w:val="1FD95BE8"/>
    <w:rsid w:val="1FE6B943"/>
    <w:rsid w:val="2047D677"/>
    <w:rsid w:val="20A93487"/>
    <w:rsid w:val="2141DB94"/>
    <w:rsid w:val="215DE9C1"/>
    <w:rsid w:val="22A291E0"/>
    <w:rsid w:val="22F9AB18"/>
    <w:rsid w:val="235E7FE5"/>
    <w:rsid w:val="245F6E67"/>
    <w:rsid w:val="2485400D"/>
    <w:rsid w:val="25DE247A"/>
    <w:rsid w:val="25EDF41F"/>
    <w:rsid w:val="2606C50B"/>
    <w:rsid w:val="2646BCB1"/>
    <w:rsid w:val="269B8F79"/>
    <w:rsid w:val="26DA9E5B"/>
    <w:rsid w:val="28499281"/>
    <w:rsid w:val="295F181E"/>
    <w:rsid w:val="2AF07D6C"/>
    <w:rsid w:val="2B341BC9"/>
    <w:rsid w:val="2B3A0BD2"/>
    <w:rsid w:val="2B5D1B9D"/>
    <w:rsid w:val="2D23E18A"/>
    <w:rsid w:val="2D405D5A"/>
    <w:rsid w:val="2DD27A1B"/>
    <w:rsid w:val="2DD84272"/>
    <w:rsid w:val="2DE18578"/>
    <w:rsid w:val="2E2932C6"/>
    <w:rsid w:val="2EB7FC48"/>
    <w:rsid w:val="2EB811D7"/>
    <w:rsid w:val="2EF155AC"/>
    <w:rsid w:val="3011E68C"/>
    <w:rsid w:val="303B1EB1"/>
    <w:rsid w:val="30DC98F0"/>
    <w:rsid w:val="31296122"/>
    <w:rsid w:val="314DF45D"/>
    <w:rsid w:val="31B2642A"/>
    <w:rsid w:val="32A73717"/>
    <w:rsid w:val="332C8367"/>
    <w:rsid w:val="337345B5"/>
    <w:rsid w:val="33B07988"/>
    <w:rsid w:val="33FF7ABE"/>
    <w:rsid w:val="345D18DA"/>
    <w:rsid w:val="34A2C0AB"/>
    <w:rsid w:val="34BD30C0"/>
    <w:rsid w:val="355C2853"/>
    <w:rsid w:val="35CE0C68"/>
    <w:rsid w:val="3696C3E2"/>
    <w:rsid w:val="36BA90B4"/>
    <w:rsid w:val="36CFB533"/>
    <w:rsid w:val="3710BD6F"/>
    <w:rsid w:val="37746401"/>
    <w:rsid w:val="37767178"/>
    <w:rsid w:val="379B482A"/>
    <w:rsid w:val="37B3577B"/>
    <w:rsid w:val="37C85E4A"/>
    <w:rsid w:val="37D9BF0B"/>
    <w:rsid w:val="37EA9733"/>
    <w:rsid w:val="37EC47A7"/>
    <w:rsid w:val="3827C409"/>
    <w:rsid w:val="38B958A3"/>
    <w:rsid w:val="3929F399"/>
    <w:rsid w:val="3A0DE17D"/>
    <w:rsid w:val="3AEBDD44"/>
    <w:rsid w:val="3AF5E1D3"/>
    <w:rsid w:val="3AFE4DE1"/>
    <w:rsid w:val="3B70AFE9"/>
    <w:rsid w:val="3BCDE426"/>
    <w:rsid w:val="3CB99663"/>
    <w:rsid w:val="3D1D54DD"/>
    <w:rsid w:val="3D3157A6"/>
    <w:rsid w:val="3D548C7A"/>
    <w:rsid w:val="3D679D29"/>
    <w:rsid w:val="3DF0FB23"/>
    <w:rsid w:val="3E324352"/>
    <w:rsid w:val="3E757AD7"/>
    <w:rsid w:val="3F112D43"/>
    <w:rsid w:val="3F972F56"/>
    <w:rsid w:val="3FAFFB48"/>
    <w:rsid w:val="4099AFF3"/>
    <w:rsid w:val="40C28C3B"/>
    <w:rsid w:val="4100AFFF"/>
    <w:rsid w:val="41356B58"/>
    <w:rsid w:val="41B9BF21"/>
    <w:rsid w:val="4263AEFE"/>
    <w:rsid w:val="430D1943"/>
    <w:rsid w:val="4370EC1D"/>
    <w:rsid w:val="43FB51FE"/>
    <w:rsid w:val="44C3121F"/>
    <w:rsid w:val="45A41EE9"/>
    <w:rsid w:val="45B8FFD9"/>
    <w:rsid w:val="462CB2A9"/>
    <w:rsid w:val="466C2EC2"/>
    <w:rsid w:val="4791C743"/>
    <w:rsid w:val="47B99C64"/>
    <w:rsid w:val="4849564F"/>
    <w:rsid w:val="486FD4E8"/>
    <w:rsid w:val="496C7E60"/>
    <w:rsid w:val="4B79E196"/>
    <w:rsid w:val="4C393DC8"/>
    <w:rsid w:val="4E13257A"/>
    <w:rsid w:val="4E48B611"/>
    <w:rsid w:val="4F279B96"/>
    <w:rsid w:val="4FACCF27"/>
    <w:rsid w:val="50FDAC15"/>
    <w:rsid w:val="51231B59"/>
    <w:rsid w:val="51643523"/>
    <w:rsid w:val="525A6279"/>
    <w:rsid w:val="5281BF5C"/>
    <w:rsid w:val="529809D7"/>
    <w:rsid w:val="52F7CDFA"/>
    <w:rsid w:val="5309B287"/>
    <w:rsid w:val="5393A315"/>
    <w:rsid w:val="53ABF324"/>
    <w:rsid w:val="53BEC60F"/>
    <w:rsid w:val="53EFA476"/>
    <w:rsid w:val="54C849EB"/>
    <w:rsid w:val="54D40DBF"/>
    <w:rsid w:val="5509AB77"/>
    <w:rsid w:val="556E492F"/>
    <w:rsid w:val="55E246C4"/>
    <w:rsid w:val="563A6A3F"/>
    <w:rsid w:val="567695B4"/>
    <w:rsid w:val="57A7DC86"/>
    <w:rsid w:val="5802EE61"/>
    <w:rsid w:val="581DD693"/>
    <w:rsid w:val="588191F5"/>
    <w:rsid w:val="588AFBDF"/>
    <w:rsid w:val="58C6682B"/>
    <w:rsid w:val="591FF694"/>
    <w:rsid w:val="5971F4A3"/>
    <w:rsid w:val="5AEDD6F4"/>
    <w:rsid w:val="5B1DD448"/>
    <w:rsid w:val="5B31B8F8"/>
    <w:rsid w:val="5B37D72C"/>
    <w:rsid w:val="5B53A95B"/>
    <w:rsid w:val="5BAA37EB"/>
    <w:rsid w:val="5C412D75"/>
    <w:rsid w:val="5CD0FD96"/>
    <w:rsid w:val="5CF250DD"/>
    <w:rsid w:val="5CF6CA6E"/>
    <w:rsid w:val="5DBB631F"/>
    <w:rsid w:val="5E3632D0"/>
    <w:rsid w:val="5E5536EF"/>
    <w:rsid w:val="5F8872CD"/>
    <w:rsid w:val="601003D7"/>
    <w:rsid w:val="607AF64D"/>
    <w:rsid w:val="608A39C5"/>
    <w:rsid w:val="609D774F"/>
    <w:rsid w:val="6123E248"/>
    <w:rsid w:val="61313B2E"/>
    <w:rsid w:val="61541863"/>
    <w:rsid w:val="61ED2A8F"/>
    <w:rsid w:val="62D2C768"/>
    <w:rsid w:val="62FCEEBF"/>
    <w:rsid w:val="62FF4343"/>
    <w:rsid w:val="6398DE6B"/>
    <w:rsid w:val="63D470C5"/>
    <w:rsid w:val="6443A506"/>
    <w:rsid w:val="64F58CE4"/>
    <w:rsid w:val="684C5DEE"/>
    <w:rsid w:val="68A45ABE"/>
    <w:rsid w:val="68A7A97A"/>
    <w:rsid w:val="6907EFD7"/>
    <w:rsid w:val="69543B4C"/>
    <w:rsid w:val="696C6050"/>
    <w:rsid w:val="699815A0"/>
    <w:rsid w:val="69B25DCD"/>
    <w:rsid w:val="6C48A41D"/>
    <w:rsid w:val="6D242702"/>
    <w:rsid w:val="6D50A297"/>
    <w:rsid w:val="6EB8EA77"/>
    <w:rsid w:val="6F072C78"/>
    <w:rsid w:val="716C9EB7"/>
    <w:rsid w:val="71853BE1"/>
    <w:rsid w:val="721D6D2E"/>
    <w:rsid w:val="72600FD7"/>
    <w:rsid w:val="72886B89"/>
    <w:rsid w:val="72C46EAD"/>
    <w:rsid w:val="7395F434"/>
    <w:rsid w:val="748B127C"/>
    <w:rsid w:val="74C96B43"/>
    <w:rsid w:val="76959BA1"/>
    <w:rsid w:val="76F0B522"/>
    <w:rsid w:val="779E72FB"/>
    <w:rsid w:val="77DC4347"/>
    <w:rsid w:val="785DCC58"/>
    <w:rsid w:val="78AEFDB9"/>
    <w:rsid w:val="7989BE8F"/>
    <w:rsid w:val="79E953E8"/>
    <w:rsid w:val="7A561447"/>
    <w:rsid w:val="7A9648A4"/>
    <w:rsid w:val="7C937ABC"/>
    <w:rsid w:val="7D0ADA3F"/>
    <w:rsid w:val="7D312B57"/>
    <w:rsid w:val="7D518F8D"/>
    <w:rsid w:val="7E17605F"/>
    <w:rsid w:val="7E96A5C0"/>
    <w:rsid w:val="7E99231E"/>
    <w:rsid w:val="7E9C4CC4"/>
    <w:rsid w:val="7EE78A5F"/>
    <w:rsid w:val="7F496DA0"/>
    <w:rsid w:val="7FA75352"/>
    <w:rsid w:val="7FA796CE"/>
    <w:rsid w:val="7FCA92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759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A51"/>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235A51"/>
    <w:pPr>
      <w:spacing w:after="240"/>
      <w:outlineLvl w:val="0"/>
    </w:pPr>
    <w:rPr>
      <w:rFonts w:ascii="Arial Bold" w:hAnsi="Arial Bold"/>
      <w:b/>
      <w:kern w:val="34"/>
      <w:sz w:val="36"/>
    </w:rPr>
  </w:style>
  <w:style w:type="paragraph" w:styleId="Heading2">
    <w:name w:val="heading 2"/>
    <w:basedOn w:val="HeadingBase"/>
    <w:next w:val="Normal"/>
    <w:link w:val="Heading2Char"/>
    <w:qFormat/>
    <w:rsid w:val="00235A51"/>
    <w:pPr>
      <w:spacing w:before="240" w:after="240"/>
      <w:outlineLvl w:val="1"/>
    </w:pPr>
    <w:rPr>
      <w:rFonts w:ascii="Arial Bold" w:hAnsi="Arial Bold"/>
      <w:b/>
      <w:sz w:val="26"/>
    </w:rPr>
  </w:style>
  <w:style w:type="paragraph" w:styleId="Heading3">
    <w:name w:val="heading 3"/>
    <w:basedOn w:val="HeadingBase"/>
    <w:next w:val="Normal"/>
    <w:link w:val="Heading3Char"/>
    <w:qFormat/>
    <w:rsid w:val="00235A51"/>
    <w:pPr>
      <w:spacing w:before="120" w:after="120"/>
      <w:outlineLvl w:val="2"/>
    </w:pPr>
    <w:rPr>
      <w:rFonts w:ascii="Arial Bold" w:hAnsi="Arial Bold"/>
      <w:b/>
      <w:sz w:val="22"/>
    </w:rPr>
  </w:style>
  <w:style w:type="paragraph" w:styleId="Heading4">
    <w:name w:val="heading 4"/>
    <w:basedOn w:val="HeadingBase"/>
    <w:next w:val="Normal"/>
    <w:link w:val="Heading4Char"/>
    <w:qFormat/>
    <w:rsid w:val="00235A51"/>
    <w:pPr>
      <w:spacing w:after="120"/>
      <w:outlineLvl w:val="3"/>
    </w:pPr>
    <w:rPr>
      <w:rFonts w:ascii="Arial Bold" w:hAnsi="Arial Bold"/>
      <w:b/>
      <w:sz w:val="20"/>
    </w:rPr>
  </w:style>
  <w:style w:type="paragraph" w:styleId="Heading5">
    <w:name w:val="heading 5"/>
    <w:basedOn w:val="HeadingBase"/>
    <w:next w:val="Normal"/>
    <w:link w:val="Heading5Char"/>
    <w:qFormat/>
    <w:rsid w:val="00235A51"/>
    <w:pPr>
      <w:spacing w:after="120"/>
      <w:outlineLvl w:val="4"/>
    </w:pPr>
    <w:rPr>
      <w:bCs/>
      <w:i/>
      <w:iCs/>
      <w:sz w:val="20"/>
      <w:szCs w:val="26"/>
    </w:rPr>
  </w:style>
  <w:style w:type="paragraph" w:styleId="Heading6">
    <w:name w:val="heading 6"/>
    <w:basedOn w:val="HeadingBase"/>
    <w:next w:val="Normal"/>
    <w:link w:val="Heading6Char"/>
    <w:rsid w:val="00235A51"/>
    <w:pPr>
      <w:spacing w:after="120"/>
      <w:outlineLvl w:val="5"/>
    </w:pPr>
    <w:rPr>
      <w:bCs/>
      <w:sz w:val="20"/>
      <w:szCs w:val="22"/>
    </w:rPr>
  </w:style>
  <w:style w:type="paragraph" w:styleId="Heading7">
    <w:name w:val="heading 7"/>
    <w:basedOn w:val="HeadingBase"/>
    <w:next w:val="Normal"/>
    <w:link w:val="Heading7Char"/>
    <w:rsid w:val="00235A51"/>
    <w:pPr>
      <w:spacing w:before="120"/>
      <w:outlineLvl w:val="6"/>
    </w:pPr>
    <w:rPr>
      <w:sz w:val="20"/>
      <w:szCs w:val="24"/>
    </w:rPr>
  </w:style>
  <w:style w:type="paragraph" w:styleId="Heading8">
    <w:name w:val="heading 8"/>
    <w:basedOn w:val="HeadingBase"/>
    <w:next w:val="Normal"/>
    <w:link w:val="Heading8Char"/>
    <w:rsid w:val="00235A51"/>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235A51"/>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235A51"/>
    <w:pPr>
      <w:tabs>
        <w:tab w:val="center" w:pos="4153"/>
        <w:tab w:val="right" w:pos="8306"/>
      </w:tabs>
    </w:pPr>
  </w:style>
  <w:style w:type="character" w:customStyle="1" w:styleId="HeaderChar">
    <w:name w:val="Header Char"/>
    <w:basedOn w:val="DefaultParagraphFont"/>
    <w:link w:val="Header"/>
    <w:rsid w:val="00235A51"/>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235A51"/>
    <w:pPr>
      <w:tabs>
        <w:tab w:val="center" w:pos="4153"/>
        <w:tab w:val="right" w:pos="8306"/>
      </w:tabs>
    </w:pPr>
  </w:style>
  <w:style w:type="character" w:customStyle="1" w:styleId="FooterChar">
    <w:name w:val="Footer Char"/>
    <w:basedOn w:val="DefaultParagraphFont"/>
    <w:link w:val="Footer"/>
    <w:rsid w:val="00235A51"/>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235A51"/>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235A51"/>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235A51"/>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235A51"/>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235A51"/>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235A51"/>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235A51"/>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235A51"/>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235A51"/>
    <w:pPr>
      <w:jc w:val="center"/>
    </w:pPr>
    <w:rPr>
      <w:rFonts w:ascii="Arial Bold" w:hAnsi="Arial Bold"/>
      <w:b/>
      <w:caps/>
      <w:sz w:val="22"/>
    </w:rPr>
  </w:style>
  <w:style w:type="paragraph" w:customStyle="1" w:styleId="FileProperties">
    <w:name w:val="File Properties"/>
    <w:basedOn w:val="Normal"/>
    <w:rsid w:val="00235A51"/>
    <w:pPr>
      <w:spacing w:before="0"/>
    </w:pPr>
    <w:rPr>
      <w:i/>
    </w:rPr>
  </w:style>
  <w:style w:type="paragraph" w:customStyle="1" w:styleId="AlphaParagraph">
    <w:name w:val="Alpha Paragraph"/>
    <w:basedOn w:val="Normal"/>
    <w:rsid w:val="00235A51"/>
    <w:pPr>
      <w:numPr>
        <w:numId w:val="1"/>
      </w:numPr>
      <w:tabs>
        <w:tab w:val="clear" w:pos="567"/>
        <w:tab w:val="num" w:pos="360"/>
      </w:tabs>
      <w:ind w:left="0" w:firstLine="0"/>
    </w:pPr>
  </w:style>
  <w:style w:type="paragraph" w:customStyle="1" w:styleId="HeadingBase">
    <w:name w:val="Heading Base"/>
    <w:rsid w:val="00235A51"/>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235A51"/>
    <w:rPr>
      <w:bCs/>
      <w:color w:val="002A54" w:themeColor="text2"/>
      <w:szCs w:val="52"/>
    </w:rPr>
  </w:style>
  <w:style w:type="paragraph" w:customStyle="1" w:styleId="BoxText">
    <w:name w:val="Box Text"/>
    <w:basedOn w:val="Normal"/>
    <w:link w:val="BoxTextChar"/>
    <w:qFormat/>
    <w:rsid w:val="00235A51"/>
    <w:pPr>
      <w:spacing w:before="120" w:after="120" w:line="240" w:lineRule="auto"/>
    </w:pPr>
  </w:style>
  <w:style w:type="paragraph" w:customStyle="1" w:styleId="BoxBullet">
    <w:name w:val="Box Bullet"/>
    <w:basedOn w:val="BoxText"/>
    <w:rsid w:val="00235A51"/>
    <w:pPr>
      <w:numPr>
        <w:numId w:val="2"/>
      </w:numPr>
    </w:pPr>
  </w:style>
  <w:style w:type="paragraph" w:customStyle="1" w:styleId="BoxHeading">
    <w:name w:val="Box Heading"/>
    <w:basedOn w:val="HeadingBase"/>
    <w:next w:val="BoxText"/>
    <w:rsid w:val="00235A51"/>
    <w:pPr>
      <w:spacing w:before="120" w:after="120"/>
    </w:pPr>
    <w:rPr>
      <w:b/>
      <w:sz w:val="20"/>
    </w:rPr>
  </w:style>
  <w:style w:type="character" w:customStyle="1" w:styleId="Heading6Char">
    <w:name w:val="Heading 6 Char"/>
    <w:basedOn w:val="DefaultParagraphFont"/>
    <w:link w:val="Heading6"/>
    <w:rsid w:val="00235A51"/>
    <w:rPr>
      <w:rFonts w:ascii="Arial" w:eastAsia="Times New Roman" w:hAnsi="Arial" w:cs="Times New Roman"/>
      <w:bCs/>
      <w:sz w:val="20"/>
      <w:lang w:eastAsia="en-AU"/>
    </w:rPr>
  </w:style>
  <w:style w:type="paragraph" w:customStyle="1" w:styleId="Bullet">
    <w:name w:val="Bullet"/>
    <w:basedOn w:val="Normal"/>
    <w:link w:val="BulletChar"/>
    <w:qFormat/>
    <w:rsid w:val="0012356E"/>
    <w:pPr>
      <w:numPr>
        <w:numId w:val="3"/>
      </w:numPr>
      <w:spacing w:after="160"/>
    </w:pPr>
  </w:style>
  <w:style w:type="paragraph" w:styleId="Caption">
    <w:name w:val="caption"/>
    <w:basedOn w:val="Normal"/>
    <w:next w:val="Normal"/>
    <w:rsid w:val="00235A51"/>
    <w:rPr>
      <w:b/>
      <w:bCs/>
    </w:rPr>
  </w:style>
  <w:style w:type="paragraph" w:customStyle="1" w:styleId="ChartandTableFootnote">
    <w:name w:val="Chart and Table Footnote"/>
    <w:basedOn w:val="HeadingBase"/>
    <w:next w:val="Normal"/>
    <w:link w:val="ChartandTableFootnoteChar"/>
    <w:rsid w:val="00235A51"/>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12356E"/>
    <w:pPr>
      <w:keepNext w:val="0"/>
      <w:numPr>
        <w:numId w:val="4"/>
      </w:numPr>
      <w:spacing w:before="30"/>
    </w:pPr>
    <w:rPr>
      <w:color w:val="000000"/>
      <w:sz w:val="16"/>
    </w:rPr>
  </w:style>
  <w:style w:type="paragraph" w:customStyle="1" w:styleId="ChartandTableFootnoteSmall">
    <w:name w:val="Chart and Table Footnote Small"/>
    <w:basedOn w:val="HeadingBase"/>
    <w:next w:val="Normal"/>
    <w:rsid w:val="00235A51"/>
    <w:pPr>
      <w:keepNext w:val="0"/>
      <w:tabs>
        <w:tab w:val="left" w:pos="284"/>
      </w:tabs>
      <w:jc w:val="both"/>
    </w:pPr>
    <w:rPr>
      <w:color w:val="000000"/>
      <w:sz w:val="15"/>
    </w:rPr>
  </w:style>
  <w:style w:type="paragraph" w:customStyle="1" w:styleId="ChartGraphic">
    <w:name w:val="Chart Graphic"/>
    <w:basedOn w:val="HeadingBase"/>
    <w:link w:val="ChartGraphicChar"/>
    <w:rsid w:val="00235A51"/>
    <w:rPr>
      <w:sz w:val="20"/>
    </w:rPr>
  </w:style>
  <w:style w:type="paragraph" w:customStyle="1" w:styleId="TableLine">
    <w:name w:val="Table Line"/>
    <w:basedOn w:val="Normal"/>
    <w:next w:val="Normal"/>
    <w:autoRedefine/>
    <w:rsid w:val="003968DD"/>
    <w:pPr>
      <w:pBdr>
        <w:bottom w:val="single" w:sz="4" w:space="2" w:color="626A77" w:themeColor="background2" w:themeShade="E6"/>
      </w:pBdr>
      <w:spacing w:before="0" w:after="140" w:line="240" w:lineRule="auto"/>
    </w:pPr>
    <w:rPr>
      <w:noProof/>
      <w:sz w:val="4"/>
      <w:szCs w:val="4"/>
    </w:rPr>
  </w:style>
  <w:style w:type="paragraph" w:customStyle="1" w:styleId="ChartSecondHeading">
    <w:name w:val="Chart Second Heading"/>
    <w:basedOn w:val="HeadingBase"/>
    <w:next w:val="ChartGraphic"/>
    <w:rsid w:val="00235A51"/>
    <w:pPr>
      <w:spacing w:after="60"/>
    </w:pPr>
    <w:rPr>
      <w:sz w:val="19"/>
    </w:rPr>
  </w:style>
  <w:style w:type="character" w:styleId="CommentReference">
    <w:name w:val="annotation reference"/>
    <w:basedOn w:val="DefaultParagraphFont"/>
    <w:rsid w:val="00235A51"/>
    <w:rPr>
      <w:sz w:val="16"/>
      <w:szCs w:val="16"/>
    </w:rPr>
  </w:style>
  <w:style w:type="paragraph" w:styleId="CommentSubject">
    <w:name w:val="annotation subject"/>
    <w:basedOn w:val="CommentText"/>
    <w:next w:val="CommentText"/>
    <w:link w:val="CommentSubjectChar"/>
    <w:semiHidden/>
    <w:rsid w:val="00235A51"/>
    <w:rPr>
      <w:b/>
      <w:bCs/>
    </w:rPr>
  </w:style>
  <w:style w:type="character" w:customStyle="1" w:styleId="CommentSubjectChar">
    <w:name w:val="Comment Subject Char"/>
    <w:basedOn w:val="CommentTextChar"/>
    <w:link w:val="CommentSubject"/>
    <w:semiHidden/>
    <w:rsid w:val="00235A51"/>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235A51"/>
    <w:pPr>
      <w:spacing w:after="720"/>
      <w:outlineLvl w:val="9"/>
    </w:pPr>
  </w:style>
  <w:style w:type="character" w:styleId="Strong">
    <w:name w:val="Strong"/>
    <w:basedOn w:val="DefaultParagraphFont"/>
    <w:uiPriority w:val="22"/>
    <w:qFormat/>
    <w:rsid w:val="00235A51"/>
    <w:rPr>
      <w:b/>
      <w:bCs/>
      <w:color w:val="auto"/>
    </w:rPr>
  </w:style>
  <w:style w:type="paragraph" w:customStyle="1" w:styleId="Dash">
    <w:name w:val="Dash"/>
    <w:basedOn w:val="Normal"/>
    <w:link w:val="DashChar"/>
    <w:qFormat/>
    <w:rsid w:val="00235A51"/>
    <w:pPr>
      <w:numPr>
        <w:ilvl w:val="1"/>
        <w:numId w:val="3"/>
      </w:numPr>
      <w:tabs>
        <w:tab w:val="left" w:pos="567"/>
      </w:tabs>
    </w:pPr>
  </w:style>
  <w:style w:type="paragraph" w:styleId="DocumentMap">
    <w:name w:val="Document Map"/>
    <w:basedOn w:val="Normal"/>
    <w:link w:val="DocumentMapChar"/>
    <w:semiHidden/>
    <w:rsid w:val="00235A51"/>
    <w:pPr>
      <w:shd w:val="clear" w:color="auto" w:fill="000080"/>
    </w:pPr>
    <w:rPr>
      <w:rFonts w:ascii="Tahoma" w:hAnsi="Tahoma" w:cs="Tahoma"/>
    </w:rPr>
  </w:style>
  <w:style w:type="character" w:customStyle="1" w:styleId="DocumentMapChar">
    <w:name w:val="Document Map Char"/>
    <w:basedOn w:val="DefaultParagraphFont"/>
    <w:link w:val="DocumentMap"/>
    <w:semiHidden/>
    <w:rsid w:val="00235A51"/>
    <w:rPr>
      <w:rFonts w:ascii="Tahoma" w:eastAsia="Times New Roman" w:hAnsi="Tahoma" w:cs="Tahoma"/>
      <w:sz w:val="19"/>
      <w:szCs w:val="20"/>
      <w:shd w:val="clear" w:color="auto" w:fill="000080"/>
      <w:lang w:eastAsia="en-AU"/>
    </w:rPr>
  </w:style>
  <w:style w:type="paragraph" w:customStyle="1" w:styleId="DoubleDot">
    <w:name w:val="Double Dot"/>
    <w:basedOn w:val="Normal"/>
    <w:link w:val="DoubleDotChar"/>
    <w:qFormat/>
    <w:rsid w:val="00235A51"/>
    <w:pPr>
      <w:numPr>
        <w:ilvl w:val="2"/>
        <w:numId w:val="3"/>
      </w:numPr>
      <w:tabs>
        <w:tab w:val="clear" w:pos="850"/>
        <w:tab w:val="num" w:pos="360"/>
        <w:tab w:val="left" w:pos="851"/>
      </w:tabs>
    </w:pPr>
  </w:style>
  <w:style w:type="paragraph" w:customStyle="1" w:styleId="FigureHeading">
    <w:name w:val="Figure Heading"/>
    <w:basedOn w:val="HeadingBase"/>
    <w:next w:val="ChartGraphic"/>
    <w:rsid w:val="00235A51"/>
    <w:pPr>
      <w:spacing w:before="120" w:after="20"/>
    </w:pPr>
    <w:rPr>
      <w:b/>
      <w:sz w:val="20"/>
    </w:rPr>
  </w:style>
  <w:style w:type="paragraph" w:customStyle="1" w:styleId="FooterBase">
    <w:name w:val="Footer Base"/>
    <w:rsid w:val="00235A51"/>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235A51"/>
    <w:pPr>
      <w:pBdr>
        <w:top w:val="single" w:sz="4" w:space="10" w:color="002A54" w:themeColor="text2"/>
      </w:pBdr>
      <w:jc w:val="left"/>
    </w:pPr>
    <w:rPr>
      <w:sz w:val="18"/>
    </w:rPr>
  </w:style>
  <w:style w:type="paragraph" w:customStyle="1" w:styleId="FooterOdd">
    <w:name w:val="Footer Odd"/>
    <w:basedOn w:val="Footer"/>
    <w:qFormat/>
    <w:rsid w:val="00235A51"/>
    <w:pPr>
      <w:pBdr>
        <w:top w:val="single" w:sz="4" w:space="10" w:color="002A54" w:themeColor="text2"/>
      </w:pBdr>
      <w:jc w:val="right"/>
    </w:pPr>
    <w:rPr>
      <w:sz w:val="18"/>
    </w:rPr>
  </w:style>
  <w:style w:type="character" w:styleId="FootnoteReference">
    <w:name w:val="footnote reference"/>
    <w:basedOn w:val="DefaultParagraphFont"/>
    <w:rsid w:val="00235A51"/>
    <w:rPr>
      <w:vertAlign w:val="superscript"/>
    </w:rPr>
  </w:style>
  <w:style w:type="paragraph" w:styleId="FootnoteText">
    <w:name w:val="footnote text"/>
    <w:basedOn w:val="Normal"/>
    <w:link w:val="FootnoteTextChar"/>
    <w:rsid w:val="00235A51"/>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235A51"/>
    <w:rPr>
      <w:rFonts w:ascii="Book Antiqua" w:eastAsia="Times New Roman" w:hAnsi="Book Antiqua" w:cs="Times New Roman"/>
      <w:sz w:val="18"/>
      <w:szCs w:val="20"/>
      <w:lang w:eastAsia="en-AU"/>
    </w:rPr>
  </w:style>
  <w:style w:type="character" w:customStyle="1" w:styleId="FramedHeader">
    <w:name w:val="Framed Header"/>
    <w:basedOn w:val="DefaultParagraphFont"/>
    <w:rsid w:val="00235A51"/>
    <w:rPr>
      <w:rFonts w:ascii="Book Antiqua" w:hAnsi="Book Antiqua"/>
      <w:i/>
      <w:dstrike w:val="0"/>
      <w:color w:val="auto"/>
      <w:sz w:val="20"/>
      <w:vertAlign w:val="baseline"/>
    </w:rPr>
  </w:style>
  <w:style w:type="paragraph" w:customStyle="1" w:styleId="HeaderBase">
    <w:name w:val="Header Base"/>
    <w:rsid w:val="00235A51"/>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235A51"/>
  </w:style>
  <w:style w:type="paragraph" w:customStyle="1" w:styleId="HeaderOdd">
    <w:name w:val="Header Odd"/>
    <w:basedOn w:val="HeaderBase"/>
    <w:rsid w:val="00235A51"/>
    <w:pPr>
      <w:jc w:val="right"/>
    </w:pPr>
  </w:style>
  <w:style w:type="character" w:customStyle="1" w:styleId="Heading1Char">
    <w:name w:val="Heading 1 Char"/>
    <w:basedOn w:val="DefaultParagraphFont"/>
    <w:link w:val="Heading1"/>
    <w:rsid w:val="00235A51"/>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235A51"/>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235A51"/>
    <w:rPr>
      <w:rFonts w:ascii="Arial Bold" w:eastAsia="Times New Roman" w:hAnsi="Arial Bold" w:cs="Times New Roman"/>
      <w:b/>
      <w:szCs w:val="20"/>
      <w:lang w:eastAsia="en-AU"/>
    </w:rPr>
  </w:style>
  <w:style w:type="paragraph" w:customStyle="1" w:styleId="Heading3noTOC">
    <w:name w:val="Heading 3 no TOC"/>
    <w:basedOn w:val="Heading3"/>
    <w:rsid w:val="00235A51"/>
    <w:pPr>
      <w:outlineLvl w:val="9"/>
    </w:pPr>
  </w:style>
  <w:style w:type="character" w:customStyle="1" w:styleId="Heading4Char">
    <w:name w:val="Heading 4 Char"/>
    <w:basedOn w:val="DefaultParagraphFont"/>
    <w:link w:val="Heading4"/>
    <w:rsid w:val="00235A51"/>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235A51"/>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235A51"/>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235A51"/>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235A51"/>
    <w:rPr>
      <w:rFonts w:ascii="Times New Roman" w:hAnsi="Times New Roman"/>
      <w:vanish/>
      <w:sz w:val="16"/>
    </w:rPr>
  </w:style>
  <w:style w:type="character" w:styleId="Hyperlink">
    <w:name w:val="Hyperlink"/>
    <w:basedOn w:val="DefaultParagraphFont"/>
    <w:uiPriority w:val="99"/>
    <w:unhideWhenUsed/>
    <w:rsid w:val="00235A51"/>
    <w:rPr>
      <w:color w:val="auto"/>
      <w:u w:val="single"/>
    </w:rPr>
  </w:style>
  <w:style w:type="paragraph" w:styleId="Index4">
    <w:name w:val="index 4"/>
    <w:basedOn w:val="Normal"/>
    <w:next w:val="Normal"/>
    <w:autoRedefine/>
    <w:semiHidden/>
    <w:rsid w:val="00235A51"/>
    <w:pPr>
      <w:ind w:left="800" w:hanging="200"/>
    </w:pPr>
  </w:style>
  <w:style w:type="paragraph" w:styleId="Index5">
    <w:name w:val="index 5"/>
    <w:basedOn w:val="Normal"/>
    <w:next w:val="Normal"/>
    <w:autoRedefine/>
    <w:semiHidden/>
    <w:rsid w:val="00235A51"/>
    <w:pPr>
      <w:ind w:left="1000" w:hanging="200"/>
    </w:pPr>
  </w:style>
  <w:style w:type="paragraph" w:styleId="Index6">
    <w:name w:val="index 6"/>
    <w:basedOn w:val="Normal"/>
    <w:next w:val="Normal"/>
    <w:autoRedefine/>
    <w:semiHidden/>
    <w:rsid w:val="00235A51"/>
    <w:pPr>
      <w:ind w:left="1200" w:hanging="200"/>
    </w:pPr>
  </w:style>
  <w:style w:type="paragraph" w:styleId="Index7">
    <w:name w:val="index 7"/>
    <w:basedOn w:val="Normal"/>
    <w:next w:val="Normal"/>
    <w:autoRedefine/>
    <w:semiHidden/>
    <w:rsid w:val="00235A51"/>
    <w:pPr>
      <w:ind w:left="1400" w:hanging="200"/>
    </w:pPr>
  </w:style>
  <w:style w:type="paragraph" w:styleId="Index8">
    <w:name w:val="index 8"/>
    <w:basedOn w:val="Normal"/>
    <w:next w:val="Normal"/>
    <w:autoRedefine/>
    <w:semiHidden/>
    <w:rsid w:val="00235A51"/>
    <w:pPr>
      <w:ind w:left="1600" w:hanging="200"/>
    </w:pPr>
  </w:style>
  <w:style w:type="paragraph" w:styleId="Index9">
    <w:name w:val="index 9"/>
    <w:basedOn w:val="Normal"/>
    <w:next w:val="Normal"/>
    <w:autoRedefine/>
    <w:semiHidden/>
    <w:rsid w:val="00235A51"/>
    <w:pPr>
      <w:ind w:left="1800" w:hanging="200"/>
    </w:pPr>
  </w:style>
  <w:style w:type="paragraph" w:styleId="MacroText">
    <w:name w:val="macro"/>
    <w:link w:val="MacroTextChar"/>
    <w:unhideWhenUsed/>
    <w:rsid w:val="00235A5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235A51"/>
    <w:rPr>
      <w:rFonts w:ascii="Courier New" w:eastAsia="Times New Roman" w:hAnsi="Courier New" w:cs="Courier New"/>
      <w:sz w:val="20"/>
      <w:szCs w:val="20"/>
      <w:lang w:eastAsia="en-AU"/>
    </w:rPr>
  </w:style>
  <w:style w:type="paragraph" w:styleId="NormalIndent">
    <w:name w:val="Normal Indent"/>
    <w:basedOn w:val="Normal"/>
    <w:rsid w:val="00235A51"/>
    <w:pPr>
      <w:ind w:left="567"/>
    </w:pPr>
  </w:style>
  <w:style w:type="paragraph" w:customStyle="1" w:styleId="NoteTableHeading">
    <w:name w:val="Note Table Heading"/>
    <w:basedOn w:val="HeadingBase"/>
    <w:next w:val="Normal"/>
    <w:rsid w:val="00235A51"/>
    <w:pPr>
      <w:spacing w:before="240"/>
    </w:pPr>
    <w:rPr>
      <w:b/>
      <w:sz w:val="20"/>
    </w:rPr>
  </w:style>
  <w:style w:type="paragraph" w:customStyle="1" w:styleId="OverviewParagraph">
    <w:name w:val="Overview Paragraph"/>
    <w:basedOn w:val="Normal"/>
    <w:rsid w:val="00235A51"/>
    <w:pPr>
      <w:spacing w:before="120" w:after="120" w:line="240" w:lineRule="auto"/>
    </w:pPr>
  </w:style>
  <w:style w:type="character" w:styleId="PageNumber">
    <w:name w:val="page number"/>
    <w:basedOn w:val="DefaultParagraphFont"/>
    <w:rsid w:val="00235A51"/>
    <w:rPr>
      <w:rFonts w:ascii="Arial" w:hAnsi="Arial" w:cs="Arial"/>
    </w:rPr>
  </w:style>
  <w:style w:type="paragraph" w:customStyle="1" w:styleId="SingleParagraph">
    <w:name w:val="Single Paragraph"/>
    <w:basedOn w:val="Normal"/>
    <w:rsid w:val="00235A51"/>
    <w:pPr>
      <w:spacing w:before="0" w:after="0"/>
    </w:pPr>
  </w:style>
  <w:style w:type="paragraph" w:customStyle="1" w:styleId="Source">
    <w:name w:val="Source"/>
    <w:basedOn w:val="Normal"/>
    <w:rsid w:val="00235A51"/>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235A51"/>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235A51"/>
    <w:pPr>
      <w:jc w:val="center"/>
    </w:pPr>
  </w:style>
  <w:style w:type="paragraph" w:customStyle="1" w:styleId="TableColumnHeadingLeft">
    <w:name w:val="Table Column Heading Left"/>
    <w:basedOn w:val="TableColumnHeadingBase"/>
    <w:next w:val="Normal"/>
    <w:rsid w:val="00235A51"/>
  </w:style>
  <w:style w:type="paragraph" w:customStyle="1" w:styleId="TableColumnHeadingRight">
    <w:name w:val="Table Column Heading Right"/>
    <w:basedOn w:val="TableColumnHeadingBase"/>
    <w:next w:val="Normal"/>
    <w:rsid w:val="00235A51"/>
    <w:pPr>
      <w:jc w:val="right"/>
    </w:pPr>
  </w:style>
  <w:style w:type="paragraph" w:customStyle="1" w:styleId="TableGraphic">
    <w:name w:val="Table Graphic"/>
    <w:basedOn w:val="Normal"/>
    <w:next w:val="Normal"/>
    <w:rsid w:val="00235A51"/>
    <w:pPr>
      <w:spacing w:after="0" w:line="240" w:lineRule="auto"/>
      <w:ind w:right="-113"/>
    </w:pPr>
  </w:style>
  <w:style w:type="table" w:styleId="TableGrid">
    <w:name w:val="Table Grid"/>
    <w:basedOn w:val="TableNormal"/>
    <w:rsid w:val="00235A51"/>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235A51"/>
    <w:pPr>
      <w:spacing w:before="120" w:after="20"/>
    </w:pPr>
    <w:rPr>
      <w:b/>
      <w:sz w:val="20"/>
    </w:rPr>
  </w:style>
  <w:style w:type="paragraph" w:customStyle="1" w:styleId="TableHeadingcontinued">
    <w:name w:val="Table Heading continued"/>
    <w:basedOn w:val="HeadingBase"/>
    <w:next w:val="TableGraphic"/>
    <w:rsid w:val="00235A51"/>
    <w:pPr>
      <w:spacing w:before="120" w:after="20"/>
    </w:pPr>
    <w:rPr>
      <w:rFonts w:ascii="Arial Bold" w:hAnsi="Arial Bold"/>
      <w:b/>
      <w:sz w:val="20"/>
    </w:rPr>
  </w:style>
  <w:style w:type="paragraph" w:styleId="TableofFigures">
    <w:name w:val="table of figures"/>
    <w:basedOn w:val="Normal"/>
    <w:next w:val="Normal"/>
    <w:rsid w:val="00235A51"/>
  </w:style>
  <w:style w:type="paragraph" w:customStyle="1" w:styleId="TableTextBase">
    <w:name w:val="Table Text Base"/>
    <w:basedOn w:val="Normal"/>
    <w:rsid w:val="00235A51"/>
    <w:pPr>
      <w:spacing w:before="20" w:after="20" w:line="240" w:lineRule="auto"/>
    </w:pPr>
    <w:rPr>
      <w:rFonts w:ascii="Arial" w:hAnsi="Arial"/>
      <w:sz w:val="16"/>
    </w:rPr>
  </w:style>
  <w:style w:type="paragraph" w:customStyle="1" w:styleId="TableTextCentred">
    <w:name w:val="Table Text Centred"/>
    <w:basedOn w:val="TableTextBase"/>
    <w:rsid w:val="00235A51"/>
    <w:pPr>
      <w:jc w:val="center"/>
    </w:pPr>
  </w:style>
  <w:style w:type="paragraph" w:customStyle="1" w:styleId="TableTextIndented">
    <w:name w:val="Table Text Indented"/>
    <w:basedOn w:val="TableTextBase"/>
    <w:rsid w:val="00235A51"/>
    <w:pPr>
      <w:ind w:left="284"/>
    </w:pPr>
  </w:style>
  <w:style w:type="paragraph" w:customStyle="1" w:styleId="TableTextLeft">
    <w:name w:val="Table Text Left"/>
    <w:basedOn w:val="TableTextBase"/>
    <w:rsid w:val="00235A51"/>
  </w:style>
  <w:style w:type="paragraph" w:customStyle="1" w:styleId="TableTextRight">
    <w:name w:val="Table Text Right"/>
    <w:basedOn w:val="TableTextBase"/>
    <w:rsid w:val="00235A51"/>
    <w:pPr>
      <w:jc w:val="right"/>
    </w:pPr>
  </w:style>
  <w:style w:type="paragraph" w:styleId="TOAHeading">
    <w:name w:val="toa heading"/>
    <w:basedOn w:val="Normal"/>
    <w:next w:val="Normal"/>
    <w:rsid w:val="00235A51"/>
    <w:pPr>
      <w:spacing w:before="120"/>
    </w:pPr>
    <w:rPr>
      <w:rFonts w:ascii="Arial" w:hAnsi="Arial" w:cs="Arial"/>
      <w:b/>
      <w:bCs/>
      <w:sz w:val="24"/>
      <w:szCs w:val="24"/>
    </w:rPr>
  </w:style>
  <w:style w:type="paragraph" w:styleId="TOC1">
    <w:name w:val="toc 1"/>
    <w:basedOn w:val="HeaderBase"/>
    <w:next w:val="Normal"/>
    <w:uiPriority w:val="39"/>
    <w:rsid w:val="00235A51"/>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39"/>
    <w:qFormat/>
    <w:rsid w:val="00235A51"/>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12356E"/>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235A51"/>
    <w:pPr>
      <w:tabs>
        <w:tab w:val="right" w:leader="dot" w:pos="7700"/>
      </w:tabs>
      <w:spacing w:before="40"/>
      <w:ind w:right="851"/>
    </w:pPr>
    <w:rPr>
      <w:sz w:val="20"/>
    </w:rPr>
  </w:style>
  <w:style w:type="paragraph" w:styleId="TOC5">
    <w:name w:val="toc 5"/>
    <w:basedOn w:val="Normal"/>
    <w:next w:val="Normal"/>
    <w:autoRedefine/>
    <w:uiPriority w:val="2"/>
    <w:semiHidden/>
    <w:rsid w:val="00235A51"/>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235A51"/>
    <w:pPr>
      <w:tabs>
        <w:tab w:val="left" w:pos="851"/>
      </w:tabs>
      <w:ind w:left="851" w:hanging="851"/>
    </w:pPr>
    <w:rPr>
      <w:color w:val="000000"/>
    </w:rPr>
  </w:style>
  <w:style w:type="paragraph" w:styleId="TOC7">
    <w:name w:val="toc 7"/>
    <w:basedOn w:val="Normal"/>
    <w:next w:val="Normal"/>
    <w:autoRedefine/>
    <w:uiPriority w:val="2"/>
    <w:semiHidden/>
    <w:rsid w:val="00235A51"/>
    <w:pPr>
      <w:ind w:left="1200"/>
    </w:pPr>
  </w:style>
  <w:style w:type="paragraph" w:styleId="TOC8">
    <w:name w:val="toc 8"/>
    <w:basedOn w:val="Normal"/>
    <w:next w:val="Normal"/>
    <w:autoRedefine/>
    <w:uiPriority w:val="2"/>
    <w:semiHidden/>
    <w:rsid w:val="00235A51"/>
    <w:pPr>
      <w:ind w:left="1400"/>
    </w:pPr>
  </w:style>
  <w:style w:type="paragraph" w:styleId="TOC9">
    <w:name w:val="toc 9"/>
    <w:basedOn w:val="Normal"/>
    <w:next w:val="Normal"/>
    <w:autoRedefine/>
    <w:uiPriority w:val="2"/>
    <w:semiHidden/>
    <w:rsid w:val="00235A51"/>
    <w:pPr>
      <w:ind w:left="1600"/>
    </w:pPr>
  </w:style>
  <w:style w:type="paragraph" w:customStyle="1" w:styleId="TPHeading1">
    <w:name w:val="TP Heading 1"/>
    <w:basedOn w:val="HeadingBase"/>
    <w:semiHidden/>
    <w:rsid w:val="00235A51"/>
    <w:pPr>
      <w:spacing w:before="60" w:after="60"/>
      <w:ind w:left="1134"/>
    </w:pPr>
    <w:rPr>
      <w:rFonts w:ascii="Arial Bold" w:hAnsi="Arial Bold"/>
      <w:b/>
      <w:caps/>
      <w:spacing w:val="-10"/>
      <w:sz w:val="28"/>
    </w:rPr>
  </w:style>
  <w:style w:type="paragraph" w:customStyle="1" w:styleId="TPHeading2">
    <w:name w:val="TP Heading 2"/>
    <w:basedOn w:val="HeadingBase"/>
    <w:semiHidden/>
    <w:rsid w:val="00235A51"/>
    <w:pPr>
      <w:ind w:left="1134"/>
    </w:pPr>
    <w:rPr>
      <w:caps/>
      <w:spacing w:val="-10"/>
      <w:sz w:val="28"/>
    </w:rPr>
  </w:style>
  <w:style w:type="paragraph" w:customStyle="1" w:styleId="TPHeading3">
    <w:name w:val="TP Heading 3"/>
    <w:basedOn w:val="HeadingBase"/>
    <w:semiHidden/>
    <w:rsid w:val="00235A51"/>
    <w:pPr>
      <w:ind w:left="1134"/>
    </w:pPr>
    <w:rPr>
      <w:caps/>
      <w:spacing w:val="-10"/>
    </w:rPr>
  </w:style>
  <w:style w:type="paragraph" w:customStyle="1" w:styleId="TPHeading3bold">
    <w:name w:val="TP Heading 3 bold"/>
    <w:basedOn w:val="TPHeading3"/>
    <w:semiHidden/>
    <w:rsid w:val="00235A51"/>
    <w:rPr>
      <w:rFonts w:cs="Arial"/>
      <w:b/>
      <w:sz w:val="22"/>
      <w:szCs w:val="22"/>
    </w:rPr>
  </w:style>
  <w:style w:type="paragraph" w:customStyle="1" w:styleId="TPHEADING3boldspace">
    <w:name w:val="TP HEADING 3 bold space"/>
    <w:basedOn w:val="TPHeading3bold"/>
    <w:semiHidden/>
    <w:rsid w:val="00235A51"/>
    <w:pPr>
      <w:spacing w:after="120"/>
    </w:pPr>
  </w:style>
  <w:style w:type="paragraph" w:customStyle="1" w:styleId="TPHEADING3space">
    <w:name w:val="TP HEADING 3 space"/>
    <w:basedOn w:val="TPHeading3"/>
    <w:semiHidden/>
    <w:rsid w:val="00235A51"/>
    <w:pPr>
      <w:spacing w:before="120" w:after="120"/>
    </w:pPr>
    <w:rPr>
      <w:rFonts w:cs="Arial"/>
      <w:sz w:val="22"/>
      <w:szCs w:val="22"/>
    </w:rPr>
  </w:style>
  <w:style w:type="paragraph" w:customStyle="1" w:styleId="TPHeading4">
    <w:name w:val="TP Heading 4"/>
    <w:basedOn w:val="TPHeading3"/>
    <w:semiHidden/>
    <w:rsid w:val="00235A51"/>
    <w:rPr>
      <w:sz w:val="20"/>
    </w:rPr>
  </w:style>
  <w:style w:type="paragraph" w:customStyle="1" w:styleId="TPHEADING4space">
    <w:name w:val="TP HEADING 4 space"/>
    <w:basedOn w:val="TPHEADING3space"/>
    <w:semiHidden/>
    <w:rsid w:val="00235A51"/>
  </w:style>
  <w:style w:type="paragraph" w:customStyle="1" w:styleId="ChartLine">
    <w:name w:val="Chart Line"/>
    <w:basedOn w:val="Normal"/>
    <w:autoRedefine/>
    <w:qFormat/>
    <w:rsid w:val="004701E1"/>
    <w:pPr>
      <w:pBdr>
        <w:bottom w:val="single" w:sz="4" w:space="2" w:color="626A77" w:themeColor="background2" w:themeShade="E6"/>
      </w:pBdr>
      <w:spacing w:before="0" w:after="120" w:line="240" w:lineRule="auto"/>
    </w:pPr>
    <w:rPr>
      <w:noProof/>
      <w:sz w:val="4"/>
      <w:szCs w:val="4"/>
    </w:rPr>
  </w:style>
  <w:style w:type="paragraph" w:customStyle="1" w:styleId="ChartMainHeading">
    <w:name w:val="Chart Main Heading"/>
    <w:basedOn w:val="Normal"/>
    <w:next w:val="ChartGraphic"/>
    <w:rsid w:val="00235A51"/>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235A51"/>
    <w:rPr>
      <w:sz w:val="16"/>
    </w:rPr>
  </w:style>
  <w:style w:type="paragraph" w:customStyle="1" w:styleId="Box-continuedon">
    <w:name w:val="Box - continued on"/>
    <w:basedOn w:val="Normal"/>
    <w:qFormat/>
    <w:rsid w:val="00235A51"/>
    <w:pPr>
      <w:jc w:val="right"/>
    </w:pPr>
    <w:rPr>
      <w:rFonts w:asciiTheme="majorHAnsi" w:hAnsiTheme="majorHAnsi" w:cstheme="majorHAnsi"/>
      <w:i/>
      <w:iCs/>
      <w:sz w:val="18"/>
      <w:szCs w:val="24"/>
    </w:rPr>
  </w:style>
  <w:style w:type="paragraph" w:customStyle="1" w:styleId="BoxHeading2">
    <w:name w:val="Box Heading 2"/>
    <w:basedOn w:val="BoxHeading"/>
    <w:autoRedefine/>
    <w:rsid w:val="00235A51"/>
    <w:pPr>
      <w:spacing w:after="0"/>
    </w:pPr>
    <w:rPr>
      <w:b w:val="0"/>
      <w:bCs/>
      <w:szCs w:val="14"/>
    </w:rPr>
  </w:style>
  <w:style w:type="character" w:customStyle="1" w:styleId="Heading9Char">
    <w:name w:val="Heading 9 Char"/>
    <w:basedOn w:val="DefaultParagraphFont"/>
    <w:link w:val="Heading9"/>
    <w:uiPriority w:val="9"/>
    <w:rsid w:val="00235A51"/>
    <w:rPr>
      <w:rFonts w:ascii="Cambria" w:eastAsia="Times New Roman" w:hAnsi="Cambria" w:cs="Times New Roman"/>
      <w:lang w:eastAsia="en-AU"/>
    </w:rPr>
  </w:style>
  <w:style w:type="paragraph" w:customStyle="1" w:styleId="GhostLine">
    <w:name w:val="Ghost Line"/>
    <w:basedOn w:val="NoSpacing"/>
    <w:qFormat/>
    <w:rsid w:val="00235A51"/>
    <w:pPr>
      <w:jc w:val="both"/>
    </w:pPr>
    <w:rPr>
      <w:rFonts w:ascii="Book Antiqua" w:hAnsi="Book Antiqua"/>
      <w:sz w:val="2"/>
    </w:rPr>
  </w:style>
  <w:style w:type="paragraph" w:styleId="NoSpacing">
    <w:name w:val="No Spacing"/>
    <w:uiPriority w:val="1"/>
    <w:qFormat/>
    <w:rsid w:val="00235A51"/>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235A51"/>
    <w:rPr>
      <w:rFonts w:ascii="Book Antiqua" w:eastAsia="Times New Roman" w:hAnsi="Book Antiqua" w:cs="Times New Roman"/>
      <w:sz w:val="19"/>
      <w:szCs w:val="20"/>
      <w:lang w:eastAsia="en-AU"/>
    </w:rPr>
  </w:style>
  <w:style w:type="character" w:customStyle="1" w:styleId="A5">
    <w:name w:val="A5"/>
    <w:uiPriority w:val="99"/>
    <w:rsid w:val="00235A51"/>
    <w:rPr>
      <w:rFonts w:cs="Swiss 721 BT"/>
      <w:color w:val="000000"/>
      <w:sz w:val="20"/>
      <w:szCs w:val="20"/>
    </w:rPr>
  </w:style>
  <w:style w:type="paragraph" w:customStyle="1" w:styleId="CreativeCommonsNormal">
    <w:name w:val="Creative Commons Normal"/>
    <w:basedOn w:val="Normal"/>
    <w:qFormat/>
    <w:rsid w:val="00235A51"/>
    <w:pPr>
      <w:spacing w:before="120" w:after="120"/>
    </w:pPr>
  </w:style>
  <w:style w:type="paragraph" w:customStyle="1" w:styleId="CreativeCommonsH1">
    <w:name w:val="Creative Commons H1"/>
    <w:basedOn w:val="Normal"/>
    <w:qFormat/>
    <w:rsid w:val="00235A51"/>
    <w:pPr>
      <w:spacing w:before="180" w:after="120"/>
    </w:pPr>
    <w:rPr>
      <w:b/>
      <w:bCs/>
    </w:rPr>
  </w:style>
  <w:style w:type="paragraph" w:customStyle="1" w:styleId="CreativeCommonsIndented">
    <w:name w:val="Creative Commons Indented"/>
    <w:basedOn w:val="CreativeCommonsNormal"/>
    <w:qFormat/>
    <w:rsid w:val="00235A51"/>
    <w:pPr>
      <w:ind w:left="567"/>
    </w:pPr>
  </w:style>
  <w:style w:type="paragraph" w:customStyle="1" w:styleId="OutlineNumbered1">
    <w:name w:val="Outline Numbered 1"/>
    <w:basedOn w:val="Normal"/>
    <w:link w:val="OutlineNumbered1Char"/>
    <w:qFormat/>
    <w:rsid w:val="00235A51"/>
    <w:pPr>
      <w:numPr>
        <w:numId w:val="6"/>
      </w:numPr>
      <w:ind w:left="284" w:hanging="284"/>
    </w:pPr>
  </w:style>
  <w:style w:type="character" w:customStyle="1" w:styleId="OutlineNumbered1Char">
    <w:name w:val="Outline Numbered 1 Char"/>
    <w:basedOn w:val="DefaultParagraphFont"/>
    <w:link w:val="OutlineNumbered1"/>
    <w:rsid w:val="00235A51"/>
    <w:rPr>
      <w:rFonts w:ascii="Book Antiqua" w:eastAsia="Times New Roman" w:hAnsi="Book Antiqua" w:cs="Times New Roman"/>
      <w:sz w:val="19"/>
      <w:szCs w:val="20"/>
      <w:lang w:eastAsia="en-AU"/>
    </w:rPr>
  </w:style>
  <w:style w:type="paragraph" w:customStyle="1" w:styleId="OutlineNumbered2">
    <w:name w:val="Outline Numbered 2"/>
    <w:basedOn w:val="Normal"/>
    <w:link w:val="OutlineNumbered2Char"/>
    <w:qFormat/>
    <w:rsid w:val="00235A51"/>
    <w:pPr>
      <w:numPr>
        <w:ilvl w:val="1"/>
        <w:numId w:val="5"/>
      </w:numPr>
    </w:pPr>
  </w:style>
  <w:style w:type="paragraph" w:customStyle="1" w:styleId="OutlineNumbered3">
    <w:name w:val="Outline Numbered 3"/>
    <w:basedOn w:val="Normal"/>
    <w:link w:val="OutlineNumbered3Char"/>
    <w:qFormat/>
    <w:rsid w:val="00235A51"/>
    <w:pPr>
      <w:numPr>
        <w:ilvl w:val="2"/>
        <w:numId w:val="5"/>
      </w:numPr>
    </w:pPr>
  </w:style>
  <w:style w:type="character" w:customStyle="1" w:styleId="ChartandTableFootnoteAlphaChar">
    <w:name w:val="Chart and Table Footnote Alpha Char"/>
    <w:link w:val="ChartandTableFootnoteAlpha"/>
    <w:locked/>
    <w:rsid w:val="00B2621F"/>
    <w:rPr>
      <w:rFonts w:ascii="Arial" w:eastAsia="Times New Roman" w:hAnsi="Arial" w:cs="Times New Roman"/>
      <w:color w:val="000000"/>
      <w:sz w:val="16"/>
      <w:szCs w:val="20"/>
      <w:lang w:eastAsia="en-AU"/>
    </w:rPr>
  </w:style>
  <w:style w:type="character" w:customStyle="1" w:styleId="BulletChar">
    <w:name w:val="Bullet Char"/>
    <w:link w:val="Bullet"/>
    <w:qFormat/>
    <w:rsid w:val="00B2621F"/>
    <w:rPr>
      <w:rFonts w:ascii="Book Antiqua" w:eastAsia="Times New Roman" w:hAnsi="Book Antiqua" w:cs="Times New Roman"/>
      <w:sz w:val="19"/>
      <w:szCs w:val="20"/>
      <w:lang w:eastAsia="en-AU"/>
    </w:rPr>
  </w:style>
  <w:style w:type="character" w:customStyle="1" w:styleId="DashChar">
    <w:name w:val="Dash Char"/>
    <w:basedOn w:val="DefaultParagraphFont"/>
    <w:link w:val="Dash"/>
    <w:rsid w:val="00B2621F"/>
    <w:rPr>
      <w:rFonts w:ascii="Book Antiqua" w:eastAsia="Times New Roman" w:hAnsi="Book Antiqua" w:cs="Times New Roman"/>
      <w:sz w:val="19"/>
      <w:szCs w:val="20"/>
      <w:lang w:eastAsia="en-AU"/>
    </w:rPr>
  </w:style>
  <w:style w:type="character" w:customStyle="1" w:styleId="ChartGraphicChar">
    <w:name w:val="Chart Graphic Char"/>
    <w:basedOn w:val="DefaultParagraphFont"/>
    <w:link w:val="ChartGraphic"/>
    <w:locked/>
    <w:rsid w:val="00B2621F"/>
    <w:rPr>
      <w:rFonts w:ascii="Arial" w:eastAsia="Times New Roman" w:hAnsi="Arial" w:cs="Times New Roman"/>
      <w:sz w:val="20"/>
      <w:szCs w:val="20"/>
      <w:lang w:eastAsia="en-AU"/>
    </w:rPr>
  </w:style>
  <w:style w:type="character" w:styleId="FollowedHyperlink">
    <w:name w:val="FollowedHyperlink"/>
    <w:basedOn w:val="DefaultParagraphFont"/>
    <w:uiPriority w:val="99"/>
    <w:semiHidden/>
    <w:unhideWhenUsed/>
    <w:rsid w:val="00B2621F"/>
    <w:rPr>
      <w:color w:val="E61E26" w:themeColor="followedHyperlink"/>
      <w:u w:val="single"/>
    </w:rPr>
  </w:style>
  <w:style w:type="paragraph" w:styleId="Revision">
    <w:name w:val="Revision"/>
    <w:hidden/>
    <w:uiPriority w:val="99"/>
    <w:semiHidden/>
    <w:rsid w:val="00B2621F"/>
    <w:pPr>
      <w:spacing w:after="0" w:line="240" w:lineRule="auto"/>
    </w:pPr>
    <w:rPr>
      <w:rFonts w:ascii="Book Antiqua" w:eastAsia="Times New Roman" w:hAnsi="Book Antiqua" w:cs="Times New Roman"/>
      <w:sz w:val="20"/>
      <w:szCs w:val="20"/>
      <w:lang w:eastAsia="en-AU"/>
    </w:rPr>
  </w:style>
  <w:style w:type="character" w:customStyle="1" w:styleId="DoubleDotChar">
    <w:name w:val="Double Dot Char"/>
    <w:basedOn w:val="DefaultParagraphFont"/>
    <w:link w:val="DoubleDot"/>
    <w:rsid w:val="00B2621F"/>
    <w:rPr>
      <w:rFonts w:ascii="Book Antiqua" w:eastAsia="Times New Roman" w:hAnsi="Book Antiqua" w:cs="Times New Roman"/>
      <w:sz w:val="19"/>
      <w:szCs w:val="20"/>
      <w:lang w:eastAsia="en-AU"/>
    </w:rPr>
  </w:style>
  <w:style w:type="character" w:customStyle="1" w:styleId="OutlineNumbered2Char">
    <w:name w:val="Outline Numbered 2 Char"/>
    <w:basedOn w:val="DefaultParagraphFont"/>
    <w:link w:val="OutlineNumbered2"/>
    <w:rsid w:val="00B2621F"/>
    <w:rPr>
      <w:rFonts w:ascii="Book Antiqua" w:eastAsia="Times New Roman" w:hAnsi="Book Antiqua" w:cs="Times New Roman"/>
      <w:sz w:val="19"/>
      <w:szCs w:val="20"/>
      <w:lang w:eastAsia="en-AU"/>
    </w:rPr>
  </w:style>
  <w:style w:type="character" w:customStyle="1" w:styleId="OutlineNumbered3Char">
    <w:name w:val="Outline Numbered 3 Char"/>
    <w:basedOn w:val="DefaultParagraphFont"/>
    <w:link w:val="OutlineNumbered3"/>
    <w:rsid w:val="00B2621F"/>
    <w:rPr>
      <w:rFonts w:ascii="Book Antiqua" w:eastAsia="Times New Roman" w:hAnsi="Book Antiqua" w:cs="Times New Roman"/>
      <w:sz w:val="19"/>
      <w:szCs w:val="20"/>
      <w:lang w:eastAsia="en-AU"/>
    </w:rPr>
  </w:style>
  <w:style w:type="character" w:styleId="UnresolvedMention">
    <w:name w:val="Unresolved Mention"/>
    <w:basedOn w:val="DefaultParagraphFont"/>
    <w:uiPriority w:val="99"/>
    <w:semiHidden/>
    <w:unhideWhenUsed/>
    <w:rsid w:val="00B2621F"/>
    <w:rPr>
      <w:color w:val="605E5C"/>
      <w:shd w:val="clear" w:color="auto" w:fill="E1DFDD"/>
    </w:rPr>
  </w:style>
  <w:style w:type="paragraph" w:styleId="CommentText">
    <w:name w:val="annotation text"/>
    <w:basedOn w:val="Normal"/>
    <w:link w:val="CommentTextChar"/>
    <w:rsid w:val="00235A51"/>
  </w:style>
  <w:style w:type="character" w:customStyle="1" w:styleId="CommentTextChar">
    <w:name w:val="Comment Text Char"/>
    <w:basedOn w:val="DefaultParagraphFont"/>
    <w:link w:val="CommentText"/>
    <w:rsid w:val="00235A51"/>
    <w:rPr>
      <w:rFonts w:ascii="Book Antiqua" w:eastAsia="Times New Roman" w:hAnsi="Book Antiqua" w:cs="Times New Roman"/>
      <w:sz w:val="19"/>
      <w:szCs w:val="20"/>
      <w:lang w:eastAsia="en-AU"/>
    </w:rPr>
  </w:style>
  <w:style w:type="character" w:styleId="Emphasis">
    <w:name w:val="Emphasis"/>
    <w:basedOn w:val="DefaultParagraphFont"/>
    <w:uiPriority w:val="20"/>
    <w:qFormat/>
    <w:rsid w:val="00235A51"/>
    <w:rPr>
      <w:i/>
      <w:iCs/>
    </w:rPr>
  </w:style>
  <w:style w:type="character" w:styleId="Mention">
    <w:name w:val="Mention"/>
    <w:basedOn w:val="DefaultParagraphFont"/>
    <w:uiPriority w:val="99"/>
    <w:unhideWhenUsed/>
    <w:rsid w:val="005D1938"/>
    <w:rPr>
      <w:color w:val="2B579A"/>
      <w:shd w:val="clear" w:color="auto" w:fill="E1DFDD"/>
    </w:rPr>
  </w:style>
  <w:style w:type="paragraph" w:styleId="ListParagraph">
    <w:name w:val="List Paragraph"/>
    <w:basedOn w:val="Normal"/>
    <w:uiPriority w:val="34"/>
    <w:qFormat/>
    <w:rsid w:val="006566C6"/>
    <w:pPr>
      <w:ind w:left="720"/>
      <w:contextualSpacing/>
    </w:pPr>
  </w:style>
  <w:style w:type="character" w:customStyle="1" w:styleId="ChartandTableFootnoteChar">
    <w:name w:val="Chart and Table Footnote Char"/>
    <w:basedOn w:val="DefaultParagraphFont"/>
    <w:link w:val="ChartandTableFootnote"/>
    <w:locked/>
    <w:rsid w:val="00C54A51"/>
    <w:rPr>
      <w:rFonts w:ascii="Arial" w:eastAsia="Times New Roman" w:hAnsi="Arial" w:cs="Times New Roman"/>
      <w:color w:val="000000"/>
      <w:sz w:val="16"/>
      <w:szCs w:val="20"/>
      <w:lang w:eastAsia="en-AU"/>
    </w:rPr>
  </w:style>
  <w:style w:type="paragraph" w:styleId="NormalWeb">
    <w:name w:val="Normal (Web)"/>
    <w:basedOn w:val="Normal"/>
    <w:uiPriority w:val="99"/>
    <w:semiHidden/>
    <w:unhideWhenUsed/>
    <w:rsid w:val="0071395A"/>
    <w:rPr>
      <w:rFonts w:ascii="Times New Roman" w:hAnsi="Times New Roman"/>
      <w:sz w:val="24"/>
      <w:szCs w:val="24"/>
    </w:rPr>
  </w:style>
  <w:style w:type="paragraph" w:customStyle="1" w:styleId="pf0">
    <w:name w:val="pf0"/>
    <w:basedOn w:val="Normal"/>
    <w:rsid w:val="00B02C3F"/>
    <w:pPr>
      <w:spacing w:before="100" w:beforeAutospacing="1" w:after="100" w:afterAutospacing="1" w:line="240" w:lineRule="auto"/>
      <w:ind w:left="300"/>
    </w:pPr>
    <w:rPr>
      <w:rFonts w:ascii="Times New Roman" w:hAnsi="Times New Roman"/>
      <w:sz w:val="24"/>
      <w:szCs w:val="24"/>
    </w:rPr>
  </w:style>
  <w:style w:type="paragraph" w:customStyle="1" w:styleId="pf1">
    <w:name w:val="pf1"/>
    <w:basedOn w:val="Normal"/>
    <w:rsid w:val="00B02C3F"/>
    <w:pPr>
      <w:spacing w:before="100" w:beforeAutospacing="1" w:after="100" w:afterAutospacing="1" w:line="240" w:lineRule="auto"/>
      <w:ind w:left="1020"/>
    </w:pPr>
    <w:rPr>
      <w:rFonts w:ascii="Times New Roman" w:hAnsi="Times New Roman"/>
      <w:sz w:val="24"/>
      <w:szCs w:val="24"/>
    </w:rPr>
  </w:style>
  <w:style w:type="character" w:customStyle="1" w:styleId="cf01">
    <w:name w:val="cf01"/>
    <w:basedOn w:val="DefaultParagraphFont"/>
    <w:rsid w:val="00B02C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8796">
      <w:bodyDiv w:val="1"/>
      <w:marLeft w:val="0"/>
      <w:marRight w:val="0"/>
      <w:marTop w:val="0"/>
      <w:marBottom w:val="0"/>
      <w:divBdr>
        <w:top w:val="none" w:sz="0" w:space="0" w:color="auto"/>
        <w:left w:val="none" w:sz="0" w:space="0" w:color="auto"/>
        <w:bottom w:val="none" w:sz="0" w:space="0" w:color="auto"/>
        <w:right w:val="none" w:sz="0" w:space="0" w:color="auto"/>
      </w:divBdr>
    </w:div>
    <w:div w:id="99759180">
      <w:bodyDiv w:val="1"/>
      <w:marLeft w:val="0"/>
      <w:marRight w:val="0"/>
      <w:marTop w:val="0"/>
      <w:marBottom w:val="0"/>
      <w:divBdr>
        <w:top w:val="none" w:sz="0" w:space="0" w:color="auto"/>
        <w:left w:val="none" w:sz="0" w:space="0" w:color="auto"/>
        <w:bottom w:val="none" w:sz="0" w:space="0" w:color="auto"/>
        <w:right w:val="none" w:sz="0" w:space="0" w:color="auto"/>
      </w:divBdr>
    </w:div>
    <w:div w:id="116534644">
      <w:bodyDiv w:val="1"/>
      <w:marLeft w:val="0"/>
      <w:marRight w:val="0"/>
      <w:marTop w:val="0"/>
      <w:marBottom w:val="0"/>
      <w:divBdr>
        <w:top w:val="none" w:sz="0" w:space="0" w:color="auto"/>
        <w:left w:val="none" w:sz="0" w:space="0" w:color="auto"/>
        <w:bottom w:val="none" w:sz="0" w:space="0" w:color="auto"/>
        <w:right w:val="none" w:sz="0" w:space="0" w:color="auto"/>
      </w:divBdr>
    </w:div>
    <w:div w:id="180703255">
      <w:bodyDiv w:val="1"/>
      <w:marLeft w:val="0"/>
      <w:marRight w:val="0"/>
      <w:marTop w:val="0"/>
      <w:marBottom w:val="0"/>
      <w:divBdr>
        <w:top w:val="none" w:sz="0" w:space="0" w:color="auto"/>
        <w:left w:val="none" w:sz="0" w:space="0" w:color="auto"/>
        <w:bottom w:val="none" w:sz="0" w:space="0" w:color="auto"/>
        <w:right w:val="none" w:sz="0" w:space="0" w:color="auto"/>
      </w:divBdr>
    </w:div>
    <w:div w:id="184564283">
      <w:bodyDiv w:val="1"/>
      <w:marLeft w:val="0"/>
      <w:marRight w:val="0"/>
      <w:marTop w:val="0"/>
      <w:marBottom w:val="0"/>
      <w:divBdr>
        <w:top w:val="none" w:sz="0" w:space="0" w:color="auto"/>
        <w:left w:val="none" w:sz="0" w:space="0" w:color="auto"/>
        <w:bottom w:val="none" w:sz="0" w:space="0" w:color="auto"/>
        <w:right w:val="none" w:sz="0" w:space="0" w:color="auto"/>
      </w:divBdr>
    </w:div>
    <w:div w:id="251402902">
      <w:bodyDiv w:val="1"/>
      <w:marLeft w:val="0"/>
      <w:marRight w:val="0"/>
      <w:marTop w:val="0"/>
      <w:marBottom w:val="0"/>
      <w:divBdr>
        <w:top w:val="none" w:sz="0" w:space="0" w:color="auto"/>
        <w:left w:val="none" w:sz="0" w:space="0" w:color="auto"/>
        <w:bottom w:val="none" w:sz="0" w:space="0" w:color="auto"/>
        <w:right w:val="none" w:sz="0" w:space="0" w:color="auto"/>
      </w:divBdr>
    </w:div>
    <w:div w:id="258754339">
      <w:bodyDiv w:val="1"/>
      <w:marLeft w:val="0"/>
      <w:marRight w:val="0"/>
      <w:marTop w:val="0"/>
      <w:marBottom w:val="0"/>
      <w:divBdr>
        <w:top w:val="none" w:sz="0" w:space="0" w:color="auto"/>
        <w:left w:val="none" w:sz="0" w:space="0" w:color="auto"/>
        <w:bottom w:val="none" w:sz="0" w:space="0" w:color="auto"/>
        <w:right w:val="none" w:sz="0" w:space="0" w:color="auto"/>
      </w:divBdr>
    </w:div>
    <w:div w:id="374427213">
      <w:bodyDiv w:val="1"/>
      <w:marLeft w:val="0"/>
      <w:marRight w:val="0"/>
      <w:marTop w:val="0"/>
      <w:marBottom w:val="0"/>
      <w:divBdr>
        <w:top w:val="none" w:sz="0" w:space="0" w:color="auto"/>
        <w:left w:val="none" w:sz="0" w:space="0" w:color="auto"/>
        <w:bottom w:val="none" w:sz="0" w:space="0" w:color="auto"/>
        <w:right w:val="none" w:sz="0" w:space="0" w:color="auto"/>
      </w:divBdr>
    </w:div>
    <w:div w:id="388769290">
      <w:bodyDiv w:val="1"/>
      <w:marLeft w:val="0"/>
      <w:marRight w:val="0"/>
      <w:marTop w:val="0"/>
      <w:marBottom w:val="0"/>
      <w:divBdr>
        <w:top w:val="none" w:sz="0" w:space="0" w:color="auto"/>
        <w:left w:val="none" w:sz="0" w:space="0" w:color="auto"/>
        <w:bottom w:val="none" w:sz="0" w:space="0" w:color="auto"/>
        <w:right w:val="none" w:sz="0" w:space="0" w:color="auto"/>
      </w:divBdr>
    </w:div>
    <w:div w:id="441582746">
      <w:bodyDiv w:val="1"/>
      <w:marLeft w:val="0"/>
      <w:marRight w:val="0"/>
      <w:marTop w:val="0"/>
      <w:marBottom w:val="0"/>
      <w:divBdr>
        <w:top w:val="none" w:sz="0" w:space="0" w:color="auto"/>
        <w:left w:val="none" w:sz="0" w:space="0" w:color="auto"/>
        <w:bottom w:val="none" w:sz="0" w:space="0" w:color="auto"/>
        <w:right w:val="none" w:sz="0" w:space="0" w:color="auto"/>
      </w:divBdr>
    </w:div>
    <w:div w:id="512306543">
      <w:bodyDiv w:val="1"/>
      <w:marLeft w:val="0"/>
      <w:marRight w:val="0"/>
      <w:marTop w:val="0"/>
      <w:marBottom w:val="0"/>
      <w:divBdr>
        <w:top w:val="none" w:sz="0" w:space="0" w:color="auto"/>
        <w:left w:val="none" w:sz="0" w:space="0" w:color="auto"/>
        <w:bottom w:val="none" w:sz="0" w:space="0" w:color="auto"/>
        <w:right w:val="none" w:sz="0" w:space="0" w:color="auto"/>
      </w:divBdr>
    </w:div>
    <w:div w:id="514466866">
      <w:bodyDiv w:val="1"/>
      <w:marLeft w:val="0"/>
      <w:marRight w:val="0"/>
      <w:marTop w:val="0"/>
      <w:marBottom w:val="0"/>
      <w:divBdr>
        <w:top w:val="none" w:sz="0" w:space="0" w:color="auto"/>
        <w:left w:val="none" w:sz="0" w:space="0" w:color="auto"/>
        <w:bottom w:val="none" w:sz="0" w:space="0" w:color="auto"/>
        <w:right w:val="none" w:sz="0" w:space="0" w:color="auto"/>
      </w:divBdr>
    </w:div>
    <w:div w:id="578708980">
      <w:bodyDiv w:val="1"/>
      <w:marLeft w:val="0"/>
      <w:marRight w:val="0"/>
      <w:marTop w:val="0"/>
      <w:marBottom w:val="0"/>
      <w:divBdr>
        <w:top w:val="none" w:sz="0" w:space="0" w:color="auto"/>
        <w:left w:val="none" w:sz="0" w:space="0" w:color="auto"/>
        <w:bottom w:val="none" w:sz="0" w:space="0" w:color="auto"/>
        <w:right w:val="none" w:sz="0" w:space="0" w:color="auto"/>
      </w:divBdr>
    </w:div>
    <w:div w:id="590623958">
      <w:bodyDiv w:val="1"/>
      <w:marLeft w:val="0"/>
      <w:marRight w:val="0"/>
      <w:marTop w:val="0"/>
      <w:marBottom w:val="0"/>
      <w:divBdr>
        <w:top w:val="none" w:sz="0" w:space="0" w:color="auto"/>
        <w:left w:val="none" w:sz="0" w:space="0" w:color="auto"/>
        <w:bottom w:val="none" w:sz="0" w:space="0" w:color="auto"/>
        <w:right w:val="none" w:sz="0" w:space="0" w:color="auto"/>
      </w:divBdr>
    </w:div>
    <w:div w:id="674383526">
      <w:bodyDiv w:val="1"/>
      <w:marLeft w:val="0"/>
      <w:marRight w:val="0"/>
      <w:marTop w:val="0"/>
      <w:marBottom w:val="0"/>
      <w:divBdr>
        <w:top w:val="none" w:sz="0" w:space="0" w:color="auto"/>
        <w:left w:val="none" w:sz="0" w:space="0" w:color="auto"/>
        <w:bottom w:val="none" w:sz="0" w:space="0" w:color="auto"/>
        <w:right w:val="none" w:sz="0" w:space="0" w:color="auto"/>
      </w:divBdr>
    </w:div>
    <w:div w:id="715617152">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49275218">
      <w:bodyDiv w:val="1"/>
      <w:marLeft w:val="0"/>
      <w:marRight w:val="0"/>
      <w:marTop w:val="0"/>
      <w:marBottom w:val="0"/>
      <w:divBdr>
        <w:top w:val="none" w:sz="0" w:space="0" w:color="auto"/>
        <w:left w:val="none" w:sz="0" w:space="0" w:color="auto"/>
        <w:bottom w:val="none" w:sz="0" w:space="0" w:color="auto"/>
        <w:right w:val="none" w:sz="0" w:space="0" w:color="auto"/>
      </w:divBdr>
    </w:div>
    <w:div w:id="834959670">
      <w:bodyDiv w:val="1"/>
      <w:marLeft w:val="0"/>
      <w:marRight w:val="0"/>
      <w:marTop w:val="0"/>
      <w:marBottom w:val="0"/>
      <w:divBdr>
        <w:top w:val="none" w:sz="0" w:space="0" w:color="auto"/>
        <w:left w:val="none" w:sz="0" w:space="0" w:color="auto"/>
        <w:bottom w:val="none" w:sz="0" w:space="0" w:color="auto"/>
        <w:right w:val="none" w:sz="0" w:space="0" w:color="auto"/>
      </w:divBdr>
    </w:div>
    <w:div w:id="879053749">
      <w:bodyDiv w:val="1"/>
      <w:marLeft w:val="0"/>
      <w:marRight w:val="0"/>
      <w:marTop w:val="0"/>
      <w:marBottom w:val="0"/>
      <w:divBdr>
        <w:top w:val="none" w:sz="0" w:space="0" w:color="auto"/>
        <w:left w:val="none" w:sz="0" w:space="0" w:color="auto"/>
        <w:bottom w:val="none" w:sz="0" w:space="0" w:color="auto"/>
        <w:right w:val="none" w:sz="0" w:space="0" w:color="auto"/>
      </w:divBdr>
    </w:div>
    <w:div w:id="961182896">
      <w:bodyDiv w:val="1"/>
      <w:marLeft w:val="0"/>
      <w:marRight w:val="0"/>
      <w:marTop w:val="0"/>
      <w:marBottom w:val="0"/>
      <w:divBdr>
        <w:top w:val="none" w:sz="0" w:space="0" w:color="auto"/>
        <w:left w:val="none" w:sz="0" w:space="0" w:color="auto"/>
        <w:bottom w:val="none" w:sz="0" w:space="0" w:color="auto"/>
        <w:right w:val="none" w:sz="0" w:space="0" w:color="auto"/>
      </w:divBdr>
    </w:div>
    <w:div w:id="973487373">
      <w:bodyDiv w:val="1"/>
      <w:marLeft w:val="0"/>
      <w:marRight w:val="0"/>
      <w:marTop w:val="0"/>
      <w:marBottom w:val="0"/>
      <w:divBdr>
        <w:top w:val="none" w:sz="0" w:space="0" w:color="auto"/>
        <w:left w:val="none" w:sz="0" w:space="0" w:color="auto"/>
        <w:bottom w:val="none" w:sz="0" w:space="0" w:color="auto"/>
        <w:right w:val="none" w:sz="0" w:space="0" w:color="auto"/>
      </w:divBdr>
    </w:div>
    <w:div w:id="984118043">
      <w:bodyDiv w:val="1"/>
      <w:marLeft w:val="0"/>
      <w:marRight w:val="0"/>
      <w:marTop w:val="0"/>
      <w:marBottom w:val="0"/>
      <w:divBdr>
        <w:top w:val="none" w:sz="0" w:space="0" w:color="auto"/>
        <w:left w:val="none" w:sz="0" w:space="0" w:color="auto"/>
        <w:bottom w:val="none" w:sz="0" w:space="0" w:color="auto"/>
        <w:right w:val="none" w:sz="0" w:space="0" w:color="auto"/>
      </w:divBdr>
    </w:div>
    <w:div w:id="991103653">
      <w:bodyDiv w:val="1"/>
      <w:marLeft w:val="0"/>
      <w:marRight w:val="0"/>
      <w:marTop w:val="0"/>
      <w:marBottom w:val="0"/>
      <w:divBdr>
        <w:top w:val="none" w:sz="0" w:space="0" w:color="auto"/>
        <w:left w:val="none" w:sz="0" w:space="0" w:color="auto"/>
        <w:bottom w:val="none" w:sz="0" w:space="0" w:color="auto"/>
        <w:right w:val="none" w:sz="0" w:space="0" w:color="auto"/>
      </w:divBdr>
    </w:div>
    <w:div w:id="1012146536">
      <w:bodyDiv w:val="1"/>
      <w:marLeft w:val="0"/>
      <w:marRight w:val="0"/>
      <w:marTop w:val="0"/>
      <w:marBottom w:val="0"/>
      <w:divBdr>
        <w:top w:val="none" w:sz="0" w:space="0" w:color="auto"/>
        <w:left w:val="none" w:sz="0" w:space="0" w:color="auto"/>
        <w:bottom w:val="none" w:sz="0" w:space="0" w:color="auto"/>
        <w:right w:val="none" w:sz="0" w:space="0" w:color="auto"/>
      </w:divBdr>
    </w:div>
    <w:div w:id="1027755654">
      <w:bodyDiv w:val="1"/>
      <w:marLeft w:val="0"/>
      <w:marRight w:val="0"/>
      <w:marTop w:val="0"/>
      <w:marBottom w:val="0"/>
      <w:divBdr>
        <w:top w:val="none" w:sz="0" w:space="0" w:color="auto"/>
        <w:left w:val="none" w:sz="0" w:space="0" w:color="auto"/>
        <w:bottom w:val="none" w:sz="0" w:space="0" w:color="auto"/>
        <w:right w:val="none" w:sz="0" w:space="0" w:color="auto"/>
      </w:divBdr>
    </w:div>
    <w:div w:id="1055741752">
      <w:bodyDiv w:val="1"/>
      <w:marLeft w:val="0"/>
      <w:marRight w:val="0"/>
      <w:marTop w:val="0"/>
      <w:marBottom w:val="0"/>
      <w:divBdr>
        <w:top w:val="none" w:sz="0" w:space="0" w:color="auto"/>
        <w:left w:val="none" w:sz="0" w:space="0" w:color="auto"/>
        <w:bottom w:val="none" w:sz="0" w:space="0" w:color="auto"/>
        <w:right w:val="none" w:sz="0" w:space="0" w:color="auto"/>
      </w:divBdr>
    </w:div>
    <w:div w:id="1191457226">
      <w:bodyDiv w:val="1"/>
      <w:marLeft w:val="0"/>
      <w:marRight w:val="0"/>
      <w:marTop w:val="0"/>
      <w:marBottom w:val="0"/>
      <w:divBdr>
        <w:top w:val="none" w:sz="0" w:space="0" w:color="auto"/>
        <w:left w:val="none" w:sz="0" w:space="0" w:color="auto"/>
        <w:bottom w:val="none" w:sz="0" w:space="0" w:color="auto"/>
        <w:right w:val="none" w:sz="0" w:space="0" w:color="auto"/>
      </w:divBdr>
    </w:div>
    <w:div w:id="1197158384">
      <w:bodyDiv w:val="1"/>
      <w:marLeft w:val="0"/>
      <w:marRight w:val="0"/>
      <w:marTop w:val="0"/>
      <w:marBottom w:val="0"/>
      <w:divBdr>
        <w:top w:val="none" w:sz="0" w:space="0" w:color="auto"/>
        <w:left w:val="none" w:sz="0" w:space="0" w:color="auto"/>
        <w:bottom w:val="none" w:sz="0" w:space="0" w:color="auto"/>
        <w:right w:val="none" w:sz="0" w:space="0" w:color="auto"/>
      </w:divBdr>
    </w:div>
    <w:div w:id="1211722473">
      <w:bodyDiv w:val="1"/>
      <w:marLeft w:val="0"/>
      <w:marRight w:val="0"/>
      <w:marTop w:val="0"/>
      <w:marBottom w:val="0"/>
      <w:divBdr>
        <w:top w:val="none" w:sz="0" w:space="0" w:color="auto"/>
        <w:left w:val="none" w:sz="0" w:space="0" w:color="auto"/>
        <w:bottom w:val="none" w:sz="0" w:space="0" w:color="auto"/>
        <w:right w:val="none" w:sz="0" w:space="0" w:color="auto"/>
      </w:divBdr>
    </w:div>
    <w:div w:id="1257326814">
      <w:bodyDiv w:val="1"/>
      <w:marLeft w:val="0"/>
      <w:marRight w:val="0"/>
      <w:marTop w:val="0"/>
      <w:marBottom w:val="0"/>
      <w:divBdr>
        <w:top w:val="none" w:sz="0" w:space="0" w:color="auto"/>
        <w:left w:val="none" w:sz="0" w:space="0" w:color="auto"/>
        <w:bottom w:val="none" w:sz="0" w:space="0" w:color="auto"/>
        <w:right w:val="none" w:sz="0" w:space="0" w:color="auto"/>
      </w:divBdr>
    </w:div>
    <w:div w:id="1395273821">
      <w:bodyDiv w:val="1"/>
      <w:marLeft w:val="0"/>
      <w:marRight w:val="0"/>
      <w:marTop w:val="0"/>
      <w:marBottom w:val="0"/>
      <w:divBdr>
        <w:top w:val="none" w:sz="0" w:space="0" w:color="auto"/>
        <w:left w:val="none" w:sz="0" w:space="0" w:color="auto"/>
        <w:bottom w:val="none" w:sz="0" w:space="0" w:color="auto"/>
        <w:right w:val="none" w:sz="0" w:space="0" w:color="auto"/>
      </w:divBdr>
    </w:div>
    <w:div w:id="1432047336">
      <w:bodyDiv w:val="1"/>
      <w:marLeft w:val="0"/>
      <w:marRight w:val="0"/>
      <w:marTop w:val="0"/>
      <w:marBottom w:val="0"/>
      <w:divBdr>
        <w:top w:val="none" w:sz="0" w:space="0" w:color="auto"/>
        <w:left w:val="none" w:sz="0" w:space="0" w:color="auto"/>
        <w:bottom w:val="none" w:sz="0" w:space="0" w:color="auto"/>
        <w:right w:val="none" w:sz="0" w:space="0" w:color="auto"/>
      </w:divBdr>
    </w:div>
    <w:div w:id="1453015864">
      <w:bodyDiv w:val="1"/>
      <w:marLeft w:val="0"/>
      <w:marRight w:val="0"/>
      <w:marTop w:val="0"/>
      <w:marBottom w:val="0"/>
      <w:divBdr>
        <w:top w:val="none" w:sz="0" w:space="0" w:color="auto"/>
        <w:left w:val="none" w:sz="0" w:space="0" w:color="auto"/>
        <w:bottom w:val="none" w:sz="0" w:space="0" w:color="auto"/>
        <w:right w:val="none" w:sz="0" w:space="0" w:color="auto"/>
      </w:divBdr>
    </w:div>
    <w:div w:id="1499424021">
      <w:bodyDiv w:val="1"/>
      <w:marLeft w:val="0"/>
      <w:marRight w:val="0"/>
      <w:marTop w:val="0"/>
      <w:marBottom w:val="0"/>
      <w:divBdr>
        <w:top w:val="none" w:sz="0" w:space="0" w:color="auto"/>
        <w:left w:val="none" w:sz="0" w:space="0" w:color="auto"/>
        <w:bottom w:val="none" w:sz="0" w:space="0" w:color="auto"/>
        <w:right w:val="none" w:sz="0" w:space="0" w:color="auto"/>
      </w:divBdr>
    </w:div>
    <w:div w:id="1510483454">
      <w:bodyDiv w:val="1"/>
      <w:marLeft w:val="0"/>
      <w:marRight w:val="0"/>
      <w:marTop w:val="0"/>
      <w:marBottom w:val="0"/>
      <w:divBdr>
        <w:top w:val="none" w:sz="0" w:space="0" w:color="auto"/>
        <w:left w:val="none" w:sz="0" w:space="0" w:color="auto"/>
        <w:bottom w:val="none" w:sz="0" w:space="0" w:color="auto"/>
        <w:right w:val="none" w:sz="0" w:space="0" w:color="auto"/>
      </w:divBdr>
    </w:div>
    <w:div w:id="1621032969">
      <w:bodyDiv w:val="1"/>
      <w:marLeft w:val="0"/>
      <w:marRight w:val="0"/>
      <w:marTop w:val="0"/>
      <w:marBottom w:val="0"/>
      <w:divBdr>
        <w:top w:val="none" w:sz="0" w:space="0" w:color="auto"/>
        <w:left w:val="none" w:sz="0" w:space="0" w:color="auto"/>
        <w:bottom w:val="none" w:sz="0" w:space="0" w:color="auto"/>
        <w:right w:val="none" w:sz="0" w:space="0" w:color="auto"/>
      </w:divBdr>
    </w:div>
    <w:div w:id="1645357095">
      <w:bodyDiv w:val="1"/>
      <w:marLeft w:val="0"/>
      <w:marRight w:val="0"/>
      <w:marTop w:val="0"/>
      <w:marBottom w:val="0"/>
      <w:divBdr>
        <w:top w:val="none" w:sz="0" w:space="0" w:color="auto"/>
        <w:left w:val="none" w:sz="0" w:space="0" w:color="auto"/>
        <w:bottom w:val="none" w:sz="0" w:space="0" w:color="auto"/>
        <w:right w:val="none" w:sz="0" w:space="0" w:color="auto"/>
      </w:divBdr>
    </w:div>
    <w:div w:id="1647737910">
      <w:bodyDiv w:val="1"/>
      <w:marLeft w:val="0"/>
      <w:marRight w:val="0"/>
      <w:marTop w:val="0"/>
      <w:marBottom w:val="0"/>
      <w:divBdr>
        <w:top w:val="none" w:sz="0" w:space="0" w:color="auto"/>
        <w:left w:val="none" w:sz="0" w:space="0" w:color="auto"/>
        <w:bottom w:val="none" w:sz="0" w:space="0" w:color="auto"/>
        <w:right w:val="none" w:sz="0" w:space="0" w:color="auto"/>
      </w:divBdr>
    </w:div>
    <w:div w:id="1648558831">
      <w:bodyDiv w:val="1"/>
      <w:marLeft w:val="0"/>
      <w:marRight w:val="0"/>
      <w:marTop w:val="0"/>
      <w:marBottom w:val="0"/>
      <w:divBdr>
        <w:top w:val="none" w:sz="0" w:space="0" w:color="auto"/>
        <w:left w:val="none" w:sz="0" w:space="0" w:color="auto"/>
        <w:bottom w:val="none" w:sz="0" w:space="0" w:color="auto"/>
        <w:right w:val="none" w:sz="0" w:space="0" w:color="auto"/>
      </w:divBdr>
    </w:div>
    <w:div w:id="1732338349">
      <w:bodyDiv w:val="1"/>
      <w:marLeft w:val="0"/>
      <w:marRight w:val="0"/>
      <w:marTop w:val="0"/>
      <w:marBottom w:val="0"/>
      <w:divBdr>
        <w:top w:val="none" w:sz="0" w:space="0" w:color="auto"/>
        <w:left w:val="none" w:sz="0" w:space="0" w:color="auto"/>
        <w:bottom w:val="none" w:sz="0" w:space="0" w:color="auto"/>
        <w:right w:val="none" w:sz="0" w:space="0" w:color="auto"/>
      </w:divBdr>
    </w:div>
    <w:div w:id="1900162655">
      <w:bodyDiv w:val="1"/>
      <w:marLeft w:val="0"/>
      <w:marRight w:val="0"/>
      <w:marTop w:val="0"/>
      <w:marBottom w:val="0"/>
      <w:divBdr>
        <w:top w:val="none" w:sz="0" w:space="0" w:color="auto"/>
        <w:left w:val="none" w:sz="0" w:space="0" w:color="auto"/>
        <w:bottom w:val="none" w:sz="0" w:space="0" w:color="auto"/>
        <w:right w:val="none" w:sz="0" w:space="0" w:color="auto"/>
      </w:divBdr>
    </w:div>
    <w:div w:id="1914508077">
      <w:bodyDiv w:val="1"/>
      <w:marLeft w:val="0"/>
      <w:marRight w:val="0"/>
      <w:marTop w:val="0"/>
      <w:marBottom w:val="0"/>
      <w:divBdr>
        <w:top w:val="none" w:sz="0" w:space="0" w:color="auto"/>
        <w:left w:val="none" w:sz="0" w:space="0" w:color="auto"/>
        <w:bottom w:val="none" w:sz="0" w:space="0" w:color="auto"/>
        <w:right w:val="none" w:sz="0" w:space="0" w:color="auto"/>
      </w:divBdr>
    </w:div>
    <w:div w:id="1944721597">
      <w:bodyDiv w:val="1"/>
      <w:marLeft w:val="0"/>
      <w:marRight w:val="0"/>
      <w:marTop w:val="0"/>
      <w:marBottom w:val="0"/>
      <w:divBdr>
        <w:top w:val="none" w:sz="0" w:space="0" w:color="auto"/>
        <w:left w:val="none" w:sz="0" w:space="0" w:color="auto"/>
        <w:bottom w:val="none" w:sz="0" w:space="0" w:color="auto"/>
        <w:right w:val="none" w:sz="0" w:space="0" w:color="auto"/>
      </w:divBdr>
    </w:div>
    <w:div w:id="2040888839">
      <w:bodyDiv w:val="1"/>
      <w:marLeft w:val="0"/>
      <w:marRight w:val="0"/>
      <w:marTop w:val="0"/>
      <w:marBottom w:val="0"/>
      <w:divBdr>
        <w:top w:val="none" w:sz="0" w:space="0" w:color="auto"/>
        <w:left w:val="none" w:sz="0" w:space="0" w:color="auto"/>
        <w:bottom w:val="none" w:sz="0" w:space="0" w:color="auto"/>
        <w:right w:val="none" w:sz="0" w:space="0" w:color="auto"/>
      </w:divBdr>
    </w:div>
    <w:div w:id="212155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image" Target="media/image13.emf"/><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2.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7.emf"/><Relationship Id="rId29"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1.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10.emf"/><Relationship Id="rId28" Type="http://schemas.openxmlformats.org/officeDocument/2006/relationships/image" Target="media/image15.emf"/><Relationship Id="rId10" Type="http://schemas.openxmlformats.org/officeDocument/2006/relationships/footer" Target="footer2.xml"/><Relationship Id="rId19" Type="http://schemas.openxmlformats.org/officeDocument/2006/relationships/image" Target="media/image6.emf"/><Relationship Id="rId31" Type="http://schemas.openxmlformats.org/officeDocument/2006/relationships/image" Target="media/image18.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10167</Words>
  <Characters>57956</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Budget Paper No. 1</vt:lpstr>
    </vt:vector>
  </TitlesOfParts>
  <Company/>
  <LinksUpToDate>false</LinksUpToDate>
  <CharactersWithSpaces>67988</CharactersWithSpaces>
  <SharedDoc>false</SharedDoc>
  <HLinks>
    <vt:vector size="132" baseType="variant">
      <vt:variant>
        <vt:i4>1179702</vt:i4>
      </vt:variant>
      <vt:variant>
        <vt:i4>246</vt:i4>
      </vt:variant>
      <vt:variant>
        <vt:i4>0</vt:i4>
      </vt:variant>
      <vt:variant>
        <vt:i4>5</vt:i4>
      </vt:variant>
      <vt:variant>
        <vt:lpwstr/>
      </vt:variant>
      <vt:variant>
        <vt:lpwstr>_Toc193278368</vt:lpwstr>
      </vt:variant>
      <vt:variant>
        <vt:i4>1179702</vt:i4>
      </vt:variant>
      <vt:variant>
        <vt:i4>240</vt:i4>
      </vt:variant>
      <vt:variant>
        <vt:i4>0</vt:i4>
      </vt:variant>
      <vt:variant>
        <vt:i4>5</vt:i4>
      </vt:variant>
      <vt:variant>
        <vt:lpwstr/>
      </vt:variant>
      <vt:variant>
        <vt:lpwstr>_Toc193278367</vt:lpwstr>
      </vt:variant>
      <vt:variant>
        <vt:i4>1179702</vt:i4>
      </vt:variant>
      <vt:variant>
        <vt:i4>234</vt:i4>
      </vt:variant>
      <vt:variant>
        <vt:i4>0</vt:i4>
      </vt:variant>
      <vt:variant>
        <vt:i4>5</vt:i4>
      </vt:variant>
      <vt:variant>
        <vt:lpwstr/>
      </vt:variant>
      <vt:variant>
        <vt:lpwstr>_Toc193278366</vt:lpwstr>
      </vt:variant>
      <vt:variant>
        <vt:i4>1179702</vt:i4>
      </vt:variant>
      <vt:variant>
        <vt:i4>228</vt:i4>
      </vt:variant>
      <vt:variant>
        <vt:i4>0</vt:i4>
      </vt:variant>
      <vt:variant>
        <vt:i4>5</vt:i4>
      </vt:variant>
      <vt:variant>
        <vt:lpwstr/>
      </vt:variant>
      <vt:variant>
        <vt:lpwstr>_Toc193278365</vt:lpwstr>
      </vt:variant>
      <vt:variant>
        <vt:i4>1179702</vt:i4>
      </vt:variant>
      <vt:variant>
        <vt:i4>222</vt:i4>
      </vt:variant>
      <vt:variant>
        <vt:i4>0</vt:i4>
      </vt:variant>
      <vt:variant>
        <vt:i4>5</vt:i4>
      </vt:variant>
      <vt:variant>
        <vt:lpwstr/>
      </vt:variant>
      <vt:variant>
        <vt:lpwstr>_Toc193278364</vt:lpwstr>
      </vt:variant>
      <vt:variant>
        <vt:i4>1179702</vt:i4>
      </vt:variant>
      <vt:variant>
        <vt:i4>216</vt:i4>
      </vt:variant>
      <vt:variant>
        <vt:i4>0</vt:i4>
      </vt:variant>
      <vt:variant>
        <vt:i4>5</vt:i4>
      </vt:variant>
      <vt:variant>
        <vt:lpwstr/>
      </vt:variant>
      <vt:variant>
        <vt:lpwstr>_Toc193278363</vt:lpwstr>
      </vt:variant>
      <vt:variant>
        <vt:i4>1179702</vt:i4>
      </vt:variant>
      <vt:variant>
        <vt:i4>210</vt:i4>
      </vt:variant>
      <vt:variant>
        <vt:i4>0</vt:i4>
      </vt:variant>
      <vt:variant>
        <vt:i4>5</vt:i4>
      </vt:variant>
      <vt:variant>
        <vt:lpwstr/>
      </vt:variant>
      <vt:variant>
        <vt:lpwstr>_Toc193278362</vt:lpwstr>
      </vt:variant>
      <vt:variant>
        <vt:i4>1048630</vt:i4>
      </vt:variant>
      <vt:variant>
        <vt:i4>204</vt:i4>
      </vt:variant>
      <vt:variant>
        <vt:i4>0</vt:i4>
      </vt:variant>
      <vt:variant>
        <vt:i4>5</vt:i4>
      </vt:variant>
      <vt:variant>
        <vt:lpwstr/>
      </vt:variant>
      <vt:variant>
        <vt:lpwstr>_Toc193278345</vt:lpwstr>
      </vt:variant>
      <vt:variant>
        <vt:i4>1048630</vt:i4>
      </vt:variant>
      <vt:variant>
        <vt:i4>198</vt:i4>
      </vt:variant>
      <vt:variant>
        <vt:i4>0</vt:i4>
      </vt:variant>
      <vt:variant>
        <vt:i4>5</vt:i4>
      </vt:variant>
      <vt:variant>
        <vt:lpwstr/>
      </vt:variant>
      <vt:variant>
        <vt:lpwstr>_Toc193278344</vt:lpwstr>
      </vt:variant>
      <vt:variant>
        <vt:i4>1048630</vt:i4>
      </vt:variant>
      <vt:variant>
        <vt:i4>192</vt:i4>
      </vt:variant>
      <vt:variant>
        <vt:i4>0</vt:i4>
      </vt:variant>
      <vt:variant>
        <vt:i4>5</vt:i4>
      </vt:variant>
      <vt:variant>
        <vt:lpwstr/>
      </vt:variant>
      <vt:variant>
        <vt:lpwstr>_Toc193278343</vt:lpwstr>
      </vt:variant>
      <vt:variant>
        <vt:i4>1048630</vt:i4>
      </vt:variant>
      <vt:variant>
        <vt:i4>186</vt:i4>
      </vt:variant>
      <vt:variant>
        <vt:i4>0</vt:i4>
      </vt:variant>
      <vt:variant>
        <vt:i4>5</vt:i4>
      </vt:variant>
      <vt:variant>
        <vt:lpwstr/>
      </vt:variant>
      <vt:variant>
        <vt:lpwstr>_Toc193278342</vt:lpwstr>
      </vt:variant>
      <vt:variant>
        <vt:i4>1048630</vt:i4>
      </vt:variant>
      <vt:variant>
        <vt:i4>180</vt:i4>
      </vt:variant>
      <vt:variant>
        <vt:i4>0</vt:i4>
      </vt:variant>
      <vt:variant>
        <vt:i4>5</vt:i4>
      </vt:variant>
      <vt:variant>
        <vt:lpwstr/>
      </vt:variant>
      <vt:variant>
        <vt:lpwstr>_Toc193278341</vt:lpwstr>
      </vt:variant>
      <vt:variant>
        <vt:i4>1048630</vt:i4>
      </vt:variant>
      <vt:variant>
        <vt:i4>174</vt:i4>
      </vt:variant>
      <vt:variant>
        <vt:i4>0</vt:i4>
      </vt:variant>
      <vt:variant>
        <vt:i4>5</vt:i4>
      </vt:variant>
      <vt:variant>
        <vt:lpwstr/>
      </vt:variant>
      <vt:variant>
        <vt:lpwstr>_Toc193278340</vt:lpwstr>
      </vt:variant>
      <vt:variant>
        <vt:i4>1507382</vt:i4>
      </vt:variant>
      <vt:variant>
        <vt:i4>168</vt:i4>
      </vt:variant>
      <vt:variant>
        <vt:i4>0</vt:i4>
      </vt:variant>
      <vt:variant>
        <vt:i4>5</vt:i4>
      </vt:variant>
      <vt:variant>
        <vt:lpwstr/>
      </vt:variant>
      <vt:variant>
        <vt:lpwstr>_Toc193278339</vt:lpwstr>
      </vt:variant>
      <vt:variant>
        <vt:i4>1507382</vt:i4>
      </vt:variant>
      <vt:variant>
        <vt:i4>162</vt:i4>
      </vt:variant>
      <vt:variant>
        <vt:i4>0</vt:i4>
      </vt:variant>
      <vt:variant>
        <vt:i4>5</vt:i4>
      </vt:variant>
      <vt:variant>
        <vt:lpwstr/>
      </vt:variant>
      <vt:variant>
        <vt:lpwstr>_Toc193278338</vt:lpwstr>
      </vt:variant>
      <vt:variant>
        <vt:i4>1507382</vt:i4>
      </vt:variant>
      <vt:variant>
        <vt:i4>156</vt:i4>
      </vt:variant>
      <vt:variant>
        <vt:i4>0</vt:i4>
      </vt:variant>
      <vt:variant>
        <vt:i4>5</vt:i4>
      </vt:variant>
      <vt:variant>
        <vt:lpwstr/>
      </vt:variant>
      <vt:variant>
        <vt:lpwstr>_Toc193278337</vt:lpwstr>
      </vt:variant>
      <vt:variant>
        <vt:i4>1507382</vt:i4>
      </vt:variant>
      <vt:variant>
        <vt:i4>150</vt:i4>
      </vt:variant>
      <vt:variant>
        <vt:i4>0</vt:i4>
      </vt:variant>
      <vt:variant>
        <vt:i4>5</vt:i4>
      </vt:variant>
      <vt:variant>
        <vt:lpwstr/>
      </vt:variant>
      <vt:variant>
        <vt:lpwstr>_Toc193278336</vt:lpwstr>
      </vt:variant>
      <vt:variant>
        <vt:i4>1507382</vt:i4>
      </vt:variant>
      <vt:variant>
        <vt:i4>144</vt:i4>
      </vt:variant>
      <vt:variant>
        <vt:i4>0</vt:i4>
      </vt:variant>
      <vt:variant>
        <vt:i4>5</vt:i4>
      </vt:variant>
      <vt:variant>
        <vt:lpwstr/>
      </vt:variant>
      <vt:variant>
        <vt:lpwstr>_Toc193278335</vt:lpwstr>
      </vt:variant>
      <vt:variant>
        <vt:i4>1507382</vt:i4>
      </vt:variant>
      <vt:variant>
        <vt:i4>138</vt:i4>
      </vt:variant>
      <vt:variant>
        <vt:i4>0</vt:i4>
      </vt:variant>
      <vt:variant>
        <vt:i4>5</vt:i4>
      </vt:variant>
      <vt:variant>
        <vt:lpwstr/>
      </vt:variant>
      <vt:variant>
        <vt:lpwstr>_Toc193278334</vt:lpwstr>
      </vt:variant>
      <vt:variant>
        <vt:i4>1507382</vt:i4>
      </vt:variant>
      <vt:variant>
        <vt:i4>132</vt:i4>
      </vt:variant>
      <vt:variant>
        <vt:i4>0</vt:i4>
      </vt:variant>
      <vt:variant>
        <vt:i4>5</vt:i4>
      </vt:variant>
      <vt:variant>
        <vt:lpwstr/>
      </vt:variant>
      <vt:variant>
        <vt:lpwstr>_Toc193278333</vt:lpwstr>
      </vt:variant>
      <vt:variant>
        <vt:i4>1507382</vt:i4>
      </vt:variant>
      <vt:variant>
        <vt:i4>126</vt:i4>
      </vt:variant>
      <vt:variant>
        <vt:i4>0</vt:i4>
      </vt:variant>
      <vt:variant>
        <vt:i4>5</vt:i4>
      </vt:variant>
      <vt:variant>
        <vt:lpwstr/>
      </vt:variant>
      <vt:variant>
        <vt:lpwstr>_Toc193278332</vt:lpwstr>
      </vt:variant>
      <vt:variant>
        <vt:i4>1507382</vt:i4>
      </vt:variant>
      <vt:variant>
        <vt:i4>120</vt:i4>
      </vt:variant>
      <vt:variant>
        <vt:i4>0</vt:i4>
      </vt:variant>
      <vt:variant>
        <vt:i4>5</vt:i4>
      </vt:variant>
      <vt:variant>
        <vt:lpwstr/>
      </vt:variant>
      <vt:variant>
        <vt:lpwstr>_Toc193278331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1</dc:title>
  <dc:subject>Statement 3: Fiscal Strategy and Outlook</dc:subject>
  <dc:creator>Australian Government</dc:creator>
  <cp:keywords/>
  <dc:description/>
  <cp:lastModifiedBy/>
  <cp:revision>1</cp:revision>
  <dcterms:created xsi:type="dcterms:W3CDTF">2025-03-24T01:43:00Z</dcterms:created>
  <dcterms:modified xsi:type="dcterms:W3CDTF">2025-03-24T01:44:00Z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2025-03-24T01:43:17Z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9bf4d417-07c4-4084-ad76-1ce4a262f8f1</vt:lpwstr>
  </property>
  <property fmtid="{D5CDD505-2E9C-101B-9397-08002B2CF9AE}" pid="8" name="MSIP_Label_4f932d64-9ab1-4d9b-81d2-a3a8b82dd47d_ContentBits">
    <vt:lpwstr>0</vt:lpwstr>
  </property>
</Properties>
</file>