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F3677" w14:textId="4CC392BC" w:rsidR="00DF4D4F" w:rsidRPr="00566DA9" w:rsidRDefault="00DF4D4F" w:rsidP="000D1574">
      <w:pPr>
        <w:pStyle w:val="Heading1-Statement"/>
      </w:pPr>
      <w:r w:rsidRPr="000D1574">
        <w:t>Statement</w:t>
      </w:r>
      <w:r w:rsidRPr="00566DA9">
        <w:t xml:space="preserve"> 4:</w:t>
      </w:r>
      <w:r w:rsidRPr="00566DA9">
        <w:rPr>
          <w:rStyle w:val="Strong"/>
        </w:rPr>
        <w:t xml:space="preserve"> </w:t>
      </w:r>
      <w:r w:rsidRPr="00566DA9">
        <w:rPr>
          <w:rStyle w:val="Strong"/>
        </w:rPr>
        <w:br/>
      </w:r>
      <w:r w:rsidRPr="00566DA9">
        <w:t>Revenue</w:t>
      </w:r>
    </w:p>
    <w:p w14:paraId="56446C28" w14:textId="66C2D685" w:rsidR="007715D6" w:rsidRPr="00EC4BA6" w:rsidRDefault="00500DD1" w:rsidP="00DF4D4F">
      <w:r w:rsidRPr="00EC4BA6">
        <w:t>T</w:t>
      </w:r>
      <w:r w:rsidR="00D36185" w:rsidRPr="00EC4BA6">
        <w:t xml:space="preserve">he upgrade to receipts over the forward estimates is much smaller than </w:t>
      </w:r>
      <w:r w:rsidR="6519987E" w:rsidRPr="00EC4BA6">
        <w:t>in</w:t>
      </w:r>
      <w:r w:rsidR="00D36185" w:rsidRPr="00EC4BA6">
        <w:t xml:space="preserve"> recent Budgets.</w:t>
      </w:r>
      <w:r w:rsidR="00967F38" w:rsidRPr="00EC4BA6">
        <w:t xml:space="preserve"> </w:t>
      </w:r>
      <w:r w:rsidR="00491439" w:rsidRPr="00EC4BA6">
        <w:t xml:space="preserve">In this </w:t>
      </w:r>
      <w:r w:rsidR="5D1735A0" w:rsidRPr="00EC4BA6">
        <w:t>B</w:t>
      </w:r>
      <w:r w:rsidR="00491439" w:rsidRPr="00EC4BA6">
        <w:t xml:space="preserve">udget, it is </w:t>
      </w:r>
      <w:r w:rsidR="00683EA7" w:rsidRPr="00EC4BA6">
        <w:t xml:space="preserve">around </w:t>
      </w:r>
      <w:r w:rsidR="00491439" w:rsidRPr="00EC4BA6">
        <w:t xml:space="preserve">one sixth of the average of the last </w:t>
      </w:r>
      <w:r w:rsidR="0033313D" w:rsidRPr="00EC4BA6">
        <w:t>five</w:t>
      </w:r>
      <w:r w:rsidR="00491439" w:rsidRPr="00EC4BA6">
        <w:t xml:space="preserve"> </w:t>
      </w:r>
      <w:r w:rsidR="00731628" w:rsidRPr="00EC4BA6">
        <w:t>b</w:t>
      </w:r>
      <w:r w:rsidR="00491439" w:rsidRPr="00EC4BA6">
        <w:t>udget</w:t>
      </w:r>
      <w:r w:rsidR="0033313D" w:rsidRPr="00EC4BA6">
        <w:t xml:space="preserve"> updates</w:t>
      </w:r>
      <w:r w:rsidR="00F33076" w:rsidRPr="00EC4BA6">
        <w:t xml:space="preserve">. </w:t>
      </w:r>
      <w:r w:rsidR="00A7420A" w:rsidRPr="00EC4BA6">
        <w:t>The upgrade i</w:t>
      </w:r>
      <w:r w:rsidR="00675AFF" w:rsidRPr="00EC4BA6">
        <w:t>s</w:t>
      </w:r>
      <w:r w:rsidR="00F33076" w:rsidRPr="00EC4BA6">
        <w:t xml:space="preserve"> </w:t>
      </w:r>
      <w:r w:rsidR="00D713E5" w:rsidRPr="00EC4BA6">
        <w:t xml:space="preserve">concentrated in </w:t>
      </w:r>
      <w:r w:rsidR="00A7420A" w:rsidRPr="00EC4BA6">
        <w:t>the near term</w:t>
      </w:r>
      <w:r w:rsidR="00AA4401" w:rsidRPr="00EC4BA6">
        <w:t>,</w:t>
      </w:r>
      <w:r w:rsidR="00EA1302" w:rsidRPr="00EC4BA6">
        <w:t xml:space="preserve"> with</w:t>
      </w:r>
      <w:r w:rsidR="00A7420A" w:rsidRPr="00EC4BA6">
        <w:t xml:space="preserve"> </w:t>
      </w:r>
      <w:r w:rsidR="0067348D" w:rsidRPr="00EC4BA6">
        <w:t xml:space="preserve">upgrades to </w:t>
      </w:r>
      <w:r w:rsidR="004B070F" w:rsidRPr="00EC4BA6">
        <w:t>income tax</w:t>
      </w:r>
      <w:r w:rsidR="00A416DC" w:rsidRPr="00EC4BA6">
        <w:t> </w:t>
      </w:r>
      <w:r w:rsidR="004B070F" w:rsidRPr="00EC4BA6">
        <w:t>receip</w:t>
      </w:r>
      <w:r w:rsidR="00FD5D87" w:rsidRPr="00EC4BA6">
        <w:t xml:space="preserve">ts being partially offset </w:t>
      </w:r>
      <w:r w:rsidR="00C47DB2" w:rsidRPr="00EC4BA6">
        <w:t>by downgrades to excise and customs duty</w:t>
      </w:r>
      <w:r w:rsidR="00A7420A" w:rsidRPr="00EC4BA6">
        <w:t>.</w:t>
      </w:r>
    </w:p>
    <w:p w14:paraId="752C2B4A" w14:textId="79CF9430" w:rsidR="00317ED5" w:rsidRPr="00EC4BA6" w:rsidRDefault="000875A6" w:rsidP="4DDB1054">
      <w:r w:rsidRPr="00EC4BA6">
        <w:t>Since MYEFO,</w:t>
      </w:r>
      <w:r w:rsidR="00DF4D4F" w:rsidRPr="00EC4BA6">
        <w:t xml:space="preserve"> tax receipts excluding GST and policy decisions</w:t>
      </w:r>
      <w:r w:rsidR="00357203" w:rsidRPr="00EC4BA6">
        <w:t xml:space="preserve"> </w:t>
      </w:r>
      <w:r w:rsidRPr="00EC4BA6">
        <w:t xml:space="preserve">have </w:t>
      </w:r>
      <w:r w:rsidR="00DF4D4F" w:rsidRPr="00EC4BA6">
        <w:t>increas</w:t>
      </w:r>
      <w:r w:rsidRPr="00EC4BA6">
        <w:t>ed</w:t>
      </w:r>
      <w:r w:rsidR="00DF4D4F" w:rsidRPr="00EC4BA6">
        <w:t xml:space="preserve"> by $</w:t>
      </w:r>
      <w:r w:rsidR="001F2F1B" w:rsidRPr="00EC4BA6">
        <w:t>6.</w:t>
      </w:r>
      <w:r w:rsidR="00B11597" w:rsidRPr="00EC4BA6">
        <w:t>7</w:t>
      </w:r>
      <w:r w:rsidR="00DF4D4F" w:rsidRPr="00EC4BA6">
        <w:t> billion in 202</w:t>
      </w:r>
      <w:r w:rsidR="00CC5859" w:rsidRPr="00EC4BA6">
        <w:t>5</w:t>
      </w:r>
      <w:r w:rsidR="00E65831" w:rsidRPr="00EC4BA6">
        <w:t>–</w:t>
      </w:r>
      <w:r w:rsidR="00DF4D4F" w:rsidRPr="00EC4BA6">
        <w:t>2</w:t>
      </w:r>
      <w:r w:rsidR="00CC5859" w:rsidRPr="00EC4BA6">
        <w:t>6</w:t>
      </w:r>
      <w:r w:rsidR="00DF4D4F" w:rsidRPr="00EC4BA6">
        <w:t xml:space="preserve"> and $</w:t>
      </w:r>
      <w:r w:rsidR="001F2F1B" w:rsidRPr="00EC4BA6">
        <w:t>9.</w:t>
      </w:r>
      <w:r w:rsidR="001857EC" w:rsidRPr="00EC4BA6">
        <w:t>4</w:t>
      </w:r>
      <w:r w:rsidR="002B126B" w:rsidRPr="00EC4BA6">
        <w:t> </w:t>
      </w:r>
      <w:r w:rsidR="00DF4D4F" w:rsidRPr="00EC4BA6">
        <w:t xml:space="preserve">billion over the </w:t>
      </w:r>
      <w:r w:rsidR="00F015C0" w:rsidRPr="00EC4BA6">
        <w:t>five years from 2024</w:t>
      </w:r>
      <w:r w:rsidR="00D55A27" w:rsidRPr="00EC4BA6">
        <w:t>–</w:t>
      </w:r>
      <w:r w:rsidR="00F015C0" w:rsidRPr="00EC4BA6">
        <w:t>25 to 2028</w:t>
      </w:r>
      <w:r w:rsidR="00D55A27" w:rsidRPr="00EC4BA6">
        <w:t>–</w:t>
      </w:r>
      <w:r w:rsidR="00F015C0" w:rsidRPr="00EC4BA6">
        <w:t>29</w:t>
      </w:r>
      <w:r w:rsidR="00DF4D4F" w:rsidRPr="00EC4BA6">
        <w:t>.</w:t>
      </w:r>
      <w:r w:rsidR="007715D6" w:rsidRPr="00EC4BA6">
        <w:t xml:space="preserve"> </w:t>
      </w:r>
    </w:p>
    <w:p w14:paraId="19928AE4" w14:textId="560B22BE" w:rsidR="00C43D22" w:rsidRPr="005013E4" w:rsidRDefault="00C43D22" w:rsidP="00C43D22">
      <w:r w:rsidRPr="005013E4">
        <w:t>The Government will deliver new personal income tax cuts to every Australian taxpayer from 1 July 2026, adding to the tax cuts that have been rolling out since 1</w:t>
      </w:r>
      <w:r w:rsidR="00CB1A92">
        <w:t> </w:t>
      </w:r>
      <w:r w:rsidRPr="005013E4">
        <w:t>July</w:t>
      </w:r>
      <w:r w:rsidR="00CB1A92">
        <w:t> </w:t>
      </w:r>
      <w:r w:rsidRPr="005013E4">
        <w:t xml:space="preserve">2024. </w:t>
      </w:r>
    </w:p>
    <w:p w14:paraId="25E71416" w14:textId="77777777" w:rsidR="00C43D22" w:rsidRPr="00784AC4" w:rsidRDefault="00C43D22" w:rsidP="00C43D22">
      <w:r w:rsidRPr="005013E4">
        <w:t>Primarily driven by the new tax cuts, policy decisions taken since MYEFO decrease tax receipts by $15.1 billion over the five years from 2024–25 to 2028–29.</w:t>
      </w:r>
      <w:r>
        <w:t xml:space="preserve"> </w:t>
      </w:r>
    </w:p>
    <w:p w14:paraId="5BD125A1" w14:textId="37365BF0" w:rsidR="006C3331" w:rsidRPr="00EC4BA6" w:rsidRDefault="00AA61EE" w:rsidP="4DDB1054">
      <w:r w:rsidRPr="00EC4BA6">
        <w:t>H</w:t>
      </w:r>
      <w:r w:rsidR="00DF4D4F" w:rsidRPr="00EC4BA6">
        <w:t xml:space="preserve">igher employment and continuing strength in the labour market </w:t>
      </w:r>
      <w:r w:rsidR="007E75CB" w:rsidRPr="00EC4BA6">
        <w:t>is</w:t>
      </w:r>
      <w:r w:rsidR="00DF4D4F" w:rsidRPr="00EC4BA6">
        <w:t xml:space="preserve"> </w:t>
      </w:r>
      <w:r w:rsidR="00C24DD4" w:rsidRPr="00EC4BA6">
        <w:t>the</w:t>
      </w:r>
      <w:r w:rsidR="002F05A5" w:rsidRPr="00EC4BA6">
        <w:t xml:space="preserve"> main </w:t>
      </w:r>
      <w:r w:rsidRPr="00EC4BA6">
        <w:t>driver</w:t>
      </w:r>
      <w:r w:rsidR="00ED3895" w:rsidRPr="00EC4BA6">
        <w:t xml:space="preserve"> </w:t>
      </w:r>
      <w:r w:rsidR="00124753" w:rsidRPr="00EC4BA6">
        <w:t>of</w:t>
      </w:r>
      <w:r w:rsidR="002F05A5" w:rsidRPr="00EC4BA6">
        <w:t xml:space="preserve"> the</w:t>
      </w:r>
      <w:r w:rsidR="00DF4D4F" w:rsidRPr="00EC4BA6">
        <w:t xml:space="preserve"> upgrade</w:t>
      </w:r>
      <w:r w:rsidR="00124753" w:rsidRPr="00EC4BA6">
        <w:t>s to tax receipts</w:t>
      </w:r>
      <w:r w:rsidR="00CA03C3" w:rsidRPr="00EC4BA6">
        <w:t xml:space="preserve"> </w:t>
      </w:r>
      <w:r w:rsidR="00C60532" w:rsidRPr="00EC4BA6">
        <w:t>since MYEFO</w:t>
      </w:r>
      <w:r w:rsidR="00DF4D4F" w:rsidRPr="00EC4BA6">
        <w:t>.</w:t>
      </w:r>
      <w:r w:rsidR="005A6E54" w:rsidRPr="00EC4BA6">
        <w:t xml:space="preserve"> This </w:t>
      </w:r>
      <w:r w:rsidR="00CB729A" w:rsidRPr="00EC4BA6">
        <w:t xml:space="preserve">is </w:t>
      </w:r>
      <w:r w:rsidR="005A6E54" w:rsidRPr="00EC4BA6">
        <w:t xml:space="preserve">supported in the near term </w:t>
      </w:r>
      <w:r w:rsidR="00DA399E" w:rsidRPr="00EC4BA6">
        <w:t xml:space="preserve">by </w:t>
      </w:r>
      <w:r w:rsidR="006E0F78" w:rsidRPr="00EC4BA6">
        <w:t>temporar</w:t>
      </w:r>
      <w:r w:rsidR="006341D6" w:rsidRPr="00EC4BA6">
        <w:t>y</w:t>
      </w:r>
      <w:r w:rsidR="006E0F78" w:rsidRPr="00EC4BA6">
        <w:t xml:space="preserve"> </w:t>
      </w:r>
      <w:r w:rsidR="006341D6" w:rsidRPr="00EC4BA6">
        <w:t xml:space="preserve">strength in </w:t>
      </w:r>
      <w:r w:rsidR="00221845" w:rsidRPr="00EC4BA6">
        <w:t>mining sector profits</w:t>
      </w:r>
      <w:r w:rsidR="00CF59DB" w:rsidRPr="00EC4BA6">
        <w:t xml:space="preserve">, leading to </w:t>
      </w:r>
      <w:r w:rsidR="006341D6" w:rsidRPr="00EC4BA6">
        <w:t>higher</w:t>
      </w:r>
      <w:r w:rsidR="007B185B" w:rsidRPr="00EC4BA6">
        <w:t xml:space="preserve"> company</w:t>
      </w:r>
      <w:r w:rsidR="003837F6" w:rsidRPr="00EC4BA6">
        <w:t xml:space="preserve"> </w:t>
      </w:r>
      <w:r w:rsidR="00F03842" w:rsidRPr="00EC4BA6">
        <w:t>tax</w:t>
      </w:r>
      <w:r w:rsidR="006341D6" w:rsidRPr="00EC4BA6">
        <w:t xml:space="preserve"> receipts</w:t>
      </w:r>
      <w:r w:rsidR="007A393B" w:rsidRPr="00EC4BA6">
        <w:t>.</w:t>
      </w:r>
      <w:r w:rsidR="00DF4D4F" w:rsidRPr="00EC4BA6">
        <w:t xml:space="preserve"> </w:t>
      </w:r>
    </w:p>
    <w:p w14:paraId="2EC3DFC8" w14:textId="5C78FC91" w:rsidR="00DF4D4F" w:rsidRPr="00EC4BA6" w:rsidRDefault="00DF4D4F" w:rsidP="4DDB1054">
      <w:r w:rsidRPr="00EC4BA6">
        <w:t>These</w:t>
      </w:r>
      <w:r w:rsidR="00D005C8" w:rsidRPr="00EC4BA6">
        <w:t xml:space="preserve"> upgrades</w:t>
      </w:r>
      <w:r w:rsidRPr="00EC4BA6">
        <w:t xml:space="preserve"> </w:t>
      </w:r>
      <w:r w:rsidR="00405BB4" w:rsidRPr="00EC4BA6">
        <w:t>are</w:t>
      </w:r>
      <w:r w:rsidRPr="00EC4BA6">
        <w:t xml:space="preserve"> </w:t>
      </w:r>
      <w:r w:rsidR="00F350D9" w:rsidRPr="00EC4BA6">
        <w:t xml:space="preserve">partly </w:t>
      </w:r>
      <w:r w:rsidRPr="00EC4BA6">
        <w:t>offset</w:t>
      </w:r>
      <w:r w:rsidR="00F350D9" w:rsidRPr="00EC4BA6">
        <w:t xml:space="preserve"> </w:t>
      </w:r>
      <w:r w:rsidR="00D70438" w:rsidRPr="00EC4BA6">
        <w:t>by a downgrade</w:t>
      </w:r>
      <w:r w:rsidR="087A4941" w:rsidRPr="00EC4BA6">
        <w:t xml:space="preserve"> to the</w:t>
      </w:r>
      <w:r w:rsidR="00D70438" w:rsidRPr="00EC4BA6">
        <w:t xml:space="preserve"> outlook for excisable tobacco volumes </w:t>
      </w:r>
      <w:r w:rsidR="00941F74" w:rsidRPr="00EC4BA6">
        <w:t xml:space="preserve">across </w:t>
      </w:r>
      <w:r w:rsidR="00D70438" w:rsidRPr="00EC4BA6">
        <w:t xml:space="preserve">the forward estimates. </w:t>
      </w:r>
      <w:r w:rsidR="00DF137E" w:rsidRPr="00EC4BA6">
        <w:t>L</w:t>
      </w:r>
      <w:r w:rsidR="000378FE" w:rsidRPr="00EC4BA6">
        <w:t xml:space="preserve">ower </w:t>
      </w:r>
      <w:r w:rsidR="00B2786F" w:rsidRPr="00EC4BA6">
        <w:t>non</w:t>
      </w:r>
      <w:r w:rsidR="001A3DD6">
        <w:noBreakHyphen/>
      </w:r>
      <w:r w:rsidR="00B2786F" w:rsidRPr="00EC4BA6">
        <w:t xml:space="preserve">mining company </w:t>
      </w:r>
      <w:r w:rsidR="00E86EE3" w:rsidRPr="00EC4BA6">
        <w:t>profits</w:t>
      </w:r>
      <w:r w:rsidR="00DF137E" w:rsidRPr="00EC4BA6">
        <w:t xml:space="preserve"> also</w:t>
      </w:r>
      <w:r w:rsidR="00A64EE2" w:rsidRPr="00EC4BA6">
        <w:t xml:space="preserve"> </w:t>
      </w:r>
      <w:r w:rsidR="391ED454" w:rsidRPr="00EC4BA6">
        <w:t>contribute to</w:t>
      </w:r>
      <w:r w:rsidR="00A64EE2" w:rsidRPr="00EC4BA6">
        <w:t xml:space="preserve"> </w:t>
      </w:r>
      <w:r w:rsidR="003E0707" w:rsidRPr="00EC4BA6">
        <w:t>lower company tax</w:t>
      </w:r>
      <w:r w:rsidR="00DF137E" w:rsidRPr="00EC4BA6">
        <w:t xml:space="preserve"> </w:t>
      </w:r>
      <w:r w:rsidR="70748994" w:rsidRPr="00EC4BA6">
        <w:t xml:space="preserve">estimates </w:t>
      </w:r>
      <w:r w:rsidR="00DF137E" w:rsidRPr="00EC4BA6">
        <w:t>in the later years</w:t>
      </w:r>
      <w:r w:rsidRPr="00EC4BA6">
        <w:t>.</w:t>
      </w:r>
    </w:p>
    <w:p w14:paraId="2E2BDD8E" w14:textId="024F2297" w:rsidR="000E199B" w:rsidRPr="00EC4BA6" w:rsidRDefault="000E199B" w:rsidP="000E199B">
      <w:r w:rsidRPr="00EC4BA6">
        <w:t xml:space="preserve">The revenue outlook continues to be exposed to the underlying economic risks. The global economic outlook remains uncertain and volatile, </w:t>
      </w:r>
      <w:r w:rsidR="00DD383B" w:rsidRPr="00EC4BA6">
        <w:t>particularly from the escalation</w:t>
      </w:r>
      <w:r w:rsidR="002959EC" w:rsidRPr="00EC4BA6">
        <w:t xml:space="preserve"> in trade tensions. This uncertainty</w:t>
      </w:r>
      <w:r w:rsidRPr="00EC4BA6">
        <w:t xml:space="preserve"> poses risks for exports and global commodity prices. </w:t>
      </w:r>
    </w:p>
    <w:p w14:paraId="631BAB3A" w14:textId="7220B740" w:rsidR="00DF4D4F" w:rsidRPr="00566DA9" w:rsidRDefault="002959EC" w:rsidP="00DF4D4F">
      <w:r w:rsidRPr="005013E4">
        <w:t>The tax</w:t>
      </w:r>
      <w:r w:rsidR="001A3DD6">
        <w:noBreakHyphen/>
      </w:r>
      <w:r w:rsidRPr="005013E4">
        <w:t>to</w:t>
      </w:r>
      <w:r w:rsidR="001A3DD6">
        <w:noBreakHyphen/>
      </w:r>
      <w:r w:rsidRPr="005013E4">
        <w:t>GDP ratio is expected to be 23.5</w:t>
      </w:r>
      <w:r w:rsidR="00CB1A92">
        <w:t> </w:t>
      </w:r>
      <w:r w:rsidRPr="005013E4">
        <w:t>per</w:t>
      </w:r>
      <w:r w:rsidR="00CB1A92">
        <w:t> </w:t>
      </w:r>
      <w:r w:rsidRPr="005013E4">
        <w:t>cent of GDP in 2025–26 and then fall to 23.4 per</w:t>
      </w:r>
      <w:r w:rsidR="00584185" w:rsidRPr="005013E4">
        <w:t> </w:t>
      </w:r>
      <w:r w:rsidRPr="005013E4">
        <w:t>cent of GDP by the end of the forward estimates</w:t>
      </w:r>
      <w:r w:rsidR="00C43D22" w:rsidRPr="005013E4">
        <w:t>, following the delivery of the Government</w:t>
      </w:r>
      <w:r w:rsidR="001A3DD6">
        <w:t>’</w:t>
      </w:r>
      <w:r w:rsidR="00C43D22" w:rsidRPr="005013E4">
        <w:t>s new tax cuts</w:t>
      </w:r>
      <w:r w:rsidR="009709AC" w:rsidRPr="005013E4">
        <w:t xml:space="preserve"> for every Australian taxpayer</w:t>
      </w:r>
      <w:r w:rsidRPr="005013E4">
        <w:t>.</w:t>
      </w:r>
      <w:r w:rsidR="00DF4D4F" w:rsidRPr="00566DA9">
        <w:br w:type="page"/>
      </w:r>
    </w:p>
    <w:p w14:paraId="3784B85F" w14:textId="77777777" w:rsidR="00DF4D4F" w:rsidRPr="00566DA9" w:rsidRDefault="00DF4D4F" w:rsidP="00DF4D4F"/>
    <w:p w14:paraId="79A1E85A" w14:textId="77777777" w:rsidR="00DF4D4F" w:rsidRPr="00566DA9" w:rsidRDefault="00DF4D4F" w:rsidP="00DF4D4F">
      <w:pPr>
        <w:sectPr w:rsidR="00DF4D4F" w:rsidRPr="00566DA9" w:rsidSect="00E63AB3">
          <w:headerReference w:type="even" r:id="rId7"/>
          <w:footerReference w:type="default" r:id="rId8"/>
          <w:headerReference w:type="first" r:id="rId9"/>
          <w:footerReference w:type="first" r:id="rId10"/>
          <w:pgSz w:w="11906" w:h="16838" w:code="9"/>
          <w:pgMar w:top="2835" w:right="2098" w:bottom="2466" w:left="2098" w:header="1814" w:footer="1814" w:gutter="0"/>
          <w:pgNumType w:start="89"/>
          <w:cols w:space="708"/>
          <w:titlePg/>
          <w:docGrid w:linePitch="360"/>
        </w:sectPr>
      </w:pPr>
    </w:p>
    <w:p w14:paraId="535BCEB6" w14:textId="77777777" w:rsidR="00DF4D4F" w:rsidRPr="00566DA9" w:rsidRDefault="00DF4D4F" w:rsidP="001E657F">
      <w:pPr>
        <w:pStyle w:val="Heading1"/>
      </w:pPr>
      <w:r w:rsidRPr="00566DA9">
        <w:lastRenderedPageBreak/>
        <w:t>Statement contents</w:t>
      </w:r>
    </w:p>
    <w:p w14:paraId="06C8E519" w14:textId="79AA336A" w:rsidR="00593873" w:rsidRDefault="00DF4D4F">
      <w:pPr>
        <w:pStyle w:val="TOC1"/>
        <w:rPr>
          <w:rFonts w:asciiTheme="minorHAnsi" w:eastAsiaTheme="minorEastAsia" w:hAnsiTheme="minorHAnsi" w:cstheme="minorBidi"/>
          <w:b w:val="0"/>
          <w:noProof/>
          <w:kern w:val="2"/>
          <w:sz w:val="24"/>
          <w:szCs w:val="24"/>
          <w14:ligatures w14:val="standardContextual"/>
        </w:rPr>
      </w:pPr>
      <w:r w:rsidRPr="00566DA9">
        <w:fldChar w:fldCharType="begin"/>
      </w:r>
      <w:r w:rsidRPr="00566DA9">
        <w:instrText xml:space="preserve"> TOC \h \z \u \t "Heading </w:instrText>
      </w:r>
      <w:r w:rsidR="00593873">
        <w:instrText>1</w:instrText>
      </w:r>
      <w:r w:rsidRPr="00566DA9">
        <w:instrText xml:space="preserve">,1,Heading </w:instrText>
      </w:r>
      <w:r w:rsidR="00593873">
        <w:instrText>2</w:instrText>
      </w:r>
      <w:r w:rsidRPr="00566DA9">
        <w:instrText xml:space="preserve">,2" </w:instrText>
      </w:r>
      <w:r w:rsidRPr="00566DA9">
        <w:fldChar w:fldCharType="separate"/>
      </w:r>
      <w:hyperlink w:anchor="_Toc193528304" w:history="1">
        <w:r w:rsidR="00593873" w:rsidRPr="003B352C">
          <w:rPr>
            <w:rStyle w:val="Hyperlink"/>
            <w:noProof/>
          </w:rPr>
          <w:t>Statement 4: Revenue</w:t>
        </w:r>
        <w:r w:rsidR="00593873">
          <w:rPr>
            <w:noProof/>
            <w:webHidden/>
          </w:rPr>
          <w:tab/>
        </w:r>
        <w:r w:rsidR="00593873">
          <w:rPr>
            <w:noProof/>
            <w:webHidden/>
          </w:rPr>
          <w:fldChar w:fldCharType="begin"/>
        </w:r>
        <w:r w:rsidR="00593873">
          <w:rPr>
            <w:noProof/>
            <w:webHidden/>
          </w:rPr>
          <w:instrText xml:space="preserve"> PAGEREF _Toc193528304 \h </w:instrText>
        </w:r>
        <w:r w:rsidR="00593873">
          <w:rPr>
            <w:noProof/>
            <w:webHidden/>
          </w:rPr>
        </w:r>
        <w:r w:rsidR="00593873">
          <w:rPr>
            <w:noProof/>
            <w:webHidden/>
          </w:rPr>
          <w:fldChar w:fldCharType="separate"/>
        </w:r>
        <w:r w:rsidR="00F93268">
          <w:rPr>
            <w:noProof/>
            <w:webHidden/>
          </w:rPr>
          <w:t>93</w:t>
        </w:r>
        <w:r w:rsidR="00593873">
          <w:rPr>
            <w:noProof/>
            <w:webHidden/>
          </w:rPr>
          <w:fldChar w:fldCharType="end"/>
        </w:r>
      </w:hyperlink>
    </w:p>
    <w:p w14:paraId="64099D90" w14:textId="6C3087C7" w:rsidR="00593873" w:rsidRDefault="00BD116A" w:rsidP="00593873">
      <w:pPr>
        <w:pStyle w:val="TOC2"/>
        <w:tabs>
          <w:tab w:val="clear" w:pos="992"/>
        </w:tabs>
        <w:rPr>
          <w:rFonts w:asciiTheme="minorHAnsi" w:eastAsiaTheme="minorEastAsia" w:hAnsiTheme="minorHAnsi" w:cstheme="minorBidi"/>
          <w:noProof/>
          <w:kern w:val="2"/>
          <w:sz w:val="24"/>
          <w:szCs w:val="24"/>
          <w14:ligatures w14:val="standardContextual"/>
        </w:rPr>
      </w:pPr>
      <w:hyperlink w:anchor="_Toc193528305" w:history="1">
        <w:r w:rsidR="00593873" w:rsidRPr="00593873">
          <w:rPr>
            <w:rStyle w:val="Hyperlink"/>
            <w:u w:val="none"/>
          </w:rPr>
          <w:t>Overview</w:t>
        </w:r>
        <w:r w:rsidR="00593873">
          <w:rPr>
            <w:noProof/>
            <w:webHidden/>
          </w:rPr>
          <w:tab/>
        </w:r>
        <w:r w:rsidR="00593873">
          <w:rPr>
            <w:noProof/>
            <w:webHidden/>
          </w:rPr>
          <w:fldChar w:fldCharType="begin"/>
        </w:r>
        <w:r w:rsidR="00593873">
          <w:rPr>
            <w:noProof/>
            <w:webHidden/>
          </w:rPr>
          <w:instrText xml:space="preserve"> PAGEREF _Toc193528305 \h </w:instrText>
        </w:r>
        <w:r w:rsidR="00593873">
          <w:rPr>
            <w:noProof/>
            <w:webHidden/>
          </w:rPr>
        </w:r>
        <w:r w:rsidR="00593873">
          <w:rPr>
            <w:noProof/>
            <w:webHidden/>
          </w:rPr>
          <w:fldChar w:fldCharType="separate"/>
        </w:r>
        <w:r w:rsidR="00F93268">
          <w:rPr>
            <w:noProof/>
            <w:webHidden/>
          </w:rPr>
          <w:t>93</w:t>
        </w:r>
        <w:r w:rsidR="00593873">
          <w:rPr>
            <w:noProof/>
            <w:webHidden/>
          </w:rPr>
          <w:fldChar w:fldCharType="end"/>
        </w:r>
      </w:hyperlink>
    </w:p>
    <w:p w14:paraId="5FEE80F7" w14:textId="51773BB7" w:rsidR="00593873" w:rsidRDefault="00BD116A">
      <w:pPr>
        <w:pStyle w:val="TOC2"/>
        <w:rPr>
          <w:rFonts w:asciiTheme="minorHAnsi" w:eastAsiaTheme="minorEastAsia" w:hAnsiTheme="minorHAnsi" w:cstheme="minorBidi"/>
          <w:noProof/>
          <w:kern w:val="2"/>
          <w:sz w:val="24"/>
          <w:szCs w:val="24"/>
          <w14:ligatures w14:val="standardContextual"/>
        </w:rPr>
      </w:pPr>
      <w:hyperlink w:anchor="_Toc193528306" w:history="1">
        <w:r w:rsidR="00593873" w:rsidRPr="003B352C">
          <w:rPr>
            <w:rStyle w:val="Hyperlink"/>
            <w:noProof/>
          </w:rPr>
          <w:t>Variations in receipts estimates</w:t>
        </w:r>
        <w:r w:rsidR="00593873">
          <w:rPr>
            <w:noProof/>
            <w:webHidden/>
          </w:rPr>
          <w:tab/>
        </w:r>
        <w:r w:rsidR="00593873">
          <w:rPr>
            <w:noProof/>
            <w:webHidden/>
          </w:rPr>
          <w:fldChar w:fldCharType="begin"/>
        </w:r>
        <w:r w:rsidR="00593873">
          <w:rPr>
            <w:noProof/>
            <w:webHidden/>
          </w:rPr>
          <w:instrText xml:space="preserve"> PAGEREF _Toc193528306 \h </w:instrText>
        </w:r>
        <w:r w:rsidR="00593873">
          <w:rPr>
            <w:noProof/>
            <w:webHidden/>
          </w:rPr>
        </w:r>
        <w:r w:rsidR="00593873">
          <w:rPr>
            <w:noProof/>
            <w:webHidden/>
          </w:rPr>
          <w:fldChar w:fldCharType="separate"/>
        </w:r>
        <w:r w:rsidR="00F93268">
          <w:rPr>
            <w:noProof/>
            <w:webHidden/>
          </w:rPr>
          <w:t>95</w:t>
        </w:r>
        <w:r w:rsidR="00593873">
          <w:rPr>
            <w:noProof/>
            <w:webHidden/>
          </w:rPr>
          <w:fldChar w:fldCharType="end"/>
        </w:r>
      </w:hyperlink>
    </w:p>
    <w:p w14:paraId="5BD673E6" w14:textId="741D0A0A" w:rsidR="00593873" w:rsidRDefault="00BD116A">
      <w:pPr>
        <w:pStyle w:val="TOC2"/>
        <w:rPr>
          <w:rFonts w:asciiTheme="minorHAnsi" w:eastAsiaTheme="minorEastAsia" w:hAnsiTheme="minorHAnsi" w:cstheme="minorBidi"/>
          <w:noProof/>
          <w:kern w:val="2"/>
          <w:sz w:val="24"/>
          <w:szCs w:val="24"/>
          <w14:ligatures w14:val="standardContextual"/>
        </w:rPr>
      </w:pPr>
      <w:hyperlink w:anchor="_Toc193528307" w:history="1">
        <w:r w:rsidR="00593873" w:rsidRPr="003B352C">
          <w:rPr>
            <w:rStyle w:val="Hyperlink"/>
            <w:noProof/>
          </w:rPr>
          <w:t>Variations in revenue estimates</w:t>
        </w:r>
        <w:r w:rsidR="00593873">
          <w:rPr>
            <w:noProof/>
            <w:webHidden/>
          </w:rPr>
          <w:tab/>
        </w:r>
        <w:r w:rsidR="00593873">
          <w:rPr>
            <w:noProof/>
            <w:webHidden/>
          </w:rPr>
          <w:fldChar w:fldCharType="begin"/>
        </w:r>
        <w:r w:rsidR="00593873">
          <w:rPr>
            <w:noProof/>
            <w:webHidden/>
          </w:rPr>
          <w:instrText xml:space="preserve"> PAGEREF _Toc193528307 \h </w:instrText>
        </w:r>
        <w:r w:rsidR="00593873">
          <w:rPr>
            <w:noProof/>
            <w:webHidden/>
          </w:rPr>
        </w:r>
        <w:r w:rsidR="00593873">
          <w:rPr>
            <w:noProof/>
            <w:webHidden/>
          </w:rPr>
          <w:fldChar w:fldCharType="separate"/>
        </w:r>
        <w:r w:rsidR="00F93268">
          <w:rPr>
            <w:noProof/>
            <w:webHidden/>
          </w:rPr>
          <w:t>104</w:t>
        </w:r>
        <w:r w:rsidR="00593873">
          <w:rPr>
            <w:noProof/>
            <w:webHidden/>
          </w:rPr>
          <w:fldChar w:fldCharType="end"/>
        </w:r>
      </w:hyperlink>
    </w:p>
    <w:p w14:paraId="4D29152C" w14:textId="2343F0EA" w:rsidR="00593873" w:rsidRDefault="00BD116A">
      <w:pPr>
        <w:pStyle w:val="TOC1"/>
        <w:rPr>
          <w:rFonts w:asciiTheme="minorHAnsi" w:eastAsiaTheme="minorEastAsia" w:hAnsiTheme="minorHAnsi" w:cstheme="minorBidi"/>
          <w:b w:val="0"/>
          <w:noProof/>
          <w:kern w:val="2"/>
          <w:sz w:val="24"/>
          <w:szCs w:val="24"/>
          <w14:ligatures w14:val="standardContextual"/>
        </w:rPr>
      </w:pPr>
      <w:hyperlink w:anchor="_Toc193528308" w:history="1">
        <w:r w:rsidR="00593873" w:rsidRPr="003B352C">
          <w:rPr>
            <w:rStyle w:val="Hyperlink"/>
            <w:noProof/>
          </w:rPr>
          <w:t>Appendix A: Tax Expenditures</w:t>
        </w:r>
        <w:r w:rsidR="00593873">
          <w:rPr>
            <w:noProof/>
            <w:webHidden/>
          </w:rPr>
          <w:tab/>
        </w:r>
        <w:r w:rsidR="00593873">
          <w:rPr>
            <w:noProof/>
            <w:webHidden/>
          </w:rPr>
          <w:fldChar w:fldCharType="begin"/>
        </w:r>
        <w:r w:rsidR="00593873">
          <w:rPr>
            <w:noProof/>
            <w:webHidden/>
          </w:rPr>
          <w:instrText xml:space="preserve"> PAGEREF _Toc193528308 \h </w:instrText>
        </w:r>
        <w:r w:rsidR="00593873">
          <w:rPr>
            <w:noProof/>
            <w:webHidden/>
          </w:rPr>
        </w:r>
        <w:r w:rsidR="00593873">
          <w:rPr>
            <w:noProof/>
            <w:webHidden/>
          </w:rPr>
          <w:fldChar w:fldCharType="separate"/>
        </w:r>
        <w:r w:rsidR="00F93268">
          <w:rPr>
            <w:noProof/>
            <w:webHidden/>
          </w:rPr>
          <w:t>107</w:t>
        </w:r>
        <w:r w:rsidR="00593873">
          <w:rPr>
            <w:noProof/>
            <w:webHidden/>
          </w:rPr>
          <w:fldChar w:fldCharType="end"/>
        </w:r>
      </w:hyperlink>
    </w:p>
    <w:p w14:paraId="039A2F2A" w14:textId="3C1E11ED" w:rsidR="000437E3" w:rsidRDefault="00DF4D4F" w:rsidP="001E698F">
      <w:pPr>
        <w:pStyle w:val="Heading1"/>
        <w:rPr>
          <w:noProof/>
          <w:lang w:val="en-US"/>
        </w:rPr>
        <w:sectPr w:rsidR="000437E3" w:rsidSect="0064574E">
          <w:headerReference w:type="even" r:id="rId11"/>
          <w:headerReference w:type="default" r:id="rId12"/>
          <w:footerReference w:type="even" r:id="rId13"/>
          <w:footerReference w:type="default" r:id="rId14"/>
          <w:headerReference w:type="first" r:id="rId15"/>
          <w:footerReference w:type="first" r:id="rId16"/>
          <w:type w:val="oddPage"/>
          <w:pgSz w:w="11906" w:h="16838" w:code="9"/>
          <w:pgMar w:top="2835" w:right="2098" w:bottom="2466" w:left="2098" w:header="1814" w:footer="1814" w:gutter="0"/>
          <w:cols w:space="708"/>
          <w:titlePg/>
          <w:docGrid w:linePitch="360"/>
        </w:sectPr>
      </w:pPr>
      <w:r w:rsidRPr="00566DA9">
        <w:rPr>
          <w:noProof/>
          <w:lang w:val="en-US"/>
        </w:rPr>
        <w:fldChar w:fldCharType="end"/>
      </w:r>
    </w:p>
    <w:p w14:paraId="4101EDD2" w14:textId="02D1377E" w:rsidR="00DF4D4F" w:rsidRPr="00566DA9" w:rsidRDefault="00DF4D4F" w:rsidP="001E698F">
      <w:pPr>
        <w:pStyle w:val="Heading1"/>
      </w:pPr>
      <w:bookmarkStart w:id="0" w:name="_Toc193528304"/>
      <w:r w:rsidRPr="001E698F">
        <w:lastRenderedPageBreak/>
        <w:t>Statement</w:t>
      </w:r>
      <w:r w:rsidRPr="00566DA9">
        <w:t xml:space="preserve"> 4: Revenue</w:t>
      </w:r>
      <w:bookmarkEnd w:id="0"/>
    </w:p>
    <w:p w14:paraId="020D5960" w14:textId="51287734" w:rsidR="00DF4D4F" w:rsidRPr="00EC4BA6" w:rsidRDefault="00DF4D4F" w:rsidP="00DF4D4F">
      <w:pPr>
        <w:pStyle w:val="Heading2"/>
      </w:pPr>
      <w:bookmarkStart w:id="1" w:name="_Toc193528305"/>
      <w:bookmarkStart w:id="2" w:name="_Toc512337932"/>
      <w:bookmarkStart w:id="3" w:name="_Toc52676197"/>
      <w:bookmarkStart w:id="4" w:name="_Toc99201818"/>
      <w:bookmarkStart w:id="5" w:name="_Toc117324545"/>
      <w:r w:rsidRPr="00EC4BA6">
        <w:t>Overview</w:t>
      </w:r>
      <w:bookmarkEnd w:id="1"/>
    </w:p>
    <w:bookmarkEnd w:id="2"/>
    <w:bookmarkEnd w:id="3"/>
    <w:bookmarkEnd w:id="4"/>
    <w:bookmarkEnd w:id="5"/>
    <w:p w14:paraId="4C98A40A" w14:textId="5DE76318" w:rsidR="00E00F22" w:rsidRPr="00EC4BA6" w:rsidRDefault="00E83099" w:rsidP="00DF4D4F">
      <w:r w:rsidRPr="00EC4BA6">
        <w:t>Total</w:t>
      </w:r>
      <w:r w:rsidR="00DF4D4F" w:rsidRPr="00EC4BA6">
        <w:t xml:space="preserve"> receipts </w:t>
      </w:r>
      <w:r w:rsidRPr="00EC4BA6">
        <w:t xml:space="preserve">are expected to be </w:t>
      </w:r>
      <w:r w:rsidR="00A97F1D" w:rsidRPr="00EC4BA6">
        <w:t>$</w:t>
      </w:r>
      <w:r w:rsidR="00870180" w:rsidRPr="00EC4BA6">
        <w:t>735.4</w:t>
      </w:r>
      <w:r w:rsidR="00CB1A92">
        <w:t> </w:t>
      </w:r>
      <w:r w:rsidR="00870C67" w:rsidRPr="00EC4BA6">
        <w:t>billion in</w:t>
      </w:r>
      <w:r w:rsidR="00DF4D4F" w:rsidRPr="00EC4BA6">
        <w:t> </w:t>
      </w:r>
      <w:r w:rsidR="00033476" w:rsidRPr="00EC4BA6">
        <w:t>202</w:t>
      </w:r>
      <w:r w:rsidR="00870C67" w:rsidRPr="00EC4BA6">
        <w:t>5</w:t>
      </w:r>
      <w:r w:rsidR="00033476" w:rsidRPr="00EC4BA6">
        <w:t>–2</w:t>
      </w:r>
      <w:r w:rsidR="00870C67" w:rsidRPr="00EC4BA6">
        <w:t>6</w:t>
      </w:r>
      <w:r w:rsidR="2C5E12FE" w:rsidRPr="00EC4BA6">
        <w:t>,</w:t>
      </w:r>
      <w:r w:rsidR="5119A276" w:rsidRPr="00EC4BA6">
        <w:t xml:space="preserve"> </w:t>
      </w:r>
      <w:r w:rsidR="0076FE4A" w:rsidRPr="00EC4BA6">
        <w:t>growing</w:t>
      </w:r>
      <w:r w:rsidR="0063042B" w:rsidRPr="00EC4BA6">
        <w:t xml:space="preserve"> </w:t>
      </w:r>
      <w:r w:rsidR="00DE7DD6" w:rsidRPr="00EC4BA6">
        <w:t xml:space="preserve">to </w:t>
      </w:r>
      <w:r w:rsidR="00A97F1D" w:rsidRPr="00EC4BA6">
        <w:t>$</w:t>
      </w:r>
      <w:r w:rsidR="00F922E0" w:rsidRPr="00EC4BA6">
        <w:t>840.8</w:t>
      </w:r>
      <w:r w:rsidR="00CB1A92">
        <w:t> </w:t>
      </w:r>
      <w:r w:rsidR="000C255D" w:rsidRPr="00EC4BA6">
        <w:t xml:space="preserve">billion </w:t>
      </w:r>
      <w:r w:rsidR="00DE7DD6" w:rsidRPr="00EC4BA6">
        <w:t>in 2028</w:t>
      </w:r>
      <w:r w:rsidR="00D55A27" w:rsidRPr="00EC4BA6">
        <w:t>–</w:t>
      </w:r>
      <w:r w:rsidR="00D55A27" w:rsidRPr="00EC4BA6">
        <w:rPr>
          <w:rFonts w:ascii="Times New Roman" w:hAnsi="Times New Roman"/>
        </w:rPr>
        <w:t>‍</w:t>
      </w:r>
      <w:r w:rsidR="00DE7DD6" w:rsidRPr="00EC4BA6">
        <w:t>29</w:t>
      </w:r>
      <w:r w:rsidR="00DF4D4F" w:rsidRPr="00EC4BA6">
        <w:t>.</w:t>
      </w:r>
      <w:r w:rsidR="00D76845" w:rsidRPr="00EC4BA6" w:rsidDel="000223A5">
        <w:t xml:space="preserve"> </w:t>
      </w:r>
      <w:r w:rsidR="00955BF6" w:rsidRPr="00EC4BA6">
        <w:t>Since MYEFO, total receipts have been revised up $</w:t>
      </w:r>
      <w:r w:rsidR="001876FC" w:rsidRPr="00EC4BA6">
        <w:t>6.9</w:t>
      </w:r>
      <w:r w:rsidR="00CB1A92">
        <w:t> </w:t>
      </w:r>
      <w:r w:rsidR="00955BF6" w:rsidRPr="00EC4BA6">
        <w:t>billion in 2025</w:t>
      </w:r>
      <w:r w:rsidR="004A42CD" w:rsidRPr="00EC4BA6">
        <w:t>–</w:t>
      </w:r>
      <w:r w:rsidR="004A42CD" w:rsidRPr="00EC4BA6">
        <w:rPr>
          <w:rFonts w:ascii="Times New Roman" w:hAnsi="Times New Roman"/>
        </w:rPr>
        <w:t>‍</w:t>
      </w:r>
      <w:r w:rsidR="00955BF6" w:rsidRPr="00EC4BA6">
        <w:t xml:space="preserve">26 and </w:t>
      </w:r>
      <w:r w:rsidR="007E239A" w:rsidRPr="00EC4BA6">
        <w:t>down by</w:t>
      </w:r>
      <w:r w:rsidR="00955BF6" w:rsidRPr="00EC4BA6">
        <w:t xml:space="preserve"> $5</w:t>
      </w:r>
      <w:r w:rsidR="007E239A" w:rsidRPr="00EC4BA6">
        <w:t>.8</w:t>
      </w:r>
      <w:r w:rsidR="00901DDA" w:rsidRPr="00EC4BA6">
        <w:t> </w:t>
      </w:r>
      <w:r w:rsidR="00955BF6" w:rsidRPr="00EC4BA6">
        <w:t>billion over the five</w:t>
      </w:r>
      <w:r w:rsidR="00CB1A92">
        <w:t> </w:t>
      </w:r>
      <w:r w:rsidR="00955BF6" w:rsidRPr="00EC4BA6">
        <w:t>years from 2024</w:t>
      </w:r>
      <w:r w:rsidR="004A42CD" w:rsidRPr="00EC4BA6">
        <w:t>–</w:t>
      </w:r>
      <w:r w:rsidR="004A42CD" w:rsidRPr="00EC4BA6">
        <w:rPr>
          <w:rFonts w:ascii="Times New Roman" w:hAnsi="Times New Roman"/>
        </w:rPr>
        <w:t>‍</w:t>
      </w:r>
      <w:r w:rsidR="00955BF6" w:rsidRPr="00EC4BA6">
        <w:t>25 to 2028</w:t>
      </w:r>
      <w:r w:rsidR="004A42CD" w:rsidRPr="00EC4BA6">
        <w:t>–</w:t>
      </w:r>
      <w:r w:rsidR="004A42CD" w:rsidRPr="00EC4BA6">
        <w:rPr>
          <w:rFonts w:ascii="Times New Roman" w:hAnsi="Times New Roman"/>
        </w:rPr>
        <w:t>‍</w:t>
      </w:r>
      <w:r w:rsidR="00955BF6" w:rsidRPr="00EC4BA6">
        <w:t xml:space="preserve">29. </w:t>
      </w:r>
    </w:p>
    <w:p w14:paraId="524B5B77" w14:textId="17400CA2" w:rsidR="00750F0B" w:rsidRPr="00EC4BA6" w:rsidRDefault="00AA5954" w:rsidP="009F0FD9">
      <w:r w:rsidRPr="005013E4">
        <w:t xml:space="preserve">Tax receipts are </w:t>
      </w:r>
      <w:r w:rsidR="00935B46" w:rsidRPr="005013E4">
        <w:t xml:space="preserve">the main component of total </w:t>
      </w:r>
      <w:r w:rsidR="007B7F36" w:rsidRPr="005013E4">
        <w:t xml:space="preserve">receipts and are </w:t>
      </w:r>
      <w:r w:rsidRPr="005013E4">
        <w:t xml:space="preserve">expected to be </w:t>
      </w:r>
      <w:r w:rsidR="00CF7822" w:rsidRPr="005013E4">
        <w:t>$</w:t>
      </w:r>
      <w:r w:rsidR="00E73DE3" w:rsidRPr="005013E4">
        <w:t>676.1</w:t>
      </w:r>
      <w:r w:rsidR="00CB1A92">
        <w:t> </w:t>
      </w:r>
      <w:r w:rsidRPr="005013E4">
        <w:t xml:space="preserve">billion in 2025–26, </w:t>
      </w:r>
      <w:r w:rsidR="51877E71" w:rsidRPr="005013E4">
        <w:t>growing</w:t>
      </w:r>
      <w:r w:rsidR="007B7F36" w:rsidRPr="005013E4">
        <w:t xml:space="preserve"> to</w:t>
      </w:r>
      <w:r w:rsidRPr="005013E4">
        <w:t xml:space="preserve"> </w:t>
      </w:r>
      <w:r w:rsidR="00CF7822" w:rsidRPr="005013E4">
        <w:t>$</w:t>
      </w:r>
      <w:r w:rsidR="00E73DE3" w:rsidRPr="005013E4">
        <w:t>778.3</w:t>
      </w:r>
      <w:r w:rsidRPr="005013E4">
        <w:t xml:space="preserve"> billion </w:t>
      </w:r>
      <w:r w:rsidR="007B7F36" w:rsidRPr="005013E4">
        <w:t>in 2028</w:t>
      </w:r>
      <w:r w:rsidR="000A797B" w:rsidRPr="005013E4">
        <w:t>–</w:t>
      </w:r>
      <w:r w:rsidR="007B7F36" w:rsidRPr="005013E4">
        <w:t>29</w:t>
      </w:r>
      <w:r w:rsidR="00E14A1A" w:rsidRPr="005013E4">
        <w:t>.</w:t>
      </w:r>
      <w:r w:rsidR="005E1E27" w:rsidRPr="005013E4">
        <w:t xml:space="preserve"> </w:t>
      </w:r>
      <w:r w:rsidR="00631C1D" w:rsidRPr="005013E4">
        <w:t>I</w:t>
      </w:r>
      <w:r w:rsidR="004953E4" w:rsidRPr="005013E4">
        <w:t>ncome taxes are the largest contributor to growth</w:t>
      </w:r>
      <w:r w:rsidR="00631C1D" w:rsidRPr="005013E4">
        <w:t xml:space="preserve"> in tax receipts</w:t>
      </w:r>
      <w:r w:rsidR="004953E4" w:rsidRPr="005013E4">
        <w:t xml:space="preserve">. </w:t>
      </w:r>
      <w:r w:rsidR="004D3688" w:rsidRPr="005013E4">
        <w:t>The t</w:t>
      </w:r>
      <w:r w:rsidR="009F0FD9" w:rsidRPr="005013E4">
        <w:t>ax</w:t>
      </w:r>
      <w:r w:rsidR="001A3DD6">
        <w:noBreakHyphen/>
      </w:r>
      <w:r w:rsidR="009F0FD9" w:rsidRPr="005013E4">
        <w:t>to</w:t>
      </w:r>
      <w:r w:rsidR="001A3DD6">
        <w:noBreakHyphen/>
      </w:r>
      <w:r w:rsidR="009F0FD9" w:rsidRPr="005013E4">
        <w:t xml:space="preserve">GDP </w:t>
      </w:r>
      <w:r w:rsidR="004D3688" w:rsidRPr="005013E4">
        <w:t xml:space="preserve">ratio </w:t>
      </w:r>
      <w:r w:rsidR="009F0FD9" w:rsidRPr="005013E4">
        <w:t xml:space="preserve">is </w:t>
      </w:r>
      <w:r w:rsidR="00903214" w:rsidRPr="005013E4">
        <w:t>expected to be</w:t>
      </w:r>
      <w:r w:rsidR="00631C1D" w:rsidRPr="005013E4">
        <w:t xml:space="preserve"> </w:t>
      </w:r>
      <w:r w:rsidR="008C3161" w:rsidRPr="005013E4">
        <w:t>23.5</w:t>
      </w:r>
      <w:r w:rsidR="00CB1A92">
        <w:t> </w:t>
      </w:r>
      <w:r w:rsidR="00D9402E" w:rsidRPr="005013E4">
        <w:t>per</w:t>
      </w:r>
      <w:r w:rsidR="00CB1A92">
        <w:t> </w:t>
      </w:r>
      <w:r w:rsidR="00D9402E" w:rsidRPr="005013E4">
        <w:t>cent</w:t>
      </w:r>
      <w:r w:rsidR="009C0C72" w:rsidRPr="005013E4">
        <w:t xml:space="preserve"> </w:t>
      </w:r>
      <w:r w:rsidR="009F0FD9" w:rsidRPr="005013E4">
        <w:t>in 202</w:t>
      </w:r>
      <w:r w:rsidR="008E7FBB" w:rsidRPr="005013E4">
        <w:t>5</w:t>
      </w:r>
      <w:r w:rsidR="009F0FD9" w:rsidRPr="005013E4">
        <w:t>–2</w:t>
      </w:r>
      <w:r w:rsidR="008E7FBB" w:rsidRPr="005013E4">
        <w:t>6</w:t>
      </w:r>
      <w:r w:rsidR="007F5BCD" w:rsidRPr="005013E4" w:rsidDel="001C2E6E">
        <w:t xml:space="preserve"> </w:t>
      </w:r>
      <w:r w:rsidR="007F5BCD" w:rsidRPr="005013E4">
        <w:t xml:space="preserve">and </w:t>
      </w:r>
      <w:r w:rsidR="009B17EF" w:rsidRPr="005013E4">
        <w:t xml:space="preserve">falls to 23.4 per cent of GDP by the end of </w:t>
      </w:r>
      <w:r w:rsidR="69A26617" w:rsidRPr="005013E4" w:rsidDel="009B17EF">
        <w:t>the</w:t>
      </w:r>
      <w:r w:rsidR="69A26617" w:rsidRPr="005013E4">
        <w:t xml:space="preserve"> forward estimates</w:t>
      </w:r>
      <w:r w:rsidR="009709AC" w:rsidRPr="005013E4">
        <w:t xml:space="preserve"> following the delivery of the Government</w:t>
      </w:r>
      <w:r w:rsidR="001A3DD6">
        <w:t>’</w:t>
      </w:r>
      <w:r w:rsidR="009709AC" w:rsidRPr="005013E4">
        <w:t>s new tax cuts for every Australian taxpayer</w:t>
      </w:r>
      <w:r w:rsidR="0041290C" w:rsidRPr="005013E4">
        <w:t>.</w:t>
      </w:r>
    </w:p>
    <w:p w14:paraId="517FAC51" w14:textId="5319DD06" w:rsidR="00BB54EE" w:rsidRPr="00EC4BA6" w:rsidRDefault="00BB54EE" w:rsidP="00DF4D4F">
      <w:r w:rsidRPr="00EC4BA6">
        <w:t xml:space="preserve">More information on </w:t>
      </w:r>
      <w:r w:rsidR="001E2426" w:rsidRPr="00EC4BA6">
        <w:t>total</w:t>
      </w:r>
      <w:r w:rsidRPr="00EC4BA6">
        <w:t xml:space="preserve"> receipts over the five years from 2024–25 to 2028–29 is shown in</w:t>
      </w:r>
      <w:r w:rsidR="00A03907" w:rsidRPr="00EC4BA6">
        <w:t> </w:t>
      </w:r>
      <w:r w:rsidRPr="00EC4BA6">
        <w:t xml:space="preserve">Table </w:t>
      </w:r>
      <w:r w:rsidR="00FA1FCD" w:rsidRPr="00EC4BA6">
        <w:t>4</w:t>
      </w:r>
      <w:r w:rsidRPr="00EC4BA6">
        <w:t>.1.</w:t>
      </w:r>
    </w:p>
    <w:p w14:paraId="0851CB2C" w14:textId="0377C282" w:rsidR="00764129" w:rsidRPr="00EC4BA6" w:rsidRDefault="00DF4D4F" w:rsidP="00764129">
      <w:pPr>
        <w:pStyle w:val="TableHeading"/>
        <w:rPr>
          <w:rFonts w:asciiTheme="minorHAnsi" w:eastAsiaTheme="minorHAnsi" w:hAnsiTheme="minorHAnsi" w:cstheme="minorBidi"/>
          <w:sz w:val="22"/>
          <w:szCs w:val="22"/>
          <w:lang w:eastAsia="en-US"/>
        </w:rPr>
      </w:pPr>
      <w:r w:rsidRPr="00EC4BA6">
        <w:t xml:space="preserve">Table </w:t>
      </w:r>
      <w:r w:rsidR="00FA1FCD" w:rsidRPr="00EC4BA6">
        <w:t>4</w:t>
      </w:r>
      <w:r w:rsidRPr="00EC4BA6">
        <w:t>.1: Australian Government general government receipts</w:t>
      </w:r>
      <w:bookmarkStart w:id="6" w:name="_1803820577"/>
      <w:bookmarkStart w:id="7" w:name="_1803820910"/>
      <w:bookmarkEnd w:id="6"/>
      <w:bookmarkEnd w:id="7"/>
    </w:p>
    <w:tbl>
      <w:tblPr>
        <w:tblW w:w="5000" w:type="pct"/>
        <w:tblCellMar>
          <w:left w:w="0" w:type="dxa"/>
          <w:right w:w="28" w:type="dxa"/>
        </w:tblCellMar>
        <w:tblLook w:val="04A0" w:firstRow="1" w:lastRow="0" w:firstColumn="1" w:lastColumn="0" w:noHBand="0" w:noVBand="1"/>
      </w:tblPr>
      <w:tblGrid>
        <w:gridCol w:w="2963"/>
        <w:gridCol w:w="775"/>
        <w:gridCol w:w="96"/>
        <w:gridCol w:w="763"/>
        <w:gridCol w:w="827"/>
        <w:gridCol w:w="762"/>
        <w:gridCol w:w="762"/>
        <w:gridCol w:w="762"/>
      </w:tblGrid>
      <w:tr w:rsidR="00764129" w:rsidRPr="00EC4BA6" w14:paraId="09A033DB" w14:textId="77777777" w:rsidTr="00764129">
        <w:trPr>
          <w:trHeight w:hRule="exact" w:val="225"/>
        </w:trPr>
        <w:tc>
          <w:tcPr>
            <w:tcW w:w="1922" w:type="pct"/>
            <w:tcBorders>
              <w:top w:val="single" w:sz="4" w:space="0" w:color="293F5B"/>
              <w:left w:val="nil"/>
              <w:bottom w:val="nil"/>
              <w:right w:val="nil"/>
            </w:tcBorders>
            <w:shd w:val="clear" w:color="000000" w:fill="FFFFFF"/>
            <w:noWrap/>
            <w:vAlign w:val="center"/>
            <w:hideMark/>
          </w:tcPr>
          <w:p w14:paraId="12761C3F" w14:textId="0D0EB566" w:rsidR="00764129" w:rsidRPr="00EC4BA6" w:rsidRDefault="00764129" w:rsidP="00764129">
            <w:pPr>
              <w:spacing w:before="0" w:after="0" w:line="240" w:lineRule="auto"/>
              <w:rPr>
                <w:rFonts w:ascii="Arial" w:hAnsi="Arial" w:cs="Arial"/>
                <w:sz w:val="16"/>
                <w:szCs w:val="16"/>
              </w:rPr>
            </w:pPr>
            <w:r w:rsidRPr="00EC4BA6">
              <w:rPr>
                <w:rFonts w:ascii="Arial" w:hAnsi="Arial" w:cs="Arial"/>
                <w:sz w:val="16"/>
                <w:szCs w:val="16"/>
              </w:rPr>
              <w:t>  </w:t>
            </w:r>
          </w:p>
        </w:tc>
        <w:tc>
          <w:tcPr>
            <w:tcW w:w="503" w:type="pct"/>
            <w:tcBorders>
              <w:top w:val="single" w:sz="4" w:space="0" w:color="293F5B"/>
              <w:left w:val="nil"/>
              <w:bottom w:val="nil"/>
              <w:right w:val="nil"/>
            </w:tcBorders>
            <w:shd w:val="clear" w:color="000000" w:fill="FFFFFF"/>
            <w:noWrap/>
            <w:vAlign w:val="center"/>
            <w:hideMark/>
          </w:tcPr>
          <w:p w14:paraId="58266185" w14:textId="77777777" w:rsidR="00764129" w:rsidRPr="00EC4BA6" w:rsidRDefault="00764129" w:rsidP="00764129">
            <w:pPr>
              <w:spacing w:before="0" w:after="0" w:line="240" w:lineRule="auto"/>
              <w:jc w:val="center"/>
              <w:rPr>
                <w:rFonts w:ascii="Arial" w:hAnsi="Arial" w:cs="Arial"/>
                <w:sz w:val="16"/>
                <w:szCs w:val="16"/>
              </w:rPr>
            </w:pPr>
            <w:r w:rsidRPr="00EC4BA6">
              <w:rPr>
                <w:rFonts w:ascii="Arial" w:hAnsi="Arial" w:cs="Arial"/>
                <w:sz w:val="16"/>
                <w:szCs w:val="16"/>
              </w:rPr>
              <w:t>Actual </w:t>
            </w:r>
          </w:p>
        </w:tc>
        <w:tc>
          <w:tcPr>
            <w:tcW w:w="62" w:type="pct"/>
            <w:tcBorders>
              <w:top w:val="single" w:sz="4" w:space="0" w:color="293F5B"/>
              <w:left w:val="nil"/>
              <w:bottom w:val="nil"/>
              <w:right w:val="nil"/>
            </w:tcBorders>
            <w:shd w:val="clear" w:color="000000" w:fill="FFFFFF"/>
            <w:noWrap/>
            <w:vAlign w:val="center"/>
            <w:hideMark/>
          </w:tcPr>
          <w:p w14:paraId="537813D7"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 </w:t>
            </w:r>
          </w:p>
        </w:tc>
        <w:tc>
          <w:tcPr>
            <w:tcW w:w="2513" w:type="pct"/>
            <w:gridSpan w:val="5"/>
            <w:tcBorders>
              <w:top w:val="single" w:sz="4" w:space="0" w:color="293F5B"/>
              <w:left w:val="nil"/>
              <w:bottom w:val="nil"/>
              <w:right w:val="nil"/>
            </w:tcBorders>
            <w:shd w:val="clear" w:color="000000" w:fill="FFFFFF"/>
            <w:noWrap/>
            <w:vAlign w:val="center"/>
            <w:hideMark/>
          </w:tcPr>
          <w:p w14:paraId="409E07DB" w14:textId="77777777" w:rsidR="00764129" w:rsidRPr="00EC4BA6" w:rsidRDefault="00764129" w:rsidP="00764129">
            <w:pPr>
              <w:spacing w:before="0" w:after="0" w:line="240" w:lineRule="auto"/>
              <w:jc w:val="center"/>
              <w:rPr>
                <w:rFonts w:ascii="Arial" w:hAnsi="Arial" w:cs="Arial"/>
                <w:sz w:val="16"/>
                <w:szCs w:val="16"/>
              </w:rPr>
            </w:pPr>
            <w:r w:rsidRPr="00EC4BA6">
              <w:rPr>
                <w:rFonts w:ascii="Arial" w:hAnsi="Arial" w:cs="Arial"/>
                <w:sz w:val="16"/>
                <w:szCs w:val="16"/>
              </w:rPr>
              <w:t>Estimates</w:t>
            </w:r>
          </w:p>
        </w:tc>
      </w:tr>
      <w:tr w:rsidR="00764129" w:rsidRPr="00EC4BA6" w14:paraId="175C0C10" w14:textId="77777777" w:rsidTr="00764129">
        <w:trPr>
          <w:trHeight w:hRule="exact" w:val="225"/>
        </w:trPr>
        <w:tc>
          <w:tcPr>
            <w:tcW w:w="1922" w:type="pct"/>
            <w:tcBorders>
              <w:top w:val="nil"/>
              <w:left w:val="nil"/>
              <w:bottom w:val="nil"/>
              <w:right w:val="nil"/>
            </w:tcBorders>
            <w:shd w:val="clear" w:color="000000" w:fill="FFFFFF"/>
            <w:noWrap/>
            <w:vAlign w:val="center"/>
            <w:hideMark/>
          </w:tcPr>
          <w:p w14:paraId="61F1FD1F" w14:textId="77777777" w:rsidR="00764129" w:rsidRPr="00EC4BA6" w:rsidRDefault="00764129" w:rsidP="00764129">
            <w:pPr>
              <w:spacing w:before="0" w:after="0" w:line="240" w:lineRule="auto"/>
              <w:rPr>
                <w:rFonts w:ascii="Arial" w:hAnsi="Arial" w:cs="Arial"/>
                <w:sz w:val="16"/>
                <w:szCs w:val="16"/>
              </w:rPr>
            </w:pPr>
            <w:r w:rsidRPr="00EC4BA6">
              <w:rPr>
                <w:rFonts w:ascii="Arial" w:hAnsi="Arial" w:cs="Arial"/>
                <w:sz w:val="16"/>
                <w:szCs w:val="16"/>
              </w:rPr>
              <w:t> </w:t>
            </w:r>
          </w:p>
        </w:tc>
        <w:tc>
          <w:tcPr>
            <w:tcW w:w="503" w:type="pct"/>
            <w:tcBorders>
              <w:top w:val="single" w:sz="4" w:space="0" w:color="293F5B"/>
              <w:left w:val="nil"/>
              <w:bottom w:val="nil"/>
              <w:right w:val="nil"/>
            </w:tcBorders>
            <w:shd w:val="clear" w:color="auto" w:fill="auto"/>
            <w:vAlign w:val="center"/>
            <w:hideMark/>
          </w:tcPr>
          <w:p w14:paraId="1B8880AE" w14:textId="76B45896"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2023</w:t>
            </w:r>
            <w:r w:rsidR="001A3DD6">
              <w:rPr>
                <w:rFonts w:ascii="Arial" w:hAnsi="Arial" w:cs="Arial"/>
                <w:sz w:val="16"/>
                <w:szCs w:val="16"/>
              </w:rPr>
              <w:noBreakHyphen/>
            </w:r>
            <w:r w:rsidRPr="00EC4BA6">
              <w:rPr>
                <w:rFonts w:ascii="Arial" w:hAnsi="Arial" w:cs="Arial"/>
                <w:sz w:val="16"/>
                <w:szCs w:val="16"/>
              </w:rPr>
              <w:t>24</w:t>
            </w:r>
          </w:p>
        </w:tc>
        <w:tc>
          <w:tcPr>
            <w:tcW w:w="62" w:type="pct"/>
            <w:tcBorders>
              <w:top w:val="nil"/>
              <w:left w:val="nil"/>
              <w:bottom w:val="nil"/>
              <w:right w:val="nil"/>
            </w:tcBorders>
            <w:shd w:val="clear" w:color="000000" w:fill="FFFFFF"/>
            <w:noWrap/>
            <w:vAlign w:val="center"/>
            <w:hideMark/>
          </w:tcPr>
          <w:p w14:paraId="5EBD54B2"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 </w:t>
            </w:r>
          </w:p>
        </w:tc>
        <w:tc>
          <w:tcPr>
            <w:tcW w:w="495" w:type="pct"/>
            <w:tcBorders>
              <w:top w:val="single" w:sz="4" w:space="0" w:color="293F5B"/>
              <w:left w:val="nil"/>
              <w:bottom w:val="nil"/>
              <w:right w:val="nil"/>
            </w:tcBorders>
            <w:shd w:val="clear" w:color="auto" w:fill="auto"/>
            <w:vAlign w:val="center"/>
            <w:hideMark/>
          </w:tcPr>
          <w:p w14:paraId="2067276D" w14:textId="3BFCE54F"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2024</w:t>
            </w:r>
            <w:r w:rsidR="001A3DD6">
              <w:rPr>
                <w:rFonts w:ascii="Arial" w:hAnsi="Arial" w:cs="Arial"/>
                <w:sz w:val="16"/>
                <w:szCs w:val="16"/>
              </w:rPr>
              <w:noBreakHyphen/>
            </w:r>
            <w:r w:rsidRPr="00EC4BA6">
              <w:rPr>
                <w:rFonts w:ascii="Arial" w:hAnsi="Arial" w:cs="Arial"/>
                <w:sz w:val="16"/>
                <w:szCs w:val="16"/>
              </w:rPr>
              <w:t>25</w:t>
            </w:r>
          </w:p>
        </w:tc>
        <w:tc>
          <w:tcPr>
            <w:tcW w:w="536" w:type="pct"/>
            <w:tcBorders>
              <w:top w:val="single" w:sz="4" w:space="0" w:color="293F5B"/>
              <w:left w:val="nil"/>
              <w:bottom w:val="nil"/>
              <w:right w:val="nil"/>
            </w:tcBorders>
            <w:shd w:val="clear" w:color="000000" w:fill="E6F2FF"/>
            <w:noWrap/>
            <w:vAlign w:val="center"/>
            <w:hideMark/>
          </w:tcPr>
          <w:p w14:paraId="3060569E" w14:textId="448457B4"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2025</w:t>
            </w:r>
            <w:r w:rsidR="001A3DD6">
              <w:rPr>
                <w:rFonts w:ascii="Arial" w:hAnsi="Arial" w:cs="Arial"/>
                <w:sz w:val="16"/>
                <w:szCs w:val="16"/>
              </w:rPr>
              <w:noBreakHyphen/>
            </w:r>
            <w:r w:rsidRPr="00EC4BA6">
              <w:rPr>
                <w:rFonts w:ascii="Arial" w:hAnsi="Arial" w:cs="Arial"/>
                <w:sz w:val="16"/>
                <w:szCs w:val="16"/>
              </w:rPr>
              <w:t>26</w:t>
            </w:r>
          </w:p>
        </w:tc>
        <w:tc>
          <w:tcPr>
            <w:tcW w:w="494" w:type="pct"/>
            <w:tcBorders>
              <w:top w:val="single" w:sz="4" w:space="0" w:color="293F5B"/>
              <w:left w:val="nil"/>
              <w:bottom w:val="nil"/>
              <w:right w:val="nil"/>
            </w:tcBorders>
            <w:shd w:val="clear" w:color="auto" w:fill="auto"/>
            <w:vAlign w:val="center"/>
            <w:hideMark/>
          </w:tcPr>
          <w:p w14:paraId="7AE7B2F4" w14:textId="4CF108DC"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2026</w:t>
            </w:r>
            <w:r w:rsidR="001A3DD6">
              <w:rPr>
                <w:rFonts w:ascii="Arial" w:hAnsi="Arial" w:cs="Arial"/>
                <w:sz w:val="16"/>
                <w:szCs w:val="16"/>
              </w:rPr>
              <w:noBreakHyphen/>
            </w:r>
            <w:r w:rsidRPr="00EC4BA6">
              <w:rPr>
                <w:rFonts w:ascii="Arial" w:hAnsi="Arial" w:cs="Arial"/>
                <w:sz w:val="16"/>
                <w:szCs w:val="16"/>
              </w:rPr>
              <w:t>27</w:t>
            </w:r>
          </w:p>
        </w:tc>
        <w:tc>
          <w:tcPr>
            <w:tcW w:w="494" w:type="pct"/>
            <w:tcBorders>
              <w:top w:val="single" w:sz="4" w:space="0" w:color="293F5B"/>
              <w:left w:val="nil"/>
              <w:bottom w:val="nil"/>
              <w:right w:val="nil"/>
            </w:tcBorders>
            <w:shd w:val="clear" w:color="auto" w:fill="auto"/>
            <w:vAlign w:val="center"/>
            <w:hideMark/>
          </w:tcPr>
          <w:p w14:paraId="25C92664" w14:textId="1EED5DA1"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2027</w:t>
            </w:r>
            <w:r w:rsidR="001A3DD6">
              <w:rPr>
                <w:rFonts w:ascii="Arial" w:hAnsi="Arial" w:cs="Arial"/>
                <w:sz w:val="16"/>
                <w:szCs w:val="16"/>
              </w:rPr>
              <w:noBreakHyphen/>
            </w:r>
            <w:r w:rsidRPr="00EC4BA6">
              <w:rPr>
                <w:rFonts w:ascii="Arial" w:hAnsi="Arial" w:cs="Arial"/>
                <w:sz w:val="16"/>
                <w:szCs w:val="16"/>
              </w:rPr>
              <w:t>28</w:t>
            </w:r>
          </w:p>
        </w:tc>
        <w:tc>
          <w:tcPr>
            <w:tcW w:w="494" w:type="pct"/>
            <w:tcBorders>
              <w:top w:val="single" w:sz="4" w:space="0" w:color="293F5B"/>
              <w:left w:val="nil"/>
              <w:bottom w:val="nil"/>
              <w:right w:val="nil"/>
            </w:tcBorders>
            <w:shd w:val="clear" w:color="auto" w:fill="auto"/>
            <w:vAlign w:val="center"/>
            <w:hideMark/>
          </w:tcPr>
          <w:p w14:paraId="30D28599" w14:textId="5CC54988"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2028</w:t>
            </w:r>
            <w:r w:rsidR="001A3DD6">
              <w:rPr>
                <w:rFonts w:ascii="Arial" w:hAnsi="Arial" w:cs="Arial"/>
                <w:sz w:val="16"/>
                <w:szCs w:val="16"/>
              </w:rPr>
              <w:noBreakHyphen/>
            </w:r>
            <w:r w:rsidRPr="00EC4BA6">
              <w:rPr>
                <w:rFonts w:ascii="Arial" w:hAnsi="Arial" w:cs="Arial"/>
                <w:sz w:val="16"/>
                <w:szCs w:val="16"/>
              </w:rPr>
              <w:t>29</w:t>
            </w:r>
          </w:p>
        </w:tc>
      </w:tr>
      <w:tr w:rsidR="00764129" w:rsidRPr="00EC4BA6" w14:paraId="483C43C4" w14:textId="77777777" w:rsidTr="00764129">
        <w:trPr>
          <w:trHeight w:hRule="exact" w:val="225"/>
        </w:trPr>
        <w:tc>
          <w:tcPr>
            <w:tcW w:w="1922" w:type="pct"/>
            <w:tcBorders>
              <w:top w:val="nil"/>
              <w:left w:val="nil"/>
              <w:bottom w:val="nil"/>
              <w:right w:val="nil"/>
            </w:tcBorders>
            <w:shd w:val="clear" w:color="000000" w:fill="FFFFFF"/>
            <w:noWrap/>
            <w:vAlign w:val="center"/>
            <w:hideMark/>
          </w:tcPr>
          <w:p w14:paraId="41476E3F" w14:textId="77777777" w:rsidR="00764129" w:rsidRPr="00EC4BA6" w:rsidRDefault="00764129" w:rsidP="00764129">
            <w:pPr>
              <w:spacing w:before="0" w:after="0" w:line="240" w:lineRule="auto"/>
              <w:rPr>
                <w:rFonts w:ascii="Arial" w:hAnsi="Arial" w:cs="Arial"/>
                <w:sz w:val="16"/>
                <w:szCs w:val="16"/>
              </w:rPr>
            </w:pPr>
            <w:r w:rsidRPr="00EC4BA6">
              <w:rPr>
                <w:rFonts w:ascii="Arial" w:hAnsi="Arial" w:cs="Arial"/>
                <w:sz w:val="16"/>
                <w:szCs w:val="16"/>
              </w:rPr>
              <w:t> </w:t>
            </w:r>
          </w:p>
        </w:tc>
        <w:tc>
          <w:tcPr>
            <w:tcW w:w="503" w:type="pct"/>
            <w:tcBorders>
              <w:top w:val="nil"/>
              <w:left w:val="nil"/>
              <w:bottom w:val="single" w:sz="4" w:space="0" w:color="293F5B"/>
              <w:right w:val="nil"/>
            </w:tcBorders>
            <w:shd w:val="clear" w:color="000000" w:fill="FFFFFF"/>
            <w:noWrap/>
            <w:vAlign w:val="center"/>
            <w:hideMark/>
          </w:tcPr>
          <w:p w14:paraId="6C5D35B5"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$b </w:t>
            </w:r>
          </w:p>
        </w:tc>
        <w:tc>
          <w:tcPr>
            <w:tcW w:w="62" w:type="pct"/>
            <w:tcBorders>
              <w:top w:val="nil"/>
              <w:left w:val="nil"/>
              <w:bottom w:val="nil"/>
              <w:right w:val="nil"/>
            </w:tcBorders>
            <w:shd w:val="clear" w:color="000000" w:fill="FFFFFF"/>
            <w:noWrap/>
            <w:vAlign w:val="center"/>
            <w:hideMark/>
          </w:tcPr>
          <w:p w14:paraId="4EE26441"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 </w:t>
            </w:r>
          </w:p>
        </w:tc>
        <w:tc>
          <w:tcPr>
            <w:tcW w:w="495" w:type="pct"/>
            <w:tcBorders>
              <w:top w:val="nil"/>
              <w:left w:val="nil"/>
              <w:bottom w:val="single" w:sz="4" w:space="0" w:color="293F5B"/>
              <w:right w:val="nil"/>
            </w:tcBorders>
            <w:shd w:val="clear" w:color="000000" w:fill="FFFFFF"/>
            <w:noWrap/>
            <w:vAlign w:val="center"/>
            <w:hideMark/>
          </w:tcPr>
          <w:p w14:paraId="5E2CE30F"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$b </w:t>
            </w:r>
          </w:p>
        </w:tc>
        <w:tc>
          <w:tcPr>
            <w:tcW w:w="536" w:type="pct"/>
            <w:tcBorders>
              <w:top w:val="nil"/>
              <w:left w:val="nil"/>
              <w:bottom w:val="single" w:sz="4" w:space="0" w:color="293F5B"/>
              <w:right w:val="nil"/>
            </w:tcBorders>
            <w:shd w:val="clear" w:color="000000" w:fill="E6F2FF"/>
            <w:noWrap/>
            <w:vAlign w:val="center"/>
            <w:hideMark/>
          </w:tcPr>
          <w:p w14:paraId="7B0FA14B"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$b </w:t>
            </w:r>
          </w:p>
        </w:tc>
        <w:tc>
          <w:tcPr>
            <w:tcW w:w="494" w:type="pct"/>
            <w:tcBorders>
              <w:top w:val="nil"/>
              <w:left w:val="nil"/>
              <w:bottom w:val="single" w:sz="4" w:space="0" w:color="293F5B"/>
              <w:right w:val="nil"/>
            </w:tcBorders>
            <w:shd w:val="clear" w:color="000000" w:fill="FFFFFF"/>
            <w:noWrap/>
            <w:vAlign w:val="center"/>
            <w:hideMark/>
          </w:tcPr>
          <w:p w14:paraId="21ABBB33"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$b </w:t>
            </w:r>
          </w:p>
        </w:tc>
        <w:tc>
          <w:tcPr>
            <w:tcW w:w="494" w:type="pct"/>
            <w:tcBorders>
              <w:top w:val="nil"/>
              <w:left w:val="nil"/>
              <w:bottom w:val="single" w:sz="4" w:space="0" w:color="293F5B"/>
              <w:right w:val="nil"/>
            </w:tcBorders>
            <w:shd w:val="clear" w:color="000000" w:fill="FFFFFF"/>
            <w:noWrap/>
            <w:vAlign w:val="center"/>
            <w:hideMark/>
          </w:tcPr>
          <w:p w14:paraId="54395E3B"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$b </w:t>
            </w:r>
          </w:p>
        </w:tc>
        <w:tc>
          <w:tcPr>
            <w:tcW w:w="494" w:type="pct"/>
            <w:tcBorders>
              <w:top w:val="nil"/>
              <w:left w:val="nil"/>
              <w:bottom w:val="single" w:sz="4" w:space="0" w:color="293F5B"/>
              <w:right w:val="nil"/>
            </w:tcBorders>
            <w:shd w:val="clear" w:color="000000" w:fill="FFFFFF"/>
            <w:noWrap/>
            <w:vAlign w:val="center"/>
            <w:hideMark/>
          </w:tcPr>
          <w:p w14:paraId="37E0DAF2"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$b </w:t>
            </w:r>
          </w:p>
        </w:tc>
      </w:tr>
      <w:tr w:rsidR="00764129" w:rsidRPr="00EC4BA6" w14:paraId="7EDD7BBC" w14:textId="77777777" w:rsidTr="00764129">
        <w:trPr>
          <w:trHeight w:hRule="exact" w:val="225"/>
        </w:trPr>
        <w:tc>
          <w:tcPr>
            <w:tcW w:w="1922" w:type="pct"/>
            <w:tcBorders>
              <w:top w:val="nil"/>
              <w:left w:val="nil"/>
              <w:bottom w:val="nil"/>
              <w:right w:val="nil"/>
            </w:tcBorders>
            <w:shd w:val="clear" w:color="000000" w:fill="FFFFFF"/>
            <w:noWrap/>
            <w:vAlign w:val="center"/>
            <w:hideMark/>
          </w:tcPr>
          <w:p w14:paraId="4B00857A" w14:textId="77777777" w:rsidR="00764129" w:rsidRPr="00EC4BA6" w:rsidRDefault="00764129" w:rsidP="00764129">
            <w:pPr>
              <w:spacing w:before="0" w:after="0" w:line="240" w:lineRule="auto"/>
              <w:rPr>
                <w:rFonts w:ascii="Arial" w:hAnsi="Arial" w:cs="Arial"/>
                <w:b/>
                <w:sz w:val="16"/>
                <w:szCs w:val="16"/>
              </w:rPr>
            </w:pPr>
            <w:r w:rsidRPr="00EC4BA6">
              <w:rPr>
                <w:rFonts w:ascii="Arial" w:hAnsi="Arial" w:cs="Arial"/>
                <w:b/>
                <w:sz w:val="16"/>
                <w:szCs w:val="16"/>
              </w:rPr>
              <w:t>Total taxation receipts ($b)</w:t>
            </w:r>
            <w:r w:rsidRPr="00EC4BA6">
              <w:rPr>
                <w:rFonts w:ascii="Arial" w:hAnsi="Arial" w:cs="Arial"/>
                <w:sz w:val="16"/>
                <w:szCs w:val="16"/>
              </w:rPr>
              <w:t> </w:t>
            </w:r>
          </w:p>
        </w:tc>
        <w:tc>
          <w:tcPr>
            <w:tcW w:w="503" w:type="pct"/>
            <w:tcBorders>
              <w:top w:val="nil"/>
              <w:left w:val="nil"/>
              <w:bottom w:val="nil"/>
              <w:right w:val="nil"/>
            </w:tcBorders>
            <w:shd w:val="clear" w:color="000000" w:fill="FFFFFF"/>
            <w:noWrap/>
            <w:vAlign w:val="bottom"/>
            <w:hideMark/>
          </w:tcPr>
          <w:p w14:paraId="6E0D79E7" w14:textId="77777777" w:rsidR="00764129" w:rsidRPr="00EC4BA6" w:rsidRDefault="00764129" w:rsidP="00764129">
            <w:pPr>
              <w:spacing w:before="0" w:after="0" w:line="240" w:lineRule="auto"/>
              <w:jc w:val="right"/>
              <w:rPr>
                <w:rFonts w:ascii="Arial" w:hAnsi="Arial" w:cs="Arial"/>
                <w:b/>
                <w:sz w:val="16"/>
                <w:szCs w:val="16"/>
              </w:rPr>
            </w:pPr>
            <w:r w:rsidRPr="00EC4BA6">
              <w:rPr>
                <w:rFonts w:ascii="Arial" w:hAnsi="Arial" w:cs="Arial"/>
                <w:b/>
                <w:sz w:val="16"/>
                <w:szCs w:val="16"/>
              </w:rPr>
              <w:t>633.4</w:t>
            </w:r>
          </w:p>
        </w:tc>
        <w:tc>
          <w:tcPr>
            <w:tcW w:w="62" w:type="pct"/>
            <w:tcBorders>
              <w:top w:val="nil"/>
              <w:left w:val="nil"/>
              <w:bottom w:val="nil"/>
              <w:right w:val="nil"/>
            </w:tcBorders>
            <w:shd w:val="clear" w:color="000000" w:fill="FFFFFF"/>
            <w:noWrap/>
            <w:vAlign w:val="center"/>
            <w:hideMark/>
          </w:tcPr>
          <w:p w14:paraId="160A71EE"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 </w:t>
            </w:r>
          </w:p>
        </w:tc>
        <w:tc>
          <w:tcPr>
            <w:tcW w:w="495" w:type="pct"/>
            <w:tcBorders>
              <w:top w:val="nil"/>
              <w:left w:val="nil"/>
              <w:bottom w:val="nil"/>
              <w:right w:val="nil"/>
            </w:tcBorders>
            <w:shd w:val="clear" w:color="000000" w:fill="FFFFFF"/>
            <w:noWrap/>
            <w:vAlign w:val="bottom"/>
            <w:hideMark/>
          </w:tcPr>
          <w:p w14:paraId="29C1773A" w14:textId="77777777" w:rsidR="00764129" w:rsidRPr="00EC4BA6" w:rsidRDefault="00764129" w:rsidP="00764129">
            <w:pPr>
              <w:spacing w:before="0" w:after="0" w:line="240" w:lineRule="auto"/>
              <w:jc w:val="right"/>
              <w:rPr>
                <w:rFonts w:ascii="Arial" w:hAnsi="Arial" w:cs="Arial"/>
                <w:b/>
                <w:sz w:val="16"/>
                <w:szCs w:val="16"/>
              </w:rPr>
            </w:pPr>
            <w:r w:rsidRPr="00EC4BA6">
              <w:rPr>
                <w:rFonts w:ascii="Arial" w:hAnsi="Arial" w:cs="Arial"/>
                <w:b/>
                <w:sz w:val="16"/>
                <w:szCs w:val="16"/>
              </w:rPr>
              <w:t>645.2</w:t>
            </w:r>
          </w:p>
        </w:tc>
        <w:tc>
          <w:tcPr>
            <w:tcW w:w="536" w:type="pct"/>
            <w:tcBorders>
              <w:top w:val="nil"/>
              <w:left w:val="nil"/>
              <w:bottom w:val="nil"/>
              <w:right w:val="nil"/>
            </w:tcBorders>
            <w:shd w:val="clear" w:color="000000" w:fill="E6F2FF"/>
            <w:noWrap/>
            <w:vAlign w:val="bottom"/>
            <w:hideMark/>
          </w:tcPr>
          <w:p w14:paraId="7E07B5A5" w14:textId="77777777" w:rsidR="00764129" w:rsidRPr="00EC4BA6" w:rsidRDefault="00764129" w:rsidP="00764129">
            <w:pPr>
              <w:spacing w:before="0" w:after="0" w:line="240" w:lineRule="auto"/>
              <w:jc w:val="right"/>
              <w:rPr>
                <w:rFonts w:ascii="Arial" w:hAnsi="Arial" w:cs="Arial"/>
                <w:b/>
                <w:sz w:val="16"/>
                <w:szCs w:val="16"/>
              </w:rPr>
            </w:pPr>
            <w:r w:rsidRPr="00EC4BA6">
              <w:rPr>
                <w:rFonts w:ascii="Arial" w:hAnsi="Arial" w:cs="Arial"/>
                <w:b/>
                <w:sz w:val="16"/>
                <w:szCs w:val="16"/>
              </w:rPr>
              <w:t>676.1</w:t>
            </w:r>
          </w:p>
        </w:tc>
        <w:tc>
          <w:tcPr>
            <w:tcW w:w="494" w:type="pct"/>
            <w:tcBorders>
              <w:top w:val="nil"/>
              <w:left w:val="nil"/>
              <w:bottom w:val="nil"/>
              <w:right w:val="nil"/>
            </w:tcBorders>
            <w:shd w:val="clear" w:color="000000" w:fill="FFFFFF"/>
            <w:noWrap/>
            <w:vAlign w:val="bottom"/>
            <w:hideMark/>
          </w:tcPr>
          <w:p w14:paraId="08D08962" w14:textId="77777777" w:rsidR="00764129" w:rsidRPr="00EC4BA6" w:rsidRDefault="00764129" w:rsidP="00764129">
            <w:pPr>
              <w:spacing w:before="0" w:after="0" w:line="240" w:lineRule="auto"/>
              <w:jc w:val="right"/>
              <w:rPr>
                <w:rFonts w:ascii="Arial" w:hAnsi="Arial" w:cs="Arial"/>
                <w:b/>
                <w:sz w:val="16"/>
                <w:szCs w:val="16"/>
              </w:rPr>
            </w:pPr>
            <w:r w:rsidRPr="00EC4BA6">
              <w:rPr>
                <w:rFonts w:ascii="Arial" w:hAnsi="Arial" w:cs="Arial"/>
                <w:b/>
                <w:sz w:val="16"/>
                <w:szCs w:val="16"/>
              </w:rPr>
              <w:t>707.6</w:t>
            </w:r>
          </w:p>
        </w:tc>
        <w:tc>
          <w:tcPr>
            <w:tcW w:w="494" w:type="pct"/>
            <w:tcBorders>
              <w:top w:val="nil"/>
              <w:left w:val="nil"/>
              <w:bottom w:val="nil"/>
              <w:right w:val="nil"/>
            </w:tcBorders>
            <w:shd w:val="clear" w:color="000000" w:fill="FFFFFF"/>
            <w:noWrap/>
            <w:vAlign w:val="bottom"/>
            <w:hideMark/>
          </w:tcPr>
          <w:p w14:paraId="4333339E" w14:textId="77777777" w:rsidR="00764129" w:rsidRPr="00EC4BA6" w:rsidRDefault="00764129" w:rsidP="00764129">
            <w:pPr>
              <w:spacing w:before="0" w:after="0" w:line="240" w:lineRule="auto"/>
              <w:jc w:val="right"/>
              <w:rPr>
                <w:rFonts w:ascii="Arial" w:hAnsi="Arial" w:cs="Arial"/>
                <w:b/>
                <w:sz w:val="16"/>
                <w:szCs w:val="16"/>
              </w:rPr>
            </w:pPr>
            <w:r w:rsidRPr="00EC4BA6">
              <w:rPr>
                <w:rFonts w:ascii="Arial" w:hAnsi="Arial" w:cs="Arial"/>
                <w:b/>
                <w:sz w:val="16"/>
                <w:szCs w:val="16"/>
              </w:rPr>
              <w:t>735.9</w:t>
            </w:r>
          </w:p>
        </w:tc>
        <w:tc>
          <w:tcPr>
            <w:tcW w:w="494" w:type="pct"/>
            <w:tcBorders>
              <w:top w:val="nil"/>
              <w:left w:val="nil"/>
              <w:bottom w:val="nil"/>
              <w:right w:val="nil"/>
            </w:tcBorders>
            <w:shd w:val="clear" w:color="000000" w:fill="FFFFFF"/>
            <w:noWrap/>
            <w:vAlign w:val="bottom"/>
            <w:hideMark/>
          </w:tcPr>
          <w:p w14:paraId="1E500506" w14:textId="77777777" w:rsidR="00764129" w:rsidRPr="00EC4BA6" w:rsidRDefault="00764129" w:rsidP="00764129">
            <w:pPr>
              <w:spacing w:before="0" w:after="0" w:line="240" w:lineRule="auto"/>
              <w:jc w:val="right"/>
              <w:rPr>
                <w:rFonts w:ascii="Arial" w:hAnsi="Arial" w:cs="Arial"/>
                <w:b/>
                <w:sz w:val="16"/>
                <w:szCs w:val="16"/>
              </w:rPr>
            </w:pPr>
            <w:r w:rsidRPr="00EC4BA6">
              <w:rPr>
                <w:rFonts w:ascii="Arial" w:hAnsi="Arial" w:cs="Arial"/>
                <w:b/>
                <w:sz w:val="16"/>
                <w:szCs w:val="16"/>
              </w:rPr>
              <w:t>778.3</w:t>
            </w:r>
          </w:p>
        </w:tc>
      </w:tr>
      <w:tr w:rsidR="00764129" w:rsidRPr="00EC4BA6" w14:paraId="300DC52B" w14:textId="77777777" w:rsidTr="00764129">
        <w:trPr>
          <w:trHeight w:hRule="exact" w:val="225"/>
        </w:trPr>
        <w:tc>
          <w:tcPr>
            <w:tcW w:w="1922" w:type="pct"/>
            <w:tcBorders>
              <w:top w:val="nil"/>
              <w:left w:val="nil"/>
              <w:bottom w:val="nil"/>
              <w:right w:val="nil"/>
            </w:tcBorders>
            <w:shd w:val="clear" w:color="000000" w:fill="FFFFFF"/>
            <w:noWrap/>
            <w:vAlign w:val="center"/>
            <w:hideMark/>
          </w:tcPr>
          <w:p w14:paraId="11E0E338" w14:textId="77777777" w:rsidR="00764129" w:rsidRPr="00EC4BA6" w:rsidRDefault="00764129" w:rsidP="00764129">
            <w:pPr>
              <w:spacing w:before="0" w:after="0" w:line="240" w:lineRule="auto"/>
              <w:rPr>
                <w:rFonts w:ascii="Arial" w:hAnsi="Arial" w:cs="Arial"/>
                <w:sz w:val="16"/>
                <w:szCs w:val="16"/>
              </w:rPr>
            </w:pPr>
            <w:r w:rsidRPr="00EC4BA6">
              <w:rPr>
                <w:rFonts w:ascii="Arial" w:hAnsi="Arial" w:cs="Arial"/>
                <w:sz w:val="16"/>
                <w:szCs w:val="16"/>
              </w:rPr>
              <w:t>Growth on previous year (%) </w:t>
            </w:r>
          </w:p>
        </w:tc>
        <w:tc>
          <w:tcPr>
            <w:tcW w:w="503" w:type="pct"/>
            <w:tcBorders>
              <w:top w:val="nil"/>
              <w:left w:val="nil"/>
              <w:bottom w:val="nil"/>
              <w:right w:val="nil"/>
            </w:tcBorders>
            <w:shd w:val="clear" w:color="000000" w:fill="FFFFFF"/>
            <w:noWrap/>
            <w:vAlign w:val="bottom"/>
            <w:hideMark/>
          </w:tcPr>
          <w:p w14:paraId="7B79A1FF"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5.3</w:t>
            </w:r>
          </w:p>
        </w:tc>
        <w:tc>
          <w:tcPr>
            <w:tcW w:w="62" w:type="pct"/>
            <w:tcBorders>
              <w:top w:val="nil"/>
              <w:left w:val="nil"/>
              <w:bottom w:val="nil"/>
              <w:right w:val="nil"/>
            </w:tcBorders>
            <w:shd w:val="clear" w:color="000000" w:fill="FFFFFF"/>
            <w:noWrap/>
            <w:vAlign w:val="center"/>
            <w:hideMark/>
          </w:tcPr>
          <w:p w14:paraId="0448BEDC"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 </w:t>
            </w:r>
          </w:p>
        </w:tc>
        <w:tc>
          <w:tcPr>
            <w:tcW w:w="495" w:type="pct"/>
            <w:tcBorders>
              <w:top w:val="nil"/>
              <w:left w:val="nil"/>
              <w:bottom w:val="nil"/>
              <w:right w:val="nil"/>
            </w:tcBorders>
            <w:shd w:val="clear" w:color="000000" w:fill="FFFFFF"/>
            <w:noWrap/>
            <w:vAlign w:val="bottom"/>
            <w:hideMark/>
          </w:tcPr>
          <w:p w14:paraId="75CE9DEA"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1.9</w:t>
            </w:r>
          </w:p>
        </w:tc>
        <w:tc>
          <w:tcPr>
            <w:tcW w:w="536" w:type="pct"/>
            <w:tcBorders>
              <w:top w:val="nil"/>
              <w:left w:val="nil"/>
              <w:bottom w:val="nil"/>
              <w:right w:val="nil"/>
            </w:tcBorders>
            <w:shd w:val="clear" w:color="000000" w:fill="E6F2FF"/>
            <w:noWrap/>
            <w:vAlign w:val="bottom"/>
            <w:hideMark/>
          </w:tcPr>
          <w:p w14:paraId="128D095B"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4.8</w:t>
            </w:r>
          </w:p>
        </w:tc>
        <w:tc>
          <w:tcPr>
            <w:tcW w:w="494" w:type="pct"/>
            <w:tcBorders>
              <w:top w:val="nil"/>
              <w:left w:val="nil"/>
              <w:bottom w:val="nil"/>
              <w:right w:val="nil"/>
            </w:tcBorders>
            <w:shd w:val="clear" w:color="000000" w:fill="FFFFFF"/>
            <w:noWrap/>
            <w:vAlign w:val="bottom"/>
            <w:hideMark/>
          </w:tcPr>
          <w:p w14:paraId="47AC9889"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4.7</w:t>
            </w:r>
          </w:p>
        </w:tc>
        <w:tc>
          <w:tcPr>
            <w:tcW w:w="494" w:type="pct"/>
            <w:tcBorders>
              <w:top w:val="nil"/>
              <w:left w:val="nil"/>
              <w:bottom w:val="nil"/>
              <w:right w:val="nil"/>
            </w:tcBorders>
            <w:shd w:val="clear" w:color="000000" w:fill="FFFFFF"/>
            <w:noWrap/>
            <w:vAlign w:val="bottom"/>
            <w:hideMark/>
          </w:tcPr>
          <w:p w14:paraId="4364AD9D"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4.0</w:t>
            </w:r>
          </w:p>
        </w:tc>
        <w:tc>
          <w:tcPr>
            <w:tcW w:w="494" w:type="pct"/>
            <w:tcBorders>
              <w:top w:val="nil"/>
              <w:left w:val="nil"/>
              <w:bottom w:val="nil"/>
              <w:right w:val="nil"/>
            </w:tcBorders>
            <w:shd w:val="clear" w:color="000000" w:fill="FFFFFF"/>
            <w:noWrap/>
            <w:vAlign w:val="bottom"/>
            <w:hideMark/>
          </w:tcPr>
          <w:p w14:paraId="086544D1"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5.8</w:t>
            </w:r>
          </w:p>
        </w:tc>
      </w:tr>
      <w:tr w:rsidR="00764129" w:rsidRPr="00EC4BA6" w14:paraId="2DF324B4" w14:textId="77777777" w:rsidTr="00764129">
        <w:trPr>
          <w:trHeight w:hRule="exact" w:val="225"/>
        </w:trPr>
        <w:tc>
          <w:tcPr>
            <w:tcW w:w="1922" w:type="pct"/>
            <w:tcBorders>
              <w:top w:val="nil"/>
              <w:left w:val="nil"/>
              <w:bottom w:val="nil"/>
              <w:right w:val="nil"/>
            </w:tcBorders>
            <w:shd w:val="clear" w:color="000000" w:fill="FFFFFF"/>
            <w:noWrap/>
            <w:vAlign w:val="center"/>
            <w:hideMark/>
          </w:tcPr>
          <w:p w14:paraId="1B51C1CA" w14:textId="77777777" w:rsidR="00764129" w:rsidRPr="00EC4BA6" w:rsidRDefault="00764129" w:rsidP="00764129">
            <w:pPr>
              <w:spacing w:before="0" w:after="0" w:line="240" w:lineRule="auto"/>
              <w:rPr>
                <w:rFonts w:ascii="Arial" w:hAnsi="Arial" w:cs="Arial"/>
                <w:sz w:val="16"/>
                <w:szCs w:val="16"/>
              </w:rPr>
            </w:pPr>
            <w:r w:rsidRPr="00EC4BA6">
              <w:rPr>
                <w:rFonts w:ascii="Arial" w:hAnsi="Arial" w:cs="Arial"/>
                <w:sz w:val="16"/>
                <w:szCs w:val="16"/>
              </w:rPr>
              <w:t>Per cent of GDP </w:t>
            </w:r>
          </w:p>
        </w:tc>
        <w:tc>
          <w:tcPr>
            <w:tcW w:w="503" w:type="pct"/>
            <w:tcBorders>
              <w:top w:val="nil"/>
              <w:left w:val="nil"/>
              <w:bottom w:val="nil"/>
              <w:right w:val="nil"/>
            </w:tcBorders>
            <w:shd w:val="clear" w:color="000000" w:fill="FFFFFF"/>
            <w:noWrap/>
            <w:vAlign w:val="bottom"/>
            <w:hideMark/>
          </w:tcPr>
          <w:p w14:paraId="2A841A95"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23.7</w:t>
            </w:r>
          </w:p>
        </w:tc>
        <w:tc>
          <w:tcPr>
            <w:tcW w:w="62" w:type="pct"/>
            <w:tcBorders>
              <w:top w:val="nil"/>
              <w:left w:val="nil"/>
              <w:bottom w:val="nil"/>
              <w:right w:val="nil"/>
            </w:tcBorders>
            <w:shd w:val="clear" w:color="000000" w:fill="FFFFFF"/>
            <w:noWrap/>
            <w:vAlign w:val="center"/>
            <w:hideMark/>
          </w:tcPr>
          <w:p w14:paraId="28FC8273"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 </w:t>
            </w:r>
          </w:p>
        </w:tc>
        <w:tc>
          <w:tcPr>
            <w:tcW w:w="495" w:type="pct"/>
            <w:tcBorders>
              <w:top w:val="nil"/>
              <w:left w:val="nil"/>
              <w:bottom w:val="nil"/>
              <w:right w:val="nil"/>
            </w:tcBorders>
            <w:shd w:val="clear" w:color="000000" w:fill="FFFFFF"/>
            <w:noWrap/>
            <w:vAlign w:val="bottom"/>
            <w:hideMark/>
          </w:tcPr>
          <w:p w14:paraId="7A2531B7"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23.1</w:t>
            </w:r>
          </w:p>
        </w:tc>
        <w:tc>
          <w:tcPr>
            <w:tcW w:w="536" w:type="pct"/>
            <w:tcBorders>
              <w:top w:val="nil"/>
              <w:left w:val="nil"/>
              <w:bottom w:val="nil"/>
              <w:right w:val="nil"/>
            </w:tcBorders>
            <w:shd w:val="clear" w:color="000000" w:fill="E6F2FF"/>
            <w:noWrap/>
            <w:vAlign w:val="bottom"/>
            <w:hideMark/>
          </w:tcPr>
          <w:p w14:paraId="7FF145AB"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23.5</w:t>
            </w:r>
          </w:p>
        </w:tc>
        <w:tc>
          <w:tcPr>
            <w:tcW w:w="494" w:type="pct"/>
            <w:tcBorders>
              <w:top w:val="nil"/>
              <w:left w:val="nil"/>
              <w:bottom w:val="nil"/>
              <w:right w:val="nil"/>
            </w:tcBorders>
            <w:shd w:val="clear" w:color="000000" w:fill="FFFFFF"/>
            <w:noWrap/>
            <w:vAlign w:val="bottom"/>
            <w:hideMark/>
          </w:tcPr>
          <w:p w14:paraId="660AABA0"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23.6</w:t>
            </w:r>
          </w:p>
        </w:tc>
        <w:tc>
          <w:tcPr>
            <w:tcW w:w="494" w:type="pct"/>
            <w:tcBorders>
              <w:top w:val="nil"/>
              <w:left w:val="nil"/>
              <w:bottom w:val="nil"/>
              <w:right w:val="nil"/>
            </w:tcBorders>
            <w:shd w:val="clear" w:color="000000" w:fill="FFFFFF"/>
            <w:noWrap/>
            <w:vAlign w:val="bottom"/>
            <w:hideMark/>
          </w:tcPr>
          <w:p w14:paraId="426718BA"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23.4</w:t>
            </w:r>
          </w:p>
        </w:tc>
        <w:tc>
          <w:tcPr>
            <w:tcW w:w="494" w:type="pct"/>
            <w:tcBorders>
              <w:top w:val="nil"/>
              <w:left w:val="nil"/>
              <w:bottom w:val="nil"/>
              <w:right w:val="nil"/>
            </w:tcBorders>
            <w:shd w:val="clear" w:color="000000" w:fill="FFFFFF"/>
            <w:noWrap/>
            <w:vAlign w:val="bottom"/>
            <w:hideMark/>
          </w:tcPr>
          <w:p w14:paraId="082C7E3A"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23.4</w:t>
            </w:r>
          </w:p>
        </w:tc>
      </w:tr>
      <w:tr w:rsidR="00764129" w:rsidRPr="00EC4BA6" w14:paraId="7B28EE06" w14:textId="77777777" w:rsidTr="00764129">
        <w:trPr>
          <w:trHeight w:hRule="exact" w:val="60"/>
        </w:trPr>
        <w:tc>
          <w:tcPr>
            <w:tcW w:w="1922" w:type="pct"/>
            <w:tcBorders>
              <w:top w:val="nil"/>
              <w:left w:val="nil"/>
              <w:bottom w:val="nil"/>
              <w:right w:val="nil"/>
            </w:tcBorders>
            <w:shd w:val="clear" w:color="000000" w:fill="FFFFFF"/>
            <w:noWrap/>
            <w:vAlign w:val="center"/>
            <w:hideMark/>
          </w:tcPr>
          <w:p w14:paraId="63D3D89E" w14:textId="77777777" w:rsidR="00764129" w:rsidRPr="00EC4BA6" w:rsidRDefault="00764129" w:rsidP="00764129">
            <w:pPr>
              <w:spacing w:before="0" w:after="0" w:line="240" w:lineRule="auto"/>
              <w:rPr>
                <w:rFonts w:ascii="Arial" w:hAnsi="Arial" w:cs="Arial"/>
                <w:sz w:val="16"/>
                <w:szCs w:val="16"/>
              </w:rPr>
            </w:pPr>
            <w:r w:rsidRPr="00EC4BA6">
              <w:rPr>
                <w:rFonts w:ascii="Arial" w:hAnsi="Arial" w:cs="Arial"/>
                <w:sz w:val="16"/>
                <w:szCs w:val="16"/>
              </w:rPr>
              <w:t> </w:t>
            </w:r>
          </w:p>
        </w:tc>
        <w:tc>
          <w:tcPr>
            <w:tcW w:w="503" w:type="pct"/>
            <w:tcBorders>
              <w:top w:val="nil"/>
              <w:left w:val="nil"/>
              <w:bottom w:val="nil"/>
              <w:right w:val="nil"/>
            </w:tcBorders>
            <w:shd w:val="clear" w:color="000000" w:fill="FFFFFF"/>
            <w:noWrap/>
            <w:vAlign w:val="center"/>
            <w:hideMark/>
          </w:tcPr>
          <w:p w14:paraId="512A0D53"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  </w:t>
            </w:r>
          </w:p>
        </w:tc>
        <w:tc>
          <w:tcPr>
            <w:tcW w:w="62" w:type="pct"/>
            <w:tcBorders>
              <w:top w:val="nil"/>
              <w:left w:val="nil"/>
              <w:bottom w:val="nil"/>
              <w:right w:val="nil"/>
            </w:tcBorders>
            <w:shd w:val="clear" w:color="000000" w:fill="FFFFFF"/>
            <w:noWrap/>
            <w:vAlign w:val="center"/>
            <w:hideMark/>
          </w:tcPr>
          <w:p w14:paraId="554E0085"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 </w:t>
            </w:r>
          </w:p>
        </w:tc>
        <w:tc>
          <w:tcPr>
            <w:tcW w:w="495" w:type="pct"/>
            <w:tcBorders>
              <w:top w:val="nil"/>
              <w:left w:val="nil"/>
              <w:bottom w:val="nil"/>
              <w:right w:val="nil"/>
            </w:tcBorders>
            <w:shd w:val="clear" w:color="000000" w:fill="FFFFFF"/>
            <w:noWrap/>
            <w:vAlign w:val="center"/>
            <w:hideMark/>
          </w:tcPr>
          <w:p w14:paraId="2C76C037"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 </w:t>
            </w:r>
          </w:p>
        </w:tc>
        <w:tc>
          <w:tcPr>
            <w:tcW w:w="536" w:type="pct"/>
            <w:tcBorders>
              <w:top w:val="nil"/>
              <w:left w:val="nil"/>
              <w:bottom w:val="nil"/>
              <w:right w:val="nil"/>
            </w:tcBorders>
            <w:shd w:val="clear" w:color="000000" w:fill="E6F2FF"/>
            <w:noWrap/>
            <w:vAlign w:val="center"/>
            <w:hideMark/>
          </w:tcPr>
          <w:p w14:paraId="62B8C5E9"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  </w:t>
            </w:r>
          </w:p>
        </w:tc>
        <w:tc>
          <w:tcPr>
            <w:tcW w:w="494" w:type="pct"/>
            <w:tcBorders>
              <w:top w:val="nil"/>
              <w:left w:val="nil"/>
              <w:bottom w:val="nil"/>
              <w:right w:val="nil"/>
            </w:tcBorders>
            <w:shd w:val="clear" w:color="000000" w:fill="FFFFFF"/>
            <w:noWrap/>
            <w:vAlign w:val="center"/>
            <w:hideMark/>
          </w:tcPr>
          <w:p w14:paraId="658D63DE"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 </w:t>
            </w:r>
          </w:p>
        </w:tc>
        <w:tc>
          <w:tcPr>
            <w:tcW w:w="494" w:type="pct"/>
            <w:tcBorders>
              <w:top w:val="nil"/>
              <w:left w:val="nil"/>
              <w:bottom w:val="nil"/>
              <w:right w:val="nil"/>
            </w:tcBorders>
            <w:shd w:val="clear" w:color="000000" w:fill="FFFFFF"/>
            <w:noWrap/>
            <w:vAlign w:val="center"/>
            <w:hideMark/>
          </w:tcPr>
          <w:p w14:paraId="7C3D2EE3"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 </w:t>
            </w:r>
          </w:p>
        </w:tc>
        <w:tc>
          <w:tcPr>
            <w:tcW w:w="494" w:type="pct"/>
            <w:tcBorders>
              <w:top w:val="nil"/>
              <w:left w:val="nil"/>
              <w:bottom w:val="nil"/>
              <w:right w:val="nil"/>
            </w:tcBorders>
            <w:shd w:val="clear" w:color="000000" w:fill="FFFFFF"/>
            <w:noWrap/>
            <w:vAlign w:val="center"/>
            <w:hideMark/>
          </w:tcPr>
          <w:p w14:paraId="523CA23D"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 </w:t>
            </w:r>
          </w:p>
        </w:tc>
      </w:tr>
      <w:tr w:rsidR="00764129" w:rsidRPr="00EC4BA6" w14:paraId="51D87AE0" w14:textId="77777777" w:rsidTr="00764129">
        <w:trPr>
          <w:trHeight w:hRule="exact" w:val="225"/>
        </w:trPr>
        <w:tc>
          <w:tcPr>
            <w:tcW w:w="1922" w:type="pct"/>
            <w:tcBorders>
              <w:top w:val="nil"/>
              <w:left w:val="nil"/>
              <w:bottom w:val="nil"/>
              <w:right w:val="nil"/>
            </w:tcBorders>
            <w:shd w:val="clear" w:color="000000" w:fill="FFFFFF"/>
            <w:noWrap/>
            <w:vAlign w:val="center"/>
            <w:hideMark/>
          </w:tcPr>
          <w:p w14:paraId="6C4063A6" w14:textId="77777777" w:rsidR="00764129" w:rsidRPr="00EC4BA6" w:rsidRDefault="00764129" w:rsidP="00764129">
            <w:pPr>
              <w:spacing w:before="0" w:after="0" w:line="240" w:lineRule="auto"/>
              <w:rPr>
                <w:rFonts w:ascii="Arial" w:hAnsi="Arial" w:cs="Arial"/>
                <w:b/>
                <w:sz w:val="16"/>
                <w:szCs w:val="16"/>
              </w:rPr>
            </w:pPr>
            <w:r w:rsidRPr="00EC4BA6">
              <w:rPr>
                <w:rFonts w:ascii="Arial" w:hAnsi="Arial" w:cs="Arial"/>
                <w:b/>
                <w:sz w:val="16"/>
                <w:szCs w:val="16"/>
              </w:rPr>
              <w:t>Tax receipts excluding GST ($b)</w:t>
            </w:r>
            <w:r w:rsidRPr="00EC4BA6">
              <w:rPr>
                <w:rFonts w:ascii="Arial" w:hAnsi="Arial" w:cs="Arial"/>
                <w:sz w:val="16"/>
                <w:szCs w:val="16"/>
              </w:rPr>
              <w:t> </w:t>
            </w:r>
          </w:p>
        </w:tc>
        <w:tc>
          <w:tcPr>
            <w:tcW w:w="503" w:type="pct"/>
            <w:tcBorders>
              <w:top w:val="nil"/>
              <w:left w:val="nil"/>
              <w:bottom w:val="nil"/>
              <w:right w:val="nil"/>
            </w:tcBorders>
            <w:shd w:val="clear" w:color="000000" w:fill="FFFFFF"/>
            <w:noWrap/>
            <w:vAlign w:val="bottom"/>
            <w:hideMark/>
          </w:tcPr>
          <w:p w14:paraId="7D3BC0BA" w14:textId="77777777" w:rsidR="00764129" w:rsidRPr="00EC4BA6" w:rsidRDefault="00764129" w:rsidP="00764129">
            <w:pPr>
              <w:spacing w:before="0" w:after="0" w:line="240" w:lineRule="auto"/>
              <w:jc w:val="right"/>
              <w:rPr>
                <w:rFonts w:ascii="Arial" w:hAnsi="Arial" w:cs="Arial"/>
                <w:b/>
                <w:sz w:val="16"/>
                <w:szCs w:val="16"/>
              </w:rPr>
            </w:pPr>
            <w:r w:rsidRPr="00EC4BA6">
              <w:rPr>
                <w:rFonts w:ascii="Arial" w:hAnsi="Arial" w:cs="Arial"/>
                <w:b/>
                <w:sz w:val="16"/>
                <w:szCs w:val="16"/>
              </w:rPr>
              <w:t>548.5</w:t>
            </w:r>
          </w:p>
        </w:tc>
        <w:tc>
          <w:tcPr>
            <w:tcW w:w="62" w:type="pct"/>
            <w:tcBorders>
              <w:top w:val="nil"/>
              <w:left w:val="nil"/>
              <w:bottom w:val="nil"/>
              <w:right w:val="nil"/>
            </w:tcBorders>
            <w:shd w:val="clear" w:color="000000" w:fill="FFFFFF"/>
            <w:noWrap/>
            <w:vAlign w:val="center"/>
            <w:hideMark/>
          </w:tcPr>
          <w:p w14:paraId="785D8F49"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 </w:t>
            </w:r>
          </w:p>
        </w:tc>
        <w:tc>
          <w:tcPr>
            <w:tcW w:w="495" w:type="pct"/>
            <w:tcBorders>
              <w:top w:val="nil"/>
              <w:left w:val="nil"/>
              <w:bottom w:val="nil"/>
              <w:right w:val="nil"/>
            </w:tcBorders>
            <w:shd w:val="clear" w:color="000000" w:fill="FFFFFF"/>
            <w:noWrap/>
            <w:vAlign w:val="bottom"/>
            <w:hideMark/>
          </w:tcPr>
          <w:p w14:paraId="384EDD21" w14:textId="77777777" w:rsidR="00764129" w:rsidRPr="00EC4BA6" w:rsidRDefault="00764129" w:rsidP="00764129">
            <w:pPr>
              <w:spacing w:before="0" w:after="0" w:line="240" w:lineRule="auto"/>
              <w:jc w:val="right"/>
              <w:rPr>
                <w:rFonts w:ascii="Arial" w:hAnsi="Arial" w:cs="Arial"/>
                <w:b/>
                <w:sz w:val="16"/>
                <w:szCs w:val="16"/>
              </w:rPr>
            </w:pPr>
            <w:r w:rsidRPr="00EC4BA6">
              <w:rPr>
                <w:rFonts w:ascii="Arial" w:hAnsi="Arial" w:cs="Arial"/>
                <w:b/>
                <w:sz w:val="16"/>
                <w:szCs w:val="16"/>
              </w:rPr>
              <w:t>555.9</w:t>
            </w:r>
          </w:p>
        </w:tc>
        <w:tc>
          <w:tcPr>
            <w:tcW w:w="536" w:type="pct"/>
            <w:tcBorders>
              <w:top w:val="nil"/>
              <w:left w:val="nil"/>
              <w:bottom w:val="nil"/>
              <w:right w:val="nil"/>
            </w:tcBorders>
            <w:shd w:val="clear" w:color="000000" w:fill="E6F2FF"/>
            <w:noWrap/>
            <w:vAlign w:val="bottom"/>
            <w:hideMark/>
          </w:tcPr>
          <w:p w14:paraId="44860D56" w14:textId="77777777" w:rsidR="00764129" w:rsidRPr="00EC4BA6" w:rsidRDefault="00764129" w:rsidP="00764129">
            <w:pPr>
              <w:spacing w:before="0" w:after="0" w:line="240" w:lineRule="auto"/>
              <w:jc w:val="right"/>
              <w:rPr>
                <w:rFonts w:ascii="Arial" w:hAnsi="Arial" w:cs="Arial"/>
                <w:b/>
                <w:sz w:val="16"/>
                <w:szCs w:val="16"/>
              </w:rPr>
            </w:pPr>
            <w:r w:rsidRPr="00EC4BA6">
              <w:rPr>
                <w:rFonts w:ascii="Arial" w:hAnsi="Arial" w:cs="Arial"/>
                <w:b/>
                <w:sz w:val="16"/>
                <w:szCs w:val="16"/>
              </w:rPr>
              <w:t>582.0</w:t>
            </w:r>
          </w:p>
        </w:tc>
        <w:tc>
          <w:tcPr>
            <w:tcW w:w="494" w:type="pct"/>
            <w:tcBorders>
              <w:top w:val="nil"/>
              <w:left w:val="nil"/>
              <w:bottom w:val="nil"/>
              <w:right w:val="nil"/>
            </w:tcBorders>
            <w:shd w:val="clear" w:color="000000" w:fill="FFFFFF"/>
            <w:noWrap/>
            <w:vAlign w:val="bottom"/>
            <w:hideMark/>
          </w:tcPr>
          <w:p w14:paraId="65BA679E" w14:textId="77777777" w:rsidR="00764129" w:rsidRPr="00EC4BA6" w:rsidRDefault="00764129" w:rsidP="00764129">
            <w:pPr>
              <w:spacing w:before="0" w:after="0" w:line="240" w:lineRule="auto"/>
              <w:jc w:val="right"/>
              <w:rPr>
                <w:rFonts w:ascii="Arial" w:hAnsi="Arial" w:cs="Arial"/>
                <w:b/>
                <w:sz w:val="16"/>
                <w:szCs w:val="16"/>
              </w:rPr>
            </w:pPr>
            <w:r w:rsidRPr="00EC4BA6">
              <w:rPr>
                <w:rFonts w:ascii="Arial" w:hAnsi="Arial" w:cs="Arial"/>
                <w:b/>
                <w:sz w:val="16"/>
                <w:szCs w:val="16"/>
              </w:rPr>
              <w:t>608.4</w:t>
            </w:r>
          </w:p>
        </w:tc>
        <w:tc>
          <w:tcPr>
            <w:tcW w:w="494" w:type="pct"/>
            <w:tcBorders>
              <w:top w:val="nil"/>
              <w:left w:val="nil"/>
              <w:bottom w:val="nil"/>
              <w:right w:val="nil"/>
            </w:tcBorders>
            <w:shd w:val="clear" w:color="000000" w:fill="FFFFFF"/>
            <w:noWrap/>
            <w:vAlign w:val="bottom"/>
            <w:hideMark/>
          </w:tcPr>
          <w:p w14:paraId="3B260E43" w14:textId="77777777" w:rsidR="00764129" w:rsidRPr="00EC4BA6" w:rsidRDefault="00764129" w:rsidP="00764129">
            <w:pPr>
              <w:spacing w:before="0" w:after="0" w:line="240" w:lineRule="auto"/>
              <w:jc w:val="right"/>
              <w:rPr>
                <w:rFonts w:ascii="Arial" w:hAnsi="Arial" w:cs="Arial"/>
                <w:b/>
                <w:sz w:val="16"/>
                <w:szCs w:val="16"/>
              </w:rPr>
            </w:pPr>
            <w:r w:rsidRPr="00EC4BA6">
              <w:rPr>
                <w:rFonts w:ascii="Arial" w:hAnsi="Arial" w:cs="Arial"/>
                <w:b/>
                <w:sz w:val="16"/>
                <w:szCs w:val="16"/>
              </w:rPr>
              <w:t>631.2</w:t>
            </w:r>
          </w:p>
        </w:tc>
        <w:tc>
          <w:tcPr>
            <w:tcW w:w="494" w:type="pct"/>
            <w:tcBorders>
              <w:top w:val="nil"/>
              <w:left w:val="nil"/>
              <w:bottom w:val="nil"/>
              <w:right w:val="nil"/>
            </w:tcBorders>
            <w:shd w:val="clear" w:color="000000" w:fill="FFFFFF"/>
            <w:noWrap/>
            <w:vAlign w:val="bottom"/>
            <w:hideMark/>
          </w:tcPr>
          <w:p w14:paraId="3DFDEF77" w14:textId="77777777" w:rsidR="00764129" w:rsidRPr="00EC4BA6" w:rsidRDefault="00764129" w:rsidP="00764129">
            <w:pPr>
              <w:spacing w:before="0" w:after="0" w:line="240" w:lineRule="auto"/>
              <w:jc w:val="right"/>
              <w:rPr>
                <w:rFonts w:ascii="Arial" w:hAnsi="Arial" w:cs="Arial"/>
                <w:b/>
                <w:sz w:val="16"/>
                <w:szCs w:val="16"/>
              </w:rPr>
            </w:pPr>
            <w:r w:rsidRPr="00EC4BA6">
              <w:rPr>
                <w:rFonts w:ascii="Arial" w:hAnsi="Arial" w:cs="Arial"/>
                <w:b/>
                <w:sz w:val="16"/>
                <w:szCs w:val="16"/>
              </w:rPr>
              <w:t>667.9</w:t>
            </w:r>
          </w:p>
        </w:tc>
      </w:tr>
      <w:tr w:rsidR="00764129" w:rsidRPr="00EC4BA6" w14:paraId="2964DCE3" w14:textId="77777777" w:rsidTr="00764129">
        <w:trPr>
          <w:trHeight w:hRule="exact" w:val="225"/>
        </w:trPr>
        <w:tc>
          <w:tcPr>
            <w:tcW w:w="1922" w:type="pct"/>
            <w:tcBorders>
              <w:top w:val="nil"/>
              <w:left w:val="nil"/>
              <w:bottom w:val="nil"/>
              <w:right w:val="nil"/>
            </w:tcBorders>
            <w:shd w:val="clear" w:color="000000" w:fill="FFFFFF"/>
            <w:noWrap/>
            <w:vAlign w:val="center"/>
            <w:hideMark/>
          </w:tcPr>
          <w:p w14:paraId="78EECA9F" w14:textId="77777777" w:rsidR="00764129" w:rsidRPr="00EC4BA6" w:rsidRDefault="00764129" w:rsidP="00764129">
            <w:pPr>
              <w:spacing w:before="0" w:after="0" w:line="240" w:lineRule="auto"/>
              <w:rPr>
                <w:rFonts w:ascii="Arial" w:hAnsi="Arial" w:cs="Arial"/>
                <w:sz w:val="16"/>
                <w:szCs w:val="16"/>
              </w:rPr>
            </w:pPr>
            <w:r w:rsidRPr="00EC4BA6">
              <w:rPr>
                <w:rFonts w:ascii="Arial" w:hAnsi="Arial" w:cs="Arial"/>
                <w:sz w:val="16"/>
                <w:szCs w:val="16"/>
              </w:rPr>
              <w:t>Growth on previous year (%) </w:t>
            </w:r>
          </w:p>
        </w:tc>
        <w:tc>
          <w:tcPr>
            <w:tcW w:w="503" w:type="pct"/>
            <w:tcBorders>
              <w:top w:val="nil"/>
              <w:left w:val="nil"/>
              <w:bottom w:val="nil"/>
              <w:right w:val="nil"/>
            </w:tcBorders>
            <w:shd w:val="clear" w:color="000000" w:fill="FFFFFF"/>
            <w:noWrap/>
            <w:vAlign w:val="bottom"/>
            <w:hideMark/>
          </w:tcPr>
          <w:p w14:paraId="7BE04180"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5.5</w:t>
            </w:r>
          </w:p>
        </w:tc>
        <w:tc>
          <w:tcPr>
            <w:tcW w:w="62" w:type="pct"/>
            <w:tcBorders>
              <w:top w:val="nil"/>
              <w:left w:val="nil"/>
              <w:bottom w:val="nil"/>
              <w:right w:val="nil"/>
            </w:tcBorders>
            <w:shd w:val="clear" w:color="000000" w:fill="FFFFFF"/>
            <w:noWrap/>
            <w:vAlign w:val="center"/>
            <w:hideMark/>
          </w:tcPr>
          <w:p w14:paraId="653DC28F"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 </w:t>
            </w:r>
          </w:p>
        </w:tc>
        <w:tc>
          <w:tcPr>
            <w:tcW w:w="495" w:type="pct"/>
            <w:tcBorders>
              <w:top w:val="nil"/>
              <w:left w:val="nil"/>
              <w:bottom w:val="nil"/>
              <w:right w:val="nil"/>
            </w:tcBorders>
            <w:shd w:val="clear" w:color="000000" w:fill="FFFFFF"/>
            <w:noWrap/>
            <w:vAlign w:val="bottom"/>
            <w:hideMark/>
          </w:tcPr>
          <w:p w14:paraId="0D5DD9EB"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1.4</w:t>
            </w:r>
          </w:p>
        </w:tc>
        <w:tc>
          <w:tcPr>
            <w:tcW w:w="536" w:type="pct"/>
            <w:tcBorders>
              <w:top w:val="nil"/>
              <w:left w:val="nil"/>
              <w:bottom w:val="nil"/>
              <w:right w:val="nil"/>
            </w:tcBorders>
            <w:shd w:val="clear" w:color="000000" w:fill="E6F2FF"/>
            <w:noWrap/>
            <w:vAlign w:val="bottom"/>
            <w:hideMark/>
          </w:tcPr>
          <w:p w14:paraId="647DCA69"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4.7</w:t>
            </w:r>
          </w:p>
        </w:tc>
        <w:tc>
          <w:tcPr>
            <w:tcW w:w="494" w:type="pct"/>
            <w:tcBorders>
              <w:top w:val="nil"/>
              <w:left w:val="nil"/>
              <w:bottom w:val="nil"/>
              <w:right w:val="nil"/>
            </w:tcBorders>
            <w:shd w:val="clear" w:color="000000" w:fill="FFFFFF"/>
            <w:noWrap/>
            <w:vAlign w:val="bottom"/>
            <w:hideMark/>
          </w:tcPr>
          <w:p w14:paraId="48CB0745"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4.5</w:t>
            </w:r>
          </w:p>
        </w:tc>
        <w:tc>
          <w:tcPr>
            <w:tcW w:w="494" w:type="pct"/>
            <w:tcBorders>
              <w:top w:val="nil"/>
              <w:left w:val="nil"/>
              <w:bottom w:val="nil"/>
              <w:right w:val="nil"/>
            </w:tcBorders>
            <w:shd w:val="clear" w:color="000000" w:fill="FFFFFF"/>
            <w:noWrap/>
            <w:vAlign w:val="bottom"/>
            <w:hideMark/>
          </w:tcPr>
          <w:p w14:paraId="2FE2B5D6"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3.7</w:t>
            </w:r>
          </w:p>
        </w:tc>
        <w:tc>
          <w:tcPr>
            <w:tcW w:w="494" w:type="pct"/>
            <w:tcBorders>
              <w:top w:val="nil"/>
              <w:left w:val="nil"/>
              <w:bottom w:val="nil"/>
              <w:right w:val="nil"/>
            </w:tcBorders>
            <w:shd w:val="clear" w:color="000000" w:fill="FFFFFF"/>
            <w:noWrap/>
            <w:vAlign w:val="bottom"/>
            <w:hideMark/>
          </w:tcPr>
          <w:p w14:paraId="2766AF6E"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5.8</w:t>
            </w:r>
          </w:p>
        </w:tc>
      </w:tr>
      <w:tr w:rsidR="00764129" w:rsidRPr="00EC4BA6" w14:paraId="48A8B92F" w14:textId="77777777" w:rsidTr="00764129">
        <w:trPr>
          <w:trHeight w:hRule="exact" w:val="225"/>
        </w:trPr>
        <w:tc>
          <w:tcPr>
            <w:tcW w:w="1922" w:type="pct"/>
            <w:tcBorders>
              <w:top w:val="nil"/>
              <w:left w:val="nil"/>
              <w:bottom w:val="nil"/>
              <w:right w:val="nil"/>
            </w:tcBorders>
            <w:shd w:val="clear" w:color="000000" w:fill="FFFFFF"/>
            <w:noWrap/>
            <w:vAlign w:val="center"/>
            <w:hideMark/>
          </w:tcPr>
          <w:p w14:paraId="1D7AC6B6" w14:textId="77777777" w:rsidR="00764129" w:rsidRPr="00EC4BA6" w:rsidRDefault="00764129" w:rsidP="00764129">
            <w:pPr>
              <w:spacing w:before="0" w:after="0" w:line="240" w:lineRule="auto"/>
              <w:rPr>
                <w:rFonts w:ascii="Arial" w:hAnsi="Arial" w:cs="Arial"/>
                <w:sz w:val="16"/>
                <w:szCs w:val="16"/>
              </w:rPr>
            </w:pPr>
            <w:r w:rsidRPr="00EC4BA6">
              <w:rPr>
                <w:rFonts w:ascii="Arial" w:hAnsi="Arial" w:cs="Arial"/>
                <w:sz w:val="16"/>
                <w:szCs w:val="16"/>
              </w:rPr>
              <w:t>Per cent of GDP </w:t>
            </w:r>
          </w:p>
        </w:tc>
        <w:tc>
          <w:tcPr>
            <w:tcW w:w="503" w:type="pct"/>
            <w:tcBorders>
              <w:top w:val="nil"/>
              <w:left w:val="nil"/>
              <w:bottom w:val="nil"/>
              <w:right w:val="nil"/>
            </w:tcBorders>
            <w:shd w:val="clear" w:color="000000" w:fill="FFFFFF"/>
            <w:noWrap/>
            <w:vAlign w:val="bottom"/>
            <w:hideMark/>
          </w:tcPr>
          <w:p w14:paraId="0A25EA38"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20.5</w:t>
            </w:r>
          </w:p>
        </w:tc>
        <w:tc>
          <w:tcPr>
            <w:tcW w:w="62" w:type="pct"/>
            <w:tcBorders>
              <w:top w:val="nil"/>
              <w:left w:val="nil"/>
              <w:bottom w:val="nil"/>
              <w:right w:val="nil"/>
            </w:tcBorders>
            <w:shd w:val="clear" w:color="000000" w:fill="FFFFFF"/>
            <w:noWrap/>
            <w:vAlign w:val="center"/>
            <w:hideMark/>
          </w:tcPr>
          <w:p w14:paraId="6B971F5D"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 </w:t>
            </w:r>
          </w:p>
        </w:tc>
        <w:tc>
          <w:tcPr>
            <w:tcW w:w="495" w:type="pct"/>
            <w:tcBorders>
              <w:top w:val="nil"/>
              <w:left w:val="nil"/>
              <w:bottom w:val="nil"/>
              <w:right w:val="nil"/>
            </w:tcBorders>
            <w:shd w:val="clear" w:color="000000" w:fill="FFFFFF"/>
            <w:noWrap/>
            <w:vAlign w:val="bottom"/>
            <w:hideMark/>
          </w:tcPr>
          <w:p w14:paraId="1F9B1565"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19.9</w:t>
            </w:r>
          </w:p>
        </w:tc>
        <w:tc>
          <w:tcPr>
            <w:tcW w:w="536" w:type="pct"/>
            <w:tcBorders>
              <w:top w:val="nil"/>
              <w:left w:val="nil"/>
              <w:bottom w:val="nil"/>
              <w:right w:val="nil"/>
            </w:tcBorders>
            <w:shd w:val="clear" w:color="000000" w:fill="E6F2FF"/>
            <w:noWrap/>
            <w:vAlign w:val="bottom"/>
            <w:hideMark/>
          </w:tcPr>
          <w:p w14:paraId="1B9078AB"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20.2</w:t>
            </w:r>
          </w:p>
        </w:tc>
        <w:tc>
          <w:tcPr>
            <w:tcW w:w="494" w:type="pct"/>
            <w:tcBorders>
              <w:top w:val="nil"/>
              <w:left w:val="nil"/>
              <w:bottom w:val="nil"/>
              <w:right w:val="nil"/>
            </w:tcBorders>
            <w:shd w:val="clear" w:color="000000" w:fill="FFFFFF"/>
            <w:noWrap/>
            <w:vAlign w:val="bottom"/>
            <w:hideMark/>
          </w:tcPr>
          <w:p w14:paraId="1071FBB6"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20.3</w:t>
            </w:r>
          </w:p>
        </w:tc>
        <w:tc>
          <w:tcPr>
            <w:tcW w:w="494" w:type="pct"/>
            <w:tcBorders>
              <w:top w:val="nil"/>
              <w:left w:val="nil"/>
              <w:bottom w:val="nil"/>
              <w:right w:val="nil"/>
            </w:tcBorders>
            <w:shd w:val="clear" w:color="000000" w:fill="FFFFFF"/>
            <w:noWrap/>
            <w:vAlign w:val="bottom"/>
            <w:hideMark/>
          </w:tcPr>
          <w:p w14:paraId="7FD22272"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20.0</w:t>
            </w:r>
          </w:p>
        </w:tc>
        <w:tc>
          <w:tcPr>
            <w:tcW w:w="494" w:type="pct"/>
            <w:tcBorders>
              <w:top w:val="nil"/>
              <w:left w:val="nil"/>
              <w:bottom w:val="nil"/>
              <w:right w:val="nil"/>
            </w:tcBorders>
            <w:shd w:val="clear" w:color="000000" w:fill="FFFFFF"/>
            <w:noWrap/>
            <w:vAlign w:val="bottom"/>
            <w:hideMark/>
          </w:tcPr>
          <w:p w14:paraId="3B806B7F"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20.1</w:t>
            </w:r>
          </w:p>
        </w:tc>
      </w:tr>
      <w:tr w:rsidR="00764129" w:rsidRPr="00EC4BA6" w14:paraId="7A0BED60" w14:textId="77777777" w:rsidTr="00764129">
        <w:trPr>
          <w:trHeight w:hRule="exact" w:val="60"/>
        </w:trPr>
        <w:tc>
          <w:tcPr>
            <w:tcW w:w="1922" w:type="pct"/>
            <w:tcBorders>
              <w:top w:val="nil"/>
              <w:left w:val="nil"/>
              <w:bottom w:val="nil"/>
              <w:right w:val="nil"/>
            </w:tcBorders>
            <w:shd w:val="clear" w:color="000000" w:fill="FFFFFF"/>
            <w:noWrap/>
            <w:vAlign w:val="center"/>
            <w:hideMark/>
          </w:tcPr>
          <w:p w14:paraId="0BD515F2" w14:textId="77777777" w:rsidR="00764129" w:rsidRPr="00EC4BA6" w:rsidRDefault="00764129" w:rsidP="00764129">
            <w:pPr>
              <w:spacing w:before="0" w:after="0" w:line="240" w:lineRule="auto"/>
              <w:rPr>
                <w:rFonts w:ascii="Arial" w:hAnsi="Arial" w:cs="Arial"/>
                <w:sz w:val="16"/>
                <w:szCs w:val="16"/>
              </w:rPr>
            </w:pPr>
            <w:r w:rsidRPr="00EC4BA6">
              <w:rPr>
                <w:rFonts w:ascii="Arial" w:hAnsi="Arial" w:cs="Arial"/>
                <w:sz w:val="16"/>
                <w:szCs w:val="16"/>
              </w:rPr>
              <w:t> </w:t>
            </w:r>
          </w:p>
        </w:tc>
        <w:tc>
          <w:tcPr>
            <w:tcW w:w="503" w:type="pct"/>
            <w:tcBorders>
              <w:top w:val="nil"/>
              <w:left w:val="nil"/>
              <w:bottom w:val="nil"/>
              <w:right w:val="nil"/>
            </w:tcBorders>
            <w:shd w:val="clear" w:color="000000" w:fill="FFFFFF"/>
            <w:noWrap/>
            <w:vAlign w:val="center"/>
            <w:hideMark/>
          </w:tcPr>
          <w:p w14:paraId="08B79E8A"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 </w:t>
            </w:r>
          </w:p>
        </w:tc>
        <w:tc>
          <w:tcPr>
            <w:tcW w:w="62" w:type="pct"/>
            <w:tcBorders>
              <w:top w:val="nil"/>
              <w:left w:val="nil"/>
              <w:bottom w:val="nil"/>
              <w:right w:val="nil"/>
            </w:tcBorders>
            <w:shd w:val="clear" w:color="000000" w:fill="FFFFFF"/>
            <w:noWrap/>
            <w:vAlign w:val="center"/>
            <w:hideMark/>
          </w:tcPr>
          <w:p w14:paraId="0749BB66"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 </w:t>
            </w:r>
          </w:p>
        </w:tc>
        <w:tc>
          <w:tcPr>
            <w:tcW w:w="495" w:type="pct"/>
            <w:tcBorders>
              <w:top w:val="nil"/>
              <w:left w:val="nil"/>
              <w:bottom w:val="nil"/>
              <w:right w:val="nil"/>
            </w:tcBorders>
            <w:shd w:val="clear" w:color="000000" w:fill="FFFFFF"/>
            <w:noWrap/>
            <w:vAlign w:val="center"/>
            <w:hideMark/>
          </w:tcPr>
          <w:p w14:paraId="32A6F26D"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 </w:t>
            </w:r>
          </w:p>
        </w:tc>
        <w:tc>
          <w:tcPr>
            <w:tcW w:w="536" w:type="pct"/>
            <w:tcBorders>
              <w:top w:val="nil"/>
              <w:left w:val="nil"/>
              <w:bottom w:val="nil"/>
              <w:right w:val="nil"/>
            </w:tcBorders>
            <w:shd w:val="clear" w:color="000000" w:fill="E6F2FF"/>
            <w:noWrap/>
            <w:vAlign w:val="center"/>
            <w:hideMark/>
          </w:tcPr>
          <w:p w14:paraId="49AF062E"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 </w:t>
            </w:r>
          </w:p>
        </w:tc>
        <w:tc>
          <w:tcPr>
            <w:tcW w:w="494" w:type="pct"/>
            <w:tcBorders>
              <w:top w:val="nil"/>
              <w:left w:val="nil"/>
              <w:bottom w:val="nil"/>
              <w:right w:val="nil"/>
            </w:tcBorders>
            <w:shd w:val="clear" w:color="000000" w:fill="FFFFFF"/>
            <w:noWrap/>
            <w:vAlign w:val="center"/>
            <w:hideMark/>
          </w:tcPr>
          <w:p w14:paraId="5A8CF098"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 </w:t>
            </w:r>
          </w:p>
        </w:tc>
        <w:tc>
          <w:tcPr>
            <w:tcW w:w="494" w:type="pct"/>
            <w:tcBorders>
              <w:top w:val="nil"/>
              <w:left w:val="nil"/>
              <w:bottom w:val="nil"/>
              <w:right w:val="nil"/>
            </w:tcBorders>
            <w:shd w:val="clear" w:color="000000" w:fill="FFFFFF"/>
            <w:noWrap/>
            <w:vAlign w:val="center"/>
            <w:hideMark/>
          </w:tcPr>
          <w:p w14:paraId="6BF6E7E9"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 </w:t>
            </w:r>
          </w:p>
        </w:tc>
        <w:tc>
          <w:tcPr>
            <w:tcW w:w="494" w:type="pct"/>
            <w:tcBorders>
              <w:top w:val="nil"/>
              <w:left w:val="nil"/>
              <w:bottom w:val="nil"/>
              <w:right w:val="nil"/>
            </w:tcBorders>
            <w:shd w:val="clear" w:color="000000" w:fill="FFFFFF"/>
            <w:noWrap/>
            <w:vAlign w:val="center"/>
            <w:hideMark/>
          </w:tcPr>
          <w:p w14:paraId="7A2BB6AC"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 </w:t>
            </w:r>
          </w:p>
        </w:tc>
      </w:tr>
      <w:tr w:rsidR="00764129" w:rsidRPr="00EC4BA6" w14:paraId="17AFDEB4" w14:textId="77777777" w:rsidTr="00764129">
        <w:trPr>
          <w:trHeight w:hRule="exact" w:val="225"/>
        </w:trPr>
        <w:tc>
          <w:tcPr>
            <w:tcW w:w="1922" w:type="pct"/>
            <w:tcBorders>
              <w:top w:val="nil"/>
              <w:left w:val="nil"/>
              <w:bottom w:val="nil"/>
              <w:right w:val="nil"/>
            </w:tcBorders>
            <w:shd w:val="clear" w:color="000000" w:fill="FFFFFF"/>
            <w:noWrap/>
            <w:vAlign w:val="center"/>
            <w:hideMark/>
          </w:tcPr>
          <w:p w14:paraId="369E76AF" w14:textId="5D0E9C05" w:rsidR="00764129" w:rsidRPr="00EC4BA6" w:rsidRDefault="00764129" w:rsidP="00764129">
            <w:pPr>
              <w:spacing w:before="0" w:after="0" w:line="240" w:lineRule="auto"/>
              <w:rPr>
                <w:rFonts w:ascii="Arial" w:hAnsi="Arial" w:cs="Arial"/>
                <w:b/>
                <w:sz w:val="16"/>
                <w:szCs w:val="16"/>
              </w:rPr>
            </w:pPr>
            <w:r w:rsidRPr="00EC4BA6">
              <w:rPr>
                <w:rFonts w:ascii="Arial" w:hAnsi="Arial" w:cs="Arial"/>
                <w:b/>
                <w:sz w:val="16"/>
                <w:szCs w:val="16"/>
              </w:rPr>
              <w:t>Non</w:t>
            </w:r>
            <w:r w:rsidR="001A3DD6">
              <w:rPr>
                <w:rFonts w:ascii="Arial" w:hAnsi="Arial" w:cs="Arial"/>
                <w:b/>
                <w:sz w:val="16"/>
                <w:szCs w:val="16"/>
              </w:rPr>
              <w:noBreakHyphen/>
            </w:r>
            <w:r w:rsidRPr="00EC4BA6">
              <w:rPr>
                <w:rFonts w:ascii="Arial" w:hAnsi="Arial" w:cs="Arial"/>
                <w:b/>
                <w:sz w:val="16"/>
                <w:szCs w:val="16"/>
              </w:rPr>
              <w:t>taxation receipts ($b)</w:t>
            </w:r>
            <w:r w:rsidRPr="00EC4BA6">
              <w:rPr>
                <w:rFonts w:ascii="Arial" w:hAnsi="Arial" w:cs="Arial"/>
                <w:sz w:val="16"/>
                <w:szCs w:val="16"/>
              </w:rPr>
              <w:t> </w:t>
            </w:r>
          </w:p>
        </w:tc>
        <w:tc>
          <w:tcPr>
            <w:tcW w:w="503" w:type="pct"/>
            <w:tcBorders>
              <w:top w:val="nil"/>
              <w:left w:val="nil"/>
              <w:bottom w:val="nil"/>
              <w:right w:val="nil"/>
            </w:tcBorders>
            <w:shd w:val="clear" w:color="000000" w:fill="FFFFFF"/>
            <w:noWrap/>
            <w:vAlign w:val="bottom"/>
            <w:hideMark/>
          </w:tcPr>
          <w:p w14:paraId="783BE652" w14:textId="77777777" w:rsidR="00764129" w:rsidRPr="00EC4BA6" w:rsidRDefault="00764129" w:rsidP="00764129">
            <w:pPr>
              <w:spacing w:before="0" w:after="0" w:line="240" w:lineRule="auto"/>
              <w:jc w:val="right"/>
              <w:rPr>
                <w:rFonts w:ascii="Arial" w:hAnsi="Arial" w:cs="Arial"/>
                <w:b/>
                <w:sz w:val="16"/>
                <w:szCs w:val="16"/>
              </w:rPr>
            </w:pPr>
            <w:r w:rsidRPr="00EC4BA6">
              <w:rPr>
                <w:rFonts w:ascii="Arial" w:hAnsi="Arial" w:cs="Arial"/>
                <w:b/>
                <w:sz w:val="16"/>
                <w:szCs w:val="16"/>
              </w:rPr>
              <w:t>55.2</w:t>
            </w:r>
          </w:p>
        </w:tc>
        <w:tc>
          <w:tcPr>
            <w:tcW w:w="62" w:type="pct"/>
            <w:tcBorders>
              <w:top w:val="nil"/>
              <w:left w:val="nil"/>
              <w:bottom w:val="nil"/>
              <w:right w:val="nil"/>
            </w:tcBorders>
            <w:shd w:val="clear" w:color="000000" w:fill="FFFFFF"/>
            <w:noWrap/>
            <w:vAlign w:val="center"/>
            <w:hideMark/>
          </w:tcPr>
          <w:p w14:paraId="2CFFD452"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 </w:t>
            </w:r>
          </w:p>
        </w:tc>
        <w:tc>
          <w:tcPr>
            <w:tcW w:w="495" w:type="pct"/>
            <w:tcBorders>
              <w:top w:val="nil"/>
              <w:left w:val="nil"/>
              <w:bottom w:val="nil"/>
              <w:right w:val="nil"/>
            </w:tcBorders>
            <w:shd w:val="clear" w:color="000000" w:fill="FFFFFF"/>
            <w:noWrap/>
            <w:vAlign w:val="bottom"/>
            <w:hideMark/>
          </w:tcPr>
          <w:p w14:paraId="6D81236E" w14:textId="77777777" w:rsidR="00764129" w:rsidRPr="00EC4BA6" w:rsidRDefault="00764129" w:rsidP="00764129">
            <w:pPr>
              <w:spacing w:before="0" w:after="0" w:line="240" w:lineRule="auto"/>
              <w:jc w:val="right"/>
              <w:rPr>
                <w:rFonts w:ascii="Arial" w:hAnsi="Arial" w:cs="Arial"/>
                <w:b/>
                <w:sz w:val="16"/>
                <w:szCs w:val="16"/>
              </w:rPr>
            </w:pPr>
            <w:r w:rsidRPr="00EC4BA6">
              <w:rPr>
                <w:rFonts w:ascii="Arial" w:hAnsi="Arial" w:cs="Arial"/>
                <w:b/>
                <w:sz w:val="16"/>
                <w:szCs w:val="16"/>
              </w:rPr>
              <w:t>58.7</w:t>
            </w:r>
          </w:p>
        </w:tc>
        <w:tc>
          <w:tcPr>
            <w:tcW w:w="536" w:type="pct"/>
            <w:tcBorders>
              <w:top w:val="nil"/>
              <w:left w:val="nil"/>
              <w:bottom w:val="nil"/>
              <w:right w:val="nil"/>
            </w:tcBorders>
            <w:shd w:val="clear" w:color="000000" w:fill="E6F2FF"/>
            <w:noWrap/>
            <w:vAlign w:val="bottom"/>
            <w:hideMark/>
          </w:tcPr>
          <w:p w14:paraId="0E392468" w14:textId="77777777" w:rsidR="00764129" w:rsidRPr="00EC4BA6" w:rsidRDefault="00764129" w:rsidP="00764129">
            <w:pPr>
              <w:spacing w:before="0" w:after="0" w:line="240" w:lineRule="auto"/>
              <w:jc w:val="right"/>
              <w:rPr>
                <w:rFonts w:ascii="Arial" w:hAnsi="Arial" w:cs="Arial"/>
                <w:b/>
                <w:sz w:val="16"/>
                <w:szCs w:val="16"/>
              </w:rPr>
            </w:pPr>
            <w:r w:rsidRPr="00EC4BA6">
              <w:rPr>
                <w:rFonts w:ascii="Arial" w:hAnsi="Arial" w:cs="Arial"/>
                <w:b/>
                <w:sz w:val="16"/>
                <w:szCs w:val="16"/>
              </w:rPr>
              <w:t>59.3</w:t>
            </w:r>
          </w:p>
        </w:tc>
        <w:tc>
          <w:tcPr>
            <w:tcW w:w="494" w:type="pct"/>
            <w:tcBorders>
              <w:top w:val="nil"/>
              <w:left w:val="nil"/>
              <w:bottom w:val="nil"/>
              <w:right w:val="nil"/>
            </w:tcBorders>
            <w:shd w:val="clear" w:color="000000" w:fill="FFFFFF"/>
            <w:noWrap/>
            <w:vAlign w:val="bottom"/>
            <w:hideMark/>
          </w:tcPr>
          <w:p w14:paraId="41365D8F" w14:textId="77777777" w:rsidR="00764129" w:rsidRPr="00EC4BA6" w:rsidRDefault="00764129" w:rsidP="00764129">
            <w:pPr>
              <w:spacing w:before="0" w:after="0" w:line="240" w:lineRule="auto"/>
              <w:jc w:val="right"/>
              <w:rPr>
                <w:rFonts w:ascii="Arial" w:hAnsi="Arial" w:cs="Arial"/>
                <w:b/>
                <w:sz w:val="16"/>
                <w:szCs w:val="16"/>
              </w:rPr>
            </w:pPr>
            <w:r w:rsidRPr="00EC4BA6">
              <w:rPr>
                <w:rFonts w:ascii="Arial" w:hAnsi="Arial" w:cs="Arial"/>
                <w:b/>
                <w:sz w:val="16"/>
                <w:szCs w:val="16"/>
              </w:rPr>
              <w:t>58.4</w:t>
            </w:r>
          </w:p>
        </w:tc>
        <w:tc>
          <w:tcPr>
            <w:tcW w:w="494" w:type="pct"/>
            <w:tcBorders>
              <w:top w:val="nil"/>
              <w:left w:val="nil"/>
              <w:bottom w:val="nil"/>
              <w:right w:val="nil"/>
            </w:tcBorders>
            <w:shd w:val="clear" w:color="000000" w:fill="FFFFFF"/>
            <w:noWrap/>
            <w:vAlign w:val="bottom"/>
            <w:hideMark/>
          </w:tcPr>
          <w:p w14:paraId="5DAFFE21" w14:textId="77777777" w:rsidR="00764129" w:rsidRPr="00EC4BA6" w:rsidRDefault="00764129" w:rsidP="00764129">
            <w:pPr>
              <w:spacing w:before="0" w:after="0" w:line="240" w:lineRule="auto"/>
              <w:jc w:val="right"/>
              <w:rPr>
                <w:rFonts w:ascii="Arial" w:hAnsi="Arial" w:cs="Arial"/>
                <w:b/>
                <w:sz w:val="16"/>
                <w:szCs w:val="16"/>
              </w:rPr>
            </w:pPr>
            <w:r w:rsidRPr="00EC4BA6">
              <w:rPr>
                <w:rFonts w:ascii="Arial" w:hAnsi="Arial" w:cs="Arial"/>
                <w:b/>
                <w:sz w:val="16"/>
                <w:szCs w:val="16"/>
              </w:rPr>
              <w:t>61.4</w:t>
            </w:r>
          </w:p>
        </w:tc>
        <w:tc>
          <w:tcPr>
            <w:tcW w:w="494" w:type="pct"/>
            <w:tcBorders>
              <w:top w:val="nil"/>
              <w:left w:val="nil"/>
              <w:bottom w:val="nil"/>
              <w:right w:val="nil"/>
            </w:tcBorders>
            <w:shd w:val="clear" w:color="000000" w:fill="FFFFFF"/>
            <w:noWrap/>
            <w:vAlign w:val="bottom"/>
            <w:hideMark/>
          </w:tcPr>
          <w:p w14:paraId="43B52742" w14:textId="77777777" w:rsidR="00764129" w:rsidRPr="00EC4BA6" w:rsidRDefault="00764129" w:rsidP="00764129">
            <w:pPr>
              <w:spacing w:before="0" w:after="0" w:line="240" w:lineRule="auto"/>
              <w:jc w:val="right"/>
              <w:rPr>
                <w:rFonts w:ascii="Arial" w:hAnsi="Arial" w:cs="Arial"/>
                <w:b/>
                <w:sz w:val="16"/>
                <w:szCs w:val="16"/>
              </w:rPr>
            </w:pPr>
            <w:r w:rsidRPr="00EC4BA6">
              <w:rPr>
                <w:rFonts w:ascii="Arial" w:hAnsi="Arial" w:cs="Arial"/>
                <w:b/>
                <w:sz w:val="16"/>
                <w:szCs w:val="16"/>
              </w:rPr>
              <w:t>62.6</w:t>
            </w:r>
          </w:p>
        </w:tc>
      </w:tr>
      <w:tr w:rsidR="00764129" w:rsidRPr="00EC4BA6" w14:paraId="377D4932" w14:textId="77777777" w:rsidTr="00764129">
        <w:trPr>
          <w:trHeight w:hRule="exact" w:val="225"/>
        </w:trPr>
        <w:tc>
          <w:tcPr>
            <w:tcW w:w="1922" w:type="pct"/>
            <w:tcBorders>
              <w:top w:val="nil"/>
              <w:left w:val="nil"/>
              <w:bottom w:val="nil"/>
              <w:right w:val="nil"/>
            </w:tcBorders>
            <w:shd w:val="clear" w:color="000000" w:fill="FFFFFF"/>
            <w:noWrap/>
            <w:vAlign w:val="center"/>
            <w:hideMark/>
          </w:tcPr>
          <w:p w14:paraId="50FF5D0E" w14:textId="77777777" w:rsidR="00764129" w:rsidRPr="00EC4BA6" w:rsidRDefault="00764129" w:rsidP="00764129">
            <w:pPr>
              <w:spacing w:before="0" w:after="0" w:line="240" w:lineRule="auto"/>
              <w:rPr>
                <w:rFonts w:ascii="Arial" w:hAnsi="Arial" w:cs="Arial"/>
                <w:sz w:val="16"/>
                <w:szCs w:val="16"/>
              </w:rPr>
            </w:pPr>
            <w:r w:rsidRPr="00EC4BA6">
              <w:rPr>
                <w:rFonts w:ascii="Arial" w:hAnsi="Arial" w:cs="Arial"/>
                <w:sz w:val="16"/>
                <w:szCs w:val="16"/>
              </w:rPr>
              <w:t>Growth on previous year (%) </w:t>
            </w:r>
          </w:p>
        </w:tc>
        <w:tc>
          <w:tcPr>
            <w:tcW w:w="503" w:type="pct"/>
            <w:tcBorders>
              <w:top w:val="nil"/>
              <w:left w:val="nil"/>
              <w:bottom w:val="nil"/>
              <w:right w:val="nil"/>
            </w:tcBorders>
            <w:shd w:val="clear" w:color="000000" w:fill="FFFFFF"/>
            <w:noWrap/>
            <w:vAlign w:val="bottom"/>
            <w:hideMark/>
          </w:tcPr>
          <w:p w14:paraId="6FA1CEBB"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14.5</w:t>
            </w:r>
          </w:p>
        </w:tc>
        <w:tc>
          <w:tcPr>
            <w:tcW w:w="62" w:type="pct"/>
            <w:tcBorders>
              <w:top w:val="nil"/>
              <w:left w:val="nil"/>
              <w:bottom w:val="nil"/>
              <w:right w:val="nil"/>
            </w:tcBorders>
            <w:shd w:val="clear" w:color="000000" w:fill="FFFFFF"/>
            <w:noWrap/>
            <w:vAlign w:val="center"/>
            <w:hideMark/>
          </w:tcPr>
          <w:p w14:paraId="2D84C44F"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 </w:t>
            </w:r>
          </w:p>
        </w:tc>
        <w:tc>
          <w:tcPr>
            <w:tcW w:w="495" w:type="pct"/>
            <w:tcBorders>
              <w:top w:val="nil"/>
              <w:left w:val="nil"/>
              <w:bottom w:val="nil"/>
              <w:right w:val="nil"/>
            </w:tcBorders>
            <w:shd w:val="clear" w:color="000000" w:fill="FFFFFF"/>
            <w:noWrap/>
            <w:vAlign w:val="bottom"/>
            <w:hideMark/>
          </w:tcPr>
          <w:p w14:paraId="596BE596"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6.3</w:t>
            </w:r>
          </w:p>
        </w:tc>
        <w:tc>
          <w:tcPr>
            <w:tcW w:w="536" w:type="pct"/>
            <w:tcBorders>
              <w:top w:val="nil"/>
              <w:left w:val="nil"/>
              <w:bottom w:val="nil"/>
              <w:right w:val="nil"/>
            </w:tcBorders>
            <w:shd w:val="clear" w:color="000000" w:fill="E6F2FF"/>
            <w:noWrap/>
            <w:vAlign w:val="bottom"/>
            <w:hideMark/>
          </w:tcPr>
          <w:p w14:paraId="1B5391FF"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1.0</w:t>
            </w:r>
          </w:p>
        </w:tc>
        <w:tc>
          <w:tcPr>
            <w:tcW w:w="494" w:type="pct"/>
            <w:tcBorders>
              <w:top w:val="nil"/>
              <w:left w:val="nil"/>
              <w:bottom w:val="nil"/>
              <w:right w:val="nil"/>
            </w:tcBorders>
            <w:shd w:val="clear" w:color="000000" w:fill="FFFFFF"/>
            <w:noWrap/>
            <w:vAlign w:val="bottom"/>
            <w:hideMark/>
          </w:tcPr>
          <w:p w14:paraId="7014A9B1" w14:textId="314E9142" w:rsidR="00764129" w:rsidRPr="00EC4BA6" w:rsidRDefault="001A3DD6" w:rsidP="00764129">
            <w:pPr>
              <w:spacing w:before="0" w:after="0" w:line="240" w:lineRule="auto"/>
              <w:jc w:val="right"/>
              <w:rPr>
                <w:rFonts w:ascii="Arial" w:hAnsi="Arial" w:cs="Arial"/>
                <w:sz w:val="16"/>
                <w:szCs w:val="16"/>
              </w:rPr>
            </w:pPr>
            <w:r>
              <w:rPr>
                <w:rFonts w:ascii="Arial" w:hAnsi="Arial" w:cs="Arial"/>
                <w:sz w:val="16"/>
                <w:szCs w:val="16"/>
              </w:rPr>
              <w:noBreakHyphen/>
            </w:r>
            <w:r w:rsidR="00764129" w:rsidRPr="00EC4BA6">
              <w:rPr>
                <w:rFonts w:ascii="Arial" w:hAnsi="Arial" w:cs="Arial"/>
                <w:sz w:val="16"/>
                <w:szCs w:val="16"/>
              </w:rPr>
              <w:t>1.4</w:t>
            </w:r>
          </w:p>
        </w:tc>
        <w:tc>
          <w:tcPr>
            <w:tcW w:w="494" w:type="pct"/>
            <w:tcBorders>
              <w:top w:val="nil"/>
              <w:left w:val="nil"/>
              <w:bottom w:val="nil"/>
              <w:right w:val="nil"/>
            </w:tcBorders>
            <w:shd w:val="clear" w:color="000000" w:fill="FFFFFF"/>
            <w:noWrap/>
            <w:vAlign w:val="bottom"/>
            <w:hideMark/>
          </w:tcPr>
          <w:p w14:paraId="63BEE522"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5.2</w:t>
            </w:r>
          </w:p>
        </w:tc>
        <w:tc>
          <w:tcPr>
            <w:tcW w:w="494" w:type="pct"/>
            <w:tcBorders>
              <w:top w:val="nil"/>
              <w:left w:val="nil"/>
              <w:bottom w:val="nil"/>
              <w:right w:val="nil"/>
            </w:tcBorders>
            <w:shd w:val="clear" w:color="000000" w:fill="FFFFFF"/>
            <w:noWrap/>
            <w:vAlign w:val="bottom"/>
            <w:hideMark/>
          </w:tcPr>
          <w:p w14:paraId="2D6930AE"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1.8</w:t>
            </w:r>
          </w:p>
        </w:tc>
      </w:tr>
      <w:tr w:rsidR="00764129" w:rsidRPr="00EC4BA6" w14:paraId="0DC314F4" w14:textId="77777777" w:rsidTr="00764129">
        <w:trPr>
          <w:trHeight w:hRule="exact" w:val="225"/>
        </w:trPr>
        <w:tc>
          <w:tcPr>
            <w:tcW w:w="1922" w:type="pct"/>
            <w:tcBorders>
              <w:top w:val="nil"/>
              <w:left w:val="nil"/>
              <w:bottom w:val="nil"/>
              <w:right w:val="nil"/>
            </w:tcBorders>
            <w:shd w:val="clear" w:color="000000" w:fill="FFFFFF"/>
            <w:noWrap/>
            <w:vAlign w:val="center"/>
            <w:hideMark/>
          </w:tcPr>
          <w:p w14:paraId="5C6DCFAA" w14:textId="77777777" w:rsidR="00764129" w:rsidRPr="00EC4BA6" w:rsidRDefault="00764129" w:rsidP="00764129">
            <w:pPr>
              <w:spacing w:before="0" w:after="0" w:line="240" w:lineRule="auto"/>
              <w:rPr>
                <w:rFonts w:ascii="Arial" w:hAnsi="Arial" w:cs="Arial"/>
                <w:sz w:val="16"/>
                <w:szCs w:val="16"/>
              </w:rPr>
            </w:pPr>
            <w:r w:rsidRPr="00EC4BA6">
              <w:rPr>
                <w:rFonts w:ascii="Arial" w:hAnsi="Arial" w:cs="Arial"/>
                <w:sz w:val="16"/>
                <w:szCs w:val="16"/>
              </w:rPr>
              <w:t>Per cent of GDP </w:t>
            </w:r>
          </w:p>
        </w:tc>
        <w:tc>
          <w:tcPr>
            <w:tcW w:w="503" w:type="pct"/>
            <w:tcBorders>
              <w:top w:val="nil"/>
              <w:left w:val="nil"/>
              <w:bottom w:val="nil"/>
              <w:right w:val="nil"/>
            </w:tcBorders>
            <w:shd w:val="clear" w:color="000000" w:fill="FFFFFF"/>
            <w:noWrap/>
            <w:vAlign w:val="bottom"/>
            <w:hideMark/>
          </w:tcPr>
          <w:p w14:paraId="7BC4980D"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2.1</w:t>
            </w:r>
          </w:p>
        </w:tc>
        <w:tc>
          <w:tcPr>
            <w:tcW w:w="62" w:type="pct"/>
            <w:tcBorders>
              <w:top w:val="nil"/>
              <w:left w:val="nil"/>
              <w:bottom w:val="nil"/>
              <w:right w:val="nil"/>
            </w:tcBorders>
            <w:shd w:val="clear" w:color="000000" w:fill="FFFFFF"/>
            <w:noWrap/>
            <w:vAlign w:val="center"/>
            <w:hideMark/>
          </w:tcPr>
          <w:p w14:paraId="400A2F1F"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 </w:t>
            </w:r>
          </w:p>
        </w:tc>
        <w:tc>
          <w:tcPr>
            <w:tcW w:w="495" w:type="pct"/>
            <w:tcBorders>
              <w:top w:val="nil"/>
              <w:left w:val="nil"/>
              <w:bottom w:val="nil"/>
              <w:right w:val="nil"/>
            </w:tcBorders>
            <w:shd w:val="clear" w:color="000000" w:fill="FFFFFF"/>
            <w:noWrap/>
            <w:vAlign w:val="bottom"/>
            <w:hideMark/>
          </w:tcPr>
          <w:p w14:paraId="61BE909A"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2.1</w:t>
            </w:r>
          </w:p>
        </w:tc>
        <w:tc>
          <w:tcPr>
            <w:tcW w:w="536" w:type="pct"/>
            <w:tcBorders>
              <w:top w:val="nil"/>
              <w:left w:val="nil"/>
              <w:bottom w:val="nil"/>
              <w:right w:val="nil"/>
            </w:tcBorders>
            <w:shd w:val="clear" w:color="000000" w:fill="E6F2FF"/>
            <w:noWrap/>
            <w:vAlign w:val="bottom"/>
            <w:hideMark/>
          </w:tcPr>
          <w:p w14:paraId="66BE43B4"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2.1</w:t>
            </w:r>
          </w:p>
        </w:tc>
        <w:tc>
          <w:tcPr>
            <w:tcW w:w="494" w:type="pct"/>
            <w:tcBorders>
              <w:top w:val="nil"/>
              <w:left w:val="nil"/>
              <w:bottom w:val="nil"/>
              <w:right w:val="nil"/>
            </w:tcBorders>
            <w:shd w:val="clear" w:color="000000" w:fill="FFFFFF"/>
            <w:noWrap/>
            <w:vAlign w:val="bottom"/>
            <w:hideMark/>
          </w:tcPr>
          <w:p w14:paraId="2C382F7A"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2.0</w:t>
            </w:r>
          </w:p>
        </w:tc>
        <w:tc>
          <w:tcPr>
            <w:tcW w:w="494" w:type="pct"/>
            <w:tcBorders>
              <w:top w:val="nil"/>
              <w:left w:val="nil"/>
              <w:bottom w:val="nil"/>
              <w:right w:val="nil"/>
            </w:tcBorders>
            <w:shd w:val="clear" w:color="000000" w:fill="FFFFFF"/>
            <w:noWrap/>
            <w:vAlign w:val="bottom"/>
            <w:hideMark/>
          </w:tcPr>
          <w:p w14:paraId="0282220F"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2.0</w:t>
            </w:r>
          </w:p>
        </w:tc>
        <w:tc>
          <w:tcPr>
            <w:tcW w:w="494" w:type="pct"/>
            <w:tcBorders>
              <w:top w:val="nil"/>
              <w:left w:val="nil"/>
              <w:bottom w:val="nil"/>
              <w:right w:val="nil"/>
            </w:tcBorders>
            <w:shd w:val="clear" w:color="000000" w:fill="FFFFFF"/>
            <w:noWrap/>
            <w:vAlign w:val="bottom"/>
            <w:hideMark/>
          </w:tcPr>
          <w:p w14:paraId="5561388B"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1.9</w:t>
            </w:r>
          </w:p>
        </w:tc>
      </w:tr>
      <w:tr w:rsidR="00764129" w:rsidRPr="00EC4BA6" w14:paraId="6CC2A8AC" w14:textId="77777777" w:rsidTr="00764129">
        <w:trPr>
          <w:trHeight w:hRule="exact" w:val="60"/>
        </w:trPr>
        <w:tc>
          <w:tcPr>
            <w:tcW w:w="1922" w:type="pct"/>
            <w:tcBorders>
              <w:top w:val="nil"/>
              <w:left w:val="nil"/>
              <w:bottom w:val="nil"/>
              <w:right w:val="nil"/>
            </w:tcBorders>
            <w:shd w:val="clear" w:color="000000" w:fill="FFFFFF"/>
            <w:noWrap/>
            <w:vAlign w:val="center"/>
            <w:hideMark/>
          </w:tcPr>
          <w:p w14:paraId="100780B4" w14:textId="77777777" w:rsidR="00764129" w:rsidRPr="00EC4BA6" w:rsidRDefault="00764129" w:rsidP="00764129">
            <w:pPr>
              <w:spacing w:before="0" w:after="0" w:line="240" w:lineRule="auto"/>
              <w:rPr>
                <w:rFonts w:ascii="Arial" w:hAnsi="Arial" w:cs="Arial"/>
                <w:sz w:val="16"/>
                <w:szCs w:val="16"/>
              </w:rPr>
            </w:pPr>
            <w:r w:rsidRPr="00EC4BA6">
              <w:rPr>
                <w:rFonts w:ascii="Arial" w:hAnsi="Arial" w:cs="Arial"/>
                <w:sz w:val="16"/>
                <w:szCs w:val="16"/>
              </w:rPr>
              <w:t> </w:t>
            </w:r>
          </w:p>
        </w:tc>
        <w:tc>
          <w:tcPr>
            <w:tcW w:w="503" w:type="pct"/>
            <w:tcBorders>
              <w:top w:val="nil"/>
              <w:left w:val="nil"/>
              <w:bottom w:val="nil"/>
              <w:right w:val="nil"/>
            </w:tcBorders>
            <w:shd w:val="clear" w:color="000000" w:fill="FFFFFF"/>
            <w:noWrap/>
            <w:vAlign w:val="center"/>
            <w:hideMark/>
          </w:tcPr>
          <w:p w14:paraId="0AE12561"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 </w:t>
            </w:r>
          </w:p>
        </w:tc>
        <w:tc>
          <w:tcPr>
            <w:tcW w:w="62" w:type="pct"/>
            <w:tcBorders>
              <w:top w:val="nil"/>
              <w:left w:val="nil"/>
              <w:bottom w:val="nil"/>
              <w:right w:val="nil"/>
            </w:tcBorders>
            <w:shd w:val="clear" w:color="000000" w:fill="FFFFFF"/>
            <w:noWrap/>
            <w:vAlign w:val="center"/>
            <w:hideMark/>
          </w:tcPr>
          <w:p w14:paraId="7A639F40"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 </w:t>
            </w:r>
          </w:p>
        </w:tc>
        <w:tc>
          <w:tcPr>
            <w:tcW w:w="495" w:type="pct"/>
            <w:tcBorders>
              <w:top w:val="nil"/>
              <w:left w:val="nil"/>
              <w:bottom w:val="nil"/>
              <w:right w:val="nil"/>
            </w:tcBorders>
            <w:shd w:val="clear" w:color="000000" w:fill="FFFFFF"/>
            <w:noWrap/>
            <w:vAlign w:val="center"/>
            <w:hideMark/>
          </w:tcPr>
          <w:p w14:paraId="5AE1501C"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 </w:t>
            </w:r>
          </w:p>
        </w:tc>
        <w:tc>
          <w:tcPr>
            <w:tcW w:w="536" w:type="pct"/>
            <w:tcBorders>
              <w:top w:val="nil"/>
              <w:left w:val="nil"/>
              <w:bottom w:val="nil"/>
              <w:right w:val="nil"/>
            </w:tcBorders>
            <w:shd w:val="clear" w:color="000000" w:fill="E6F2FF"/>
            <w:noWrap/>
            <w:vAlign w:val="center"/>
            <w:hideMark/>
          </w:tcPr>
          <w:p w14:paraId="10CB37BD"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 </w:t>
            </w:r>
          </w:p>
        </w:tc>
        <w:tc>
          <w:tcPr>
            <w:tcW w:w="494" w:type="pct"/>
            <w:tcBorders>
              <w:top w:val="nil"/>
              <w:left w:val="nil"/>
              <w:bottom w:val="nil"/>
              <w:right w:val="nil"/>
            </w:tcBorders>
            <w:shd w:val="clear" w:color="000000" w:fill="FFFFFF"/>
            <w:noWrap/>
            <w:vAlign w:val="center"/>
            <w:hideMark/>
          </w:tcPr>
          <w:p w14:paraId="5F2600E9"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 </w:t>
            </w:r>
          </w:p>
        </w:tc>
        <w:tc>
          <w:tcPr>
            <w:tcW w:w="494" w:type="pct"/>
            <w:tcBorders>
              <w:top w:val="nil"/>
              <w:left w:val="nil"/>
              <w:bottom w:val="nil"/>
              <w:right w:val="nil"/>
            </w:tcBorders>
            <w:shd w:val="clear" w:color="000000" w:fill="FFFFFF"/>
            <w:noWrap/>
            <w:vAlign w:val="center"/>
            <w:hideMark/>
          </w:tcPr>
          <w:p w14:paraId="4FFDCDC6"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 </w:t>
            </w:r>
          </w:p>
        </w:tc>
        <w:tc>
          <w:tcPr>
            <w:tcW w:w="494" w:type="pct"/>
            <w:tcBorders>
              <w:top w:val="nil"/>
              <w:left w:val="nil"/>
              <w:bottom w:val="nil"/>
              <w:right w:val="nil"/>
            </w:tcBorders>
            <w:shd w:val="clear" w:color="000000" w:fill="FFFFFF"/>
            <w:noWrap/>
            <w:vAlign w:val="center"/>
            <w:hideMark/>
          </w:tcPr>
          <w:p w14:paraId="56CC0AAE"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 </w:t>
            </w:r>
          </w:p>
        </w:tc>
      </w:tr>
      <w:tr w:rsidR="00764129" w:rsidRPr="00EC4BA6" w14:paraId="5CA24CE4" w14:textId="77777777" w:rsidTr="00764129">
        <w:trPr>
          <w:trHeight w:hRule="exact" w:val="225"/>
        </w:trPr>
        <w:tc>
          <w:tcPr>
            <w:tcW w:w="1922" w:type="pct"/>
            <w:tcBorders>
              <w:top w:val="nil"/>
              <w:left w:val="nil"/>
              <w:bottom w:val="nil"/>
              <w:right w:val="nil"/>
            </w:tcBorders>
            <w:shd w:val="clear" w:color="000000" w:fill="FFFFFF"/>
            <w:noWrap/>
            <w:vAlign w:val="center"/>
            <w:hideMark/>
          </w:tcPr>
          <w:p w14:paraId="02CDCB2B" w14:textId="77777777" w:rsidR="00764129" w:rsidRPr="00EC4BA6" w:rsidRDefault="00764129" w:rsidP="00764129">
            <w:pPr>
              <w:spacing w:before="0" w:after="0" w:line="240" w:lineRule="auto"/>
              <w:rPr>
                <w:rFonts w:ascii="Arial" w:hAnsi="Arial" w:cs="Arial"/>
                <w:b/>
                <w:sz w:val="16"/>
                <w:szCs w:val="16"/>
              </w:rPr>
            </w:pPr>
            <w:r w:rsidRPr="00EC4BA6">
              <w:rPr>
                <w:rFonts w:ascii="Arial" w:hAnsi="Arial" w:cs="Arial"/>
                <w:b/>
                <w:sz w:val="16"/>
                <w:szCs w:val="16"/>
              </w:rPr>
              <w:t>Total receipts ($b)</w:t>
            </w:r>
            <w:r w:rsidRPr="00EC4BA6">
              <w:rPr>
                <w:rFonts w:ascii="Arial" w:hAnsi="Arial" w:cs="Arial"/>
                <w:sz w:val="16"/>
                <w:szCs w:val="16"/>
              </w:rPr>
              <w:t> </w:t>
            </w:r>
          </w:p>
        </w:tc>
        <w:tc>
          <w:tcPr>
            <w:tcW w:w="503" w:type="pct"/>
            <w:tcBorders>
              <w:top w:val="nil"/>
              <w:left w:val="nil"/>
              <w:bottom w:val="nil"/>
              <w:right w:val="nil"/>
            </w:tcBorders>
            <w:shd w:val="clear" w:color="000000" w:fill="FFFFFF"/>
            <w:noWrap/>
            <w:vAlign w:val="bottom"/>
            <w:hideMark/>
          </w:tcPr>
          <w:p w14:paraId="2BF7EDB0" w14:textId="77777777" w:rsidR="00764129" w:rsidRPr="00EC4BA6" w:rsidRDefault="00764129" w:rsidP="00764129">
            <w:pPr>
              <w:spacing w:before="0" w:after="0" w:line="240" w:lineRule="auto"/>
              <w:jc w:val="right"/>
              <w:rPr>
                <w:rFonts w:ascii="Arial" w:hAnsi="Arial" w:cs="Arial"/>
                <w:b/>
                <w:sz w:val="16"/>
                <w:szCs w:val="16"/>
              </w:rPr>
            </w:pPr>
            <w:r w:rsidRPr="00EC4BA6">
              <w:rPr>
                <w:rFonts w:ascii="Arial" w:hAnsi="Arial" w:cs="Arial"/>
                <w:b/>
                <w:sz w:val="16"/>
                <w:szCs w:val="16"/>
              </w:rPr>
              <w:t>688.6</w:t>
            </w:r>
          </w:p>
        </w:tc>
        <w:tc>
          <w:tcPr>
            <w:tcW w:w="62" w:type="pct"/>
            <w:tcBorders>
              <w:top w:val="nil"/>
              <w:left w:val="nil"/>
              <w:bottom w:val="nil"/>
              <w:right w:val="nil"/>
            </w:tcBorders>
            <w:shd w:val="clear" w:color="000000" w:fill="FFFFFF"/>
            <w:noWrap/>
            <w:vAlign w:val="center"/>
            <w:hideMark/>
          </w:tcPr>
          <w:p w14:paraId="61665433"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 </w:t>
            </w:r>
          </w:p>
        </w:tc>
        <w:tc>
          <w:tcPr>
            <w:tcW w:w="495" w:type="pct"/>
            <w:tcBorders>
              <w:top w:val="nil"/>
              <w:left w:val="nil"/>
              <w:bottom w:val="nil"/>
              <w:right w:val="nil"/>
            </w:tcBorders>
            <w:shd w:val="clear" w:color="000000" w:fill="FFFFFF"/>
            <w:noWrap/>
            <w:vAlign w:val="bottom"/>
            <w:hideMark/>
          </w:tcPr>
          <w:p w14:paraId="2DB92283" w14:textId="77777777" w:rsidR="00764129" w:rsidRPr="00EC4BA6" w:rsidRDefault="00764129" w:rsidP="00764129">
            <w:pPr>
              <w:spacing w:before="0" w:after="0" w:line="240" w:lineRule="auto"/>
              <w:jc w:val="right"/>
              <w:rPr>
                <w:rFonts w:ascii="Arial" w:hAnsi="Arial" w:cs="Arial"/>
                <w:b/>
                <w:sz w:val="16"/>
                <w:szCs w:val="16"/>
              </w:rPr>
            </w:pPr>
            <w:r w:rsidRPr="00EC4BA6">
              <w:rPr>
                <w:rFonts w:ascii="Arial" w:hAnsi="Arial" w:cs="Arial"/>
                <w:b/>
                <w:sz w:val="16"/>
                <w:szCs w:val="16"/>
              </w:rPr>
              <w:t>703.9</w:t>
            </w:r>
          </w:p>
        </w:tc>
        <w:tc>
          <w:tcPr>
            <w:tcW w:w="536" w:type="pct"/>
            <w:tcBorders>
              <w:top w:val="nil"/>
              <w:left w:val="nil"/>
              <w:bottom w:val="nil"/>
              <w:right w:val="nil"/>
            </w:tcBorders>
            <w:shd w:val="clear" w:color="000000" w:fill="E6F2FF"/>
            <w:noWrap/>
            <w:vAlign w:val="bottom"/>
            <w:hideMark/>
          </w:tcPr>
          <w:p w14:paraId="326DCA57" w14:textId="77777777" w:rsidR="00764129" w:rsidRPr="00EC4BA6" w:rsidRDefault="00764129" w:rsidP="00764129">
            <w:pPr>
              <w:spacing w:before="0" w:after="0" w:line="240" w:lineRule="auto"/>
              <w:jc w:val="right"/>
              <w:rPr>
                <w:rFonts w:ascii="Arial" w:hAnsi="Arial" w:cs="Arial"/>
                <w:b/>
                <w:sz w:val="16"/>
                <w:szCs w:val="16"/>
              </w:rPr>
            </w:pPr>
            <w:r w:rsidRPr="00EC4BA6">
              <w:rPr>
                <w:rFonts w:ascii="Arial" w:hAnsi="Arial" w:cs="Arial"/>
                <w:b/>
                <w:sz w:val="16"/>
                <w:szCs w:val="16"/>
              </w:rPr>
              <w:t>735.4</w:t>
            </w:r>
          </w:p>
        </w:tc>
        <w:tc>
          <w:tcPr>
            <w:tcW w:w="494" w:type="pct"/>
            <w:tcBorders>
              <w:top w:val="nil"/>
              <w:left w:val="nil"/>
              <w:bottom w:val="nil"/>
              <w:right w:val="nil"/>
            </w:tcBorders>
            <w:shd w:val="clear" w:color="000000" w:fill="FFFFFF"/>
            <w:noWrap/>
            <w:vAlign w:val="bottom"/>
            <w:hideMark/>
          </w:tcPr>
          <w:p w14:paraId="38F841C6" w14:textId="77777777" w:rsidR="00764129" w:rsidRPr="00EC4BA6" w:rsidRDefault="00764129" w:rsidP="00764129">
            <w:pPr>
              <w:spacing w:before="0" w:after="0" w:line="240" w:lineRule="auto"/>
              <w:jc w:val="right"/>
              <w:rPr>
                <w:rFonts w:ascii="Arial" w:hAnsi="Arial" w:cs="Arial"/>
                <w:b/>
                <w:sz w:val="16"/>
                <w:szCs w:val="16"/>
              </w:rPr>
            </w:pPr>
            <w:r w:rsidRPr="00EC4BA6">
              <w:rPr>
                <w:rFonts w:ascii="Arial" w:hAnsi="Arial" w:cs="Arial"/>
                <w:b/>
                <w:sz w:val="16"/>
                <w:szCs w:val="16"/>
              </w:rPr>
              <w:t>766.0</w:t>
            </w:r>
          </w:p>
        </w:tc>
        <w:tc>
          <w:tcPr>
            <w:tcW w:w="494" w:type="pct"/>
            <w:tcBorders>
              <w:top w:val="nil"/>
              <w:left w:val="nil"/>
              <w:bottom w:val="nil"/>
              <w:right w:val="nil"/>
            </w:tcBorders>
            <w:shd w:val="clear" w:color="000000" w:fill="FFFFFF"/>
            <w:noWrap/>
            <w:vAlign w:val="bottom"/>
            <w:hideMark/>
          </w:tcPr>
          <w:p w14:paraId="27001E6D" w14:textId="77777777" w:rsidR="00764129" w:rsidRPr="00EC4BA6" w:rsidRDefault="00764129" w:rsidP="00764129">
            <w:pPr>
              <w:spacing w:before="0" w:after="0" w:line="240" w:lineRule="auto"/>
              <w:jc w:val="right"/>
              <w:rPr>
                <w:rFonts w:ascii="Arial" w:hAnsi="Arial" w:cs="Arial"/>
                <w:b/>
                <w:sz w:val="16"/>
                <w:szCs w:val="16"/>
              </w:rPr>
            </w:pPr>
            <w:r w:rsidRPr="00EC4BA6">
              <w:rPr>
                <w:rFonts w:ascii="Arial" w:hAnsi="Arial" w:cs="Arial"/>
                <w:b/>
                <w:sz w:val="16"/>
                <w:szCs w:val="16"/>
              </w:rPr>
              <w:t>797.4</w:t>
            </w:r>
          </w:p>
        </w:tc>
        <w:tc>
          <w:tcPr>
            <w:tcW w:w="494" w:type="pct"/>
            <w:tcBorders>
              <w:top w:val="nil"/>
              <w:left w:val="nil"/>
              <w:bottom w:val="nil"/>
              <w:right w:val="nil"/>
            </w:tcBorders>
            <w:shd w:val="clear" w:color="000000" w:fill="FFFFFF"/>
            <w:noWrap/>
            <w:vAlign w:val="bottom"/>
            <w:hideMark/>
          </w:tcPr>
          <w:p w14:paraId="4A9BF8BD" w14:textId="77777777" w:rsidR="00764129" w:rsidRPr="00EC4BA6" w:rsidRDefault="00764129" w:rsidP="00764129">
            <w:pPr>
              <w:spacing w:before="0" w:after="0" w:line="240" w:lineRule="auto"/>
              <w:jc w:val="right"/>
              <w:rPr>
                <w:rFonts w:ascii="Arial" w:hAnsi="Arial" w:cs="Arial"/>
                <w:b/>
                <w:sz w:val="16"/>
                <w:szCs w:val="16"/>
              </w:rPr>
            </w:pPr>
            <w:r w:rsidRPr="00EC4BA6">
              <w:rPr>
                <w:rFonts w:ascii="Arial" w:hAnsi="Arial" w:cs="Arial"/>
                <w:b/>
                <w:sz w:val="16"/>
                <w:szCs w:val="16"/>
              </w:rPr>
              <w:t>840.8</w:t>
            </w:r>
          </w:p>
        </w:tc>
      </w:tr>
      <w:tr w:rsidR="00764129" w:rsidRPr="00EC4BA6" w14:paraId="43AF3C6C" w14:textId="77777777" w:rsidTr="00764129">
        <w:trPr>
          <w:trHeight w:hRule="exact" w:val="225"/>
        </w:trPr>
        <w:tc>
          <w:tcPr>
            <w:tcW w:w="1922" w:type="pct"/>
            <w:tcBorders>
              <w:top w:val="nil"/>
              <w:left w:val="nil"/>
              <w:bottom w:val="nil"/>
              <w:right w:val="nil"/>
            </w:tcBorders>
            <w:shd w:val="clear" w:color="000000" w:fill="FFFFFF"/>
            <w:noWrap/>
            <w:vAlign w:val="center"/>
            <w:hideMark/>
          </w:tcPr>
          <w:p w14:paraId="596CA5B0" w14:textId="77777777" w:rsidR="00764129" w:rsidRPr="00EC4BA6" w:rsidRDefault="00764129" w:rsidP="00764129">
            <w:pPr>
              <w:spacing w:before="0" w:after="0" w:line="240" w:lineRule="auto"/>
              <w:rPr>
                <w:rFonts w:ascii="Arial" w:hAnsi="Arial" w:cs="Arial"/>
                <w:sz w:val="16"/>
                <w:szCs w:val="16"/>
              </w:rPr>
            </w:pPr>
            <w:r w:rsidRPr="00EC4BA6">
              <w:rPr>
                <w:rFonts w:ascii="Arial" w:hAnsi="Arial" w:cs="Arial"/>
                <w:sz w:val="16"/>
                <w:szCs w:val="16"/>
              </w:rPr>
              <w:t>Growth on previous year (%) </w:t>
            </w:r>
          </w:p>
        </w:tc>
        <w:tc>
          <w:tcPr>
            <w:tcW w:w="503" w:type="pct"/>
            <w:tcBorders>
              <w:top w:val="nil"/>
              <w:left w:val="nil"/>
              <w:bottom w:val="nil"/>
              <w:right w:val="nil"/>
            </w:tcBorders>
            <w:shd w:val="clear" w:color="000000" w:fill="FFFFFF"/>
            <w:noWrap/>
            <w:vAlign w:val="bottom"/>
            <w:hideMark/>
          </w:tcPr>
          <w:p w14:paraId="381D2921"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6.0</w:t>
            </w:r>
          </w:p>
        </w:tc>
        <w:tc>
          <w:tcPr>
            <w:tcW w:w="62" w:type="pct"/>
            <w:tcBorders>
              <w:top w:val="nil"/>
              <w:left w:val="nil"/>
              <w:bottom w:val="nil"/>
              <w:right w:val="nil"/>
            </w:tcBorders>
            <w:shd w:val="clear" w:color="000000" w:fill="FFFFFF"/>
            <w:noWrap/>
            <w:vAlign w:val="center"/>
            <w:hideMark/>
          </w:tcPr>
          <w:p w14:paraId="51BFA8CF"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 </w:t>
            </w:r>
          </w:p>
        </w:tc>
        <w:tc>
          <w:tcPr>
            <w:tcW w:w="495" w:type="pct"/>
            <w:tcBorders>
              <w:top w:val="nil"/>
              <w:left w:val="nil"/>
              <w:bottom w:val="nil"/>
              <w:right w:val="nil"/>
            </w:tcBorders>
            <w:shd w:val="clear" w:color="000000" w:fill="FFFFFF"/>
            <w:noWrap/>
            <w:vAlign w:val="bottom"/>
            <w:hideMark/>
          </w:tcPr>
          <w:p w14:paraId="40BBF487"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2.2</w:t>
            </w:r>
          </w:p>
        </w:tc>
        <w:tc>
          <w:tcPr>
            <w:tcW w:w="536" w:type="pct"/>
            <w:tcBorders>
              <w:top w:val="nil"/>
              <w:left w:val="nil"/>
              <w:bottom w:val="nil"/>
              <w:right w:val="nil"/>
            </w:tcBorders>
            <w:shd w:val="clear" w:color="000000" w:fill="E6F2FF"/>
            <w:noWrap/>
            <w:vAlign w:val="bottom"/>
            <w:hideMark/>
          </w:tcPr>
          <w:p w14:paraId="05A0A508"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4.5</w:t>
            </w:r>
          </w:p>
        </w:tc>
        <w:tc>
          <w:tcPr>
            <w:tcW w:w="494" w:type="pct"/>
            <w:tcBorders>
              <w:top w:val="nil"/>
              <w:left w:val="nil"/>
              <w:bottom w:val="nil"/>
              <w:right w:val="nil"/>
            </w:tcBorders>
            <w:shd w:val="clear" w:color="000000" w:fill="FFFFFF"/>
            <w:noWrap/>
            <w:vAlign w:val="bottom"/>
            <w:hideMark/>
          </w:tcPr>
          <w:p w14:paraId="7EE7CA0B"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4.2</w:t>
            </w:r>
          </w:p>
        </w:tc>
        <w:tc>
          <w:tcPr>
            <w:tcW w:w="494" w:type="pct"/>
            <w:tcBorders>
              <w:top w:val="nil"/>
              <w:left w:val="nil"/>
              <w:bottom w:val="nil"/>
              <w:right w:val="nil"/>
            </w:tcBorders>
            <w:shd w:val="clear" w:color="000000" w:fill="FFFFFF"/>
            <w:noWrap/>
            <w:vAlign w:val="bottom"/>
            <w:hideMark/>
          </w:tcPr>
          <w:p w14:paraId="1D3EF34C"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4.1</w:t>
            </w:r>
          </w:p>
        </w:tc>
        <w:tc>
          <w:tcPr>
            <w:tcW w:w="494" w:type="pct"/>
            <w:tcBorders>
              <w:top w:val="nil"/>
              <w:left w:val="nil"/>
              <w:bottom w:val="nil"/>
              <w:right w:val="nil"/>
            </w:tcBorders>
            <w:shd w:val="clear" w:color="000000" w:fill="FFFFFF"/>
            <w:noWrap/>
            <w:vAlign w:val="bottom"/>
            <w:hideMark/>
          </w:tcPr>
          <w:p w14:paraId="13086249"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5.5</w:t>
            </w:r>
          </w:p>
        </w:tc>
      </w:tr>
      <w:tr w:rsidR="00764129" w:rsidRPr="00EC4BA6" w14:paraId="65E90A3A" w14:textId="77777777" w:rsidTr="00764129">
        <w:trPr>
          <w:trHeight w:hRule="exact" w:val="225"/>
        </w:trPr>
        <w:tc>
          <w:tcPr>
            <w:tcW w:w="1922" w:type="pct"/>
            <w:tcBorders>
              <w:top w:val="nil"/>
              <w:left w:val="nil"/>
              <w:bottom w:val="single" w:sz="4" w:space="0" w:color="293F5B"/>
              <w:right w:val="nil"/>
            </w:tcBorders>
            <w:shd w:val="clear" w:color="000000" w:fill="FFFFFF"/>
            <w:noWrap/>
            <w:vAlign w:val="center"/>
            <w:hideMark/>
          </w:tcPr>
          <w:p w14:paraId="34ADD407" w14:textId="77777777" w:rsidR="00764129" w:rsidRPr="00EC4BA6" w:rsidRDefault="00764129" w:rsidP="00764129">
            <w:pPr>
              <w:spacing w:before="0" w:after="0" w:line="240" w:lineRule="auto"/>
              <w:rPr>
                <w:rFonts w:ascii="Arial" w:hAnsi="Arial" w:cs="Arial"/>
                <w:sz w:val="16"/>
                <w:szCs w:val="16"/>
              </w:rPr>
            </w:pPr>
            <w:r w:rsidRPr="00EC4BA6">
              <w:rPr>
                <w:rFonts w:ascii="Arial" w:hAnsi="Arial" w:cs="Arial"/>
                <w:sz w:val="16"/>
                <w:szCs w:val="16"/>
              </w:rPr>
              <w:t>Per cent of GDP </w:t>
            </w:r>
          </w:p>
        </w:tc>
        <w:tc>
          <w:tcPr>
            <w:tcW w:w="503" w:type="pct"/>
            <w:tcBorders>
              <w:top w:val="nil"/>
              <w:left w:val="nil"/>
              <w:bottom w:val="single" w:sz="4" w:space="0" w:color="293F5B"/>
              <w:right w:val="nil"/>
            </w:tcBorders>
            <w:shd w:val="clear" w:color="000000" w:fill="FFFFFF"/>
            <w:noWrap/>
            <w:vAlign w:val="bottom"/>
            <w:hideMark/>
          </w:tcPr>
          <w:p w14:paraId="0BABCD63"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25.8</w:t>
            </w:r>
          </w:p>
        </w:tc>
        <w:tc>
          <w:tcPr>
            <w:tcW w:w="62" w:type="pct"/>
            <w:tcBorders>
              <w:top w:val="nil"/>
              <w:left w:val="nil"/>
              <w:bottom w:val="single" w:sz="4" w:space="0" w:color="293F5B"/>
              <w:right w:val="nil"/>
            </w:tcBorders>
            <w:shd w:val="clear" w:color="000000" w:fill="FFFFFF"/>
            <w:noWrap/>
            <w:vAlign w:val="center"/>
            <w:hideMark/>
          </w:tcPr>
          <w:p w14:paraId="58F31552"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 </w:t>
            </w:r>
          </w:p>
        </w:tc>
        <w:tc>
          <w:tcPr>
            <w:tcW w:w="495" w:type="pct"/>
            <w:tcBorders>
              <w:top w:val="nil"/>
              <w:left w:val="nil"/>
              <w:bottom w:val="single" w:sz="4" w:space="0" w:color="293F5B"/>
              <w:right w:val="nil"/>
            </w:tcBorders>
            <w:shd w:val="clear" w:color="000000" w:fill="FFFFFF"/>
            <w:noWrap/>
            <w:vAlign w:val="bottom"/>
            <w:hideMark/>
          </w:tcPr>
          <w:p w14:paraId="0085DA23"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25.3</w:t>
            </w:r>
          </w:p>
        </w:tc>
        <w:tc>
          <w:tcPr>
            <w:tcW w:w="536" w:type="pct"/>
            <w:tcBorders>
              <w:top w:val="nil"/>
              <w:left w:val="nil"/>
              <w:bottom w:val="single" w:sz="4" w:space="0" w:color="293F5B"/>
              <w:right w:val="nil"/>
            </w:tcBorders>
            <w:shd w:val="clear" w:color="000000" w:fill="E6F2FF"/>
            <w:noWrap/>
            <w:vAlign w:val="bottom"/>
            <w:hideMark/>
          </w:tcPr>
          <w:p w14:paraId="2A0E210C"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25.5</w:t>
            </w:r>
          </w:p>
        </w:tc>
        <w:tc>
          <w:tcPr>
            <w:tcW w:w="494" w:type="pct"/>
            <w:tcBorders>
              <w:top w:val="nil"/>
              <w:left w:val="nil"/>
              <w:bottom w:val="single" w:sz="4" w:space="0" w:color="293F5B"/>
              <w:right w:val="nil"/>
            </w:tcBorders>
            <w:shd w:val="clear" w:color="000000" w:fill="FFFFFF"/>
            <w:noWrap/>
            <w:vAlign w:val="bottom"/>
            <w:hideMark/>
          </w:tcPr>
          <w:p w14:paraId="7B1682E7"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25.6</w:t>
            </w:r>
          </w:p>
        </w:tc>
        <w:tc>
          <w:tcPr>
            <w:tcW w:w="494" w:type="pct"/>
            <w:tcBorders>
              <w:top w:val="nil"/>
              <w:left w:val="nil"/>
              <w:bottom w:val="single" w:sz="4" w:space="0" w:color="293F5B"/>
              <w:right w:val="nil"/>
            </w:tcBorders>
            <w:shd w:val="clear" w:color="000000" w:fill="FFFFFF"/>
            <w:noWrap/>
            <w:vAlign w:val="bottom"/>
            <w:hideMark/>
          </w:tcPr>
          <w:p w14:paraId="29A8D071"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25.3</w:t>
            </w:r>
          </w:p>
        </w:tc>
        <w:tc>
          <w:tcPr>
            <w:tcW w:w="494" w:type="pct"/>
            <w:tcBorders>
              <w:top w:val="nil"/>
              <w:left w:val="nil"/>
              <w:bottom w:val="single" w:sz="4" w:space="0" w:color="293F5B"/>
              <w:right w:val="nil"/>
            </w:tcBorders>
            <w:shd w:val="clear" w:color="000000" w:fill="FFFFFF"/>
            <w:noWrap/>
            <w:vAlign w:val="bottom"/>
            <w:hideMark/>
          </w:tcPr>
          <w:p w14:paraId="4C514C4D" w14:textId="77777777" w:rsidR="00764129" w:rsidRPr="00EC4BA6" w:rsidRDefault="00764129" w:rsidP="00764129">
            <w:pPr>
              <w:spacing w:before="0" w:after="0" w:line="240" w:lineRule="auto"/>
              <w:jc w:val="right"/>
              <w:rPr>
                <w:rFonts w:ascii="Arial" w:hAnsi="Arial" w:cs="Arial"/>
                <w:sz w:val="16"/>
                <w:szCs w:val="16"/>
              </w:rPr>
            </w:pPr>
            <w:r w:rsidRPr="00EC4BA6">
              <w:rPr>
                <w:rFonts w:ascii="Arial" w:hAnsi="Arial" w:cs="Arial"/>
                <w:sz w:val="16"/>
                <w:szCs w:val="16"/>
              </w:rPr>
              <w:t>25.3</w:t>
            </w:r>
          </w:p>
        </w:tc>
      </w:tr>
    </w:tbl>
    <w:p w14:paraId="58856FE4" w14:textId="0B457A76" w:rsidR="00DF4D4F" w:rsidRPr="00EC4BA6" w:rsidRDefault="00DF4D4F" w:rsidP="00DF4D4F">
      <w:r w:rsidRPr="00EC4BA6">
        <w:br w:type="page"/>
      </w:r>
    </w:p>
    <w:p w14:paraId="122254D3" w14:textId="2A583705" w:rsidR="00DF4D4F" w:rsidRPr="00EC4BA6" w:rsidRDefault="00DF4D4F" w:rsidP="00DF4D4F">
      <w:pPr>
        <w:pStyle w:val="Heading3"/>
      </w:pPr>
      <w:bookmarkStart w:id="8" w:name="_Toc99201819"/>
      <w:bookmarkStart w:id="9" w:name="_Toc117324546"/>
      <w:r w:rsidRPr="00EC4BA6">
        <w:lastRenderedPageBreak/>
        <w:t>Tax receipts outlook</w:t>
      </w:r>
      <w:bookmarkEnd w:id="8"/>
      <w:bookmarkEnd w:id="9"/>
    </w:p>
    <w:p w14:paraId="3FB5A426" w14:textId="35121573" w:rsidR="0085385C" w:rsidRPr="00EC4BA6" w:rsidRDefault="62C27F0F" w:rsidP="4DDB1054">
      <w:r w:rsidRPr="00EC4BA6">
        <w:t>Since MYEFO, tax receipts excluding GST and policy decisions have been revised up by $</w:t>
      </w:r>
      <w:r w:rsidR="003C4EDF" w:rsidRPr="00EC4BA6">
        <w:t>9</w:t>
      </w:r>
      <w:r w:rsidR="006002C8" w:rsidRPr="00EC4BA6">
        <w:t>.</w:t>
      </w:r>
      <w:r w:rsidR="00EA52D6" w:rsidRPr="00EC4BA6">
        <w:t>4</w:t>
      </w:r>
      <w:r w:rsidRPr="00EC4BA6">
        <w:t> billion over the five years from 2024–25 to 2028–29, mainly reflecting higher personal income tax and superannuation fund taxes. The upgrade to</w:t>
      </w:r>
      <w:r w:rsidR="00CD7DD8" w:rsidRPr="00EC4BA6">
        <w:t xml:space="preserve"> </w:t>
      </w:r>
      <w:r w:rsidR="00157638" w:rsidRPr="00EC4BA6">
        <w:t>total</w:t>
      </w:r>
      <w:r w:rsidRPr="00EC4BA6">
        <w:t xml:space="preserve"> </w:t>
      </w:r>
      <w:r w:rsidR="004A3644" w:rsidRPr="00EC4BA6">
        <w:t>tax</w:t>
      </w:r>
      <w:r w:rsidRPr="00EC4BA6">
        <w:t xml:space="preserve"> receipts in this Budget </w:t>
      </w:r>
      <w:r w:rsidR="00AF1C90" w:rsidRPr="00EC4BA6">
        <w:t xml:space="preserve">is </w:t>
      </w:r>
      <w:r w:rsidR="532E6891" w:rsidRPr="00EC4BA6">
        <w:t>small and concentrated in the near</w:t>
      </w:r>
      <w:r w:rsidR="001A3DD6">
        <w:noBreakHyphen/>
      </w:r>
      <w:r w:rsidR="532E6891" w:rsidRPr="00EC4BA6">
        <w:t>term.</w:t>
      </w:r>
    </w:p>
    <w:p w14:paraId="5EB55203" w14:textId="78435A78" w:rsidR="00F136B0" w:rsidRPr="00EC4BA6" w:rsidRDefault="62C27F0F" w:rsidP="4DDB1054">
      <w:r w:rsidRPr="00EC4BA6">
        <w:t xml:space="preserve">Higher employment and continuing strength in the labour market </w:t>
      </w:r>
      <w:r w:rsidR="0075480E" w:rsidRPr="00EC4BA6">
        <w:t>is</w:t>
      </w:r>
      <w:r w:rsidRPr="00EC4BA6">
        <w:t xml:space="preserve"> </w:t>
      </w:r>
      <w:r w:rsidR="008F70CC" w:rsidRPr="00EC4BA6">
        <w:t>the main</w:t>
      </w:r>
      <w:r w:rsidRPr="00EC4BA6">
        <w:t xml:space="preserve"> driver of </w:t>
      </w:r>
      <w:r w:rsidR="1A6F3803" w:rsidRPr="00EC4BA6">
        <w:t>the</w:t>
      </w:r>
      <w:r w:rsidR="00F30070" w:rsidRPr="00EC4BA6">
        <w:t xml:space="preserve"> </w:t>
      </w:r>
      <w:r w:rsidRPr="00EC4BA6">
        <w:t>upgrade</w:t>
      </w:r>
      <w:r w:rsidR="58F22C1D" w:rsidRPr="00EC4BA6">
        <w:t xml:space="preserve"> </w:t>
      </w:r>
      <w:r w:rsidR="1A6F3803" w:rsidRPr="00EC4BA6">
        <w:t>to</w:t>
      </w:r>
      <w:r w:rsidRPr="00EC4BA6">
        <w:t xml:space="preserve"> </w:t>
      </w:r>
      <w:r w:rsidR="005F11C1" w:rsidRPr="00EC4BA6">
        <w:t>t</w:t>
      </w:r>
      <w:r w:rsidR="00F30070" w:rsidRPr="00EC4BA6">
        <w:t>ax receipts</w:t>
      </w:r>
      <w:r w:rsidR="004B5856" w:rsidRPr="00EC4BA6">
        <w:t>.</w:t>
      </w:r>
      <w:r w:rsidRPr="00EC4BA6">
        <w:t xml:space="preserve"> </w:t>
      </w:r>
      <w:r w:rsidR="001A29B1" w:rsidRPr="00EC4BA6">
        <w:t>Excluding policy decisions</w:t>
      </w:r>
      <w:r w:rsidR="00DF56BC" w:rsidRPr="00EC4BA6">
        <w:t>,</w:t>
      </w:r>
      <w:r w:rsidRPr="00EC4BA6">
        <w:t xml:space="preserve"> personal income tax</w:t>
      </w:r>
      <w:r w:rsidR="004B5856" w:rsidRPr="00EC4BA6">
        <w:t xml:space="preserve"> receipts</w:t>
      </w:r>
      <w:r w:rsidRPr="00EC4BA6">
        <w:t xml:space="preserve"> </w:t>
      </w:r>
      <w:r w:rsidR="004B5856" w:rsidRPr="00EC4BA6">
        <w:t xml:space="preserve">have been </w:t>
      </w:r>
      <w:r w:rsidRPr="00EC4BA6">
        <w:t xml:space="preserve">upgraded </w:t>
      </w:r>
      <w:r w:rsidR="01CE9153" w:rsidRPr="00EC4BA6">
        <w:t xml:space="preserve">by </w:t>
      </w:r>
      <w:r w:rsidRPr="00EC4BA6">
        <w:t>$</w:t>
      </w:r>
      <w:r w:rsidR="004F5ECB" w:rsidRPr="00EC4BA6">
        <w:t>9.9</w:t>
      </w:r>
      <w:r w:rsidRPr="00EC4BA6">
        <w:t> billion and superannuation fund tax</w:t>
      </w:r>
      <w:r w:rsidR="004B5856" w:rsidRPr="00EC4BA6">
        <w:t xml:space="preserve"> receipts</w:t>
      </w:r>
      <w:r w:rsidR="009C65CD" w:rsidRPr="00EC4BA6">
        <w:t xml:space="preserve"> </w:t>
      </w:r>
      <w:r w:rsidR="62BC985F" w:rsidRPr="00EC4BA6">
        <w:t>by</w:t>
      </w:r>
      <w:r w:rsidRPr="00EC4BA6">
        <w:t xml:space="preserve"> $</w:t>
      </w:r>
      <w:r w:rsidR="008856A7" w:rsidRPr="00EC4BA6">
        <w:t>9</w:t>
      </w:r>
      <w:r w:rsidR="0022589A" w:rsidRPr="00EC4BA6">
        <w:t>.7</w:t>
      </w:r>
      <w:r w:rsidRPr="00EC4BA6">
        <w:t> billion</w:t>
      </w:r>
      <w:r w:rsidR="031404E6" w:rsidRPr="00EC4BA6">
        <w:t xml:space="preserve"> over the five</w:t>
      </w:r>
      <w:r w:rsidR="001F370D">
        <w:t> </w:t>
      </w:r>
      <w:r w:rsidR="031404E6" w:rsidRPr="00EC4BA6">
        <w:t>years from 2024–25 to 2028–29</w:t>
      </w:r>
      <w:r w:rsidRPr="00EC4BA6">
        <w:t xml:space="preserve">. </w:t>
      </w:r>
      <w:r w:rsidR="00365038" w:rsidRPr="00EC4BA6">
        <w:t>This is</w:t>
      </w:r>
      <w:r w:rsidR="000B0132" w:rsidRPr="00EC4BA6">
        <w:t xml:space="preserve"> supported in the near term by</w:t>
      </w:r>
      <w:r w:rsidR="00365038" w:rsidRPr="00EC4BA6">
        <w:t xml:space="preserve"> </w:t>
      </w:r>
      <w:r w:rsidR="003C4006" w:rsidRPr="00EC4BA6">
        <w:t>h</w:t>
      </w:r>
      <w:r w:rsidR="00142097" w:rsidRPr="00EC4BA6">
        <w:t xml:space="preserve">igher company tax, </w:t>
      </w:r>
      <w:r w:rsidR="00970D29" w:rsidRPr="00EC4BA6">
        <w:t>reflecting</w:t>
      </w:r>
      <w:r w:rsidR="00E54AC7" w:rsidRPr="00EC4BA6">
        <w:t xml:space="preserve"> </w:t>
      </w:r>
      <w:r w:rsidR="009C65CD" w:rsidRPr="00EC4BA6">
        <w:t>temporarily</w:t>
      </w:r>
      <w:r w:rsidR="00E54AC7" w:rsidRPr="00EC4BA6">
        <w:t xml:space="preserve"> stronger mining sector profits. </w:t>
      </w:r>
    </w:p>
    <w:p w14:paraId="36671262" w14:textId="118CA11D" w:rsidR="0085385C" w:rsidRPr="00EC4BA6" w:rsidRDefault="004A05D4" w:rsidP="4DDB1054">
      <w:r w:rsidRPr="00EC4BA6">
        <w:t>These upgrades are partially offset</w:t>
      </w:r>
      <w:r w:rsidR="00FA1B27" w:rsidRPr="00EC4BA6">
        <w:t xml:space="preserve"> by </w:t>
      </w:r>
      <w:r w:rsidR="007D0181" w:rsidRPr="00EC4BA6">
        <w:t xml:space="preserve">lower </w:t>
      </w:r>
      <w:r w:rsidR="008811F1" w:rsidRPr="00EC4BA6">
        <w:t xml:space="preserve">tobacco excise receipts, </w:t>
      </w:r>
      <w:r w:rsidR="00942819" w:rsidRPr="00EC4BA6">
        <w:t xml:space="preserve">which have been downgraded </w:t>
      </w:r>
      <w:r w:rsidR="005E6DD4" w:rsidRPr="00EC4BA6">
        <w:t xml:space="preserve">by </w:t>
      </w:r>
      <w:r w:rsidR="00942819" w:rsidRPr="00EC4BA6">
        <w:t>$</w:t>
      </w:r>
      <w:r w:rsidR="0022058E" w:rsidRPr="00EC4BA6">
        <w:t>6.9</w:t>
      </w:r>
      <w:r w:rsidR="00942819" w:rsidRPr="00EC4BA6">
        <w:t xml:space="preserve"> billion over </w:t>
      </w:r>
      <w:r w:rsidR="0E9CB104" w:rsidRPr="00EC4BA6">
        <w:t>five years from 2024–25 to 2028</w:t>
      </w:r>
      <w:r w:rsidR="004A42CD" w:rsidRPr="00EC4BA6">
        <w:t>–</w:t>
      </w:r>
      <w:r w:rsidR="004A42CD" w:rsidRPr="00EC4BA6">
        <w:rPr>
          <w:rFonts w:ascii="Times New Roman" w:hAnsi="Times New Roman"/>
        </w:rPr>
        <w:t>‍</w:t>
      </w:r>
      <w:r w:rsidR="0E9CB104" w:rsidRPr="00EC4BA6">
        <w:t>29</w:t>
      </w:r>
      <w:r w:rsidR="00942819" w:rsidRPr="00EC4BA6">
        <w:t xml:space="preserve"> </w:t>
      </w:r>
      <w:r w:rsidR="00C40F62" w:rsidRPr="00EC4BA6">
        <w:t xml:space="preserve">due to a weaker outlook for excisable tobacco volumes. </w:t>
      </w:r>
      <w:r w:rsidR="00BF70FC" w:rsidRPr="00EC4BA6">
        <w:t>Despite</w:t>
      </w:r>
      <w:r w:rsidR="0051152F" w:rsidRPr="00EC4BA6" w:rsidDel="0022058E">
        <w:t xml:space="preserve"> </w:t>
      </w:r>
      <w:r w:rsidR="0022058E" w:rsidRPr="00EC4BA6">
        <w:t xml:space="preserve">a </w:t>
      </w:r>
      <w:r w:rsidR="0051152F" w:rsidRPr="00EC4BA6">
        <w:t>near</w:t>
      </w:r>
      <w:r w:rsidR="001A3DD6">
        <w:noBreakHyphen/>
      </w:r>
      <w:r w:rsidR="0051152F" w:rsidRPr="00EC4BA6">
        <w:t>term upgrade, c</w:t>
      </w:r>
      <w:r w:rsidR="007F63A5" w:rsidRPr="00EC4BA6">
        <w:t>ompany tax</w:t>
      </w:r>
      <w:r w:rsidR="00594EA2" w:rsidRPr="00EC4BA6">
        <w:t xml:space="preserve"> </w:t>
      </w:r>
      <w:r w:rsidR="00BE4005" w:rsidRPr="00EC4BA6">
        <w:t>h</w:t>
      </w:r>
      <w:r w:rsidR="003E61D4" w:rsidRPr="00EC4BA6">
        <w:t xml:space="preserve">as </w:t>
      </w:r>
      <w:r w:rsidR="00203169" w:rsidRPr="00EC4BA6">
        <w:t xml:space="preserve">also </w:t>
      </w:r>
      <w:r w:rsidR="003E61D4" w:rsidRPr="00EC4BA6">
        <w:t xml:space="preserve">been downgraded </w:t>
      </w:r>
      <w:r w:rsidR="00FC7697" w:rsidRPr="00EC4BA6">
        <w:t xml:space="preserve">by </w:t>
      </w:r>
      <w:r w:rsidR="003E61D4" w:rsidRPr="00EC4BA6">
        <w:t>$</w:t>
      </w:r>
      <w:r w:rsidR="0022058E" w:rsidRPr="00EC4BA6">
        <w:t>1.9</w:t>
      </w:r>
      <w:r w:rsidR="003E61D4" w:rsidRPr="00EC4BA6">
        <w:t xml:space="preserve"> </w:t>
      </w:r>
      <w:r w:rsidR="00461FF7" w:rsidRPr="00EC4BA6">
        <w:t xml:space="preserve">billion over the </w:t>
      </w:r>
      <w:r w:rsidR="1ECBD385" w:rsidRPr="00EC4BA6">
        <w:t>five years from 2024–25 to 2028–29</w:t>
      </w:r>
      <w:r w:rsidR="003D1EB6" w:rsidRPr="00EC4BA6">
        <w:t xml:space="preserve"> </w:t>
      </w:r>
      <w:r w:rsidR="00E60BAA" w:rsidRPr="00EC4BA6">
        <w:t>due to</w:t>
      </w:r>
      <w:r w:rsidR="007F63A5" w:rsidRPr="00EC4BA6">
        <w:t xml:space="preserve"> </w:t>
      </w:r>
      <w:r w:rsidR="00DF5F09" w:rsidRPr="00EC4BA6">
        <w:t xml:space="preserve">lower </w:t>
      </w:r>
      <w:r w:rsidR="00C5262D" w:rsidRPr="00EC4BA6">
        <w:t xml:space="preserve">expected </w:t>
      </w:r>
      <w:r w:rsidR="2CC2B36C" w:rsidRPr="00EC4BA6">
        <w:t>non</w:t>
      </w:r>
      <w:r w:rsidR="001A3DD6">
        <w:noBreakHyphen/>
      </w:r>
      <w:r w:rsidR="2CC2B36C" w:rsidRPr="00EC4BA6">
        <w:t>mining company profits</w:t>
      </w:r>
      <w:r w:rsidR="00447D1D" w:rsidRPr="00EC4BA6">
        <w:t xml:space="preserve"> in later years</w:t>
      </w:r>
      <w:r w:rsidR="00C5262D" w:rsidRPr="00EC4BA6">
        <w:t xml:space="preserve">. </w:t>
      </w:r>
    </w:p>
    <w:p w14:paraId="03FB785C" w14:textId="5A448564" w:rsidR="00DF4D4F" w:rsidRPr="005013E4" w:rsidRDefault="62C27F0F" w:rsidP="4DDB1054">
      <w:r w:rsidRPr="005013E4">
        <w:t xml:space="preserve">Policy decisions </w:t>
      </w:r>
      <w:r w:rsidR="27CFDA84" w:rsidRPr="005013E4">
        <w:t xml:space="preserve">taken since MYEFO </w:t>
      </w:r>
      <w:r w:rsidR="00AD25EB" w:rsidRPr="005013E4">
        <w:t>decrease</w:t>
      </w:r>
      <w:r w:rsidRPr="005013E4">
        <w:t xml:space="preserve"> tax receipts by $</w:t>
      </w:r>
      <w:r w:rsidR="008C448D" w:rsidRPr="005013E4">
        <w:t>259.1</w:t>
      </w:r>
      <w:r w:rsidR="001F370D">
        <w:t> </w:t>
      </w:r>
      <w:r w:rsidR="008E29FC" w:rsidRPr="005013E4">
        <w:t>million</w:t>
      </w:r>
      <w:r w:rsidRPr="005013E4">
        <w:t xml:space="preserve"> </w:t>
      </w:r>
      <w:r w:rsidR="27CFDA84" w:rsidRPr="005013E4">
        <w:t>in 202</w:t>
      </w:r>
      <w:r w:rsidR="00456C6C" w:rsidRPr="005013E4">
        <w:t>5</w:t>
      </w:r>
      <w:r w:rsidR="27CFDA84" w:rsidRPr="005013E4">
        <w:t>–2</w:t>
      </w:r>
      <w:r w:rsidR="00456C6C" w:rsidRPr="005013E4">
        <w:t>6</w:t>
      </w:r>
      <w:r w:rsidR="27CFDA84" w:rsidRPr="005013E4">
        <w:t xml:space="preserve"> and </w:t>
      </w:r>
      <w:r w:rsidR="00AD25EB" w:rsidRPr="005013E4">
        <w:t>$</w:t>
      </w:r>
      <w:r w:rsidR="002C5C62" w:rsidRPr="005013E4">
        <w:t>15.</w:t>
      </w:r>
      <w:r w:rsidR="002E41D8" w:rsidRPr="005013E4">
        <w:t>1</w:t>
      </w:r>
      <w:r w:rsidR="00416C2A" w:rsidRPr="005013E4">
        <w:t> </w:t>
      </w:r>
      <w:r w:rsidR="27CFDA84" w:rsidRPr="005013E4">
        <w:t xml:space="preserve">billion </w:t>
      </w:r>
      <w:r w:rsidRPr="005013E4">
        <w:t xml:space="preserve">over the five years </w:t>
      </w:r>
      <w:r w:rsidR="00456C6C" w:rsidRPr="005013E4">
        <w:t>from 2024</w:t>
      </w:r>
      <w:r w:rsidR="00B85660" w:rsidRPr="005013E4">
        <w:t>–</w:t>
      </w:r>
      <w:r w:rsidR="00456C6C" w:rsidRPr="005013E4">
        <w:t xml:space="preserve">25 </w:t>
      </w:r>
      <w:r w:rsidRPr="005013E4">
        <w:t xml:space="preserve">to 2028–29. </w:t>
      </w:r>
      <w:r w:rsidR="00DF4D4F" w:rsidRPr="005013E4">
        <w:t xml:space="preserve">Policy decisions in this Budget focus on reforms to </w:t>
      </w:r>
      <w:r w:rsidR="00652BCE" w:rsidRPr="005013E4">
        <w:t xml:space="preserve">provide cost of living relief, </w:t>
      </w:r>
      <w:r w:rsidR="00F140F0" w:rsidRPr="005013E4">
        <w:t>improve tax integrity</w:t>
      </w:r>
      <w:r w:rsidR="00461FF7" w:rsidRPr="005013E4">
        <w:t xml:space="preserve"> and</w:t>
      </w:r>
      <w:r w:rsidR="00F140F0" w:rsidRPr="005013E4">
        <w:t xml:space="preserve"> modernise the tax system</w:t>
      </w:r>
      <w:r w:rsidR="00DF4D4F" w:rsidRPr="005013E4">
        <w:t>. Key policy decisions include:</w:t>
      </w:r>
    </w:p>
    <w:p w14:paraId="7EB4D058" w14:textId="3875A8D3" w:rsidR="00854835" w:rsidRPr="005013E4" w:rsidRDefault="00854835" w:rsidP="00854835">
      <w:pPr>
        <w:pStyle w:val="Bullet"/>
        <w:rPr>
          <w:rStyle w:val="Emphasis"/>
        </w:rPr>
      </w:pPr>
      <w:r w:rsidRPr="005013E4">
        <w:rPr>
          <w:rStyle w:val="Emphasis"/>
        </w:rPr>
        <w:t>Personal Income Tax – new tax cuts for every Australian taxpayer</w:t>
      </w:r>
    </w:p>
    <w:p w14:paraId="38699C4E" w14:textId="31FA8201" w:rsidR="00652BCE" w:rsidRPr="005013E4" w:rsidRDefault="00652BCE" w:rsidP="000343DB">
      <w:pPr>
        <w:pStyle w:val="Bullet"/>
        <w:rPr>
          <w:rStyle w:val="Emphasis"/>
        </w:rPr>
      </w:pPr>
      <w:r w:rsidRPr="005013E4">
        <w:rPr>
          <w:rStyle w:val="Emphasis"/>
        </w:rPr>
        <w:t>Personal Income Tax – increasing the Medicare levy low</w:t>
      </w:r>
      <w:r w:rsidR="001A3DD6">
        <w:rPr>
          <w:rStyle w:val="Emphasis"/>
        </w:rPr>
        <w:noBreakHyphen/>
      </w:r>
      <w:r w:rsidRPr="005013E4">
        <w:rPr>
          <w:rStyle w:val="Emphasis"/>
        </w:rPr>
        <w:t>income thresholds</w:t>
      </w:r>
    </w:p>
    <w:p w14:paraId="614512A6" w14:textId="7A5662C2" w:rsidR="00DF4D4F" w:rsidRPr="005013E4" w:rsidRDefault="00DF4D4F" w:rsidP="000343DB">
      <w:pPr>
        <w:pStyle w:val="Bullet"/>
        <w:rPr>
          <w:rStyle w:val="Emphasis"/>
        </w:rPr>
      </w:pPr>
      <w:r w:rsidRPr="005013E4">
        <w:rPr>
          <w:rStyle w:val="Emphasis"/>
        </w:rPr>
        <w:tab/>
      </w:r>
      <w:r w:rsidR="006F1C65" w:rsidRPr="005013E4">
        <w:rPr>
          <w:rStyle w:val="Emphasis"/>
        </w:rPr>
        <w:t>Strengthening tax</w:t>
      </w:r>
      <w:r w:rsidR="00A06C3E" w:rsidRPr="005013E4">
        <w:rPr>
          <w:rStyle w:val="Emphasis"/>
        </w:rPr>
        <w:t xml:space="preserve"> integrity</w:t>
      </w:r>
    </w:p>
    <w:p w14:paraId="1CE66674" w14:textId="40944269" w:rsidR="00DF4D4F" w:rsidRPr="00EC4BA6" w:rsidRDefault="00DF4D4F" w:rsidP="00DF4D4F">
      <w:r w:rsidRPr="005013E4">
        <w:t xml:space="preserve">For more details on policy decisions, see </w:t>
      </w:r>
      <w:r w:rsidRPr="005013E4">
        <w:rPr>
          <w:rStyle w:val="Emphasis"/>
        </w:rPr>
        <w:t>Budget Statement 1</w:t>
      </w:r>
      <w:r w:rsidRPr="005013E4">
        <w:t xml:space="preserve"> and Budget</w:t>
      </w:r>
      <w:r w:rsidR="001F370D">
        <w:t> </w:t>
      </w:r>
      <w:r w:rsidRPr="005013E4">
        <w:t>Paper No.</w:t>
      </w:r>
      <w:r w:rsidR="001F370D">
        <w:t> </w:t>
      </w:r>
      <w:r w:rsidRPr="005013E4">
        <w:t>2.</w:t>
      </w:r>
      <w:bookmarkStart w:id="10" w:name="_Toc512337934"/>
      <w:bookmarkStart w:id="11" w:name="_Toc52676199"/>
      <w:bookmarkStart w:id="12" w:name="_Toc99201820"/>
      <w:bookmarkStart w:id="13" w:name="_Toc117324547"/>
      <w:bookmarkStart w:id="14" w:name="_Toc52676198"/>
      <w:r w:rsidRPr="00EC4BA6">
        <w:br w:type="page"/>
      </w:r>
    </w:p>
    <w:p w14:paraId="4DF5238A" w14:textId="77777777" w:rsidR="00DF4D4F" w:rsidRPr="00EC4BA6" w:rsidRDefault="00DF4D4F" w:rsidP="00DF4D4F">
      <w:pPr>
        <w:pStyle w:val="Heading2"/>
      </w:pPr>
      <w:bookmarkStart w:id="15" w:name="_Toc193528306"/>
      <w:r w:rsidRPr="00EC4BA6">
        <w:lastRenderedPageBreak/>
        <w:t>Variations in receipts estimates</w:t>
      </w:r>
      <w:bookmarkEnd w:id="10"/>
      <w:bookmarkEnd w:id="11"/>
      <w:bookmarkEnd w:id="12"/>
      <w:bookmarkEnd w:id="13"/>
      <w:bookmarkEnd w:id="15"/>
    </w:p>
    <w:p w14:paraId="50615633" w14:textId="2C4856E0" w:rsidR="00DF4D4F" w:rsidRPr="00EC4BA6" w:rsidRDefault="00DF4D4F" w:rsidP="00DF4D4F">
      <w:r w:rsidRPr="00EC4BA6">
        <w:t>Since MYEFO, total receipts have been revised up by $</w:t>
      </w:r>
      <w:r w:rsidR="009C150C" w:rsidRPr="00EC4BA6">
        <w:t xml:space="preserve">6.9 </w:t>
      </w:r>
      <w:r w:rsidRPr="00EC4BA6">
        <w:t>billion in 202</w:t>
      </w:r>
      <w:r w:rsidR="0002114A" w:rsidRPr="00EC4BA6">
        <w:t>5</w:t>
      </w:r>
      <w:r w:rsidR="008F78D9" w:rsidRPr="00EC4BA6">
        <w:t>–</w:t>
      </w:r>
      <w:r w:rsidRPr="00EC4BA6">
        <w:t>2</w:t>
      </w:r>
      <w:r w:rsidR="0002114A" w:rsidRPr="00EC4BA6">
        <w:t>6</w:t>
      </w:r>
      <w:r w:rsidRPr="00EC4BA6">
        <w:t xml:space="preserve"> and </w:t>
      </w:r>
      <w:r w:rsidR="009874A6" w:rsidRPr="00EC4BA6">
        <w:t xml:space="preserve">revised </w:t>
      </w:r>
      <w:r w:rsidR="00CF106E" w:rsidRPr="00EC4BA6">
        <w:t xml:space="preserve">down </w:t>
      </w:r>
      <w:r w:rsidR="00E76C75" w:rsidRPr="00EC4BA6">
        <w:t xml:space="preserve">by </w:t>
      </w:r>
      <w:r w:rsidRPr="00EC4BA6">
        <w:t>$</w:t>
      </w:r>
      <w:r w:rsidR="002465DA" w:rsidRPr="00EC4BA6">
        <w:t>5.8</w:t>
      </w:r>
      <w:r w:rsidR="00000D74" w:rsidRPr="00EC4BA6">
        <w:t> </w:t>
      </w:r>
      <w:r w:rsidRPr="00EC4BA6">
        <w:t>billion over the five years from 202</w:t>
      </w:r>
      <w:r w:rsidR="0002114A" w:rsidRPr="00EC4BA6">
        <w:t>4</w:t>
      </w:r>
      <w:r w:rsidRPr="00EC4BA6">
        <w:t>–2</w:t>
      </w:r>
      <w:r w:rsidR="0002114A" w:rsidRPr="00EC4BA6">
        <w:t>5</w:t>
      </w:r>
      <w:r w:rsidRPr="00EC4BA6">
        <w:t xml:space="preserve"> to 202</w:t>
      </w:r>
      <w:r w:rsidR="0002114A" w:rsidRPr="00EC4BA6">
        <w:t>8</w:t>
      </w:r>
      <w:r w:rsidR="008F78D9" w:rsidRPr="00EC4BA6">
        <w:t>–</w:t>
      </w:r>
      <w:r w:rsidRPr="00EC4BA6">
        <w:t>2</w:t>
      </w:r>
      <w:r w:rsidR="0002114A" w:rsidRPr="00EC4BA6">
        <w:t>9</w:t>
      </w:r>
      <w:r w:rsidRPr="00EC4BA6">
        <w:t>. Table </w:t>
      </w:r>
      <w:r w:rsidR="002573C3" w:rsidRPr="00EC4BA6">
        <w:t>4</w:t>
      </w:r>
      <w:r w:rsidRPr="00EC4BA6">
        <w:t>.2 reconciles the 202</w:t>
      </w:r>
      <w:r w:rsidR="001B642B" w:rsidRPr="00EC4BA6">
        <w:t>5</w:t>
      </w:r>
      <w:r w:rsidRPr="00EC4BA6">
        <w:t>–</w:t>
      </w:r>
      <w:r w:rsidRPr="00EC4BA6">
        <w:rPr>
          <w:rFonts w:ascii="Times New Roman" w:hAnsi="Times New Roman"/>
        </w:rPr>
        <w:t>‍</w:t>
      </w:r>
      <w:r w:rsidRPr="00EC4BA6">
        <w:t>2</w:t>
      </w:r>
      <w:r w:rsidR="00E4721C" w:rsidRPr="00EC4BA6">
        <w:t>6</w:t>
      </w:r>
      <w:r w:rsidRPr="00EC4BA6">
        <w:t> Budget estimates of total receipts with the 202</w:t>
      </w:r>
      <w:r w:rsidR="00E4721C" w:rsidRPr="00EC4BA6">
        <w:t>4</w:t>
      </w:r>
      <w:r w:rsidRPr="00EC4BA6">
        <w:t>–2</w:t>
      </w:r>
      <w:r w:rsidR="00E4721C" w:rsidRPr="00EC4BA6">
        <w:t>5</w:t>
      </w:r>
      <w:r w:rsidRPr="00EC4BA6">
        <w:t xml:space="preserve"> Budget and MYEFO.</w:t>
      </w:r>
    </w:p>
    <w:p w14:paraId="01E30597" w14:textId="1C8A9366" w:rsidR="00CA0AC0" w:rsidRPr="00EC4BA6" w:rsidRDefault="00DF4D4F" w:rsidP="008F3B9D">
      <w:pPr>
        <w:pStyle w:val="TableHeading"/>
        <w:rPr>
          <w:rFonts w:asciiTheme="minorHAnsi" w:eastAsiaTheme="minorEastAsia" w:hAnsiTheme="minorHAnsi" w:cstheme="minorBidi"/>
          <w:sz w:val="22"/>
          <w:szCs w:val="22"/>
          <w:lang w:eastAsia="en-US"/>
        </w:rPr>
      </w:pPr>
      <w:r w:rsidRPr="00EC4BA6">
        <w:t xml:space="preserve">Table </w:t>
      </w:r>
      <w:r w:rsidR="00FA1FCD" w:rsidRPr="00EC4BA6">
        <w:t>4</w:t>
      </w:r>
      <w:r w:rsidRPr="00EC4BA6">
        <w:t xml:space="preserve">.2: Reconciliation of Australian Government general government receipts </w:t>
      </w:r>
      <w:proofErr w:type="gramStart"/>
      <w:r w:rsidRPr="00EC4BA6">
        <w:t>estimates</w:t>
      </w:r>
      <w:proofErr w:type="gramEnd"/>
      <w:r w:rsidRPr="00EC4BA6">
        <w:t xml:space="preserve"> from the 202</w:t>
      </w:r>
      <w:r w:rsidR="00F0144F" w:rsidRPr="00EC4BA6">
        <w:t>4</w:t>
      </w:r>
      <w:r w:rsidRPr="00EC4BA6">
        <w:t>–2</w:t>
      </w:r>
      <w:r w:rsidR="00F0144F" w:rsidRPr="00EC4BA6">
        <w:t>5</w:t>
      </w:r>
      <w:r w:rsidRPr="00EC4BA6">
        <w:t xml:space="preserve"> MYEFO and 202</w:t>
      </w:r>
      <w:r w:rsidR="00F0144F" w:rsidRPr="00EC4BA6">
        <w:t>4</w:t>
      </w:r>
      <w:r w:rsidRPr="00EC4BA6">
        <w:t>–2</w:t>
      </w:r>
      <w:r w:rsidR="00F0144F" w:rsidRPr="00EC4BA6">
        <w:t>5</w:t>
      </w:r>
      <w:r w:rsidRPr="00EC4BA6">
        <w:t xml:space="preserve"> Budget </w:t>
      </w:r>
      <w:bookmarkStart w:id="16" w:name="_1803890214"/>
      <w:bookmarkStart w:id="17" w:name="_1803820682"/>
      <w:bookmarkEnd w:id="16"/>
      <w:bookmarkEnd w:id="17"/>
    </w:p>
    <w:tbl>
      <w:tblPr>
        <w:tblW w:w="5000" w:type="pct"/>
        <w:tblCellMar>
          <w:left w:w="0" w:type="dxa"/>
          <w:right w:w="28" w:type="dxa"/>
        </w:tblCellMar>
        <w:tblLook w:val="04A0" w:firstRow="1" w:lastRow="0" w:firstColumn="1" w:lastColumn="0" w:noHBand="0" w:noVBand="1"/>
      </w:tblPr>
      <w:tblGrid>
        <w:gridCol w:w="2967"/>
        <w:gridCol w:w="754"/>
        <w:gridCol w:w="754"/>
        <w:gridCol w:w="754"/>
        <w:gridCol w:w="754"/>
        <w:gridCol w:w="754"/>
        <w:gridCol w:w="86"/>
        <w:gridCol w:w="887"/>
      </w:tblGrid>
      <w:tr w:rsidR="00CA0AC0" w:rsidRPr="00EC4BA6" w14:paraId="6FA90311" w14:textId="77777777" w:rsidTr="00CA0AC0">
        <w:trPr>
          <w:divId w:val="620189783"/>
          <w:trHeight w:hRule="exact" w:val="225"/>
        </w:trPr>
        <w:tc>
          <w:tcPr>
            <w:tcW w:w="1924" w:type="pct"/>
            <w:tcBorders>
              <w:top w:val="single" w:sz="4" w:space="0" w:color="293F5B"/>
              <w:left w:val="nil"/>
              <w:bottom w:val="nil"/>
              <w:right w:val="nil"/>
            </w:tcBorders>
            <w:shd w:val="clear" w:color="auto" w:fill="auto"/>
            <w:vAlign w:val="center"/>
            <w:hideMark/>
          </w:tcPr>
          <w:p w14:paraId="2DD6E516" w14:textId="0B882AEA" w:rsidR="00CA0AC0" w:rsidRPr="00EC4BA6" w:rsidRDefault="00CA0AC0" w:rsidP="008F3B9D">
            <w:pPr>
              <w:spacing w:before="0" w:after="0" w:line="240" w:lineRule="auto"/>
              <w:rPr>
                <w:rFonts w:ascii="Arial" w:hAnsi="Arial" w:cs="Arial"/>
                <w:sz w:val="16"/>
                <w:szCs w:val="16"/>
              </w:rPr>
            </w:pPr>
            <w:r w:rsidRPr="00EC4BA6">
              <w:rPr>
                <w:rFonts w:ascii="Arial" w:hAnsi="Arial" w:cs="Arial"/>
                <w:sz w:val="16"/>
                <w:szCs w:val="16"/>
              </w:rPr>
              <w:t> </w:t>
            </w:r>
          </w:p>
        </w:tc>
        <w:tc>
          <w:tcPr>
            <w:tcW w:w="2445" w:type="pct"/>
            <w:gridSpan w:val="5"/>
            <w:tcBorders>
              <w:top w:val="single" w:sz="4" w:space="0" w:color="293F5B"/>
              <w:left w:val="nil"/>
              <w:bottom w:val="nil"/>
              <w:right w:val="nil"/>
            </w:tcBorders>
            <w:shd w:val="clear" w:color="auto" w:fill="auto"/>
            <w:noWrap/>
            <w:vAlign w:val="center"/>
            <w:hideMark/>
          </w:tcPr>
          <w:p w14:paraId="281F441A" w14:textId="77777777" w:rsidR="00CA0AC0" w:rsidRPr="00EC4BA6" w:rsidRDefault="00CA0AC0" w:rsidP="008F3B9D">
            <w:pPr>
              <w:spacing w:before="0" w:after="0" w:line="240" w:lineRule="auto"/>
              <w:jc w:val="center"/>
              <w:rPr>
                <w:rFonts w:ascii="Arial" w:hAnsi="Arial" w:cs="Arial"/>
                <w:sz w:val="16"/>
                <w:szCs w:val="16"/>
              </w:rPr>
            </w:pPr>
            <w:r w:rsidRPr="00EC4BA6">
              <w:rPr>
                <w:rFonts w:ascii="Arial" w:hAnsi="Arial" w:cs="Arial"/>
                <w:sz w:val="16"/>
                <w:szCs w:val="16"/>
              </w:rPr>
              <w:t>Estimates</w:t>
            </w:r>
          </w:p>
        </w:tc>
        <w:tc>
          <w:tcPr>
            <w:tcW w:w="56" w:type="pct"/>
            <w:tcBorders>
              <w:top w:val="single" w:sz="4" w:space="0" w:color="293F5B"/>
              <w:left w:val="nil"/>
              <w:bottom w:val="nil"/>
              <w:right w:val="nil"/>
            </w:tcBorders>
            <w:shd w:val="clear" w:color="auto" w:fill="auto"/>
            <w:vAlign w:val="center"/>
            <w:hideMark/>
          </w:tcPr>
          <w:p w14:paraId="52845B62" w14:textId="77777777" w:rsidR="00CA0AC0" w:rsidRPr="00EC4BA6" w:rsidRDefault="00CA0AC0" w:rsidP="008F3B9D">
            <w:pPr>
              <w:spacing w:before="0" w:after="0" w:line="240" w:lineRule="auto"/>
              <w:rPr>
                <w:rFonts w:ascii="Arial" w:hAnsi="Arial" w:cs="Arial"/>
                <w:sz w:val="16"/>
                <w:szCs w:val="16"/>
              </w:rPr>
            </w:pPr>
            <w:r w:rsidRPr="00EC4BA6">
              <w:rPr>
                <w:rFonts w:ascii="Arial" w:hAnsi="Arial" w:cs="Arial"/>
                <w:sz w:val="16"/>
                <w:szCs w:val="16"/>
              </w:rPr>
              <w:t> </w:t>
            </w:r>
          </w:p>
        </w:tc>
        <w:tc>
          <w:tcPr>
            <w:tcW w:w="575" w:type="pct"/>
            <w:tcBorders>
              <w:top w:val="single" w:sz="4" w:space="0" w:color="293F5B"/>
              <w:left w:val="nil"/>
              <w:bottom w:val="nil"/>
              <w:right w:val="nil"/>
            </w:tcBorders>
            <w:shd w:val="clear" w:color="auto" w:fill="auto"/>
            <w:vAlign w:val="center"/>
            <w:hideMark/>
          </w:tcPr>
          <w:p w14:paraId="3AB29272" w14:textId="77777777" w:rsidR="00CA0AC0" w:rsidRPr="00EC4BA6" w:rsidRDefault="00CA0AC0" w:rsidP="008F3B9D">
            <w:pPr>
              <w:spacing w:before="0" w:after="0" w:line="240" w:lineRule="auto"/>
              <w:rPr>
                <w:rFonts w:ascii="Arial" w:hAnsi="Arial" w:cs="Arial"/>
                <w:sz w:val="16"/>
                <w:szCs w:val="16"/>
              </w:rPr>
            </w:pPr>
            <w:r w:rsidRPr="00EC4BA6">
              <w:rPr>
                <w:rFonts w:ascii="Arial" w:hAnsi="Arial" w:cs="Arial"/>
                <w:sz w:val="16"/>
                <w:szCs w:val="16"/>
              </w:rPr>
              <w:t>  </w:t>
            </w:r>
          </w:p>
        </w:tc>
      </w:tr>
      <w:tr w:rsidR="00CA0AC0" w:rsidRPr="00EC4BA6" w14:paraId="524B9105" w14:textId="77777777" w:rsidTr="00CA0AC0">
        <w:trPr>
          <w:divId w:val="620189783"/>
          <w:trHeight w:hRule="exact" w:val="225"/>
        </w:trPr>
        <w:tc>
          <w:tcPr>
            <w:tcW w:w="1924" w:type="pct"/>
            <w:tcBorders>
              <w:top w:val="nil"/>
              <w:left w:val="nil"/>
              <w:bottom w:val="nil"/>
              <w:right w:val="nil"/>
            </w:tcBorders>
            <w:shd w:val="clear" w:color="auto" w:fill="auto"/>
            <w:vAlign w:val="center"/>
            <w:hideMark/>
          </w:tcPr>
          <w:p w14:paraId="41E79358" w14:textId="77777777" w:rsidR="00CA0AC0" w:rsidRPr="00EC4BA6" w:rsidRDefault="00CA0AC0" w:rsidP="008F3B9D">
            <w:pPr>
              <w:spacing w:before="0" w:after="0" w:line="240" w:lineRule="auto"/>
              <w:rPr>
                <w:rFonts w:ascii="Arial" w:hAnsi="Arial" w:cs="Arial"/>
                <w:sz w:val="16"/>
                <w:szCs w:val="16"/>
              </w:rPr>
            </w:pPr>
            <w:r w:rsidRPr="00EC4BA6">
              <w:rPr>
                <w:rFonts w:ascii="Arial" w:hAnsi="Arial" w:cs="Arial"/>
                <w:sz w:val="16"/>
                <w:szCs w:val="16"/>
              </w:rPr>
              <w:t>  </w:t>
            </w:r>
          </w:p>
        </w:tc>
        <w:tc>
          <w:tcPr>
            <w:tcW w:w="489" w:type="pct"/>
            <w:tcBorders>
              <w:top w:val="single" w:sz="4" w:space="0" w:color="293F5B"/>
              <w:left w:val="nil"/>
              <w:bottom w:val="nil"/>
              <w:right w:val="nil"/>
            </w:tcBorders>
            <w:shd w:val="clear" w:color="auto" w:fill="auto"/>
            <w:vAlign w:val="center"/>
            <w:hideMark/>
          </w:tcPr>
          <w:p w14:paraId="6C0C6DA9" w14:textId="07D70CD4" w:rsidR="00CA0AC0" w:rsidRPr="00EC4BA6" w:rsidRDefault="00CA0AC0" w:rsidP="008F3B9D">
            <w:pPr>
              <w:spacing w:before="0" w:after="0" w:line="240" w:lineRule="auto"/>
              <w:jc w:val="right"/>
              <w:rPr>
                <w:rFonts w:ascii="Arial" w:hAnsi="Arial" w:cs="Arial"/>
                <w:sz w:val="16"/>
                <w:szCs w:val="16"/>
              </w:rPr>
            </w:pPr>
            <w:r w:rsidRPr="00EC4BA6">
              <w:rPr>
                <w:rFonts w:ascii="Arial" w:hAnsi="Arial" w:cs="Arial"/>
                <w:sz w:val="16"/>
                <w:szCs w:val="16"/>
              </w:rPr>
              <w:t>2024</w:t>
            </w:r>
            <w:r w:rsidR="001A3DD6">
              <w:rPr>
                <w:rFonts w:ascii="Arial" w:hAnsi="Arial" w:cs="Arial"/>
                <w:sz w:val="16"/>
                <w:szCs w:val="16"/>
              </w:rPr>
              <w:noBreakHyphen/>
            </w:r>
            <w:r w:rsidRPr="00EC4BA6">
              <w:rPr>
                <w:rFonts w:ascii="Arial" w:hAnsi="Arial" w:cs="Arial"/>
                <w:sz w:val="16"/>
                <w:szCs w:val="16"/>
              </w:rPr>
              <w:t>25</w:t>
            </w:r>
          </w:p>
        </w:tc>
        <w:tc>
          <w:tcPr>
            <w:tcW w:w="489" w:type="pct"/>
            <w:tcBorders>
              <w:top w:val="single" w:sz="4" w:space="0" w:color="293F5B"/>
              <w:left w:val="nil"/>
              <w:bottom w:val="nil"/>
              <w:right w:val="nil"/>
            </w:tcBorders>
            <w:shd w:val="clear" w:color="000000" w:fill="E6F2FF"/>
            <w:noWrap/>
            <w:vAlign w:val="center"/>
            <w:hideMark/>
          </w:tcPr>
          <w:p w14:paraId="33D7CC4E" w14:textId="7483AF2A" w:rsidR="00CA0AC0" w:rsidRPr="00EC4BA6" w:rsidRDefault="00CA0AC0" w:rsidP="008F3B9D">
            <w:pPr>
              <w:spacing w:before="0" w:after="0" w:line="240" w:lineRule="auto"/>
              <w:jc w:val="right"/>
              <w:rPr>
                <w:rFonts w:ascii="Arial" w:hAnsi="Arial" w:cs="Arial"/>
                <w:sz w:val="16"/>
                <w:szCs w:val="16"/>
              </w:rPr>
            </w:pPr>
            <w:r w:rsidRPr="00EC4BA6">
              <w:rPr>
                <w:rFonts w:ascii="Arial" w:hAnsi="Arial" w:cs="Arial"/>
                <w:sz w:val="16"/>
                <w:szCs w:val="16"/>
              </w:rPr>
              <w:t>2025</w:t>
            </w:r>
            <w:r w:rsidR="001A3DD6">
              <w:rPr>
                <w:rFonts w:ascii="Arial" w:hAnsi="Arial" w:cs="Arial"/>
                <w:sz w:val="16"/>
                <w:szCs w:val="16"/>
              </w:rPr>
              <w:noBreakHyphen/>
            </w:r>
            <w:r w:rsidRPr="00EC4BA6">
              <w:rPr>
                <w:rFonts w:ascii="Arial" w:hAnsi="Arial" w:cs="Arial"/>
                <w:sz w:val="16"/>
                <w:szCs w:val="16"/>
              </w:rPr>
              <w:t>26</w:t>
            </w:r>
          </w:p>
        </w:tc>
        <w:tc>
          <w:tcPr>
            <w:tcW w:w="489" w:type="pct"/>
            <w:tcBorders>
              <w:top w:val="single" w:sz="4" w:space="0" w:color="293F5B"/>
              <w:left w:val="nil"/>
              <w:bottom w:val="nil"/>
              <w:right w:val="nil"/>
            </w:tcBorders>
            <w:shd w:val="clear" w:color="auto" w:fill="auto"/>
            <w:vAlign w:val="center"/>
            <w:hideMark/>
          </w:tcPr>
          <w:p w14:paraId="78C592FD" w14:textId="1380DF1E" w:rsidR="00CA0AC0" w:rsidRPr="00EC4BA6" w:rsidRDefault="00CA0AC0" w:rsidP="008F3B9D">
            <w:pPr>
              <w:spacing w:before="0" w:after="0" w:line="240" w:lineRule="auto"/>
              <w:jc w:val="right"/>
              <w:rPr>
                <w:rFonts w:ascii="Arial" w:hAnsi="Arial" w:cs="Arial"/>
                <w:sz w:val="16"/>
                <w:szCs w:val="16"/>
              </w:rPr>
            </w:pPr>
            <w:r w:rsidRPr="00EC4BA6">
              <w:rPr>
                <w:rFonts w:ascii="Arial" w:hAnsi="Arial" w:cs="Arial"/>
                <w:sz w:val="16"/>
                <w:szCs w:val="16"/>
              </w:rPr>
              <w:t>2026</w:t>
            </w:r>
            <w:r w:rsidR="001A3DD6">
              <w:rPr>
                <w:rFonts w:ascii="Arial" w:hAnsi="Arial" w:cs="Arial"/>
                <w:sz w:val="16"/>
                <w:szCs w:val="16"/>
              </w:rPr>
              <w:noBreakHyphen/>
            </w:r>
            <w:r w:rsidRPr="00EC4BA6">
              <w:rPr>
                <w:rFonts w:ascii="Arial" w:hAnsi="Arial" w:cs="Arial"/>
                <w:sz w:val="16"/>
                <w:szCs w:val="16"/>
              </w:rPr>
              <w:t>27</w:t>
            </w:r>
          </w:p>
        </w:tc>
        <w:tc>
          <w:tcPr>
            <w:tcW w:w="489" w:type="pct"/>
            <w:tcBorders>
              <w:top w:val="single" w:sz="4" w:space="0" w:color="293F5B"/>
              <w:left w:val="nil"/>
              <w:bottom w:val="nil"/>
              <w:right w:val="nil"/>
            </w:tcBorders>
            <w:shd w:val="clear" w:color="auto" w:fill="auto"/>
            <w:vAlign w:val="center"/>
            <w:hideMark/>
          </w:tcPr>
          <w:p w14:paraId="4EA4FF20" w14:textId="5342396D" w:rsidR="00CA0AC0" w:rsidRPr="00EC4BA6" w:rsidRDefault="00CA0AC0" w:rsidP="008F3B9D">
            <w:pPr>
              <w:spacing w:before="0" w:after="0" w:line="240" w:lineRule="auto"/>
              <w:jc w:val="right"/>
              <w:rPr>
                <w:rFonts w:ascii="Arial" w:hAnsi="Arial" w:cs="Arial"/>
                <w:sz w:val="16"/>
                <w:szCs w:val="16"/>
              </w:rPr>
            </w:pPr>
            <w:r w:rsidRPr="00EC4BA6">
              <w:rPr>
                <w:rFonts w:ascii="Arial" w:hAnsi="Arial" w:cs="Arial"/>
                <w:sz w:val="16"/>
                <w:szCs w:val="16"/>
              </w:rPr>
              <w:t>2027</w:t>
            </w:r>
            <w:r w:rsidR="001A3DD6">
              <w:rPr>
                <w:rFonts w:ascii="Arial" w:hAnsi="Arial" w:cs="Arial"/>
                <w:sz w:val="16"/>
                <w:szCs w:val="16"/>
              </w:rPr>
              <w:noBreakHyphen/>
            </w:r>
            <w:r w:rsidRPr="00EC4BA6">
              <w:rPr>
                <w:rFonts w:ascii="Arial" w:hAnsi="Arial" w:cs="Arial"/>
                <w:sz w:val="16"/>
                <w:szCs w:val="16"/>
              </w:rPr>
              <w:t>28</w:t>
            </w:r>
          </w:p>
        </w:tc>
        <w:tc>
          <w:tcPr>
            <w:tcW w:w="489" w:type="pct"/>
            <w:tcBorders>
              <w:top w:val="single" w:sz="4" w:space="0" w:color="293F5B"/>
              <w:left w:val="nil"/>
              <w:bottom w:val="nil"/>
              <w:right w:val="nil"/>
            </w:tcBorders>
            <w:shd w:val="clear" w:color="auto" w:fill="auto"/>
            <w:vAlign w:val="center"/>
            <w:hideMark/>
          </w:tcPr>
          <w:p w14:paraId="2ADC5B59" w14:textId="14FBE065" w:rsidR="00CA0AC0" w:rsidRPr="00EC4BA6" w:rsidRDefault="00CA0AC0" w:rsidP="008F3B9D">
            <w:pPr>
              <w:spacing w:before="0" w:after="0" w:line="240" w:lineRule="auto"/>
              <w:jc w:val="right"/>
              <w:rPr>
                <w:rFonts w:ascii="Arial" w:hAnsi="Arial" w:cs="Arial"/>
                <w:sz w:val="16"/>
                <w:szCs w:val="16"/>
              </w:rPr>
            </w:pPr>
            <w:r w:rsidRPr="00EC4BA6">
              <w:rPr>
                <w:rFonts w:ascii="Arial" w:hAnsi="Arial" w:cs="Arial"/>
                <w:sz w:val="16"/>
                <w:szCs w:val="16"/>
              </w:rPr>
              <w:t>2028</w:t>
            </w:r>
            <w:r w:rsidR="001A3DD6">
              <w:rPr>
                <w:rFonts w:ascii="Arial" w:hAnsi="Arial" w:cs="Arial"/>
                <w:sz w:val="16"/>
                <w:szCs w:val="16"/>
              </w:rPr>
              <w:noBreakHyphen/>
            </w:r>
            <w:r w:rsidRPr="00EC4BA6">
              <w:rPr>
                <w:rFonts w:ascii="Arial" w:hAnsi="Arial" w:cs="Arial"/>
                <w:sz w:val="16"/>
                <w:szCs w:val="16"/>
              </w:rPr>
              <w:t>29</w:t>
            </w:r>
          </w:p>
        </w:tc>
        <w:tc>
          <w:tcPr>
            <w:tcW w:w="56" w:type="pct"/>
            <w:tcBorders>
              <w:top w:val="nil"/>
              <w:left w:val="nil"/>
              <w:bottom w:val="nil"/>
              <w:right w:val="nil"/>
            </w:tcBorders>
            <w:shd w:val="clear" w:color="auto" w:fill="auto"/>
            <w:vAlign w:val="center"/>
            <w:hideMark/>
          </w:tcPr>
          <w:p w14:paraId="62A92E4F" w14:textId="77777777" w:rsidR="00CA0AC0" w:rsidRPr="00EC4BA6" w:rsidRDefault="00CA0AC0" w:rsidP="008F3B9D">
            <w:pPr>
              <w:spacing w:before="0" w:after="0" w:line="240" w:lineRule="auto"/>
              <w:jc w:val="right"/>
              <w:rPr>
                <w:rFonts w:ascii="Arial" w:hAnsi="Arial" w:cs="Arial"/>
                <w:sz w:val="16"/>
                <w:szCs w:val="16"/>
              </w:rPr>
            </w:pPr>
          </w:p>
        </w:tc>
        <w:tc>
          <w:tcPr>
            <w:tcW w:w="575" w:type="pct"/>
            <w:tcBorders>
              <w:top w:val="single" w:sz="4" w:space="0" w:color="293F5B"/>
              <w:left w:val="nil"/>
              <w:bottom w:val="nil"/>
              <w:right w:val="nil"/>
            </w:tcBorders>
            <w:shd w:val="clear" w:color="auto" w:fill="auto"/>
            <w:vAlign w:val="center"/>
            <w:hideMark/>
          </w:tcPr>
          <w:p w14:paraId="0F6289C2" w14:textId="77777777" w:rsidR="00CA0AC0" w:rsidRPr="00EC4BA6" w:rsidRDefault="00CA0AC0" w:rsidP="008F3B9D">
            <w:pPr>
              <w:spacing w:before="0" w:after="0" w:line="240" w:lineRule="auto"/>
              <w:jc w:val="right"/>
              <w:rPr>
                <w:rFonts w:ascii="Arial" w:hAnsi="Arial" w:cs="Arial"/>
                <w:sz w:val="16"/>
                <w:szCs w:val="16"/>
              </w:rPr>
            </w:pPr>
            <w:r w:rsidRPr="00EC4BA6">
              <w:rPr>
                <w:rFonts w:ascii="Arial" w:hAnsi="Arial" w:cs="Arial"/>
                <w:sz w:val="16"/>
                <w:szCs w:val="16"/>
              </w:rPr>
              <w:t>Total</w:t>
            </w:r>
          </w:p>
        </w:tc>
      </w:tr>
      <w:tr w:rsidR="00CA0AC0" w:rsidRPr="00EC4BA6" w14:paraId="1389C054" w14:textId="77777777" w:rsidTr="00CA0AC0">
        <w:trPr>
          <w:divId w:val="620189783"/>
          <w:trHeight w:hRule="exact" w:val="225"/>
        </w:trPr>
        <w:tc>
          <w:tcPr>
            <w:tcW w:w="1924" w:type="pct"/>
            <w:tcBorders>
              <w:top w:val="nil"/>
              <w:left w:val="nil"/>
              <w:bottom w:val="nil"/>
              <w:right w:val="nil"/>
            </w:tcBorders>
            <w:shd w:val="clear" w:color="auto" w:fill="auto"/>
            <w:vAlign w:val="center"/>
            <w:hideMark/>
          </w:tcPr>
          <w:p w14:paraId="380759D6" w14:textId="77777777" w:rsidR="00CA0AC0" w:rsidRPr="00EC4BA6" w:rsidRDefault="00CA0AC0" w:rsidP="008F3B9D">
            <w:pPr>
              <w:spacing w:before="0" w:after="0" w:line="240" w:lineRule="auto"/>
              <w:rPr>
                <w:rFonts w:ascii="Arial" w:hAnsi="Arial" w:cs="Arial"/>
                <w:sz w:val="16"/>
                <w:szCs w:val="16"/>
              </w:rPr>
            </w:pPr>
            <w:r w:rsidRPr="00EC4BA6">
              <w:rPr>
                <w:rFonts w:ascii="Arial" w:hAnsi="Arial" w:cs="Arial"/>
                <w:sz w:val="16"/>
                <w:szCs w:val="16"/>
              </w:rPr>
              <w:t>  </w:t>
            </w:r>
          </w:p>
        </w:tc>
        <w:tc>
          <w:tcPr>
            <w:tcW w:w="489" w:type="pct"/>
            <w:tcBorders>
              <w:top w:val="nil"/>
              <w:left w:val="nil"/>
              <w:bottom w:val="single" w:sz="4" w:space="0" w:color="293F5B"/>
              <w:right w:val="nil"/>
            </w:tcBorders>
            <w:shd w:val="clear" w:color="auto" w:fill="auto"/>
            <w:vAlign w:val="center"/>
            <w:hideMark/>
          </w:tcPr>
          <w:p w14:paraId="0D0E4B99" w14:textId="77777777" w:rsidR="00CA0AC0" w:rsidRPr="00EC4BA6" w:rsidRDefault="00CA0AC0" w:rsidP="008F3B9D">
            <w:pPr>
              <w:spacing w:before="0" w:after="0" w:line="240" w:lineRule="auto"/>
              <w:jc w:val="right"/>
              <w:rPr>
                <w:rFonts w:ascii="Arial" w:hAnsi="Arial" w:cs="Arial"/>
                <w:sz w:val="16"/>
                <w:szCs w:val="16"/>
              </w:rPr>
            </w:pPr>
            <w:r w:rsidRPr="00EC4BA6">
              <w:rPr>
                <w:rFonts w:ascii="Arial" w:hAnsi="Arial" w:cs="Arial"/>
                <w:sz w:val="16"/>
                <w:szCs w:val="16"/>
              </w:rPr>
              <w:t>$m</w:t>
            </w:r>
          </w:p>
        </w:tc>
        <w:tc>
          <w:tcPr>
            <w:tcW w:w="489" w:type="pct"/>
            <w:tcBorders>
              <w:top w:val="nil"/>
              <w:left w:val="nil"/>
              <w:bottom w:val="single" w:sz="4" w:space="0" w:color="293F5B"/>
              <w:right w:val="nil"/>
            </w:tcBorders>
            <w:shd w:val="clear" w:color="000000" w:fill="E6F2FF"/>
            <w:noWrap/>
            <w:vAlign w:val="center"/>
            <w:hideMark/>
          </w:tcPr>
          <w:p w14:paraId="7876F2C9" w14:textId="77777777" w:rsidR="00CA0AC0" w:rsidRPr="00EC4BA6" w:rsidRDefault="00CA0AC0" w:rsidP="008F3B9D">
            <w:pPr>
              <w:spacing w:before="0" w:after="0" w:line="240" w:lineRule="auto"/>
              <w:jc w:val="right"/>
              <w:rPr>
                <w:rFonts w:ascii="Arial" w:hAnsi="Arial" w:cs="Arial"/>
                <w:sz w:val="16"/>
                <w:szCs w:val="16"/>
              </w:rPr>
            </w:pPr>
            <w:r w:rsidRPr="00EC4BA6">
              <w:rPr>
                <w:rFonts w:ascii="Arial" w:hAnsi="Arial" w:cs="Arial"/>
                <w:sz w:val="16"/>
                <w:szCs w:val="16"/>
              </w:rPr>
              <w:t>$m</w:t>
            </w:r>
          </w:p>
        </w:tc>
        <w:tc>
          <w:tcPr>
            <w:tcW w:w="489" w:type="pct"/>
            <w:tcBorders>
              <w:top w:val="nil"/>
              <w:left w:val="nil"/>
              <w:bottom w:val="single" w:sz="4" w:space="0" w:color="293F5B"/>
              <w:right w:val="nil"/>
            </w:tcBorders>
            <w:shd w:val="clear" w:color="auto" w:fill="auto"/>
            <w:vAlign w:val="center"/>
            <w:hideMark/>
          </w:tcPr>
          <w:p w14:paraId="064D10CB" w14:textId="77777777" w:rsidR="00CA0AC0" w:rsidRPr="00EC4BA6" w:rsidRDefault="00CA0AC0" w:rsidP="008F3B9D">
            <w:pPr>
              <w:spacing w:before="0" w:after="0" w:line="240" w:lineRule="auto"/>
              <w:jc w:val="right"/>
              <w:rPr>
                <w:rFonts w:ascii="Arial" w:hAnsi="Arial" w:cs="Arial"/>
                <w:sz w:val="16"/>
                <w:szCs w:val="16"/>
              </w:rPr>
            </w:pPr>
            <w:r w:rsidRPr="00EC4BA6">
              <w:rPr>
                <w:rFonts w:ascii="Arial" w:hAnsi="Arial" w:cs="Arial"/>
                <w:sz w:val="16"/>
                <w:szCs w:val="16"/>
              </w:rPr>
              <w:t>$m</w:t>
            </w:r>
          </w:p>
        </w:tc>
        <w:tc>
          <w:tcPr>
            <w:tcW w:w="489" w:type="pct"/>
            <w:tcBorders>
              <w:top w:val="nil"/>
              <w:left w:val="nil"/>
              <w:bottom w:val="single" w:sz="4" w:space="0" w:color="293F5B"/>
              <w:right w:val="nil"/>
            </w:tcBorders>
            <w:shd w:val="clear" w:color="auto" w:fill="auto"/>
            <w:vAlign w:val="center"/>
            <w:hideMark/>
          </w:tcPr>
          <w:p w14:paraId="5589F451" w14:textId="77777777" w:rsidR="00CA0AC0" w:rsidRPr="00EC4BA6" w:rsidRDefault="00CA0AC0" w:rsidP="008F3B9D">
            <w:pPr>
              <w:spacing w:before="0" w:after="0" w:line="240" w:lineRule="auto"/>
              <w:jc w:val="right"/>
              <w:rPr>
                <w:rFonts w:ascii="Arial" w:hAnsi="Arial" w:cs="Arial"/>
                <w:sz w:val="16"/>
                <w:szCs w:val="16"/>
              </w:rPr>
            </w:pPr>
            <w:r w:rsidRPr="00EC4BA6">
              <w:rPr>
                <w:rFonts w:ascii="Arial" w:hAnsi="Arial" w:cs="Arial"/>
                <w:sz w:val="16"/>
                <w:szCs w:val="16"/>
              </w:rPr>
              <w:t>$m</w:t>
            </w:r>
          </w:p>
        </w:tc>
        <w:tc>
          <w:tcPr>
            <w:tcW w:w="489" w:type="pct"/>
            <w:tcBorders>
              <w:top w:val="nil"/>
              <w:left w:val="nil"/>
              <w:bottom w:val="single" w:sz="4" w:space="0" w:color="293F5B"/>
              <w:right w:val="nil"/>
            </w:tcBorders>
            <w:shd w:val="clear" w:color="auto" w:fill="auto"/>
            <w:vAlign w:val="center"/>
            <w:hideMark/>
          </w:tcPr>
          <w:p w14:paraId="286EA696" w14:textId="77777777" w:rsidR="00CA0AC0" w:rsidRPr="00EC4BA6" w:rsidRDefault="00CA0AC0" w:rsidP="008F3B9D">
            <w:pPr>
              <w:spacing w:before="0" w:after="0" w:line="240" w:lineRule="auto"/>
              <w:jc w:val="right"/>
              <w:rPr>
                <w:rFonts w:ascii="Arial" w:hAnsi="Arial" w:cs="Arial"/>
                <w:sz w:val="16"/>
                <w:szCs w:val="16"/>
              </w:rPr>
            </w:pPr>
            <w:r w:rsidRPr="00EC4BA6">
              <w:rPr>
                <w:rFonts w:ascii="Arial" w:hAnsi="Arial" w:cs="Arial"/>
                <w:sz w:val="16"/>
                <w:szCs w:val="16"/>
              </w:rPr>
              <w:t>$m</w:t>
            </w:r>
          </w:p>
        </w:tc>
        <w:tc>
          <w:tcPr>
            <w:tcW w:w="56" w:type="pct"/>
            <w:tcBorders>
              <w:top w:val="nil"/>
              <w:left w:val="nil"/>
              <w:bottom w:val="nil"/>
              <w:right w:val="nil"/>
            </w:tcBorders>
            <w:shd w:val="clear" w:color="auto" w:fill="auto"/>
            <w:vAlign w:val="center"/>
            <w:hideMark/>
          </w:tcPr>
          <w:p w14:paraId="37F99632" w14:textId="77777777" w:rsidR="00CA0AC0" w:rsidRPr="00EC4BA6" w:rsidRDefault="00CA0AC0" w:rsidP="008F3B9D">
            <w:pPr>
              <w:spacing w:before="0" w:after="0" w:line="240" w:lineRule="auto"/>
              <w:jc w:val="right"/>
              <w:rPr>
                <w:rFonts w:ascii="Arial" w:hAnsi="Arial" w:cs="Arial"/>
                <w:sz w:val="16"/>
                <w:szCs w:val="16"/>
              </w:rPr>
            </w:pPr>
          </w:p>
        </w:tc>
        <w:tc>
          <w:tcPr>
            <w:tcW w:w="575" w:type="pct"/>
            <w:tcBorders>
              <w:top w:val="nil"/>
              <w:left w:val="nil"/>
              <w:bottom w:val="single" w:sz="4" w:space="0" w:color="293F5B"/>
              <w:right w:val="nil"/>
            </w:tcBorders>
            <w:shd w:val="clear" w:color="auto" w:fill="auto"/>
            <w:vAlign w:val="center"/>
            <w:hideMark/>
          </w:tcPr>
          <w:p w14:paraId="7D03BD80" w14:textId="77777777" w:rsidR="00CA0AC0" w:rsidRPr="00EC4BA6" w:rsidRDefault="00CA0AC0" w:rsidP="008F3B9D">
            <w:pPr>
              <w:spacing w:before="0" w:after="0" w:line="240" w:lineRule="auto"/>
              <w:jc w:val="right"/>
              <w:rPr>
                <w:rFonts w:ascii="Arial" w:hAnsi="Arial" w:cs="Arial"/>
                <w:sz w:val="16"/>
                <w:szCs w:val="16"/>
              </w:rPr>
            </w:pPr>
            <w:r w:rsidRPr="00EC4BA6">
              <w:rPr>
                <w:rFonts w:ascii="Arial" w:hAnsi="Arial" w:cs="Arial"/>
                <w:sz w:val="16"/>
                <w:szCs w:val="16"/>
              </w:rPr>
              <w:t>$m</w:t>
            </w:r>
          </w:p>
        </w:tc>
      </w:tr>
      <w:tr w:rsidR="00CA0AC0" w:rsidRPr="00EC4BA6" w14:paraId="5D1D7BF1" w14:textId="77777777" w:rsidTr="00CA0AC0">
        <w:trPr>
          <w:divId w:val="620189783"/>
          <w:trHeight w:hRule="exact" w:val="225"/>
        </w:trPr>
        <w:tc>
          <w:tcPr>
            <w:tcW w:w="1924" w:type="pct"/>
            <w:tcBorders>
              <w:top w:val="nil"/>
              <w:left w:val="nil"/>
              <w:bottom w:val="nil"/>
              <w:right w:val="nil"/>
            </w:tcBorders>
            <w:shd w:val="clear" w:color="auto" w:fill="auto"/>
            <w:vAlign w:val="center"/>
            <w:hideMark/>
          </w:tcPr>
          <w:p w14:paraId="26A40E7D" w14:textId="265007B0" w:rsidR="00CA0AC0" w:rsidRPr="00EC4BA6" w:rsidRDefault="00CA0AC0" w:rsidP="008F3B9D">
            <w:pPr>
              <w:spacing w:before="0" w:after="0" w:line="240" w:lineRule="auto"/>
              <w:rPr>
                <w:rFonts w:ascii="Arial" w:hAnsi="Arial" w:cs="Arial"/>
                <w:b/>
                <w:sz w:val="16"/>
                <w:szCs w:val="16"/>
              </w:rPr>
            </w:pPr>
            <w:r w:rsidRPr="00EC4BA6">
              <w:rPr>
                <w:rFonts w:ascii="Arial" w:hAnsi="Arial" w:cs="Arial"/>
                <w:b/>
                <w:sz w:val="16"/>
                <w:szCs w:val="16"/>
              </w:rPr>
              <w:t xml:space="preserve">Receipts </w:t>
            </w:r>
            <w:proofErr w:type="gramStart"/>
            <w:r w:rsidRPr="00EC4BA6">
              <w:rPr>
                <w:rFonts w:ascii="Arial" w:hAnsi="Arial" w:cs="Arial"/>
                <w:b/>
                <w:sz w:val="16"/>
                <w:szCs w:val="16"/>
              </w:rPr>
              <w:t>at</w:t>
            </w:r>
            <w:proofErr w:type="gramEnd"/>
            <w:r w:rsidRPr="00EC4BA6">
              <w:rPr>
                <w:rFonts w:ascii="Arial" w:hAnsi="Arial" w:cs="Arial"/>
                <w:b/>
                <w:sz w:val="16"/>
                <w:szCs w:val="16"/>
              </w:rPr>
              <w:t xml:space="preserve"> 2024</w:t>
            </w:r>
            <w:r w:rsidR="001A3DD6">
              <w:rPr>
                <w:rFonts w:ascii="Arial" w:hAnsi="Arial" w:cs="Arial"/>
                <w:b/>
                <w:sz w:val="16"/>
                <w:szCs w:val="16"/>
              </w:rPr>
              <w:noBreakHyphen/>
            </w:r>
            <w:r w:rsidRPr="00EC4BA6">
              <w:rPr>
                <w:rFonts w:ascii="Arial" w:hAnsi="Arial" w:cs="Arial"/>
                <w:b/>
                <w:sz w:val="16"/>
                <w:szCs w:val="16"/>
              </w:rPr>
              <w:t>25 Budget</w:t>
            </w:r>
          </w:p>
        </w:tc>
        <w:tc>
          <w:tcPr>
            <w:tcW w:w="489" w:type="pct"/>
            <w:tcBorders>
              <w:top w:val="nil"/>
              <w:left w:val="nil"/>
              <w:bottom w:val="nil"/>
              <w:right w:val="nil"/>
            </w:tcBorders>
            <w:shd w:val="clear" w:color="auto" w:fill="auto"/>
            <w:vAlign w:val="center"/>
            <w:hideMark/>
          </w:tcPr>
          <w:p w14:paraId="7ECC9F2F" w14:textId="77777777" w:rsidR="00CA0AC0" w:rsidRPr="00EC4BA6" w:rsidRDefault="00CA0AC0" w:rsidP="008F3B9D">
            <w:pPr>
              <w:spacing w:before="0" w:after="0" w:line="240" w:lineRule="auto"/>
              <w:jc w:val="right"/>
              <w:rPr>
                <w:rFonts w:ascii="Arial" w:hAnsi="Arial" w:cs="Arial"/>
                <w:b/>
                <w:sz w:val="16"/>
                <w:szCs w:val="16"/>
              </w:rPr>
            </w:pPr>
            <w:r w:rsidRPr="00EC4BA6">
              <w:rPr>
                <w:rFonts w:ascii="Arial" w:hAnsi="Arial" w:cs="Arial"/>
                <w:b/>
                <w:sz w:val="16"/>
                <w:szCs w:val="16"/>
              </w:rPr>
              <w:t xml:space="preserve">  698,446 </w:t>
            </w:r>
          </w:p>
        </w:tc>
        <w:tc>
          <w:tcPr>
            <w:tcW w:w="489" w:type="pct"/>
            <w:tcBorders>
              <w:top w:val="nil"/>
              <w:left w:val="nil"/>
              <w:bottom w:val="nil"/>
              <w:right w:val="nil"/>
            </w:tcBorders>
            <w:shd w:val="clear" w:color="000000" w:fill="E6F2FF"/>
            <w:vAlign w:val="center"/>
            <w:hideMark/>
          </w:tcPr>
          <w:p w14:paraId="0B03BCBF" w14:textId="77777777" w:rsidR="00CA0AC0" w:rsidRPr="00EC4BA6" w:rsidRDefault="00CA0AC0" w:rsidP="008F3B9D">
            <w:pPr>
              <w:spacing w:before="0" w:after="0" w:line="240" w:lineRule="auto"/>
              <w:jc w:val="right"/>
              <w:rPr>
                <w:rFonts w:ascii="Arial" w:hAnsi="Arial" w:cs="Arial"/>
                <w:b/>
                <w:sz w:val="16"/>
                <w:szCs w:val="16"/>
              </w:rPr>
            </w:pPr>
            <w:r w:rsidRPr="00EC4BA6">
              <w:rPr>
                <w:rFonts w:ascii="Arial" w:hAnsi="Arial" w:cs="Arial"/>
                <w:b/>
                <w:sz w:val="16"/>
                <w:szCs w:val="16"/>
              </w:rPr>
              <w:t xml:space="preserve">  719,353 </w:t>
            </w:r>
          </w:p>
        </w:tc>
        <w:tc>
          <w:tcPr>
            <w:tcW w:w="489" w:type="pct"/>
            <w:tcBorders>
              <w:top w:val="nil"/>
              <w:left w:val="nil"/>
              <w:bottom w:val="nil"/>
              <w:right w:val="nil"/>
            </w:tcBorders>
            <w:shd w:val="clear" w:color="auto" w:fill="auto"/>
            <w:vAlign w:val="center"/>
            <w:hideMark/>
          </w:tcPr>
          <w:p w14:paraId="296CA9CE" w14:textId="77777777" w:rsidR="00CA0AC0" w:rsidRPr="00EC4BA6" w:rsidRDefault="00CA0AC0" w:rsidP="008F3B9D">
            <w:pPr>
              <w:spacing w:before="0" w:after="0" w:line="240" w:lineRule="auto"/>
              <w:jc w:val="right"/>
              <w:rPr>
                <w:rFonts w:ascii="Arial" w:hAnsi="Arial" w:cs="Arial"/>
                <w:b/>
                <w:sz w:val="16"/>
                <w:szCs w:val="16"/>
              </w:rPr>
            </w:pPr>
            <w:r w:rsidRPr="00EC4BA6">
              <w:rPr>
                <w:rFonts w:ascii="Arial" w:hAnsi="Arial" w:cs="Arial"/>
                <w:b/>
                <w:sz w:val="16"/>
                <w:szCs w:val="16"/>
              </w:rPr>
              <w:t xml:space="preserve">  760,010 </w:t>
            </w:r>
          </w:p>
        </w:tc>
        <w:tc>
          <w:tcPr>
            <w:tcW w:w="489" w:type="pct"/>
            <w:tcBorders>
              <w:top w:val="nil"/>
              <w:left w:val="nil"/>
              <w:bottom w:val="nil"/>
              <w:right w:val="nil"/>
            </w:tcBorders>
            <w:shd w:val="clear" w:color="auto" w:fill="auto"/>
            <w:vAlign w:val="center"/>
            <w:hideMark/>
          </w:tcPr>
          <w:p w14:paraId="48BB0313" w14:textId="77777777" w:rsidR="00CA0AC0" w:rsidRPr="00EC4BA6" w:rsidRDefault="00CA0AC0" w:rsidP="008F3B9D">
            <w:pPr>
              <w:spacing w:before="0" w:after="0" w:line="240" w:lineRule="auto"/>
              <w:jc w:val="right"/>
              <w:rPr>
                <w:rFonts w:ascii="Arial" w:hAnsi="Arial" w:cs="Arial"/>
                <w:b/>
                <w:sz w:val="16"/>
                <w:szCs w:val="16"/>
              </w:rPr>
            </w:pPr>
            <w:r w:rsidRPr="00EC4BA6">
              <w:rPr>
                <w:rFonts w:ascii="Arial" w:hAnsi="Arial" w:cs="Arial"/>
                <w:b/>
                <w:sz w:val="16"/>
                <w:szCs w:val="16"/>
              </w:rPr>
              <w:t xml:space="preserve">  801,811 </w:t>
            </w:r>
          </w:p>
        </w:tc>
        <w:tc>
          <w:tcPr>
            <w:tcW w:w="489" w:type="pct"/>
            <w:tcBorders>
              <w:top w:val="nil"/>
              <w:left w:val="nil"/>
              <w:bottom w:val="nil"/>
              <w:right w:val="nil"/>
            </w:tcBorders>
            <w:shd w:val="clear" w:color="auto" w:fill="auto"/>
            <w:vAlign w:val="center"/>
            <w:hideMark/>
          </w:tcPr>
          <w:p w14:paraId="4971D56E" w14:textId="77777777" w:rsidR="00CA0AC0" w:rsidRPr="00EC4BA6" w:rsidRDefault="00CA0AC0" w:rsidP="008F3B9D">
            <w:pPr>
              <w:spacing w:before="0" w:after="0" w:line="240" w:lineRule="auto"/>
              <w:jc w:val="right"/>
              <w:rPr>
                <w:rFonts w:ascii="Arial" w:hAnsi="Arial" w:cs="Arial"/>
                <w:b/>
                <w:sz w:val="16"/>
                <w:szCs w:val="16"/>
              </w:rPr>
            </w:pPr>
            <w:r w:rsidRPr="00EC4BA6">
              <w:rPr>
                <w:rFonts w:ascii="Arial" w:hAnsi="Arial" w:cs="Arial"/>
                <w:b/>
                <w:sz w:val="16"/>
                <w:szCs w:val="16"/>
              </w:rPr>
              <w:t xml:space="preserve"> * </w:t>
            </w:r>
          </w:p>
        </w:tc>
        <w:tc>
          <w:tcPr>
            <w:tcW w:w="56" w:type="pct"/>
            <w:tcBorders>
              <w:top w:val="nil"/>
              <w:left w:val="nil"/>
              <w:bottom w:val="nil"/>
              <w:right w:val="nil"/>
            </w:tcBorders>
            <w:shd w:val="clear" w:color="auto" w:fill="auto"/>
            <w:vAlign w:val="center"/>
            <w:hideMark/>
          </w:tcPr>
          <w:p w14:paraId="2F15BB86" w14:textId="77777777" w:rsidR="00CA0AC0" w:rsidRPr="00EC4BA6" w:rsidRDefault="00CA0AC0" w:rsidP="008F3B9D">
            <w:pPr>
              <w:spacing w:before="0" w:after="0" w:line="240" w:lineRule="auto"/>
              <w:jc w:val="right"/>
              <w:rPr>
                <w:rFonts w:ascii="Arial" w:hAnsi="Arial" w:cs="Arial"/>
                <w:b/>
                <w:sz w:val="16"/>
                <w:szCs w:val="16"/>
              </w:rPr>
            </w:pPr>
          </w:p>
        </w:tc>
        <w:tc>
          <w:tcPr>
            <w:tcW w:w="575" w:type="pct"/>
            <w:tcBorders>
              <w:top w:val="nil"/>
              <w:left w:val="nil"/>
              <w:bottom w:val="nil"/>
              <w:right w:val="nil"/>
            </w:tcBorders>
            <w:shd w:val="clear" w:color="auto" w:fill="auto"/>
            <w:vAlign w:val="center"/>
            <w:hideMark/>
          </w:tcPr>
          <w:p w14:paraId="6FC7BFFF" w14:textId="77777777" w:rsidR="00CA0AC0" w:rsidRPr="00EC4BA6" w:rsidRDefault="00CA0AC0" w:rsidP="008F3B9D">
            <w:pPr>
              <w:spacing w:before="0" w:after="0" w:line="240" w:lineRule="auto"/>
              <w:jc w:val="right"/>
              <w:rPr>
                <w:rFonts w:ascii="Arial" w:hAnsi="Arial" w:cs="Arial"/>
                <w:b/>
                <w:sz w:val="16"/>
                <w:szCs w:val="16"/>
              </w:rPr>
            </w:pPr>
            <w:r w:rsidRPr="00EC4BA6">
              <w:rPr>
                <w:rFonts w:ascii="Arial" w:hAnsi="Arial" w:cs="Arial"/>
                <w:b/>
                <w:sz w:val="16"/>
                <w:szCs w:val="16"/>
              </w:rPr>
              <w:t xml:space="preserve"> * </w:t>
            </w:r>
          </w:p>
        </w:tc>
      </w:tr>
      <w:tr w:rsidR="00CA0AC0" w:rsidRPr="00EC4BA6" w14:paraId="31D368F8" w14:textId="77777777" w:rsidTr="00CA0AC0">
        <w:trPr>
          <w:divId w:val="620189783"/>
          <w:trHeight w:hRule="exact" w:val="60"/>
        </w:trPr>
        <w:tc>
          <w:tcPr>
            <w:tcW w:w="1924" w:type="pct"/>
            <w:tcBorders>
              <w:top w:val="nil"/>
              <w:left w:val="nil"/>
              <w:bottom w:val="nil"/>
              <w:right w:val="nil"/>
            </w:tcBorders>
            <w:shd w:val="clear" w:color="auto" w:fill="auto"/>
            <w:vAlign w:val="center"/>
            <w:hideMark/>
          </w:tcPr>
          <w:p w14:paraId="4F28B261" w14:textId="77777777" w:rsidR="00CA0AC0" w:rsidRPr="00EC4BA6" w:rsidRDefault="00CA0AC0" w:rsidP="008F3B9D">
            <w:pPr>
              <w:spacing w:before="0" w:after="0" w:line="240" w:lineRule="auto"/>
              <w:jc w:val="right"/>
              <w:rPr>
                <w:rFonts w:ascii="Arial" w:hAnsi="Arial" w:cs="Arial"/>
                <w:b/>
                <w:sz w:val="16"/>
                <w:szCs w:val="16"/>
              </w:rPr>
            </w:pPr>
          </w:p>
        </w:tc>
        <w:tc>
          <w:tcPr>
            <w:tcW w:w="489" w:type="pct"/>
            <w:tcBorders>
              <w:top w:val="nil"/>
              <w:left w:val="nil"/>
              <w:bottom w:val="nil"/>
              <w:right w:val="nil"/>
            </w:tcBorders>
            <w:shd w:val="clear" w:color="auto" w:fill="auto"/>
            <w:vAlign w:val="center"/>
            <w:hideMark/>
          </w:tcPr>
          <w:p w14:paraId="6750074E" w14:textId="77777777" w:rsidR="00CA0AC0" w:rsidRPr="00EC4BA6" w:rsidRDefault="00CA0AC0" w:rsidP="008F3B9D">
            <w:pPr>
              <w:spacing w:before="0" w:after="0" w:line="240" w:lineRule="auto"/>
              <w:jc w:val="right"/>
              <w:rPr>
                <w:rFonts w:ascii="Times New Roman" w:hAnsi="Times New Roman"/>
                <w:sz w:val="20"/>
              </w:rPr>
            </w:pPr>
          </w:p>
        </w:tc>
        <w:tc>
          <w:tcPr>
            <w:tcW w:w="489" w:type="pct"/>
            <w:tcBorders>
              <w:top w:val="nil"/>
              <w:left w:val="nil"/>
              <w:bottom w:val="nil"/>
              <w:right w:val="nil"/>
            </w:tcBorders>
            <w:shd w:val="clear" w:color="000000" w:fill="E6F2FF"/>
            <w:vAlign w:val="center"/>
            <w:hideMark/>
          </w:tcPr>
          <w:p w14:paraId="043533E6" w14:textId="77777777" w:rsidR="00CA0AC0" w:rsidRPr="00EC4BA6" w:rsidRDefault="00CA0AC0" w:rsidP="008F3B9D">
            <w:pPr>
              <w:spacing w:before="0" w:after="0" w:line="240" w:lineRule="auto"/>
              <w:rPr>
                <w:rFonts w:ascii="Arial" w:hAnsi="Arial" w:cs="Arial"/>
                <w:sz w:val="16"/>
                <w:szCs w:val="16"/>
              </w:rPr>
            </w:pPr>
            <w:r w:rsidRPr="00EC4BA6">
              <w:rPr>
                <w:rFonts w:ascii="Arial" w:hAnsi="Arial" w:cs="Arial"/>
                <w:sz w:val="16"/>
                <w:szCs w:val="16"/>
              </w:rPr>
              <w:t> </w:t>
            </w:r>
          </w:p>
        </w:tc>
        <w:tc>
          <w:tcPr>
            <w:tcW w:w="489" w:type="pct"/>
            <w:tcBorders>
              <w:top w:val="nil"/>
              <w:left w:val="nil"/>
              <w:bottom w:val="nil"/>
              <w:right w:val="nil"/>
            </w:tcBorders>
            <w:shd w:val="clear" w:color="auto" w:fill="auto"/>
            <w:vAlign w:val="center"/>
            <w:hideMark/>
          </w:tcPr>
          <w:p w14:paraId="0814BC00" w14:textId="77777777" w:rsidR="00CA0AC0" w:rsidRPr="00EC4BA6" w:rsidRDefault="00CA0AC0" w:rsidP="008F3B9D">
            <w:pPr>
              <w:spacing w:before="0" w:after="0" w:line="240" w:lineRule="auto"/>
              <w:rPr>
                <w:rFonts w:ascii="Arial" w:hAnsi="Arial" w:cs="Arial"/>
                <w:sz w:val="16"/>
                <w:szCs w:val="16"/>
              </w:rPr>
            </w:pPr>
          </w:p>
        </w:tc>
        <w:tc>
          <w:tcPr>
            <w:tcW w:w="489" w:type="pct"/>
            <w:tcBorders>
              <w:top w:val="nil"/>
              <w:left w:val="nil"/>
              <w:bottom w:val="nil"/>
              <w:right w:val="nil"/>
            </w:tcBorders>
            <w:shd w:val="clear" w:color="auto" w:fill="auto"/>
            <w:vAlign w:val="center"/>
            <w:hideMark/>
          </w:tcPr>
          <w:p w14:paraId="1E7CFD61" w14:textId="77777777" w:rsidR="00CA0AC0" w:rsidRPr="00EC4BA6" w:rsidRDefault="00CA0AC0" w:rsidP="008F3B9D">
            <w:pPr>
              <w:spacing w:before="0" w:after="0" w:line="240" w:lineRule="auto"/>
              <w:rPr>
                <w:rFonts w:ascii="Times New Roman" w:hAnsi="Times New Roman"/>
                <w:sz w:val="20"/>
              </w:rPr>
            </w:pPr>
          </w:p>
        </w:tc>
        <w:tc>
          <w:tcPr>
            <w:tcW w:w="489" w:type="pct"/>
            <w:tcBorders>
              <w:top w:val="nil"/>
              <w:left w:val="nil"/>
              <w:bottom w:val="nil"/>
              <w:right w:val="nil"/>
            </w:tcBorders>
            <w:shd w:val="clear" w:color="auto" w:fill="auto"/>
            <w:noWrap/>
            <w:vAlign w:val="bottom"/>
            <w:hideMark/>
          </w:tcPr>
          <w:p w14:paraId="3C11409D" w14:textId="77777777" w:rsidR="00CA0AC0" w:rsidRPr="00EC4BA6" w:rsidRDefault="00CA0AC0" w:rsidP="008F3B9D">
            <w:pPr>
              <w:spacing w:before="0" w:after="0" w:line="240" w:lineRule="auto"/>
              <w:rPr>
                <w:rFonts w:ascii="Times New Roman" w:hAnsi="Times New Roman"/>
                <w:sz w:val="20"/>
              </w:rPr>
            </w:pPr>
          </w:p>
        </w:tc>
        <w:tc>
          <w:tcPr>
            <w:tcW w:w="56" w:type="pct"/>
            <w:tcBorders>
              <w:top w:val="nil"/>
              <w:left w:val="nil"/>
              <w:bottom w:val="nil"/>
              <w:right w:val="nil"/>
            </w:tcBorders>
            <w:shd w:val="clear" w:color="auto" w:fill="auto"/>
            <w:vAlign w:val="center"/>
            <w:hideMark/>
          </w:tcPr>
          <w:p w14:paraId="7CE8A0B9" w14:textId="77777777" w:rsidR="00CA0AC0" w:rsidRPr="00EC4BA6" w:rsidRDefault="00CA0AC0" w:rsidP="008F3B9D">
            <w:pPr>
              <w:spacing w:before="0" w:after="0" w:line="240" w:lineRule="auto"/>
              <w:rPr>
                <w:rFonts w:ascii="Times New Roman" w:hAnsi="Times New Roman"/>
                <w:sz w:val="20"/>
              </w:rPr>
            </w:pPr>
          </w:p>
        </w:tc>
        <w:tc>
          <w:tcPr>
            <w:tcW w:w="575" w:type="pct"/>
            <w:tcBorders>
              <w:top w:val="nil"/>
              <w:left w:val="nil"/>
              <w:bottom w:val="nil"/>
              <w:right w:val="nil"/>
            </w:tcBorders>
            <w:shd w:val="clear" w:color="auto" w:fill="auto"/>
            <w:vAlign w:val="center"/>
            <w:hideMark/>
          </w:tcPr>
          <w:p w14:paraId="036AC34F" w14:textId="77777777" w:rsidR="00CA0AC0" w:rsidRPr="00EC4BA6" w:rsidRDefault="00CA0AC0" w:rsidP="008F3B9D">
            <w:pPr>
              <w:spacing w:before="0" w:after="0" w:line="240" w:lineRule="auto"/>
              <w:rPr>
                <w:rFonts w:ascii="Times New Roman" w:hAnsi="Times New Roman"/>
                <w:sz w:val="20"/>
              </w:rPr>
            </w:pPr>
          </w:p>
        </w:tc>
      </w:tr>
      <w:tr w:rsidR="00CA0AC0" w:rsidRPr="00EC4BA6" w14:paraId="32EEB8AA" w14:textId="77777777" w:rsidTr="00CA0AC0">
        <w:trPr>
          <w:divId w:val="620189783"/>
          <w:trHeight w:hRule="exact" w:val="225"/>
        </w:trPr>
        <w:tc>
          <w:tcPr>
            <w:tcW w:w="1924" w:type="pct"/>
            <w:tcBorders>
              <w:top w:val="nil"/>
              <w:left w:val="nil"/>
              <w:bottom w:val="nil"/>
              <w:right w:val="nil"/>
            </w:tcBorders>
            <w:shd w:val="clear" w:color="auto" w:fill="auto"/>
            <w:vAlign w:val="center"/>
            <w:hideMark/>
          </w:tcPr>
          <w:p w14:paraId="166EBF93" w14:textId="2C42EA97" w:rsidR="00CA0AC0" w:rsidRPr="00EC4BA6" w:rsidRDefault="00CA0AC0" w:rsidP="008F3B9D">
            <w:pPr>
              <w:spacing w:before="0" w:after="0" w:line="240" w:lineRule="auto"/>
              <w:rPr>
                <w:rFonts w:ascii="Arial" w:hAnsi="Arial" w:cs="Arial"/>
                <w:b/>
                <w:sz w:val="16"/>
                <w:szCs w:val="16"/>
              </w:rPr>
            </w:pPr>
            <w:r w:rsidRPr="00EC4BA6">
              <w:rPr>
                <w:rFonts w:ascii="Arial" w:hAnsi="Arial" w:cs="Arial"/>
                <w:b/>
                <w:sz w:val="16"/>
                <w:szCs w:val="16"/>
              </w:rPr>
              <w:t>Changes from 2024</w:t>
            </w:r>
            <w:r w:rsidR="001A3DD6">
              <w:rPr>
                <w:rFonts w:ascii="Arial" w:hAnsi="Arial" w:cs="Arial"/>
                <w:b/>
                <w:sz w:val="16"/>
                <w:szCs w:val="16"/>
              </w:rPr>
              <w:noBreakHyphen/>
            </w:r>
            <w:r w:rsidRPr="00EC4BA6">
              <w:rPr>
                <w:rFonts w:ascii="Arial" w:hAnsi="Arial" w:cs="Arial"/>
                <w:b/>
                <w:sz w:val="16"/>
                <w:szCs w:val="16"/>
              </w:rPr>
              <w:t>25 Budget</w:t>
            </w:r>
          </w:p>
        </w:tc>
        <w:tc>
          <w:tcPr>
            <w:tcW w:w="489" w:type="pct"/>
            <w:tcBorders>
              <w:top w:val="nil"/>
              <w:left w:val="nil"/>
              <w:bottom w:val="nil"/>
              <w:right w:val="nil"/>
            </w:tcBorders>
            <w:shd w:val="clear" w:color="auto" w:fill="auto"/>
            <w:vAlign w:val="center"/>
            <w:hideMark/>
          </w:tcPr>
          <w:p w14:paraId="31B816D6" w14:textId="77777777" w:rsidR="00CA0AC0" w:rsidRPr="00EC4BA6" w:rsidRDefault="00CA0AC0" w:rsidP="008F3B9D">
            <w:pPr>
              <w:spacing w:before="0" w:after="0" w:line="240" w:lineRule="auto"/>
              <w:rPr>
                <w:rFonts w:ascii="Arial" w:hAnsi="Arial" w:cs="Arial"/>
                <w:b/>
                <w:sz w:val="16"/>
                <w:szCs w:val="16"/>
              </w:rPr>
            </w:pPr>
          </w:p>
        </w:tc>
        <w:tc>
          <w:tcPr>
            <w:tcW w:w="489" w:type="pct"/>
            <w:tcBorders>
              <w:top w:val="nil"/>
              <w:left w:val="nil"/>
              <w:bottom w:val="nil"/>
              <w:right w:val="nil"/>
            </w:tcBorders>
            <w:shd w:val="clear" w:color="000000" w:fill="E6F2FF"/>
            <w:vAlign w:val="center"/>
            <w:hideMark/>
          </w:tcPr>
          <w:p w14:paraId="7E50DE90" w14:textId="77777777" w:rsidR="00CA0AC0" w:rsidRPr="00EC4BA6" w:rsidRDefault="00CA0AC0" w:rsidP="008F3B9D">
            <w:pPr>
              <w:spacing w:before="0" w:after="0" w:line="240" w:lineRule="auto"/>
              <w:rPr>
                <w:rFonts w:ascii="Arial" w:hAnsi="Arial" w:cs="Arial"/>
                <w:i/>
                <w:sz w:val="16"/>
                <w:szCs w:val="16"/>
              </w:rPr>
            </w:pPr>
            <w:r w:rsidRPr="00EC4BA6">
              <w:rPr>
                <w:rFonts w:ascii="Arial" w:hAnsi="Arial" w:cs="Arial"/>
                <w:i/>
                <w:sz w:val="16"/>
                <w:szCs w:val="16"/>
              </w:rPr>
              <w:t> </w:t>
            </w:r>
          </w:p>
        </w:tc>
        <w:tc>
          <w:tcPr>
            <w:tcW w:w="489" w:type="pct"/>
            <w:tcBorders>
              <w:top w:val="nil"/>
              <w:left w:val="nil"/>
              <w:bottom w:val="nil"/>
              <w:right w:val="nil"/>
            </w:tcBorders>
            <w:shd w:val="clear" w:color="auto" w:fill="auto"/>
            <w:vAlign w:val="center"/>
            <w:hideMark/>
          </w:tcPr>
          <w:p w14:paraId="7F773DCF" w14:textId="77777777" w:rsidR="00CA0AC0" w:rsidRPr="00EC4BA6" w:rsidRDefault="00CA0AC0" w:rsidP="008F3B9D">
            <w:pPr>
              <w:spacing w:before="0" w:after="0" w:line="240" w:lineRule="auto"/>
              <w:rPr>
                <w:rFonts w:ascii="Arial" w:hAnsi="Arial" w:cs="Arial"/>
                <w:i/>
                <w:sz w:val="16"/>
                <w:szCs w:val="16"/>
              </w:rPr>
            </w:pPr>
          </w:p>
        </w:tc>
        <w:tc>
          <w:tcPr>
            <w:tcW w:w="489" w:type="pct"/>
            <w:tcBorders>
              <w:top w:val="nil"/>
              <w:left w:val="nil"/>
              <w:bottom w:val="nil"/>
              <w:right w:val="nil"/>
            </w:tcBorders>
            <w:shd w:val="clear" w:color="auto" w:fill="auto"/>
            <w:vAlign w:val="center"/>
            <w:hideMark/>
          </w:tcPr>
          <w:p w14:paraId="1C8B2603" w14:textId="77777777" w:rsidR="00CA0AC0" w:rsidRPr="00EC4BA6" w:rsidRDefault="00CA0AC0" w:rsidP="008F3B9D">
            <w:pPr>
              <w:spacing w:before="0" w:after="0" w:line="240" w:lineRule="auto"/>
              <w:rPr>
                <w:rFonts w:ascii="Times New Roman" w:hAnsi="Times New Roman"/>
                <w:sz w:val="20"/>
              </w:rPr>
            </w:pPr>
          </w:p>
        </w:tc>
        <w:tc>
          <w:tcPr>
            <w:tcW w:w="489" w:type="pct"/>
            <w:tcBorders>
              <w:top w:val="nil"/>
              <w:left w:val="nil"/>
              <w:bottom w:val="nil"/>
              <w:right w:val="nil"/>
            </w:tcBorders>
            <w:shd w:val="clear" w:color="auto" w:fill="auto"/>
            <w:noWrap/>
            <w:vAlign w:val="bottom"/>
            <w:hideMark/>
          </w:tcPr>
          <w:p w14:paraId="213E05A7" w14:textId="77777777" w:rsidR="00CA0AC0" w:rsidRPr="00EC4BA6" w:rsidRDefault="00CA0AC0" w:rsidP="008F3B9D">
            <w:pPr>
              <w:spacing w:before="0" w:after="0" w:line="240" w:lineRule="auto"/>
              <w:rPr>
                <w:rFonts w:ascii="Times New Roman" w:hAnsi="Times New Roman"/>
                <w:sz w:val="20"/>
              </w:rPr>
            </w:pPr>
          </w:p>
        </w:tc>
        <w:tc>
          <w:tcPr>
            <w:tcW w:w="56" w:type="pct"/>
            <w:tcBorders>
              <w:top w:val="nil"/>
              <w:left w:val="nil"/>
              <w:bottom w:val="nil"/>
              <w:right w:val="nil"/>
            </w:tcBorders>
            <w:shd w:val="clear" w:color="auto" w:fill="auto"/>
            <w:vAlign w:val="center"/>
            <w:hideMark/>
          </w:tcPr>
          <w:p w14:paraId="636B92DC" w14:textId="77777777" w:rsidR="00CA0AC0" w:rsidRPr="00EC4BA6" w:rsidRDefault="00CA0AC0" w:rsidP="008F3B9D">
            <w:pPr>
              <w:spacing w:before="0" w:after="0" w:line="240" w:lineRule="auto"/>
              <w:rPr>
                <w:rFonts w:ascii="Times New Roman" w:hAnsi="Times New Roman"/>
                <w:sz w:val="20"/>
              </w:rPr>
            </w:pPr>
          </w:p>
        </w:tc>
        <w:tc>
          <w:tcPr>
            <w:tcW w:w="575" w:type="pct"/>
            <w:tcBorders>
              <w:top w:val="nil"/>
              <w:left w:val="nil"/>
              <w:bottom w:val="nil"/>
              <w:right w:val="nil"/>
            </w:tcBorders>
            <w:shd w:val="clear" w:color="auto" w:fill="auto"/>
            <w:vAlign w:val="center"/>
            <w:hideMark/>
          </w:tcPr>
          <w:p w14:paraId="30EDEECB" w14:textId="77777777" w:rsidR="00CA0AC0" w:rsidRPr="00EC4BA6" w:rsidRDefault="00CA0AC0" w:rsidP="008F3B9D">
            <w:pPr>
              <w:spacing w:before="0" w:after="0" w:line="240" w:lineRule="auto"/>
              <w:rPr>
                <w:rFonts w:ascii="Times New Roman" w:hAnsi="Times New Roman"/>
                <w:sz w:val="20"/>
              </w:rPr>
            </w:pPr>
          </w:p>
        </w:tc>
      </w:tr>
      <w:tr w:rsidR="00CA0AC0" w:rsidRPr="00EC4BA6" w14:paraId="7B86D660" w14:textId="77777777" w:rsidTr="00CA0AC0">
        <w:trPr>
          <w:divId w:val="620189783"/>
          <w:trHeight w:hRule="exact" w:val="225"/>
        </w:trPr>
        <w:tc>
          <w:tcPr>
            <w:tcW w:w="1924" w:type="pct"/>
            <w:tcBorders>
              <w:top w:val="nil"/>
              <w:left w:val="nil"/>
              <w:bottom w:val="nil"/>
              <w:right w:val="nil"/>
            </w:tcBorders>
            <w:shd w:val="clear" w:color="auto" w:fill="auto"/>
            <w:vAlign w:val="center"/>
            <w:hideMark/>
          </w:tcPr>
          <w:p w14:paraId="0B2F2036" w14:textId="75536E49" w:rsidR="00CA0AC0" w:rsidRPr="00EC4BA6" w:rsidRDefault="00CA0AC0" w:rsidP="008F3B9D">
            <w:pPr>
              <w:spacing w:before="0" w:after="0" w:line="240" w:lineRule="auto"/>
              <w:ind w:left="170"/>
              <w:rPr>
                <w:rFonts w:ascii="Arial" w:hAnsi="Arial" w:cs="Arial"/>
                <w:b/>
                <w:sz w:val="16"/>
                <w:szCs w:val="16"/>
              </w:rPr>
            </w:pPr>
            <w:r w:rsidRPr="00EC4BA6">
              <w:rPr>
                <w:rFonts w:ascii="Arial" w:hAnsi="Arial" w:cs="Arial"/>
                <w:b/>
                <w:sz w:val="16"/>
                <w:szCs w:val="16"/>
              </w:rPr>
              <w:t>to 2024</w:t>
            </w:r>
            <w:r w:rsidR="001A3DD6">
              <w:rPr>
                <w:rFonts w:ascii="Arial" w:hAnsi="Arial" w:cs="Arial"/>
                <w:b/>
                <w:sz w:val="16"/>
                <w:szCs w:val="16"/>
              </w:rPr>
              <w:noBreakHyphen/>
            </w:r>
            <w:r w:rsidRPr="00EC4BA6">
              <w:rPr>
                <w:rFonts w:ascii="Arial" w:hAnsi="Arial" w:cs="Arial"/>
                <w:b/>
                <w:sz w:val="16"/>
                <w:szCs w:val="16"/>
              </w:rPr>
              <w:t>25 MYEFO</w:t>
            </w:r>
          </w:p>
        </w:tc>
        <w:tc>
          <w:tcPr>
            <w:tcW w:w="489" w:type="pct"/>
            <w:tcBorders>
              <w:top w:val="nil"/>
              <w:left w:val="nil"/>
              <w:bottom w:val="nil"/>
              <w:right w:val="nil"/>
            </w:tcBorders>
            <w:shd w:val="clear" w:color="auto" w:fill="auto"/>
            <w:vAlign w:val="center"/>
            <w:hideMark/>
          </w:tcPr>
          <w:p w14:paraId="29F371EA" w14:textId="77777777" w:rsidR="00CA0AC0" w:rsidRPr="00EC4BA6" w:rsidRDefault="00CA0AC0" w:rsidP="008F3B9D">
            <w:pPr>
              <w:spacing w:before="0" w:after="0" w:line="240" w:lineRule="auto"/>
              <w:ind w:firstLineChars="100" w:firstLine="161"/>
              <w:rPr>
                <w:rFonts w:ascii="Arial" w:hAnsi="Arial" w:cs="Arial"/>
                <w:b/>
                <w:sz w:val="16"/>
                <w:szCs w:val="16"/>
              </w:rPr>
            </w:pPr>
          </w:p>
        </w:tc>
        <w:tc>
          <w:tcPr>
            <w:tcW w:w="489" w:type="pct"/>
            <w:tcBorders>
              <w:top w:val="nil"/>
              <w:left w:val="nil"/>
              <w:bottom w:val="nil"/>
              <w:right w:val="nil"/>
            </w:tcBorders>
            <w:shd w:val="clear" w:color="000000" w:fill="E6F2FF"/>
            <w:vAlign w:val="center"/>
            <w:hideMark/>
          </w:tcPr>
          <w:p w14:paraId="7B65DD9E" w14:textId="77777777" w:rsidR="00CA0AC0" w:rsidRPr="00EC4BA6" w:rsidRDefault="00CA0AC0" w:rsidP="008F3B9D">
            <w:pPr>
              <w:spacing w:before="0" w:after="0" w:line="240" w:lineRule="auto"/>
              <w:rPr>
                <w:rFonts w:ascii="Arial" w:hAnsi="Arial" w:cs="Arial"/>
                <w:i/>
                <w:sz w:val="16"/>
                <w:szCs w:val="16"/>
              </w:rPr>
            </w:pPr>
            <w:r w:rsidRPr="00EC4BA6">
              <w:rPr>
                <w:rFonts w:ascii="Arial" w:hAnsi="Arial" w:cs="Arial"/>
                <w:i/>
                <w:sz w:val="16"/>
                <w:szCs w:val="16"/>
              </w:rPr>
              <w:t> </w:t>
            </w:r>
          </w:p>
        </w:tc>
        <w:tc>
          <w:tcPr>
            <w:tcW w:w="489" w:type="pct"/>
            <w:tcBorders>
              <w:top w:val="nil"/>
              <w:left w:val="nil"/>
              <w:bottom w:val="nil"/>
              <w:right w:val="nil"/>
            </w:tcBorders>
            <w:shd w:val="clear" w:color="auto" w:fill="auto"/>
            <w:vAlign w:val="center"/>
            <w:hideMark/>
          </w:tcPr>
          <w:p w14:paraId="0DF3FEC5" w14:textId="77777777" w:rsidR="00CA0AC0" w:rsidRPr="00EC4BA6" w:rsidRDefault="00CA0AC0" w:rsidP="008F3B9D">
            <w:pPr>
              <w:spacing w:before="0" w:after="0" w:line="240" w:lineRule="auto"/>
              <w:rPr>
                <w:rFonts w:ascii="Arial" w:hAnsi="Arial" w:cs="Arial"/>
                <w:i/>
                <w:sz w:val="16"/>
                <w:szCs w:val="16"/>
              </w:rPr>
            </w:pPr>
          </w:p>
        </w:tc>
        <w:tc>
          <w:tcPr>
            <w:tcW w:w="489" w:type="pct"/>
            <w:tcBorders>
              <w:top w:val="nil"/>
              <w:left w:val="nil"/>
              <w:bottom w:val="nil"/>
              <w:right w:val="nil"/>
            </w:tcBorders>
            <w:shd w:val="clear" w:color="auto" w:fill="auto"/>
            <w:vAlign w:val="center"/>
            <w:hideMark/>
          </w:tcPr>
          <w:p w14:paraId="64819585" w14:textId="77777777" w:rsidR="00CA0AC0" w:rsidRPr="00EC4BA6" w:rsidRDefault="00CA0AC0" w:rsidP="008F3B9D">
            <w:pPr>
              <w:spacing w:before="0" w:after="0" w:line="240" w:lineRule="auto"/>
              <w:rPr>
                <w:rFonts w:ascii="Times New Roman" w:hAnsi="Times New Roman"/>
                <w:sz w:val="20"/>
              </w:rPr>
            </w:pPr>
          </w:p>
        </w:tc>
        <w:tc>
          <w:tcPr>
            <w:tcW w:w="489" w:type="pct"/>
            <w:tcBorders>
              <w:top w:val="nil"/>
              <w:left w:val="nil"/>
              <w:bottom w:val="nil"/>
              <w:right w:val="nil"/>
            </w:tcBorders>
            <w:shd w:val="clear" w:color="auto" w:fill="auto"/>
            <w:noWrap/>
            <w:vAlign w:val="bottom"/>
            <w:hideMark/>
          </w:tcPr>
          <w:p w14:paraId="5A51F3DE" w14:textId="77777777" w:rsidR="00CA0AC0" w:rsidRPr="00EC4BA6" w:rsidRDefault="00CA0AC0" w:rsidP="008F3B9D">
            <w:pPr>
              <w:spacing w:before="0" w:after="0" w:line="240" w:lineRule="auto"/>
              <w:rPr>
                <w:rFonts w:ascii="Times New Roman" w:hAnsi="Times New Roman"/>
                <w:sz w:val="20"/>
              </w:rPr>
            </w:pPr>
          </w:p>
        </w:tc>
        <w:tc>
          <w:tcPr>
            <w:tcW w:w="56" w:type="pct"/>
            <w:tcBorders>
              <w:top w:val="nil"/>
              <w:left w:val="nil"/>
              <w:bottom w:val="nil"/>
              <w:right w:val="nil"/>
            </w:tcBorders>
            <w:shd w:val="clear" w:color="auto" w:fill="auto"/>
            <w:vAlign w:val="center"/>
            <w:hideMark/>
          </w:tcPr>
          <w:p w14:paraId="150582B6" w14:textId="77777777" w:rsidR="00CA0AC0" w:rsidRPr="00EC4BA6" w:rsidRDefault="00CA0AC0" w:rsidP="008F3B9D">
            <w:pPr>
              <w:spacing w:before="0" w:after="0" w:line="240" w:lineRule="auto"/>
              <w:rPr>
                <w:rFonts w:ascii="Times New Roman" w:hAnsi="Times New Roman"/>
                <w:sz w:val="20"/>
              </w:rPr>
            </w:pPr>
          </w:p>
        </w:tc>
        <w:tc>
          <w:tcPr>
            <w:tcW w:w="575" w:type="pct"/>
            <w:tcBorders>
              <w:top w:val="nil"/>
              <w:left w:val="nil"/>
              <w:bottom w:val="nil"/>
              <w:right w:val="nil"/>
            </w:tcBorders>
            <w:shd w:val="clear" w:color="auto" w:fill="auto"/>
            <w:vAlign w:val="center"/>
            <w:hideMark/>
          </w:tcPr>
          <w:p w14:paraId="0F744BA6" w14:textId="77777777" w:rsidR="00CA0AC0" w:rsidRPr="00EC4BA6" w:rsidRDefault="00CA0AC0" w:rsidP="008F3B9D">
            <w:pPr>
              <w:spacing w:before="0" w:after="0" w:line="240" w:lineRule="auto"/>
              <w:rPr>
                <w:rFonts w:ascii="Times New Roman" w:hAnsi="Times New Roman"/>
                <w:sz w:val="20"/>
              </w:rPr>
            </w:pPr>
          </w:p>
        </w:tc>
      </w:tr>
      <w:tr w:rsidR="00CA0AC0" w:rsidRPr="00EC4BA6" w14:paraId="031C7128" w14:textId="77777777" w:rsidTr="00CA0AC0">
        <w:trPr>
          <w:divId w:val="620189783"/>
          <w:trHeight w:hRule="exact" w:val="225"/>
        </w:trPr>
        <w:tc>
          <w:tcPr>
            <w:tcW w:w="1924" w:type="pct"/>
            <w:tcBorders>
              <w:top w:val="nil"/>
              <w:left w:val="nil"/>
              <w:bottom w:val="nil"/>
              <w:right w:val="nil"/>
            </w:tcBorders>
            <w:shd w:val="clear" w:color="auto" w:fill="auto"/>
            <w:vAlign w:val="center"/>
            <w:hideMark/>
          </w:tcPr>
          <w:p w14:paraId="7EDB0E1E" w14:textId="77777777" w:rsidR="00CA0AC0" w:rsidRPr="00EC4BA6" w:rsidRDefault="00CA0AC0" w:rsidP="008F3B9D">
            <w:pPr>
              <w:spacing w:before="0" w:after="0" w:line="240" w:lineRule="auto"/>
              <w:rPr>
                <w:rFonts w:ascii="Arial" w:hAnsi="Arial" w:cs="Arial"/>
                <w:sz w:val="16"/>
                <w:szCs w:val="16"/>
              </w:rPr>
            </w:pPr>
            <w:r w:rsidRPr="00EC4BA6">
              <w:rPr>
                <w:rFonts w:ascii="Arial" w:hAnsi="Arial" w:cs="Arial"/>
                <w:sz w:val="16"/>
                <w:szCs w:val="16"/>
              </w:rPr>
              <w:t>Effect of policy decisions </w:t>
            </w:r>
          </w:p>
        </w:tc>
        <w:tc>
          <w:tcPr>
            <w:tcW w:w="489" w:type="pct"/>
            <w:tcBorders>
              <w:top w:val="nil"/>
              <w:left w:val="nil"/>
              <w:bottom w:val="nil"/>
              <w:right w:val="nil"/>
            </w:tcBorders>
            <w:shd w:val="clear" w:color="auto" w:fill="auto"/>
            <w:noWrap/>
            <w:vAlign w:val="bottom"/>
            <w:hideMark/>
          </w:tcPr>
          <w:p w14:paraId="34B98ECF" w14:textId="77777777" w:rsidR="00CA0AC0" w:rsidRPr="00EC4BA6" w:rsidRDefault="00CA0AC0" w:rsidP="008F3B9D">
            <w:pPr>
              <w:spacing w:before="0" w:after="0" w:line="240" w:lineRule="auto"/>
              <w:jc w:val="right"/>
              <w:rPr>
                <w:rFonts w:ascii="Arial" w:hAnsi="Arial" w:cs="Arial"/>
                <w:sz w:val="16"/>
                <w:szCs w:val="16"/>
              </w:rPr>
            </w:pPr>
            <w:r w:rsidRPr="00EC4BA6">
              <w:rPr>
                <w:rFonts w:ascii="Arial" w:hAnsi="Arial" w:cs="Arial"/>
                <w:sz w:val="16"/>
                <w:szCs w:val="16"/>
              </w:rPr>
              <w:t>402</w:t>
            </w:r>
          </w:p>
        </w:tc>
        <w:tc>
          <w:tcPr>
            <w:tcW w:w="489" w:type="pct"/>
            <w:tcBorders>
              <w:top w:val="nil"/>
              <w:left w:val="nil"/>
              <w:bottom w:val="nil"/>
              <w:right w:val="nil"/>
            </w:tcBorders>
            <w:shd w:val="clear" w:color="000000" w:fill="E6F2FF"/>
            <w:noWrap/>
            <w:vAlign w:val="bottom"/>
            <w:hideMark/>
          </w:tcPr>
          <w:p w14:paraId="4DA8630E" w14:textId="77777777" w:rsidR="00CA0AC0" w:rsidRPr="00EC4BA6" w:rsidRDefault="00CA0AC0" w:rsidP="008F3B9D">
            <w:pPr>
              <w:spacing w:before="0" w:after="0" w:line="240" w:lineRule="auto"/>
              <w:jc w:val="right"/>
              <w:rPr>
                <w:rFonts w:ascii="Arial" w:hAnsi="Arial" w:cs="Arial"/>
                <w:sz w:val="16"/>
                <w:szCs w:val="16"/>
              </w:rPr>
            </w:pPr>
            <w:r w:rsidRPr="00EC4BA6">
              <w:rPr>
                <w:rFonts w:ascii="Arial" w:hAnsi="Arial" w:cs="Arial"/>
                <w:sz w:val="16"/>
                <w:szCs w:val="16"/>
              </w:rPr>
              <w:t>312</w:t>
            </w:r>
          </w:p>
        </w:tc>
        <w:tc>
          <w:tcPr>
            <w:tcW w:w="489" w:type="pct"/>
            <w:tcBorders>
              <w:top w:val="nil"/>
              <w:left w:val="nil"/>
              <w:bottom w:val="nil"/>
              <w:right w:val="nil"/>
            </w:tcBorders>
            <w:shd w:val="clear" w:color="auto" w:fill="auto"/>
            <w:noWrap/>
            <w:vAlign w:val="bottom"/>
            <w:hideMark/>
          </w:tcPr>
          <w:p w14:paraId="4FECF158" w14:textId="77777777" w:rsidR="00CA0AC0" w:rsidRPr="00EC4BA6" w:rsidRDefault="00CA0AC0" w:rsidP="008F3B9D">
            <w:pPr>
              <w:spacing w:before="0" w:after="0" w:line="240" w:lineRule="auto"/>
              <w:jc w:val="right"/>
              <w:rPr>
                <w:rFonts w:ascii="Arial" w:hAnsi="Arial" w:cs="Arial"/>
                <w:sz w:val="16"/>
                <w:szCs w:val="16"/>
              </w:rPr>
            </w:pPr>
            <w:r w:rsidRPr="00EC4BA6">
              <w:rPr>
                <w:rFonts w:ascii="Arial" w:hAnsi="Arial" w:cs="Arial"/>
                <w:sz w:val="16"/>
                <w:szCs w:val="16"/>
              </w:rPr>
              <w:t>399</w:t>
            </w:r>
          </w:p>
        </w:tc>
        <w:tc>
          <w:tcPr>
            <w:tcW w:w="489" w:type="pct"/>
            <w:tcBorders>
              <w:top w:val="nil"/>
              <w:left w:val="nil"/>
              <w:bottom w:val="nil"/>
              <w:right w:val="nil"/>
            </w:tcBorders>
            <w:shd w:val="clear" w:color="auto" w:fill="auto"/>
            <w:noWrap/>
            <w:vAlign w:val="bottom"/>
            <w:hideMark/>
          </w:tcPr>
          <w:p w14:paraId="4FF38DF7" w14:textId="77777777" w:rsidR="00CA0AC0" w:rsidRPr="00EC4BA6" w:rsidRDefault="00CA0AC0" w:rsidP="008F3B9D">
            <w:pPr>
              <w:spacing w:before="0" w:after="0" w:line="240" w:lineRule="auto"/>
              <w:jc w:val="right"/>
              <w:rPr>
                <w:rFonts w:ascii="Arial" w:hAnsi="Arial" w:cs="Arial"/>
                <w:sz w:val="16"/>
                <w:szCs w:val="16"/>
              </w:rPr>
            </w:pPr>
            <w:r w:rsidRPr="00EC4BA6">
              <w:rPr>
                <w:rFonts w:ascii="Arial" w:hAnsi="Arial" w:cs="Arial"/>
                <w:sz w:val="16"/>
                <w:szCs w:val="16"/>
              </w:rPr>
              <w:t>540</w:t>
            </w:r>
          </w:p>
        </w:tc>
        <w:tc>
          <w:tcPr>
            <w:tcW w:w="489" w:type="pct"/>
            <w:tcBorders>
              <w:top w:val="nil"/>
              <w:left w:val="nil"/>
              <w:bottom w:val="nil"/>
              <w:right w:val="nil"/>
            </w:tcBorders>
            <w:shd w:val="clear" w:color="auto" w:fill="auto"/>
            <w:vAlign w:val="center"/>
            <w:hideMark/>
          </w:tcPr>
          <w:p w14:paraId="4D9A2422" w14:textId="77777777" w:rsidR="00CA0AC0" w:rsidRPr="00EC4BA6" w:rsidRDefault="00CA0AC0" w:rsidP="008F3B9D">
            <w:pPr>
              <w:spacing w:before="0" w:after="0" w:line="240" w:lineRule="auto"/>
              <w:jc w:val="right"/>
              <w:rPr>
                <w:rFonts w:ascii="Arial" w:hAnsi="Arial" w:cs="Arial"/>
                <w:sz w:val="16"/>
                <w:szCs w:val="16"/>
              </w:rPr>
            </w:pPr>
            <w:r w:rsidRPr="00EC4BA6">
              <w:rPr>
                <w:rFonts w:ascii="Arial" w:hAnsi="Arial" w:cs="Arial"/>
                <w:sz w:val="16"/>
                <w:szCs w:val="16"/>
              </w:rPr>
              <w:t>*</w:t>
            </w:r>
          </w:p>
        </w:tc>
        <w:tc>
          <w:tcPr>
            <w:tcW w:w="56" w:type="pct"/>
            <w:tcBorders>
              <w:top w:val="nil"/>
              <w:left w:val="nil"/>
              <w:bottom w:val="nil"/>
              <w:right w:val="nil"/>
            </w:tcBorders>
            <w:shd w:val="clear" w:color="auto" w:fill="auto"/>
            <w:noWrap/>
            <w:vAlign w:val="bottom"/>
            <w:hideMark/>
          </w:tcPr>
          <w:p w14:paraId="2D68F94E" w14:textId="77777777" w:rsidR="00CA0AC0" w:rsidRPr="00EC4BA6" w:rsidRDefault="00CA0AC0" w:rsidP="008F3B9D">
            <w:pPr>
              <w:spacing w:before="0" w:after="0" w:line="240" w:lineRule="auto"/>
              <w:jc w:val="right"/>
              <w:rPr>
                <w:rFonts w:ascii="Arial" w:hAnsi="Arial" w:cs="Arial"/>
                <w:sz w:val="16"/>
                <w:szCs w:val="16"/>
              </w:rPr>
            </w:pPr>
          </w:p>
        </w:tc>
        <w:tc>
          <w:tcPr>
            <w:tcW w:w="575" w:type="pct"/>
            <w:tcBorders>
              <w:top w:val="nil"/>
              <w:left w:val="nil"/>
              <w:bottom w:val="nil"/>
              <w:right w:val="nil"/>
            </w:tcBorders>
            <w:shd w:val="clear" w:color="auto" w:fill="auto"/>
            <w:vAlign w:val="center"/>
            <w:hideMark/>
          </w:tcPr>
          <w:p w14:paraId="2F30EDB8" w14:textId="77777777" w:rsidR="00CA0AC0" w:rsidRPr="00EC4BA6" w:rsidRDefault="00CA0AC0" w:rsidP="008F3B9D">
            <w:pPr>
              <w:spacing w:before="0" w:after="0" w:line="240" w:lineRule="auto"/>
              <w:jc w:val="right"/>
              <w:rPr>
                <w:rFonts w:ascii="Arial" w:hAnsi="Arial" w:cs="Arial"/>
                <w:sz w:val="16"/>
                <w:szCs w:val="16"/>
              </w:rPr>
            </w:pPr>
            <w:r w:rsidRPr="00EC4BA6">
              <w:rPr>
                <w:rFonts w:ascii="Arial" w:hAnsi="Arial" w:cs="Arial"/>
                <w:sz w:val="16"/>
                <w:szCs w:val="16"/>
              </w:rPr>
              <w:t xml:space="preserve"> * </w:t>
            </w:r>
          </w:p>
        </w:tc>
      </w:tr>
      <w:tr w:rsidR="00CA0AC0" w:rsidRPr="00EC4BA6" w14:paraId="1C385B31" w14:textId="77777777" w:rsidTr="00CA0AC0">
        <w:trPr>
          <w:divId w:val="620189783"/>
          <w:trHeight w:hRule="exact" w:val="225"/>
        </w:trPr>
        <w:tc>
          <w:tcPr>
            <w:tcW w:w="1924" w:type="pct"/>
            <w:tcBorders>
              <w:top w:val="nil"/>
              <w:left w:val="nil"/>
              <w:bottom w:val="nil"/>
              <w:right w:val="nil"/>
            </w:tcBorders>
            <w:shd w:val="clear" w:color="auto" w:fill="auto"/>
            <w:vAlign w:val="center"/>
            <w:hideMark/>
          </w:tcPr>
          <w:p w14:paraId="752DBFAE" w14:textId="77777777" w:rsidR="00CA0AC0" w:rsidRPr="00EC4BA6" w:rsidRDefault="00CA0AC0" w:rsidP="008F3B9D">
            <w:pPr>
              <w:spacing w:before="0" w:after="0" w:line="240" w:lineRule="auto"/>
              <w:rPr>
                <w:rFonts w:ascii="Arial" w:hAnsi="Arial" w:cs="Arial"/>
                <w:sz w:val="16"/>
                <w:szCs w:val="16"/>
              </w:rPr>
            </w:pPr>
            <w:r w:rsidRPr="00EC4BA6">
              <w:rPr>
                <w:rFonts w:ascii="Arial" w:hAnsi="Arial" w:cs="Arial"/>
                <w:sz w:val="16"/>
                <w:szCs w:val="16"/>
              </w:rPr>
              <w:t>Effect of parameter and other variations </w:t>
            </w:r>
          </w:p>
        </w:tc>
        <w:tc>
          <w:tcPr>
            <w:tcW w:w="489" w:type="pct"/>
            <w:tcBorders>
              <w:top w:val="nil"/>
              <w:left w:val="nil"/>
              <w:bottom w:val="nil"/>
              <w:right w:val="nil"/>
            </w:tcBorders>
            <w:shd w:val="clear" w:color="auto" w:fill="auto"/>
            <w:vAlign w:val="center"/>
            <w:hideMark/>
          </w:tcPr>
          <w:p w14:paraId="771F603C" w14:textId="77777777" w:rsidR="00CA0AC0" w:rsidRPr="00EC4BA6" w:rsidRDefault="00CA0AC0" w:rsidP="008F3B9D">
            <w:pPr>
              <w:spacing w:before="0" w:after="0" w:line="240" w:lineRule="auto"/>
              <w:jc w:val="right"/>
              <w:rPr>
                <w:rFonts w:ascii="Arial" w:hAnsi="Arial" w:cs="Arial"/>
                <w:sz w:val="16"/>
                <w:szCs w:val="16"/>
              </w:rPr>
            </w:pPr>
            <w:r w:rsidRPr="00EC4BA6">
              <w:rPr>
                <w:rFonts w:ascii="Arial" w:hAnsi="Arial" w:cs="Arial"/>
                <w:sz w:val="16"/>
                <w:szCs w:val="16"/>
              </w:rPr>
              <w:t>5,336</w:t>
            </w:r>
          </w:p>
        </w:tc>
        <w:tc>
          <w:tcPr>
            <w:tcW w:w="489" w:type="pct"/>
            <w:tcBorders>
              <w:top w:val="nil"/>
              <w:left w:val="nil"/>
              <w:bottom w:val="nil"/>
              <w:right w:val="nil"/>
            </w:tcBorders>
            <w:shd w:val="clear" w:color="000000" w:fill="E6F2FF"/>
            <w:vAlign w:val="center"/>
            <w:hideMark/>
          </w:tcPr>
          <w:p w14:paraId="09BBCF77" w14:textId="77777777" w:rsidR="00CA0AC0" w:rsidRPr="00EC4BA6" w:rsidRDefault="00CA0AC0" w:rsidP="008F3B9D">
            <w:pPr>
              <w:spacing w:before="0" w:after="0" w:line="240" w:lineRule="auto"/>
              <w:jc w:val="right"/>
              <w:rPr>
                <w:rFonts w:ascii="Arial" w:hAnsi="Arial" w:cs="Arial"/>
                <w:sz w:val="16"/>
                <w:szCs w:val="16"/>
              </w:rPr>
            </w:pPr>
            <w:r w:rsidRPr="00EC4BA6">
              <w:rPr>
                <w:rFonts w:ascii="Arial" w:hAnsi="Arial" w:cs="Arial"/>
                <w:sz w:val="16"/>
                <w:szCs w:val="16"/>
              </w:rPr>
              <w:t>8,755</w:t>
            </w:r>
          </w:p>
        </w:tc>
        <w:tc>
          <w:tcPr>
            <w:tcW w:w="489" w:type="pct"/>
            <w:tcBorders>
              <w:top w:val="nil"/>
              <w:left w:val="nil"/>
              <w:bottom w:val="nil"/>
              <w:right w:val="nil"/>
            </w:tcBorders>
            <w:shd w:val="clear" w:color="auto" w:fill="auto"/>
            <w:vAlign w:val="center"/>
            <w:hideMark/>
          </w:tcPr>
          <w:p w14:paraId="0512D0D7" w14:textId="77777777" w:rsidR="00CA0AC0" w:rsidRPr="00EC4BA6" w:rsidRDefault="00CA0AC0" w:rsidP="008F3B9D">
            <w:pPr>
              <w:spacing w:before="0" w:after="0" w:line="240" w:lineRule="auto"/>
              <w:jc w:val="right"/>
              <w:rPr>
                <w:rFonts w:ascii="Arial" w:hAnsi="Arial" w:cs="Arial"/>
                <w:sz w:val="16"/>
                <w:szCs w:val="16"/>
              </w:rPr>
            </w:pPr>
            <w:r w:rsidRPr="00EC4BA6">
              <w:rPr>
                <w:rFonts w:ascii="Arial" w:hAnsi="Arial" w:cs="Arial"/>
                <w:sz w:val="16"/>
                <w:szCs w:val="16"/>
              </w:rPr>
              <w:t>2,977</w:t>
            </w:r>
          </w:p>
        </w:tc>
        <w:tc>
          <w:tcPr>
            <w:tcW w:w="489" w:type="pct"/>
            <w:tcBorders>
              <w:top w:val="nil"/>
              <w:left w:val="nil"/>
              <w:bottom w:val="nil"/>
              <w:right w:val="nil"/>
            </w:tcBorders>
            <w:shd w:val="clear" w:color="auto" w:fill="auto"/>
            <w:vAlign w:val="center"/>
            <w:hideMark/>
          </w:tcPr>
          <w:p w14:paraId="3DE27BF5" w14:textId="77777777" w:rsidR="00CA0AC0" w:rsidRPr="00EC4BA6" w:rsidRDefault="00CA0AC0" w:rsidP="008F3B9D">
            <w:pPr>
              <w:spacing w:before="0" w:after="0" w:line="240" w:lineRule="auto"/>
              <w:jc w:val="right"/>
              <w:rPr>
                <w:rFonts w:ascii="Arial" w:hAnsi="Arial" w:cs="Arial"/>
                <w:sz w:val="16"/>
                <w:szCs w:val="16"/>
              </w:rPr>
            </w:pPr>
            <w:r w:rsidRPr="00EC4BA6">
              <w:rPr>
                <w:rFonts w:ascii="Arial" w:hAnsi="Arial" w:cs="Arial"/>
                <w:sz w:val="16"/>
                <w:szCs w:val="16"/>
              </w:rPr>
              <w:t>1,727</w:t>
            </w:r>
          </w:p>
        </w:tc>
        <w:tc>
          <w:tcPr>
            <w:tcW w:w="489" w:type="pct"/>
            <w:tcBorders>
              <w:top w:val="nil"/>
              <w:left w:val="nil"/>
              <w:bottom w:val="nil"/>
              <w:right w:val="nil"/>
            </w:tcBorders>
            <w:shd w:val="clear" w:color="auto" w:fill="auto"/>
            <w:vAlign w:val="center"/>
            <w:hideMark/>
          </w:tcPr>
          <w:p w14:paraId="34BA3428" w14:textId="77777777" w:rsidR="00CA0AC0" w:rsidRPr="00EC4BA6" w:rsidRDefault="00CA0AC0" w:rsidP="008F3B9D">
            <w:pPr>
              <w:spacing w:before="0" w:after="0" w:line="240" w:lineRule="auto"/>
              <w:jc w:val="right"/>
              <w:rPr>
                <w:rFonts w:ascii="Arial" w:hAnsi="Arial" w:cs="Arial"/>
                <w:sz w:val="16"/>
                <w:szCs w:val="16"/>
              </w:rPr>
            </w:pPr>
            <w:r w:rsidRPr="00EC4BA6">
              <w:rPr>
                <w:rFonts w:ascii="Arial" w:hAnsi="Arial" w:cs="Arial"/>
                <w:sz w:val="16"/>
                <w:szCs w:val="16"/>
              </w:rPr>
              <w:t>*</w:t>
            </w:r>
          </w:p>
        </w:tc>
        <w:tc>
          <w:tcPr>
            <w:tcW w:w="56" w:type="pct"/>
            <w:tcBorders>
              <w:top w:val="nil"/>
              <w:left w:val="nil"/>
              <w:bottom w:val="nil"/>
              <w:right w:val="nil"/>
            </w:tcBorders>
            <w:shd w:val="clear" w:color="auto" w:fill="auto"/>
            <w:vAlign w:val="center"/>
            <w:hideMark/>
          </w:tcPr>
          <w:p w14:paraId="666FA750" w14:textId="77777777" w:rsidR="00CA0AC0" w:rsidRPr="00EC4BA6" w:rsidRDefault="00CA0AC0" w:rsidP="008F3B9D">
            <w:pPr>
              <w:spacing w:before="0" w:after="0" w:line="240" w:lineRule="auto"/>
              <w:jc w:val="right"/>
              <w:rPr>
                <w:rFonts w:ascii="Arial" w:hAnsi="Arial" w:cs="Arial"/>
                <w:sz w:val="16"/>
                <w:szCs w:val="16"/>
              </w:rPr>
            </w:pPr>
          </w:p>
        </w:tc>
        <w:tc>
          <w:tcPr>
            <w:tcW w:w="575" w:type="pct"/>
            <w:tcBorders>
              <w:top w:val="nil"/>
              <w:left w:val="nil"/>
              <w:bottom w:val="single" w:sz="4" w:space="0" w:color="auto"/>
              <w:right w:val="nil"/>
            </w:tcBorders>
            <w:shd w:val="clear" w:color="auto" w:fill="auto"/>
            <w:vAlign w:val="center"/>
            <w:hideMark/>
          </w:tcPr>
          <w:p w14:paraId="64729E86" w14:textId="77777777" w:rsidR="00CA0AC0" w:rsidRPr="00EC4BA6" w:rsidRDefault="00CA0AC0" w:rsidP="008F3B9D">
            <w:pPr>
              <w:spacing w:before="0" w:after="0" w:line="240" w:lineRule="auto"/>
              <w:jc w:val="right"/>
              <w:rPr>
                <w:rFonts w:ascii="Arial" w:hAnsi="Arial" w:cs="Arial"/>
                <w:sz w:val="16"/>
                <w:szCs w:val="16"/>
              </w:rPr>
            </w:pPr>
            <w:r w:rsidRPr="00EC4BA6">
              <w:rPr>
                <w:rFonts w:ascii="Arial" w:hAnsi="Arial" w:cs="Arial"/>
                <w:sz w:val="16"/>
                <w:szCs w:val="16"/>
              </w:rPr>
              <w:t xml:space="preserve"> * </w:t>
            </w:r>
          </w:p>
        </w:tc>
      </w:tr>
      <w:tr w:rsidR="00CA0AC0" w:rsidRPr="00EC4BA6" w14:paraId="04FBF823" w14:textId="77777777" w:rsidTr="00CA0AC0">
        <w:trPr>
          <w:divId w:val="620189783"/>
          <w:trHeight w:hRule="exact" w:val="225"/>
        </w:trPr>
        <w:tc>
          <w:tcPr>
            <w:tcW w:w="1924" w:type="pct"/>
            <w:tcBorders>
              <w:top w:val="nil"/>
              <w:left w:val="nil"/>
              <w:bottom w:val="nil"/>
              <w:right w:val="nil"/>
            </w:tcBorders>
            <w:shd w:val="clear" w:color="auto" w:fill="auto"/>
            <w:vAlign w:val="center"/>
            <w:hideMark/>
          </w:tcPr>
          <w:p w14:paraId="390F187B" w14:textId="77777777" w:rsidR="00CA0AC0" w:rsidRPr="00EC4BA6" w:rsidRDefault="00CA0AC0" w:rsidP="008F3B9D">
            <w:pPr>
              <w:spacing w:before="0" w:after="0" w:line="240" w:lineRule="auto"/>
              <w:rPr>
                <w:rFonts w:ascii="Arial" w:hAnsi="Arial" w:cs="Arial"/>
                <w:b/>
                <w:sz w:val="16"/>
                <w:szCs w:val="16"/>
              </w:rPr>
            </w:pPr>
            <w:r w:rsidRPr="00EC4BA6">
              <w:rPr>
                <w:rFonts w:ascii="Arial" w:hAnsi="Arial" w:cs="Arial"/>
                <w:b/>
                <w:sz w:val="16"/>
                <w:szCs w:val="16"/>
              </w:rPr>
              <w:t>Total variations </w:t>
            </w:r>
          </w:p>
        </w:tc>
        <w:tc>
          <w:tcPr>
            <w:tcW w:w="489" w:type="pct"/>
            <w:tcBorders>
              <w:top w:val="single" w:sz="4" w:space="0" w:color="293F5B"/>
              <w:left w:val="nil"/>
              <w:bottom w:val="single" w:sz="4" w:space="0" w:color="293F5B"/>
              <w:right w:val="nil"/>
            </w:tcBorders>
            <w:shd w:val="clear" w:color="auto" w:fill="auto"/>
            <w:vAlign w:val="center"/>
            <w:hideMark/>
          </w:tcPr>
          <w:p w14:paraId="132AEA92" w14:textId="77777777" w:rsidR="00CA0AC0" w:rsidRPr="00EC4BA6" w:rsidRDefault="00CA0AC0" w:rsidP="008F3B9D">
            <w:pPr>
              <w:spacing w:before="0" w:after="0" w:line="240" w:lineRule="auto"/>
              <w:jc w:val="right"/>
              <w:rPr>
                <w:rFonts w:ascii="Arial" w:hAnsi="Arial" w:cs="Arial"/>
                <w:b/>
                <w:sz w:val="16"/>
                <w:szCs w:val="16"/>
              </w:rPr>
            </w:pPr>
            <w:r w:rsidRPr="00EC4BA6">
              <w:rPr>
                <w:rFonts w:ascii="Arial" w:hAnsi="Arial" w:cs="Arial"/>
                <w:b/>
                <w:sz w:val="16"/>
                <w:szCs w:val="16"/>
              </w:rPr>
              <w:t xml:space="preserve">       5,739 </w:t>
            </w:r>
          </w:p>
        </w:tc>
        <w:tc>
          <w:tcPr>
            <w:tcW w:w="489" w:type="pct"/>
            <w:tcBorders>
              <w:top w:val="single" w:sz="4" w:space="0" w:color="293F5B"/>
              <w:left w:val="nil"/>
              <w:bottom w:val="single" w:sz="4" w:space="0" w:color="293F5B"/>
              <w:right w:val="nil"/>
            </w:tcBorders>
            <w:shd w:val="clear" w:color="000000" w:fill="E6F2FF"/>
            <w:vAlign w:val="center"/>
            <w:hideMark/>
          </w:tcPr>
          <w:p w14:paraId="7075AC3E" w14:textId="77777777" w:rsidR="00CA0AC0" w:rsidRPr="00EC4BA6" w:rsidRDefault="00CA0AC0" w:rsidP="008F3B9D">
            <w:pPr>
              <w:spacing w:before="0" w:after="0" w:line="240" w:lineRule="auto"/>
              <w:jc w:val="right"/>
              <w:rPr>
                <w:rFonts w:ascii="Arial" w:hAnsi="Arial" w:cs="Arial"/>
                <w:b/>
                <w:sz w:val="16"/>
                <w:szCs w:val="16"/>
              </w:rPr>
            </w:pPr>
            <w:r w:rsidRPr="00EC4BA6">
              <w:rPr>
                <w:rFonts w:ascii="Arial" w:hAnsi="Arial" w:cs="Arial"/>
                <w:b/>
                <w:sz w:val="16"/>
                <w:szCs w:val="16"/>
              </w:rPr>
              <w:t xml:space="preserve">       9,066 </w:t>
            </w:r>
          </w:p>
        </w:tc>
        <w:tc>
          <w:tcPr>
            <w:tcW w:w="489" w:type="pct"/>
            <w:tcBorders>
              <w:top w:val="single" w:sz="4" w:space="0" w:color="293F5B"/>
              <w:left w:val="nil"/>
              <w:bottom w:val="single" w:sz="4" w:space="0" w:color="293F5B"/>
              <w:right w:val="nil"/>
            </w:tcBorders>
            <w:shd w:val="clear" w:color="auto" w:fill="auto"/>
            <w:vAlign w:val="center"/>
            <w:hideMark/>
          </w:tcPr>
          <w:p w14:paraId="6D5DB21E" w14:textId="77777777" w:rsidR="00CA0AC0" w:rsidRPr="00EC4BA6" w:rsidRDefault="00CA0AC0" w:rsidP="008F3B9D">
            <w:pPr>
              <w:spacing w:before="0" w:after="0" w:line="240" w:lineRule="auto"/>
              <w:jc w:val="right"/>
              <w:rPr>
                <w:rFonts w:ascii="Arial" w:hAnsi="Arial" w:cs="Arial"/>
                <w:b/>
                <w:sz w:val="16"/>
                <w:szCs w:val="16"/>
              </w:rPr>
            </w:pPr>
            <w:r w:rsidRPr="00EC4BA6">
              <w:rPr>
                <w:rFonts w:ascii="Arial" w:hAnsi="Arial" w:cs="Arial"/>
                <w:b/>
                <w:sz w:val="16"/>
                <w:szCs w:val="16"/>
              </w:rPr>
              <w:t xml:space="preserve">       3,376 </w:t>
            </w:r>
          </w:p>
        </w:tc>
        <w:tc>
          <w:tcPr>
            <w:tcW w:w="489" w:type="pct"/>
            <w:tcBorders>
              <w:top w:val="single" w:sz="4" w:space="0" w:color="293F5B"/>
              <w:left w:val="nil"/>
              <w:bottom w:val="single" w:sz="4" w:space="0" w:color="293F5B"/>
              <w:right w:val="nil"/>
            </w:tcBorders>
            <w:shd w:val="clear" w:color="auto" w:fill="auto"/>
            <w:vAlign w:val="center"/>
            <w:hideMark/>
          </w:tcPr>
          <w:p w14:paraId="3E8722CF" w14:textId="77777777" w:rsidR="00CA0AC0" w:rsidRPr="00EC4BA6" w:rsidRDefault="00CA0AC0" w:rsidP="008F3B9D">
            <w:pPr>
              <w:spacing w:before="0" w:after="0" w:line="240" w:lineRule="auto"/>
              <w:jc w:val="right"/>
              <w:rPr>
                <w:rFonts w:ascii="Arial" w:hAnsi="Arial" w:cs="Arial"/>
                <w:b/>
                <w:sz w:val="16"/>
                <w:szCs w:val="16"/>
              </w:rPr>
            </w:pPr>
            <w:r w:rsidRPr="00EC4BA6">
              <w:rPr>
                <w:rFonts w:ascii="Arial" w:hAnsi="Arial" w:cs="Arial"/>
                <w:b/>
                <w:sz w:val="16"/>
                <w:szCs w:val="16"/>
              </w:rPr>
              <w:t xml:space="preserve">       2,267 </w:t>
            </w:r>
          </w:p>
        </w:tc>
        <w:tc>
          <w:tcPr>
            <w:tcW w:w="489" w:type="pct"/>
            <w:tcBorders>
              <w:top w:val="single" w:sz="4" w:space="0" w:color="293F5B"/>
              <w:left w:val="nil"/>
              <w:bottom w:val="single" w:sz="4" w:space="0" w:color="293F5B"/>
              <w:right w:val="nil"/>
            </w:tcBorders>
            <w:shd w:val="clear" w:color="auto" w:fill="auto"/>
            <w:vAlign w:val="center"/>
            <w:hideMark/>
          </w:tcPr>
          <w:p w14:paraId="614F270E" w14:textId="77777777" w:rsidR="00CA0AC0" w:rsidRPr="00EC4BA6" w:rsidRDefault="00CA0AC0" w:rsidP="008F3B9D">
            <w:pPr>
              <w:spacing w:before="0" w:after="0" w:line="240" w:lineRule="auto"/>
              <w:jc w:val="right"/>
              <w:rPr>
                <w:rFonts w:ascii="Arial" w:hAnsi="Arial" w:cs="Arial"/>
                <w:b/>
                <w:sz w:val="16"/>
                <w:szCs w:val="16"/>
              </w:rPr>
            </w:pPr>
            <w:r w:rsidRPr="00EC4BA6">
              <w:rPr>
                <w:rFonts w:ascii="Arial" w:hAnsi="Arial" w:cs="Arial"/>
                <w:b/>
                <w:sz w:val="16"/>
                <w:szCs w:val="16"/>
              </w:rPr>
              <w:t xml:space="preserve"> * </w:t>
            </w:r>
          </w:p>
        </w:tc>
        <w:tc>
          <w:tcPr>
            <w:tcW w:w="56" w:type="pct"/>
            <w:tcBorders>
              <w:top w:val="nil"/>
              <w:left w:val="nil"/>
              <w:bottom w:val="nil"/>
              <w:right w:val="nil"/>
            </w:tcBorders>
            <w:shd w:val="clear" w:color="auto" w:fill="auto"/>
            <w:vAlign w:val="center"/>
            <w:hideMark/>
          </w:tcPr>
          <w:p w14:paraId="349A2558" w14:textId="77777777" w:rsidR="00CA0AC0" w:rsidRPr="00EC4BA6" w:rsidRDefault="00CA0AC0" w:rsidP="008F3B9D">
            <w:pPr>
              <w:spacing w:before="0" w:after="0" w:line="240" w:lineRule="auto"/>
              <w:jc w:val="right"/>
              <w:rPr>
                <w:rFonts w:ascii="Arial" w:hAnsi="Arial" w:cs="Arial"/>
                <w:b/>
                <w:sz w:val="16"/>
                <w:szCs w:val="16"/>
              </w:rPr>
            </w:pPr>
          </w:p>
        </w:tc>
        <w:tc>
          <w:tcPr>
            <w:tcW w:w="575" w:type="pct"/>
            <w:tcBorders>
              <w:top w:val="nil"/>
              <w:left w:val="nil"/>
              <w:bottom w:val="single" w:sz="4" w:space="0" w:color="000000"/>
              <w:right w:val="nil"/>
            </w:tcBorders>
            <w:shd w:val="clear" w:color="auto" w:fill="auto"/>
            <w:vAlign w:val="center"/>
            <w:hideMark/>
          </w:tcPr>
          <w:p w14:paraId="189771F8" w14:textId="77777777" w:rsidR="00CA0AC0" w:rsidRPr="00EC4BA6" w:rsidRDefault="00CA0AC0" w:rsidP="008F3B9D">
            <w:pPr>
              <w:spacing w:before="0" w:after="0" w:line="240" w:lineRule="auto"/>
              <w:jc w:val="right"/>
              <w:rPr>
                <w:rFonts w:ascii="Arial" w:hAnsi="Arial" w:cs="Arial"/>
                <w:b/>
                <w:sz w:val="16"/>
                <w:szCs w:val="16"/>
              </w:rPr>
            </w:pPr>
            <w:r w:rsidRPr="00EC4BA6">
              <w:rPr>
                <w:rFonts w:ascii="Arial" w:hAnsi="Arial" w:cs="Arial"/>
                <w:b/>
                <w:sz w:val="16"/>
                <w:szCs w:val="16"/>
              </w:rPr>
              <w:t xml:space="preserve"> * </w:t>
            </w:r>
          </w:p>
        </w:tc>
      </w:tr>
      <w:tr w:rsidR="00CA0AC0" w:rsidRPr="00EC4BA6" w14:paraId="0E942004" w14:textId="77777777" w:rsidTr="00CA0AC0">
        <w:trPr>
          <w:divId w:val="620189783"/>
          <w:trHeight w:hRule="exact" w:val="225"/>
        </w:trPr>
        <w:tc>
          <w:tcPr>
            <w:tcW w:w="1924" w:type="pct"/>
            <w:tcBorders>
              <w:top w:val="nil"/>
              <w:left w:val="nil"/>
              <w:bottom w:val="nil"/>
              <w:right w:val="nil"/>
            </w:tcBorders>
            <w:shd w:val="clear" w:color="auto" w:fill="auto"/>
            <w:vAlign w:val="center"/>
            <w:hideMark/>
          </w:tcPr>
          <w:p w14:paraId="516AFD4D" w14:textId="4857A2C8" w:rsidR="00CA0AC0" w:rsidRPr="00EC4BA6" w:rsidRDefault="00CA0AC0" w:rsidP="008F3B9D">
            <w:pPr>
              <w:spacing w:before="0" w:after="0" w:line="240" w:lineRule="auto"/>
              <w:rPr>
                <w:rFonts w:ascii="Arial" w:hAnsi="Arial" w:cs="Arial"/>
                <w:b/>
                <w:sz w:val="16"/>
                <w:szCs w:val="16"/>
              </w:rPr>
            </w:pPr>
            <w:r w:rsidRPr="00EC4BA6">
              <w:rPr>
                <w:rFonts w:ascii="Arial" w:hAnsi="Arial" w:cs="Arial"/>
                <w:b/>
                <w:sz w:val="16"/>
                <w:szCs w:val="16"/>
              </w:rPr>
              <w:t xml:space="preserve">Receipts </w:t>
            </w:r>
            <w:proofErr w:type="gramStart"/>
            <w:r w:rsidRPr="00EC4BA6">
              <w:rPr>
                <w:rFonts w:ascii="Arial" w:hAnsi="Arial" w:cs="Arial"/>
                <w:b/>
                <w:sz w:val="16"/>
                <w:szCs w:val="16"/>
              </w:rPr>
              <w:t>at</w:t>
            </w:r>
            <w:proofErr w:type="gramEnd"/>
            <w:r w:rsidRPr="00EC4BA6">
              <w:rPr>
                <w:rFonts w:ascii="Arial" w:hAnsi="Arial" w:cs="Arial"/>
                <w:b/>
                <w:sz w:val="16"/>
                <w:szCs w:val="16"/>
              </w:rPr>
              <w:t xml:space="preserve"> 2024</w:t>
            </w:r>
            <w:r w:rsidR="001A3DD6">
              <w:rPr>
                <w:rFonts w:ascii="Arial" w:hAnsi="Arial" w:cs="Arial"/>
                <w:b/>
                <w:sz w:val="16"/>
                <w:szCs w:val="16"/>
              </w:rPr>
              <w:noBreakHyphen/>
            </w:r>
            <w:r w:rsidRPr="00EC4BA6">
              <w:rPr>
                <w:rFonts w:ascii="Arial" w:hAnsi="Arial" w:cs="Arial"/>
                <w:b/>
                <w:sz w:val="16"/>
                <w:szCs w:val="16"/>
              </w:rPr>
              <w:t>25 MYEFO</w:t>
            </w:r>
          </w:p>
        </w:tc>
        <w:tc>
          <w:tcPr>
            <w:tcW w:w="489" w:type="pct"/>
            <w:tcBorders>
              <w:top w:val="nil"/>
              <w:left w:val="nil"/>
              <w:bottom w:val="nil"/>
              <w:right w:val="nil"/>
            </w:tcBorders>
            <w:shd w:val="clear" w:color="auto" w:fill="auto"/>
            <w:vAlign w:val="center"/>
            <w:hideMark/>
          </w:tcPr>
          <w:p w14:paraId="108461B8" w14:textId="77777777" w:rsidR="00CA0AC0" w:rsidRPr="00EC4BA6" w:rsidRDefault="00CA0AC0" w:rsidP="008F3B9D">
            <w:pPr>
              <w:spacing w:before="0" w:after="0" w:line="240" w:lineRule="auto"/>
              <w:jc w:val="right"/>
              <w:rPr>
                <w:rFonts w:ascii="Arial" w:hAnsi="Arial" w:cs="Arial"/>
                <w:b/>
                <w:sz w:val="16"/>
                <w:szCs w:val="16"/>
              </w:rPr>
            </w:pPr>
            <w:r w:rsidRPr="00EC4BA6">
              <w:rPr>
                <w:rFonts w:ascii="Arial" w:hAnsi="Arial" w:cs="Arial"/>
                <w:b/>
                <w:sz w:val="16"/>
                <w:szCs w:val="16"/>
              </w:rPr>
              <w:t xml:space="preserve">  704,184 </w:t>
            </w:r>
          </w:p>
        </w:tc>
        <w:tc>
          <w:tcPr>
            <w:tcW w:w="489" w:type="pct"/>
            <w:tcBorders>
              <w:top w:val="nil"/>
              <w:left w:val="nil"/>
              <w:bottom w:val="nil"/>
              <w:right w:val="nil"/>
            </w:tcBorders>
            <w:shd w:val="clear" w:color="000000" w:fill="E6F2FF"/>
            <w:vAlign w:val="center"/>
            <w:hideMark/>
          </w:tcPr>
          <w:p w14:paraId="41A59527" w14:textId="77777777" w:rsidR="00CA0AC0" w:rsidRPr="00EC4BA6" w:rsidRDefault="00CA0AC0" w:rsidP="008F3B9D">
            <w:pPr>
              <w:spacing w:before="0" w:after="0" w:line="240" w:lineRule="auto"/>
              <w:jc w:val="right"/>
              <w:rPr>
                <w:rFonts w:ascii="Arial" w:hAnsi="Arial" w:cs="Arial"/>
                <w:b/>
                <w:sz w:val="16"/>
                <w:szCs w:val="16"/>
              </w:rPr>
            </w:pPr>
            <w:r w:rsidRPr="00EC4BA6">
              <w:rPr>
                <w:rFonts w:ascii="Arial" w:hAnsi="Arial" w:cs="Arial"/>
                <w:b/>
                <w:sz w:val="16"/>
                <w:szCs w:val="16"/>
              </w:rPr>
              <w:t xml:space="preserve">  728,419 </w:t>
            </w:r>
          </w:p>
        </w:tc>
        <w:tc>
          <w:tcPr>
            <w:tcW w:w="489" w:type="pct"/>
            <w:tcBorders>
              <w:top w:val="nil"/>
              <w:left w:val="nil"/>
              <w:bottom w:val="nil"/>
              <w:right w:val="nil"/>
            </w:tcBorders>
            <w:shd w:val="clear" w:color="auto" w:fill="auto"/>
            <w:vAlign w:val="center"/>
            <w:hideMark/>
          </w:tcPr>
          <w:p w14:paraId="0857D3AF" w14:textId="77777777" w:rsidR="00CA0AC0" w:rsidRPr="00EC4BA6" w:rsidRDefault="00CA0AC0" w:rsidP="008F3B9D">
            <w:pPr>
              <w:spacing w:before="0" w:after="0" w:line="240" w:lineRule="auto"/>
              <w:jc w:val="right"/>
              <w:rPr>
                <w:rFonts w:ascii="Arial" w:hAnsi="Arial" w:cs="Arial"/>
                <w:b/>
                <w:sz w:val="16"/>
                <w:szCs w:val="16"/>
              </w:rPr>
            </w:pPr>
            <w:r w:rsidRPr="00EC4BA6">
              <w:rPr>
                <w:rFonts w:ascii="Arial" w:hAnsi="Arial" w:cs="Arial"/>
                <w:b/>
                <w:sz w:val="16"/>
                <w:szCs w:val="16"/>
              </w:rPr>
              <w:t xml:space="preserve">  763,386 </w:t>
            </w:r>
          </w:p>
        </w:tc>
        <w:tc>
          <w:tcPr>
            <w:tcW w:w="489" w:type="pct"/>
            <w:tcBorders>
              <w:top w:val="nil"/>
              <w:left w:val="nil"/>
              <w:bottom w:val="nil"/>
              <w:right w:val="nil"/>
            </w:tcBorders>
            <w:shd w:val="clear" w:color="auto" w:fill="auto"/>
            <w:vAlign w:val="center"/>
            <w:hideMark/>
          </w:tcPr>
          <w:p w14:paraId="2C60A43C" w14:textId="77777777" w:rsidR="00CA0AC0" w:rsidRPr="00EC4BA6" w:rsidRDefault="00CA0AC0" w:rsidP="008F3B9D">
            <w:pPr>
              <w:spacing w:before="0" w:after="0" w:line="240" w:lineRule="auto"/>
              <w:jc w:val="right"/>
              <w:rPr>
                <w:rFonts w:ascii="Arial" w:hAnsi="Arial" w:cs="Arial"/>
                <w:b/>
                <w:sz w:val="16"/>
                <w:szCs w:val="16"/>
              </w:rPr>
            </w:pPr>
            <w:r w:rsidRPr="00EC4BA6">
              <w:rPr>
                <w:rFonts w:ascii="Arial" w:hAnsi="Arial" w:cs="Arial"/>
                <w:b/>
                <w:sz w:val="16"/>
                <w:szCs w:val="16"/>
              </w:rPr>
              <w:t xml:space="preserve">  804,078 </w:t>
            </w:r>
          </w:p>
        </w:tc>
        <w:tc>
          <w:tcPr>
            <w:tcW w:w="489" w:type="pct"/>
            <w:tcBorders>
              <w:top w:val="nil"/>
              <w:left w:val="nil"/>
              <w:bottom w:val="nil"/>
              <w:right w:val="nil"/>
            </w:tcBorders>
            <w:shd w:val="clear" w:color="auto" w:fill="auto"/>
            <w:vAlign w:val="center"/>
            <w:hideMark/>
          </w:tcPr>
          <w:p w14:paraId="12896C77" w14:textId="77777777" w:rsidR="00CA0AC0" w:rsidRPr="00EC4BA6" w:rsidRDefault="00CA0AC0" w:rsidP="008F3B9D">
            <w:pPr>
              <w:spacing w:before="0" w:after="0" w:line="240" w:lineRule="auto"/>
              <w:jc w:val="right"/>
              <w:rPr>
                <w:rFonts w:ascii="Arial" w:hAnsi="Arial" w:cs="Arial"/>
                <w:b/>
                <w:sz w:val="16"/>
                <w:szCs w:val="16"/>
              </w:rPr>
            </w:pPr>
            <w:r w:rsidRPr="00EC4BA6">
              <w:rPr>
                <w:rFonts w:ascii="Arial" w:hAnsi="Arial" w:cs="Arial"/>
                <w:b/>
                <w:sz w:val="16"/>
                <w:szCs w:val="16"/>
              </w:rPr>
              <w:t xml:space="preserve">  849,179 </w:t>
            </w:r>
          </w:p>
        </w:tc>
        <w:tc>
          <w:tcPr>
            <w:tcW w:w="56" w:type="pct"/>
            <w:tcBorders>
              <w:top w:val="nil"/>
              <w:left w:val="nil"/>
              <w:bottom w:val="nil"/>
              <w:right w:val="nil"/>
            </w:tcBorders>
            <w:shd w:val="clear" w:color="auto" w:fill="auto"/>
            <w:vAlign w:val="center"/>
            <w:hideMark/>
          </w:tcPr>
          <w:p w14:paraId="3D12BC77" w14:textId="77777777" w:rsidR="00CA0AC0" w:rsidRPr="00EC4BA6" w:rsidRDefault="00CA0AC0" w:rsidP="008F3B9D">
            <w:pPr>
              <w:spacing w:before="0" w:after="0" w:line="240" w:lineRule="auto"/>
              <w:jc w:val="right"/>
              <w:rPr>
                <w:rFonts w:ascii="Arial" w:hAnsi="Arial" w:cs="Arial"/>
                <w:b/>
                <w:sz w:val="16"/>
                <w:szCs w:val="16"/>
              </w:rPr>
            </w:pPr>
          </w:p>
        </w:tc>
        <w:tc>
          <w:tcPr>
            <w:tcW w:w="575" w:type="pct"/>
            <w:tcBorders>
              <w:top w:val="nil"/>
              <w:left w:val="nil"/>
              <w:bottom w:val="nil"/>
              <w:right w:val="nil"/>
            </w:tcBorders>
            <w:shd w:val="clear" w:color="auto" w:fill="auto"/>
            <w:vAlign w:val="center"/>
            <w:hideMark/>
          </w:tcPr>
          <w:p w14:paraId="12D4F3A8" w14:textId="77777777" w:rsidR="00CA0AC0" w:rsidRPr="00EC4BA6" w:rsidRDefault="00CA0AC0" w:rsidP="008F3B9D">
            <w:pPr>
              <w:spacing w:before="0" w:after="0" w:line="240" w:lineRule="auto"/>
              <w:jc w:val="right"/>
              <w:rPr>
                <w:rFonts w:ascii="Arial" w:hAnsi="Arial" w:cs="Arial"/>
                <w:b/>
                <w:sz w:val="16"/>
                <w:szCs w:val="16"/>
              </w:rPr>
            </w:pPr>
            <w:r w:rsidRPr="00EC4BA6">
              <w:rPr>
                <w:rFonts w:ascii="Arial" w:hAnsi="Arial" w:cs="Arial"/>
                <w:b/>
                <w:sz w:val="16"/>
                <w:szCs w:val="16"/>
              </w:rPr>
              <w:t xml:space="preserve">   3,849,247 </w:t>
            </w:r>
          </w:p>
        </w:tc>
      </w:tr>
      <w:tr w:rsidR="00CA0AC0" w:rsidRPr="00EC4BA6" w14:paraId="0EBDA704" w14:textId="77777777" w:rsidTr="00CA0AC0">
        <w:trPr>
          <w:divId w:val="620189783"/>
          <w:trHeight w:hRule="exact" w:val="60"/>
        </w:trPr>
        <w:tc>
          <w:tcPr>
            <w:tcW w:w="1924" w:type="pct"/>
            <w:tcBorders>
              <w:top w:val="nil"/>
              <w:left w:val="nil"/>
              <w:bottom w:val="nil"/>
              <w:right w:val="nil"/>
            </w:tcBorders>
            <w:shd w:val="clear" w:color="auto" w:fill="auto"/>
            <w:vAlign w:val="center"/>
            <w:hideMark/>
          </w:tcPr>
          <w:p w14:paraId="639D04D4" w14:textId="77777777" w:rsidR="00CA0AC0" w:rsidRPr="00EC4BA6" w:rsidRDefault="00CA0AC0" w:rsidP="008F3B9D">
            <w:pPr>
              <w:spacing w:before="0" w:after="0" w:line="240" w:lineRule="auto"/>
              <w:jc w:val="right"/>
              <w:rPr>
                <w:rFonts w:ascii="Arial" w:hAnsi="Arial" w:cs="Arial"/>
                <w:b/>
                <w:sz w:val="16"/>
                <w:szCs w:val="16"/>
              </w:rPr>
            </w:pPr>
          </w:p>
        </w:tc>
        <w:tc>
          <w:tcPr>
            <w:tcW w:w="489" w:type="pct"/>
            <w:tcBorders>
              <w:top w:val="nil"/>
              <w:left w:val="nil"/>
              <w:bottom w:val="nil"/>
              <w:right w:val="nil"/>
            </w:tcBorders>
            <w:shd w:val="clear" w:color="auto" w:fill="auto"/>
            <w:noWrap/>
            <w:vAlign w:val="bottom"/>
            <w:hideMark/>
          </w:tcPr>
          <w:p w14:paraId="19CF2EE1" w14:textId="77777777" w:rsidR="00CA0AC0" w:rsidRPr="00EC4BA6" w:rsidRDefault="00CA0AC0" w:rsidP="008F3B9D">
            <w:pPr>
              <w:spacing w:before="0" w:after="0" w:line="240" w:lineRule="auto"/>
              <w:jc w:val="right"/>
              <w:rPr>
                <w:rFonts w:ascii="Times New Roman" w:hAnsi="Times New Roman"/>
                <w:sz w:val="20"/>
              </w:rPr>
            </w:pPr>
          </w:p>
        </w:tc>
        <w:tc>
          <w:tcPr>
            <w:tcW w:w="489" w:type="pct"/>
            <w:tcBorders>
              <w:top w:val="nil"/>
              <w:left w:val="nil"/>
              <w:bottom w:val="nil"/>
              <w:right w:val="nil"/>
            </w:tcBorders>
            <w:shd w:val="clear" w:color="000000" w:fill="E6F2FF"/>
            <w:noWrap/>
            <w:vAlign w:val="bottom"/>
            <w:hideMark/>
          </w:tcPr>
          <w:p w14:paraId="3C463CDD" w14:textId="77777777" w:rsidR="00CA0AC0" w:rsidRPr="00EC4BA6" w:rsidRDefault="00CA0AC0" w:rsidP="008F3B9D">
            <w:pPr>
              <w:spacing w:before="0" w:after="0" w:line="240" w:lineRule="auto"/>
              <w:rPr>
                <w:rFonts w:ascii="Arial" w:hAnsi="Arial" w:cs="Arial"/>
                <w:sz w:val="16"/>
                <w:szCs w:val="16"/>
              </w:rPr>
            </w:pPr>
            <w:r w:rsidRPr="00EC4BA6">
              <w:rPr>
                <w:rFonts w:ascii="Arial" w:hAnsi="Arial" w:cs="Arial"/>
                <w:sz w:val="16"/>
                <w:szCs w:val="16"/>
              </w:rPr>
              <w:t> </w:t>
            </w:r>
          </w:p>
        </w:tc>
        <w:tc>
          <w:tcPr>
            <w:tcW w:w="489" w:type="pct"/>
            <w:tcBorders>
              <w:top w:val="nil"/>
              <w:left w:val="nil"/>
              <w:bottom w:val="nil"/>
              <w:right w:val="nil"/>
            </w:tcBorders>
            <w:shd w:val="clear" w:color="auto" w:fill="auto"/>
            <w:noWrap/>
            <w:vAlign w:val="bottom"/>
            <w:hideMark/>
          </w:tcPr>
          <w:p w14:paraId="6D99BCEE" w14:textId="77777777" w:rsidR="00CA0AC0" w:rsidRPr="00EC4BA6" w:rsidRDefault="00CA0AC0" w:rsidP="008F3B9D">
            <w:pPr>
              <w:spacing w:before="0" w:after="0" w:line="240" w:lineRule="auto"/>
              <w:rPr>
                <w:rFonts w:ascii="Arial" w:hAnsi="Arial" w:cs="Arial"/>
                <w:sz w:val="16"/>
                <w:szCs w:val="16"/>
              </w:rPr>
            </w:pPr>
          </w:p>
        </w:tc>
        <w:tc>
          <w:tcPr>
            <w:tcW w:w="489" w:type="pct"/>
            <w:tcBorders>
              <w:top w:val="nil"/>
              <w:left w:val="nil"/>
              <w:bottom w:val="nil"/>
              <w:right w:val="nil"/>
            </w:tcBorders>
            <w:shd w:val="clear" w:color="auto" w:fill="auto"/>
            <w:noWrap/>
            <w:vAlign w:val="bottom"/>
            <w:hideMark/>
          </w:tcPr>
          <w:p w14:paraId="3DF1DDB6" w14:textId="77777777" w:rsidR="00CA0AC0" w:rsidRPr="00EC4BA6" w:rsidRDefault="00CA0AC0" w:rsidP="008F3B9D">
            <w:pPr>
              <w:spacing w:before="0" w:after="0" w:line="240" w:lineRule="auto"/>
              <w:rPr>
                <w:rFonts w:ascii="Times New Roman" w:hAnsi="Times New Roman"/>
                <w:sz w:val="20"/>
              </w:rPr>
            </w:pPr>
          </w:p>
        </w:tc>
        <w:tc>
          <w:tcPr>
            <w:tcW w:w="489" w:type="pct"/>
            <w:tcBorders>
              <w:top w:val="nil"/>
              <w:left w:val="nil"/>
              <w:bottom w:val="nil"/>
              <w:right w:val="nil"/>
            </w:tcBorders>
            <w:shd w:val="clear" w:color="auto" w:fill="auto"/>
            <w:noWrap/>
            <w:vAlign w:val="bottom"/>
            <w:hideMark/>
          </w:tcPr>
          <w:p w14:paraId="02D374A6" w14:textId="77777777" w:rsidR="00CA0AC0" w:rsidRPr="00EC4BA6" w:rsidRDefault="00CA0AC0" w:rsidP="008F3B9D">
            <w:pPr>
              <w:spacing w:before="0" w:after="0" w:line="240" w:lineRule="auto"/>
              <w:rPr>
                <w:rFonts w:ascii="Times New Roman" w:hAnsi="Times New Roman"/>
                <w:sz w:val="20"/>
              </w:rPr>
            </w:pPr>
          </w:p>
        </w:tc>
        <w:tc>
          <w:tcPr>
            <w:tcW w:w="56" w:type="pct"/>
            <w:tcBorders>
              <w:top w:val="nil"/>
              <w:left w:val="nil"/>
              <w:bottom w:val="nil"/>
              <w:right w:val="nil"/>
            </w:tcBorders>
            <w:shd w:val="clear" w:color="auto" w:fill="auto"/>
            <w:noWrap/>
            <w:vAlign w:val="bottom"/>
            <w:hideMark/>
          </w:tcPr>
          <w:p w14:paraId="052EBC81" w14:textId="77777777" w:rsidR="00CA0AC0" w:rsidRPr="00EC4BA6" w:rsidRDefault="00CA0AC0" w:rsidP="008F3B9D">
            <w:pPr>
              <w:spacing w:before="0" w:after="0" w:line="240" w:lineRule="auto"/>
              <w:rPr>
                <w:rFonts w:ascii="Times New Roman" w:hAnsi="Times New Roman"/>
                <w:sz w:val="20"/>
              </w:rPr>
            </w:pPr>
          </w:p>
        </w:tc>
        <w:tc>
          <w:tcPr>
            <w:tcW w:w="575" w:type="pct"/>
            <w:tcBorders>
              <w:top w:val="nil"/>
              <w:left w:val="nil"/>
              <w:bottom w:val="nil"/>
              <w:right w:val="nil"/>
            </w:tcBorders>
            <w:shd w:val="clear" w:color="auto" w:fill="auto"/>
            <w:noWrap/>
            <w:vAlign w:val="bottom"/>
            <w:hideMark/>
          </w:tcPr>
          <w:p w14:paraId="6D025D2E" w14:textId="77777777" w:rsidR="00CA0AC0" w:rsidRPr="00EC4BA6" w:rsidRDefault="00CA0AC0" w:rsidP="008F3B9D">
            <w:pPr>
              <w:spacing w:before="0" w:after="0" w:line="240" w:lineRule="auto"/>
              <w:rPr>
                <w:rFonts w:ascii="Times New Roman" w:hAnsi="Times New Roman"/>
                <w:sz w:val="20"/>
              </w:rPr>
            </w:pPr>
          </w:p>
        </w:tc>
      </w:tr>
      <w:tr w:rsidR="00CA0AC0" w:rsidRPr="00EC4BA6" w14:paraId="5D9A9A76" w14:textId="77777777" w:rsidTr="00CA0AC0">
        <w:trPr>
          <w:divId w:val="620189783"/>
          <w:trHeight w:hRule="exact" w:val="225"/>
        </w:trPr>
        <w:tc>
          <w:tcPr>
            <w:tcW w:w="1924" w:type="pct"/>
            <w:tcBorders>
              <w:top w:val="nil"/>
              <w:left w:val="nil"/>
              <w:bottom w:val="nil"/>
              <w:right w:val="nil"/>
            </w:tcBorders>
            <w:shd w:val="clear" w:color="auto" w:fill="auto"/>
            <w:vAlign w:val="center"/>
            <w:hideMark/>
          </w:tcPr>
          <w:p w14:paraId="1CBCEBA5" w14:textId="342DDFB2" w:rsidR="00CA0AC0" w:rsidRPr="00EC4BA6" w:rsidRDefault="00CA0AC0" w:rsidP="008F3B9D">
            <w:pPr>
              <w:spacing w:before="0" w:after="0" w:line="240" w:lineRule="auto"/>
              <w:rPr>
                <w:rFonts w:ascii="Arial" w:hAnsi="Arial" w:cs="Arial"/>
                <w:b/>
                <w:sz w:val="16"/>
                <w:szCs w:val="16"/>
              </w:rPr>
            </w:pPr>
            <w:r w:rsidRPr="00EC4BA6">
              <w:rPr>
                <w:rFonts w:ascii="Arial" w:hAnsi="Arial" w:cs="Arial"/>
                <w:b/>
                <w:sz w:val="16"/>
                <w:szCs w:val="16"/>
              </w:rPr>
              <w:t>Changes from 2024</w:t>
            </w:r>
            <w:r w:rsidR="001A3DD6">
              <w:rPr>
                <w:rFonts w:ascii="Arial" w:hAnsi="Arial" w:cs="Arial"/>
                <w:b/>
                <w:sz w:val="16"/>
                <w:szCs w:val="16"/>
              </w:rPr>
              <w:noBreakHyphen/>
            </w:r>
            <w:r w:rsidRPr="00EC4BA6">
              <w:rPr>
                <w:rFonts w:ascii="Arial" w:hAnsi="Arial" w:cs="Arial"/>
                <w:b/>
                <w:sz w:val="16"/>
                <w:szCs w:val="16"/>
              </w:rPr>
              <w:t>25 MYEFO</w:t>
            </w:r>
          </w:p>
        </w:tc>
        <w:tc>
          <w:tcPr>
            <w:tcW w:w="489" w:type="pct"/>
            <w:tcBorders>
              <w:top w:val="nil"/>
              <w:left w:val="nil"/>
              <w:bottom w:val="nil"/>
              <w:right w:val="nil"/>
            </w:tcBorders>
            <w:shd w:val="clear" w:color="auto" w:fill="auto"/>
            <w:noWrap/>
            <w:vAlign w:val="bottom"/>
            <w:hideMark/>
          </w:tcPr>
          <w:p w14:paraId="16A8CC58" w14:textId="77777777" w:rsidR="00CA0AC0" w:rsidRPr="00EC4BA6" w:rsidRDefault="00CA0AC0" w:rsidP="008F3B9D">
            <w:pPr>
              <w:spacing w:before="0" w:after="0" w:line="240" w:lineRule="auto"/>
              <w:rPr>
                <w:rFonts w:ascii="Arial" w:hAnsi="Arial" w:cs="Arial"/>
                <w:b/>
                <w:sz w:val="16"/>
                <w:szCs w:val="16"/>
              </w:rPr>
            </w:pPr>
          </w:p>
        </w:tc>
        <w:tc>
          <w:tcPr>
            <w:tcW w:w="489" w:type="pct"/>
            <w:tcBorders>
              <w:top w:val="nil"/>
              <w:left w:val="nil"/>
              <w:bottom w:val="nil"/>
              <w:right w:val="nil"/>
            </w:tcBorders>
            <w:shd w:val="clear" w:color="000000" w:fill="E6F2FF"/>
            <w:noWrap/>
            <w:vAlign w:val="bottom"/>
            <w:hideMark/>
          </w:tcPr>
          <w:p w14:paraId="64B416AC" w14:textId="77777777" w:rsidR="00CA0AC0" w:rsidRPr="00EC4BA6" w:rsidRDefault="00CA0AC0" w:rsidP="008F3B9D">
            <w:pPr>
              <w:spacing w:before="0" w:after="0" w:line="240" w:lineRule="auto"/>
              <w:rPr>
                <w:rFonts w:ascii="Arial" w:hAnsi="Arial" w:cs="Arial"/>
                <w:sz w:val="16"/>
                <w:szCs w:val="16"/>
              </w:rPr>
            </w:pPr>
            <w:r w:rsidRPr="00EC4BA6">
              <w:rPr>
                <w:rFonts w:ascii="Arial" w:hAnsi="Arial" w:cs="Arial"/>
                <w:sz w:val="16"/>
                <w:szCs w:val="16"/>
              </w:rPr>
              <w:t> </w:t>
            </w:r>
          </w:p>
        </w:tc>
        <w:tc>
          <w:tcPr>
            <w:tcW w:w="489" w:type="pct"/>
            <w:tcBorders>
              <w:top w:val="nil"/>
              <w:left w:val="nil"/>
              <w:bottom w:val="nil"/>
              <w:right w:val="nil"/>
            </w:tcBorders>
            <w:shd w:val="clear" w:color="auto" w:fill="auto"/>
            <w:noWrap/>
            <w:vAlign w:val="bottom"/>
            <w:hideMark/>
          </w:tcPr>
          <w:p w14:paraId="6BD6A1FE" w14:textId="77777777" w:rsidR="00CA0AC0" w:rsidRPr="00EC4BA6" w:rsidRDefault="00CA0AC0" w:rsidP="008F3B9D">
            <w:pPr>
              <w:spacing w:before="0" w:after="0" w:line="240" w:lineRule="auto"/>
              <w:rPr>
                <w:rFonts w:ascii="Arial" w:hAnsi="Arial" w:cs="Arial"/>
                <w:sz w:val="16"/>
                <w:szCs w:val="16"/>
              </w:rPr>
            </w:pPr>
          </w:p>
        </w:tc>
        <w:tc>
          <w:tcPr>
            <w:tcW w:w="489" w:type="pct"/>
            <w:tcBorders>
              <w:top w:val="nil"/>
              <w:left w:val="nil"/>
              <w:bottom w:val="nil"/>
              <w:right w:val="nil"/>
            </w:tcBorders>
            <w:shd w:val="clear" w:color="auto" w:fill="auto"/>
            <w:noWrap/>
            <w:vAlign w:val="bottom"/>
            <w:hideMark/>
          </w:tcPr>
          <w:p w14:paraId="2411817D" w14:textId="77777777" w:rsidR="00CA0AC0" w:rsidRPr="00EC4BA6" w:rsidRDefault="00CA0AC0" w:rsidP="008F3B9D">
            <w:pPr>
              <w:spacing w:before="0" w:after="0" w:line="240" w:lineRule="auto"/>
              <w:rPr>
                <w:rFonts w:ascii="Times New Roman" w:hAnsi="Times New Roman"/>
                <w:sz w:val="20"/>
              </w:rPr>
            </w:pPr>
          </w:p>
        </w:tc>
        <w:tc>
          <w:tcPr>
            <w:tcW w:w="489" w:type="pct"/>
            <w:tcBorders>
              <w:top w:val="nil"/>
              <w:left w:val="nil"/>
              <w:bottom w:val="nil"/>
              <w:right w:val="nil"/>
            </w:tcBorders>
            <w:shd w:val="clear" w:color="auto" w:fill="auto"/>
            <w:noWrap/>
            <w:vAlign w:val="bottom"/>
            <w:hideMark/>
          </w:tcPr>
          <w:p w14:paraId="4EA167C2" w14:textId="77777777" w:rsidR="00CA0AC0" w:rsidRPr="00EC4BA6" w:rsidRDefault="00CA0AC0" w:rsidP="008F3B9D">
            <w:pPr>
              <w:spacing w:before="0" w:after="0" w:line="240" w:lineRule="auto"/>
              <w:rPr>
                <w:rFonts w:ascii="Times New Roman" w:hAnsi="Times New Roman"/>
                <w:sz w:val="20"/>
              </w:rPr>
            </w:pPr>
          </w:p>
        </w:tc>
        <w:tc>
          <w:tcPr>
            <w:tcW w:w="56" w:type="pct"/>
            <w:tcBorders>
              <w:top w:val="nil"/>
              <w:left w:val="nil"/>
              <w:bottom w:val="nil"/>
              <w:right w:val="nil"/>
            </w:tcBorders>
            <w:shd w:val="clear" w:color="auto" w:fill="auto"/>
            <w:noWrap/>
            <w:vAlign w:val="bottom"/>
            <w:hideMark/>
          </w:tcPr>
          <w:p w14:paraId="21166508" w14:textId="77777777" w:rsidR="00CA0AC0" w:rsidRPr="00EC4BA6" w:rsidRDefault="00CA0AC0" w:rsidP="008F3B9D">
            <w:pPr>
              <w:spacing w:before="0" w:after="0" w:line="240" w:lineRule="auto"/>
              <w:rPr>
                <w:rFonts w:ascii="Times New Roman" w:hAnsi="Times New Roman"/>
                <w:sz w:val="20"/>
              </w:rPr>
            </w:pPr>
          </w:p>
        </w:tc>
        <w:tc>
          <w:tcPr>
            <w:tcW w:w="575" w:type="pct"/>
            <w:tcBorders>
              <w:top w:val="nil"/>
              <w:left w:val="nil"/>
              <w:bottom w:val="nil"/>
              <w:right w:val="nil"/>
            </w:tcBorders>
            <w:shd w:val="clear" w:color="auto" w:fill="auto"/>
            <w:noWrap/>
            <w:vAlign w:val="bottom"/>
            <w:hideMark/>
          </w:tcPr>
          <w:p w14:paraId="732E986E" w14:textId="77777777" w:rsidR="00CA0AC0" w:rsidRPr="00EC4BA6" w:rsidRDefault="00CA0AC0" w:rsidP="008F3B9D">
            <w:pPr>
              <w:spacing w:before="0" w:after="0" w:line="240" w:lineRule="auto"/>
              <w:rPr>
                <w:rFonts w:ascii="Times New Roman" w:hAnsi="Times New Roman"/>
                <w:sz w:val="20"/>
              </w:rPr>
            </w:pPr>
          </w:p>
        </w:tc>
      </w:tr>
      <w:tr w:rsidR="00CA0AC0" w:rsidRPr="00EC4BA6" w14:paraId="6CBC9652" w14:textId="77777777" w:rsidTr="00CA0AC0">
        <w:trPr>
          <w:divId w:val="620189783"/>
          <w:trHeight w:hRule="exact" w:val="225"/>
        </w:trPr>
        <w:tc>
          <w:tcPr>
            <w:tcW w:w="1924" w:type="pct"/>
            <w:tcBorders>
              <w:top w:val="nil"/>
              <w:left w:val="nil"/>
              <w:bottom w:val="nil"/>
              <w:right w:val="nil"/>
            </w:tcBorders>
            <w:shd w:val="clear" w:color="auto" w:fill="auto"/>
            <w:vAlign w:val="center"/>
            <w:hideMark/>
          </w:tcPr>
          <w:p w14:paraId="0F248D4B" w14:textId="0AD664C2" w:rsidR="00CA0AC0" w:rsidRPr="00EC4BA6" w:rsidRDefault="00CA0AC0" w:rsidP="008F3B9D">
            <w:pPr>
              <w:spacing w:before="0" w:after="0" w:line="240" w:lineRule="auto"/>
              <w:ind w:left="170"/>
              <w:rPr>
                <w:rFonts w:ascii="Arial" w:hAnsi="Arial" w:cs="Arial"/>
                <w:b/>
                <w:sz w:val="16"/>
                <w:szCs w:val="16"/>
              </w:rPr>
            </w:pPr>
            <w:r w:rsidRPr="00EC4BA6">
              <w:rPr>
                <w:rFonts w:ascii="Arial" w:hAnsi="Arial" w:cs="Arial"/>
                <w:b/>
                <w:sz w:val="16"/>
                <w:szCs w:val="16"/>
              </w:rPr>
              <w:t>to 2025</w:t>
            </w:r>
            <w:r w:rsidR="001A3DD6">
              <w:rPr>
                <w:rFonts w:ascii="Arial" w:hAnsi="Arial" w:cs="Arial"/>
                <w:b/>
                <w:sz w:val="16"/>
                <w:szCs w:val="16"/>
              </w:rPr>
              <w:noBreakHyphen/>
            </w:r>
            <w:r w:rsidRPr="00EC4BA6">
              <w:rPr>
                <w:rFonts w:ascii="Arial" w:hAnsi="Arial" w:cs="Arial"/>
                <w:b/>
                <w:sz w:val="16"/>
                <w:szCs w:val="16"/>
              </w:rPr>
              <w:t>26 Budget </w:t>
            </w:r>
          </w:p>
        </w:tc>
        <w:tc>
          <w:tcPr>
            <w:tcW w:w="489" w:type="pct"/>
            <w:tcBorders>
              <w:top w:val="nil"/>
              <w:left w:val="nil"/>
              <w:bottom w:val="nil"/>
              <w:right w:val="nil"/>
            </w:tcBorders>
            <w:shd w:val="clear" w:color="auto" w:fill="auto"/>
            <w:noWrap/>
            <w:vAlign w:val="bottom"/>
            <w:hideMark/>
          </w:tcPr>
          <w:p w14:paraId="084D235B" w14:textId="77777777" w:rsidR="00CA0AC0" w:rsidRPr="00EC4BA6" w:rsidRDefault="00CA0AC0" w:rsidP="008F3B9D">
            <w:pPr>
              <w:spacing w:before="0" w:after="0" w:line="240" w:lineRule="auto"/>
              <w:ind w:firstLineChars="100" w:firstLine="161"/>
              <w:rPr>
                <w:rFonts w:ascii="Arial" w:hAnsi="Arial" w:cs="Arial"/>
                <w:b/>
                <w:sz w:val="16"/>
                <w:szCs w:val="16"/>
              </w:rPr>
            </w:pPr>
          </w:p>
        </w:tc>
        <w:tc>
          <w:tcPr>
            <w:tcW w:w="489" w:type="pct"/>
            <w:tcBorders>
              <w:top w:val="nil"/>
              <w:left w:val="nil"/>
              <w:bottom w:val="nil"/>
              <w:right w:val="nil"/>
            </w:tcBorders>
            <w:shd w:val="clear" w:color="000000" w:fill="E6F2FF"/>
            <w:noWrap/>
            <w:vAlign w:val="bottom"/>
            <w:hideMark/>
          </w:tcPr>
          <w:p w14:paraId="12521AE0" w14:textId="77777777" w:rsidR="00CA0AC0" w:rsidRPr="00EC4BA6" w:rsidRDefault="00CA0AC0" w:rsidP="008F3B9D">
            <w:pPr>
              <w:spacing w:before="0" w:after="0" w:line="240" w:lineRule="auto"/>
              <w:rPr>
                <w:rFonts w:ascii="Arial" w:hAnsi="Arial" w:cs="Arial"/>
                <w:sz w:val="16"/>
                <w:szCs w:val="16"/>
              </w:rPr>
            </w:pPr>
            <w:r w:rsidRPr="00EC4BA6">
              <w:rPr>
                <w:rFonts w:ascii="Arial" w:hAnsi="Arial" w:cs="Arial"/>
                <w:sz w:val="16"/>
                <w:szCs w:val="16"/>
              </w:rPr>
              <w:t> </w:t>
            </w:r>
          </w:p>
        </w:tc>
        <w:tc>
          <w:tcPr>
            <w:tcW w:w="489" w:type="pct"/>
            <w:tcBorders>
              <w:top w:val="nil"/>
              <w:left w:val="nil"/>
              <w:bottom w:val="nil"/>
              <w:right w:val="nil"/>
            </w:tcBorders>
            <w:shd w:val="clear" w:color="auto" w:fill="auto"/>
            <w:noWrap/>
            <w:vAlign w:val="bottom"/>
            <w:hideMark/>
          </w:tcPr>
          <w:p w14:paraId="72DDBB6B" w14:textId="77777777" w:rsidR="00CA0AC0" w:rsidRPr="00EC4BA6" w:rsidRDefault="00CA0AC0" w:rsidP="008F3B9D">
            <w:pPr>
              <w:spacing w:before="0" w:after="0" w:line="240" w:lineRule="auto"/>
              <w:rPr>
                <w:rFonts w:ascii="Arial" w:hAnsi="Arial" w:cs="Arial"/>
                <w:sz w:val="16"/>
                <w:szCs w:val="16"/>
              </w:rPr>
            </w:pPr>
          </w:p>
        </w:tc>
        <w:tc>
          <w:tcPr>
            <w:tcW w:w="489" w:type="pct"/>
            <w:tcBorders>
              <w:top w:val="nil"/>
              <w:left w:val="nil"/>
              <w:bottom w:val="nil"/>
              <w:right w:val="nil"/>
            </w:tcBorders>
            <w:shd w:val="clear" w:color="auto" w:fill="auto"/>
            <w:noWrap/>
            <w:vAlign w:val="bottom"/>
            <w:hideMark/>
          </w:tcPr>
          <w:p w14:paraId="3F6BF2FB" w14:textId="77777777" w:rsidR="00CA0AC0" w:rsidRPr="00EC4BA6" w:rsidRDefault="00CA0AC0" w:rsidP="008F3B9D">
            <w:pPr>
              <w:spacing w:before="0" w:after="0" w:line="240" w:lineRule="auto"/>
              <w:rPr>
                <w:rFonts w:ascii="Times New Roman" w:hAnsi="Times New Roman"/>
                <w:sz w:val="20"/>
              </w:rPr>
            </w:pPr>
          </w:p>
        </w:tc>
        <w:tc>
          <w:tcPr>
            <w:tcW w:w="489" w:type="pct"/>
            <w:tcBorders>
              <w:top w:val="nil"/>
              <w:left w:val="nil"/>
              <w:bottom w:val="nil"/>
              <w:right w:val="nil"/>
            </w:tcBorders>
            <w:shd w:val="clear" w:color="auto" w:fill="auto"/>
            <w:noWrap/>
            <w:vAlign w:val="bottom"/>
            <w:hideMark/>
          </w:tcPr>
          <w:p w14:paraId="2B554B72" w14:textId="77777777" w:rsidR="00CA0AC0" w:rsidRPr="00EC4BA6" w:rsidRDefault="00CA0AC0" w:rsidP="008F3B9D">
            <w:pPr>
              <w:spacing w:before="0" w:after="0" w:line="240" w:lineRule="auto"/>
              <w:rPr>
                <w:rFonts w:ascii="Times New Roman" w:hAnsi="Times New Roman"/>
                <w:sz w:val="20"/>
              </w:rPr>
            </w:pPr>
          </w:p>
        </w:tc>
        <w:tc>
          <w:tcPr>
            <w:tcW w:w="56" w:type="pct"/>
            <w:tcBorders>
              <w:top w:val="nil"/>
              <w:left w:val="nil"/>
              <w:bottom w:val="nil"/>
              <w:right w:val="nil"/>
            </w:tcBorders>
            <w:shd w:val="clear" w:color="auto" w:fill="auto"/>
            <w:noWrap/>
            <w:vAlign w:val="bottom"/>
            <w:hideMark/>
          </w:tcPr>
          <w:p w14:paraId="023C1A1A" w14:textId="77777777" w:rsidR="00CA0AC0" w:rsidRPr="00EC4BA6" w:rsidRDefault="00CA0AC0" w:rsidP="008F3B9D">
            <w:pPr>
              <w:spacing w:before="0" w:after="0" w:line="240" w:lineRule="auto"/>
              <w:rPr>
                <w:rFonts w:ascii="Times New Roman" w:hAnsi="Times New Roman"/>
                <w:sz w:val="20"/>
              </w:rPr>
            </w:pPr>
          </w:p>
        </w:tc>
        <w:tc>
          <w:tcPr>
            <w:tcW w:w="575" w:type="pct"/>
            <w:tcBorders>
              <w:top w:val="nil"/>
              <w:left w:val="nil"/>
              <w:bottom w:val="nil"/>
              <w:right w:val="nil"/>
            </w:tcBorders>
            <w:shd w:val="clear" w:color="auto" w:fill="auto"/>
            <w:noWrap/>
            <w:vAlign w:val="bottom"/>
            <w:hideMark/>
          </w:tcPr>
          <w:p w14:paraId="56C20813" w14:textId="77777777" w:rsidR="00CA0AC0" w:rsidRPr="00EC4BA6" w:rsidRDefault="00CA0AC0" w:rsidP="008F3B9D">
            <w:pPr>
              <w:spacing w:before="0" w:after="0" w:line="240" w:lineRule="auto"/>
              <w:rPr>
                <w:rFonts w:ascii="Times New Roman" w:hAnsi="Times New Roman"/>
                <w:sz w:val="20"/>
              </w:rPr>
            </w:pPr>
          </w:p>
        </w:tc>
      </w:tr>
      <w:tr w:rsidR="00CA0AC0" w:rsidRPr="00EC4BA6" w14:paraId="4E9F812E" w14:textId="77777777" w:rsidTr="00CA0AC0">
        <w:trPr>
          <w:divId w:val="620189783"/>
          <w:trHeight w:hRule="exact" w:val="225"/>
        </w:trPr>
        <w:tc>
          <w:tcPr>
            <w:tcW w:w="1924" w:type="pct"/>
            <w:tcBorders>
              <w:top w:val="nil"/>
              <w:left w:val="nil"/>
              <w:bottom w:val="nil"/>
              <w:right w:val="nil"/>
            </w:tcBorders>
            <w:shd w:val="clear" w:color="auto" w:fill="auto"/>
            <w:vAlign w:val="center"/>
            <w:hideMark/>
          </w:tcPr>
          <w:p w14:paraId="19DFBB55" w14:textId="77777777" w:rsidR="00CA0AC0" w:rsidRPr="00EC4BA6" w:rsidRDefault="00CA0AC0" w:rsidP="008F3B9D">
            <w:pPr>
              <w:spacing w:before="0" w:after="0" w:line="240" w:lineRule="auto"/>
              <w:rPr>
                <w:rFonts w:ascii="Arial" w:hAnsi="Arial" w:cs="Arial"/>
                <w:sz w:val="16"/>
                <w:szCs w:val="16"/>
              </w:rPr>
            </w:pPr>
            <w:r w:rsidRPr="00EC4BA6">
              <w:rPr>
                <w:rFonts w:ascii="Arial" w:hAnsi="Arial" w:cs="Arial"/>
                <w:sz w:val="16"/>
                <w:szCs w:val="16"/>
              </w:rPr>
              <w:t>Effect of policy decisions </w:t>
            </w:r>
          </w:p>
        </w:tc>
        <w:tc>
          <w:tcPr>
            <w:tcW w:w="489" w:type="pct"/>
            <w:tcBorders>
              <w:top w:val="nil"/>
              <w:left w:val="nil"/>
              <w:bottom w:val="nil"/>
              <w:right w:val="nil"/>
            </w:tcBorders>
            <w:shd w:val="clear" w:color="auto" w:fill="auto"/>
            <w:vAlign w:val="center"/>
            <w:hideMark/>
          </w:tcPr>
          <w:p w14:paraId="372262F4" w14:textId="77777777" w:rsidR="00CA0AC0" w:rsidRPr="00EC4BA6" w:rsidRDefault="00CA0AC0" w:rsidP="008F3B9D">
            <w:pPr>
              <w:spacing w:before="0" w:after="0" w:line="240" w:lineRule="auto"/>
              <w:jc w:val="right"/>
              <w:rPr>
                <w:rFonts w:ascii="Arial" w:hAnsi="Arial" w:cs="Arial"/>
                <w:sz w:val="16"/>
                <w:szCs w:val="16"/>
              </w:rPr>
            </w:pPr>
            <w:r w:rsidRPr="00EC4BA6">
              <w:rPr>
                <w:rFonts w:ascii="Arial" w:hAnsi="Arial" w:cs="Arial"/>
                <w:sz w:val="16"/>
                <w:szCs w:val="16"/>
              </w:rPr>
              <w:t>21</w:t>
            </w:r>
          </w:p>
        </w:tc>
        <w:tc>
          <w:tcPr>
            <w:tcW w:w="489" w:type="pct"/>
            <w:tcBorders>
              <w:top w:val="nil"/>
              <w:left w:val="nil"/>
              <w:bottom w:val="nil"/>
              <w:right w:val="nil"/>
            </w:tcBorders>
            <w:shd w:val="clear" w:color="000000" w:fill="E6F2FF"/>
            <w:vAlign w:val="center"/>
            <w:hideMark/>
          </w:tcPr>
          <w:p w14:paraId="3D3AF186" w14:textId="12659B95" w:rsidR="00CA0AC0" w:rsidRPr="00EC4BA6" w:rsidRDefault="001A3DD6" w:rsidP="008F3B9D">
            <w:pPr>
              <w:spacing w:before="0" w:after="0" w:line="240" w:lineRule="auto"/>
              <w:jc w:val="right"/>
              <w:rPr>
                <w:rFonts w:ascii="Arial" w:hAnsi="Arial" w:cs="Arial"/>
                <w:sz w:val="16"/>
                <w:szCs w:val="16"/>
              </w:rPr>
            </w:pPr>
            <w:r>
              <w:rPr>
                <w:rFonts w:ascii="Arial" w:hAnsi="Arial" w:cs="Arial"/>
                <w:sz w:val="16"/>
                <w:szCs w:val="16"/>
              </w:rPr>
              <w:noBreakHyphen/>
            </w:r>
            <w:r w:rsidR="00CA0AC0" w:rsidRPr="00EC4BA6">
              <w:rPr>
                <w:rFonts w:ascii="Arial" w:hAnsi="Arial" w:cs="Arial"/>
                <w:sz w:val="16"/>
                <w:szCs w:val="16"/>
              </w:rPr>
              <w:t>103</w:t>
            </w:r>
          </w:p>
        </w:tc>
        <w:tc>
          <w:tcPr>
            <w:tcW w:w="489" w:type="pct"/>
            <w:tcBorders>
              <w:top w:val="nil"/>
              <w:left w:val="nil"/>
              <w:bottom w:val="nil"/>
              <w:right w:val="nil"/>
            </w:tcBorders>
            <w:shd w:val="clear" w:color="auto" w:fill="auto"/>
            <w:vAlign w:val="center"/>
            <w:hideMark/>
          </w:tcPr>
          <w:p w14:paraId="19507514" w14:textId="472E06AD" w:rsidR="00CA0AC0" w:rsidRPr="00EC4BA6" w:rsidRDefault="001A3DD6" w:rsidP="008F3B9D">
            <w:pPr>
              <w:spacing w:before="0" w:after="0" w:line="240" w:lineRule="auto"/>
              <w:jc w:val="right"/>
              <w:rPr>
                <w:rFonts w:ascii="Arial" w:hAnsi="Arial" w:cs="Arial"/>
                <w:sz w:val="16"/>
                <w:szCs w:val="16"/>
              </w:rPr>
            </w:pPr>
            <w:r>
              <w:rPr>
                <w:rFonts w:ascii="Arial" w:hAnsi="Arial" w:cs="Arial"/>
                <w:sz w:val="16"/>
                <w:szCs w:val="16"/>
              </w:rPr>
              <w:noBreakHyphen/>
            </w:r>
            <w:r w:rsidR="00CA0AC0" w:rsidRPr="00EC4BA6">
              <w:rPr>
                <w:rFonts w:ascii="Arial" w:hAnsi="Arial" w:cs="Arial"/>
                <w:sz w:val="16"/>
                <w:szCs w:val="16"/>
              </w:rPr>
              <w:t>3,425</w:t>
            </w:r>
          </w:p>
        </w:tc>
        <w:tc>
          <w:tcPr>
            <w:tcW w:w="489" w:type="pct"/>
            <w:tcBorders>
              <w:top w:val="nil"/>
              <w:left w:val="nil"/>
              <w:bottom w:val="nil"/>
              <w:right w:val="nil"/>
            </w:tcBorders>
            <w:shd w:val="clear" w:color="auto" w:fill="auto"/>
            <w:vAlign w:val="center"/>
            <w:hideMark/>
          </w:tcPr>
          <w:p w14:paraId="3EA83A1C" w14:textId="0F408BFC" w:rsidR="00CA0AC0" w:rsidRPr="00EC4BA6" w:rsidRDefault="001A3DD6" w:rsidP="008F3B9D">
            <w:pPr>
              <w:spacing w:before="0" w:after="0" w:line="240" w:lineRule="auto"/>
              <w:jc w:val="right"/>
              <w:rPr>
                <w:rFonts w:ascii="Arial" w:hAnsi="Arial" w:cs="Arial"/>
                <w:sz w:val="16"/>
                <w:szCs w:val="16"/>
              </w:rPr>
            </w:pPr>
            <w:r>
              <w:rPr>
                <w:rFonts w:ascii="Arial" w:hAnsi="Arial" w:cs="Arial"/>
                <w:sz w:val="16"/>
                <w:szCs w:val="16"/>
              </w:rPr>
              <w:noBreakHyphen/>
            </w:r>
            <w:r w:rsidR="00CA0AC0" w:rsidRPr="00EC4BA6">
              <w:rPr>
                <w:rFonts w:ascii="Arial" w:hAnsi="Arial" w:cs="Arial"/>
                <w:sz w:val="16"/>
                <w:szCs w:val="16"/>
              </w:rPr>
              <w:t>6,129</w:t>
            </w:r>
          </w:p>
        </w:tc>
        <w:tc>
          <w:tcPr>
            <w:tcW w:w="489" w:type="pct"/>
            <w:tcBorders>
              <w:top w:val="nil"/>
              <w:left w:val="nil"/>
              <w:bottom w:val="nil"/>
              <w:right w:val="nil"/>
            </w:tcBorders>
            <w:shd w:val="clear" w:color="auto" w:fill="auto"/>
            <w:vAlign w:val="center"/>
            <w:hideMark/>
          </w:tcPr>
          <w:p w14:paraId="56CA26B4" w14:textId="52A34FF5" w:rsidR="00CA0AC0" w:rsidRPr="00EC4BA6" w:rsidRDefault="001A3DD6" w:rsidP="008F3B9D">
            <w:pPr>
              <w:spacing w:before="0" w:after="0" w:line="240" w:lineRule="auto"/>
              <w:jc w:val="right"/>
              <w:rPr>
                <w:rFonts w:ascii="Arial" w:hAnsi="Arial" w:cs="Arial"/>
                <w:sz w:val="16"/>
                <w:szCs w:val="16"/>
              </w:rPr>
            </w:pPr>
            <w:r>
              <w:rPr>
                <w:rFonts w:ascii="Arial" w:hAnsi="Arial" w:cs="Arial"/>
                <w:sz w:val="16"/>
                <w:szCs w:val="16"/>
              </w:rPr>
              <w:noBreakHyphen/>
            </w:r>
            <w:r w:rsidR="00CA0AC0" w:rsidRPr="00EC4BA6">
              <w:rPr>
                <w:rFonts w:ascii="Arial" w:hAnsi="Arial" w:cs="Arial"/>
                <w:sz w:val="16"/>
                <w:szCs w:val="16"/>
              </w:rPr>
              <w:t>4,542</w:t>
            </w:r>
          </w:p>
        </w:tc>
        <w:tc>
          <w:tcPr>
            <w:tcW w:w="56" w:type="pct"/>
            <w:tcBorders>
              <w:top w:val="nil"/>
              <w:left w:val="nil"/>
              <w:bottom w:val="nil"/>
              <w:right w:val="nil"/>
            </w:tcBorders>
            <w:shd w:val="clear" w:color="auto" w:fill="auto"/>
            <w:noWrap/>
            <w:vAlign w:val="bottom"/>
            <w:hideMark/>
          </w:tcPr>
          <w:p w14:paraId="243B9BC3" w14:textId="77777777" w:rsidR="00CA0AC0" w:rsidRPr="00EC4BA6" w:rsidRDefault="00CA0AC0" w:rsidP="008F3B9D">
            <w:pPr>
              <w:spacing w:before="0" w:after="0" w:line="240" w:lineRule="auto"/>
              <w:jc w:val="right"/>
              <w:rPr>
                <w:rFonts w:ascii="Arial" w:hAnsi="Arial" w:cs="Arial"/>
                <w:sz w:val="16"/>
                <w:szCs w:val="16"/>
              </w:rPr>
            </w:pPr>
          </w:p>
        </w:tc>
        <w:tc>
          <w:tcPr>
            <w:tcW w:w="575" w:type="pct"/>
            <w:tcBorders>
              <w:top w:val="nil"/>
              <w:left w:val="nil"/>
              <w:bottom w:val="nil"/>
              <w:right w:val="nil"/>
            </w:tcBorders>
            <w:shd w:val="clear" w:color="auto" w:fill="auto"/>
            <w:vAlign w:val="center"/>
            <w:hideMark/>
          </w:tcPr>
          <w:p w14:paraId="1DD34F8C" w14:textId="3F0E8521" w:rsidR="00CA0AC0" w:rsidRPr="00EC4BA6" w:rsidRDefault="001A3DD6" w:rsidP="008F3B9D">
            <w:pPr>
              <w:spacing w:before="0" w:after="0" w:line="240" w:lineRule="auto"/>
              <w:jc w:val="right"/>
              <w:rPr>
                <w:rFonts w:ascii="Arial" w:hAnsi="Arial" w:cs="Arial"/>
                <w:sz w:val="16"/>
                <w:szCs w:val="16"/>
              </w:rPr>
            </w:pPr>
            <w:r>
              <w:rPr>
                <w:rFonts w:ascii="Arial" w:hAnsi="Arial" w:cs="Arial"/>
                <w:sz w:val="16"/>
                <w:szCs w:val="16"/>
              </w:rPr>
              <w:noBreakHyphen/>
            </w:r>
            <w:r w:rsidR="00CA0AC0" w:rsidRPr="00EC4BA6">
              <w:rPr>
                <w:rFonts w:ascii="Arial" w:hAnsi="Arial" w:cs="Arial"/>
                <w:sz w:val="16"/>
                <w:szCs w:val="16"/>
              </w:rPr>
              <w:t xml:space="preserve">14,178 </w:t>
            </w:r>
          </w:p>
        </w:tc>
      </w:tr>
      <w:tr w:rsidR="00CA0AC0" w:rsidRPr="00EC4BA6" w14:paraId="10D461B8" w14:textId="77777777" w:rsidTr="00CA0AC0">
        <w:trPr>
          <w:divId w:val="620189783"/>
          <w:trHeight w:hRule="exact" w:val="225"/>
        </w:trPr>
        <w:tc>
          <w:tcPr>
            <w:tcW w:w="1924" w:type="pct"/>
            <w:tcBorders>
              <w:top w:val="nil"/>
              <w:left w:val="nil"/>
              <w:bottom w:val="nil"/>
              <w:right w:val="nil"/>
            </w:tcBorders>
            <w:shd w:val="clear" w:color="auto" w:fill="auto"/>
            <w:vAlign w:val="center"/>
            <w:hideMark/>
          </w:tcPr>
          <w:p w14:paraId="582B9AF3" w14:textId="77777777" w:rsidR="00CA0AC0" w:rsidRPr="00EC4BA6" w:rsidRDefault="00CA0AC0" w:rsidP="008F3B9D">
            <w:pPr>
              <w:spacing w:before="0" w:after="0" w:line="240" w:lineRule="auto"/>
              <w:rPr>
                <w:rFonts w:ascii="Arial" w:hAnsi="Arial" w:cs="Arial"/>
                <w:sz w:val="16"/>
                <w:szCs w:val="16"/>
              </w:rPr>
            </w:pPr>
            <w:r w:rsidRPr="00EC4BA6">
              <w:rPr>
                <w:rFonts w:ascii="Arial" w:hAnsi="Arial" w:cs="Arial"/>
                <w:sz w:val="16"/>
                <w:szCs w:val="16"/>
              </w:rPr>
              <w:t>Effect of parameter and other variations </w:t>
            </w:r>
          </w:p>
        </w:tc>
        <w:tc>
          <w:tcPr>
            <w:tcW w:w="489" w:type="pct"/>
            <w:tcBorders>
              <w:top w:val="nil"/>
              <w:left w:val="nil"/>
              <w:bottom w:val="nil"/>
              <w:right w:val="nil"/>
            </w:tcBorders>
            <w:shd w:val="clear" w:color="auto" w:fill="auto"/>
            <w:vAlign w:val="center"/>
            <w:hideMark/>
          </w:tcPr>
          <w:p w14:paraId="1BE442EE" w14:textId="08D8B426" w:rsidR="00CA0AC0" w:rsidRPr="00EC4BA6" w:rsidRDefault="001A3DD6" w:rsidP="008F3B9D">
            <w:pPr>
              <w:spacing w:before="0" w:after="0" w:line="240" w:lineRule="auto"/>
              <w:jc w:val="right"/>
              <w:rPr>
                <w:rFonts w:ascii="Arial" w:hAnsi="Arial" w:cs="Arial"/>
                <w:sz w:val="16"/>
                <w:szCs w:val="16"/>
              </w:rPr>
            </w:pPr>
            <w:r>
              <w:rPr>
                <w:rFonts w:ascii="Arial" w:hAnsi="Arial" w:cs="Arial"/>
                <w:sz w:val="16"/>
                <w:szCs w:val="16"/>
              </w:rPr>
              <w:noBreakHyphen/>
            </w:r>
            <w:r w:rsidR="00CA0AC0" w:rsidRPr="00EC4BA6">
              <w:rPr>
                <w:rFonts w:ascii="Arial" w:hAnsi="Arial" w:cs="Arial"/>
                <w:sz w:val="16"/>
                <w:szCs w:val="16"/>
              </w:rPr>
              <w:t>284</w:t>
            </w:r>
          </w:p>
        </w:tc>
        <w:tc>
          <w:tcPr>
            <w:tcW w:w="489" w:type="pct"/>
            <w:tcBorders>
              <w:top w:val="nil"/>
              <w:left w:val="nil"/>
              <w:bottom w:val="nil"/>
              <w:right w:val="nil"/>
            </w:tcBorders>
            <w:shd w:val="clear" w:color="000000" w:fill="E6F2FF"/>
            <w:vAlign w:val="center"/>
            <w:hideMark/>
          </w:tcPr>
          <w:p w14:paraId="1EE87875" w14:textId="77777777" w:rsidR="00CA0AC0" w:rsidRPr="00EC4BA6" w:rsidRDefault="00CA0AC0" w:rsidP="008F3B9D">
            <w:pPr>
              <w:spacing w:before="0" w:after="0" w:line="240" w:lineRule="auto"/>
              <w:jc w:val="right"/>
              <w:rPr>
                <w:rFonts w:ascii="Arial" w:hAnsi="Arial" w:cs="Arial"/>
                <w:sz w:val="16"/>
                <w:szCs w:val="16"/>
              </w:rPr>
            </w:pPr>
            <w:r w:rsidRPr="00EC4BA6">
              <w:rPr>
                <w:rFonts w:ascii="Arial" w:hAnsi="Arial" w:cs="Arial"/>
                <w:sz w:val="16"/>
                <w:szCs w:val="16"/>
              </w:rPr>
              <w:t>7,036</w:t>
            </w:r>
          </w:p>
        </w:tc>
        <w:tc>
          <w:tcPr>
            <w:tcW w:w="489" w:type="pct"/>
            <w:tcBorders>
              <w:top w:val="nil"/>
              <w:left w:val="nil"/>
              <w:bottom w:val="nil"/>
              <w:right w:val="nil"/>
            </w:tcBorders>
            <w:shd w:val="clear" w:color="auto" w:fill="auto"/>
            <w:vAlign w:val="center"/>
            <w:hideMark/>
          </w:tcPr>
          <w:p w14:paraId="5761EBBB" w14:textId="77777777" w:rsidR="00CA0AC0" w:rsidRPr="00EC4BA6" w:rsidRDefault="00CA0AC0" w:rsidP="008F3B9D">
            <w:pPr>
              <w:spacing w:before="0" w:after="0" w:line="240" w:lineRule="auto"/>
              <w:jc w:val="right"/>
              <w:rPr>
                <w:rFonts w:ascii="Arial" w:hAnsi="Arial" w:cs="Arial"/>
                <w:sz w:val="16"/>
                <w:szCs w:val="16"/>
              </w:rPr>
            </w:pPr>
            <w:r w:rsidRPr="00EC4BA6">
              <w:rPr>
                <w:rFonts w:ascii="Arial" w:hAnsi="Arial" w:cs="Arial"/>
                <w:sz w:val="16"/>
                <w:szCs w:val="16"/>
              </w:rPr>
              <w:t>6,009</w:t>
            </w:r>
          </w:p>
        </w:tc>
        <w:tc>
          <w:tcPr>
            <w:tcW w:w="489" w:type="pct"/>
            <w:tcBorders>
              <w:top w:val="nil"/>
              <w:left w:val="nil"/>
              <w:bottom w:val="nil"/>
              <w:right w:val="nil"/>
            </w:tcBorders>
            <w:shd w:val="clear" w:color="auto" w:fill="auto"/>
            <w:vAlign w:val="center"/>
            <w:hideMark/>
          </w:tcPr>
          <w:p w14:paraId="629D4CDB" w14:textId="699F205D" w:rsidR="00CA0AC0" w:rsidRPr="00EC4BA6" w:rsidRDefault="001A3DD6" w:rsidP="008F3B9D">
            <w:pPr>
              <w:spacing w:before="0" w:after="0" w:line="240" w:lineRule="auto"/>
              <w:jc w:val="right"/>
              <w:rPr>
                <w:rFonts w:ascii="Arial" w:hAnsi="Arial" w:cs="Arial"/>
                <w:sz w:val="16"/>
                <w:szCs w:val="16"/>
              </w:rPr>
            </w:pPr>
            <w:r>
              <w:rPr>
                <w:rFonts w:ascii="Arial" w:hAnsi="Arial" w:cs="Arial"/>
                <w:sz w:val="16"/>
                <w:szCs w:val="16"/>
              </w:rPr>
              <w:noBreakHyphen/>
            </w:r>
            <w:r w:rsidR="00CA0AC0" w:rsidRPr="00EC4BA6">
              <w:rPr>
                <w:rFonts w:ascii="Arial" w:hAnsi="Arial" w:cs="Arial"/>
                <w:sz w:val="16"/>
                <w:szCs w:val="16"/>
              </w:rPr>
              <w:t>570</w:t>
            </w:r>
          </w:p>
        </w:tc>
        <w:tc>
          <w:tcPr>
            <w:tcW w:w="489" w:type="pct"/>
            <w:tcBorders>
              <w:top w:val="nil"/>
              <w:left w:val="nil"/>
              <w:bottom w:val="nil"/>
              <w:right w:val="nil"/>
            </w:tcBorders>
            <w:shd w:val="clear" w:color="auto" w:fill="auto"/>
            <w:vAlign w:val="center"/>
            <w:hideMark/>
          </w:tcPr>
          <w:p w14:paraId="479A6B4A" w14:textId="3C2DECC6" w:rsidR="00CA0AC0" w:rsidRPr="00EC4BA6" w:rsidRDefault="001A3DD6" w:rsidP="008F3B9D">
            <w:pPr>
              <w:spacing w:before="0" w:after="0" w:line="240" w:lineRule="auto"/>
              <w:jc w:val="right"/>
              <w:rPr>
                <w:rFonts w:ascii="Arial" w:hAnsi="Arial" w:cs="Arial"/>
                <w:sz w:val="16"/>
                <w:szCs w:val="16"/>
              </w:rPr>
            </w:pPr>
            <w:r>
              <w:rPr>
                <w:rFonts w:ascii="Arial" w:hAnsi="Arial" w:cs="Arial"/>
                <w:sz w:val="16"/>
                <w:szCs w:val="16"/>
              </w:rPr>
              <w:noBreakHyphen/>
            </w:r>
            <w:r w:rsidR="00CA0AC0" w:rsidRPr="00EC4BA6">
              <w:rPr>
                <w:rFonts w:ascii="Arial" w:hAnsi="Arial" w:cs="Arial"/>
                <w:sz w:val="16"/>
                <w:szCs w:val="16"/>
              </w:rPr>
              <w:t>3,797</w:t>
            </w:r>
          </w:p>
        </w:tc>
        <w:tc>
          <w:tcPr>
            <w:tcW w:w="56" w:type="pct"/>
            <w:tcBorders>
              <w:top w:val="nil"/>
              <w:left w:val="nil"/>
              <w:bottom w:val="nil"/>
              <w:right w:val="nil"/>
            </w:tcBorders>
            <w:shd w:val="clear" w:color="auto" w:fill="auto"/>
            <w:noWrap/>
            <w:vAlign w:val="bottom"/>
            <w:hideMark/>
          </w:tcPr>
          <w:p w14:paraId="0A12C7C8" w14:textId="77777777" w:rsidR="00CA0AC0" w:rsidRPr="00EC4BA6" w:rsidRDefault="00CA0AC0" w:rsidP="008F3B9D">
            <w:pPr>
              <w:spacing w:before="0" w:after="0" w:line="240" w:lineRule="auto"/>
              <w:jc w:val="right"/>
              <w:rPr>
                <w:rFonts w:ascii="Arial" w:hAnsi="Arial" w:cs="Arial"/>
                <w:sz w:val="16"/>
                <w:szCs w:val="16"/>
              </w:rPr>
            </w:pPr>
          </w:p>
        </w:tc>
        <w:tc>
          <w:tcPr>
            <w:tcW w:w="575" w:type="pct"/>
            <w:tcBorders>
              <w:top w:val="nil"/>
              <w:left w:val="nil"/>
              <w:bottom w:val="nil"/>
              <w:right w:val="nil"/>
            </w:tcBorders>
            <w:shd w:val="clear" w:color="auto" w:fill="auto"/>
            <w:vAlign w:val="center"/>
            <w:hideMark/>
          </w:tcPr>
          <w:p w14:paraId="0D870B97" w14:textId="77777777" w:rsidR="00CA0AC0" w:rsidRPr="00EC4BA6" w:rsidRDefault="00CA0AC0" w:rsidP="008F3B9D">
            <w:pPr>
              <w:spacing w:before="0" w:after="0" w:line="240" w:lineRule="auto"/>
              <w:jc w:val="right"/>
              <w:rPr>
                <w:rFonts w:ascii="Arial" w:hAnsi="Arial" w:cs="Arial"/>
                <w:sz w:val="16"/>
                <w:szCs w:val="16"/>
              </w:rPr>
            </w:pPr>
            <w:r w:rsidRPr="00EC4BA6">
              <w:rPr>
                <w:rFonts w:ascii="Arial" w:hAnsi="Arial" w:cs="Arial"/>
                <w:sz w:val="16"/>
                <w:szCs w:val="16"/>
              </w:rPr>
              <w:t xml:space="preserve">          8,394 </w:t>
            </w:r>
          </w:p>
        </w:tc>
      </w:tr>
      <w:tr w:rsidR="00CA0AC0" w:rsidRPr="00EC4BA6" w14:paraId="5D85D875" w14:textId="77777777" w:rsidTr="00CA0AC0">
        <w:trPr>
          <w:divId w:val="620189783"/>
          <w:trHeight w:hRule="exact" w:val="225"/>
        </w:trPr>
        <w:tc>
          <w:tcPr>
            <w:tcW w:w="1924" w:type="pct"/>
            <w:tcBorders>
              <w:top w:val="nil"/>
              <w:left w:val="nil"/>
              <w:bottom w:val="nil"/>
              <w:right w:val="nil"/>
            </w:tcBorders>
            <w:shd w:val="clear" w:color="auto" w:fill="auto"/>
            <w:vAlign w:val="center"/>
            <w:hideMark/>
          </w:tcPr>
          <w:p w14:paraId="3EB59CB8" w14:textId="77777777" w:rsidR="00CA0AC0" w:rsidRPr="00EC4BA6" w:rsidRDefault="00CA0AC0" w:rsidP="008F3B9D">
            <w:pPr>
              <w:spacing w:before="0" w:after="0" w:line="240" w:lineRule="auto"/>
              <w:rPr>
                <w:rFonts w:ascii="Arial" w:hAnsi="Arial" w:cs="Arial"/>
                <w:b/>
                <w:sz w:val="16"/>
                <w:szCs w:val="16"/>
              </w:rPr>
            </w:pPr>
            <w:r w:rsidRPr="00EC4BA6">
              <w:rPr>
                <w:rFonts w:ascii="Arial" w:hAnsi="Arial" w:cs="Arial"/>
                <w:b/>
                <w:sz w:val="16"/>
                <w:szCs w:val="16"/>
              </w:rPr>
              <w:t>Total variations </w:t>
            </w:r>
          </w:p>
        </w:tc>
        <w:tc>
          <w:tcPr>
            <w:tcW w:w="489" w:type="pct"/>
            <w:tcBorders>
              <w:top w:val="single" w:sz="4" w:space="0" w:color="293F5B"/>
              <w:left w:val="nil"/>
              <w:bottom w:val="single" w:sz="4" w:space="0" w:color="293F5B"/>
              <w:right w:val="nil"/>
            </w:tcBorders>
            <w:shd w:val="clear" w:color="auto" w:fill="auto"/>
            <w:vAlign w:val="center"/>
            <w:hideMark/>
          </w:tcPr>
          <w:p w14:paraId="584A269E" w14:textId="01AE1662" w:rsidR="00CA0AC0" w:rsidRPr="00EC4BA6" w:rsidRDefault="001A3DD6" w:rsidP="008F3B9D">
            <w:pPr>
              <w:spacing w:before="0" w:after="0" w:line="240" w:lineRule="auto"/>
              <w:jc w:val="right"/>
              <w:rPr>
                <w:rFonts w:ascii="Arial" w:hAnsi="Arial" w:cs="Arial"/>
                <w:b/>
                <w:sz w:val="16"/>
                <w:szCs w:val="16"/>
              </w:rPr>
            </w:pPr>
            <w:r>
              <w:rPr>
                <w:rFonts w:ascii="Arial" w:hAnsi="Arial" w:cs="Arial"/>
                <w:b/>
                <w:sz w:val="16"/>
                <w:szCs w:val="16"/>
              </w:rPr>
              <w:noBreakHyphen/>
            </w:r>
            <w:r w:rsidR="00CA0AC0" w:rsidRPr="00EC4BA6">
              <w:rPr>
                <w:rFonts w:ascii="Arial" w:hAnsi="Arial" w:cs="Arial"/>
                <w:b/>
                <w:sz w:val="16"/>
                <w:szCs w:val="16"/>
              </w:rPr>
              <w:t>263</w:t>
            </w:r>
          </w:p>
        </w:tc>
        <w:tc>
          <w:tcPr>
            <w:tcW w:w="489" w:type="pct"/>
            <w:tcBorders>
              <w:top w:val="single" w:sz="4" w:space="0" w:color="293F5B"/>
              <w:left w:val="nil"/>
              <w:bottom w:val="single" w:sz="4" w:space="0" w:color="293F5B"/>
              <w:right w:val="nil"/>
            </w:tcBorders>
            <w:shd w:val="clear" w:color="000000" w:fill="E6F2FF"/>
            <w:vAlign w:val="center"/>
            <w:hideMark/>
          </w:tcPr>
          <w:p w14:paraId="2FB86B31" w14:textId="77777777" w:rsidR="00CA0AC0" w:rsidRPr="00EC4BA6" w:rsidRDefault="00CA0AC0" w:rsidP="008F3B9D">
            <w:pPr>
              <w:spacing w:before="0" w:after="0" w:line="240" w:lineRule="auto"/>
              <w:jc w:val="right"/>
              <w:rPr>
                <w:rFonts w:ascii="Arial" w:hAnsi="Arial" w:cs="Arial"/>
                <w:b/>
                <w:sz w:val="16"/>
                <w:szCs w:val="16"/>
              </w:rPr>
            </w:pPr>
            <w:r w:rsidRPr="00EC4BA6">
              <w:rPr>
                <w:rFonts w:ascii="Arial" w:hAnsi="Arial" w:cs="Arial"/>
                <w:b/>
                <w:sz w:val="16"/>
                <w:szCs w:val="16"/>
              </w:rPr>
              <w:t>6,933</w:t>
            </w:r>
          </w:p>
        </w:tc>
        <w:tc>
          <w:tcPr>
            <w:tcW w:w="489" w:type="pct"/>
            <w:tcBorders>
              <w:top w:val="single" w:sz="4" w:space="0" w:color="293F5B"/>
              <w:left w:val="nil"/>
              <w:bottom w:val="single" w:sz="4" w:space="0" w:color="293F5B"/>
              <w:right w:val="nil"/>
            </w:tcBorders>
            <w:shd w:val="clear" w:color="auto" w:fill="auto"/>
            <w:vAlign w:val="center"/>
            <w:hideMark/>
          </w:tcPr>
          <w:p w14:paraId="50F510F0" w14:textId="77777777" w:rsidR="00CA0AC0" w:rsidRPr="00EC4BA6" w:rsidRDefault="00CA0AC0" w:rsidP="008F3B9D">
            <w:pPr>
              <w:spacing w:before="0" w:after="0" w:line="240" w:lineRule="auto"/>
              <w:jc w:val="right"/>
              <w:rPr>
                <w:rFonts w:ascii="Arial" w:hAnsi="Arial" w:cs="Arial"/>
                <w:b/>
                <w:sz w:val="16"/>
                <w:szCs w:val="16"/>
              </w:rPr>
            </w:pPr>
            <w:r w:rsidRPr="00EC4BA6">
              <w:rPr>
                <w:rFonts w:ascii="Arial" w:hAnsi="Arial" w:cs="Arial"/>
                <w:b/>
                <w:sz w:val="16"/>
                <w:szCs w:val="16"/>
              </w:rPr>
              <w:t>2,584</w:t>
            </w:r>
          </w:p>
        </w:tc>
        <w:tc>
          <w:tcPr>
            <w:tcW w:w="489" w:type="pct"/>
            <w:tcBorders>
              <w:top w:val="single" w:sz="4" w:space="0" w:color="293F5B"/>
              <w:left w:val="nil"/>
              <w:bottom w:val="single" w:sz="4" w:space="0" w:color="293F5B"/>
              <w:right w:val="nil"/>
            </w:tcBorders>
            <w:shd w:val="clear" w:color="auto" w:fill="auto"/>
            <w:vAlign w:val="center"/>
            <w:hideMark/>
          </w:tcPr>
          <w:p w14:paraId="6497B4BB" w14:textId="48A1B6EB" w:rsidR="00CA0AC0" w:rsidRPr="00EC4BA6" w:rsidRDefault="001A3DD6" w:rsidP="008F3B9D">
            <w:pPr>
              <w:spacing w:before="0" w:after="0" w:line="240" w:lineRule="auto"/>
              <w:jc w:val="right"/>
              <w:rPr>
                <w:rFonts w:ascii="Arial" w:hAnsi="Arial" w:cs="Arial"/>
                <w:b/>
                <w:sz w:val="16"/>
                <w:szCs w:val="16"/>
              </w:rPr>
            </w:pPr>
            <w:r>
              <w:rPr>
                <w:rFonts w:ascii="Arial" w:hAnsi="Arial" w:cs="Arial"/>
                <w:b/>
                <w:sz w:val="16"/>
                <w:szCs w:val="16"/>
              </w:rPr>
              <w:noBreakHyphen/>
            </w:r>
            <w:r w:rsidR="00CA0AC0" w:rsidRPr="00EC4BA6">
              <w:rPr>
                <w:rFonts w:ascii="Arial" w:hAnsi="Arial" w:cs="Arial"/>
                <w:b/>
                <w:sz w:val="16"/>
                <w:szCs w:val="16"/>
              </w:rPr>
              <w:t>6,699</w:t>
            </w:r>
          </w:p>
        </w:tc>
        <w:tc>
          <w:tcPr>
            <w:tcW w:w="489" w:type="pct"/>
            <w:tcBorders>
              <w:top w:val="single" w:sz="4" w:space="0" w:color="293F5B"/>
              <w:left w:val="nil"/>
              <w:bottom w:val="single" w:sz="4" w:space="0" w:color="293F5B"/>
              <w:right w:val="nil"/>
            </w:tcBorders>
            <w:shd w:val="clear" w:color="auto" w:fill="auto"/>
            <w:vAlign w:val="center"/>
            <w:hideMark/>
          </w:tcPr>
          <w:p w14:paraId="2AFD5934" w14:textId="5515FD61" w:rsidR="00CA0AC0" w:rsidRPr="00EC4BA6" w:rsidRDefault="001A3DD6" w:rsidP="008F3B9D">
            <w:pPr>
              <w:spacing w:before="0" w:after="0" w:line="240" w:lineRule="auto"/>
              <w:jc w:val="right"/>
              <w:rPr>
                <w:rFonts w:ascii="Arial" w:hAnsi="Arial" w:cs="Arial"/>
                <w:b/>
                <w:sz w:val="16"/>
                <w:szCs w:val="16"/>
              </w:rPr>
            </w:pPr>
            <w:r>
              <w:rPr>
                <w:rFonts w:ascii="Arial" w:hAnsi="Arial" w:cs="Arial"/>
                <w:b/>
                <w:sz w:val="16"/>
                <w:szCs w:val="16"/>
              </w:rPr>
              <w:noBreakHyphen/>
            </w:r>
            <w:r w:rsidR="00CA0AC0" w:rsidRPr="00EC4BA6">
              <w:rPr>
                <w:rFonts w:ascii="Arial" w:hAnsi="Arial" w:cs="Arial"/>
                <w:b/>
                <w:sz w:val="16"/>
                <w:szCs w:val="16"/>
              </w:rPr>
              <w:t>8,339</w:t>
            </w:r>
          </w:p>
        </w:tc>
        <w:tc>
          <w:tcPr>
            <w:tcW w:w="56" w:type="pct"/>
            <w:tcBorders>
              <w:top w:val="nil"/>
              <w:left w:val="nil"/>
              <w:bottom w:val="nil"/>
              <w:right w:val="nil"/>
            </w:tcBorders>
            <w:shd w:val="clear" w:color="auto" w:fill="auto"/>
            <w:noWrap/>
            <w:vAlign w:val="bottom"/>
            <w:hideMark/>
          </w:tcPr>
          <w:p w14:paraId="5453EF9D" w14:textId="77777777" w:rsidR="00CA0AC0" w:rsidRPr="00EC4BA6" w:rsidRDefault="00CA0AC0" w:rsidP="008F3B9D">
            <w:pPr>
              <w:spacing w:before="0" w:after="0" w:line="240" w:lineRule="auto"/>
              <w:jc w:val="right"/>
              <w:rPr>
                <w:rFonts w:ascii="Arial" w:hAnsi="Arial" w:cs="Arial"/>
                <w:b/>
                <w:sz w:val="16"/>
                <w:szCs w:val="16"/>
              </w:rPr>
            </w:pPr>
          </w:p>
        </w:tc>
        <w:tc>
          <w:tcPr>
            <w:tcW w:w="575" w:type="pct"/>
            <w:tcBorders>
              <w:top w:val="single" w:sz="4" w:space="0" w:color="293F5B"/>
              <w:left w:val="nil"/>
              <w:bottom w:val="single" w:sz="4" w:space="0" w:color="293F5B"/>
              <w:right w:val="nil"/>
            </w:tcBorders>
            <w:shd w:val="clear" w:color="auto" w:fill="auto"/>
            <w:vAlign w:val="center"/>
            <w:hideMark/>
          </w:tcPr>
          <w:p w14:paraId="331C3E11" w14:textId="539317FC" w:rsidR="00CA0AC0" w:rsidRPr="00EC4BA6" w:rsidRDefault="001A3DD6" w:rsidP="008F3B9D">
            <w:pPr>
              <w:spacing w:before="0" w:after="0" w:line="240" w:lineRule="auto"/>
              <w:jc w:val="right"/>
              <w:rPr>
                <w:rFonts w:ascii="Arial" w:hAnsi="Arial" w:cs="Arial"/>
                <w:b/>
                <w:sz w:val="16"/>
                <w:szCs w:val="16"/>
              </w:rPr>
            </w:pPr>
            <w:r>
              <w:rPr>
                <w:rFonts w:ascii="Arial" w:hAnsi="Arial" w:cs="Arial"/>
                <w:b/>
                <w:sz w:val="16"/>
                <w:szCs w:val="16"/>
              </w:rPr>
              <w:noBreakHyphen/>
            </w:r>
            <w:r w:rsidR="00CA0AC0" w:rsidRPr="00EC4BA6">
              <w:rPr>
                <w:rFonts w:ascii="Arial" w:hAnsi="Arial" w:cs="Arial"/>
                <w:b/>
                <w:sz w:val="16"/>
                <w:szCs w:val="16"/>
              </w:rPr>
              <w:t>5,784</w:t>
            </w:r>
          </w:p>
        </w:tc>
      </w:tr>
      <w:tr w:rsidR="00CA0AC0" w:rsidRPr="00EC4BA6" w14:paraId="5C05CAD3" w14:textId="77777777" w:rsidTr="00CA0AC0">
        <w:trPr>
          <w:divId w:val="620189783"/>
          <w:trHeight w:hRule="exact" w:val="60"/>
        </w:trPr>
        <w:tc>
          <w:tcPr>
            <w:tcW w:w="1924" w:type="pct"/>
            <w:tcBorders>
              <w:top w:val="nil"/>
              <w:left w:val="nil"/>
              <w:bottom w:val="nil"/>
              <w:right w:val="nil"/>
            </w:tcBorders>
            <w:shd w:val="clear" w:color="auto" w:fill="auto"/>
            <w:vAlign w:val="center"/>
            <w:hideMark/>
          </w:tcPr>
          <w:p w14:paraId="72CDE8E0" w14:textId="77777777" w:rsidR="00CA0AC0" w:rsidRPr="00EC4BA6" w:rsidRDefault="00CA0AC0" w:rsidP="008F3B9D">
            <w:pPr>
              <w:spacing w:before="0" w:after="0" w:line="240" w:lineRule="auto"/>
              <w:jc w:val="right"/>
              <w:rPr>
                <w:rFonts w:ascii="Arial" w:hAnsi="Arial" w:cs="Arial"/>
                <w:b/>
                <w:sz w:val="16"/>
                <w:szCs w:val="16"/>
              </w:rPr>
            </w:pPr>
          </w:p>
        </w:tc>
        <w:tc>
          <w:tcPr>
            <w:tcW w:w="489" w:type="pct"/>
            <w:tcBorders>
              <w:top w:val="nil"/>
              <w:left w:val="nil"/>
              <w:bottom w:val="nil"/>
              <w:right w:val="nil"/>
            </w:tcBorders>
            <w:shd w:val="clear" w:color="auto" w:fill="auto"/>
            <w:noWrap/>
            <w:vAlign w:val="bottom"/>
            <w:hideMark/>
          </w:tcPr>
          <w:p w14:paraId="606BDA8D" w14:textId="77777777" w:rsidR="00CA0AC0" w:rsidRPr="00EC4BA6" w:rsidRDefault="00CA0AC0" w:rsidP="008F3B9D">
            <w:pPr>
              <w:spacing w:before="0" w:after="0" w:line="240" w:lineRule="auto"/>
              <w:rPr>
                <w:rFonts w:ascii="Times New Roman" w:hAnsi="Times New Roman"/>
                <w:sz w:val="20"/>
              </w:rPr>
            </w:pPr>
          </w:p>
        </w:tc>
        <w:tc>
          <w:tcPr>
            <w:tcW w:w="489" w:type="pct"/>
            <w:tcBorders>
              <w:top w:val="nil"/>
              <w:left w:val="nil"/>
              <w:bottom w:val="nil"/>
              <w:right w:val="nil"/>
            </w:tcBorders>
            <w:shd w:val="clear" w:color="000000" w:fill="E6F2FF"/>
            <w:noWrap/>
            <w:vAlign w:val="bottom"/>
            <w:hideMark/>
          </w:tcPr>
          <w:p w14:paraId="24AC32C2" w14:textId="77777777" w:rsidR="00CA0AC0" w:rsidRPr="00EC4BA6" w:rsidRDefault="00CA0AC0" w:rsidP="008F3B9D">
            <w:pPr>
              <w:spacing w:before="0" w:after="0" w:line="240" w:lineRule="auto"/>
              <w:rPr>
                <w:rFonts w:ascii="Arial" w:hAnsi="Arial" w:cs="Arial"/>
                <w:sz w:val="16"/>
                <w:szCs w:val="16"/>
              </w:rPr>
            </w:pPr>
            <w:r w:rsidRPr="00EC4BA6">
              <w:rPr>
                <w:rFonts w:ascii="Arial" w:hAnsi="Arial" w:cs="Arial"/>
                <w:sz w:val="16"/>
                <w:szCs w:val="16"/>
              </w:rPr>
              <w:t> </w:t>
            </w:r>
          </w:p>
        </w:tc>
        <w:tc>
          <w:tcPr>
            <w:tcW w:w="489" w:type="pct"/>
            <w:tcBorders>
              <w:top w:val="nil"/>
              <w:left w:val="nil"/>
              <w:bottom w:val="nil"/>
              <w:right w:val="nil"/>
            </w:tcBorders>
            <w:shd w:val="clear" w:color="auto" w:fill="auto"/>
            <w:noWrap/>
            <w:vAlign w:val="bottom"/>
            <w:hideMark/>
          </w:tcPr>
          <w:p w14:paraId="7D2406A7" w14:textId="77777777" w:rsidR="00CA0AC0" w:rsidRPr="00EC4BA6" w:rsidRDefault="00CA0AC0" w:rsidP="008F3B9D">
            <w:pPr>
              <w:spacing w:before="0" w:after="0" w:line="240" w:lineRule="auto"/>
              <w:rPr>
                <w:rFonts w:ascii="Arial" w:hAnsi="Arial" w:cs="Arial"/>
                <w:sz w:val="16"/>
                <w:szCs w:val="16"/>
              </w:rPr>
            </w:pPr>
          </w:p>
        </w:tc>
        <w:tc>
          <w:tcPr>
            <w:tcW w:w="489" w:type="pct"/>
            <w:tcBorders>
              <w:top w:val="nil"/>
              <w:left w:val="nil"/>
              <w:bottom w:val="nil"/>
              <w:right w:val="nil"/>
            </w:tcBorders>
            <w:shd w:val="clear" w:color="auto" w:fill="auto"/>
            <w:noWrap/>
            <w:vAlign w:val="bottom"/>
            <w:hideMark/>
          </w:tcPr>
          <w:p w14:paraId="6A202E20" w14:textId="77777777" w:rsidR="00CA0AC0" w:rsidRPr="00EC4BA6" w:rsidRDefault="00CA0AC0" w:rsidP="008F3B9D">
            <w:pPr>
              <w:spacing w:before="0" w:after="0" w:line="240" w:lineRule="auto"/>
              <w:rPr>
                <w:rFonts w:ascii="Times New Roman" w:hAnsi="Times New Roman"/>
                <w:sz w:val="20"/>
              </w:rPr>
            </w:pPr>
          </w:p>
        </w:tc>
        <w:tc>
          <w:tcPr>
            <w:tcW w:w="489" w:type="pct"/>
            <w:tcBorders>
              <w:top w:val="nil"/>
              <w:left w:val="nil"/>
              <w:bottom w:val="nil"/>
              <w:right w:val="nil"/>
            </w:tcBorders>
            <w:shd w:val="clear" w:color="auto" w:fill="auto"/>
            <w:noWrap/>
            <w:vAlign w:val="bottom"/>
            <w:hideMark/>
          </w:tcPr>
          <w:p w14:paraId="6F966C65" w14:textId="77777777" w:rsidR="00CA0AC0" w:rsidRPr="00EC4BA6" w:rsidRDefault="00CA0AC0" w:rsidP="008F3B9D">
            <w:pPr>
              <w:spacing w:before="0" w:after="0" w:line="240" w:lineRule="auto"/>
              <w:rPr>
                <w:rFonts w:ascii="Times New Roman" w:hAnsi="Times New Roman"/>
                <w:sz w:val="20"/>
              </w:rPr>
            </w:pPr>
          </w:p>
        </w:tc>
        <w:tc>
          <w:tcPr>
            <w:tcW w:w="56" w:type="pct"/>
            <w:tcBorders>
              <w:top w:val="nil"/>
              <w:left w:val="nil"/>
              <w:bottom w:val="nil"/>
              <w:right w:val="nil"/>
            </w:tcBorders>
            <w:shd w:val="clear" w:color="auto" w:fill="auto"/>
            <w:noWrap/>
            <w:vAlign w:val="bottom"/>
            <w:hideMark/>
          </w:tcPr>
          <w:p w14:paraId="78C958AC" w14:textId="77777777" w:rsidR="00CA0AC0" w:rsidRPr="00EC4BA6" w:rsidRDefault="00CA0AC0" w:rsidP="008F3B9D">
            <w:pPr>
              <w:spacing w:before="0" w:after="0" w:line="240" w:lineRule="auto"/>
              <w:rPr>
                <w:rFonts w:ascii="Times New Roman" w:hAnsi="Times New Roman"/>
                <w:sz w:val="20"/>
              </w:rPr>
            </w:pPr>
          </w:p>
        </w:tc>
        <w:tc>
          <w:tcPr>
            <w:tcW w:w="575" w:type="pct"/>
            <w:tcBorders>
              <w:top w:val="nil"/>
              <w:left w:val="nil"/>
              <w:bottom w:val="nil"/>
              <w:right w:val="nil"/>
            </w:tcBorders>
            <w:shd w:val="clear" w:color="auto" w:fill="auto"/>
            <w:noWrap/>
            <w:vAlign w:val="bottom"/>
            <w:hideMark/>
          </w:tcPr>
          <w:p w14:paraId="5F5BB399" w14:textId="77777777" w:rsidR="00CA0AC0" w:rsidRPr="00EC4BA6" w:rsidRDefault="00CA0AC0" w:rsidP="008F3B9D">
            <w:pPr>
              <w:spacing w:before="0" w:after="0" w:line="240" w:lineRule="auto"/>
              <w:rPr>
                <w:rFonts w:ascii="Times New Roman" w:hAnsi="Times New Roman"/>
                <w:sz w:val="20"/>
              </w:rPr>
            </w:pPr>
          </w:p>
        </w:tc>
      </w:tr>
      <w:tr w:rsidR="00CA0AC0" w:rsidRPr="00EC4BA6" w14:paraId="06D0F2E4" w14:textId="77777777" w:rsidTr="00CA0AC0">
        <w:trPr>
          <w:divId w:val="620189783"/>
          <w:trHeight w:hRule="exact" w:val="225"/>
        </w:trPr>
        <w:tc>
          <w:tcPr>
            <w:tcW w:w="1924" w:type="pct"/>
            <w:tcBorders>
              <w:top w:val="nil"/>
              <w:left w:val="nil"/>
              <w:bottom w:val="single" w:sz="4" w:space="0" w:color="293F5B"/>
              <w:right w:val="nil"/>
            </w:tcBorders>
            <w:shd w:val="clear" w:color="auto" w:fill="auto"/>
            <w:vAlign w:val="center"/>
            <w:hideMark/>
          </w:tcPr>
          <w:p w14:paraId="6542DD1D" w14:textId="62A318D6" w:rsidR="00CA0AC0" w:rsidRPr="00EC4BA6" w:rsidRDefault="00CA0AC0" w:rsidP="008F3B9D">
            <w:pPr>
              <w:spacing w:before="0" w:after="0" w:line="240" w:lineRule="auto"/>
              <w:rPr>
                <w:rFonts w:ascii="Arial" w:hAnsi="Arial" w:cs="Arial"/>
                <w:b/>
                <w:sz w:val="16"/>
                <w:szCs w:val="16"/>
              </w:rPr>
            </w:pPr>
            <w:r w:rsidRPr="00EC4BA6">
              <w:rPr>
                <w:rFonts w:ascii="Arial" w:hAnsi="Arial" w:cs="Arial"/>
                <w:b/>
                <w:sz w:val="16"/>
                <w:szCs w:val="16"/>
              </w:rPr>
              <w:t xml:space="preserve">Receipts </w:t>
            </w:r>
            <w:proofErr w:type="gramStart"/>
            <w:r w:rsidRPr="00EC4BA6">
              <w:rPr>
                <w:rFonts w:ascii="Arial" w:hAnsi="Arial" w:cs="Arial"/>
                <w:b/>
                <w:sz w:val="16"/>
                <w:szCs w:val="16"/>
              </w:rPr>
              <w:t>at</w:t>
            </w:r>
            <w:proofErr w:type="gramEnd"/>
            <w:r w:rsidRPr="00EC4BA6">
              <w:rPr>
                <w:rFonts w:ascii="Arial" w:hAnsi="Arial" w:cs="Arial"/>
                <w:b/>
                <w:sz w:val="16"/>
                <w:szCs w:val="16"/>
              </w:rPr>
              <w:t xml:space="preserve"> 2025</w:t>
            </w:r>
            <w:r w:rsidR="001A3DD6">
              <w:rPr>
                <w:rFonts w:ascii="Arial" w:hAnsi="Arial" w:cs="Arial"/>
                <w:b/>
                <w:sz w:val="16"/>
                <w:szCs w:val="16"/>
              </w:rPr>
              <w:noBreakHyphen/>
            </w:r>
            <w:r w:rsidRPr="00EC4BA6">
              <w:rPr>
                <w:rFonts w:ascii="Arial" w:hAnsi="Arial" w:cs="Arial"/>
                <w:b/>
                <w:sz w:val="16"/>
                <w:szCs w:val="16"/>
              </w:rPr>
              <w:t>26 Budget</w:t>
            </w:r>
          </w:p>
        </w:tc>
        <w:tc>
          <w:tcPr>
            <w:tcW w:w="489" w:type="pct"/>
            <w:tcBorders>
              <w:top w:val="nil"/>
              <w:left w:val="nil"/>
              <w:bottom w:val="single" w:sz="4" w:space="0" w:color="293F5B"/>
              <w:right w:val="nil"/>
            </w:tcBorders>
            <w:shd w:val="clear" w:color="auto" w:fill="auto"/>
            <w:vAlign w:val="center"/>
            <w:hideMark/>
          </w:tcPr>
          <w:p w14:paraId="512980EB" w14:textId="77777777" w:rsidR="00CA0AC0" w:rsidRPr="00EC4BA6" w:rsidRDefault="00CA0AC0" w:rsidP="008F3B9D">
            <w:pPr>
              <w:spacing w:before="0" w:after="0" w:line="240" w:lineRule="auto"/>
              <w:jc w:val="right"/>
              <w:rPr>
                <w:rFonts w:ascii="Arial" w:hAnsi="Arial" w:cs="Arial"/>
                <w:b/>
                <w:sz w:val="16"/>
                <w:szCs w:val="16"/>
              </w:rPr>
            </w:pPr>
            <w:r w:rsidRPr="00EC4BA6">
              <w:rPr>
                <w:rFonts w:ascii="Arial" w:hAnsi="Arial" w:cs="Arial"/>
                <w:b/>
                <w:sz w:val="16"/>
                <w:szCs w:val="16"/>
              </w:rPr>
              <w:t xml:space="preserve">  703,922 </w:t>
            </w:r>
          </w:p>
        </w:tc>
        <w:tc>
          <w:tcPr>
            <w:tcW w:w="489" w:type="pct"/>
            <w:tcBorders>
              <w:top w:val="nil"/>
              <w:left w:val="nil"/>
              <w:bottom w:val="single" w:sz="4" w:space="0" w:color="293F5B"/>
              <w:right w:val="nil"/>
            </w:tcBorders>
            <w:shd w:val="clear" w:color="000000" w:fill="E6F2FF"/>
            <w:vAlign w:val="center"/>
            <w:hideMark/>
          </w:tcPr>
          <w:p w14:paraId="404399FA" w14:textId="77777777" w:rsidR="00CA0AC0" w:rsidRPr="00EC4BA6" w:rsidRDefault="00CA0AC0" w:rsidP="008F3B9D">
            <w:pPr>
              <w:spacing w:before="0" w:after="0" w:line="240" w:lineRule="auto"/>
              <w:jc w:val="right"/>
              <w:rPr>
                <w:rFonts w:ascii="Arial" w:hAnsi="Arial" w:cs="Arial"/>
                <w:b/>
                <w:sz w:val="16"/>
                <w:szCs w:val="16"/>
              </w:rPr>
            </w:pPr>
            <w:r w:rsidRPr="00EC4BA6">
              <w:rPr>
                <w:rFonts w:ascii="Arial" w:hAnsi="Arial" w:cs="Arial"/>
                <w:b/>
                <w:sz w:val="16"/>
                <w:szCs w:val="16"/>
              </w:rPr>
              <w:t xml:space="preserve">  735,353 </w:t>
            </w:r>
          </w:p>
        </w:tc>
        <w:tc>
          <w:tcPr>
            <w:tcW w:w="489" w:type="pct"/>
            <w:tcBorders>
              <w:top w:val="nil"/>
              <w:left w:val="nil"/>
              <w:bottom w:val="single" w:sz="4" w:space="0" w:color="293F5B"/>
              <w:right w:val="nil"/>
            </w:tcBorders>
            <w:shd w:val="clear" w:color="auto" w:fill="auto"/>
            <w:vAlign w:val="center"/>
            <w:hideMark/>
          </w:tcPr>
          <w:p w14:paraId="7C76E728" w14:textId="77777777" w:rsidR="00CA0AC0" w:rsidRPr="00EC4BA6" w:rsidRDefault="00CA0AC0" w:rsidP="008F3B9D">
            <w:pPr>
              <w:spacing w:before="0" w:after="0" w:line="240" w:lineRule="auto"/>
              <w:jc w:val="right"/>
              <w:rPr>
                <w:rFonts w:ascii="Arial" w:hAnsi="Arial" w:cs="Arial"/>
                <w:b/>
                <w:sz w:val="16"/>
                <w:szCs w:val="16"/>
              </w:rPr>
            </w:pPr>
            <w:r w:rsidRPr="00EC4BA6">
              <w:rPr>
                <w:rFonts w:ascii="Arial" w:hAnsi="Arial" w:cs="Arial"/>
                <w:b/>
                <w:sz w:val="16"/>
                <w:szCs w:val="16"/>
              </w:rPr>
              <w:t xml:space="preserve">  765,970 </w:t>
            </w:r>
          </w:p>
        </w:tc>
        <w:tc>
          <w:tcPr>
            <w:tcW w:w="489" w:type="pct"/>
            <w:tcBorders>
              <w:top w:val="nil"/>
              <w:left w:val="nil"/>
              <w:bottom w:val="single" w:sz="4" w:space="0" w:color="293F5B"/>
              <w:right w:val="nil"/>
            </w:tcBorders>
            <w:shd w:val="clear" w:color="auto" w:fill="auto"/>
            <w:vAlign w:val="center"/>
            <w:hideMark/>
          </w:tcPr>
          <w:p w14:paraId="788ED37A" w14:textId="77777777" w:rsidR="00CA0AC0" w:rsidRPr="00EC4BA6" w:rsidRDefault="00CA0AC0" w:rsidP="008F3B9D">
            <w:pPr>
              <w:spacing w:before="0" w:after="0" w:line="240" w:lineRule="auto"/>
              <w:jc w:val="right"/>
              <w:rPr>
                <w:rFonts w:ascii="Arial" w:hAnsi="Arial" w:cs="Arial"/>
                <w:b/>
                <w:sz w:val="16"/>
                <w:szCs w:val="16"/>
              </w:rPr>
            </w:pPr>
            <w:r w:rsidRPr="00EC4BA6">
              <w:rPr>
                <w:rFonts w:ascii="Arial" w:hAnsi="Arial" w:cs="Arial"/>
                <w:b/>
                <w:sz w:val="16"/>
                <w:szCs w:val="16"/>
              </w:rPr>
              <w:t xml:space="preserve">  797,379 </w:t>
            </w:r>
          </w:p>
        </w:tc>
        <w:tc>
          <w:tcPr>
            <w:tcW w:w="489" w:type="pct"/>
            <w:tcBorders>
              <w:top w:val="nil"/>
              <w:left w:val="nil"/>
              <w:bottom w:val="single" w:sz="4" w:space="0" w:color="293F5B"/>
              <w:right w:val="nil"/>
            </w:tcBorders>
            <w:shd w:val="clear" w:color="auto" w:fill="auto"/>
            <w:vAlign w:val="center"/>
            <w:hideMark/>
          </w:tcPr>
          <w:p w14:paraId="1A53E988" w14:textId="77777777" w:rsidR="00CA0AC0" w:rsidRPr="00EC4BA6" w:rsidRDefault="00CA0AC0" w:rsidP="008F3B9D">
            <w:pPr>
              <w:spacing w:before="0" w:after="0" w:line="240" w:lineRule="auto"/>
              <w:jc w:val="right"/>
              <w:rPr>
                <w:rFonts w:ascii="Arial" w:hAnsi="Arial" w:cs="Arial"/>
                <w:b/>
                <w:sz w:val="16"/>
                <w:szCs w:val="16"/>
              </w:rPr>
            </w:pPr>
            <w:r w:rsidRPr="00EC4BA6">
              <w:rPr>
                <w:rFonts w:ascii="Arial" w:hAnsi="Arial" w:cs="Arial"/>
                <w:b/>
                <w:sz w:val="16"/>
                <w:szCs w:val="16"/>
              </w:rPr>
              <w:t xml:space="preserve">  840,840 </w:t>
            </w:r>
          </w:p>
        </w:tc>
        <w:tc>
          <w:tcPr>
            <w:tcW w:w="56" w:type="pct"/>
            <w:tcBorders>
              <w:top w:val="nil"/>
              <w:left w:val="nil"/>
              <w:bottom w:val="single" w:sz="4" w:space="0" w:color="293F5B"/>
              <w:right w:val="nil"/>
            </w:tcBorders>
            <w:shd w:val="clear" w:color="auto" w:fill="auto"/>
            <w:noWrap/>
            <w:vAlign w:val="bottom"/>
            <w:hideMark/>
          </w:tcPr>
          <w:p w14:paraId="2032C3C6" w14:textId="77777777" w:rsidR="00CA0AC0" w:rsidRPr="00EC4BA6" w:rsidRDefault="00CA0AC0" w:rsidP="008F3B9D">
            <w:pPr>
              <w:spacing w:before="0" w:after="0" w:line="240" w:lineRule="auto"/>
              <w:rPr>
                <w:rFonts w:ascii="Arial" w:hAnsi="Arial" w:cs="Arial"/>
                <w:sz w:val="16"/>
                <w:szCs w:val="16"/>
              </w:rPr>
            </w:pPr>
            <w:r w:rsidRPr="00EC4BA6">
              <w:rPr>
                <w:rFonts w:ascii="Arial" w:hAnsi="Arial" w:cs="Arial"/>
                <w:sz w:val="16"/>
                <w:szCs w:val="16"/>
              </w:rPr>
              <w:t> </w:t>
            </w:r>
          </w:p>
        </w:tc>
        <w:tc>
          <w:tcPr>
            <w:tcW w:w="575" w:type="pct"/>
            <w:tcBorders>
              <w:top w:val="nil"/>
              <w:left w:val="nil"/>
              <w:bottom w:val="single" w:sz="4" w:space="0" w:color="293F5B"/>
              <w:right w:val="nil"/>
            </w:tcBorders>
            <w:shd w:val="clear" w:color="auto" w:fill="auto"/>
            <w:vAlign w:val="center"/>
            <w:hideMark/>
          </w:tcPr>
          <w:p w14:paraId="568D53B4" w14:textId="77777777" w:rsidR="00CA0AC0" w:rsidRPr="00EC4BA6" w:rsidRDefault="00CA0AC0" w:rsidP="008F3B9D">
            <w:pPr>
              <w:spacing w:before="0" w:after="0" w:line="240" w:lineRule="auto"/>
              <w:jc w:val="right"/>
              <w:rPr>
                <w:rFonts w:ascii="Arial" w:hAnsi="Arial" w:cs="Arial"/>
                <w:b/>
                <w:sz w:val="16"/>
                <w:szCs w:val="16"/>
              </w:rPr>
            </w:pPr>
            <w:r w:rsidRPr="00EC4BA6">
              <w:rPr>
                <w:rFonts w:ascii="Arial" w:hAnsi="Arial" w:cs="Arial"/>
                <w:b/>
                <w:sz w:val="16"/>
                <w:szCs w:val="16"/>
              </w:rPr>
              <w:t xml:space="preserve">   3,843,463 </w:t>
            </w:r>
          </w:p>
        </w:tc>
      </w:tr>
    </w:tbl>
    <w:p w14:paraId="52A50292" w14:textId="174DBE4F" w:rsidR="00DF4D4F" w:rsidRPr="00EC4BA6" w:rsidRDefault="00DF4D4F" w:rsidP="00DF4D4F">
      <w:pPr>
        <w:pStyle w:val="ChartandTableFootnote"/>
        <w:rPr>
          <w:color w:val="auto"/>
        </w:rPr>
      </w:pPr>
      <w:r w:rsidRPr="00EC4BA6">
        <w:rPr>
          <w:color w:val="auto"/>
        </w:rPr>
        <w:t>* Data is not available.</w:t>
      </w:r>
    </w:p>
    <w:p w14:paraId="1F607721" w14:textId="77777777" w:rsidR="00DF4D4F" w:rsidRPr="00EC4BA6" w:rsidRDefault="00DF4D4F" w:rsidP="00DF4D4F">
      <w:pPr>
        <w:pStyle w:val="TableLine"/>
      </w:pPr>
    </w:p>
    <w:p w14:paraId="52C6E988" w14:textId="1684A560" w:rsidR="00DF4D4F" w:rsidRPr="00EC4BA6" w:rsidRDefault="00DF4D4F" w:rsidP="00DF4D4F">
      <w:r w:rsidRPr="00EC4BA6">
        <w:t>Since MYEFO, parameter and other variations have increased total receipts by $</w:t>
      </w:r>
      <w:r w:rsidR="00CF0C16" w:rsidRPr="00EC4BA6">
        <w:t>7.</w:t>
      </w:r>
      <w:r w:rsidR="00C13B48" w:rsidRPr="00EC4BA6">
        <w:t>0</w:t>
      </w:r>
      <w:r w:rsidR="00000D74" w:rsidRPr="00EC4BA6">
        <w:t> </w:t>
      </w:r>
      <w:r w:rsidRPr="00EC4BA6">
        <w:t>billion in 202</w:t>
      </w:r>
      <w:r w:rsidR="0002114A" w:rsidRPr="00EC4BA6">
        <w:t>5</w:t>
      </w:r>
      <w:r w:rsidRPr="00EC4BA6">
        <w:t>–2</w:t>
      </w:r>
      <w:r w:rsidR="0002114A" w:rsidRPr="00EC4BA6">
        <w:t>6</w:t>
      </w:r>
      <w:r w:rsidRPr="00EC4BA6">
        <w:t xml:space="preserve"> and</w:t>
      </w:r>
      <w:r w:rsidR="007572A4" w:rsidRPr="00EC4BA6">
        <w:t xml:space="preserve"> </w:t>
      </w:r>
      <w:r w:rsidRPr="00EC4BA6">
        <w:t>$</w:t>
      </w:r>
      <w:r w:rsidR="004D5034" w:rsidRPr="00EC4BA6">
        <w:t>8.4</w:t>
      </w:r>
      <w:r w:rsidR="00000D74" w:rsidRPr="00EC4BA6">
        <w:t> </w:t>
      </w:r>
      <w:r w:rsidRPr="00EC4BA6">
        <w:t xml:space="preserve">billion over the five years </w:t>
      </w:r>
      <w:r w:rsidR="0002114A" w:rsidRPr="00EC4BA6">
        <w:t>from 2024–25 to 2028–29</w:t>
      </w:r>
      <w:r w:rsidRPr="00EC4BA6">
        <w:t xml:space="preserve">. Policy decisions </w:t>
      </w:r>
      <w:r w:rsidR="00187F00" w:rsidRPr="00EC4BA6">
        <w:t>decrease</w:t>
      </w:r>
      <w:r w:rsidRPr="00EC4BA6">
        <w:t xml:space="preserve"> total receipts by $</w:t>
      </w:r>
      <w:r w:rsidR="005670B5" w:rsidRPr="00EC4BA6">
        <w:t>1</w:t>
      </w:r>
      <w:r w:rsidR="00AA5A43" w:rsidRPr="00EC4BA6">
        <w:t>03.0</w:t>
      </w:r>
      <w:r w:rsidR="001F370D">
        <w:t> </w:t>
      </w:r>
      <w:r w:rsidR="005670B5" w:rsidRPr="00EC4BA6">
        <w:t>million</w:t>
      </w:r>
      <w:r w:rsidRPr="00EC4BA6">
        <w:t xml:space="preserve"> in </w:t>
      </w:r>
      <w:r w:rsidR="0002114A" w:rsidRPr="00EC4BA6">
        <w:t>2025–26 and $</w:t>
      </w:r>
      <w:r w:rsidR="00045C16" w:rsidRPr="00EC4BA6">
        <w:t>1</w:t>
      </w:r>
      <w:r w:rsidR="00AA5A43" w:rsidRPr="00EC4BA6">
        <w:t>4.2</w:t>
      </w:r>
      <w:r w:rsidR="004E3AA7">
        <w:t> </w:t>
      </w:r>
      <w:r w:rsidR="0002114A" w:rsidRPr="00EC4BA6">
        <w:t>billion over the five years from 2024–25 to 2028–29</w:t>
      </w:r>
      <w:r w:rsidRPr="00EC4BA6">
        <w:t xml:space="preserve">. The </w:t>
      </w:r>
      <w:r w:rsidR="0093720D" w:rsidRPr="00EC4BA6">
        <w:t>change</w:t>
      </w:r>
      <w:r w:rsidRPr="00EC4BA6">
        <w:t xml:space="preserve"> to </w:t>
      </w:r>
      <w:r w:rsidRPr="00EC4BA6">
        <w:rPr>
          <w:spacing w:val="-2"/>
        </w:rPr>
        <w:t xml:space="preserve">the </w:t>
      </w:r>
      <w:r w:rsidR="00C24A0B" w:rsidRPr="00EC4BA6">
        <w:rPr>
          <w:spacing w:val="-2"/>
        </w:rPr>
        <w:t>outlook</w:t>
      </w:r>
      <w:r w:rsidRPr="00EC4BA6">
        <w:rPr>
          <w:spacing w:val="-2"/>
        </w:rPr>
        <w:t xml:space="preserve"> of total receipts overwhelmingly reflects </w:t>
      </w:r>
      <w:r w:rsidR="0093720D" w:rsidRPr="00EC4BA6">
        <w:rPr>
          <w:spacing w:val="-2"/>
        </w:rPr>
        <w:t xml:space="preserve">changes </w:t>
      </w:r>
      <w:r w:rsidRPr="00EC4BA6">
        <w:rPr>
          <w:spacing w:val="-2"/>
        </w:rPr>
        <w:t xml:space="preserve">to the </w:t>
      </w:r>
      <w:r w:rsidR="00C24A0B" w:rsidRPr="00EC4BA6">
        <w:rPr>
          <w:spacing w:val="-2"/>
        </w:rPr>
        <w:t xml:space="preserve">outlook </w:t>
      </w:r>
      <w:r w:rsidRPr="00EC4BA6">
        <w:rPr>
          <w:spacing w:val="-2"/>
        </w:rPr>
        <w:t>of tax receipts.</w:t>
      </w:r>
      <w:bookmarkStart w:id="18" w:name="_Toc99201821"/>
      <w:bookmarkStart w:id="19" w:name="_Toc117324548"/>
    </w:p>
    <w:p w14:paraId="33F9D741" w14:textId="77777777" w:rsidR="00DF4D4F" w:rsidRPr="00EC4BA6" w:rsidRDefault="00DF4D4F" w:rsidP="00DF4D4F">
      <w:pPr>
        <w:pStyle w:val="Heading3"/>
      </w:pPr>
      <w:r w:rsidRPr="00EC4BA6">
        <w:t>Tax receipts estimates</w:t>
      </w:r>
      <w:bookmarkEnd w:id="14"/>
      <w:bookmarkEnd w:id="18"/>
      <w:bookmarkEnd w:id="19"/>
    </w:p>
    <w:p w14:paraId="12C3B215" w14:textId="167D1E5A" w:rsidR="00DF4D4F" w:rsidRPr="00EC4BA6" w:rsidRDefault="6D4D7B20" w:rsidP="00DF4D4F">
      <w:r w:rsidRPr="00EC4BA6">
        <w:t>T</w:t>
      </w:r>
      <w:r w:rsidR="00DF4D4F" w:rsidRPr="00EC4BA6">
        <w:t>ax receipts have been revised up by $</w:t>
      </w:r>
      <w:r w:rsidR="002E0458" w:rsidRPr="00EC4BA6">
        <w:t>6.4</w:t>
      </w:r>
      <w:r w:rsidR="6F592EDF" w:rsidRPr="00EC4BA6">
        <w:t> </w:t>
      </w:r>
      <w:r w:rsidR="00DF4D4F" w:rsidRPr="00EC4BA6">
        <w:t>billion in 202</w:t>
      </w:r>
      <w:r w:rsidR="194C4254" w:rsidRPr="00EC4BA6">
        <w:t>5</w:t>
      </w:r>
      <w:r w:rsidR="00DF4D4F" w:rsidRPr="00EC4BA6">
        <w:t>–2</w:t>
      </w:r>
      <w:r w:rsidR="194C4254" w:rsidRPr="00EC4BA6">
        <w:t>6</w:t>
      </w:r>
      <w:r w:rsidR="00DF4D4F" w:rsidRPr="00EC4BA6">
        <w:t xml:space="preserve"> and </w:t>
      </w:r>
      <w:r w:rsidR="008D7035" w:rsidRPr="00EC4BA6">
        <w:t xml:space="preserve">down </w:t>
      </w:r>
      <w:r w:rsidR="00DF4D4F" w:rsidRPr="00EC4BA6">
        <w:t>by $</w:t>
      </w:r>
      <w:r w:rsidR="00215F2E" w:rsidRPr="00EC4BA6">
        <w:t>6.</w:t>
      </w:r>
      <w:r w:rsidR="005836F2" w:rsidRPr="00EC4BA6">
        <w:t>6</w:t>
      </w:r>
      <w:r w:rsidR="6F592EDF" w:rsidRPr="00EC4BA6">
        <w:t> </w:t>
      </w:r>
      <w:r w:rsidR="00DF4D4F" w:rsidRPr="00EC4BA6">
        <w:t xml:space="preserve">billion </w:t>
      </w:r>
      <w:r w:rsidR="194C4254" w:rsidRPr="00EC4BA6">
        <w:t>over the five years from 2024–25 to 2028–29</w:t>
      </w:r>
      <w:r w:rsidR="1D12E08E" w:rsidRPr="00EC4BA6">
        <w:t xml:space="preserve"> since MYEFO</w:t>
      </w:r>
      <w:r w:rsidR="00DF4D4F" w:rsidRPr="00EC4BA6">
        <w:t xml:space="preserve">. </w:t>
      </w:r>
    </w:p>
    <w:p w14:paraId="4D673C80" w14:textId="32B57C24" w:rsidR="00DF4D4F" w:rsidRPr="00EC4BA6" w:rsidRDefault="00DF4D4F" w:rsidP="00DF4D4F">
      <w:r w:rsidRPr="00EC4BA6">
        <w:t>Table </w:t>
      </w:r>
      <w:r w:rsidR="002573C3" w:rsidRPr="00EC4BA6">
        <w:t>4</w:t>
      </w:r>
      <w:r w:rsidRPr="00EC4BA6">
        <w:t>.3 reconciles the 202</w:t>
      </w:r>
      <w:r w:rsidR="00E4721C" w:rsidRPr="00EC4BA6">
        <w:t>5</w:t>
      </w:r>
      <w:r w:rsidRPr="00EC4BA6">
        <w:t>–2</w:t>
      </w:r>
      <w:r w:rsidR="00E4721C" w:rsidRPr="00EC4BA6">
        <w:t>6</w:t>
      </w:r>
      <w:r w:rsidR="001F370D">
        <w:t> </w:t>
      </w:r>
      <w:r w:rsidRPr="00EC4BA6">
        <w:t>Budget estimates of tax receipts with the 202</w:t>
      </w:r>
      <w:r w:rsidR="00F0144F" w:rsidRPr="00EC4BA6">
        <w:t>4</w:t>
      </w:r>
      <w:r w:rsidRPr="00EC4BA6">
        <w:t>–</w:t>
      </w:r>
      <w:r w:rsidR="00F03C2E" w:rsidRPr="00EC4BA6">
        <w:t>25</w:t>
      </w:r>
      <w:r w:rsidR="00416C2A" w:rsidRPr="00EC4BA6">
        <w:t> </w:t>
      </w:r>
      <w:r w:rsidRPr="00EC4BA6">
        <w:t xml:space="preserve">Budget and MYEFO. </w:t>
      </w:r>
      <w:bookmarkStart w:id="20" w:name="_Toc481069565"/>
      <w:bookmarkStart w:id="21" w:name="_Toc512337933"/>
      <w:r w:rsidRPr="00EC4BA6">
        <w:br w:type="page"/>
      </w:r>
    </w:p>
    <w:p w14:paraId="4BB2BFAC" w14:textId="31D36EC8" w:rsidR="001F1BE2" w:rsidRPr="00EC4BA6" w:rsidRDefault="00DF4D4F" w:rsidP="001F1BE2">
      <w:pPr>
        <w:pStyle w:val="TableHeading"/>
        <w:rPr>
          <w:rFonts w:eastAsiaTheme="minorHAnsi"/>
        </w:rPr>
      </w:pPr>
      <w:r w:rsidRPr="00EC4BA6">
        <w:lastRenderedPageBreak/>
        <w:t xml:space="preserve">Table </w:t>
      </w:r>
      <w:r w:rsidR="00FA1FCD" w:rsidRPr="00EC4BA6">
        <w:t>4</w:t>
      </w:r>
      <w:r w:rsidRPr="00EC4BA6">
        <w:t xml:space="preserve">.3: Reconciliation of Australian Government general government tax receipts </w:t>
      </w:r>
      <w:proofErr w:type="gramStart"/>
      <w:r w:rsidRPr="00EC4BA6">
        <w:t>estimates</w:t>
      </w:r>
      <w:proofErr w:type="gramEnd"/>
      <w:r w:rsidRPr="00EC4BA6">
        <w:t xml:space="preserve"> from the 202</w:t>
      </w:r>
      <w:r w:rsidR="00F0144F" w:rsidRPr="00EC4BA6">
        <w:t>4</w:t>
      </w:r>
      <w:r w:rsidRPr="00EC4BA6">
        <w:t>–2</w:t>
      </w:r>
      <w:r w:rsidR="00F0144F" w:rsidRPr="00EC4BA6">
        <w:t>5</w:t>
      </w:r>
      <w:r w:rsidRPr="00EC4BA6">
        <w:t xml:space="preserve"> MYEFO and 202</w:t>
      </w:r>
      <w:r w:rsidR="00F0144F" w:rsidRPr="00EC4BA6">
        <w:t>4</w:t>
      </w:r>
      <w:r w:rsidRPr="00EC4BA6">
        <w:t>–2</w:t>
      </w:r>
      <w:r w:rsidR="00F0144F" w:rsidRPr="00EC4BA6">
        <w:t>5</w:t>
      </w:r>
      <w:r w:rsidRPr="00EC4BA6">
        <w:t xml:space="preserve"> Budge</w:t>
      </w:r>
      <w:r w:rsidR="006E1F03" w:rsidRPr="00EC4BA6">
        <w:t>t</w:t>
      </w:r>
    </w:p>
    <w:tbl>
      <w:tblPr>
        <w:tblW w:w="5000" w:type="pct"/>
        <w:tblCellMar>
          <w:left w:w="0" w:type="dxa"/>
          <w:right w:w="28" w:type="dxa"/>
        </w:tblCellMar>
        <w:tblLook w:val="04A0" w:firstRow="1" w:lastRow="0" w:firstColumn="1" w:lastColumn="0" w:noHBand="0" w:noVBand="1"/>
      </w:tblPr>
      <w:tblGrid>
        <w:gridCol w:w="3110"/>
        <w:gridCol w:w="744"/>
        <w:gridCol w:w="745"/>
        <w:gridCol w:w="745"/>
        <w:gridCol w:w="745"/>
        <w:gridCol w:w="747"/>
        <w:gridCol w:w="81"/>
        <w:gridCol w:w="782"/>
        <w:gridCol w:w="11"/>
      </w:tblGrid>
      <w:tr w:rsidR="001F1BE2" w:rsidRPr="00EC4BA6" w14:paraId="281916B3" w14:textId="77777777" w:rsidTr="001F1BE2">
        <w:trPr>
          <w:gridAfter w:val="1"/>
          <w:wAfter w:w="8" w:type="dxa"/>
          <w:trHeight w:hRule="exact" w:val="225"/>
        </w:trPr>
        <w:tc>
          <w:tcPr>
            <w:tcW w:w="2018" w:type="pct"/>
            <w:tcBorders>
              <w:top w:val="single" w:sz="4" w:space="0" w:color="293F5B"/>
              <w:left w:val="nil"/>
              <w:bottom w:val="nil"/>
              <w:right w:val="nil"/>
            </w:tcBorders>
            <w:shd w:val="clear" w:color="auto" w:fill="auto"/>
            <w:noWrap/>
            <w:vAlign w:val="center"/>
            <w:hideMark/>
          </w:tcPr>
          <w:p w14:paraId="25E2F2A0" w14:textId="37762D40" w:rsidR="001F1BE2" w:rsidRPr="00EC4BA6" w:rsidRDefault="001F1BE2" w:rsidP="001F1BE2">
            <w:pPr>
              <w:spacing w:before="0" w:after="0"/>
              <w:jc w:val="both"/>
              <w:rPr>
                <w:rFonts w:ascii="Arial" w:hAnsi="Arial" w:cs="Arial"/>
                <w:sz w:val="16"/>
                <w:szCs w:val="16"/>
              </w:rPr>
            </w:pPr>
            <w:r w:rsidRPr="00EC4BA6">
              <w:rPr>
                <w:rFonts w:ascii="Arial" w:hAnsi="Arial" w:cs="Arial"/>
                <w:sz w:val="16"/>
                <w:szCs w:val="16"/>
              </w:rPr>
              <w:t> </w:t>
            </w:r>
          </w:p>
        </w:tc>
        <w:tc>
          <w:tcPr>
            <w:tcW w:w="2421" w:type="pct"/>
            <w:gridSpan w:val="5"/>
            <w:tcBorders>
              <w:top w:val="single" w:sz="4" w:space="0" w:color="293F5B"/>
              <w:left w:val="nil"/>
              <w:bottom w:val="nil"/>
              <w:right w:val="nil"/>
            </w:tcBorders>
            <w:shd w:val="clear" w:color="auto" w:fill="auto"/>
            <w:noWrap/>
            <w:vAlign w:val="center"/>
            <w:hideMark/>
          </w:tcPr>
          <w:p w14:paraId="0E829F66" w14:textId="77777777" w:rsidR="001F1BE2" w:rsidRPr="00EC4BA6" w:rsidRDefault="001F1BE2" w:rsidP="001F1BE2">
            <w:pPr>
              <w:spacing w:before="0" w:after="0" w:line="240" w:lineRule="auto"/>
              <w:jc w:val="center"/>
              <w:rPr>
                <w:rFonts w:ascii="Arial" w:hAnsi="Arial" w:cs="Arial"/>
                <w:sz w:val="16"/>
                <w:szCs w:val="16"/>
              </w:rPr>
            </w:pPr>
            <w:r w:rsidRPr="00EC4BA6">
              <w:rPr>
                <w:rFonts w:ascii="Arial" w:hAnsi="Arial" w:cs="Arial"/>
                <w:sz w:val="16"/>
                <w:szCs w:val="16"/>
              </w:rPr>
              <w:t>Estimates</w:t>
            </w:r>
          </w:p>
        </w:tc>
        <w:tc>
          <w:tcPr>
            <w:tcW w:w="53" w:type="pct"/>
            <w:tcBorders>
              <w:top w:val="single" w:sz="4" w:space="0" w:color="293F5B"/>
              <w:left w:val="nil"/>
              <w:bottom w:val="nil"/>
              <w:right w:val="nil"/>
            </w:tcBorders>
            <w:shd w:val="clear" w:color="auto" w:fill="auto"/>
            <w:noWrap/>
            <w:vAlign w:val="center"/>
            <w:hideMark/>
          </w:tcPr>
          <w:p w14:paraId="4429B32B" w14:textId="77777777" w:rsidR="001F1BE2" w:rsidRPr="00EC4BA6" w:rsidRDefault="001F1BE2" w:rsidP="001F1BE2">
            <w:pPr>
              <w:spacing w:before="0" w:after="0" w:line="240" w:lineRule="auto"/>
              <w:rPr>
                <w:rFonts w:ascii="Arial" w:hAnsi="Arial" w:cs="Arial"/>
                <w:sz w:val="16"/>
                <w:szCs w:val="16"/>
              </w:rPr>
            </w:pPr>
            <w:r w:rsidRPr="00EC4BA6">
              <w:rPr>
                <w:rFonts w:ascii="Arial" w:hAnsi="Arial" w:cs="Arial"/>
                <w:sz w:val="16"/>
                <w:szCs w:val="16"/>
              </w:rPr>
              <w:t> </w:t>
            </w:r>
          </w:p>
        </w:tc>
        <w:tc>
          <w:tcPr>
            <w:tcW w:w="508" w:type="pct"/>
            <w:tcBorders>
              <w:top w:val="single" w:sz="4" w:space="0" w:color="293F5B"/>
              <w:left w:val="nil"/>
              <w:bottom w:val="nil"/>
              <w:right w:val="nil"/>
            </w:tcBorders>
            <w:shd w:val="clear" w:color="auto" w:fill="auto"/>
            <w:noWrap/>
            <w:vAlign w:val="center"/>
            <w:hideMark/>
          </w:tcPr>
          <w:p w14:paraId="0ECB4B6C" w14:textId="77777777" w:rsidR="001F1BE2" w:rsidRPr="00EC4BA6" w:rsidRDefault="001F1BE2" w:rsidP="001F1BE2">
            <w:pPr>
              <w:spacing w:before="0" w:after="0" w:line="240" w:lineRule="auto"/>
              <w:rPr>
                <w:rFonts w:ascii="Arial" w:hAnsi="Arial" w:cs="Arial"/>
                <w:sz w:val="16"/>
                <w:szCs w:val="16"/>
              </w:rPr>
            </w:pPr>
            <w:r w:rsidRPr="00EC4BA6">
              <w:rPr>
                <w:rFonts w:ascii="Arial" w:hAnsi="Arial" w:cs="Arial"/>
                <w:sz w:val="16"/>
                <w:szCs w:val="16"/>
              </w:rPr>
              <w:t> </w:t>
            </w:r>
          </w:p>
        </w:tc>
      </w:tr>
      <w:tr w:rsidR="001F1BE2" w:rsidRPr="00EC4BA6" w14:paraId="35104471" w14:textId="77777777" w:rsidTr="001F1BE2">
        <w:trPr>
          <w:trHeight w:hRule="exact" w:val="225"/>
        </w:trPr>
        <w:tc>
          <w:tcPr>
            <w:tcW w:w="2018" w:type="pct"/>
            <w:tcBorders>
              <w:top w:val="nil"/>
              <w:left w:val="nil"/>
              <w:bottom w:val="nil"/>
              <w:right w:val="nil"/>
            </w:tcBorders>
            <w:shd w:val="clear" w:color="auto" w:fill="auto"/>
            <w:noWrap/>
            <w:vAlign w:val="center"/>
            <w:hideMark/>
          </w:tcPr>
          <w:p w14:paraId="658887CC" w14:textId="77777777" w:rsidR="001F1BE2" w:rsidRPr="00EC4BA6" w:rsidRDefault="001F1BE2" w:rsidP="001F1BE2">
            <w:pPr>
              <w:spacing w:before="0" w:after="0" w:line="240" w:lineRule="auto"/>
              <w:rPr>
                <w:rFonts w:ascii="Arial" w:hAnsi="Arial" w:cs="Arial"/>
                <w:sz w:val="16"/>
                <w:szCs w:val="16"/>
              </w:rPr>
            </w:pPr>
          </w:p>
        </w:tc>
        <w:tc>
          <w:tcPr>
            <w:tcW w:w="484" w:type="pct"/>
            <w:tcBorders>
              <w:top w:val="single" w:sz="4" w:space="0" w:color="293F5B"/>
              <w:left w:val="nil"/>
              <w:bottom w:val="nil"/>
              <w:right w:val="nil"/>
            </w:tcBorders>
            <w:shd w:val="clear" w:color="auto" w:fill="auto"/>
            <w:noWrap/>
            <w:vAlign w:val="center"/>
            <w:hideMark/>
          </w:tcPr>
          <w:p w14:paraId="41CE94D8" w14:textId="4EB72959" w:rsidR="001F1BE2" w:rsidRPr="00EC4BA6" w:rsidRDefault="001F1BE2" w:rsidP="001F1BE2">
            <w:pPr>
              <w:spacing w:before="0" w:after="0" w:line="240" w:lineRule="auto"/>
              <w:jc w:val="right"/>
              <w:rPr>
                <w:rFonts w:ascii="Arial" w:hAnsi="Arial" w:cs="Arial"/>
                <w:sz w:val="16"/>
                <w:szCs w:val="16"/>
              </w:rPr>
            </w:pPr>
            <w:r w:rsidRPr="00EC4BA6">
              <w:rPr>
                <w:rFonts w:ascii="Arial" w:hAnsi="Arial" w:cs="Arial"/>
                <w:sz w:val="16"/>
                <w:szCs w:val="16"/>
              </w:rPr>
              <w:t>2024</w:t>
            </w:r>
            <w:r w:rsidR="001A3DD6">
              <w:rPr>
                <w:rFonts w:ascii="Arial" w:hAnsi="Arial" w:cs="Arial"/>
                <w:sz w:val="16"/>
                <w:szCs w:val="16"/>
              </w:rPr>
              <w:noBreakHyphen/>
            </w:r>
            <w:r w:rsidRPr="00EC4BA6">
              <w:rPr>
                <w:rFonts w:ascii="Arial" w:hAnsi="Arial" w:cs="Arial"/>
                <w:sz w:val="16"/>
                <w:szCs w:val="16"/>
              </w:rPr>
              <w:t>25</w:t>
            </w:r>
          </w:p>
        </w:tc>
        <w:tc>
          <w:tcPr>
            <w:tcW w:w="484" w:type="pct"/>
            <w:tcBorders>
              <w:top w:val="single" w:sz="4" w:space="0" w:color="293F5B"/>
              <w:left w:val="nil"/>
              <w:bottom w:val="nil"/>
              <w:right w:val="nil"/>
            </w:tcBorders>
            <w:shd w:val="clear" w:color="000000" w:fill="E6F2FF"/>
            <w:noWrap/>
            <w:vAlign w:val="center"/>
            <w:hideMark/>
          </w:tcPr>
          <w:p w14:paraId="2D31065A" w14:textId="7626DB01" w:rsidR="001F1BE2" w:rsidRPr="00EC4BA6" w:rsidRDefault="001F1BE2" w:rsidP="001F1BE2">
            <w:pPr>
              <w:spacing w:before="0" w:after="0" w:line="240" w:lineRule="auto"/>
              <w:jc w:val="right"/>
              <w:rPr>
                <w:rFonts w:ascii="Arial" w:hAnsi="Arial" w:cs="Arial"/>
                <w:sz w:val="16"/>
                <w:szCs w:val="16"/>
              </w:rPr>
            </w:pPr>
            <w:r w:rsidRPr="00EC4BA6">
              <w:rPr>
                <w:rFonts w:ascii="Arial" w:hAnsi="Arial" w:cs="Arial"/>
                <w:sz w:val="16"/>
                <w:szCs w:val="16"/>
              </w:rPr>
              <w:t>2025</w:t>
            </w:r>
            <w:r w:rsidR="001A3DD6">
              <w:rPr>
                <w:rFonts w:ascii="Arial" w:hAnsi="Arial" w:cs="Arial"/>
                <w:sz w:val="16"/>
                <w:szCs w:val="16"/>
              </w:rPr>
              <w:noBreakHyphen/>
            </w:r>
            <w:r w:rsidRPr="00EC4BA6">
              <w:rPr>
                <w:rFonts w:ascii="Arial" w:hAnsi="Arial" w:cs="Arial"/>
                <w:sz w:val="16"/>
                <w:szCs w:val="16"/>
              </w:rPr>
              <w:t>26</w:t>
            </w:r>
          </w:p>
        </w:tc>
        <w:tc>
          <w:tcPr>
            <w:tcW w:w="484" w:type="pct"/>
            <w:tcBorders>
              <w:top w:val="single" w:sz="4" w:space="0" w:color="293F5B"/>
              <w:left w:val="nil"/>
              <w:bottom w:val="nil"/>
              <w:right w:val="nil"/>
            </w:tcBorders>
            <w:shd w:val="clear" w:color="auto" w:fill="auto"/>
            <w:noWrap/>
            <w:vAlign w:val="center"/>
            <w:hideMark/>
          </w:tcPr>
          <w:p w14:paraId="4CCD630A" w14:textId="3BAFEE25" w:rsidR="001F1BE2" w:rsidRPr="00EC4BA6" w:rsidRDefault="001F1BE2" w:rsidP="001F1BE2">
            <w:pPr>
              <w:spacing w:before="0" w:after="0" w:line="240" w:lineRule="auto"/>
              <w:jc w:val="right"/>
              <w:rPr>
                <w:rFonts w:ascii="Arial" w:hAnsi="Arial" w:cs="Arial"/>
                <w:sz w:val="16"/>
                <w:szCs w:val="16"/>
              </w:rPr>
            </w:pPr>
            <w:r w:rsidRPr="00EC4BA6">
              <w:rPr>
                <w:rFonts w:ascii="Arial" w:hAnsi="Arial" w:cs="Arial"/>
                <w:sz w:val="16"/>
                <w:szCs w:val="16"/>
              </w:rPr>
              <w:t>2026</w:t>
            </w:r>
            <w:r w:rsidR="001A3DD6">
              <w:rPr>
                <w:rFonts w:ascii="Arial" w:hAnsi="Arial" w:cs="Arial"/>
                <w:sz w:val="16"/>
                <w:szCs w:val="16"/>
              </w:rPr>
              <w:noBreakHyphen/>
            </w:r>
            <w:r w:rsidRPr="00EC4BA6">
              <w:rPr>
                <w:rFonts w:ascii="Arial" w:hAnsi="Arial" w:cs="Arial"/>
                <w:sz w:val="16"/>
                <w:szCs w:val="16"/>
              </w:rPr>
              <w:t>27</w:t>
            </w:r>
          </w:p>
        </w:tc>
        <w:tc>
          <w:tcPr>
            <w:tcW w:w="484" w:type="pct"/>
            <w:tcBorders>
              <w:top w:val="single" w:sz="4" w:space="0" w:color="293F5B"/>
              <w:left w:val="nil"/>
              <w:bottom w:val="nil"/>
              <w:right w:val="nil"/>
            </w:tcBorders>
            <w:shd w:val="clear" w:color="auto" w:fill="auto"/>
            <w:noWrap/>
            <w:vAlign w:val="center"/>
            <w:hideMark/>
          </w:tcPr>
          <w:p w14:paraId="7E5D673F" w14:textId="7CF85232" w:rsidR="001F1BE2" w:rsidRPr="00EC4BA6" w:rsidRDefault="001F1BE2" w:rsidP="001F1BE2">
            <w:pPr>
              <w:spacing w:before="0" w:after="0" w:line="240" w:lineRule="auto"/>
              <w:jc w:val="right"/>
              <w:rPr>
                <w:rFonts w:ascii="Arial" w:hAnsi="Arial" w:cs="Arial"/>
                <w:sz w:val="16"/>
                <w:szCs w:val="16"/>
              </w:rPr>
            </w:pPr>
            <w:r w:rsidRPr="00EC4BA6">
              <w:rPr>
                <w:rFonts w:ascii="Arial" w:hAnsi="Arial" w:cs="Arial"/>
                <w:sz w:val="16"/>
                <w:szCs w:val="16"/>
              </w:rPr>
              <w:t>2027</w:t>
            </w:r>
            <w:r w:rsidR="001A3DD6">
              <w:rPr>
                <w:rFonts w:ascii="Arial" w:hAnsi="Arial" w:cs="Arial"/>
                <w:sz w:val="16"/>
                <w:szCs w:val="16"/>
              </w:rPr>
              <w:noBreakHyphen/>
            </w:r>
            <w:r w:rsidRPr="00EC4BA6">
              <w:rPr>
                <w:rFonts w:ascii="Arial" w:hAnsi="Arial" w:cs="Arial"/>
                <w:sz w:val="16"/>
                <w:szCs w:val="16"/>
              </w:rPr>
              <w:t>28</w:t>
            </w:r>
          </w:p>
        </w:tc>
        <w:tc>
          <w:tcPr>
            <w:tcW w:w="484" w:type="pct"/>
            <w:tcBorders>
              <w:top w:val="single" w:sz="4" w:space="0" w:color="293F5B"/>
              <w:left w:val="nil"/>
              <w:bottom w:val="nil"/>
              <w:right w:val="nil"/>
            </w:tcBorders>
            <w:shd w:val="clear" w:color="auto" w:fill="auto"/>
            <w:noWrap/>
            <w:vAlign w:val="center"/>
            <w:hideMark/>
          </w:tcPr>
          <w:p w14:paraId="604EDC50" w14:textId="1E66E873" w:rsidR="001F1BE2" w:rsidRPr="00EC4BA6" w:rsidRDefault="001F1BE2" w:rsidP="001F1BE2">
            <w:pPr>
              <w:spacing w:before="0" w:after="0" w:line="240" w:lineRule="auto"/>
              <w:jc w:val="right"/>
              <w:rPr>
                <w:rFonts w:ascii="Arial" w:hAnsi="Arial" w:cs="Arial"/>
                <w:sz w:val="16"/>
                <w:szCs w:val="16"/>
              </w:rPr>
            </w:pPr>
            <w:r w:rsidRPr="00EC4BA6">
              <w:rPr>
                <w:rFonts w:ascii="Arial" w:hAnsi="Arial" w:cs="Arial"/>
                <w:sz w:val="16"/>
                <w:szCs w:val="16"/>
              </w:rPr>
              <w:t>2028</w:t>
            </w:r>
            <w:r w:rsidR="001A3DD6">
              <w:rPr>
                <w:rFonts w:ascii="Arial" w:hAnsi="Arial" w:cs="Arial"/>
                <w:sz w:val="16"/>
                <w:szCs w:val="16"/>
              </w:rPr>
              <w:noBreakHyphen/>
            </w:r>
            <w:r w:rsidRPr="00EC4BA6">
              <w:rPr>
                <w:rFonts w:ascii="Arial" w:hAnsi="Arial" w:cs="Arial"/>
                <w:sz w:val="16"/>
                <w:szCs w:val="16"/>
              </w:rPr>
              <w:t>29</w:t>
            </w:r>
          </w:p>
        </w:tc>
        <w:tc>
          <w:tcPr>
            <w:tcW w:w="53" w:type="pct"/>
            <w:tcBorders>
              <w:top w:val="nil"/>
              <w:left w:val="nil"/>
              <w:bottom w:val="nil"/>
              <w:right w:val="nil"/>
            </w:tcBorders>
            <w:shd w:val="clear" w:color="auto" w:fill="auto"/>
            <w:noWrap/>
            <w:vAlign w:val="center"/>
            <w:hideMark/>
          </w:tcPr>
          <w:p w14:paraId="4C66CFCA" w14:textId="77777777" w:rsidR="001F1BE2" w:rsidRPr="00EC4BA6" w:rsidRDefault="001F1BE2" w:rsidP="001F1BE2">
            <w:pPr>
              <w:spacing w:before="0" w:after="0" w:line="240" w:lineRule="auto"/>
              <w:jc w:val="right"/>
              <w:rPr>
                <w:rFonts w:ascii="Arial" w:hAnsi="Arial" w:cs="Arial"/>
                <w:sz w:val="16"/>
                <w:szCs w:val="16"/>
              </w:rPr>
            </w:pPr>
          </w:p>
        </w:tc>
        <w:tc>
          <w:tcPr>
            <w:tcW w:w="508" w:type="pct"/>
            <w:gridSpan w:val="2"/>
            <w:tcBorders>
              <w:top w:val="single" w:sz="4" w:space="0" w:color="293F5B"/>
              <w:left w:val="nil"/>
              <w:bottom w:val="nil"/>
              <w:right w:val="nil"/>
            </w:tcBorders>
            <w:shd w:val="clear" w:color="auto" w:fill="auto"/>
            <w:noWrap/>
            <w:vAlign w:val="center"/>
            <w:hideMark/>
          </w:tcPr>
          <w:p w14:paraId="1F3E5359" w14:textId="77777777" w:rsidR="001F1BE2" w:rsidRPr="00EC4BA6" w:rsidRDefault="001F1BE2" w:rsidP="001F1BE2">
            <w:pPr>
              <w:spacing w:before="0" w:after="0" w:line="240" w:lineRule="auto"/>
              <w:jc w:val="right"/>
              <w:rPr>
                <w:rFonts w:ascii="Arial" w:hAnsi="Arial" w:cs="Arial"/>
                <w:sz w:val="16"/>
                <w:szCs w:val="16"/>
              </w:rPr>
            </w:pPr>
            <w:r w:rsidRPr="00EC4BA6">
              <w:rPr>
                <w:rFonts w:ascii="Arial" w:hAnsi="Arial" w:cs="Arial"/>
                <w:sz w:val="16"/>
                <w:szCs w:val="16"/>
              </w:rPr>
              <w:t>Total</w:t>
            </w:r>
          </w:p>
        </w:tc>
      </w:tr>
      <w:tr w:rsidR="001F1BE2" w:rsidRPr="00EC4BA6" w14:paraId="3219564F" w14:textId="77777777" w:rsidTr="001F1BE2">
        <w:trPr>
          <w:trHeight w:hRule="exact" w:val="225"/>
        </w:trPr>
        <w:tc>
          <w:tcPr>
            <w:tcW w:w="2018" w:type="pct"/>
            <w:tcBorders>
              <w:top w:val="nil"/>
              <w:left w:val="nil"/>
              <w:bottom w:val="nil"/>
              <w:right w:val="nil"/>
            </w:tcBorders>
            <w:shd w:val="clear" w:color="auto" w:fill="auto"/>
            <w:noWrap/>
            <w:vAlign w:val="center"/>
            <w:hideMark/>
          </w:tcPr>
          <w:p w14:paraId="4C1E64FD" w14:textId="77777777" w:rsidR="001F1BE2" w:rsidRPr="00EC4BA6" w:rsidRDefault="001F1BE2" w:rsidP="001F1BE2">
            <w:pPr>
              <w:spacing w:before="0" w:after="0" w:line="240" w:lineRule="auto"/>
              <w:jc w:val="right"/>
              <w:rPr>
                <w:rFonts w:ascii="Arial" w:hAnsi="Arial" w:cs="Arial"/>
                <w:sz w:val="16"/>
                <w:szCs w:val="16"/>
              </w:rPr>
            </w:pPr>
          </w:p>
        </w:tc>
        <w:tc>
          <w:tcPr>
            <w:tcW w:w="484" w:type="pct"/>
            <w:tcBorders>
              <w:top w:val="nil"/>
              <w:left w:val="nil"/>
              <w:bottom w:val="single" w:sz="4" w:space="0" w:color="293F5B"/>
              <w:right w:val="nil"/>
            </w:tcBorders>
            <w:shd w:val="clear" w:color="auto" w:fill="auto"/>
            <w:noWrap/>
            <w:vAlign w:val="center"/>
            <w:hideMark/>
          </w:tcPr>
          <w:p w14:paraId="451511C1" w14:textId="77777777" w:rsidR="001F1BE2" w:rsidRPr="00EC4BA6" w:rsidRDefault="001F1BE2" w:rsidP="001F1BE2">
            <w:pPr>
              <w:spacing w:before="0" w:after="0" w:line="240" w:lineRule="auto"/>
              <w:jc w:val="right"/>
              <w:rPr>
                <w:rFonts w:ascii="Arial" w:hAnsi="Arial" w:cs="Arial"/>
                <w:sz w:val="16"/>
                <w:szCs w:val="16"/>
              </w:rPr>
            </w:pPr>
            <w:r w:rsidRPr="00EC4BA6">
              <w:rPr>
                <w:rFonts w:ascii="Arial" w:hAnsi="Arial" w:cs="Arial"/>
                <w:sz w:val="16"/>
                <w:szCs w:val="16"/>
              </w:rPr>
              <w:t>$m</w:t>
            </w:r>
          </w:p>
        </w:tc>
        <w:tc>
          <w:tcPr>
            <w:tcW w:w="484" w:type="pct"/>
            <w:tcBorders>
              <w:top w:val="nil"/>
              <w:left w:val="nil"/>
              <w:bottom w:val="single" w:sz="4" w:space="0" w:color="293F5B"/>
              <w:right w:val="nil"/>
            </w:tcBorders>
            <w:shd w:val="clear" w:color="000000" w:fill="E6F2FF"/>
            <w:noWrap/>
            <w:vAlign w:val="center"/>
            <w:hideMark/>
          </w:tcPr>
          <w:p w14:paraId="5456FCC4" w14:textId="77777777" w:rsidR="001F1BE2" w:rsidRPr="00EC4BA6" w:rsidRDefault="001F1BE2" w:rsidP="001F1BE2">
            <w:pPr>
              <w:spacing w:before="0" w:after="0" w:line="240" w:lineRule="auto"/>
              <w:jc w:val="right"/>
              <w:rPr>
                <w:rFonts w:ascii="Arial" w:hAnsi="Arial" w:cs="Arial"/>
                <w:sz w:val="16"/>
                <w:szCs w:val="16"/>
              </w:rPr>
            </w:pPr>
            <w:r w:rsidRPr="00EC4BA6">
              <w:rPr>
                <w:rFonts w:ascii="Arial" w:hAnsi="Arial" w:cs="Arial"/>
                <w:sz w:val="16"/>
                <w:szCs w:val="16"/>
              </w:rPr>
              <w:t>$m</w:t>
            </w:r>
          </w:p>
        </w:tc>
        <w:tc>
          <w:tcPr>
            <w:tcW w:w="484" w:type="pct"/>
            <w:tcBorders>
              <w:top w:val="nil"/>
              <w:left w:val="nil"/>
              <w:bottom w:val="single" w:sz="4" w:space="0" w:color="293F5B"/>
              <w:right w:val="nil"/>
            </w:tcBorders>
            <w:shd w:val="clear" w:color="auto" w:fill="auto"/>
            <w:noWrap/>
            <w:vAlign w:val="center"/>
            <w:hideMark/>
          </w:tcPr>
          <w:p w14:paraId="282BDB5F" w14:textId="77777777" w:rsidR="001F1BE2" w:rsidRPr="00EC4BA6" w:rsidRDefault="001F1BE2" w:rsidP="001F1BE2">
            <w:pPr>
              <w:spacing w:before="0" w:after="0" w:line="240" w:lineRule="auto"/>
              <w:jc w:val="right"/>
              <w:rPr>
                <w:rFonts w:ascii="Arial" w:hAnsi="Arial" w:cs="Arial"/>
                <w:sz w:val="16"/>
                <w:szCs w:val="16"/>
              </w:rPr>
            </w:pPr>
            <w:r w:rsidRPr="00EC4BA6">
              <w:rPr>
                <w:rFonts w:ascii="Arial" w:hAnsi="Arial" w:cs="Arial"/>
                <w:sz w:val="16"/>
                <w:szCs w:val="16"/>
              </w:rPr>
              <w:t>$m</w:t>
            </w:r>
          </w:p>
        </w:tc>
        <w:tc>
          <w:tcPr>
            <w:tcW w:w="484" w:type="pct"/>
            <w:tcBorders>
              <w:top w:val="nil"/>
              <w:left w:val="nil"/>
              <w:bottom w:val="single" w:sz="4" w:space="0" w:color="293F5B"/>
              <w:right w:val="nil"/>
            </w:tcBorders>
            <w:shd w:val="clear" w:color="auto" w:fill="auto"/>
            <w:noWrap/>
            <w:vAlign w:val="center"/>
            <w:hideMark/>
          </w:tcPr>
          <w:p w14:paraId="358BA221" w14:textId="77777777" w:rsidR="001F1BE2" w:rsidRPr="00EC4BA6" w:rsidRDefault="001F1BE2" w:rsidP="001F1BE2">
            <w:pPr>
              <w:spacing w:before="0" w:after="0" w:line="240" w:lineRule="auto"/>
              <w:jc w:val="right"/>
              <w:rPr>
                <w:rFonts w:ascii="Arial" w:hAnsi="Arial" w:cs="Arial"/>
                <w:sz w:val="16"/>
                <w:szCs w:val="16"/>
              </w:rPr>
            </w:pPr>
            <w:r w:rsidRPr="00EC4BA6">
              <w:rPr>
                <w:rFonts w:ascii="Arial" w:hAnsi="Arial" w:cs="Arial"/>
                <w:sz w:val="16"/>
                <w:szCs w:val="16"/>
              </w:rPr>
              <w:t>$m</w:t>
            </w:r>
          </w:p>
        </w:tc>
        <w:tc>
          <w:tcPr>
            <w:tcW w:w="484" w:type="pct"/>
            <w:tcBorders>
              <w:top w:val="nil"/>
              <w:left w:val="nil"/>
              <w:bottom w:val="single" w:sz="4" w:space="0" w:color="293F5B"/>
              <w:right w:val="nil"/>
            </w:tcBorders>
            <w:shd w:val="clear" w:color="auto" w:fill="auto"/>
            <w:noWrap/>
            <w:vAlign w:val="center"/>
            <w:hideMark/>
          </w:tcPr>
          <w:p w14:paraId="48D7A4EE" w14:textId="77777777" w:rsidR="001F1BE2" w:rsidRPr="00EC4BA6" w:rsidRDefault="001F1BE2" w:rsidP="001F1BE2">
            <w:pPr>
              <w:spacing w:before="0" w:after="0" w:line="240" w:lineRule="auto"/>
              <w:jc w:val="right"/>
              <w:rPr>
                <w:rFonts w:ascii="Arial" w:hAnsi="Arial" w:cs="Arial"/>
                <w:sz w:val="16"/>
                <w:szCs w:val="16"/>
              </w:rPr>
            </w:pPr>
            <w:r w:rsidRPr="00EC4BA6">
              <w:rPr>
                <w:rFonts w:ascii="Arial" w:hAnsi="Arial" w:cs="Arial"/>
                <w:sz w:val="16"/>
                <w:szCs w:val="16"/>
              </w:rPr>
              <w:t>$m</w:t>
            </w:r>
          </w:p>
        </w:tc>
        <w:tc>
          <w:tcPr>
            <w:tcW w:w="53" w:type="pct"/>
            <w:tcBorders>
              <w:top w:val="nil"/>
              <w:left w:val="nil"/>
              <w:bottom w:val="nil"/>
              <w:right w:val="nil"/>
            </w:tcBorders>
            <w:shd w:val="clear" w:color="auto" w:fill="auto"/>
            <w:noWrap/>
            <w:vAlign w:val="center"/>
            <w:hideMark/>
          </w:tcPr>
          <w:p w14:paraId="13DF093E" w14:textId="77777777" w:rsidR="001F1BE2" w:rsidRPr="00EC4BA6" w:rsidRDefault="001F1BE2" w:rsidP="001F1BE2">
            <w:pPr>
              <w:spacing w:before="0" w:after="0" w:line="240" w:lineRule="auto"/>
              <w:jc w:val="right"/>
              <w:rPr>
                <w:rFonts w:ascii="Arial" w:hAnsi="Arial" w:cs="Arial"/>
                <w:sz w:val="16"/>
                <w:szCs w:val="16"/>
              </w:rPr>
            </w:pPr>
          </w:p>
        </w:tc>
        <w:tc>
          <w:tcPr>
            <w:tcW w:w="508" w:type="pct"/>
            <w:gridSpan w:val="2"/>
            <w:tcBorders>
              <w:top w:val="nil"/>
              <w:left w:val="nil"/>
              <w:bottom w:val="single" w:sz="4" w:space="0" w:color="293F5B"/>
              <w:right w:val="nil"/>
            </w:tcBorders>
            <w:shd w:val="clear" w:color="auto" w:fill="auto"/>
            <w:noWrap/>
            <w:vAlign w:val="center"/>
            <w:hideMark/>
          </w:tcPr>
          <w:p w14:paraId="6E724DA3" w14:textId="77777777" w:rsidR="001F1BE2" w:rsidRPr="00EC4BA6" w:rsidRDefault="001F1BE2" w:rsidP="001F1BE2">
            <w:pPr>
              <w:spacing w:before="0" w:after="0" w:line="240" w:lineRule="auto"/>
              <w:jc w:val="right"/>
              <w:rPr>
                <w:rFonts w:ascii="Arial" w:hAnsi="Arial" w:cs="Arial"/>
                <w:sz w:val="16"/>
                <w:szCs w:val="16"/>
              </w:rPr>
            </w:pPr>
            <w:r w:rsidRPr="00EC4BA6">
              <w:rPr>
                <w:rFonts w:ascii="Arial" w:hAnsi="Arial" w:cs="Arial"/>
                <w:sz w:val="16"/>
                <w:szCs w:val="16"/>
              </w:rPr>
              <w:t>$m</w:t>
            </w:r>
          </w:p>
        </w:tc>
      </w:tr>
      <w:tr w:rsidR="001F1BE2" w:rsidRPr="00EC4BA6" w14:paraId="259524B6" w14:textId="77777777" w:rsidTr="001F1BE2">
        <w:trPr>
          <w:trHeight w:hRule="exact" w:val="225"/>
        </w:trPr>
        <w:tc>
          <w:tcPr>
            <w:tcW w:w="2018" w:type="pct"/>
            <w:tcBorders>
              <w:top w:val="nil"/>
              <w:left w:val="nil"/>
              <w:bottom w:val="nil"/>
              <w:right w:val="nil"/>
            </w:tcBorders>
            <w:shd w:val="clear" w:color="auto" w:fill="auto"/>
            <w:vAlign w:val="center"/>
            <w:hideMark/>
          </w:tcPr>
          <w:p w14:paraId="1110E45A" w14:textId="5B7DF0FE" w:rsidR="001F1BE2" w:rsidRPr="00EC4BA6" w:rsidRDefault="001F1BE2" w:rsidP="001F1BE2">
            <w:pPr>
              <w:spacing w:before="0" w:after="0" w:line="240" w:lineRule="auto"/>
              <w:rPr>
                <w:rFonts w:ascii="Arial" w:hAnsi="Arial" w:cs="Arial"/>
                <w:b/>
                <w:sz w:val="16"/>
                <w:szCs w:val="16"/>
              </w:rPr>
            </w:pPr>
            <w:r w:rsidRPr="00EC4BA6">
              <w:rPr>
                <w:rFonts w:ascii="Arial" w:hAnsi="Arial" w:cs="Arial"/>
                <w:b/>
                <w:sz w:val="16"/>
                <w:szCs w:val="16"/>
              </w:rPr>
              <w:t xml:space="preserve">Tax receipts </w:t>
            </w:r>
            <w:proofErr w:type="gramStart"/>
            <w:r w:rsidRPr="00EC4BA6">
              <w:rPr>
                <w:rFonts w:ascii="Arial" w:hAnsi="Arial" w:cs="Arial"/>
                <w:b/>
                <w:sz w:val="16"/>
                <w:szCs w:val="16"/>
              </w:rPr>
              <w:t>at</w:t>
            </w:r>
            <w:proofErr w:type="gramEnd"/>
            <w:r w:rsidRPr="00EC4BA6">
              <w:rPr>
                <w:rFonts w:ascii="Arial" w:hAnsi="Arial" w:cs="Arial"/>
                <w:b/>
                <w:sz w:val="16"/>
                <w:szCs w:val="16"/>
              </w:rPr>
              <w:t xml:space="preserve"> 2024</w:t>
            </w:r>
            <w:r w:rsidR="001A3DD6">
              <w:rPr>
                <w:rFonts w:ascii="Arial" w:hAnsi="Arial" w:cs="Arial"/>
                <w:b/>
                <w:sz w:val="16"/>
                <w:szCs w:val="16"/>
              </w:rPr>
              <w:noBreakHyphen/>
            </w:r>
            <w:r w:rsidRPr="00EC4BA6">
              <w:rPr>
                <w:rFonts w:ascii="Arial" w:hAnsi="Arial" w:cs="Arial"/>
                <w:b/>
                <w:sz w:val="16"/>
                <w:szCs w:val="16"/>
              </w:rPr>
              <w:t>25 Budget</w:t>
            </w:r>
          </w:p>
        </w:tc>
        <w:tc>
          <w:tcPr>
            <w:tcW w:w="484" w:type="pct"/>
            <w:tcBorders>
              <w:top w:val="nil"/>
              <w:left w:val="nil"/>
              <w:bottom w:val="nil"/>
              <w:right w:val="nil"/>
            </w:tcBorders>
            <w:shd w:val="clear" w:color="auto" w:fill="auto"/>
            <w:noWrap/>
            <w:vAlign w:val="center"/>
            <w:hideMark/>
          </w:tcPr>
          <w:p w14:paraId="50150764" w14:textId="77777777" w:rsidR="001F1BE2" w:rsidRPr="00EC4BA6" w:rsidRDefault="001F1BE2" w:rsidP="001F1BE2">
            <w:pPr>
              <w:spacing w:before="0" w:after="0" w:line="240" w:lineRule="auto"/>
              <w:jc w:val="right"/>
              <w:rPr>
                <w:rFonts w:ascii="Arial" w:hAnsi="Arial" w:cs="Arial"/>
                <w:b/>
                <w:sz w:val="16"/>
                <w:szCs w:val="16"/>
              </w:rPr>
            </w:pPr>
            <w:r w:rsidRPr="00EC4BA6">
              <w:rPr>
                <w:rFonts w:ascii="Arial" w:hAnsi="Arial" w:cs="Arial"/>
                <w:b/>
                <w:sz w:val="16"/>
                <w:szCs w:val="16"/>
              </w:rPr>
              <w:t>642,542</w:t>
            </w:r>
          </w:p>
        </w:tc>
        <w:tc>
          <w:tcPr>
            <w:tcW w:w="484" w:type="pct"/>
            <w:tcBorders>
              <w:top w:val="nil"/>
              <w:left w:val="nil"/>
              <w:bottom w:val="nil"/>
              <w:right w:val="nil"/>
            </w:tcBorders>
            <w:shd w:val="clear" w:color="000000" w:fill="E6F2FF"/>
            <w:noWrap/>
            <w:vAlign w:val="center"/>
            <w:hideMark/>
          </w:tcPr>
          <w:p w14:paraId="51C97818" w14:textId="77777777" w:rsidR="001F1BE2" w:rsidRPr="00EC4BA6" w:rsidRDefault="001F1BE2" w:rsidP="001F1BE2">
            <w:pPr>
              <w:spacing w:before="0" w:after="0" w:line="240" w:lineRule="auto"/>
              <w:jc w:val="right"/>
              <w:rPr>
                <w:rFonts w:ascii="Arial" w:hAnsi="Arial" w:cs="Arial"/>
                <w:b/>
                <w:sz w:val="16"/>
                <w:szCs w:val="16"/>
              </w:rPr>
            </w:pPr>
            <w:r w:rsidRPr="00EC4BA6">
              <w:rPr>
                <w:rFonts w:ascii="Arial" w:hAnsi="Arial" w:cs="Arial"/>
                <w:b/>
                <w:sz w:val="16"/>
                <w:szCs w:val="16"/>
              </w:rPr>
              <w:t>661,583</w:t>
            </w:r>
          </w:p>
        </w:tc>
        <w:tc>
          <w:tcPr>
            <w:tcW w:w="484" w:type="pct"/>
            <w:tcBorders>
              <w:top w:val="nil"/>
              <w:left w:val="nil"/>
              <w:bottom w:val="nil"/>
              <w:right w:val="nil"/>
            </w:tcBorders>
            <w:shd w:val="clear" w:color="auto" w:fill="auto"/>
            <w:noWrap/>
            <w:vAlign w:val="center"/>
            <w:hideMark/>
          </w:tcPr>
          <w:p w14:paraId="391118B8" w14:textId="77777777" w:rsidR="001F1BE2" w:rsidRPr="00EC4BA6" w:rsidRDefault="001F1BE2" w:rsidP="001F1BE2">
            <w:pPr>
              <w:spacing w:before="0" w:after="0" w:line="240" w:lineRule="auto"/>
              <w:jc w:val="right"/>
              <w:rPr>
                <w:rFonts w:ascii="Arial" w:hAnsi="Arial" w:cs="Arial"/>
                <w:b/>
                <w:sz w:val="16"/>
                <w:szCs w:val="16"/>
              </w:rPr>
            </w:pPr>
            <w:r w:rsidRPr="00EC4BA6">
              <w:rPr>
                <w:rFonts w:ascii="Arial" w:hAnsi="Arial" w:cs="Arial"/>
                <w:b/>
                <w:sz w:val="16"/>
                <w:szCs w:val="16"/>
              </w:rPr>
              <w:t>702,278</w:t>
            </w:r>
          </w:p>
        </w:tc>
        <w:tc>
          <w:tcPr>
            <w:tcW w:w="484" w:type="pct"/>
            <w:tcBorders>
              <w:top w:val="nil"/>
              <w:left w:val="nil"/>
              <w:bottom w:val="nil"/>
              <w:right w:val="nil"/>
            </w:tcBorders>
            <w:shd w:val="clear" w:color="auto" w:fill="auto"/>
            <w:noWrap/>
            <w:vAlign w:val="center"/>
            <w:hideMark/>
          </w:tcPr>
          <w:p w14:paraId="5FEE292D" w14:textId="77777777" w:rsidR="001F1BE2" w:rsidRPr="00EC4BA6" w:rsidRDefault="001F1BE2" w:rsidP="001F1BE2">
            <w:pPr>
              <w:spacing w:before="0" w:after="0" w:line="240" w:lineRule="auto"/>
              <w:jc w:val="right"/>
              <w:rPr>
                <w:rFonts w:ascii="Arial" w:hAnsi="Arial" w:cs="Arial"/>
                <w:b/>
                <w:sz w:val="16"/>
                <w:szCs w:val="16"/>
              </w:rPr>
            </w:pPr>
            <w:r w:rsidRPr="00EC4BA6">
              <w:rPr>
                <w:rFonts w:ascii="Arial" w:hAnsi="Arial" w:cs="Arial"/>
                <w:b/>
                <w:sz w:val="16"/>
                <w:szCs w:val="16"/>
              </w:rPr>
              <w:t>742,299</w:t>
            </w:r>
          </w:p>
        </w:tc>
        <w:tc>
          <w:tcPr>
            <w:tcW w:w="484" w:type="pct"/>
            <w:tcBorders>
              <w:top w:val="nil"/>
              <w:left w:val="nil"/>
              <w:bottom w:val="nil"/>
              <w:right w:val="nil"/>
            </w:tcBorders>
            <w:shd w:val="clear" w:color="auto" w:fill="auto"/>
            <w:noWrap/>
            <w:vAlign w:val="center"/>
            <w:hideMark/>
          </w:tcPr>
          <w:p w14:paraId="4EAE977C" w14:textId="77777777" w:rsidR="001F1BE2" w:rsidRPr="00EC4BA6" w:rsidRDefault="001F1BE2" w:rsidP="001F1BE2">
            <w:pPr>
              <w:spacing w:before="0" w:after="0" w:line="240" w:lineRule="auto"/>
              <w:jc w:val="right"/>
              <w:rPr>
                <w:rFonts w:ascii="Arial" w:hAnsi="Arial" w:cs="Arial"/>
                <w:b/>
                <w:sz w:val="16"/>
                <w:szCs w:val="16"/>
              </w:rPr>
            </w:pPr>
            <w:r w:rsidRPr="00EC4BA6">
              <w:rPr>
                <w:rFonts w:ascii="Arial" w:hAnsi="Arial" w:cs="Arial"/>
                <w:b/>
                <w:sz w:val="16"/>
                <w:szCs w:val="16"/>
              </w:rPr>
              <w:t>*</w:t>
            </w:r>
          </w:p>
        </w:tc>
        <w:tc>
          <w:tcPr>
            <w:tcW w:w="53" w:type="pct"/>
            <w:tcBorders>
              <w:top w:val="nil"/>
              <w:left w:val="nil"/>
              <w:bottom w:val="nil"/>
              <w:right w:val="nil"/>
            </w:tcBorders>
            <w:shd w:val="clear" w:color="auto" w:fill="auto"/>
            <w:noWrap/>
            <w:vAlign w:val="center"/>
            <w:hideMark/>
          </w:tcPr>
          <w:p w14:paraId="1AF65EB8" w14:textId="77777777" w:rsidR="001F1BE2" w:rsidRPr="00EC4BA6" w:rsidRDefault="001F1BE2" w:rsidP="001F1BE2">
            <w:pPr>
              <w:spacing w:before="0" w:after="0" w:line="240" w:lineRule="auto"/>
              <w:jc w:val="right"/>
              <w:rPr>
                <w:rFonts w:ascii="Arial" w:hAnsi="Arial" w:cs="Arial"/>
                <w:b/>
                <w:sz w:val="16"/>
                <w:szCs w:val="16"/>
              </w:rPr>
            </w:pPr>
          </w:p>
        </w:tc>
        <w:tc>
          <w:tcPr>
            <w:tcW w:w="508" w:type="pct"/>
            <w:gridSpan w:val="2"/>
            <w:tcBorders>
              <w:top w:val="nil"/>
              <w:left w:val="nil"/>
              <w:bottom w:val="nil"/>
              <w:right w:val="nil"/>
            </w:tcBorders>
            <w:shd w:val="clear" w:color="auto" w:fill="auto"/>
            <w:noWrap/>
            <w:vAlign w:val="center"/>
            <w:hideMark/>
          </w:tcPr>
          <w:p w14:paraId="789C772E" w14:textId="77777777" w:rsidR="001F1BE2" w:rsidRPr="00EC4BA6" w:rsidRDefault="001F1BE2" w:rsidP="001F1BE2">
            <w:pPr>
              <w:spacing w:before="0" w:after="0" w:line="240" w:lineRule="auto"/>
              <w:jc w:val="right"/>
              <w:rPr>
                <w:rFonts w:ascii="Arial" w:hAnsi="Arial" w:cs="Arial"/>
                <w:b/>
                <w:sz w:val="16"/>
                <w:szCs w:val="16"/>
              </w:rPr>
            </w:pPr>
            <w:r w:rsidRPr="00EC4BA6">
              <w:rPr>
                <w:rFonts w:ascii="Arial" w:hAnsi="Arial" w:cs="Arial"/>
                <w:b/>
                <w:sz w:val="16"/>
                <w:szCs w:val="16"/>
              </w:rPr>
              <w:t>*</w:t>
            </w:r>
          </w:p>
        </w:tc>
      </w:tr>
      <w:tr w:rsidR="001F1BE2" w:rsidRPr="00EC4BA6" w14:paraId="0ABFDE29" w14:textId="77777777" w:rsidTr="001F1BE2">
        <w:trPr>
          <w:trHeight w:hRule="exact" w:val="60"/>
        </w:trPr>
        <w:tc>
          <w:tcPr>
            <w:tcW w:w="2018" w:type="pct"/>
            <w:tcBorders>
              <w:top w:val="nil"/>
              <w:left w:val="nil"/>
              <w:bottom w:val="nil"/>
              <w:right w:val="nil"/>
            </w:tcBorders>
            <w:shd w:val="clear" w:color="auto" w:fill="auto"/>
            <w:vAlign w:val="center"/>
            <w:hideMark/>
          </w:tcPr>
          <w:p w14:paraId="65AE1D7A" w14:textId="77777777" w:rsidR="001F1BE2" w:rsidRPr="00EC4BA6" w:rsidRDefault="001F1BE2" w:rsidP="001F1BE2">
            <w:pPr>
              <w:spacing w:before="0" w:after="0" w:line="240" w:lineRule="auto"/>
              <w:jc w:val="right"/>
              <w:rPr>
                <w:rFonts w:ascii="Arial" w:hAnsi="Arial" w:cs="Arial"/>
                <w:b/>
                <w:sz w:val="16"/>
                <w:szCs w:val="16"/>
              </w:rPr>
            </w:pPr>
          </w:p>
        </w:tc>
        <w:tc>
          <w:tcPr>
            <w:tcW w:w="484" w:type="pct"/>
            <w:tcBorders>
              <w:top w:val="nil"/>
              <w:left w:val="nil"/>
              <w:bottom w:val="nil"/>
              <w:right w:val="nil"/>
            </w:tcBorders>
            <w:shd w:val="clear" w:color="auto" w:fill="auto"/>
            <w:noWrap/>
            <w:vAlign w:val="center"/>
            <w:hideMark/>
          </w:tcPr>
          <w:p w14:paraId="63ADB679" w14:textId="77777777" w:rsidR="001F1BE2" w:rsidRPr="00EC4BA6" w:rsidRDefault="001F1BE2" w:rsidP="001F1BE2">
            <w:pPr>
              <w:spacing w:before="0" w:after="0" w:line="240" w:lineRule="auto"/>
              <w:jc w:val="right"/>
              <w:rPr>
                <w:rFonts w:ascii="Times New Roman" w:hAnsi="Times New Roman"/>
                <w:sz w:val="20"/>
              </w:rPr>
            </w:pPr>
          </w:p>
        </w:tc>
        <w:tc>
          <w:tcPr>
            <w:tcW w:w="484" w:type="pct"/>
            <w:tcBorders>
              <w:top w:val="nil"/>
              <w:left w:val="nil"/>
              <w:bottom w:val="nil"/>
              <w:right w:val="nil"/>
            </w:tcBorders>
            <w:shd w:val="clear" w:color="000000" w:fill="E6F2FF"/>
            <w:noWrap/>
            <w:vAlign w:val="center"/>
            <w:hideMark/>
          </w:tcPr>
          <w:p w14:paraId="1A3E220A" w14:textId="77777777" w:rsidR="001F1BE2" w:rsidRPr="00EC4BA6" w:rsidRDefault="001F1BE2" w:rsidP="001F1BE2">
            <w:pPr>
              <w:spacing w:before="0" w:after="0" w:line="240" w:lineRule="auto"/>
              <w:jc w:val="right"/>
              <w:rPr>
                <w:rFonts w:ascii="Arial" w:hAnsi="Arial" w:cs="Arial"/>
                <w:sz w:val="16"/>
                <w:szCs w:val="16"/>
              </w:rPr>
            </w:pPr>
            <w:r w:rsidRPr="00EC4BA6">
              <w:rPr>
                <w:rFonts w:ascii="Arial" w:hAnsi="Arial" w:cs="Arial"/>
                <w:sz w:val="16"/>
                <w:szCs w:val="16"/>
              </w:rPr>
              <w:t> </w:t>
            </w:r>
          </w:p>
        </w:tc>
        <w:tc>
          <w:tcPr>
            <w:tcW w:w="484" w:type="pct"/>
            <w:tcBorders>
              <w:top w:val="nil"/>
              <w:left w:val="nil"/>
              <w:bottom w:val="nil"/>
              <w:right w:val="nil"/>
            </w:tcBorders>
            <w:shd w:val="clear" w:color="auto" w:fill="auto"/>
            <w:noWrap/>
            <w:vAlign w:val="center"/>
            <w:hideMark/>
          </w:tcPr>
          <w:p w14:paraId="5CACAA8E" w14:textId="77777777" w:rsidR="001F1BE2" w:rsidRPr="00EC4BA6" w:rsidRDefault="001F1BE2" w:rsidP="001F1BE2">
            <w:pPr>
              <w:spacing w:before="0" w:after="0" w:line="240" w:lineRule="auto"/>
              <w:jc w:val="right"/>
              <w:rPr>
                <w:rFonts w:ascii="Arial" w:hAnsi="Arial" w:cs="Arial"/>
                <w:sz w:val="16"/>
                <w:szCs w:val="16"/>
              </w:rPr>
            </w:pPr>
          </w:p>
        </w:tc>
        <w:tc>
          <w:tcPr>
            <w:tcW w:w="484" w:type="pct"/>
            <w:tcBorders>
              <w:top w:val="nil"/>
              <w:left w:val="nil"/>
              <w:bottom w:val="nil"/>
              <w:right w:val="nil"/>
            </w:tcBorders>
            <w:shd w:val="clear" w:color="auto" w:fill="auto"/>
            <w:noWrap/>
            <w:vAlign w:val="center"/>
            <w:hideMark/>
          </w:tcPr>
          <w:p w14:paraId="6717EA04" w14:textId="77777777" w:rsidR="001F1BE2" w:rsidRPr="00EC4BA6" w:rsidRDefault="001F1BE2" w:rsidP="001F1BE2">
            <w:pPr>
              <w:spacing w:before="0" w:after="0" w:line="240" w:lineRule="auto"/>
              <w:rPr>
                <w:rFonts w:ascii="Times New Roman" w:hAnsi="Times New Roman"/>
                <w:sz w:val="20"/>
              </w:rPr>
            </w:pPr>
          </w:p>
        </w:tc>
        <w:tc>
          <w:tcPr>
            <w:tcW w:w="484" w:type="pct"/>
            <w:tcBorders>
              <w:top w:val="nil"/>
              <w:left w:val="nil"/>
              <w:bottom w:val="nil"/>
              <w:right w:val="nil"/>
            </w:tcBorders>
            <w:shd w:val="clear" w:color="auto" w:fill="auto"/>
            <w:noWrap/>
            <w:vAlign w:val="center"/>
            <w:hideMark/>
          </w:tcPr>
          <w:p w14:paraId="1B7992E4" w14:textId="77777777" w:rsidR="001F1BE2" w:rsidRPr="00EC4BA6" w:rsidRDefault="001F1BE2" w:rsidP="001F1BE2">
            <w:pPr>
              <w:spacing w:before="0" w:after="0" w:line="240" w:lineRule="auto"/>
              <w:rPr>
                <w:rFonts w:ascii="Times New Roman" w:hAnsi="Times New Roman"/>
                <w:sz w:val="20"/>
              </w:rPr>
            </w:pPr>
          </w:p>
        </w:tc>
        <w:tc>
          <w:tcPr>
            <w:tcW w:w="53" w:type="pct"/>
            <w:tcBorders>
              <w:top w:val="nil"/>
              <w:left w:val="nil"/>
              <w:bottom w:val="nil"/>
              <w:right w:val="nil"/>
            </w:tcBorders>
            <w:shd w:val="clear" w:color="auto" w:fill="auto"/>
            <w:noWrap/>
            <w:vAlign w:val="center"/>
            <w:hideMark/>
          </w:tcPr>
          <w:p w14:paraId="2204FCD6" w14:textId="77777777" w:rsidR="001F1BE2" w:rsidRPr="00EC4BA6" w:rsidRDefault="001F1BE2" w:rsidP="001F1BE2">
            <w:pPr>
              <w:spacing w:before="0" w:after="0" w:line="240" w:lineRule="auto"/>
              <w:rPr>
                <w:rFonts w:ascii="Times New Roman" w:hAnsi="Times New Roman"/>
                <w:sz w:val="20"/>
              </w:rPr>
            </w:pPr>
          </w:p>
        </w:tc>
        <w:tc>
          <w:tcPr>
            <w:tcW w:w="508" w:type="pct"/>
            <w:gridSpan w:val="2"/>
            <w:tcBorders>
              <w:top w:val="nil"/>
              <w:left w:val="nil"/>
              <w:bottom w:val="nil"/>
              <w:right w:val="nil"/>
            </w:tcBorders>
            <w:shd w:val="clear" w:color="auto" w:fill="auto"/>
            <w:noWrap/>
            <w:vAlign w:val="center"/>
            <w:hideMark/>
          </w:tcPr>
          <w:p w14:paraId="34646693" w14:textId="77777777" w:rsidR="001F1BE2" w:rsidRPr="00EC4BA6" w:rsidRDefault="001F1BE2" w:rsidP="001F1BE2">
            <w:pPr>
              <w:spacing w:before="0" w:after="0" w:line="240" w:lineRule="auto"/>
              <w:rPr>
                <w:rFonts w:ascii="Times New Roman" w:hAnsi="Times New Roman"/>
                <w:sz w:val="20"/>
              </w:rPr>
            </w:pPr>
          </w:p>
        </w:tc>
      </w:tr>
      <w:tr w:rsidR="001F1BE2" w:rsidRPr="00EC4BA6" w14:paraId="3BC5DC9E" w14:textId="77777777" w:rsidTr="001F1BE2">
        <w:trPr>
          <w:trHeight w:hRule="exact" w:val="225"/>
        </w:trPr>
        <w:tc>
          <w:tcPr>
            <w:tcW w:w="2018" w:type="pct"/>
            <w:tcBorders>
              <w:top w:val="nil"/>
              <w:left w:val="nil"/>
              <w:bottom w:val="nil"/>
              <w:right w:val="nil"/>
            </w:tcBorders>
            <w:shd w:val="clear" w:color="auto" w:fill="auto"/>
            <w:vAlign w:val="center"/>
            <w:hideMark/>
          </w:tcPr>
          <w:p w14:paraId="7DBA8CAE" w14:textId="6DADC190" w:rsidR="001F1BE2" w:rsidRPr="00EC4BA6" w:rsidRDefault="001F1BE2" w:rsidP="001F1BE2">
            <w:pPr>
              <w:spacing w:before="0" w:after="0" w:line="240" w:lineRule="auto"/>
              <w:rPr>
                <w:rFonts w:ascii="Arial" w:hAnsi="Arial" w:cs="Arial"/>
                <w:b/>
                <w:sz w:val="16"/>
                <w:szCs w:val="16"/>
              </w:rPr>
            </w:pPr>
            <w:r w:rsidRPr="00EC4BA6">
              <w:rPr>
                <w:rFonts w:ascii="Arial" w:hAnsi="Arial" w:cs="Arial"/>
                <w:b/>
                <w:sz w:val="16"/>
                <w:szCs w:val="16"/>
              </w:rPr>
              <w:t>Changes from 2024</w:t>
            </w:r>
            <w:r w:rsidR="001A3DD6">
              <w:rPr>
                <w:rFonts w:ascii="Arial" w:hAnsi="Arial" w:cs="Arial"/>
                <w:b/>
                <w:sz w:val="16"/>
                <w:szCs w:val="16"/>
              </w:rPr>
              <w:noBreakHyphen/>
            </w:r>
            <w:r w:rsidRPr="00EC4BA6">
              <w:rPr>
                <w:rFonts w:ascii="Arial" w:hAnsi="Arial" w:cs="Arial"/>
                <w:b/>
                <w:sz w:val="16"/>
                <w:szCs w:val="16"/>
              </w:rPr>
              <w:t>25 Budget</w:t>
            </w:r>
          </w:p>
        </w:tc>
        <w:tc>
          <w:tcPr>
            <w:tcW w:w="484" w:type="pct"/>
            <w:tcBorders>
              <w:top w:val="nil"/>
              <w:left w:val="nil"/>
              <w:bottom w:val="nil"/>
              <w:right w:val="nil"/>
            </w:tcBorders>
            <w:shd w:val="clear" w:color="auto" w:fill="auto"/>
            <w:noWrap/>
            <w:vAlign w:val="center"/>
            <w:hideMark/>
          </w:tcPr>
          <w:p w14:paraId="78B3DB7B" w14:textId="77777777" w:rsidR="001F1BE2" w:rsidRPr="00EC4BA6" w:rsidRDefault="001F1BE2" w:rsidP="001F1BE2">
            <w:pPr>
              <w:spacing w:before="0" w:after="0" w:line="240" w:lineRule="auto"/>
              <w:rPr>
                <w:rFonts w:ascii="Arial" w:hAnsi="Arial" w:cs="Arial"/>
                <w:b/>
                <w:sz w:val="16"/>
                <w:szCs w:val="16"/>
              </w:rPr>
            </w:pPr>
          </w:p>
        </w:tc>
        <w:tc>
          <w:tcPr>
            <w:tcW w:w="484" w:type="pct"/>
            <w:tcBorders>
              <w:top w:val="nil"/>
              <w:left w:val="nil"/>
              <w:bottom w:val="nil"/>
              <w:right w:val="nil"/>
            </w:tcBorders>
            <w:shd w:val="clear" w:color="000000" w:fill="E6F2FF"/>
            <w:noWrap/>
            <w:vAlign w:val="center"/>
            <w:hideMark/>
          </w:tcPr>
          <w:p w14:paraId="26F7E9A8" w14:textId="77777777" w:rsidR="001F1BE2" w:rsidRPr="00EC4BA6" w:rsidRDefault="001F1BE2" w:rsidP="001F1BE2">
            <w:pPr>
              <w:spacing w:before="0" w:after="0" w:line="240" w:lineRule="auto"/>
              <w:jc w:val="right"/>
              <w:rPr>
                <w:rFonts w:ascii="Arial" w:hAnsi="Arial" w:cs="Arial"/>
                <w:b/>
                <w:sz w:val="16"/>
                <w:szCs w:val="16"/>
              </w:rPr>
            </w:pPr>
            <w:r w:rsidRPr="00EC4BA6">
              <w:rPr>
                <w:rFonts w:ascii="Arial" w:hAnsi="Arial" w:cs="Arial"/>
                <w:b/>
                <w:sz w:val="16"/>
                <w:szCs w:val="16"/>
              </w:rPr>
              <w:t> </w:t>
            </w:r>
          </w:p>
        </w:tc>
        <w:tc>
          <w:tcPr>
            <w:tcW w:w="484" w:type="pct"/>
            <w:tcBorders>
              <w:top w:val="nil"/>
              <w:left w:val="nil"/>
              <w:bottom w:val="nil"/>
              <w:right w:val="nil"/>
            </w:tcBorders>
            <w:shd w:val="clear" w:color="auto" w:fill="auto"/>
            <w:noWrap/>
            <w:vAlign w:val="center"/>
            <w:hideMark/>
          </w:tcPr>
          <w:p w14:paraId="0FCBA222" w14:textId="77777777" w:rsidR="001F1BE2" w:rsidRPr="00EC4BA6" w:rsidRDefault="001F1BE2" w:rsidP="001F1BE2">
            <w:pPr>
              <w:spacing w:before="0" w:after="0" w:line="240" w:lineRule="auto"/>
              <w:jc w:val="right"/>
              <w:rPr>
                <w:rFonts w:ascii="Arial" w:hAnsi="Arial" w:cs="Arial"/>
                <w:b/>
                <w:sz w:val="16"/>
                <w:szCs w:val="16"/>
              </w:rPr>
            </w:pPr>
          </w:p>
        </w:tc>
        <w:tc>
          <w:tcPr>
            <w:tcW w:w="484" w:type="pct"/>
            <w:tcBorders>
              <w:top w:val="nil"/>
              <w:left w:val="nil"/>
              <w:bottom w:val="nil"/>
              <w:right w:val="nil"/>
            </w:tcBorders>
            <w:shd w:val="clear" w:color="auto" w:fill="auto"/>
            <w:noWrap/>
            <w:vAlign w:val="center"/>
            <w:hideMark/>
          </w:tcPr>
          <w:p w14:paraId="1217AC80" w14:textId="77777777" w:rsidR="001F1BE2" w:rsidRPr="00EC4BA6" w:rsidRDefault="001F1BE2" w:rsidP="001F1BE2">
            <w:pPr>
              <w:spacing w:before="0" w:after="0" w:line="240" w:lineRule="auto"/>
              <w:rPr>
                <w:rFonts w:ascii="Times New Roman" w:hAnsi="Times New Roman"/>
                <w:sz w:val="20"/>
              </w:rPr>
            </w:pPr>
          </w:p>
        </w:tc>
        <w:tc>
          <w:tcPr>
            <w:tcW w:w="484" w:type="pct"/>
            <w:tcBorders>
              <w:top w:val="nil"/>
              <w:left w:val="nil"/>
              <w:bottom w:val="nil"/>
              <w:right w:val="nil"/>
            </w:tcBorders>
            <w:shd w:val="clear" w:color="auto" w:fill="auto"/>
            <w:noWrap/>
            <w:vAlign w:val="center"/>
            <w:hideMark/>
          </w:tcPr>
          <w:p w14:paraId="31415C2E" w14:textId="77777777" w:rsidR="001F1BE2" w:rsidRPr="00EC4BA6" w:rsidRDefault="001F1BE2" w:rsidP="001F1BE2">
            <w:pPr>
              <w:spacing w:before="0" w:after="0" w:line="240" w:lineRule="auto"/>
              <w:rPr>
                <w:rFonts w:ascii="Times New Roman" w:hAnsi="Times New Roman"/>
                <w:sz w:val="20"/>
              </w:rPr>
            </w:pPr>
          </w:p>
        </w:tc>
        <w:tc>
          <w:tcPr>
            <w:tcW w:w="53" w:type="pct"/>
            <w:tcBorders>
              <w:top w:val="nil"/>
              <w:left w:val="nil"/>
              <w:bottom w:val="nil"/>
              <w:right w:val="nil"/>
            </w:tcBorders>
            <w:shd w:val="clear" w:color="auto" w:fill="auto"/>
            <w:noWrap/>
            <w:vAlign w:val="center"/>
            <w:hideMark/>
          </w:tcPr>
          <w:p w14:paraId="337A1499" w14:textId="77777777" w:rsidR="001F1BE2" w:rsidRPr="00EC4BA6" w:rsidRDefault="001F1BE2" w:rsidP="001F1BE2">
            <w:pPr>
              <w:spacing w:before="0" w:after="0" w:line="240" w:lineRule="auto"/>
              <w:rPr>
                <w:rFonts w:ascii="Times New Roman" w:hAnsi="Times New Roman"/>
                <w:sz w:val="20"/>
              </w:rPr>
            </w:pPr>
          </w:p>
        </w:tc>
        <w:tc>
          <w:tcPr>
            <w:tcW w:w="508" w:type="pct"/>
            <w:gridSpan w:val="2"/>
            <w:tcBorders>
              <w:top w:val="nil"/>
              <w:left w:val="nil"/>
              <w:bottom w:val="nil"/>
              <w:right w:val="nil"/>
            </w:tcBorders>
            <w:shd w:val="clear" w:color="auto" w:fill="auto"/>
            <w:noWrap/>
            <w:vAlign w:val="center"/>
            <w:hideMark/>
          </w:tcPr>
          <w:p w14:paraId="6D74FAC9" w14:textId="77777777" w:rsidR="001F1BE2" w:rsidRPr="00EC4BA6" w:rsidRDefault="001F1BE2" w:rsidP="001F1BE2">
            <w:pPr>
              <w:spacing w:before="0" w:after="0" w:line="240" w:lineRule="auto"/>
              <w:rPr>
                <w:rFonts w:ascii="Times New Roman" w:hAnsi="Times New Roman"/>
                <w:sz w:val="20"/>
              </w:rPr>
            </w:pPr>
          </w:p>
        </w:tc>
      </w:tr>
      <w:tr w:rsidR="001F1BE2" w:rsidRPr="00EC4BA6" w14:paraId="59154EC5" w14:textId="77777777" w:rsidTr="001F1BE2">
        <w:trPr>
          <w:trHeight w:hRule="exact" w:val="225"/>
        </w:trPr>
        <w:tc>
          <w:tcPr>
            <w:tcW w:w="2018" w:type="pct"/>
            <w:tcBorders>
              <w:top w:val="nil"/>
              <w:left w:val="nil"/>
              <w:bottom w:val="nil"/>
              <w:right w:val="nil"/>
            </w:tcBorders>
            <w:shd w:val="clear" w:color="auto" w:fill="auto"/>
            <w:vAlign w:val="center"/>
            <w:hideMark/>
          </w:tcPr>
          <w:p w14:paraId="30AD6CF2" w14:textId="7BC2F002" w:rsidR="001F1BE2" w:rsidRPr="00EC4BA6" w:rsidRDefault="001F1BE2" w:rsidP="001F1BE2">
            <w:pPr>
              <w:spacing w:before="0" w:after="0" w:line="240" w:lineRule="auto"/>
              <w:ind w:left="170"/>
              <w:rPr>
                <w:rFonts w:ascii="Arial" w:hAnsi="Arial" w:cs="Arial"/>
                <w:b/>
                <w:sz w:val="16"/>
                <w:szCs w:val="16"/>
              </w:rPr>
            </w:pPr>
            <w:r w:rsidRPr="00EC4BA6">
              <w:rPr>
                <w:rFonts w:ascii="Arial" w:hAnsi="Arial" w:cs="Arial"/>
                <w:b/>
                <w:sz w:val="16"/>
                <w:szCs w:val="16"/>
              </w:rPr>
              <w:t>to 2024</w:t>
            </w:r>
            <w:r w:rsidR="001A3DD6">
              <w:rPr>
                <w:rFonts w:ascii="Arial" w:hAnsi="Arial" w:cs="Arial"/>
                <w:b/>
                <w:sz w:val="16"/>
                <w:szCs w:val="16"/>
              </w:rPr>
              <w:noBreakHyphen/>
            </w:r>
            <w:r w:rsidRPr="00EC4BA6">
              <w:rPr>
                <w:rFonts w:ascii="Arial" w:hAnsi="Arial" w:cs="Arial"/>
                <w:b/>
                <w:sz w:val="16"/>
                <w:szCs w:val="16"/>
              </w:rPr>
              <w:t>25 MYEFO</w:t>
            </w:r>
          </w:p>
        </w:tc>
        <w:tc>
          <w:tcPr>
            <w:tcW w:w="484" w:type="pct"/>
            <w:tcBorders>
              <w:top w:val="nil"/>
              <w:left w:val="nil"/>
              <w:bottom w:val="nil"/>
              <w:right w:val="nil"/>
            </w:tcBorders>
            <w:shd w:val="clear" w:color="auto" w:fill="auto"/>
            <w:noWrap/>
            <w:vAlign w:val="center"/>
            <w:hideMark/>
          </w:tcPr>
          <w:p w14:paraId="083947B3" w14:textId="77777777" w:rsidR="001F1BE2" w:rsidRPr="00EC4BA6" w:rsidRDefault="001F1BE2" w:rsidP="001F1BE2">
            <w:pPr>
              <w:spacing w:before="0" w:after="0" w:line="240" w:lineRule="auto"/>
              <w:ind w:firstLineChars="100" w:firstLine="161"/>
              <w:rPr>
                <w:rFonts w:ascii="Arial" w:hAnsi="Arial" w:cs="Arial"/>
                <w:b/>
                <w:sz w:val="16"/>
                <w:szCs w:val="16"/>
              </w:rPr>
            </w:pPr>
          </w:p>
        </w:tc>
        <w:tc>
          <w:tcPr>
            <w:tcW w:w="484" w:type="pct"/>
            <w:tcBorders>
              <w:top w:val="nil"/>
              <w:left w:val="nil"/>
              <w:bottom w:val="nil"/>
              <w:right w:val="nil"/>
            </w:tcBorders>
            <w:shd w:val="clear" w:color="000000" w:fill="E6F2FF"/>
            <w:noWrap/>
            <w:vAlign w:val="center"/>
            <w:hideMark/>
          </w:tcPr>
          <w:p w14:paraId="188051F5" w14:textId="77777777" w:rsidR="001F1BE2" w:rsidRPr="00EC4BA6" w:rsidRDefault="001F1BE2" w:rsidP="001F1BE2">
            <w:pPr>
              <w:spacing w:before="0" w:after="0" w:line="240" w:lineRule="auto"/>
              <w:jc w:val="right"/>
              <w:rPr>
                <w:rFonts w:ascii="Arial" w:hAnsi="Arial" w:cs="Arial"/>
                <w:b/>
                <w:sz w:val="16"/>
                <w:szCs w:val="16"/>
              </w:rPr>
            </w:pPr>
            <w:r w:rsidRPr="00EC4BA6">
              <w:rPr>
                <w:rFonts w:ascii="Arial" w:hAnsi="Arial" w:cs="Arial"/>
                <w:b/>
                <w:sz w:val="16"/>
                <w:szCs w:val="16"/>
              </w:rPr>
              <w:t> </w:t>
            </w:r>
          </w:p>
        </w:tc>
        <w:tc>
          <w:tcPr>
            <w:tcW w:w="484" w:type="pct"/>
            <w:tcBorders>
              <w:top w:val="nil"/>
              <w:left w:val="nil"/>
              <w:bottom w:val="nil"/>
              <w:right w:val="nil"/>
            </w:tcBorders>
            <w:shd w:val="clear" w:color="auto" w:fill="auto"/>
            <w:noWrap/>
            <w:vAlign w:val="center"/>
            <w:hideMark/>
          </w:tcPr>
          <w:p w14:paraId="0DD4D2C3" w14:textId="77777777" w:rsidR="001F1BE2" w:rsidRPr="00EC4BA6" w:rsidRDefault="001F1BE2" w:rsidP="001F1BE2">
            <w:pPr>
              <w:spacing w:before="0" w:after="0" w:line="240" w:lineRule="auto"/>
              <w:jc w:val="right"/>
              <w:rPr>
                <w:rFonts w:ascii="Arial" w:hAnsi="Arial" w:cs="Arial"/>
                <w:b/>
                <w:sz w:val="16"/>
                <w:szCs w:val="16"/>
              </w:rPr>
            </w:pPr>
          </w:p>
        </w:tc>
        <w:tc>
          <w:tcPr>
            <w:tcW w:w="484" w:type="pct"/>
            <w:tcBorders>
              <w:top w:val="nil"/>
              <w:left w:val="nil"/>
              <w:bottom w:val="nil"/>
              <w:right w:val="nil"/>
            </w:tcBorders>
            <w:shd w:val="clear" w:color="auto" w:fill="auto"/>
            <w:noWrap/>
            <w:vAlign w:val="center"/>
            <w:hideMark/>
          </w:tcPr>
          <w:p w14:paraId="38A64381" w14:textId="77777777" w:rsidR="001F1BE2" w:rsidRPr="00EC4BA6" w:rsidRDefault="001F1BE2" w:rsidP="001F1BE2">
            <w:pPr>
              <w:spacing w:before="0" w:after="0" w:line="240" w:lineRule="auto"/>
              <w:rPr>
                <w:rFonts w:ascii="Times New Roman" w:hAnsi="Times New Roman"/>
                <w:sz w:val="20"/>
              </w:rPr>
            </w:pPr>
          </w:p>
        </w:tc>
        <w:tc>
          <w:tcPr>
            <w:tcW w:w="484" w:type="pct"/>
            <w:tcBorders>
              <w:top w:val="nil"/>
              <w:left w:val="nil"/>
              <w:bottom w:val="nil"/>
              <w:right w:val="nil"/>
            </w:tcBorders>
            <w:shd w:val="clear" w:color="auto" w:fill="auto"/>
            <w:noWrap/>
            <w:vAlign w:val="center"/>
            <w:hideMark/>
          </w:tcPr>
          <w:p w14:paraId="5D787C56" w14:textId="77777777" w:rsidR="001F1BE2" w:rsidRPr="00EC4BA6" w:rsidRDefault="001F1BE2" w:rsidP="001F1BE2">
            <w:pPr>
              <w:spacing w:before="0" w:after="0" w:line="240" w:lineRule="auto"/>
              <w:rPr>
                <w:rFonts w:ascii="Times New Roman" w:hAnsi="Times New Roman"/>
                <w:sz w:val="20"/>
              </w:rPr>
            </w:pPr>
          </w:p>
        </w:tc>
        <w:tc>
          <w:tcPr>
            <w:tcW w:w="53" w:type="pct"/>
            <w:tcBorders>
              <w:top w:val="nil"/>
              <w:left w:val="nil"/>
              <w:bottom w:val="nil"/>
              <w:right w:val="nil"/>
            </w:tcBorders>
            <w:shd w:val="clear" w:color="auto" w:fill="auto"/>
            <w:noWrap/>
            <w:vAlign w:val="center"/>
            <w:hideMark/>
          </w:tcPr>
          <w:p w14:paraId="7246CC3A" w14:textId="77777777" w:rsidR="001F1BE2" w:rsidRPr="00EC4BA6" w:rsidRDefault="001F1BE2" w:rsidP="001F1BE2">
            <w:pPr>
              <w:spacing w:before="0" w:after="0" w:line="240" w:lineRule="auto"/>
              <w:rPr>
                <w:rFonts w:ascii="Times New Roman" w:hAnsi="Times New Roman"/>
                <w:sz w:val="20"/>
              </w:rPr>
            </w:pPr>
          </w:p>
        </w:tc>
        <w:tc>
          <w:tcPr>
            <w:tcW w:w="508" w:type="pct"/>
            <w:gridSpan w:val="2"/>
            <w:tcBorders>
              <w:top w:val="nil"/>
              <w:left w:val="nil"/>
              <w:bottom w:val="nil"/>
              <w:right w:val="nil"/>
            </w:tcBorders>
            <w:shd w:val="clear" w:color="auto" w:fill="auto"/>
            <w:noWrap/>
            <w:vAlign w:val="center"/>
            <w:hideMark/>
          </w:tcPr>
          <w:p w14:paraId="2115B6DF" w14:textId="77777777" w:rsidR="001F1BE2" w:rsidRPr="00EC4BA6" w:rsidRDefault="001F1BE2" w:rsidP="001F1BE2">
            <w:pPr>
              <w:spacing w:before="0" w:after="0" w:line="240" w:lineRule="auto"/>
              <w:rPr>
                <w:rFonts w:ascii="Times New Roman" w:hAnsi="Times New Roman"/>
                <w:sz w:val="20"/>
              </w:rPr>
            </w:pPr>
          </w:p>
        </w:tc>
      </w:tr>
      <w:tr w:rsidR="001F1BE2" w:rsidRPr="00EC4BA6" w14:paraId="4304F9B6" w14:textId="77777777" w:rsidTr="001F1BE2">
        <w:trPr>
          <w:trHeight w:hRule="exact" w:val="225"/>
        </w:trPr>
        <w:tc>
          <w:tcPr>
            <w:tcW w:w="2018" w:type="pct"/>
            <w:tcBorders>
              <w:top w:val="nil"/>
              <w:left w:val="nil"/>
              <w:bottom w:val="nil"/>
              <w:right w:val="nil"/>
            </w:tcBorders>
            <w:shd w:val="clear" w:color="auto" w:fill="auto"/>
            <w:vAlign w:val="center"/>
            <w:hideMark/>
          </w:tcPr>
          <w:p w14:paraId="217BB987" w14:textId="77777777" w:rsidR="001F1BE2" w:rsidRPr="00EC4BA6" w:rsidRDefault="001F1BE2" w:rsidP="001F1BE2">
            <w:pPr>
              <w:spacing w:before="0" w:after="0" w:line="240" w:lineRule="auto"/>
              <w:rPr>
                <w:rFonts w:ascii="Arial" w:hAnsi="Arial" w:cs="Arial"/>
                <w:sz w:val="16"/>
                <w:szCs w:val="16"/>
              </w:rPr>
            </w:pPr>
            <w:r w:rsidRPr="00EC4BA6">
              <w:rPr>
                <w:rFonts w:ascii="Arial" w:hAnsi="Arial" w:cs="Arial"/>
                <w:sz w:val="16"/>
                <w:szCs w:val="16"/>
              </w:rPr>
              <w:t>Effect of policy decisions </w:t>
            </w:r>
          </w:p>
        </w:tc>
        <w:tc>
          <w:tcPr>
            <w:tcW w:w="484" w:type="pct"/>
            <w:tcBorders>
              <w:top w:val="nil"/>
              <w:left w:val="nil"/>
              <w:bottom w:val="nil"/>
              <w:right w:val="nil"/>
            </w:tcBorders>
            <w:shd w:val="clear" w:color="auto" w:fill="auto"/>
            <w:noWrap/>
            <w:vAlign w:val="center"/>
            <w:hideMark/>
          </w:tcPr>
          <w:p w14:paraId="22894158" w14:textId="77777777" w:rsidR="001F1BE2" w:rsidRPr="00EC4BA6" w:rsidRDefault="001F1BE2" w:rsidP="001F1BE2">
            <w:pPr>
              <w:spacing w:before="0" w:after="0" w:line="240" w:lineRule="auto"/>
              <w:jc w:val="right"/>
              <w:rPr>
                <w:rFonts w:ascii="Arial" w:hAnsi="Arial" w:cs="Arial"/>
                <w:sz w:val="16"/>
                <w:szCs w:val="16"/>
              </w:rPr>
            </w:pPr>
            <w:r w:rsidRPr="00EC4BA6">
              <w:rPr>
                <w:rFonts w:ascii="Arial" w:hAnsi="Arial" w:cs="Arial"/>
                <w:sz w:val="16"/>
                <w:szCs w:val="16"/>
              </w:rPr>
              <w:t>178</w:t>
            </w:r>
          </w:p>
        </w:tc>
        <w:tc>
          <w:tcPr>
            <w:tcW w:w="484" w:type="pct"/>
            <w:tcBorders>
              <w:top w:val="nil"/>
              <w:left w:val="nil"/>
              <w:bottom w:val="nil"/>
              <w:right w:val="nil"/>
            </w:tcBorders>
            <w:shd w:val="clear" w:color="000000" w:fill="E6F2FF"/>
            <w:noWrap/>
            <w:vAlign w:val="center"/>
            <w:hideMark/>
          </w:tcPr>
          <w:p w14:paraId="069C8385" w14:textId="77777777" w:rsidR="001F1BE2" w:rsidRPr="00EC4BA6" w:rsidRDefault="001F1BE2" w:rsidP="001F1BE2">
            <w:pPr>
              <w:spacing w:before="0" w:after="0" w:line="240" w:lineRule="auto"/>
              <w:jc w:val="right"/>
              <w:rPr>
                <w:rFonts w:ascii="Arial" w:hAnsi="Arial" w:cs="Arial"/>
                <w:sz w:val="16"/>
                <w:szCs w:val="16"/>
              </w:rPr>
            </w:pPr>
            <w:r w:rsidRPr="00EC4BA6">
              <w:rPr>
                <w:rFonts w:ascii="Arial" w:hAnsi="Arial" w:cs="Arial"/>
                <w:sz w:val="16"/>
                <w:szCs w:val="16"/>
              </w:rPr>
              <w:t>107</w:t>
            </w:r>
          </w:p>
        </w:tc>
        <w:tc>
          <w:tcPr>
            <w:tcW w:w="484" w:type="pct"/>
            <w:tcBorders>
              <w:top w:val="nil"/>
              <w:left w:val="nil"/>
              <w:bottom w:val="nil"/>
              <w:right w:val="nil"/>
            </w:tcBorders>
            <w:shd w:val="clear" w:color="auto" w:fill="auto"/>
            <w:noWrap/>
            <w:vAlign w:val="center"/>
            <w:hideMark/>
          </w:tcPr>
          <w:p w14:paraId="3D6E41C9" w14:textId="77777777" w:rsidR="001F1BE2" w:rsidRPr="00EC4BA6" w:rsidRDefault="001F1BE2" w:rsidP="001F1BE2">
            <w:pPr>
              <w:spacing w:before="0" w:after="0" w:line="240" w:lineRule="auto"/>
              <w:jc w:val="right"/>
              <w:rPr>
                <w:rFonts w:ascii="Arial" w:hAnsi="Arial" w:cs="Arial"/>
                <w:sz w:val="16"/>
                <w:szCs w:val="16"/>
              </w:rPr>
            </w:pPr>
            <w:r w:rsidRPr="00EC4BA6">
              <w:rPr>
                <w:rFonts w:ascii="Arial" w:hAnsi="Arial" w:cs="Arial"/>
                <w:sz w:val="16"/>
                <w:szCs w:val="16"/>
              </w:rPr>
              <w:t>271</w:t>
            </w:r>
          </w:p>
        </w:tc>
        <w:tc>
          <w:tcPr>
            <w:tcW w:w="484" w:type="pct"/>
            <w:tcBorders>
              <w:top w:val="nil"/>
              <w:left w:val="nil"/>
              <w:bottom w:val="nil"/>
              <w:right w:val="nil"/>
            </w:tcBorders>
            <w:shd w:val="clear" w:color="auto" w:fill="auto"/>
            <w:noWrap/>
            <w:vAlign w:val="center"/>
            <w:hideMark/>
          </w:tcPr>
          <w:p w14:paraId="49DE85E6" w14:textId="77777777" w:rsidR="001F1BE2" w:rsidRPr="00EC4BA6" w:rsidRDefault="001F1BE2" w:rsidP="001F1BE2">
            <w:pPr>
              <w:spacing w:before="0" w:after="0" w:line="240" w:lineRule="auto"/>
              <w:jc w:val="right"/>
              <w:rPr>
                <w:rFonts w:ascii="Arial" w:hAnsi="Arial" w:cs="Arial"/>
                <w:sz w:val="16"/>
                <w:szCs w:val="16"/>
              </w:rPr>
            </w:pPr>
            <w:r w:rsidRPr="00EC4BA6">
              <w:rPr>
                <w:rFonts w:ascii="Arial" w:hAnsi="Arial" w:cs="Arial"/>
                <w:sz w:val="16"/>
                <w:szCs w:val="16"/>
              </w:rPr>
              <w:t>266</w:t>
            </w:r>
          </w:p>
        </w:tc>
        <w:tc>
          <w:tcPr>
            <w:tcW w:w="484" w:type="pct"/>
            <w:tcBorders>
              <w:top w:val="nil"/>
              <w:left w:val="nil"/>
              <w:bottom w:val="nil"/>
              <w:right w:val="nil"/>
            </w:tcBorders>
            <w:shd w:val="clear" w:color="auto" w:fill="auto"/>
            <w:noWrap/>
            <w:vAlign w:val="center"/>
            <w:hideMark/>
          </w:tcPr>
          <w:p w14:paraId="78C3A623" w14:textId="77777777" w:rsidR="001F1BE2" w:rsidRPr="00EC4BA6" w:rsidRDefault="001F1BE2" w:rsidP="001F1BE2">
            <w:pPr>
              <w:spacing w:before="0" w:after="0" w:line="240" w:lineRule="auto"/>
              <w:jc w:val="right"/>
              <w:rPr>
                <w:rFonts w:ascii="Arial" w:hAnsi="Arial" w:cs="Arial"/>
                <w:sz w:val="16"/>
                <w:szCs w:val="16"/>
              </w:rPr>
            </w:pPr>
            <w:r w:rsidRPr="00EC4BA6">
              <w:rPr>
                <w:rFonts w:ascii="Arial" w:hAnsi="Arial" w:cs="Arial"/>
                <w:sz w:val="16"/>
                <w:szCs w:val="16"/>
              </w:rPr>
              <w:t>*</w:t>
            </w:r>
          </w:p>
        </w:tc>
        <w:tc>
          <w:tcPr>
            <w:tcW w:w="53" w:type="pct"/>
            <w:tcBorders>
              <w:top w:val="nil"/>
              <w:left w:val="nil"/>
              <w:bottom w:val="nil"/>
              <w:right w:val="nil"/>
            </w:tcBorders>
            <w:shd w:val="clear" w:color="auto" w:fill="auto"/>
            <w:noWrap/>
            <w:vAlign w:val="center"/>
            <w:hideMark/>
          </w:tcPr>
          <w:p w14:paraId="04C987E7" w14:textId="77777777" w:rsidR="001F1BE2" w:rsidRPr="00EC4BA6" w:rsidRDefault="001F1BE2" w:rsidP="001F1BE2">
            <w:pPr>
              <w:spacing w:before="0" w:after="0" w:line="240" w:lineRule="auto"/>
              <w:jc w:val="right"/>
              <w:rPr>
                <w:rFonts w:ascii="Arial" w:hAnsi="Arial" w:cs="Arial"/>
                <w:sz w:val="16"/>
                <w:szCs w:val="16"/>
              </w:rPr>
            </w:pPr>
          </w:p>
        </w:tc>
        <w:tc>
          <w:tcPr>
            <w:tcW w:w="508" w:type="pct"/>
            <w:gridSpan w:val="2"/>
            <w:tcBorders>
              <w:top w:val="nil"/>
              <w:left w:val="nil"/>
              <w:bottom w:val="nil"/>
              <w:right w:val="nil"/>
            </w:tcBorders>
            <w:shd w:val="clear" w:color="auto" w:fill="auto"/>
            <w:noWrap/>
            <w:vAlign w:val="center"/>
            <w:hideMark/>
          </w:tcPr>
          <w:p w14:paraId="426F4DB5" w14:textId="77777777" w:rsidR="001F1BE2" w:rsidRPr="00EC4BA6" w:rsidRDefault="001F1BE2" w:rsidP="001F1BE2">
            <w:pPr>
              <w:spacing w:before="0" w:after="0" w:line="240" w:lineRule="auto"/>
              <w:jc w:val="right"/>
              <w:rPr>
                <w:rFonts w:ascii="Arial" w:hAnsi="Arial" w:cs="Arial"/>
                <w:sz w:val="16"/>
                <w:szCs w:val="16"/>
              </w:rPr>
            </w:pPr>
            <w:r w:rsidRPr="00EC4BA6">
              <w:rPr>
                <w:rFonts w:ascii="Arial" w:hAnsi="Arial" w:cs="Arial"/>
                <w:sz w:val="16"/>
                <w:szCs w:val="16"/>
              </w:rPr>
              <w:t>*</w:t>
            </w:r>
          </w:p>
        </w:tc>
      </w:tr>
      <w:tr w:rsidR="001F1BE2" w:rsidRPr="00EC4BA6" w14:paraId="25123B5A" w14:textId="77777777" w:rsidTr="001F1BE2">
        <w:trPr>
          <w:trHeight w:hRule="exact" w:val="225"/>
        </w:trPr>
        <w:tc>
          <w:tcPr>
            <w:tcW w:w="2018" w:type="pct"/>
            <w:tcBorders>
              <w:top w:val="nil"/>
              <w:left w:val="nil"/>
              <w:bottom w:val="nil"/>
              <w:right w:val="nil"/>
            </w:tcBorders>
            <w:shd w:val="clear" w:color="auto" w:fill="auto"/>
            <w:vAlign w:val="center"/>
            <w:hideMark/>
          </w:tcPr>
          <w:p w14:paraId="30EC969B" w14:textId="77777777" w:rsidR="001F1BE2" w:rsidRPr="00EC4BA6" w:rsidRDefault="001F1BE2" w:rsidP="001F1BE2">
            <w:pPr>
              <w:spacing w:before="0" w:after="0" w:line="240" w:lineRule="auto"/>
              <w:rPr>
                <w:rFonts w:ascii="Arial" w:hAnsi="Arial" w:cs="Arial"/>
                <w:sz w:val="16"/>
                <w:szCs w:val="16"/>
              </w:rPr>
            </w:pPr>
            <w:r w:rsidRPr="00EC4BA6">
              <w:rPr>
                <w:rFonts w:ascii="Arial" w:hAnsi="Arial" w:cs="Arial"/>
                <w:sz w:val="16"/>
                <w:szCs w:val="16"/>
              </w:rPr>
              <w:t>Effect of parameter and other variations </w:t>
            </w:r>
          </w:p>
        </w:tc>
        <w:tc>
          <w:tcPr>
            <w:tcW w:w="484" w:type="pct"/>
            <w:tcBorders>
              <w:top w:val="nil"/>
              <w:left w:val="nil"/>
              <w:bottom w:val="nil"/>
              <w:right w:val="nil"/>
            </w:tcBorders>
            <w:shd w:val="clear" w:color="auto" w:fill="auto"/>
            <w:noWrap/>
            <w:vAlign w:val="center"/>
            <w:hideMark/>
          </w:tcPr>
          <w:p w14:paraId="7F5A89D4" w14:textId="77777777" w:rsidR="001F1BE2" w:rsidRPr="00EC4BA6" w:rsidRDefault="001F1BE2" w:rsidP="001F1BE2">
            <w:pPr>
              <w:spacing w:before="0" w:after="0" w:line="240" w:lineRule="auto"/>
              <w:jc w:val="right"/>
              <w:rPr>
                <w:rFonts w:ascii="Arial" w:hAnsi="Arial" w:cs="Arial"/>
                <w:sz w:val="16"/>
                <w:szCs w:val="16"/>
              </w:rPr>
            </w:pPr>
            <w:r w:rsidRPr="00EC4BA6">
              <w:rPr>
                <w:rFonts w:ascii="Arial" w:hAnsi="Arial" w:cs="Arial"/>
                <w:sz w:val="16"/>
                <w:szCs w:val="16"/>
              </w:rPr>
              <w:t>2,845</w:t>
            </w:r>
          </w:p>
        </w:tc>
        <w:tc>
          <w:tcPr>
            <w:tcW w:w="484" w:type="pct"/>
            <w:tcBorders>
              <w:top w:val="nil"/>
              <w:left w:val="nil"/>
              <w:bottom w:val="nil"/>
              <w:right w:val="nil"/>
            </w:tcBorders>
            <w:shd w:val="clear" w:color="000000" w:fill="E6F2FF"/>
            <w:noWrap/>
            <w:vAlign w:val="center"/>
            <w:hideMark/>
          </w:tcPr>
          <w:p w14:paraId="4F667BD5" w14:textId="77777777" w:rsidR="001F1BE2" w:rsidRPr="00EC4BA6" w:rsidRDefault="001F1BE2" w:rsidP="001F1BE2">
            <w:pPr>
              <w:spacing w:before="0" w:after="0" w:line="240" w:lineRule="auto"/>
              <w:jc w:val="right"/>
              <w:rPr>
                <w:rFonts w:ascii="Arial" w:hAnsi="Arial" w:cs="Arial"/>
                <w:sz w:val="16"/>
                <w:szCs w:val="16"/>
              </w:rPr>
            </w:pPr>
            <w:r w:rsidRPr="00EC4BA6">
              <w:rPr>
                <w:rFonts w:ascii="Arial" w:hAnsi="Arial" w:cs="Arial"/>
                <w:sz w:val="16"/>
                <w:szCs w:val="16"/>
              </w:rPr>
              <w:t>7,961</w:t>
            </w:r>
          </w:p>
        </w:tc>
        <w:tc>
          <w:tcPr>
            <w:tcW w:w="484" w:type="pct"/>
            <w:tcBorders>
              <w:top w:val="nil"/>
              <w:left w:val="nil"/>
              <w:bottom w:val="nil"/>
              <w:right w:val="nil"/>
            </w:tcBorders>
            <w:shd w:val="clear" w:color="auto" w:fill="auto"/>
            <w:noWrap/>
            <w:vAlign w:val="center"/>
            <w:hideMark/>
          </w:tcPr>
          <w:p w14:paraId="29A970EC" w14:textId="77777777" w:rsidR="001F1BE2" w:rsidRPr="00EC4BA6" w:rsidRDefault="001F1BE2" w:rsidP="001F1BE2">
            <w:pPr>
              <w:spacing w:before="0" w:after="0" w:line="240" w:lineRule="auto"/>
              <w:jc w:val="right"/>
              <w:rPr>
                <w:rFonts w:ascii="Arial" w:hAnsi="Arial" w:cs="Arial"/>
                <w:sz w:val="16"/>
                <w:szCs w:val="16"/>
              </w:rPr>
            </w:pPr>
            <w:r w:rsidRPr="00EC4BA6">
              <w:rPr>
                <w:rFonts w:ascii="Arial" w:hAnsi="Arial" w:cs="Arial"/>
                <w:sz w:val="16"/>
                <w:szCs w:val="16"/>
              </w:rPr>
              <w:t>2,872</w:t>
            </w:r>
          </w:p>
        </w:tc>
        <w:tc>
          <w:tcPr>
            <w:tcW w:w="484" w:type="pct"/>
            <w:tcBorders>
              <w:top w:val="nil"/>
              <w:left w:val="nil"/>
              <w:bottom w:val="nil"/>
              <w:right w:val="nil"/>
            </w:tcBorders>
            <w:shd w:val="clear" w:color="auto" w:fill="auto"/>
            <w:noWrap/>
            <w:vAlign w:val="center"/>
            <w:hideMark/>
          </w:tcPr>
          <w:p w14:paraId="645DDFB4" w14:textId="77777777" w:rsidR="001F1BE2" w:rsidRPr="00EC4BA6" w:rsidRDefault="001F1BE2" w:rsidP="001F1BE2">
            <w:pPr>
              <w:spacing w:before="0" w:after="0" w:line="240" w:lineRule="auto"/>
              <w:jc w:val="right"/>
              <w:rPr>
                <w:rFonts w:ascii="Arial" w:hAnsi="Arial" w:cs="Arial"/>
                <w:sz w:val="16"/>
                <w:szCs w:val="16"/>
              </w:rPr>
            </w:pPr>
            <w:r w:rsidRPr="00EC4BA6">
              <w:rPr>
                <w:rFonts w:ascii="Arial" w:hAnsi="Arial" w:cs="Arial"/>
                <w:sz w:val="16"/>
                <w:szCs w:val="16"/>
              </w:rPr>
              <w:t>513</w:t>
            </w:r>
          </w:p>
        </w:tc>
        <w:tc>
          <w:tcPr>
            <w:tcW w:w="484" w:type="pct"/>
            <w:tcBorders>
              <w:top w:val="nil"/>
              <w:left w:val="nil"/>
              <w:bottom w:val="nil"/>
              <w:right w:val="nil"/>
            </w:tcBorders>
            <w:shd w:val="clear" w:color="auto" w:fill="auto"/>
            <w:noWrap/>
            <w:vAlign w:val="center"/>
            <w:hideMark/>
          </w:tcPr>
          <w:p w14:paraId="005BF1A8" w14:textId="77777777" w:rsidR="001F1BE2" w:rsidRPr="00EC4BA6" w:rsidRDefault="001F1BE2" w:rsidP="001F1BE2">
            <w:pPr>
              <w:spacing w:before="0" w:after="0" w:line="240" w:lineRule="auto"/>
              <w:jc w:val="right"/>
              <w:rPr>
                <w:rFonts w:ascii="Arial" w:hAnsi="Arial" w:cs="Arial"/>
                <w:sz w:val="16"/>
                <w:szCs w:val="16"/>
              </w:rPr>
            </w:pPr>
            <w:r w:rsidRPr="00EC4BA6">
              <w:rPr>
                <w:rFonts w:ascii="Arial" w:hAnsi="Arial" w:cs="Arial"/>
                <w:sz w:val="16"/>
                <w:szCs w:val="16"/>
              </w:rPr>
              <w:t>*</w:t>
            </w:r>
          </w:p>
        </w:tc>
        <w:tc>
          <w:tcPr>
            <w:tcW w:w="53" w:type="pct"/>
            <w:tcBorders>
              <w:top w:val="nil"/>
              <w:left w:val="nil"/>
              <w:bottom w:val="nil"/>
              <w:right w:val="nil"/>
            </w:tcBorders>
            <w:shd w:val="clear" w:color="auto" w:fill="auto"/>
            <w:noWrap/>
            <w:vAlign w:val="center"/>
            <w:hideMark/>
          </w:tcPr>
          <w:p w14:paraId="625277C5" w14:textId="77777777" w:rsidR="001F1BE2" w:rsidRPr="00EC4BA6" w:rsidRDefault="001F1BE2" w:rsidP="001F1BE2">
            <w:pPr>
              <w:spacing w:before="0" w:after="0" w:line="240" w:lineRule="auto"/>
              <w:jc w:val="right"/>
              <w:rPr>
                <w:rFonts w:ascii="Arial" w:hAnsi="Arial" w:cs="Arial"/>
                <w:sz w:val="16"/>
                <w:szCs w:val="16"/>
              </w:rPr>
            </w:pPr>
          </w:p>
        </w:tc>
        <w:tc>
          <w:tcPr>
            <w:tcW w:w="508" w:type="pct"/>
            <w:gridSpan w:val="2"/>
            <w:tcBorders>
              <w:top w:val="nil"/>
              <w:left w:val="nil"/>
              <w:bottom w:val="nil"/>
              <w:right w:val="nil"/>
            </w:tcBorders>
            <w:shd w:val="clear" w:color="auto" w:fill="auto"/>
            <w:noWrap/>
            <w:vAlign w:val="center"/>
            <w:hideMark/>
          </w:tcPr>
          <w:p w14:paraId="10C9B42F" w14:textId="77777777" w:rsidR="001F1BE2" w:rsidRPr="00EC4BA6" w:rsidRDefault="001F1BE2" w:rsidP="001F1BE2">
            <w:pPr>
              <w:spacing w:before="0" w:after="0" w:line="240" w:lineRule="auto"/>
              <w:jc w:val="right"/>
              <w:rPr>
                <w:rFonts w:ascii="Arial" w:hAnsi="Arial" w:cs="Arial"/>
                <w:sz w:val="16"/>
                <w:szCs w:val="16"/>
              </w:rPr>
            </w:pPr>
            <w:r w:rsidRPr="00EC4BA6">
              <w:rPr>
                <w:rFonts w:ascii="Arial" w:hAnsi="Arial" w:cs="Arial"/>
                <w:sz w:val="16"/>
                <w:szCs w:val="16"/>
              </w:rPr>
              <w:t>*</w:t>
            </w:r>
          </w:p>
        </w:tc>
      </w:tr>
      <w:tr w:rsidR="001F1BE2" w:rsidRPr="00EC4BA6" w14:paraId="7CE38FCA" w14:textId="77777777" w:rsidTr="001F1BE2">
        <w:trPr>
          <w:trHeight w:hRule="exact" w:val="225"/>
        </w:trPr>
        <w:tc>
          <w:tcPr>
            <w:tcW w:w="2018" w:type="pct"/>
            <w:tcBorders>
              <w:top w:val="nil"/>
              <w:left w:val="nil"/>
              <w:bottom w:val="nil"/>
              <w:right w:val="nil"/>
            </w:tcBorders>
            <w:shd w:val="clear" w:color="auto" w:fill="auto"/>
            <w:vAlign w:val="center"/>
            <w:hideMark/>
          </w:tcPr>
          <w:p w14:paraId="477BC216" w14:textId="77777777" w:rsidR="001F1BE2" w:rsidRPr="00EC4BA6" w:rsidRDefault="001F1BE2" w:rsidP="001F1BE2">
            <w:pPr>
              <w:spacing w:before="0" w:after="0" w:line="240" w:lineRule="auto"/>
              <w:rPr>
                <w:rFonts w:ascii="Arial" w:hAnsi="Arial" w:cs="Arial"/>
                <w:b/>
                <w:sz w:val="16"/>
                <w:szCs w:val="16"/>
              </w:rPr>
            </w:pPr>
            <w:r w:rsidRPr="00EC4BA6">
              <w:rPr>
                <w:rFonts w:ascii="Arial" w:hAnsi="Arial" w:cs="Arial"/>
                <w:b/>
                <w:sz w:val="16"/>
                <w:szCs w:val="16"/>
              </w:rPr>
              <w:t>Total variations </w:t>
            </w:r>
          </w:p>
        </w:tc>
        <w:tc>
          <w:tcPr>
            <w:tcW w:w="484" w:type="pct"/>
            <w:tcBorders>
              <w:top w:val="single" w:sz="4" w:space="0" w:color="293F5B"/>
              <w:left w:val="nil"/>
              <w:bottom w:val="single" w:sz="4" w:space="0" w:color="293F5B"/>
              <w:right w:val="nil"/>
            </w:tcBorders>
            <w:shd w:val="clear" w:color="auto" w:fill="auto"/>
            <w:noWrap/>
            <w:vAlign w:val="center"/>
            <w:hideMark/>
          </w:tcPr>
          <w:p w14:paraId="71D1B063" w14:textId="77777777" w:rsidR="001F1BE2" w:rsidRPr="00EC4BA6" w:rsidRDefault="001F1BE2" w:rsidP="001F1BE2">
            <w:pPr>
              <w:spacing w:before="0" w:after="0" w:line="240" w:lineRule="auto"/>
              <w:jc w:val="right"/>
              <w:rPr>
                <w:rFonts w:ascii="Arial" w:hAnsi="Arial" w:cs="Arial"/>
                <w:b/>
                <w:sz w:val="16"/>
                <w:szCs w:val="16"/>
              </w:rPr>
            </w:pPr>
            <w:r w:rsidRPr="00EC4BA6">
              <w:rPr>
                <w:rFonts w:ascii="Arial" w:hAnsi="Arial" w:cs="Arial"/>
                <w:b/>
                <w:sz w:val="16"/>
                <w:szCs w:val="16"/>
              </w:rPr>
              <w:t>3,023</w:t>
            </w:r>
          </w:p>
        </w:tc>
        <w:tc>
          <w:tcPr>
            <w:tcW w:w="484" w:type="pct"/>
            <w:tcBorders>
              <w:top w:val="single" w:sz="4" w:space="0" w:color="293F5B"/>
              <w:left w:val="nil"/>
              <w:bottom w:val="single" w:sz="4" w:space="0" w:color="293F5B"/>
              <w:right w:val="nil"/>
            </w:tcBorders>
            <w:shd w:val="clear" w:color="000000" w:fill="E6F2FF"/>
            <w:noWrap/>
            <w:vAlign w:val="center"/>
            <w:hideMark/>
          </w:tcPr>
          <w:p w14:paraId="1468C379" w14:textId="77777777" w:rsidR="001F1BE2" w:rsidRPr="00EC4BA6" w:rsidRDefault="001F1BE2" w:rsidP="001F1BE2">
            <w:pPr>
              <w:spacing w:before="0" w:after="0" w:line="240" w:lineRule="auto"/>
              <w:jc w:val="right"/>
              <w:rPr>
                <w:rFonts w:ascii="Arial" w:hAnsi="Arial" w:cs="Arial"/>
                <w:sz w:val="16"/>
                <w:szCs w:val="16"/>
              </w:rPr>
            </w:pPr>
            <w:r w:rsidRPr="00EC4BA6">
              <w:rPr>
                <w:rFonts w:ascii="Arial" w:hAnsi="Arial" w:cs="Arial"/>
                <w:b/>
                <w:sz w:val="16"/>
                <w:szCs w:val="16"/>
              </w:rPr>
              <w:t>8,068</w:t>
            </w:r>
          </w:p>
        </w:tc>
        <w:tc>
          <w:tcPr>
            <w:tcW w:w="484" w:type="pct"/>
            <w:tcBorders>
              <w:top w:val="single" w:sz="4" w:space="0" w:color="293F5B"/>
              <w:left w:val="nil"/>
              <w:bottom w:val="single" w:sz="4" w:space="0" w:color="293F5B"/>
              <w:right w:val="nil"/>
            </w:tcBorders>
            <w:shd w:val="clear" w:color="auto" w:fill="auto"/>
            <w:noWrap/>
            <w:vAlign w:val="center"/>
            <w:hideMark/>
          </w:tcPr>
          <w:p w14:paraId="121FB607" w14:textId="77777777" w:rsidR="001F1BE2" w:rsidRPr="00EC4BA6" w:rsidRDefault="001F1BE2" w:rsidP="001F1BE2">
            <w:pPr>
              <w:spacing w:before="0" w:after="0" w:line="240" w:lineRule="auto"/>
              <w:jc w:val="right"/>
              <w:rPr>
                <w:rFonts w:ascii="Arial" w:hAnsi="Arial" w:cs="Arial"/>
                <w:b/>
                <w:sz w:val="16"/>
                <w:szCs w:val="16"/>
              </w:rPr>
            </w:pPr>
            <w:r w:rsidRPr="00EC4BA6">
              <w:rPr>
                <w:rFonts w:ascii="Arial" w:hAnsi="Arial" w:cs="Arial"/>
                <w:b/>
                <w:sz w:val="16"/>
                <w:szCs w:val="16"/>
              </w:rPr>
              <w:t>3,143</w:t>
            </w:r>
          </w:p>
        </w:tc>
        <w:tc>
          <w:tcPr>
            <w:tcW w:w="484" w:type="pct"/>
            <w:tcBorders>
              <w:top w:val="single" w:sz="4" w:space="0" w:color="293F5B"/>
              <w:left w:val="nil"/>
              <w:bottom w:val="single" w:sz="4" w:space="0" w:color="293F5B"/>
              <w:right w:val="nil"/>
            </w:tcBorders>
            <w:shd w:val="clear" w:color="auto" w:fill="auto"/>
            <w:noWrap/>
            <w:vAlign w:val="center"/>
            <w:hideMark/>
          </w:tcPr>
          <w:p w14:paraId="6596DF71" w14:textId="77777777" w:rsidR="001F1BE2" w:rsidRPr="00EC4BA6" w:rsidRDefault="001F1BE2" w:rsidP="001F1BE2">
            <w:pPr>
              <w:spacing w:before="0" w:after="0" w:line="240" w:lineRule="auto"/>
              <w:jc w:val="right"/>
              <w:rPr>
                <w:rFonts w:ascii="Arial" w:hAnsi="Arial" w:cs="Arial"/>
                <w:b/>
                <w:sz w:val="16"/>
                <w:szCs w:val="16"/>
              </w:rPr>
            </w:pPr>
            <w:r w:rsidRPr="00EC4BA6">
              <w:rPr>
                <w:rFonts w:ascii="Arial" w:hAnsi="Arial" w:cs="Arial"/>
                <w:b/>
                <w:sz w:val="16"/>
                <w:szCs w:val="16"/>
              </w:rPr>
              <w:t>778</w:t>
            </w:r>
          </w:p>
        </w:tc>
        <w:tc>
          <w:tcPr>
            <w:tcW w:w="484" w:type="pct"/>
            <w:tcBorders>
              <w:top w:val="single" w:sz="4" w:space="0" w:color="293F5B"/>
              <w:left w:val="nil"/>
              <w:bottom w:val="single" w:sz="4" w:space="0" w:color="293F5B"/>
              <w:right w:val="nil"/>
            </w:tcBorders>
            <w:shd w:val="clear" w:color="auto" w:fill="auto"/>
            <w:noWrap/>
            <w:vAlign w:val="center"/>
            <w:hideMark/>
          </w:tcPr>
          <w:p w14:paraId="6806D507" w14:textId="77777777" w:rsidR="001F1BE2" w:rsidRPr="00EC4BA6" w:rsidRDefault="001F1BE2" w:rsidP="001F1BE2">
            <w:pPr>
              <w:spacing w:before="0" w:after="0" w:line="240" w:lineRule="auto"/>
              <w:jc w:val="right"/>
              <w:rPr>
                <w:rFonts w:ascii="Arial" w:hAnsi="Arial" w:cs="Arial"/>
                <w:b/>
                <w:sz w:val="16"/>
                <w:szCs w:val="16"/>
              </w:rPr>
            </w:pPr>
            <w:r w:rsidRPr="00EC4BA6">
              <w:rPr>
                <w:rFonts w:ascii="Arial" w:hAnsi="Arial" w:cs="Arial"/>
                <w:b/>
                <w:sz w:val="16"/>
                <w:szCs w:val="16"/>
              </w:rPr>
              <w:t>*</w:t>
            </w:r>
          </w:p>
        </w:tc>
        <w:tc>
          <w:tcPr>
            <w:tcW w:w="53" w:type="pct"/>
            <w:tcBorders>
              <w:top w:val="nil"/>
              <w:left w:val="nil"/>
              <w:bottom w:val="nil"/>
              <w:right w:val="nil"/>
            </w:tcBorders>
            <w:shd w:val="clear" w:color="auto" w:fill="auto"/>
            <w:noWrap/>
            <w:vAlign w:val="center"/>
            <w:hideMark/>
          </w:tcPr>
          <w:p w14:paraId="69276BB8" w14:textId="77777777" w:rsidR="001F1BE2" w:rsidRPr="00EC4BA6" w:rsidRDefault="001F1BE2" w:rsidP="001F1BE2">
            <w:pPr>
              <w:spacing w:before="0" w:after="0" w:line="240" w:lineRule="auto"/>
              <w:jc w:val="right"/>
              <w:rPr>
                <w:rFonts w:ascii="Arial" w:hAnsi="Arial" w:cs="Arial"/>
                <w:b/>
                <w:sz w:val="16"/>
                <w:szCs w:val="16"/>
              </w:rPr>
            </w:pPr>
          </w:p>
        </w:tc>
        <w:tc>
          <w:tcPr>
            <w:tcW w:w="508" w:type="pct"/>
            <w:gridSpan w:val="2"/>
            <w:tcBorders>
              <w:top w:val="single" w:sz="4" w:space="0" w:color="293F5B"/>
              <w:left w:val="nil"/>
              <w:bottom w:val="single" w:sz="4" w:space="0" w:color="293F5B"/>
              <w:right w:val="nil"/>
            </w:tcBorders>
            <w:shd w:val="clear" w:color="auto" w:fill="auto"/>
            <w:noWrap/>
            <w:vAlign w:val="center"/>
            <w:hideMark/>
          </w:tcPr>
          <w:p w14:paraId="285C6D8D" w14:textId="77777777" w:rsidR="001F1BE2" w:rsidRPr="00EC4BA6" w:rsidRDefault="001F1BE2" w:rsidP="001F1BE2">
            <w:pPr>
              <w:spacing w:before="0" w:after="0" w:line="240" w:lineRule="auto"/>
              <w:jc w:val="right"/>
              <w:rPr>
                <w:rFonts w:ascii="Arial" w:hAnsi="Arial" w:cs="Arial"/>
                <w:b/>
                <w:sz w:val="16"/>
                <w:szCs w:val="16"/>
              </w:rPr>
            </w:pPr>
            <w:r w:rsidRPr="00EC4BA6">
              <w:rPr>
                <w:rFonts w:ascii="Arial" w:hAnsi="Arial" w:cs="Arial"/>
                <w:b/>
                <w:sz w:val="16"/>
                <w:szCs w:val="16"/>
              </w:rPr>
              <w:t>*</w:t>
            </w:r>
          </w:p>
        </w:tc>
      </w:tr>
      <w:tr w:rsidR="001F1BE2" w:rsidRPr="00EC4BA6" w14:paraId="10F64664" w14:textId="77777777" w:rsidTr="001F1BE2">
        <w:trPr>
          <w:trHeight w:hRule="exact" w:val="225"/>
        </w:trPr>
        <w:tc>
          <w:tcPr>
            <w:tcW w:w="2018" w:type="pct"/>
            <w:tcBorders>
              <w:top w:val="nil"/>
              <w:left w:val="nil"/>
              <w:bottom w:val="nil"/>
              <w:right w:val="nil"/>
            </w:tcBorders>
            <w:shd w:val="clear" w:color="auto" w:fill="auto"/>
            <w:vAlign w:val="center"/>
            <w:hideMark/>
          </w:tcPr>
          <w:p w14:paraId="411022DB" w14:textId="0EFEAE9F" w:rsidR="001F1BE2" w:rsidRPr="00EC4BA6" w:rsidRDefault="001F1BE2" w:rsidP="001F1BE2">
            <w:pPr>
              <w:spacing w:before="0" w:after="0" w:line="240" w:lineRule="auto"/>
              <w:rPr>
                <w:rFonts w:ascii="Arial" w:hAnsi="Arial" w:cs="Arial"/>
                <w:b/>
                <w:sz w:val="16"/>
                <w:szCs w:val="16"/>
              </w:rPr>
            </w:pPr>
            <w:r w:rsidRPr="00EC4BA6">
              <w:rPr>
                <w:rFonts w:ascii="Arial" w:hAnsi="Arial" w:cs="Arial"/>
                <w:b/>
                <w:sz w:val="16"/>
                <w:szCs w:val="16"/>
              </w:rPr>
              <w:t xml:space="preserve">Tax receipts </w:t>
            </w:r>
            <w:proofErr w:type="gramStart"/>
            <w:r w:rsidRPr="00EC4BA6">
              <w:rPr>
                <w:rFonts w:ascii="Arial" w:hAnsi="Arial" w:cs="Arial"/>
                <w:b/>
                <w:sz w:val="16"/>
                <w:szCs w:val="16"/>
              </w:rPr>
              <w:t>at</w:t>
            </w:r>
            <w:proofErr w:type="gramEnd"/>
            <w:r w:rsidRPr="00EC4BA6">
              <w:rPr>
                <w:rFonts w:ascii="Arial" w:hAnsi="Arial" w:cs="Arial"/>
                <w:b/>
                <w:sz w:val="16"/>
                <w:szCs w:val="16"/>
              </w:rPr>
              <w:t xml:space="preserve"> 2024</w:t>
            </w:r>
            <w:r w:rsidR="001A3DD6">
              <w:rPr>
                <w:rFonts w:ascii="Arial" w:hAnsi="Arial" w:cs="Arial"/>
                <w:b/>
                <w:sz w:val="16"/>
                <w:szCs w:val="16"/>
              </w:rPr>
              <w:noBreakHyphen/>
            </w:r>
            <w:r w:rsidRPr="00EC4BA6">
              <w:rPr>
                <w:rFonts w:ascii="Arial" w:hAnsi="Arial" w:cs="Arial"/>
                <w:b/>
                <w:sz w:val="16"/>
                <w:szCs w:val="16"/>
              </w:rPr>
              <w:t>25 MYEFO</w:t>
            </w:r>
          </w:p>
        </w:tc>
        <w:tc>
          <w:tcPr>
            <w:tcW w:w="484" w:type="pct"/>
            <w:tcBorders>
              <w:top w:val="nil"/>
              <w:left w:val="nil"/>
              <w:bottom w:val="nil"/>
              <w:right w:val="nil"/>
            </w:tcBorders>
            <w:shd w:val="clear" w:color="auto" w:fill="auto"/>
            <w:noWrap/>
            <w:vAlign w:val="center"/>
            <w:hideMark/>
          </w:tcPr>
          <w:p w14:paraId="231609BF" w14:textId="77777777" w:rsidR="001F1BE2" w:rsidRPr="00EC4BA6" w:rsidRDefault="001F1BE2" w:rsidP="001F1BE2">
            <w:pPr>
              <w:spacing w:before="0" w:after="0" w:line="240" w:lineRule="auto"/>
              <w:jc w:val="right"/>
              <w:rPr>
                <w:rFonts w:ascii="Arial" w:hAnsi="Arial" w:cs="Arial"/>
                <w:b/>
                <w:sz w:val="16"/>
                <w:szCs w:val="16"/>
              </w:rPr>
            </w:pPr>
            <w:r w:rsidRPr="00EC4BA6">
              <w:rPr>
                <w:rFonts w:ascii="Arial" w:hAnsi="Arial" w:cs="Arial"/>
                <w:b/>
                <w:sz w:val="16"/>
                <w:szCs w:val="16"/>
              </w:rPr>
              <w:t>645,565</w:t>
            </w:r>
          </w:p>
        </w:tc>
        <w:tc>
          <w:tcPr>
            <w:tcW w:w="484" w:type="pct"/>
            <w:tcBorders>
              <w:top w:val="nil"/>
              <w:left w:val="nil"/>
              <w:bottom w:val="nil"/>
              <w:right w:val="nil"/>
            </w:tcBorders>
            <w:shd w:val="clear" w:color="000000" w:fill="E6F2FF"/>
            <w:noWrap/>
            <w:vAlign w:val="center"/>
            <w:hideMark/>
          </w:tcPr>
          <w:p w14:paraId="1F80A43A" w14:textId="77777777" w:rsidR="001F1BE2" w:rsidRPr="00EC4BA6" w:rsidRDefault="001F1BE2" w:rsidP="001F1BE2">
            <w:pPr>
              <w:spacing w:before="0" w:after="0" w:line="240" w:lineRule="auto"/>
              <w:jc w:val="right"/>
              <w:rPr>
                <w:rFonts w:ascii="Arial" w:hAnsi="Arial" w:cs="Arial"/>
                <w:b/>
                <w:sz w:val="16"/>
                <w:szCs w:val="16"/>
              </w:rPr>
            </w:pPr>
            <w:r w:rsidRPr="00EC4BA6">
              <w:rPr>
                <w:rFonts w:ascii="Arial" w:hAnsi="Arial" w:cs="Arial"/>
                <w:b/>
                <w:sz w:val="16"/>
                <w:szCs w:val="16"/>
              </w:rPr>
              <w:t>669,651</w:t>
            </w:r>
          </w:p>
        </w:tc>
        <w:tc>
          <w:tcPr>
            <w:tcW w:w="484" w:type="pct"/>
            <w:tcBorders>
              <w:top w:val="nil"/>
              <w:left w:val="nil"/>
              <w:bottom w:val="nil"/>
              <w:right w:val="nil"/>
            </w:tcBorders>
            <w:shd w:val="clear" w:color="auto" w:fill="auto"/>
            <w:noWrap/>
            <w:vAlign w:val="center"/>
            <w:hideMark/>
          </w:tcPr>
          <w:p w14:paraId="2529159F" w14:textId="77777777" w:rsidR="001F1BE2" w:rsidRPr="00EC4BA6" w:rsidRDefault="001F1BE2" w:rsidP="001F1BE2">
            <w:pPr>
              <w:spacing w:before="0" w:after="0" w:line="240" w:lineRule="auto"/>
              <w:jc w:val="right"/>
              <w:rPr>
                <w:rFonts w:ascii="Arial" w:hAnsi="Arial" w:cs="Arial"/>
                <w:b/>
                <w:sz w:val="16"/>
                <w:szCs w:val="16"/>
              </w:rPr>
            </w:pPr>
            <w:r w:rsidRPr="00EC4BA6">
              <w:rPr>
                <w:rFonts w:ascii="Arial" w:hAnsi="Arial" w:cs="Arial"/>
                <w:b/>
                <w:sz w:val="16"/>
                <w:szCs w:val="16"/>
              </w:rPr>
              <w:t>705,421</w:t>
            </w:r>
          </w:p>
        </w:tc>
        <w:tc>
          <w:tcPr>
            <w:tcW w:w="484" w:type="pct"/>
            <w:tcBorders>
              <w:top w:val="nil"/>
              <w:left w:val="nil"/>
              <w:bottom w:val="nil"/>
              <w:right w:val="nil"/>
            </w:tcBorders>
            <w:shd w:val="clear" w:color="auto" w:fill="auto"/>
            <w:noWrap/>
            <w:vAlign w:val="center"/>
            <w:hideMark/>
          </w:tcPr>
          <w:p w14:paraId="342F325B" w14:textId="77777777" w:rsidR="001F1BE2" w:rsidRPr="00EC4BA6" w:rsidRDefault="001F1BE2" w:rsidP="001F1BE2">
            <w:pPr>
              <w:spacing w:before="0" w:after="0" w:line="240" w:lineRule="auto"/>
              <w:jc w:val="right"/>
              <w:rPr>
                <w:rFonts w:ascii="Arial" w:hAnsi="Arial" w:cs="Arial"/>
                <w:b/>
                <w:sz w:val="16"/>
                <w:szCs w:val="16"/>
              </w:rPr>
            </w:pPr>
            <w:r w:rsidRPr="00EC4BA6">
              <w:rPr>
                <w:rFonts w:ascii="Arial" w:hAnsi="Arial" w:cs="Arial"/>
                <w:b/>
                <w:sz w:val="16"/>
                <w:szCs w:val="16"/>
              </w:rPr>
              <w:t>743,077</w:t>
            </w:r>
          </w:p>
        </w:tc>
        <w:tc>
          <w:tcPr>
            <w:tcW w:w="484" w:type="pct"/>
            <w:tcBorders>
              <w:top w:val="nil"/>
              <w:left w:val="nil"/>
              <w:bottom w:val="nil"/>
              <w:right w:val="nil"/>
            </w:tcBorders>
            <w:shd w:val="clear" w:color="auto" w:fill="auto"/>
            <w:noWrap/>
            <w:vAlign w:val="center"/>
            <w:hideMark/>
          </w:tcPr>
          <w:p w14:paraId="11AB8C60" w14:textId="77777777" w:rsidR="001F1BE2" w:rsidRPr="00EC4BA6" w:rsidRDefault="001F1BE2" w:rsidP="001F1BE2">
            <w:pPr>
              <w:spacing w:before="0" w:after="0" w:line="240" w:lineRule="auto"/>
              <w:jc w:val="right"/>
              <w:rPr>
                <w:rFonts w:ascii="Arial" w:hAnsi="Arial" w:cs="Arial"/>
                <w:b/>
                <w:sz w:val="16"/>
                <w:szCs w:val="16"/>
              </w:rPr>
            </w:pPr>
            <w:r w:rsidRPr="00EC4BA6">
              <w:rPr>
                <w:rFonts w:ascii="Arial" w:hAnsi="Arial" w:cs="Arial"/>
                <w:b/>
                <w:sz w:val="16"/>
                <w:szCs w:val="16"/>
              </w:rPr>
              <w:t>785,942</w:t>
            </w:r>
          </w:p>
        </w:tc>
        <w:tc>
          <w:tcPr>
            <w:tcW w:w="53" w:type="pct"/>
            <w:tcBorders>
              <w:top w:val="nil"/>
              <w:left w:val="nil"/>
              <w:bottom w:val="nil"/>
              <w:right w:val="nil"/>
            </w:tcBorders>
            <w:shd w:val="clear" w:color="auto" w:fill="auto"/>
            <w:noWrap/>
            <w:vAlign w:val="center"/>
            <w:hideMark/>
          </w:tcPr>
          <w:p w14:paraId="7D350501" w14:textId="77777777" w:rsidR="001F1BE2" w:rsidRPr="00EC4BA6" w:rsidRDefault="001F1BE2" w:rsidP="001F1BE2">
            <w:pPr>
              <w:spacing w:before="0" w:after="0" w:line="240" w:lineRule="auto"/>
              <w:jc w:val="right"/>
              <w:rPr>
                <w:rFonts w:ascii="Arial" w:hAnsi="Arial" w:cs="Arial"/>
                <w:b/>
                <w:sz w:val="16"/>
                <w:szCs w:val="16"/>
              </w:rPr>
            </w:pPr>
          </w:p>
        </w:tc>
        <w:tc>
          <w:tcPr>
            <w:tcW w:w="508" w:type="pct"/>
            <w:gridSpan w:val="2"/>
            <w:tcBorders>
              <w:top w:val="nil"/>
              <w:left w:val="nil"/>
              <w:bottom w:val="nil"/>
              <w:right w:val="nil"/>
            </w:tcBorders>
            <w:shd w:val="clear" w:color="auto" w:fill="auto"/>
            <w:noWrap/>
            <w:vAlign w:val="center"/>
            <w:hideMark/>
          </w:tcPr>
          <w:p w14:paraId="760DF829" w14:textId="77777777" w:rsidR="001F1BE2" w:rsidRPr="00EC4BA6" w:rsidRDefault="001F1BE2" w:rsidP="001F1BE2">
            <w:pPr>
              <w:spacing w:before="0" w:after="0" w:line="240" w:lineRule="auto"/>
              <w:jc w:val="right"/>
              <w:rPr>
                <w:rFonts w:ascii="Arial" w:hAnsi="Arial" w:cs="Arial"/>
                <w:b/>
                <w:sz w:val="16"/>
                <w:szCs w:val="16"/>
              </w:rPr>
            </w:pPr>
            <w:r w:rsidRPr="00EC4BA6">
              <w:rPr>
                <w:rFonts w:ascii="Arial" w:hAnsi="Arial" w:cs="Arial"/>
                <w:b/>
                <w:sz w:val="16"/>
                <w:szCs w:val="16"/>
              </w:rPr>
              <w:t>3,549,655</w:t>
            </w:r>
          </w:p>
        </w:tc>
      </w:tr>
      <w:tr w:rsidR="001F1BE2" w:rsidRPr="00EC4BA6" w14:paraId="6DAE3589" w14:textId="77777777" w:rsidTr="001F1BE2">
        <w:trPr>
          <w:trHeight w:hRule="exact" w:val="60"/>
        </w:trPr>
        <w:tc>
          <w:tcPr>
            <w:tcW w:w="2018" w:type="pct"/>
            <w:tcBorders>
              <w:top w:val="nil"/>
              <w:left w:val="nil"/>
              <w:bottom w:val="nil"/>
              <w:right w:val="nil"/>
            </w:tcBorders>
            <w:shd w:val="clear" w:color="auto" w:fill="auto"/>
            <w:vAlign w:val="center"/>
            <w:hideMark/>
          </w:tcPr>
          <w:p w14:paraId="52F729CB" w14:textId="77777777" w:rsidR="001F1BE2" w:rsidRPr="00EC4BA6" w:rsidRDefault="001F1BE2" w:rsidP="001F1BE2">
            <w:pPr>
              <w:spacing w:before="0" w:after="0" w:line="240" w:lineRule="auto"/>
              <w:jc w:val="right"/>
              <w:rPr>
                <w:rFonts w:ascii="Arial" w:hAnsi="Arial" w:cs="Arial"/>
                <w:b/>
                <w:sz w:val="16"/>
                <w:szCs w:val="16"/>
              </w:rPr>
            </w:pPr>
          </w:p>
        </w:tc>
        <w:tc>
          <w:tcPr>
            <w:tcW w:w="484" w:type="pct"/>
            <w:tcBorders>
              <w:top w:val="nil"/>
              <w:left w:val="nil"/>
              <w:bottom w:val="nil"/>
              <w:right w:val="nil"/>
            </w:tcBorders>
            <w:shd w:val="clear" w:color="auto" w:fill="auto"/>
            <w:noWrap/>
            <w:vAlign w:val="center"/>
            <w:hideMark/>
          </w:tcPr>
          <w:p w14:paraId="6F0B24D0" w14:textId="77777777" w:rsidR="001F1BE2" w:rsidRPr="00EC4BA6" w:rsidRDefault="001F1BE2" w:rsidP="001F1BE2">
            <w:pPr>
              <w:spacing w:before="0" w:after="0" w:line="240" w:lineRule="auto"/>
              <w:jc w:val="right"/>
              <w:rPr>
                <w:rFonts w:ascii="Times New Roman" w:hAnsi="Times New Roman"/>
                <w:sz w:val="20"/>
              </w:rPr>
            </w:pPr>
          </w:p>
        </w:tc>
        <w:tc>
          <w:tcPr>
            <w:tcW w:w="484" w:type="pct"/>
            <w:tcBorders>
              <w:top w:val="nil"/>
              <w:left w:val="nil"/>
              <w:bottom w:val="nil"/>
              <w:right w:val="nil"/>
            </w:tcBorders>
            <w:shd w:val="clear" w:color="000000" w:fill="E6F2FF"/>
            <w:noWrap/>
            <w:vAlign w:val="center"/>
            <w:hideMark/>
          </w:tcPr>
          <w:p w14:paraId="19903820" w14:textId="77777777" w:rsidR="001F1BE2" w:rsidRPr="00EC4BA6" w:rsidRDefault="001F1BE2" w:rsidP="001F1BE2">
            <w:pPr>
              <w:spacing w:before="0" w:after="0" w:line="240" w:lineRule="auto"/>
              <w:jc w:val="right"/>
              <w:rPr>
                <w:rFonts w:ascii="Arial" w:hAnsi="Arial" w:cs="Arial"/>
                <w:sz w:val="16"/>
                <w:szCs w:val="16"/>
              </w:rPr>
            </w:pPr>
            <w:r w:rsidRPr="00EC4BA6">
              <w:rPr>
                <w:rFonts w:ascii="Arial" w:hAnsi="Arial" w:cs="Arial"/>
                <w:sz w:val="16"/>
                <w:szCs w:val="16"/>
              </w:rPr>
              <w:t> </w:t>
            </w:r>
          </w:p>
        </w:tc>
        <w:tc>
          <w:tcPr>
            <w:tcW w:w="484" w:type="pct"/>
            <w:tcBorders>
              <w:top w:val="nil"/>
              <w:left w:val="nil"/>
              <w:bottom w:val="nil"/>
              <w:right w:val="nil"/>
            </w:tcBorders>
            <w:shd w:val="clear" w:color="auto" w:fill="auto"/>
            <w:noWrap/>
            <w:vAlign w:val="center"/>
            <w:hideMark/>
          </w:tcPr>
          <w:p w14:paraId="4CC5E124" w14:textId="77777777" w:rsidR="001F1BE2" w:rsidRPr="00EC4BA6" w:rsidRDefault="001F1BE2" w:rsidP="001F1BE2">
            <w:pPr>
              <w:spacing w:before="0" w:after="0" w:line="240" w:lineRule="auto"/>
              <w:jc w:val="right"/>
              <w:rPr>
                <w:rFonts w:ascii="Arial" w:hAnsi="Arial" w:cs="Arial"/>
                <w:sz w:val="16"/>
                <w:szCs w:val="16"/>
              </w:rPr>
            </w:pPr>
          </w:p>
        </w:tc>
        <w:tc>
          <w:tcPr>
            <w:tcW w:w="484" w:type="pct"/>
            <w:tcBorders>
              <w:top w:val="nil"/>
              <w:left w:val="nil"/>
              <w:bottom w:val="nil"/>
              <w:right w:val="nil"/>
            </w:tcBorders>
            <w:shd w:val="clear" w:color="auto" w:fill="auto"/>
            <w:noWrap/>
            <w:vAlign w:val="center"/>
            <w:hideMark/>
          </w:tcPr>
          <w:p w14:paraId="5E5B00C9" w14:textId="77777777" w:rsidR="001F1BE2" w:rsidRPr="00EC4BA6" w:rsidRDefault="001F1BE2" w:rsidP="001F1BE2">
            <w:pPr>
              <w:spacing w:before="0" w:after="0" w:line="240" w:lineRule="auto"/>
              <w:rPr>
                <w:rFonts w:ascii="Times New Roman" w:hAnsi="Times New Roman"/>
                <w:sz w:val="20"/>
              </w:rPr>
            </w:pPr>
          </w:p>
        </w:tc>
        <w:tc>
          <w:tcPr>
            <w:tcW w:w="484" w:type="pct"/>
            <w:tcBorders>
              <w:top w:val="nil"/>
              <w:left w:val="nil"/>
              <w:bottom w:val="nil"/>
              <w:right w:val="nil"/>
            </w:tcBorders>
            <w:shd w:val="clear" w:color="auto" w:fill="auto"/>
            <w:noWrap/>
            <w:vAlign w:val="center"/>
            <w:hideMark/>
          </w:tcPr>
          <w:p w14:paraId="643A0FA3" w14:textId="77777777" w:rsidR="001F1BE2" w:rsidRPr="00EC4BA6" w:rsidRDefault="001F1BE2" w:rsidP="001F1BE2">
            <w:pPr>
              <w:spacing w:before="0" w:after="0" w:line="240" w:lineRule="auto"/>
              <w:rPr>
                <w:rFonts w:ascii="Times New Roman" w:hAnsi="Times New Roman"/>
                <w:sz w:val="20"/>
              </w:rPr>
            </w:pPr>
          </w:p>
        </w:tc>
        <w:tc>
          <w:tcPr>
            <w:tcW w:w="53" w:type="pct"/>
            <w:tcBorders>
              <w:top w:val="nil"/>
              <w:left w:val="nil"/>
              <w:bottom w:val="nil"/>
              <w:right w:val="nil"/>
            </w:tcBorders>
            <w:shd w:val="clear" w:color="auto" w:fill="auto"/>
            <w:noWrap/>
            <w:vAlign w:val="center"/>
            <w:hideMark/>
          </w:tcPr>
          <w:p w14:paraId="2276BA48" w14:textId="77777777" w:rsidR="001F1BE2" w:rsidRPr="00EC4BA6" w:rsidRDefault="001F1BE2" w:rsidP="001F1BE2">
            <w:pPr>
              <w:spacing w:before="0" w:after="0" w:line="240" w:lineRule="auto"/>
              <w:rPr>
                <w:rFonts w:ascii="Times New Roman" w:hAnsi="Times New Roman"/>
                <w:sz w:val="20"/>
              </w:rPr>
            </w:pPr>
          </w:p>
        </w:tc>
        <w:tc>
          <w:tcPr>
            <w:tcW w:w="508" w:type="pct"/>
            <w:gridSpan w:val="2"/>
            <w:tcBorders>
              <w:top w:val="nil"/>
              <w:left w:val="nil"/>
              <w:bottom w:val="nil"/>
              <w:right w:val="nil"/>
            </w:tcBorders>
            <w:shd w:val="clear" w:color="auto" w:fill="auto"/>
            <w:noWrap/>
            <w:vAlign w:val="center"/>
            <w:hideMark/>
          </w:tcPr>
          <w:p w14:paraId="3FD51C5F" w14:textId="77777777" w:rsidR="001F1BE2" w:rsidRPr="00EC4BA6" w:rsidRDefault="001F1BE2" w:rsidP="001F1BE2">
            <w:pPr>
              <w:spacing w:before="0" w:after="0" w:line="240" w:lineRule="auto"/>
              <w:rPr>
                <w:rFonts w:ascii="Times New Roman" w:hAnsi="Times New Roman"/>
                <w:sz w:val="20"/>
              </w:rPr>
            </w:pPr>
          </w:p>
        </w:tc>
      </w:tr>
      <w:tr w:rsidR="001F1BE2" w:rsidRPr="00EC4BA6" w14:paraId="207F8C03" w14:textId="77777777" w:rsidTr="001F1BE2">
        <w:trPr>
          <w:trHeight w:hRule="exact" w:val="225"/>
        </w:trPr>
        <w:tc>
          <w:tcPr>
            <w:tcW w:w="2018" w:type="pct"/>
            <w:tcBorders>
              <w:top w:val="nil"/>
              <w:left w:val="nil"/>
              <w:bottom w:val="nil"/>
              <w:right w:val="nil"/>
            </w:tcBorders>
            <w:shd w:val="clear" w:color="auto" w:fill="auto"/>
            <w:vAlign w:val="center"/>
            <w:hideMark/>
          </w:tcPr>
          <w:p w14:paraId="4F48BE7B" w14:textId="055B219A" w:rsidR="001F1BE2" w:rsidRPr="00EC4BA6" w:rsidRDefault="001F1BE2" w:rsidP="001F1BE2">
            <w:pPr>
              <w:spacing w:before="0" w:after="0" w:line="240" w:lineRule="auto"/>
              <w:rPr>
                <w:rFonts w:ascii="Arial" w:hAnsi="Arial" w:cs="Arial"/>
                <w:b/>
                <w:sz w:val="16"/>
                <w:szCs w:val="16"/>
              </w:rPr>
            </w:pPr>
            <w:r w:rsidRPr="00EC4BA6">
              <w:rPr>
                <w:rFonts w:ascii="Arial" w:hAnsi="Arial" w:cs="Arial"/>
                <w:b/>
                <w:sz w:val="16"/>
                <w:szCs w:val="16"/>
              </w:rPr>
              <w:t>Changes from 2024</w:t>
            </w:r>
            <w:r w:rsidR="001A3DD6">
              <w:rPr>
                <w:rFonts w:ascii="Arial" w:hAnsi="Arial" w:cs="Arial"/>
                <w:b/>
                <w:sz w:val="16"/>
                <w:szCs w:val="16"/>
              </w:rPr>
              <w:noBreakHyphen/>
            </w:r>
            <w:r w:rsidRPr="00EC4BA6">
              <w:rPr>
                <w:rFonts w:ascii="Arial" w:hAnsi="Arial" w:cs="Arial"/>
                <w:b/>
                <w:sz w:val="16"/>
                <w:szCs w:val="16"/>
              </w:rPr>
              <w:t>25 MYEFO</w:t>
            </w:r>
          </w:p>
        </w:tc>
        <w:tc>
          <w:tcPr>
            <w:tcW w:w="484" w:type="pct"/>
            <w:tcBorders>
              <w:top w:val="nil"/>
              <w:left w:val="nil"/>
              <w:bottom w:val="nil"/>
              <w:right w:val="nil"/>
            </w:tcBorders>
            <w:shd w:val="clear" w:color="auto" w:fill="auto"/>
            <w:noWrap/>
            <w:vAlign w:val="center"/>
            <w:hideMark/>
          </w:tcPr>
          <w:p w14:paraId="34C05C4F" w14:textId="77777777" w:rsidR="001F1BE2" w:rsidRPr="00EC4BA6" w:rsidRDefault="001F1BE2" w:rsidP="001F1BE2">
            <w:pPr>
              <w:spacing w:before="0" w:after="0" w:line="240" w:lineRule="auto"/>
              <w:rPr>
                <w:rFonts w:ascii="Arial" w:hAnsi="Arial" w:cs="Arial"/>
                <w:b/>
                <w:sz w:val="16"/>
                <w:szCs w:val="16"/>
              </w:rPr>
            </w:pPr>
          </w:p>
        </w:tc>
        <w:tc>
          <w:tcPr>
            <w:tcW w:w="484" w:type="pct"/>
            <w:tcBorders>
              <w:top w:val="nil"/>
              <w:left w:val="nil"/>
              <w:bottom w:val="nil"/>
              <w:right w:val="nil"/>
            </w:tcBorders>
            <w:shd w:val="clear" w:color="000000" w:fill="E6F2FF"/>
            <w:noWrap/>
            <w:vAlign w:val="center"/>
            <w:hideMark/>
          </w:tcPr>
          <w:p w14:paraId="52A2248E" w14:textId="77777777" w:rsidR="001F1BE2" w:rsidRPr="00EC4BA6" w:rsidRDefault="001F1BE2" w:rsidP="001F1BE2">
            <w:pPr>
              <w:spacing w:before="0" w:after="0" w:line="240" w:lineRule="auto"/>
              <w:jc w:val="right"/>
              <w:rPr>
                <w:rFonts w:ascii="Arial" w:hAnsi="Arial" w:cs="Arial"/>
                <w:b/>
                <w:sz w:val="16"/>
                <w:szCs w:val="16"/>
              </w:rPr>
            </w:pPr>
            <w:r w:rsidRPr="00EC4BA6">
              <w:rPr>
                <w:rFonts w:ascii="Arial" w:hAnsi="Arial" w:cs="Arial"/>
                <w:b/>
                <w:sz w:val="16"/>
                <w:szCs w:val="16"/>
              </w:rPr>
              <w:t> </w:t>
            </w:r>
          </w:p>
        </w:tc>
        <w:tc>
          <w:tcPr>
            <w:tcW w:w="484" w:type="pct"/>
            <w:tcBorders>
              <w:top w:val="nil"/>
              <w:left w:val="nil"/>
              <w:bottom w:val="nil"/>
              <w:right w:val="nil"/>
            </w:tcBorders>
            <w:shd w:val="clear" w:color="auto" w:fill="auto"/>
            <w:noWrap/>
            <w:vAlign w:val="center"/>
            <w:hideMark/>
          </w:tcPr>
          <w:p w14:paraId="31613DF8" w14:textId="77777777" w:rsidR="001F1BE2" w:rsidRPr="00EC4BA6" w:rsidRDefault="001F1BE2" w:rsidP="001F1BE2">
            <w:pPr>
              <w:spacing w:before="0" w:after="0" w:line="240" w:lineRule="auto"/>
              <w:jc w:val="right"/>
              <w:rPr>
                <w:rFonts w:ascii="Arial" w:hAnsi="Arial" w:cs="Arial"/>
                <w:b/>
                <w:sz w:val="16"/>
                <w:szCs w:val="16"/>
              </w:rPr>
            </w:pPr>
          </w:p>
        </w:tc>
        <w:tc>
          <w:tcPr>
            <w:tcW w:w="484" w:type="pct"/>
            <w:tcBorders>
              <w:top w:val="nil"/>
              <w:left w:val="nil"/>
              <w:bottom w:val="nil"/>
              <w:right w:val="nil"/>
            </w:tcBorders>
            <w:shd w:val="clear" w:color="auto" w:fill="auto"/>
            <w:noWrap/>
            <w:vAlign w:val="center"/>
            <w:hideMark/>
          </w:tcPr>
          <w:p w14:paraId="7A931986" w14:textId="77777777" w:rsidR="001F1BE2" w:rsidRPr="00EC4BA6" w:rsidRDefault="001F1BE2" w:rsidP="001F1BE2">
            <w:pPr>
              <w:spacing w:before="0" w:after="0" w:line="240" w:lineRule="auto"/>
              <w:rPr>
                <w:rFonts w:ascii="Times New Roman" w:hAnsi="Times New Roman"/>
                <w:sz w:val="20"/>
              </w:rPr>
            </w:pPr>
          </w:p>
        </w:tc>
        <w:tc>
          <w:tcPr>
            <w:tcW w:w="484" w:type="pct"/>
            <w:tcBorders>
              <w:top w:val="nil"/>
              <w:left w:val="nil"/>
              <w:bottom w:val="nil"/>
              <w:right w:val="nil"/>
            </w:tcBorders>
            <w:shd w:val="clear" w:color="auto" w:fill="auto"/>
            <w:noWrap/>
            <w:vAlign w:val="center"/>
            <w:hideMark/>
          </w:tcPr>
          <w:p w14:paraId="78471FFD" w14:textId="77777777" w:rsidR="001F1BE2" w:rsidRPr="00EC4BA6" w:rsidRDefault="001F1BE2" w:rsidP="001F1BE2">
            <w:pPr>
              <w:spacing w:before="0" w:after="0" w:line="240" w:lineRule="auto"/>
              <w:rPr>
                <w:rFonts w:ascii="Times New Roman" w:hAnsi="Times New Roman"/>
                <w:sz w:val="20"/>
              </w:rPr>
            </w:pPr>
          </w:p>
        </w:tc>
        <w:tc>
          <w:tcPr>
            <w:tcW w:w="53" w:type="pct"/>
            <w:tcBorders>
              <w:top w:val="nil"/>
              <w:left w:val="nil"/>
              <w:bottom w:val="nil"/>
              <w:right w:val="nil"/>
            </w:tcBorders>
            <w:shd w:val="clear" w:color="auto" w:fill="auto"/>
            <w:noWrap/>
            <w:vAlign w:val="center"/>
            <w:hideMark/>
          </w:tcPr>
          <w:p w14:paraId="5BA325EB" w14:textId="77777777" w:rsidR="001F1BE2" w:rsidRPr="00EC4BA6" w:rsidRDefault="001F1BE2" w:rsidP="001F1BE2">
            <w:pPr>
              <w:spacing w:before="0" w:after="0" w:line="240" w:lineRule="auto"/>
              <w:rPr>
                <w:rFonts w:ascii="Times New Roman" w:hAnsi="Times New Roman"/>
                <w:sz w:val="20"/>
              </w:rPr>
            </w:pPr>
          </w:p>
        </w:tc>
        <w:tc>
          <w:tcPr>
            <w:tcW w:w="508" w:type="pct"/>
            <w:gridSpan w:val="2"/>
            <w:tcBorders>
              <w:top w:val="nil"/>
              <w:left w:val="nil"/>
              <w:bottom w:val="nil"/>
              <w:right w:val="nil"/>
            </w:tcBorders>
            <w:shd w:val="clear" w:color="auto" w:fill="auto"/>
            <w:noWrap/>
            <w:vAlign w:val="center"/>
            <w:hideMark/>
          </w:tcPr>
          <w:p w14:paraId="1CF28FB3" w14:textId="77777777" w:rsidR="001F1BE2" w:rsidRPr="00EC4BA6" w:rsidRDefault="001F1BE2" w:rsidP="001F1BE2">
            <w:pPr>
              <w:spacing w:before="0" w:after="0" w:line="240" w:lineRule="auto"/>
              <w:rPr>
                <w:rFonts w:ascii="Times New Roman" w:hAnsi="Times New Roman"/>
                <w:sz w:val="20"/>
              </w:rPr>
            </w:pPr>
          </w:p>
        </w:tc>
      </w:tr>
      <w:tr w:rsidR="001F1BE2" w:rsidRPr="00EC4BA6" w14:paraId="752038D3" w14:textId="77777777" w:rsidTr="001F1BE2">
        <w:trPr>
          <w:trHeight w:hRule="exact" w:val="225"/>
        </w:trPr>
        <w:tc>
          <w:tcPr>
            <w:tcW w:w="2018" w:type="pct"/>
            <w:tcBorders>
              <w:top w:val="nil"/>
              <w:left w:val="nil"/>
              <w:bottom w:val="nil"/>
              <w:right w:val="nil"/>
            </w:tcBorders>
            <w:shd w:val="clear" w:color="auto" w:fill="auto"/>
            <w:vAlign w:val="center"/>
            <w:hideMark/>
          </w:tcPr>
          <w:p w14:paraId="582B1B97" w14:textId="5EE133D0" w:rsidR="001F1BE2" w:rsidRPr="00EC4BA6" w:rsidRDefault="001F1BE2" w:rsidP="001F1BE2">
            <w:pPr>
              <w:spacing w:before="0" w:after="0" w:line="240" w:lineRule="auto"/>
              <w:ind w:left="170"/>
              <w:rPr>
                <w:rFonts w:ascii="Arial" w:hAnsi="Arial" w:cs="Arial"/>
                <w:b/>
                <w:sz w:val="16"/>
                <w:szCs w:val="16"/>
              </w:rPr>
            </w:pPr>
            <w:r w:rsidRPr="00EC4BA6">
              <w:rPr>
                <w:rFonts w:ascii="Arial" w:hAnsi="Arial" w:cs="Arial"/>
                <w:b/>
                <w:sz w:val="16"/>
                <w:szCs w:val="16"/>
              </w:rPr>
              <w:t>to 2025</w:t>
            </w:r>
            <w:r w:rsidR="001A3DD6">
              <w:rPr>
                <w:rFonts w:ascii="Arial" w:hAnsi="Arial" w:cs="Arial"/>
                <w:b/>
                <w:sz w:val="16"/>
                <w:szCs w:val="16"/>
              </w:rPr>
              <w:noBreakHyphen/>
            </w:r>
            <w:r w:rsidRPr="00EC4BA6">
              <w:rPr>
                <w:rFonts w:ascii="Arial" w:hAnsi="Arial" w:cs="Arial"/>
                <w:b/>
                <w:sz w:val="16"/>
                <w:szCs w:val="16"/>
              </w:rPr>
              <w:t>26 Budget </w:t>
            </w:r>
          </w:p>
        </w:tc>
        <w:tc>
          <w:tcPr>
            <w:tcW w:w="484" w:type="pct"/>
            <w:tcBorders>
              <w:top w:val="nil"/>
              <w:left w:val="nil"/>
              <w:bottom w:val="nil"/>
              <w:right w:val="nil"/>
            </w:tcBorders>
            <w:shd w:val="clear" w:color="auto" w:fill="auto"/>
            <w:noWrap/>
            <w:vAlign w:val="center"/>
            <w:hideMark/>
          </w:tcPr>
          <w:p w14:paraId="08CE5B28" w14:textId="77777777" w:rsidR="001F1BE2" w:rsidRPr="00EC4BA6" w:rsidRDefault="001F1BE2" w:rsidP="001F1BE2">
            <w:pPr>
              <w:spacing w:before="0" w:after="0" w:line="240" w:lineRule="auto"/>
              <w:ind w:firstLineChars="100" w:firstLine="161"/>
              <w:rPr>
                <w:rFonts w:ascii="Arial" w:hAnsi="Arial" w:cs="Arial"/>
                <w:b/>
                <w:sz w:val="16"/>
                <w:szCs w:val="16"/>
              </w:rPr>
            </w:pPr>
          </w:p>
        </w:tc>
        <w:tc>
          <w:tcPr>
            <w:tcW w:w="484" w:type="pct"/>
            <w:tcBorders>
              <w:top w:val="nil"/>
              <w:left w:val="nil"/>
              <w:bottom w:val="nil"/>
              <w:right w:val="nil"/>
            </w:tcBorders>
            <w:shd w:val="clear" w:color="000000" w:fill="E6F2FF"/>
            <w:noWrap/>
            <w:vAlign w:val="center"/>
            <w:hideMark/>
          </w:tcPr>
          <w:p w14:paraId="6F8BC533" w14:textId="77777777" w:rsidR="001F1BE2" w:rsidRPr="00EC4BA6" w:rsidRDefault="001F1BE2" w:rsidP="001F1BE2">
            <w:pPr>
              <w:spacing w:before="0" w:after="0" w:line="240" w:lineRule="auto"/>
              <w:jc w:val="right"/>
              <w:rPr>
                <w:rFonts w:ascii="Arial" w:hAnsi="Arial" w:cs="Arial"/>
                <w:b/>
                <w:sz w:val="16"/>
                <w:szCs w:val="16"/>
              </w:rPr>
            </w:pPr>
            <w:r w:rsidRPr="00EC4BA6">
              <w:rPr>
                <w:rFonts w:ascii="Arial" w:hAnsi="Arial" w:cs="Arial"/>
                <w:b/>
                <w:sz w:val="16"/>
                <w:szCs w:val="16"/>
              </w:rPr>
              <w:t> </w:t>
            </w:r>
          </w:p>
        </w:tc>
        <w:tc>
          <w:tcPr>
            <w:tcW w:w="484" w:type="pct"/>
            <w:tcBorders>
              <w:top w:val="nil"/>
              <w:left w:val="nil"/>
              <w:bottom w:val="nil"/>
              <w:right w:val="nil"/>
            </w:tcBorders>
            <w:shd w:val="clear" w:color="auto" w:fill="auto"/>
            <w:noWrap/>
            <w:vAlign w:val="center"/>
            <w:hideMark/>
          </w:tcPr>
          <w:p w14:paraId="60193428" w14:textId="77777777" w:rsidR="001F1BE2" w:rsidRPr="00EC4BA6" w:rsidRDefault="001F1BE2" w:rsidP="001F1BE2">
            <w:pPr>
              <w:spacing w:before="0" w:after="0" w:line="240" w:lineRule="auto"/>
              <w:jc w:val="right"/>
              <w:rPr>
                <w:rFonts w:ascii="Arial" w:hAnsi="Arial" w:cs="Arial"/>
                <w:b/>
                <w:sz w:val="16"/>
                <w:szCs w:val="16"/>
              </w:rPr>
            </w:pPr>
          </w:p>
        </w:tc>
        <w:tc>
          <w:tcPr>
            <w:tcW w:w="484" w:type="pct"/>
            <w:tcBorders>
              <w:top w:val="nil"/>
              <w:left w:val="nil"/>
              <w:bottom w:val="nil"/>
              <w:right w:val="nil"/>
            </w:tcBorders>
            <w:shd w:val="clear" w:color="auto" w:fill="auto"/>
            <w:noWrap/>
            <w:vAlign w:val="center"/>
            <w:hideMark/>
          </w:tcPr>
          <w:p w14:paraId="41F2BB79" w14:textId="77777777" w:rsidR="001F1BE2" w:rsidRPr="00EC4BA6" w:rsidRDefault="001F1BE2" w:rsidP="001F1BE2">
            <w:pPr>
              <w:spacing w:before="0" w:after="0" w:line="240" w:lineRule="auto"/>
              <w:rPr>
                <w:rFonts w:ascii="Times New Roman" w:hAnsi="Times New Roman"/>
                <w:sz w:val="20"/>
              </w:rPr>
            </w:pPr>
          </w:p>
        </w:tc>
        <w:tc>
          <w:tcPr>
            <w:tcW w:w="484" w:type="pct"/>
            <w:tcBorders>
              <w:top w:val="nil"/>
              <w:left w:val="nil"/>
              <w:bottom w:val="nil"/>
              <w:right w:val="nil"/>
            </w:tcBorders>
            <w:shd w:val="clear" w:color="auto" w:fill="auto"/>
            <w:noWrap/>
            <w:vAlign w:val="center"/>
            <w:hideMark/>
          </w:tcPr>
          <w:p w14:paraId="180EDBBD" w14:textId="77777777" w:rsidR="001F1BE2" w:rsidRPr="00EC4BA6" w:rsidRDefault="001F1BE2" w:rsidP="001F1BE2">
            <w:pPr>
              <w:spacing w:before="0" w:after="0" w:line="240" w:lineRule="auto"/>
              <w:rPr>
                <w:rFonts w:ascii="Times New Roman" w:hAnsi="Times New Roman"/>
                <w:sz w:val="20"/>
              </w:rPr>
            </w:pPr>
          </w:p>
        </w:tc>
        <w:tc>
          <w:tcPr>
            <w:tcW w:w="53" w:type="pct"/>
            <w:tcBorders>
              <w:top w:val="nil"/>
              <w:left w:val="nil"/>
              <w:bottom w:val="nil"/>
              <w:right w:val="nil"/>
            </w:tcBorders>
            <w:shd w:val="clear" w:color="auto" w:fill="auto"/>
            <w:noWrap/>
            <w:vAlign w:val="center"/>
            <w:hideMark/>
          </w:tcPr>
          <w:p w14:paraId="0D109FC7" w14:textId="77777777" w:rsidR="001F1BE2" w:rsidRPr="00EC4BA6" w:rsidRDefault="001F1BE2" w:rsidP="001F1BE2">
            <w:pPr>
              <w:spacing w:before="0" w:after="0" w:line="240" w:lineRule="auto"/>
              <w:rPr>
                <w:rFonts w:ascii="Times New Roman" w:hAnsi="Times New Roman"/>
                <w:sz w:val="20"/>
              </w:rPr>
            </w:pPr>
          </w:p>
        </w:tc>
        <w:tc>
          <w:tcPr>
            <w:tcW w:w="508" w:type="pct"/>
            <w:gridSpan w:val="2"/>
            <w:tcBorders>
              <w:top w:val="nil"/>
              <w:left w:val="nil"/>
              <w:bottom w:val="nil"/>
              <w:right w:val="nil"/>
            </w:tcBorders>
            <w:shd w:val="clear" w:color="auto" w:fill="auto"/>
            <w:noWrap/>
            <w:vAlign w:val="center"/>
            <w:hideMark/>
          </w:tcPr>
          <w:p w14:paraId="51CE5F06" w14:textId="77777777" w:rsidR="001F1BE2" w:rsidRPr="00EC4BA6" w:rsidRDefault="001F1BE2" w:rsidP="001F1BE2">
            <w:pPr>
              <w:spacing w:before="0" w:after="0" w:line="240" w:lineRule="auto"/>
              <w:rPr>
                <w:rFonts w:ascii="Times New Roman" w:hAnsi="Times New Roman"/>
                <w:sz w:val="20"/>
              </w:rPr>
            </w:pPr>
          </w:p>
        </w:tc>
      </w:tr>
      <w:tr w:rsidR="001F1BE2" w:rsidRPr="00EC4BA6" w14:paraId="505CCFBD" w14:textId="77777777" w:rsidTr="001F1BE2">
        <w:trPr>
          <w:trHeight w:hRule="exact" w:val="225"/>
        </w:trPr>
        <w:tc>
          <w:tcPr>
            <w:tcW w:w="2018" w:type="pct"/>
            <w:tcBorders>
              <w:top w:val="nil"/>
              <w:left w:val="nil"/>
              <w:bottom w:val="nil"/>
              <w:right w:val="nil"/>
            </w:tcBorders>
            <w:shd w:val="clear" w:color="auto" w:fill="auto"/>
            <w:vAlign w:val="center"/>
            <w:hideMark/>
          </w:tcPr>
          <w:p w14:paraId="7030FA13" w14:textId="77777777" w:rsidR="001F1BE2" w:rsidRPr="00EC4BA6" w:rsidRDefault="001F1BE2" w:rsidP="001F1BE2">
            <w:pPr>
              <w:spacing w:before="0" w:after="0" w:line="240" w:lineRule="auto"/>
              <w:rPr>
                <w:rFonts w:ascii="Arial" w:hAnsi="Arial" w:cs="Arial"/>
                <w:sz w:val="16"/>
                <w:szCs w:val="16"/>
              </w:rPr>
            </w:pPr>
            <w:r w:rsidRPr="00EC4BA6">
              <w:rPr>
                <w:rFonts w:ascii="Arial" w:hAnsi="Arial" w:cs="Arial"/>
                <w:sz w:val="16"/>
                <w:szCs w:val="16"/>
              </w:rPr>
              <w:t>Effect of policy decisions </w:t>
            </w:r>
          </w:p>
        </w:tc>
        <w:tc>
          <w:tcPr>
            <w:tcW w:w="484" w:type="pct"/>
            <w:tcBorders>
              <w:top w:val="nil"/>
              <w:left w:val="nil"/>
              <w:bottom w:val="nil"/>
              <w:right w:val="nil"/>
            </w:tcBorders>
            <w:shd w:val="clear" w:color="auto" w:fill="auto"/>
            <w:noWrap/>
            <w:vAlign w:val="center"/>
            <w:hideMark/>
          </w:tcPr>
          <w:p w14:paraId="21F69BD2" w14:textId="551E913F" w:rsidR="001F1BE2" w:rsidRPr="00EC4BA6" w:rsidRDefault="001A3DD6" w:rsidP="001F1BE2">
            <w:pPr>
              <w:spacing w:before="0" w:after="0" w:line="240" w:lineRule="auto"/>
              <w:jc w:val="right"/>
              <w:rPr>
                <w:rFonts w:ascii="Arial" w:hAnsi="Arial" w:cs="Arial"/>
                <w:sz w:val="16"/>
                <w:szCs w:val="16"/>
              </w:rPr>
            </w:pPr>
            <w:r>
              <w:rPr>
                <w:rFonts w:ascii="Arial" w:hAnsi="Arial" w:cs="Arial"/>
                <w:sz w:val="16"/>
                <w:szCs w:val="16"/>
              </w:rPr>
              <w:noBreakHyphen/>
            </w:r>
            <w:r w:rsidR="001F1BE2" w:rsidRPr="00EC4BA6">
              <w:rPr>
                <w:rFonts w:ascii="Arial" w:hAnsi="Arial" w:cs="Arial"/>
                <w:sz w:val="16"/>
                <w:szCs w:val="16"/>
              </w:rPr>
              <w:t>10</w:t>
            </w:r>
          </w:p>
        </w:tc>
        <w:tc>
          <w:tcPr>
            <w:tcW w:w="484" w:type="pct"/>
            <w:tcBorders>
              <w:top w:val="nil"/>
              <w:left w:val="nil"/>
              <w:bottom w:val="nil"/>
              <w:right w:val="nil"/>
            </w:tcBorders>
            <w:shd w:val="clear" w:color="000000" w:fill="E6F2FF"/>
            <w:noWrap/>
            <w:vAlign w:val="center"/>
            <w:hideMark/>
          </w:tcPr>
          <w:p w14:paraId="0CC496F1" w14:textId="5994B1D0" w:rsidR="001F1BE2" w:rsidRPr="00EC4BA6" w:rsidRDefault="001A3DD6" w:rsidP="001F1BE2">
            <w:pPr>
              <w:spacing w:before="0" w:after="0" w:line="240" w:lineRule="auto"/>
              <w:jc w:val="right"/>
              <w:rPr>
                <w:rFonts w:ascii="Arial" w:hAnsi="Arial" w:cs="Arial"/>
                <w:sz w:val="16"/>
                <w:szCs w:val="16"/>
              </w:rPr>
            </w:pPr>
            <w:r>
              <w:rPr>
                <w:rFonts w:ascii="Arial" w:hAnsi="Arial" w:cs="Arial"/>
                <w:sz w:val="16"/>
                <w:szCs w:val="16"/>
              </w:rPr>
              <w:noBreakHyphen/>
            </w:r>
            <w:r w:rsidR="001F1BE2" w:rsidRPr="00EC4BA6">
              <w:rPr>
                <w:rFonts w:ascii="Arial" w:hAnsi="Arial" w:cs="Arial"/>
                <w:sz w:val="16"/>
                <w:szCs w:val="16"/>
              </w:rPr>
              <w:t>259</w:t>
            </w:r>
          </w:p>
        </w:tc>
        <w:tc>
          <w:tcPr>
            <w:tcW w:w="484" w:type="pct"/>
            <w:tcBorders>
              <w:top w:val="nil"/>
              <w:left w:val="nil"/>
              <w:bottom w:val="nil"/>
              <w:right w:val="nil"/>
            </w:tcBorders>
            <w:shd w:val="clear" w:color="auto" w:fill="auto"/>
            <w:noWrap/>
            <w:vAlign w:val="center"/>
            <w:hideMark/>
          </w:tcPr>
          <w:p w14:paraId="6CDF523F" w14:textId="300476EB" w:rsidR="001F1BE2" w:rsidRPr="00EC4BA6" w:rsidRDefault="001A3DD6" w:rsidP="001F1BE2">
            <w:pPr>
              <w:spacing w:before="0" w:after="0" w:line="240" w:lineRule="auto"/>
              <w:jc w:val="right"/>
              <w:rPr>
                <w:rFonts w:ascii="Arial" w:hAnsi="Arial" w:cs="Arial"/>
                <w:sz w:val="16"/>
                <w:szCs w:val="16"/>
              </w:rPr>
            </w:pPr>
            <w:r>
              <w:rPr>
                <w:rFonts w:ascii="Arial" w:hAnsi="Arial" w:cs="Arial"/>
                <w:sz w:val="16"/>
                <w:szCs w:val="16"/>
              </w:rPr>
              <w:noBreakHyphen/>
            </w:r>
            <w:r w:rsidR="001F1BE2" w:rsidRPr="00EC4BA6">
              <w:rPr>
                <w:rFonts w:ascii="Arial" w:hAnsi="Arial" w:cs="Arial"/>
                <w:sz w:val="16"/>
                <w:szCs w:val="16"/>
              </w:rPr>
              <w:t>3,637</w:t>
            </w:r>
          </w:p>
        </w:tc>
        <w:tc>
          <w:tcPr>
            <w:tcW w:w="484" w:type="pct"/>
            <w:tcBorders>
              <w:top w:val="nil"/>
              <w:left w:val="nil"/>
              <w:bottom w:val="nil"/>
              <w:right w:val="nil"/>
            </w:tcBorders>
            <w:shd w:val="clear" w:color="auto" w:fill="auto"/>
            <w:noWrap/>
            <w:vAlign w:val="center"/>
            <w:hideMark/>
          </w:tcPr>
          <w:p w14:paraId="4E632BA7" w14:textId="22432F3F" w:rsidR="001F1BE2" w:rsidRPr="00EC4BA6" w:rsidRDefault="001A3DD6" w:rsidP="001F1BE2">
            <w:pPr>
              <w:spacing w:before="0" w:after="0" w:line="240" w:lineRule="auto"/>
              <w:jc w:val="right"/>
              <w:rPr>
                <w:rFonts w:ascii="Arial" w:hAnsi="Arial" w:cs="Arial"/>
                <w:sz w:val="16"/>
                <w:szCs w:val="16"/>
              </w:rPr>
            </w:pPr>
            <w:r>
              <w:rPr>
                <w:rFonts w:ascii="Arial" w:hAnsi="Arial" w:cs="Arial"/>
                <w:sz w:val="16"/>
                <w:szCs w:val="16"/>
              </w:rPr>
              <w:noBreakHyphen/>
            </w:r>
            <w:r w:rsidR="001F1BE2" w:rsidRPr="00EC4BA6">
              <w:rPr>
                <w:rFonts w:ascii="Arial" w:hAnsi="Arial" w:cs="Arial"/>
                <w:sz w:val="16"/>
                <w:szCs w:val="16"/>
              </w:rPr>
              <w:t>6,381</w:t>
            </w:r>
          </w:p>
        </w:tc>
        <w:tc>
          <w:tcPr>
            <w:tcW w:w="484" w:type="pct"/>
            <w:tcBorders>
              <w:top w:val="nil"/>
              <w:left w:val="nil"/>
              <w:bottom w:val="nil"/>
              <w:right w:val="nil"/>
            </w:tcBorders>
            <w:shd w:val="clear" w:color="auto" w:fill="auto"/>
            <w:noWrap/>
            <w:vAlign w:val="center"/>
            <w:hideMark/>
          </w:tcPr>
          <w:p w14:paraId="4D8E8DBE" w14:textId="4EBCA7C4" w:rsidR="001F1BE2" w:rsidRPr="00EC4BA6" w:rsidRDefault="001A3DD6" w:rsidP="001F1BE2">
            <w:pPr>
              <w:spacing w:before="0" w:after="0" w:line="240" w:lineRule="auto"/>
              <w:jc w:val="right"/>
              <w:rPr>
                <w:rFonts w:ascii="Arial" w:hAnsi="Arial" w:cs="Arial"/>
                <w:sz w:val="16"/>
                <w:szCs w:val="16"/>
              </w:rPr>
            </w:pPr>
            <w:r>
              <w:rPr>
                <w:rFonts w:ascii="Arial" w:hAnsi="Arial" w:cs="Arial"/>
                <w:sz w:val="16"/>
                <w:szCs w:val="16"/>
              </w:rPr>
              <w:noBreakHyphen/>
            </w:r>
            <w:r w:rsidR="001F1BE2" w:rsidRPr="00EC4BA6">
              <w:rPr>
                <w:rFonts w:ascii="Arial" w:hAnsi="Arial" w:cs="Arial"/>
                <w:sz w:val="16"/>
                <w:szCs w:val="16"/>
              </w:rPr>
              <w:t>4,817</w:t>
            </w:r>
          </w:p>
        </w:tc>
        <w:tc>
          <w:tcPr>
            <w:tcW w:w="53" w:type="pct"/>
            <w:tcBorders>
              <w:top w:val="nil"/>
              <w:left w:val="nil"/>
              <w:bottom w:val="nil"/>
              <w:right w:val="nil"/>
            </w:tcBorders>
            <w:shd w:val="clear" w:color="auto" w:fill="auto"/>
            <w:noWrap/>
            <w:vAlign w:val="center"/>
            <w:hideMark/>
          </w:tcPr>
          <w:p w14:paraId="70E09753" w14:textId="77777777" w:rsidR="001F1BE2" w:rsidRPr="00EC4BA6" w:rsidRDefault="001F1BE2" w:rsidP="001F1BE2">
            <w:pPr>
              <w:spacing w:before="0" w:after="0" w:line="240" w:lineRule="auto"/>
              <w:jc w:val="right"/>
              <w:rPr>
                <w:rFonts w:ascii="Arial" w:hAnsi="Arial" w:cs="Arial"/>
                <w:sz w:val="16"/>
                <w:szCs w:val="16"/>
              </w:rPr>
            </w:pPr>
          </w:p>
        </w:tc>
        <w:tc>
          <w:tcPr>
            <w:tcW w:w="508" w:type="pct"/>
            <w:gridSpan w:val="2"/>
            <w:tcBorders>
              <w:top w:val="nil"/>
              <w:left w:val="nil"/>
              <w:bottom w:val="nil"/>
              <w:right w:val="nil"/>
            </w:tcBorders>
            <w:shd w:val="clear" w:color="auto" w:fill="auto"/>
            <w:noWrap/>
            <w:vAlign w:val="center"/>
            <w:hideMark/>
          </w:tcPr>
          <w:p w14:paraId="731A3B2B" w14:textId="6F2018DB" w:rsidR="001F1BE2" w:rsidRPr="00EC4BA6" w:rsidRDefault="001A3DD6" w:rsidP="001F1BE2">
            <w:pPr>
              <w:spacing w:before="0" w:after="0" w:line="240" w:lineRule="auto"/>
              <w:jc w:val="right"/>
              <w:rPr>
                <w:rFonts w:ascii="Arial" w:hAnsi="Arial" w:cs="Arial"/>
                <w:sz w:val="16"/>
                <w:szCs w:val="16"/>
              </w:rPr>
            </w:pPr>
            <w:r>
              <w:rPr>
                <w:rFonts w:ascii="Arial" w:hAnsi="Arial" w:cs="Arial"/>
                <w:sz w:val="16"/>
                <w:szCs w:val="16"/>
              </w:rPr>
              <w:noBreakHyphen/>
            </w:r>
            <w:r w:rsidR="001F1BE2" w:rsidRPr="00EC4BA6">
              <w:rPr>
                <w:rFonts w:ascii="Arial" w:hAnsi="Arial" w:cs="Arial"/>
                <w:sz w:val="16"/>
                <w:szCs w:val="16"/>
              </w:rPr>
              <w:t>15,104</w:t>
            </w:r>
          </w:p>
        </w:tc>
      </w:tr>
      <w:tr w:rsidR="001F1BE2" w:rsidRPr="00EC4BA6" w14:paraId="3A52299E" w14:textId="77777777" w:rsidTr="001F1BE2">
        <w:trPr>
          <w:trHeight w:hRule="exact" w:val="225"/>
        </w:trPr>
        <w:tc>
          <w:tcPr>
            <w:tcW w:w="2018" w:type="pct"/>
            <w:tcBorders>
              <w:top w:val="nil"/>
              <w:left w:val="nil"/>
              <w:bottom w:val="nil"/>
              <w:right w:val="nil"/>
            </w:tcBorders>
            <w:shd w:val="clear" w:color="auto" w:fill="auto"/>
            <w:vAlign w:val="center"/>
            <w:hideMark/>
          </w:tcPr>
          <w:p w14:paraId="139A6DE3" w14:textId="77777777" w:rsidR="001F1BE2" w:rsidRPr="00EC4BA6" w:rsidRDefault="001F1BE2" w:rsidP="001F1BE2">
            <w:pPr>
              <w:spacing w:before="0" w:after="0" w:line="240" w:lineRule="auto"/>
              <w:rPr>
                <w:rFonts w:ascii="Arial" w:hAnsi="Arial" w:cs="Arial"/>
                <w:sz w:val="16"/>
                <w:szCs w:val="16"/>
              </w:rPr>
            </w:pPr>
            <w:r w:rsidRPr="00EC4BA6">
              <w:rPr>
                <w:rFonts w:ascii="Arial" w:hAnsi="Arial" w:cs="Arial"/>
                <w:sz w:val="16"/>
                <w:szCs w:val="16"/>
              </w:rPr>
              <w:t>Effect of parameter and other variations </w:t>
            </w:r>
          </w:p>
        </w:tc>
        <w:tc>
          <w:tcPr>
            <w:tcW w:w="484" w:type="pct"/>
            <w:tcBorders>
              <w:top w:val="nil"/>
              <w:left w:val="nil"/>
              <w:bottom w:val="nil"/>
              <w:right w:val="nil"/>
            </w:tcBorders>
            <w:shd w:val="clear" w:color="auto" w:fill="auto"/>
            <w:noWrap/>
            <w:vAlign w:val="center"/>
            <w:hideMark/>
          </w:tcPr>
          <w:p w14:paraId="26766A58" w14:textId="216F5336" w:rsidR="001F1BE2" w:rsidRPr="00EC4BA6" w:rsidRDefault="001A3DD6" w:rsidP="001F1BE2">
            <w:pPr>
              <w:spacing w:before="0" w:after="0" w:line="240" w:lineRule="auto"/>
              <w:jc w:val="right"/>
              <w:rPr>
                <w:rFonts w:ascii="Arial" w:hAnsi="Arial" w:cs="Arial"/>
                <w:sz w:val="16"/>
                <w:szCs w:val="16"/>
              </w:rPr>
            </w:pPr>
            <w:r>
              <w:rPr>
                <w:rFonts w:ascii="Arial" w:hAnsi="Arial" w:cs="Arial"/>
                <w:sz w:val="16"/>
                <w:szCs w:val="16"/>
              </w:rPr>
              <w:noBreakHyphen/>
            </w:r>
            <w:r w:rsidR="001F1BE2" w:rsidRPr="00EC4BA6">
              <w:rPr>
                <w:rFonts w:ascii="Arial" w:hAnsi="Arial" w:cs="Arial"/>
                <w:sz w:val="16"/>
                <w:szCs w:val="16"/>
              </w:rPr>
              <w:t>313</w:t>
            </w:r>
          </w:p>
        </w:tc>
        <w:tc>
          <w:tcPr>
            <w:tcW w:w="484" w:type="pct"/>
            <w:tcBorders>
              <w:top w:val="nil"/>
              <w:left w:val="nil"/>
              <w:bottom w:val="nil"/>
              <w:right w:val="nil"/>
            </w:tcBorders>
            <w:shd w:val="clear" w:color="000000" w:fill="E6F2FF"/>
            <w:noWrap/>
            <w:vAlign w:val="center"/>
            <w:hideMark/>
          </w:tcPr>
          <w:p w14:paraId="27DA7362" w14:textId="77777777" w:rsidR="001F1BE2" w:rsidRPr="00EC4BA6" w:rsidRDefault="001F1BE2" w:rsidP="001F1BE2">
            <w:pPr>
              <w:spacing w:before="0" w:after="0" w:line="240" w:lineRule="auto"/>
              <w:jc w:val="right"/>
              <w:rPr>
                <w:rFonts w:ascii="Arial" w:hAnsi="Arial" w:cs="Arial"/>
                <w:sz w:val="16"/>
                <w:szCs w:val="16"/>
              </w:rPr>
            </w:pPr>
            <w:r w:rsidRPr="00EC4BA6">
              <w:rPr>
                <w:rFonts w:ascii="Arial" w:hAnsi="Arial" w:cs="Arial"/>
                <w:sz w:val="16"/>
                <w:szCs w:val="16"/>
              </w:rPr>
              <w:t>6,694</w:t>
            </w:r>
          </w:p>
        </w:tc>
        <w:tc>
          <w:tcPr>
            <w:tcW w:w="484" w:type="pct"/>
            <w:tcBorders>
              <w:top w:val="nil"/>
              <w:left w:val="nil"/>
              <w:bottom w:val="nil"/>
              <w:right w:val="nil"/>
            </w:tcBorders>
            <w:shd w:val="clear" w:color="auto" w:fill="auto"/>
            <w:noWrap/>
            <w:vAlign w:val="center"/>
            <w:hideMark/>
          </w:tcPr>
          <w:p w14:paraId="02894009" w14:textId="77777777" w:rsidR="001F1BE2" w:rsidRPr="00EC4BA6" w:rsidRDefault="001F1BE2" w:rsidP="001F1BE2">
            <w:pPr>
              <w:spacing w:before="0" w:after="0" w:line="240" w:lineRule="auto"/>
              <w:jc w:val="right"/>
              <w:rPr>
                <w:rFonts w:ascii="Arial" w:hAnsi="Arial" w:cs="Arial"/>
                <w:sz w:val="16"/>
                <w:szCs w:val="16"/>
              </w:rPr>
            </w:pPr>
            <w:r w:rsidRPr="00EC4BA6">
              <w:rPr>
                <w:rFonts w:ascii="Arial" w:hAnsi="Arial" w:cs="Arial"/>
                <w:sz w:val="16"/>
                <w:szCs w:val="16"/>
              </w:rPr>
              <w:t>5,772</w:t>
            </w:r>
          </w:p>
        </w:tc>
        <w:tc>
          <w:tcPr>
            <w:tcW w:w="484" w:type="pct"/>
            <w:tcBorders>
              <w:top w:val="nil"/>
              <w:left w:val="nil"/>
              <w:bottom w:val="nil"/>
              <w:right w:val="nil"/>
            </w:tcBorders>
            <w:shd w:val="clear" w:color="auto" w:fill="auto"/>
            <w:noWrap/>
            <w:vAlign w:val="center"/>
            <w:hideMark/>
          </w:tcPr>
          <w:p w14:paraId="666A4D0B" w14:textId="6674E89F" w:rsidR="001F1BE2" w:rsidRPr="00EC4BA6" w:rsidRDefault="001A3DD6" w:rsidP="001F1BE2">
            <w:pPr>
              <w:spacing w:before="0" w:after="0" w:line="240" w:lineRule="auto"/>
              <w:jc w:val="right"/>
              <w:rPr>
                <w:rFonts w:ascii="Arial" w:hAnsi="Arial" w:cs="Arial"/>
                <w:sz w:val="16"/>
                <w:szCs w:val="16"/>
              </w:rPr>
            </w:pPr>
            <w:r>
              <w:rPr>
                <w:rFonts w:ascii="Arial" w:hAnsi="Arial" w:cs="Arial"/>
                <w:sz w:val="16"/>
                <w:szCs w:val="16"/>
              </w:rPr>
              <w:noBreakHyphen/>
            </w:r>
            <w:r w:rsidR="001F1BE2" w:rsidRPr="00EC4BA6">
              <w:rPr>
                <w:rFonts w:ascii="Arial" w:hAnsi="Arial" w:cs="Arial"/>
                <w:sz w:val="16"/>
                <w:szCs w:val="16"/>
              </w:rPr>
              <w:t>757</w:t>
            </w:r>
          </w:p>
        </w:tc>
        <w:tc>
          <w:tcPr>
            <w:tcW w:w="484" w:type="pct"/>
            <w:tcBorders>
              <w:top w:val="nil"/>
              <w:left w:val="nil"/>
              <w:bottom w:val="nil"/>
              <w:right w:val="nil"/>
            </w:tcBorders>
            <w:shd w:val="clear" w:color="auto" w:fill="auto"/>
            <w:noWrap/>
            <w:vAlign w:val="center"/>
            <w:hideMark/>
          </w:tcPr>
          <w:p w14:paraId="171A8C8C" w14:textId="43703885" w:rsidR="001F1BE2" w:rsidRPr="00EC4BA6" w:rsidRDefault="001A3DD6" w:rsidP="001F1BE2">
            <w:pPr>
              <w:spacing w:before="0" w:after="0" w:line="240" w:lineRule="auto"/>
              <w:jc w:val="right"/>
              <w:rPr>
                <w:rFonts w:ascii="Arial" w:hAnsi="Arial" w:cs="Arial"/>
                <w:sz w:val="16"/>
                <w:szCs w:val="16"/>
              </w:rPr>
            </w:pPr>
            <w:r>
              <w:rPr>
                <w:rFonts w:ascii="Arial" w:hAnsi="Arial" w:cs="Arial"/>
                <w:sz w:val="16"/>
                <w:szCs w:val="16"/>
              </w:rPr>
              <w:noBreakHyphen/>
            </w:r>
            <w:r w:rsidR="001F1BE2" w:rsidRPr="00EC4BA6">
              <w:rPr>
                <w:rFonts w:ascii="Arial" w:hAnsi="Arial" w:cs="Arial"/>
                <w:sz w:val="16"/>
                <w:szCs w:val="16"/>
              </w:rPr>
              <w:t>2,858</w:t>
            </w:r>
          </w:p>
        </w:tc>
        <w:tc>
          <w:tcPr>
            <w:tcW w:w="53" w:type="pct"/>
            <w:tcBorders>
              <w:top w:val="nil"/>
              <w:left w:val="nil"/>
              <w:bottom w:val="nil"/>
              <w:right w:val="nil"/>
            </w:tcBorders>
            <w:shd w:val="clear" w:color="auto" w:fill="auto"/>
            <w:noWrap/>
            <w:vAlign w:val="center"/>
            <w:hideMark/>
          </w:tcPr>
          <w:p w14:paraId="708E9067" w14:textId="77777777" w:rsidR="001F1BE2" w:rsidRPr="00EC4BA6" w:rsidRDefault="001F1BE2" w:rsidP="001F1BE2">
            <w:pPr>
              <w:spacing w:before="0" w:after="0" w:line="240" w:lineRule="auto"/>
              <w:jc w:val="right"/>
              <w:rPr>
                <w:rFonts w:ascii="Arial" w:hAnsi="Arial" w:cs="Arial"/>
                <w:sz w:val="16"/>
                <w:szCs w:val="16"/>
              </w:rPr>
            </w:pPr>
          </w:p>
        </w:tc>
        <w:tc>
          <w:tcPr>
            <w:tcW w:w="508" w:type="pct"/>
            <w:gridSpan w:val="2"/>
            <w:tcBorders>
              <w:top w:val="nil"/>
              <w:left w:val="nil"/>
              <w:bottom w:val="nil"/>
              <w:right w:val="nil"/>
            </w:tcBorders>
            <w:shd w:val="clear" w:color="auto" w:fill="auto"/>
            <w:noWrap/>
            <w:vAlign w:val="center"/>
            <w:hideMark/>
          </w:tcPr>
          <w:p w14:paraId="2846AC71" w14:textId="77777777" w:rsidR="001F1BE2" w:rsidRPr="00EC4BA6" w:rsidRDefault="001F1BE2" w:rsidP="001F1BE2">
            <w:pPr>
              <w:spacing w:before="0" w:after="0" w:line="240" w:lineRule="auto"/>
              <w:jc w:val="right"/>
              <w:rPr>
                <w:rFonts w:ascii="Arial" w:hAnsi="Arial" w:cs="Arial"/>
                <w:sz w:val="16"/>
                <w:szCs w:val="16"/>
              </w:rPr>
            </w:pPr>
            <w:r w:rsidRPr="00EC4BA6">
              <w:rPr>
                <w:rFonts w:ascii="Arial" w:hAnsi="Arial" w:cs="Arial"/>
                <w:sz w:val="16"/>
                <w:szCs w:val="16"/>
              </w:rPr>
              <w:t>8,538</w:t>
            </w:r>
          </w:p>
        </w:tc>
      </w:tr>
      <w:tr w:rsidR="001F1BE2" w:rsidRPr="00EC4BA6" w14:paraId="1B3807E9" w14:textId="77777777" w:rsidTr="001F1BE2">
        <w:trPr>
          <w:trHeight w:hRule="exact" w:val="225"/>
        </w:trPr>
        <w:tc>
          <w:tcPr>
            <w:tcW w:w="2018" w:type="pct"/>
            <w:tcBorders>
              <w:top w:val="nil"/>
              <w:left w:val="nil"/>
              <w:bottom w:val="nil"/>
              <w:right w:val="nil"/>
            </w:tcBorders>
            <w:shd w:val="clear" w:color="auto" w:fill="auto"/>
            <w:vAlign w:val="center"/>
            <w:hideMark/>
          </w:tcPr>
          <w:p w14:paraId="7D135F92" w14:textId="77777777" w:rsidR="001F1BE2" w:rsidRPr="00EC4BA6" w:rsidRDefault="001F1BE2" w:rsidP="001F1BE2">
            <w:pPr>
              <w:spacing w:before="0" w:after="0" w:line="240" w:lineRule="auto"/>
              <w:rPr>
                <w:rFonts w:ascii="Arial" w:hAnsi="Arial" w:cs="Arial"/>
                <w:b/>
                <w:sz w:val="16"/>
                <w:szCs w:val="16"/>
              </w:rPr>
            </w:pPr>
            <w:r w:rsidRPr="00EC4BA6">
              <w:rPr>
                <w:rFonts w:ascii="Arial" w:hAnsi="Arial" w:cs="Arial"/>
                <w:b/>
                <w:sz w:val="16"/>
                <w:szCs w:val="16"/>
              </w:rPr>
              <w:t>Total variations </w:t>
            </w:r>
          </w:p>
        </w:tc>
        <w:tc>
          <w:tcPr>
            <w:tcW w:w="484" w:type="pct"/>
            <w:tcBorders>
              <w:top w:val="single" w:sz="4" w:space="0" w:color="293F5B"/>
              <w:left w:val="nil"/>
              <w:bottom w:val="single" w:sz="4" w:space="0" w:color="293F5B"/>
              <w:right w:val="nil"/>
            </w:tcBorders>
            <w:shd w:val="clear" w:color="auto" w:fill="auto"/>
            <w:noWrap/>
            <w:vAlign w:val="center"/>
            <w:hideMark/>
          </w:tcPr>
          <w:p w14:paraId="6B4667B0" w14:textId="69BA7DB5" w:rsidR="001F1BE2" w:rsidRPr="00EC4BA6" w:rsidRDefault="001A3DD6" w:rsidP="001F1BE2">
            <w:pPr>
              <w:spacing w:before="0" w:after="0" w:line="240" w:lineRule="auto"/>
              <w:jc w:val="right"/>
              <w:rPr>
                <w:rFonts w:ascii="Arial" w:hAnsi="Arial" w:cs="Arial"/>
                <w:b/>
                <w:sz w:val="16"/>
                <w:szCs w:val="16"/>
              </w:rPr>
            </w:pPr>
            <w:r>
              <w:rPr>
                <w:rFonts w:ascii="Arial" w:hAnsi="Arial" w:cs="Arial"/>
                <w:b/>
                <w:sz w:val="16"/>
                <w:szCs w:val="16"/>
              </w:rPr>
              <w:noBreakHyphen/>
            </w:r>
            <w:r w:rsidR="001F1BE2" w:rsidRPr="00EC4BA6">
              <w:rPr>
                <w:rFonts w:ascii="Arial" w:hAnsi="Arial" w:cs="Arial"/>
                <w:b/>
                <w:sz w:val="16"/>
                <w:szCs w:val="16"/>
              </w:rPr>
              <w:t>323</w:t>
            </w:r>
          </w:p>
        </w:tc>
        <w:tc>
          <w:tcPr>
            <w:tcW w:w="484" w:type="pct"/>
            <w:tcBorders>
              <w:top w:val="single" w:sz="4" w:space="0" w:color="293F5B"/>
              <w:left w:val="nil"/>
              <w:bottom w:val="single" w:sz="4" w:space="0" w:color="293F5B"/>
              <w:right w:val="nil"/>
            </w:tcBorders>
            <w:shd w:val="clear" w:color="000000" w:fill="E6F2FF"/>
            <w:noWrap/>
            <w:vAlign w:val="center"/>
            <w:hideMark/>
          </w:tcPr>
          <w:p w14:paraId="0704AA53" w14:textId="77777777" w:rsidR="001F1BE2" w:rsidRPr="00EC4BA6" w:rsidRDefault="001F1BE2" w:rsidP="001F1BE2">
            <w:pPr>
              <w:spacing w:before="0" w:after="0" w:line="240" w:lineRule="auto"/>
              <w:jc w:val="right"/>
              <w:rPr>
                <w:rFonts w:ascii="Arial" w:hAnsi="Arial" w:cs="Arial"/>
                <w:b/>
                <w:sz w:val="16"/>
                <w:szCs w:val="16"/>
              </w:rPr>
            </w:pPr>
            <w:r w:rsidRPr="00EC4BA6">
              <w:rPr>
                <w:rFonts w:ascii="Arial" w:hAnsi="Arial" w:cs="Arial"/>
                <w:b/>
                <w:sz w:val="16"/>
                <w:szCs w:val="16"/>
              </w:rPr>
              <w:t>6,435</w:t>
            </w:r>
          </w:p>
        </w:tc>
        <w:tc>
          <w:tcPr>
            <w:tcW w:w="484" w:type="pct"/>
            <w:tcBorders>
              <w:top w:val="single" w:sz="4" w:space="0" w:color="293F5B"/>
              <w:left w:val="nil"/>
              <w:bottom w:val="single" w:sz="4" w:space="0" w:color="293F5B"/>
              <w:right w:val="nil"/>
            </w:tcBorders>
            <w:shd w:val="clear" w:color="auto" w:fill="auto"/>
            <w:noWrap/>
            <w:vAlign w:val="center"/>
            <w:hideMark/>
          </w:tcPr>
          <w:p w14:paraId="5906EE78" w14:textId="77777777" w:rsidR="001F1BE2" w:rsidRPr="00EC4BA6" w:rsidRDefault="001F1BE2" w:rsidP="001F1BE2">
            <w:pPr>
              <w:spacing w:before="0" w:after="0" w:line="240" w:lineRule="auto"/>
              <w:jc w:val="right"/>
              <w:rPr>
                <w:rFonts w:ascii="Arial" w:hAnsi="Arial" w:cs="Arial"/>
                <w:b/>
                <w:sz w:val="16"/>
                <w:szCs w:val="16"/>
              </w:rPr>
            </w:pPr>
            <w:r w:rsidRPr="00EC4BA6">
              <w:rPr>
                <w:rFonts w:ascii="Arial" w:hAnsi="Arial" w:cs="Arial"/>
                <w:b/>
                <w:sz w:val="16"/>
                <w:szCs w:val="16"/>
              </w:rPr>
              <w:t>2,135</w:t>
            </w:r>
          </w:p>
        </w:tc>
        <w:tc>
          <w:tcPr>
            <w:tcW w:w="484" w:type="pct"/>
            <w:tcBorders>
              <w:top w:val="single" w:sz="4" w:space="0" w:color="293F5B"/>
              <w:left w:val="nil"/>
              <w:bottom w:val="single" w:sz="4" w:space="0" w:color="293F5B"/>
              <w:right w:val="nil"/>
            </w:tcBorders>
            <w:shd w:val="clear" w:color="auto" w:fill="auto"/>
            <w:noWrap/>
            <w:vAlign w:val="center"/>
            <w:hideMark/>
          </w:tcPr>
          <w:p w14:paraId="79F753E5" w14:textId="5FEEE960" w:rsidR="001F1BE2" w:rsidRPr="00EC4BA6" w:rsidRDefault="001A3DD6" w:rsidP="001F1BE2">
            <w:pPr>
              <w:spacing w:before="0" w:after="0" w:line="240" w:lineRule="auto"/>
              <w:jc w:val="right"/>
              <w:rPr>
                <w:rFonts w:ascii="Arial" w:hAnsi="Arial" w:cs="Arial"/>
                <w:b/>
                <w:sz w:val="16"/>
                <w:szCs w:val="16"/>
              </w:rPr>
            </w:pPr>
            <w:r>
              <w:rPr>
                <w:rFonts w:ascii="Arial" w:hAnsi="Arial" w:cs="Arial"/>
                <w:b/>
                <w:sz w:val="16"/>
                <w:szCs w:val="16"/>
              </w:rPr>
              <w:noBreakHyphen/>
            </w:r>
            <w:r w:rsidR="001F1BE2" w:rsidRPr="00EC4BA6">
              <w:rPr>
                <w:rFonts w:ascii="Arial" w:hAnsi="Arial" w:cs="Arial"/>
                <w:b/>
                <w:sz w:val="16"/>
                <w:szCs w:val="16"/>
              </w:rPr>
              <w:t>7,138</w:t>
            </w:r>
          </w:p>
        </w:tc>
        <w:tc>
          <w:tcPr>
            <w:tcW w:w="484" w:type="pct"/>
            <w:tcBorders>
              <w:top w:val="single" w:sz="4" w:space="0" w:color="293F5B"/>
              <w:left w:val="nil"/>
              <w:bottom w:val="single" w:sz="4" w:space="0" w:color="293F5B"/>
              <w:right w:val="nil"/>
            </w:tcBorders>
            <w:shd w:val="clear" w:color="auto" w:fill="auto"/>
            <w:noWrap/>
            <w:vAlign w:val="center"/>
            <w:hideMark/>
          </w:tcPr>
          <w:p w14:paraId="205A8462" w14:textId="0D7779A9" w:rsidR="001F1BE2" w:rsidRPr="00EC4BA6" w:rsidRDefault="001A3DD6" w:rsidP="001F1BE2">
            <w:pPr>
              <w:spacing w:before="0" w:after="0" w:line="240" w:lineRule="auto"/>
              <w:jc w:val="right"/>
              <w:rPr>
                <w:rFonts w:ascii="Arial" w:hAnsi="Arial" w:cs="Arial"/>
                <w:b/>
                <w:sz w:val="16"/>
                <w:szCs w:val="16"/>
              </w:rPr>
            </w:pPr>
            <w:r>
              <w:rPr>
                <w:rFonts w:ascii="Arial" w:hAnsi="Arial" w:cs="Arial"/>
                <w:b/>
                <w:sz w:val="16"/>
                <w:szCs w:val="16"/>
              </w:rPr>
              <w:noBreakHyphen/>
            </w:r>
            <w:r w:rsidR="001F1BE2" w:rsidRPr="00EC4BA6">
              <w:rPr>
                <w:rFonts w:ascii="Arial" w:hAnsi="Arial" w:cs="Arial"/>
                <w:b/>
                <w:sz w:val="16"/>
                <w:szCs w:val="16"/>
              </w:rPr>
              <w:t>7,676</w:t>
            </w:r>
          </w:p>
        </w:tc>
        <w:tc>
          <w:tcPr>
            <w:tcW w:w="53" w:type="pct"/>
            <w:tcBorders>
              <w:top w:val="nil"/>
              <w:left w:val="nil"/>
              <w:bottom w:val="nil"/>
              <w:right w:val="nil"/>
            </w:tcBorders>
            <w:shd w:val="clear" w:color="auto" w:fill="auto"/>
            <w:noWrap/>
            <w:vAlign w:val="center"/>
            <w:hideMark/>
          </w:tcPr>
          <w:p w14:paraId="4B9577BF" w14:textId="77777777" w:rsidR="001F1BE2" w:rsidRPr="00EC4BA6" w:rsidRDefault="001F1BE2" w:rsidP="001F1BE2">
            <w:pPr>
              <w:spacing w:before="0" w:after="0" w:line="240" w:lineRule="auto"/>
              <w:jc w:val="right"/>
              <w:rPr>
                <w:rFonts w:ascii="Arial" w:hAnsi="Arial" w:cs="Arial"/>
                <w:b/>
                <w:sz w:val="16"/>
                <w:szCs w:val="16"/>
              </w:rPr>
            </w:pPr>
          </w:p>
        </w:tc>
        <w:tc>
          <w:tcPr>
            <w:tcW w:w="508" w:type="pct"/>
            <w:gridSpan w:val="2"/>
            <w:tcBorders>
              <w:top w:val="single" w:sz="4" w:space="0" w:color="293F5B"/>
              <w:left w:val="nil"/>
              <w:bottom w:val="single" w:sz="4" w:space="0" w:color="293F5B"/>
              <w:right w:val="nil"/>
            </w:tcBorders>
            <w:shd w:val="clear" w:color="auto" w:fill="auto"/>
            <w:noWrap/>
            <w:vAlign w:val="center"/>
            <w:hideMark/>
          </w:tcPr>
          <w:p w14:paraId="401FB38D" w14:textId="2BFCA090" w:rsidR="001F1BE2" w:rsidRPr="00EC4BA6" w:rsidRDefault="001A3DD6" w:rsidP="001F1BE2">
            <w:pPr>
              <w:spacing w:before="0" w:after="0" w:line="240" w:lineRule="auto"/>
              <w:jc w:val="right"/>
              <w:rPr>
                <w:rFonts w:ascii="Arial" w:hAnsi="Arial" w:cs="Arial"/>
                <w:b/>
                <w:sz w:val="16"/>
                <w:szCs w:val="16"/>
              </w:rPr>
            </w:pPr>
            <w:r>
              <w:rPr>
                <w:rFonts w:ascii="Arial" w:hAnsi="Arial" w:cs="Arial"/>
                <w:b/>
                <w:sz w:val="16"/>
                <w:szCs w:val="16"/>
              </w:rPr>
              <w:noBreakHyphen/>
            </w:r>
            <w:r w:rsidR="001F1BE2" w:rsidRPr="00EC4BA6">
              <w:rPr>
                <w:rFonts w:ascii="Arial" w:hAnsi="Arial" w:cs="Arial"/>
                <w:b/>
                <w:sz w:val="16"/>
                <w:szCs w:val="16"/>
              </w:rPr>
              <w:t>6,566</w:t>
            </w:r>
          </w:p>
        </w:tc>
      </w:tr>
      <w:tr w:rsidR="001F1BE2" w:rsidRPr="00EC4BA6" w14:paraId="4C3B69DA" w14:textId="77777777" w:rsidTr="001F1BE2">
        <w:trPr>
          <w:trHeight w:hRule="exact" w:val="60"/>
        </w:trPr>
        <w:tc>
          <w:tcPr>
            <w:tcW w:w="2018" w:type="pct"/>
            <w:tcBorders>
              <w:top w:val="nil"/>
              <w:left w:val="nil"/>
              <w:bottom w:val="nil"/>
              <w:right w:val="nil"/>
            </w:tcBorders>
            <w:shd w:val="clear" w:color="auto" w:fill="auto"/>
            <w:vAlign w:val="center"/>
            <w:hideMark/>
          </w:tcPr>
          <w:p w14:paraId="4F942765" w14:textId="77777777" w:rsidR="001F1BE2" w:rsidRPr="00EC4BA6" w:rsidRDefault="001F1BE2" w:rsidP="001F1BE2">
            <w:pPr>
              <w:spacing w:before="0" w:after="0" w:line="240" w:lineRule="auto"/>
              <w:jc w:val="right"/>
              <w:rPr>
                <w:rFonts w:ascii="Arial" w:hAnsi="Arial" w:cs="Arial"/>
                <w:b/>
                <w:sz w:val="16"/>
                <w:szCs w:val="16"/>
              </w:rPr>
            </w:pPr>
          </w:p>
        </w:tc>
        <w:tc>
          <w:tcPr>
            <w:tcW w:w="484" w:type="pct"/>
            <w:tcBorders>
              <w:top w:val="nil"/>
              <w:left w:val="nil"/>
              <w:bottom w:val="nil"/>
              <w:right w:val="nil"/>
            </w:tcBorders>
            <w:shd w:val="clear" w:color="auto" w:fill="auto"/>
            <w:noWrap/>
            <w:vAlign w:val="center"/>
            <w:hideMark/>
          </w:tcPr>
          <w:p w14:paraId="01B83EEA" w14:textId="77777777" w:rsidR="001F1BE2" w:rsidRPr="00EC4BA6" w:rsidRDefault="001F1BE2" w:rsidP="001F1BE2">
            <w:pPr>
              <w:spacing w:before="0" w:after="0" w:line="240" w:lineRule="auto"/>
              <w:rPr>
                <w:rFonts w:ascii="Times New Roman" w:hAnsi="Times New Roman"/>
                <w:sz w:val="20"/>
              </w:rPr>
            </w:pPr>
          </w:p>
        </w:tc>
        <w:tc>
          <w:tcPr>
            <w:tcW w:w="484" w:type="pct"/>
            <w:tcBorders>
              <w:top w:val="nil"/>
              <w:left w:val="nil"/>
              <w:bottom w:val="nil"/>
              <w:right w:val="nil"/>
            </w:tcBorders>
            <w:shd w:val="clear" w:color="000000" w:fill="E6F2FF"/>
            <w:noWrap/>
            <w:vAlign w:val="center"/>
            <w:hideMark/>
          </w:tcPr>
          <w:p w14:paraId="145235BB" w14:textId="77777777" w:rsidR="001F1BE2" w:rsidRPr="00EC4BA6" w:rsidRDefault="001F1BE2" w:rsidP="001F1BE2">
            <w:pPr>
              <w:spacing w:before="0" w:after="0" w:line="240" w:lineRule="auto"/>
              <w:jc w:val="right"/>
              <w:rPr>
                <w:rFonts w:ascii="Arial" w:hAnsi="Arial" w:cs="Arial"/>
                <w:sz w:val="16"/>
                <w:szCs w:val="16"/>
              </w:rPr>
            </w:pPr>
            <w:r w:rsidRPr="00EC4BA6">
              <w:rPr>
                <w:rFonts w:ascii="Arial" w:hAnsi="Arial" w:cs="Arial"/>
                <w:sz w:val="16"/>
                <w:szCs w:val="16"/>
              </w:rPr>
              <w:t> </w:t>
            </w:r>
          </w:p>
        </w:tc>
        <w:tc>
          <w:tcPr>
            <w:tcW w:w="484" w:type="pct"/>
            <w:tcBorders>
              <w:top w:val="nil"/>
              <w:left w:val="nil"/>
              <w:bottom w:val="nil"/>
              <w:right w:val="nil"/>
            </w:tcBorders>
            <w:shd w:val="clear" w:color="auto" w:fill="auto"/>
            <w:noWrap/>
            <w:vAlign w:val="center"/>
            <w:hideMark/>
          </w:tcPr>
          <w:p w14:paraId="30E40C8C" w14:textId="77777777" w:rsidR="001F1BE2" w:rsidRPr="00EC4BA6" w:rsidRDefault="001F1BE2" w:rsidP="001F1BE2">
            <w:pPr>
              <w:spacing w:before="0" w:after="0" w:line="240" w:lineRule="auto"/>
              <w:jc w:val="right"/>
              <w:rPr>
                <w:rFonts w:ascii="Arial" w:hAnsi="Arial" w:cs="Arial"/>
                <w:sz w:val="16"/>
                <w:szCs w:val="16"/>
              </w:rPr>
            </w:pPr>
          </w:p>
        </w:tc>
        <w:tc>
          <w:tcPr>
            <w:tcW w:w="484" w:type="pct"/>
            <w:tcBorders>
              <w:top w:val="nil"/>
              <w:left w:val="nil"/>
              <w:bottom w:val="nil"/>
              <w:right w:val="nil"/>
            </w:tcBorders>
            <w:shd w:val="clear" w:color="auto" w:fill="auto"/>
            <w:noWrap/>
            <w:vAlign w:val="center"/>
            <w:hideMark/>
          </w:tcPr>
          <w:p w14:paraId="37C21786" w14:textId="77777777" w:rsidR="001F1BE2" w:rsidRPr="00EC4BA6" w:rsidRDefault="001F1BE2" w:rsidP="001F1BE2">
            <w:pPr>
              <w:spacing w:before="0" w:after="0" w:line="240" w:lineRule="auto"/>
              <w:jc w:val="right"/>
              <w:rPr>
                <w:rFonts w:ascii="Times New Roman" w:hAnsi="Times New Roman"/>
                <w:sz w:val="20"/>
              </w:rPr>
            </w:pPr>
          </w:p>
        </w:tc>
        <w:tc>
          <w:tcPr>
            <w:tcW w:w="484" w:type="pct"/>
            <w:tcBorders>
              <w:top w:val="nil"/>
              <w:left w:val="nil"/>
              <w:bottom w:val="nil"/>
              <w:right w:val="nil"/>
            </w:tcBorders>
            <w:shd w:val="clear" w:color="auto" w:fill="auto"/>
            <w:noWrap/>
            <w:vAlign w:val="center"/>
            <w:hideMark/>
          </w:tcPr>
          <w:p w14:paraId="2C0D4027" w14:textId="77777777" w:rsidR="001F1BE2" w:rsidRPr="00EC4BA6" w:rsidRDefault="001F1BE2" w:rsidP="001F1BE2">
            <w:pPr>
              <w:spacing w:before="0" w:after="0" w:line="240" w:lineRule="auto"/>
              <w:jc w:val="right"/>
              <w:rPr>
                <w:rFonts w:ascii="Times New Roman" w:hAnsi="Times New Roman"/>
                <w:sz w:val="20"/>
              </w:rPr>
            </w:pPr>
          </w:p>
        </w:tc>
        <w:tc>
          <w:tcPr>
            <w:tcW w:w="53" w:type="pct"/>
            <w:tcBorders>
              <w:top w:val="nil"/>
              <w:left w:val="nil"/>
              <w:bottom w:val="nil"/>
              <w:right w:val="nil"/>
            </w:tcBorders>
            <w:shd w:val="clear" w:color="auto" w:fill="auto"/>
            <w:noWrap/>
            <w:vAlign w:val="center"/>
            <w:hideMark/>
          </w:tcPr>
          <w:p w14:paraId="1362F528" w14:textId="77777777" w:rsidR="001F1BE2" w:rsidRPr="00EC4BA6" w:rsidRDefault="001F1BE2" w:rsidP="001F1BE2">
            <w:pPr>
              <w:spacing w:before="0" w:after="0" w:line="240" w:lineRule="auto"/>
              <w:jc w:val="right"/>
              <w:rPr>
                <w:rFonts w:ascii="Times New Roman" w:hAnsi="Times New Roman"/>
                <w:sz w:val="20"/>
              </w:rPr>
            </w:pPr>
          </w:p>
        </w:tc>
        <w:tc>
          <w:tcPr>
            <w:tcW w:w="508" w:type="pct"/>
            <w:gridSpan w:val="2"/>
            <w:tcBorders>
              <w:top w:val="nil"/>
              <w:left w:val="nil"/>
              <w:bottom w:val="nil"/>
              <w:right w:val="nil"/>
            </w:tcBorders>
            <w:shd w:val="clear" w:color="auto" w:fill="auto"/>
            <w:noWrap/>
            <w:vAlign w:val="center"/>
            <w:hideMark/>
          </w:tcPr>
          <w:p w14:paraId="5663C2F7" w14:textId="77777777" w:rsidR="001F1BE2" w:rsidRPr="00EC4BA6" w:rsidRDefault="001F1BE2" w:rsidP="001F1BE2">
            <w:pPr>
              <w:spacing w:before="0" w:after="0" w:line="240" w:lineRule="auto"/>
              <w:jc w:val="right"/>
              <w:rPr>
                <w:rFonts w:ascii="Times New Roman" w:hAnsi="Times New Roman"/>
                <w:sz w:val="20"/>
              </w:rPr>
            </w:pPr>
          </w:p>
        </w:tc>
      </w:tr>
      <w:tr w:rsidR="001F1BE2" w:rsidRPr="00EC4BA6" w14:paraId="49FA0B1D" w14:textId="77777777" w:rsidTr="001F1BE2">
        <w:trPr>
          <w:trHeight w:hRule="exact" w:val="225"/>
        </w:trPr>
        <w:tc>
          <w:tcPr>
            <w:tcW w:w="2018" w:type="pct"/>
            <w:tcBorders>
              <w:top w:val="nil"/>
              <w:left w:val="nil"/>
              <w:bottom w:val="single" w:sz="4" w:space="0" w:color="293F5B"/>
              <w:right w:val="nil"/>
            </w:tcBorders>
            <w:shd w:val="clear" w:color="auto" w:fill="auto"/>
            <w:vAlign w:val="center"/>
            <w:hideMark/>
          </w:tcPr>
          <w:p w14:paraId="1E58AE28" w14:textId="7CF25064" w:rsidR="001F1BE2" w:rsidRPr="00EC4BA6" w:rsidRDefault="001F1BE2" w:rsidP="001F1BE2">
            <w:pPr>
              <w:spacing w:before="0" w:after="0" w:line="240" w:lineRule="auto"/>
              <w:rPr>
                <w:rFonts w:ascii="Arial" w:hAnsi="Arial" w:cs="Arial"/>
                <w:b/>
                <w:sz w:val="16"/>
                <w:szCs w:val="16"/>
              </w:rPr>
            </w:pPr>
            <w:r w:rsidRPr="00EC4BA6">
              <w:rPr>
                <w:rFonts w:ascii="Arial" w:hAnsi="Arial" w:cs="Arial"/>
                <w:b/>
                <w:sz w:val="16"/>
                <w:szCs w:val="16"/>
              </w:rPr>
              <w:t xml:space="preserve">Tax receipts </w:t>
            </w:r>
            <w:proofErr w:type="gramStart"/>
            <w:r w:rsidRPr="00EC4BA6">
              <w:rPr>
                <w:rFonts w:ascii="Arial" w:hAnsi="Arial" w:cs="Arial"/>
                <w:b/>
                <w:sz w:val="16"/>
                <w:szCs w:val="16"/>
              </w:rPr>
              <w:t>at</w:t>
            </w:r>
            <w:proofErr w:type="gramEnd"/>
            <w:r w:rsidRPr="00EC4BA6">
              <w:rPr>
                <w:rFonts w:ascii="Arial" w:hAnsi="Arial" w:cs="Arial"/>
                <w:b/>
                <w:sz w:val="16"/>
                <w:szCs w:val="16"/>
              </w:rPr>
              <w:t xml:space="preserve"> 2025</w:t>
            </w:r>
            <w:r w:rsidR="001A3DD6">
              <w:rPr>
                <w:rFonts w:ascii="Arial" w:hAnsi="Arial" w:cs="Arial"/>
                <w:b/>
                <w:sz w:val="16"/>
                <w:szCs w:val="16"/>
              </w:rPr>
              <w:noBreakHyphen/>
            </w:r>
            <w:r w:rsidRPr="00EC4BA6">
              <w:rPr>
                <w:rFonts w:ascii="Arial" w:hAnsi="Arial" w:cs="Arial"/>
                <w:b/>
                <w:sz w:val="16"/>
                <w:szCs w:val="16"/>
              </w:rPr>
              <w:t>26 Budget</w:t>
            </w:r>
          </w:p>
        </w:tc>
        <w:tc>
          <w:tcPr>
            <w:tcW w:w="484" w:type="pct"/>
            <w:tcBorders>
              <w:top w:val="nil"/>
              <w:left w:val="nil"/>
              <w:bottom w:val="single" w:sz="4" w:space="0" w:color="293F5B"/>
              <w:right w:val="nil"/>
            </w:tcBorders>
            <w:shd w:val="clear" w:color="auto" w:fill="auto"/>
            <w:noWrap/>
            <w:vAlign w:val="center"/>
            <w:hideMark/>
          </w:tcPr>
          <w:p w14:paraId="4B1E05D4" w14:textId="77777777" w:rsidR="001F1BE2" w:rsidRPr="00EC4BA6" w:rsidRDefault="001F1BE2" w:rsidP="001F1BE2">
            <w:pPr>
              <w:spacing w:before="0" w:after="0" w:line="240" w:lineRule="auto"/>
              <w:jc w:val="right"/>
              <w:rPr>
                <w:rFonts w:ascii="Arial" w:hAnsi="Arial" w:cs="Arial"/>
                <w:b/>
                <w:sz w:val="16"/>
                <w:szCs w:val="16"/>
              </w:rPr>
            </w:pPr>
            <w:r w:rsidRPr="00EC4BA6">
              <w:rPr>
                <w:rFonts w:ascii="Arial" w:hAnsi="Arial" w:cs="Arial"/>
                <w:b/>
                <w:sz w:val="16"/>
                <w:szCs w:val="16"/>
              </w:rPr>
              <w:t>645,242</w:t>
            </w:r>
          </w:p>
        </w:tc>
        <w:tc>
          <w:tcPr>
            <w:tcW w:w="484" w:type="pct"/>
            <w:tcBorders>
              <w:top w:val="nil"/>
              <w:left w:val="nil"/>
              <w:bottom w:val="single" w:sz="4" w:space="0" w:color="293F5B"/>
              <w:right w:val="nil"/>
            </w:tcBorders>
            <w:shd w:val="clear" w:color="000000" w:fill="E6F2FF"/>
            <w:noWrap/>
            <w:vAlign w:val="center"/>
            <w:hideMark/>
          </w:tcPr>
          <w:p w14:paraId="59D272ED" w14:textId="77777777" w:rsidR="001F1BE2" w:rsidRPr="00EC4BA6" w:rsidRDefault="001F1BE2" w:rsidP="001F1BE2">
            <w:pPr>
              <w:spacing w:before="0" w:after="0" w:line="240" w:lineRule="auto"/>
              <w:jc w:val="right"/>
              <w:rPr>
                <w:rFonts w:ascii="Arial" w:hAnsi="Arial" w:cs="Arial"/>
                <w:b/>
                <w:sz w:val="16"/>
                <w:szCs w:val="16"/>
              </w:rPr>
            </w:pPr>
            <w:r w:rsidRPr="00EC4BA6">
              <w:rPr>
                <w:rFonts w:ascii="Arial" w:hAnsi="Arial" w:cs="Arial"/>
                <w:b/>
                <w:sz w:val="16"/>
                <w:szCs w:val="16"/>
              </w:rPr>
              <w:t>676,086</w:t>
            </w:r>
          </w:p>
        </w:tc>
        <w:tc>
          <w:tcPr>
            <w:tcW w:w="484" w:type="pct"/>
            <w:tcBorders>
              <w:top w:val="nil"/>
              <w:left w:val="nil"/>
              <w:bottom w:val="single" w:sz="4" w:space="0" w:color="293F5B"/>
              <w:right w:val="nil"/>
            </w:tcBorders>
            <w:shd w:val="clear" w:color="auto" w:fill="auto"/>
            <w:noWrap/>
            <w:vAlign w:val="center"/>
            <w:hideMark/>
          </w:tcPr>
          <w:p w14:paraId="798FD0ED" w14:textId="77777777" w:rsidR="001F1BE2" w:rsidRPr="00EC4BA6" w:rsidRDefault="001F1BE2" w:rsidP="001F1BE2">
            <w:pPr>
              <w:spacing w:before="0" w:after="0" w:line="240" w:lineRule="auto"/>
              <w:jc w:val="right"/>
              <w:rPr>
                <w:rFonts w:ascii="Arial" w:hAnsi="Arial" w:cs="Arial"/>
                <w:b/>
                <w:sz w:val="16"/>
                <w:szCs w:val="16"/>
              </w:rPr>
            </w:pPr>
            <w:r w:rsidRPr="00EC4BA6">
              <w:rPr>
                <w:rFonts w:ascii="Arial" w:hAnsi="Arial" w:cs="Arial"/>
                <w:b/>
                <w:sz w:val="16"/>
                <w:szCs w:val="16"/>
              </w:rPr>
              <w:t>707,556</w:t>
            </w:r>
          </w:p>
        </w:tc>
        <w:tc>
          <w:tcPr>
            <w:tcW w:w="484" w:type="pct"/>
            <w:tcBorders>
              <w:top w:val="nil"/>
              <w:left w:val="nil"/>
              <w:bottom w:val="single" w:sz="4" w:space="0" w:color="293F5B"/>
              <w:right w:val="nil"/>
            </w:tcBorders>
            <w:shd w:val="clear" w:color="auto" w:fill="auto"/>
            <w:noWrap/>
            <w:vAlign w:val="center"/>
            <w:hideMark/>
          </w:tcPr>
          <w:p w14:paraId="1D4F0458" w14:textId="77777777" w:rsidR="001F1BE2" w:rsidRPr="00EC4BA6" w:rsidRDefault="001F1BE2" w:rsidP="001F1BE2">
            <w:pPr>
              <w:spacing w:before="0" w:after="0" w:line="240" w:lineRule="auto"/>
              <w:jc w:val="right"/>
              <w:rPr>
                <w:rFonts w:ascii="Arial" w:hAnsi="Arial" w:cs="Arial"/>
                <w:b/>
                <w:sz w:val="16"/>
                <w:szCs w:val="16"/>
              </w:rPr>
            </w:pPr>
            <w:r w:rsidRPr="00EC4BA6">
              <w:rPr>
                <w:rFonts w:ascii="Arial" w:hAnsi="Arial" w:cs="Arial"/>
                <w:b/>
                <w:sz w:val="16"/>
                <w:szCs w:val="16"/>
              </w:rPr>
              <w:t>735,939</w:t>
            </w:r>
          </w:p>
        </w:tc>
        <w:tc>
          <w:tcPr>
            <w:tcW w:w="484" w:type="pct"/>
            <w:tcBorders>
              <w:top w:val="nil"/>
              <w:left w:val="nil"/>
              <w:bottom w:val="single" w:sz="4" w:space="0" w:color="293F5B"/>
              <w:right w:val="nil"/>
            </w:tcBorders>
            <w:shd w:val="clear" w:color="auto" w:fill="auto"/>
            <w:noWrap/>
            <w:vAlign w:val="center"/>
            <w:hideMark/>
          </w:tcPr>
          <w:p w14:paraId="7B665B56" w14:textId="77777777" w:rsidR="001F1BE2" w:rsidRPr="00EC4BA6" w:rsidRDefault="001F1BE2" w:rsidP="001F1BE2">
            <w:pPr>
              <w:spacing w:before="0" w:after="0" w:line="240" w:lineRule="auto"/>
              <w:jc w:val="right"/>
              <w:rPr>
                <w:rFonts w:ascii="Arial" w:hAnsi="Arial" w:cs="Arial"/>
                <w:b/>
                <w:sz w:val="16"/>
                <w:szCs w:val="16"/>
              </w:rPr>
            </w:pPr>
            <w:r w:rsidRPr="00EC4BA6">
              <w:rPr>
                <w:rFonts w:ascii="Arial" w:hAnsi="Arial" w:cs="Arial"/>
                <w:b/>
                <w:sz w:val="16"/>
                <w:szCs w:val="16"/>
              </w:rPr>
              <w:t>778,266</w:t>
            </w:r>
          </w:p>
        </w:tc>
        <w:tc>
          <w:tcPr>
            <w:tcW w:w="53" w:type="pct"/>
            <w:tcBorders>
              <w:top w:val="nil"/>
              <w:left w:val="nil"/>
              <w:bottom w:val="single" w:sz="4" w:space="0" w:color="293F5B"/>
              <w:right w:val="nil"/>
            </w:tcBorders>
            <w:shd w:val="clear" w:color="auto" w:fill="auto"/>
            <w:noWrap/>
            <w:vAlign w:val="center"/>
            <w:hideMark/>
          </w:tcPr>
          <w:p w14:paraId="20CAFB5D" w14:textId="77777777" w:rsidR="001F1BE2" w:rsidRPr="00EC4BA6" w:rsidRDefault="001F1BE2" w:rsidP="001F1BE2">
            <w:pPr>
              <w:spacing w:before="0" w:after="0" w:line="240" w:lineRule="auto"/>
              <w:jc w:val="right"/>
              <w:rPr>
                <w:rFonts w:ascii="Arial" w:hAnsi="Arial" w:cs="Arial"/>
                <w:b/>
                <w:sz w:val="16"/>
                <w:szCs w:val="16"/>
              </w:rPr>
            </w:pPr>
            <w:r w:rsidRPr="00EC4BA6">
              <w:rPr>
                <w:rFonts w:ascii="Arial" w:hAnsi="Arial" w:cs="Arial"/>
                <w:b/>
                <w:sz w:val="16"/>
                <w:szCs w:val="16"/>
              </w:rPr>
              <w:t> </w:t>
            </w:r>
          </w:p>
        </w:tc>
        <w:tc>
          <w:tcPr>
            <w:tcW w:w="508" w:type="pct"/>
            <w:gridSpan w:val="2"/>
            <w:tcBorders>
              <w:top w:val="nil"/>
              <w:left w:val="nil"/>
              <w:bottom w:val="single" w:sz="4" w:space="0" w:color="293F5B"/>
              <w:right w:val="nil"/>
            </w:tcBorders>
            <w:shd w:val="clear" w:color="auto" w:fill="auto"/>
            <w:noWrap/>
            <w:vAlign w:val="center"/>
            <w:hideMark/>
          </w:tcPr>
          <w:p w14:paraId="2619E1D9" w14:textId="77777777" w:rsidR="001F1BE2" w:rsidRPr="00EC4BA6" w:rsidRDefault="001F1BE2" w:rsidP="001F1BE2">
            <w:pPr>
              <w:spacing w:before="0" w:after="0" w:line="240" w:lineRule="auto"/>
              <w:jc w:val="right"/>
              <w:rPr>
                <w:rFonts w:ascii="Arial" w:hAnsi="Arial" w:cs="Arial"/>
                <w:b/>
                <w:sz w:val="16"/>
                <w:szCs w:val="16"/>
              </w:rPr>
            </w:pPr>
            <w:r w:rsidRPr="00EC4BA6">
              <w:rPr>
                <w:rFonts w:ascii="Arial" w:hAnsi="Arial" w:cs="Arial"/>
                <w:b/>
                <w:sz w:val="16"/>
                <w:szCs w:val="16"/>
              </w:rPr>
              <w:t>3,543,090</w:t>
            </w:r>
          </w:p>
        </w:tc>
      </w:tr>
    </w:tbl>
    <w:p w14:paraId="4EFF12F3" w14:textId="6CDB3D81" w:rsidR="00DF4D4F" w:rsidRPr="00EC4BA6" w:rsidRDefault="00DF4D4F" w:rsidP="00DF4D4F">
      <w:pPr>
        <w:pStyle w:val="ChartandTableFootnoteAlpha"/>
        <w:numPr>
          <w:ilvl w:val="0"/>
          <w:numId w:val="0"/>
        </w:numPr>
        <w:ind w:left="284" w:hanging="284"/>
        <w:rPr>
          <w:color w:val="auto"/>
        </w:rPr>
      </w:pPr>
      <w:r w:rsidRPr="00EC4BA6">
        <w:rPr>
          <w:color w:val="auto"/>
        </w:rPr>
        <w:t>* Data is not available.</w:t>
      </w:r>
    </w:p>
    <w:p w14:paraId="2A86C307" w14:textId="77777777" w:rsidR="00DF4D4F" w:rsidRPr="00EC4BA6" w:rsidRDefault="00DF4D4F" w:rsidP="00DF4D4F">
      <w:pPr>
        <w:pStyle w:val="TableLine"/>
      </w:pPr>
    </w:p>
    <w:bookmarkEnd w:id="20"/>
    <w:bookmarkEnd w:id="21"/>
    <w:p w14:paraId="0EF4B9B7" w14:textId="75657E2E" w:rsidR="00DF4D4F" w:rsidRPr="00EC4BA6" w:rsidRDefault="00DF4D4F" w:rsidP="00DF4D4F">
      <w:pPr>
        <w:spacing w:before="0"/>
      </w:pPr>
      <w:r w:rsidRPr="00EC4BA6">
        <w:t>Since MYEFO, parameter and other variations are expected to increase tax receipts by $</w:t>
      </w:r>
      <w:r w:rsidR="000474F9" w:rsidRPr="00EC4BA6">
        <w:t>6.7</w:t>
      </w:r>
      <w:r w:rsidR="00000D74" w:rsidRPr="00EC4BA6">
        <w:t> </w:t>
      </w:r>
      <w:r w:rsidRPr="00EC4BA6">
        <w:t>billion in 202</w:t>
      </w:r>
      <w:r w:rsidR="00012CCF" w:rsidRPr="00EC4BA6">
        <w:t>5</w:t>
      </w:r>
      <w:r w:rsidR="003E0A49" w:rsidRPr="00EC4BA6">
        <w:t>–</w:t>
      </w:r>
      <w:r w:rsidRPr="00EC4BA6">
        <w:t>2</w:t>
      </w:r>
      <w:r w:rsidR="00012CCF" w:rsidRPr="00EC4BA6">
        <w:t>6</w:t>
      </w:r>
      <w:r w:rsidRPr="00EC4BA6">
        <w:t xml:space="preserve"> and $</w:t>
      </w:r>
      <w:r w:rsidR="004160C2" w:rsidRPr="00EC4BA6">
        <w:t>8.</w:t>
      </w:r>
      <w:r w:rsidR="005836F2" w:rsidRPr="00EC4BA6">
        <w:t>5</w:t>
      </w:r>
      <w:r w:rsidR="00000D74" w:rsidRPr="00EC4BA6">
        <w:t> </w:t>
      </w:r>
      <w:r w:rsidRPr="00EC4BA6">
        <w:t>billion over the five years from 202</w:t>
      </w:r>
      <w:r w:rsidR="00012CCF" w:rsidRPr="00EC4BA6">
        <w:t>4</w:t>
      </w:r>
      <w:r w:rsidR="003E0A49" w:rsidRPr="00EC4BA6">
        <w:rPr>
          <w:rFonts w:ascii="Calibri" w:hAnsi="Calibri" w:cs="Calibri"/>
        </w:rPr>
        <w:t>–</w:t>
      </w:r>
      <w:r w:rsidRPr="00EC4BA6">
        <w:t>2</w:t>
      </w:r>
      <w:r w:rsidR="00012CCF" w:rsidRPr="00EC4BA6">
        <w:t>5</w:t>
      </w:r>
      <w:r w:rsidRPr="00EC4BA6">
        <w:t xml:space="preserve"> to 202</w:t>
      </w:r>
      <w:r w:rsidR="00012CCF" w:rsidRPr="00EC4BA6">
        <w:t>8</w:t>
      </w:r>
      <w:r w:rsidR="003E0A49" w:rsidRPr="00EC4BA6">
        <w:rPr>
          <w:rFonts w:ascii="Calibri" w:hAnsi="Calibri" w:cs="Calibri"/>
        </w:rPr>
        <w:t>–</w:t>
      </w:r>
      <w:r w:rsidRPr="00EC4BA6">
        <w:t>2</w:t>
      </w:r>
      <w:r w:rsidR="00012CCF" w:rsidRPr="00EC4BA6">
        <w:t>9</w:t>
      </w:r>
      <w:r w:rsidRPr="00EC4BA6">
        <w:t xml:space="preserve">. Policy decisions are estimated to </w:t>
      </w:r>
      <w:r w:rsidR="004160C2" w:rsidRPr="00EC4BA6">
        <w:t>decrease</w:t>
      </w:r>
      <w:r w:rsidRPr="00EC4BA6">
        <w:t xml:space="preserve"> tax receipts by $</w:t>
      </w:r>
      <w:r w:rsidR="007D2E3F" w:rsidRPr="00EC4BA6">
        <w:t>259.</w:t>
      </w:r>
      <w:r w:rsidR="00230B04" w:rsidRPr="00EC4BA6">
        <w:t>1</w:t>
      </w:r>
      <w:r w:rsidR="00000D74" w:rsidRPr="00EC4BA6">
        <w:t> </w:t>
      </w:r>
      <w:r w:rsidR="00A522C0" w:rsidRPr="00EC4BA6">
        <w:t>m</w:t>
      </w:r>
      <w:r w:rsidRPr="00EC4BA6">
        <w:t xml:space="preserve">illion in </w:t>
      </w:r>
      <w:r w:rsidR="006F3B5E" w:rsidRPr="00EC4BA6">
        <w:t xml:space="preserve">2025–26 </w:t>
      </w:r>
      <w:r w:rsidRPr="00EC4BA6">
        <w:t>and $</w:t>
      </w:r>
      <w:r w:rsidR="00176911" w:rsidRPr="00EC4BA6">
        <w:t>15.1</w:t>
      </w:r>
      <w:r w:rsidR="00000D74" w:rsidRPr="00EC4BA6">
        <w:t> </w:t>
      </w:r>
      <w:r w:rsidRPr="00EC4BA6">
        <w:t xml:space="preserve">billion </w:t>
      </w:r>
      <w:r w:rsidR="006F3B5E" w:rsidRPr="00EC4BA6">
        <w:t>over the five</w:t>
      </w:r>
      <w:r w:rsidR="001F370D">
        <w:t> </w:t>
      </w:r>
      <w:r w:rsidR="006F3B5E" w:rsidRPr="00EC4BA6">
        <w:t>years from 2024</w:t>
      </w:r>
      <w:r w:rsidR="003E0A49" w:rsidRPr="00EC4BA6">
        <w:t>–</w:t>
      </w:r>
      <w:r w:rsidR="006F3B5E" w:rsidRPr="00EC4BA6">
        <w:t>25 to 2028</w:t>
      </w:r>
      <w:r w:rsidR="003E0A49" w:rsidRPr="00EC4BA6">
        <w:t>–</w:t>
      </w:r>
      <w:r w:rsidR="006F3B5E" w:rsidRPr="00EC4BA6">
        <w:t>2</w:t>
      </w:r>
      <w:r w:rsidR="00771CB8" w:rsidRPr="00EC4BA6">
        <w:t>9</w:t>
      </w:r>
      <w:r w:rsidRPr="00EC4BA6">
        <w:t xml:space="preserve">. </w:t>
      </w:r>
    </w:p>
    <w:tbl>
      <w:tblPr>
        <w:tblW w:w="5000" w:type="pct"/>
        <w:tblLook w:val="0000" w:firstRow="0" w:lastRow="0" w:firstColumn="0" w:lastColumn="0" w:noHBand="0" w:noVBand="0"/>
      </w:tblPr>
      <w:tblGrid>
        <w:gridCol w:w="3866"/>
        <w:gridCol w:w="3844"/>
      </w:tblGrid>
      <w:tr w:rsidR="00DF4D4F" w:rsidRPr="00DC0D4A" w14:paraId="63142494" w14:textId="77777777" w:rsidTr="5B312750">
        <w:trPr>
          <w:cantSplit/>
        </w:trPr>
        <w:tc>
          <w:tcPr>
            <w:tcW w:w="2506" w:type="pct"/>
          </w:tcPr>
          <w:p w14:paraId="5D85509C" w14:textId="70855A10" w:rsidR="00DF4D4F" w:rsidRPr="005013E4" w:rsidRDefault="00DF4D4F" w:rsidP="005878BD">
            <w:pPr>
              <w:pStyle w:val="ChartMainHeading"/>
            </w:pPr>
            <w:r w:rsidRPr="00EC4BA6">
              <w:t xml:space="preserve">Chart </w:t>
            </w:r>
            <w:r w:rsidR="00FA1FCD" w:rsidRPr="00EC4BA6">
              <w:t>4</w:t>
            </w:r>
            <w:r w:rsidRPr="00EC4BA6">
              <w:t>.</w:t>
            </w:r>
            <w:r w:rsidR="00FA1FCD" w:rsidRPr="00EC4BA6">
              <w:t>1</w:t>
            </w:r>
            <w:r w:rsidRPr="00EC4BA6">
              <w:t xml:space="preserve">: </w:t>
            </w:r>
            <w:r w:rsidR="008144C0" w:rsidRPr="00EC4BA6">
              <w:t xml:space="preserve">Revisions to total tax receipts since 2024–25 MYEFO </w:t>
            </w:r>
          </w:p>
        </w:tc>
        <w:tc>
          <w:tcPr>
            <w:tcW w:w="2494" w:type="pct"/>
          </w:tcPr>
          <w:p w14:paraId="5E72542D" w14:textId="28823F23" w:rsidR="00DF4D4F" w:rsidRPr="00EC4BA6" w:rsidRDefault="00DF4D4F" w:rsidP="005878BD">
            <w:pPr>
              <w:pStyle w:val="ChartMainHeading"/>
            </w:pPr>
            <w:r w:rsidRPr="00EC4BA6">
              <w:t xml:space="preserve">Chart </w:t>
            </w:r>
            <w:r w:rsidR="00FA1FCD" w:rsidRPr="00EC4BA6">
              <w:t>4</w:t>
            </w:r>
            <w:r w:rsidRPr="00EC4BA6">
              <w:t>.</w:t>
            </w:r>
            <w:r w:rsidR="00FA1FCD" w:rsidRPr="00EC4BA6">
              <w:t>2</w:t>
            </w:r>
            <w:r w:rsidRPr="00EC4BA6">
              <w:t xml:space="preserve">: </w:t>
            </w:r>
            <w:r w:rsidR="008144C0" w:rsidRPr="00EC4BA6">
              <w:t>Parameter and other variations to total tax receipts since 2024–25 MYEFO</w:t>
            </w:r>
          </w:p>
        </w:tc>
      </w:tr>
      <w:tr w:rsidR="00DF4D4F" w:rsidRPr="00DC0D4A" w14:paraId="688A5F3F" w14:textId="77777777" w:rsidTr="5B312750">
        <w:trPr>
          <w:cantSplit/>
        </w:trPr>
        <w:tc>
          <w:tcPr>
            <w:tcW w:w="2506" w:type="pct"/>
          </w:tcPr>
          <w:p w14:paraId="16CC20A1" w14:textId="744A98F7" w:rsidR="00DF4D4F" w:rsidRPr="005013E4" w:rsidRDefault="00BD116A" w:rsidP="00B27BF1">
            <w:pPr>
              <w:pStyle w:val="ChartGraphic"/>
            </w:pPr>
            <w:r>
              <w:pict w14:anchorId="4064C0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e chart shows the revision in forecast tax receipts since the 2024–25 MYEFO. Taxation receipts are slightly lower in 2024–25, then higher in both 2025–26 and 2026–27 and lower in both 2027–28 and 2028–29. Parameter and other variations drive the upgrade in both 2025–26 and 2026–27, including a $6.7 billion increase in 2025–26 and an overall increase of $8.5 billion over the five years from 2024–25 to 2028–29. Policy decisions decrease receipts by $0.3 billion in 2025–26 and $15.1 billion over the five years from 2024–25 to 2028–29." style="width:182.25pt;height:169.5pt">
                  <v:imagedata r:id="rId17" o:title=""/>
                </v:shape>
              </w:pict>
            </w:r>
          </w:p>
        </w:tc>
        <w:tc>
          <w:tcPr>
            <w:tcW w:w="2494" w:type="pct"/>
          </w:tcPr>
          <w:p w14:paraId="300C7251" w14:textId="4EF6446A" w:rsidR="00DF4D4F" w:rsidRPr="00EC4BA6" w:rsidRDefault="00BD116A" w:rsidP="00E322D4">
            <w:pPr>
              <w:pStyle w:val="ChartGraphic"/>
            </w:pPr>
            <w:r>
              <w:pict w14:anchorId="31DEE4A4">
                <v:shape id="_x0000_i1026" type="#_x0000_t75" alt="The chart shows the composition of the parameter and other variations to total tax receipts since the 2024–25 MYEFO. Company and individuals taxes drive the upwards revision in the near term. Downwards revision at the end of the forward estimates reflects downgrades to company tax, offset by upgrades to individuals tax and other taxes. Since the 2024–25 MYEFO, parameter and other variations result in an upgrade to company and individuals taxes of $4.5 billion and $1.5 billion in 2025–26, respectively. Over the five years from 2024–25 to 2028–29, parameter and other variations drive an overall downgrade to company tax of $1.9 billion, and an upgrade to individuals taxes of $9.9 billion. Parameter and other variations drive a less than $1m downgrade to GST receipts in 2025–26 and have revised it down by $0.9b over the five years from 2024–25 to 2028–29. Other taxes have been revised up $0.7 billion in 2025–26 and $1.5 billion over the five years from 2024–25 to 2028–29 due to parameter and other variations." style="width:180pt;height:167.25pt">
                  <v:imagedata r:id="rId18" o:title=""/>
                </v:shape>
              </w:pict>
            </w:r>
          </w:p>
        </w:tc>
      </w:tr>
      <w:tr w:rsidR="00DF4D4F" w:rsidRPr="00DC0D4A" w14:paraId="6DB4DA3B" w14:textId="77777777" w:rsidTr="5B312750">
        <w:trPr>
          <w:cantSplit/>
        </w:trPr>
        <w:tc>
          <w:tcPr>
            <w:tcW w:w="2506" w:type="pct"/>
          </w:tcPr>
          <w:p w14:paraId="1F74DB37" w14:textId="2002629C" w:rsidR="00DF4D4F" w:rsidRPr="005013E4" w:rsidRDefault="00A722FE" w:rsidP="00A722FE">
            <w:pPr>
              <w:pStyle w:val="ChartandTableFootnote"/>
              <w:rPr>
                <w:color w:val="auto"/>
              </w:rPr>
            </w:pPr>
            <w:r w:rsidRPr="00EC4BA6">
              <w:rPr>
                <w:color w:val="auto"/>
              </w:rPr>
              <w:t>Source:</w:t>
            </w:r>
            <w:r w:rsidRPr="00EC4BA6">
              <w:rPr>
                <w:color w:val="auto"/>
              </w:rPr>
              <w:tab/>
              <w:t>Treasury</w:t>
            </w:r>
            <w:r w:rsidR="00DF4D4F" w:rsidRPr="00EC4BA6">
              <w:rPr>
                <w:color w:val="auto"/>
              </w:rPr>
              <w:t>.</w:t>
            </w:r>
          </w:p>
        </w:tc>
        <w:tc>
          <w:tcPr>
            <w:tcW w:w="2494" w:type="pct"/>
          </w:tcPr>
          <w:p w14:paraId="610A92F6" w14:textId="11755451" w:rsidR="00DF4D4F" w:rsidRPr="00EC4BA6" w:rsidRDefault="00A722FE">
            <w:pPr>
              <w:pStyle w:val="ChartandTableFootnote"/>
              <w:rPr>
                <w:color w:val="auto"/>
              </w:rPr>
            </w:pPr>
            <w:r w:rsidRPr="00EC4BA6">
              <w:rPr>
                <w:color w:val="auto"/>
              </w:rPr>
              <w:t>Source:</w:t>
            </w:r>
            <w:r w:rsidRPr="00EC4BA6">
              <w:rPr>
                <w:color w:val="auto"/>
              </w:rPr>
              <w:tab/>
              <w:t>Treasury.</w:t>
            </w:r>
          </w:p>
        </w:tc>
      </w:tr>
    </w:tbl>
    <w:p w14:paraId="4E24F4BB" w14:textId="77777777" w:rsidR="00DF4D4F" w:rsidRPr="00EC4BA6" w:rsidRDefault="00DF4D4F" w:rsidP="00DF4D4F">
      <w:pPr>
        <w:pStyle w:val="ChartLine"/>
      </w:pPr>
    </w:p>
    <w:p w14:paraId="7ACD87F7" w14:textId="20962C00" w:rsidR="00DF4D4F" w:rsidRPr="00EC4BA6" w:rsidRDefault="00DF4D4F" w:rsidP="00DF4D4F">
      <w:r w:rsidRPr="00EC4BA6">
        <w:t>Tax receipts forecasts are based on available information prior to each economic and fiscal update. Growth in the key economic parameters that influence tax receipts is shown in Table </w:t>
      </w:r>
      <w:r w:rsidR="00E746A8" w:rsidRPr="00EC4BA6">
        <w:t>4</w:t>
      </w:r>
      <w:r w:rsidRPr="00EC4BA6">
        <w:t xml:space="preserve">.4. </w:t>
      </w:r>
    </w:p>
    <w:p w14:paraId="7DDA0BBF" w14:textId="1E9A4B4E" w:rsidR="001F707C" w:rsidRPr="00EC4BA6" w:rsidRDefault="00DF4D4F" w:rsidP="002573C3">
      <w:pPr>
        <w:pStyle w:val="TableHeading"/>
        <w:rPr>
          <w:rFonts w:asciiTheme="minorHAnsi" w:eastAsiaTheme="minorHAnsi" w:hAnsiTheme="minorHAnsi" w:cstheme="minorBidi"/>
          <w:sz w:val="22"/>
          <w:szCs w:val="22"/>
          <w:lang w:eastAsia="en-US"/>
        </w:rPr>
      </w:pPr>
      <w:r w:rsidRPr="00EC4BA6">
        <w:lastRenderedPageBreak/>
        <w:t xml:space="preserve">Table </w:t>
      </w:r>
      <w:r w:rsidR="008356AC" w:rsidRPr="00EC4BA6">
        <w:t>4</w:t>
      </w:r>
      <w:r w:rsidRPr="00EC4BA6">
        <w:t>.4: Key economic parameters for tax receipts</w:t>
      </w:r>
      <w:r w:rsidRPr="00EC4BA6">
        <w:rPr>
          <w:vertAlign w:val="superscript"/>
        </w:rPr>
        <w:t>(a</w:t>
      </w:r>
      <w:r w:rsidR="002573C3" w:rsidRPr="00EC4BA6">
        <w:rPr>
          <w:vertAlign w:val="superscript"/>
        </w:rPr>
        <w:t>)</w:t>
      </w:r>
      <w:bookmarkStart w:id="22" w:name="_1803999210"/>
      <w:bookmarkStart w:id="23" w:name="_1803996687"/>
      <w:bookmarkStart w:id="24" w:name="_1803282565"/>
      <w:bookmarkStart w:id="25" w:name="_1776681571"/>
      <w:bookmarkStart w:id="26" w:name="_1803282644"/>
      <w:bookmarkStart w:id="27" w:name="_1803798268"/>
      <w:bookmarkStart w:id="28" w:name="_1803798351"/>
      <w:bookmarkStart w:id="29" w:name="_1803999214"/>
      <w:bookmarkStart w:id="30" w:name="_1803996690"/>
      <w:bookmarkEnd w:id="22"/>
      <w:bookmarkEnd w:id="23"/>
      <w:bookmarkEnd w:id="24"/>
      <w:bookmarkEnd w:id="25"/>
      <w:bookmarkEnd w:id="26"/>
      <w:bookmarkEnd w:id="27"/>
      <w:bookmarkEnd w:id="28"/>
      <w:bookmarkEnd w:id="29"/>
      <w:bookmarkEnd w:id="30"/>
    </w:p>
    <w:tbl>
      <w:tblPr>
        <w:tblW w:w="5000" w:type="pct"/>
        <w:tblCellMar>
          <w:left w:w="0" w:type="dxa"/>
          <w:right w:w="28" w:type="dxa"/>
        </w:tblCellMar>
        <w:tblLook w:val="04A0" w:firstRow="1" w:lastRow="0" w:firstColumn="1" w:lastColumn="0" w:noHBand="0" w:noVBand="1"/>
      </w:tblPr>
      <w:tblGrid>
        <w:gridCol w:w="3243"/>
        <w:gridCol w:w="758"/>
        <w:gridCol w:w="124"/>
        <w:gridCol w:w="701"/>
        <w:gridCol w:w="701"/>
        <w:gridCol w:w="701"/>
        <w:gridCol w:w="701"/>
        <w:gridCol w:w="781"/>
      </w:tblGrid>
      <w:tr w:rsidR="001F707C" w:rsidRPr="00EC4BA6" w14:paraId="34846553" w14:textId="77777777" w:rsidTr="001F707C">
        <w:trPr>
          <w:trHeight w:hRule="exact" w:val="235"/>
        </w:trPr>
        <w:tc>
          <w:tcPr>
            <w:tcW w:w="2108" w:type="pct"/>
            <w:tcBorders>
              <w:top w:val="single" w:sz="4" w:space="0" w:color="293F5B"/>
              <w:left w:val="nil"/>
              <w:bottom w:val="nil"/>
              <w:right w:val="nil"/>
            </w:tcBorders>
            <w:shd w:val="clear" w:color="000000" w:fill="FFFFFF"/>
            <w:noWrap/>
            <w:vAlign w:val="bottom"/>
            <w:hideMark/>
          </w:tcPr>
          <w:p w14:paraId="7C12005F" w14:textId="34495F4E" w:rsidR="001F707C" w:rsidRPr="00EC4BA6" w:rsidRDefault="001F707C" w:rsidP="001F707C">
            <w:pPr>
              <w:spacing w:before="0" w:after="0" w:line="240" w:lineRule="auto"/>
              <w:rPr>
                <w:rFonts w:ascii="Arial" w:hAnsi="Arial" w:cs="Arial"/>
                <w:sz w:val="16"/>
                <w:szCs w:val="16"/>
              </w:rPr>
            </w:pPr>
            <w:r w:rsidRPr="00EC4BA6">
              <w:rPr>
                <w:rFonts w:ascii="Arial" w:hAnsi="Arial" w:cs="Arial"/>
                <w:sz w:val="16"/>
                <w:szCs w:val="16"/>
              </w:rPr>
              <w:t> </w:t>
            </w:r>
          </w:p>
        </w:tc>
        <w:tc>
          <w:tcPr>
            <w:tcW w:w="459" w:type="pct"/>
            <w:tcBorders>
              <w:top w:val="single" w:sz="4" w:space="0" w:color="293F5B"/>
              <w:left w:val="nil"/>
              <w:bottom w:val="nil"/>
              <w:right w:val="nil"/>
            </w:tcBorders>
            <w:shd w:val="clear" w:color="000000" w:fill="FFFFFF"/>
            <w:noWrap/>
            <w:vAlign w:val="center"/>
            <w:hideMark/>
          </w:tcPr>
          <w:p w14:paraId="59A52E07" w14:textId="77777777" w:rsidR="001F707C" w:rsidRPr="00EC4BA6" w:rsidRDefault="001F707C" w:rsidP="001F707C">
            <w:pPr>
              <w:spacing w:before="0" w:after="0" w:line="240" w:lineRule="auto"/>
              <w:jc w:val="center"/>
              <w:rPr>
                <w:rFonts w:ascii="Arial" w:hAnsi="Arial" w:cs="Arial"/>
                <w:sz w:val="16"/>
                <w:szCs w:val="16"/>
              </w:rPr>
            </w:pPr>
            <w:r w:rsidRPr="00EC4BA6">
              <w:rPr>
                <w:rFonts w:ascii="Arial" w:hAnsi="Arial" w:cs="Arial"/>
                <w:sz w:val="16"/>
                <w:szCs w:val="16"/>
              </w:rPr>
              <w:t>Outcomes</w:t>
            </w:r>
          </w:p>
        </w:tc>
        <w:tc>
          <w:tcPr>
            <w:tcW w:w="85" w:type="pct"/>
            <w:tcBorders>
              <w:top w:val="single" w:sz="4" w:space="0" w:color="293F5B"/>
              <w:left w:val="nil"/>
              <w:bottom w:val="nil"/>
              <w:right w:val="nil"/>
            </w:tcBorders>
            <w:shd w:val="clear" w:color="000000" w:fill="FFFFFF"/>
            <w:noWrap/>
            <w:vAlign w:val="center"/>
            <w:hideMark/>
          </w:tcPr>
          <w:p w14:paraId="30E3A394" w14:textId="77777777" w:rsidR="001F707C" w:rsidRPr="00EC4BA6" w:rsidRDefault="001F707C" w:rsidP="001F707C">
            <w:pPr>
              <w:spacing w:before="0" w:after="0" w:line="240" w:lineRule="auto"/>
              <w:jc w:val="center"/>
              <w:rPr>
                <w:rFonts w:ascii="Arial" w:hAnsi="Arial" w:cs="Arial"/>
                <w:sz w:val="16"/>
                <w:szCs w:val="16"/>
              </w:rPr>
            </w:pPr>
            <w:r w:rsidRPr="00EC4BA6">
              <w:rPr>
                <w:rFonts w:ascii="Arial" w:hAnsi="Arial" w:cs="Arial"/>
                <w:sz w:val="16"/>
                <w:szCs w:val="16"/>
              </w:rPr>
              <w:t> </w:t>
            </w:r>
          </w:p>
        </w:tc>
        <w:tc>
          <w:tcPr>
            <w:tcW w:w="2347" w:type="pct"/>
            <w:gridSpan w:val="5"/>
            <w:tcBorders>
              <w:top w:val="single" w:sz="4" w:space="0" w:color="293F5B"/>
              <w:left w:val="nil"/>
              <w:bottom w:val="nil"/>
              <w:right w:val="nil"/>
            </w:tcBorders>
            <w:shd w:val="clear" w:color="000000" w:fill="FFFFFF"/>
            <w:noWrap/>
            <w:vAlign w:val="center"/>
            <w:hideMark/>
          </w:tcPr>
          <w:p w14:paraId="280720DC" w14:textId="77777777" w:rsidR="001F707C" w:rsidRPr="00EC4BA6" w:rsidRDefault="001F707C" w:rsidP="001F707C">
            <w:pPr>
              <w:spacing w:before="0" w:after="0" w:line="240" w:lineRule="auto"/>
              <w:jc w:val="center"/>
              <w:rPr>
                <w:rFonts w:ascii="Arial" w:hAnsi="Arial" w:cs="Arial"/>
                <w:sz w:val="16"/>
                <w:szCs w:val="16"/>
              </w:rPr>
            </w:pPr>
            <w:r w:rsidRPr="00EC4BA6">
              <w:rPr>
                <w:rFonts w:ascii="Arial" w:hAnsi="Arial" w:cs="Arial"/>
                <w:sz w:val="16"/>
                <w:szCs w:val="16"/>
              </w:rPr>
              <w:t>Forecasts</w:t>
            </w:r>
          </w:p>
        </w:tc>
      </w:tr>
      <w:tr w:rsidR="001F707C" w:rsidRPr="00EC4BA6" w14:paraId="5670120C" w14:textId="77777777" w:rsidTr="001F707C">
        <w:trPr>
          <w:trHeight w:hRule="exact" w:val="235"/>
        </w:trPr>
        <w:tc>
          <w:tcPr>
            <w:tcW w:w="2108" w:type="pct"/>
            <w:tcBorders>
              <w:top w:val="nil"/>
              <w:left w:val="nil"/>
              <w:bottom w:val="nil"/>
              <w:right w:val="nil"/>
            </w:tcBorders>
            <w:shd w:val="clear" w:color="000000" w:fill="FFFFFF"/>
            <w:noWrap/>
            <w:vAlign w:val="center"/>
            <w:hideMark/>
          </w:tcPr>
          <w:p w14:paraId="562FECFB" w14:textId="77777777" w:rsidR="001F707C" w:rsidRPr="00EC4BA6" w:rsidRDefault="001F707C" w:rsidP="001F707C">
            <w:pPr>
              <w:spacing w:before="0" w:after="0" w:line="240" w:lineRule="auto"/>
              <w:rPr>
                <w:rFonts w:ascii="Arial" w:hAnsi="Arial" w:cs="Arial"/>
                <w:sz w:val="16"/>
                <w:szCs w:val="16"/>
              </w:rPr>
            </w:pPr>
            <w:r w:rsidRPr="00EC4BA6">
              <w:rPr>
                <w:rFonts w:ascii="Arial" w:hAnsi="Arial" w:cs="Arial"/>
                <w:sz w:val="16"/>
                <w:szCs w:val="16"/>
              </w:rPr>
              <w:t> </w:t>
            </w:r>
          </w:p>
        </w:tc>
        <w:tc>
          <w:tcPr>
            <w:tcW w:w="459" w:type="pct"/>
            <w:tcBorders>
              <w:top w:val="single" w:sz="4" w:space="0" w:color="293F5B"/>
              <w:left w:val="nil"/>
              <w:bottom w:val="single" w:sz="4" w:space="0" w:color="293F5B"/>
              <w:right w:val="nil"/>
            </w:tcBorders>
            <w:shd w:val="clear" w:color="000000" w:fill="FFFFFF"/>
            <w:noWrap/>
            <w:vAlign w:val="bottom"/>
            <w:hideMark/>
          </w:tcPr>
          <w:p w14:paraId="07A32C22" w14:textId="7938911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2023</w:t>
            </w:r>
            <w:r w:rsidR="001A3DD6">
              <w:rPr>
                <w:rFonts w:ascii="Arial" w:hAnsi="Arial" w:cs="Arial"/>
                <w:sz w:val="16"/>
                <w:szCs w:val="16"/>
              </w:rPr>
              <w:noBreakHyphen/>
            </w:r>
            <w:r w:rsidRPr="00EC4BA6">
              <w:rPr>
                <w:rFonts w:ascii="Arial" w:hAnsi="Arial" w:cs="Arial"/>
                <w:sz w:val="16"/>
                <w:szCs w:val="16"/>
              </w:rPr>
              <w:t>24</w:t>
            </w:r>
          </w:p>
        </w:tc>
        <w:tc>
          <w:tcPr>
            <w:tcW w:w="85" w:type="pct"/>
            <w:tcBorders>
              <w:top w:val="single" w:sz="4" w:space="0" w:color="293F5B"/>
              <w:left w:val="nil"/>
              <w:bottom w:val="single" w:sz="4" w:space="0" w:color="293F5B"/>
              <w:right w:val="nil"/>
            </w:tcBorders>
            <w:shd w:val="clear" w:color="000000" w:fill="FFFFFF"/>
            <w:noWrap/>
            <w:vAlign w:val="center"/>
            <w:hideMark/>
          </w:tcPr>
          <w:p w14:paraId="19E0CAC1"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 </w:t>
            </w:r>
          </w:p>
        </w:tc>
        <w:tc>
          <w:tcPr>
            <w:tcW w:w="459" w:type="pct"/>
            <w:tcBorders>
              <w:top w:val="single" w:sz="4" w:space="0" w:color="293F5B"/>
              <w:left w:val="nil"/>
              <w:bottom w:val="single" w:sz="4" w:space="0" w:color="293F5B"/>
              <w:right w:val="nil"/>
            </w:tcBorders>
            <w:shd w:val="clear" w:color="000000" w:fill="E6F2FF"/>
            <w:noWrap/>
            <w:vAlign w:val="bottom"/>
            <w:hideMark/>
          </w:tcPr>
          <w:p w14:paraId="5FCEFCA4" w14:textId="019B15F9"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2024</w:t>
            </w:r>
            <w:r w:rsidR="001A3DD6">
              <w:rPr>
                <w:rFonts w:ascii="Arial" w:hAnsi="Arial" w:cs="Arial"/>
                <w:sz w:val="16"/>
                <w:szCs w:val="16"/>
              </w:rPr>
              <w:noBreakHyphen/>
            </w:r>
            <w:r w:rsidRPr="00EC4BA6">
              <w:rPr>
                <w:rFonts w:ascii="Arial" w:hAnsi="Arial" w:cs="Arial"/>
                <w:sz w:val="16"/>
                <w:szCs w:val="16"/>
              </w:rPr>
              <w:t>25</w:t>
            </w:r>
          </w:p>
        </w:tc>
        <w:tc>
          <w:tcPr>
            <w:tcW w:w="459" w:type="pct"/>
            <w:tcBorders>
              <w:top w:val="single" w:sz="4" w:space="0" w:color="293F5B"/>
              <w:left w:val="nil"/>
              <w:bottom w:val="single" w:sz="4" w:space="0" w:color="293F5B"/>
              <w:right w:val="nil"/>
            </w:tcBorders>
            <w:shd w:val="clear" w:color="000000" w:fill="E6F2FF"/>
            <w:noWrap/>
            <w:vAlign w:val="bottom"/>
            <w:hideMark/>
          </w:tcPr>
          <w:p w14:paraId="22BF1811" w14:textId="53716940"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2025</w:t>
            </w:r>
            <w:r w:rsidR="001A3DD6">
              <w:rPr>
                <w:rFonts w:ascii="Arial" w:hAnsi="Arial" w:cs="Arial"/>
                <w:sz w:val="16"/>
                <w:szCs w:val="16"/>
              </w:rPr>
              <w:noBreakHyphen/>
            </w:r>
            <w:r w:rsidRPr="00EC4BA6">
              <w:rPr>
                <w:rFonts w:ascii="Arial" w:hAnsi="Arial" w:cs="Arial"/>
                <w:sz w:val="16"/>
                <w:szCs w:val="16"/>
              </w:rPr>
              <w:t>26</w:t>
            </w:r>
          </w:p>
        </w:tc>
        <w:tc>
          <w:tcPr>
            <w:tcW w:w="459" w:type="pct"/>
            <w:tcBorders>
              <w:top w:val="single" w:sz="4" w:space="0" w:color="293F5B"/>
              <w:left w:val="nil"/>
              <w:bottom w:val="single" w:sz="4" w:space="0" w:color="293F5B"/>
              <w:right w:val="nil"/>
            </w:tcBorders>
            <w:shd w:val="clear" w:color="000000" w:fill="E6F2FF"/>
            <w:noWrap/>
            <w:vAlign w:val="bottom"/>
            <w:hideMark/>
          </w:tcPr>
          <w:p w14:paraId="180AFAA7" w14:textId="5BC48B14"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2026</w:t>
            </w:r>
            <w:r w:rsidR="001A3DD6">
              <w:rPr>
                <w:rFonts w:ascii="Arial" w:hAnsi="Arial" w:cs="Arial"/>
                <w:sz w:val="16"/>
                <w:szCs w:val="16"/>
              </w:rPr>
              <w:noBreakHyphen/>
            </w:r>
            <w:r w:rsidRPr="00EC4BA6">
              <w:rPr>
                <w:rFonts w:ascii="Arial" w:hAnsi="Arial" w:cs="Arial"/>
                <w:sz w:val="16"/>
                <w:szCs w:val="16"/>
              </w:rPr>
              <w:t>27</w:t>
            </w:r>
          </w:p>
        </w:tc>
        <w:tc>
          <w:tcPr>
            <w:tcW w:w="459" w:type="pct"/>
            <w:tcBorders>
              <w:top w:val="single" w:sz="4" w:space="0" w:color="293F5B"/>
              <w:left w:val="nil"/>
              <w:bottom w:val="single" w:sz="4" w:space="0" w:color="293F5B"/>
              <w:right w:val="nil"/>
            </w:tcBorders>
            <w:shd w:val="clear" w:color="000000" w:fill="E6F2FF"/>
            <w:noWrap/>
            <w:vAlign w:val="bottom"/>
            <w:hideMark/>
          </w:tcPr>
          <w:p w14:paraId="783E8E2A" w14:textId="29E433DB"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2027</w:t>
            </w:r>
            <w:r w:rsidR="001A3DD6">
              <w:rPr>
                <w:rFonts w:ascii="Arial" w:hAnsi="Arial" w:cs="Arial"/>
                <w:sz w:val="16"/>
                <w:szCs w:val="16"/>
              </w:rPr>
              <w:noBreakHyphen/>
            </w:r>
            <w:r w:rsidRPr="00EC4BA6">
              <w:rPr>
                <w:rFonts w:ascii="Arial" w:hAnsi="Arial" w:cs="Arial"/>
                <w:sz w:val="16"/>
                <w:szCs w:val="16"/>
              </w:rPr>
              <w:t>28</w:t>
            </w:r>
          </w:p>
        </w:tc>
        <w:tc>
          <w:tcPr>
            <w:tcW w:w="510" w:type="pct"/>
            <w:tcBorders>
              <w:top w:val="single" w:sz="4" w:space="0" w:color="293F5B"/>
              <w:left w:val="nil"/>
              <w:bottom w:val="single" w:sz="4" w:space="0" w:color="293F5B"/>
              <w:right w:val="nil"/>
            </w:tcBorders>
            <w:shd w:val="clear" w:color="000000" w:fill="E6F2FF"/>
            <w:noWrap/>
            <w:vAlign w:val="bottom"/>
            <w:hideMark/>
          </w:tcPr>
          <w:p w14:paraId="12E0D5A0" w14:textId="2D3E80D9"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2028</w:t>
            </w:r>
            <w:r w:rsidR="001A3DD6">
              <w:rPr>
                <w:rFonts w:ascii="Arial" w:hAnsi="Arial" w:cs="Arial"/>
                <w:sz w:val="16"/>
                <w:szCs w:val="16"/>
              </w:rPr>
              <w:noBreakHyphen/>
            </w:r>
            <w:r w:rsidRPr="00EC4BA6">
              <w:rPr>
                <w:rFonts w:ascii="Arial" w:hAnsi="Arial" w:cs="Arial"/>
                <w:sz w:val="16"/>
                <w:szCs w:val="16"/>
              </w:rPr>
              <w:t>29</w:t>
            </w:r>
          </w:p>
        </w:tc>
      </w:tr>
      <w:tr w:rsidR="001F707C" w:rsidRPr="00EC4BA6" w14:paraId="3B1DA3D1" w14:textId="77777777" w:rsidTr="001F707C">
        <w:trPr>
          <w:trHeight w:hRule="exact" w:val="70"/>
        </w:trPr>
        <w:tc>
          <w:tcPr>
            <w:tcW w:w="2108" w:type="pct"/>
            <w:tcBorders>
              <w:top w:val="nil"/>
              <w:left w:val="nil"/>
              <w:bottom w:val="nil"/>
              <w:right w:val="nil"/>
            </w:tcBorders>
            <w:shd w:val="clear" w:color="000000" w:fill="FFFFFF"/>
            <w:noWrap/>
            <w:vAlign w:val="center"/>
            <w:hideMark/>
          </w:tcPr>
          <w:p w14:paraId="247135AC" w14:textId="77777777" w:rsidR="001F707C" w:rsidRPr="00EC4BA6" w:rsidRDefault="001F707C" w:rsidP="001F707C">
            <w:pPr>
              <w:spacing w:before="0" w:after="0" w:line="240" w:lineRule="auto"/>
              <w:rPr>
                <w:rFonts w:ascii="Arial" w:hAnsi="Arial" w:cs="Arial"/>
                <w:sz w:val="16"/>
                <w:szCs w:val="16"/>
              </w:rPr>
            </w:pPr>
            <w:r w:rsidRPr="00EC4BA6">
              <w:rPr>
                <w:rFonts w:ascii="Arial" w:hAnsi="Arial" w:cs="Arial"/>
                <w:sz w:val="16"/>
                <w:szCs w:val="16"/>
              </w:rPr>
              <w:t> </w:t>
            </w:r>
          </w:p>
        </w:tc>
        <w:tc>
          <w:tcPr>
            <w:tcW w:w="459" w:type="pct"/>
            <w:tcBorders>
              <w:top w:val="nil"/>
              <w:left w:val="nil"/>
              <w:bottom w:val="nil"/>
              <w:right w:val="nil"/>
            </w:tcBorders>
            <w:shd w:val="clear" w:color="000000" w:fill="FFFFFF"/>
            <w:noWrap/>
            <w:vAlign w:val="center"/>
            <w:hideMark/>
          </w:tcPr>
          <w:p w14:paraId="2624BCC3" w14:textId="77777777" w:rsidR="001F707C" w:rsidRPr="00EC4BA6" w:rsidRDefault="001F707C" w:rsidP="001F707C">
            <w:pPr>
              <w:spacing w:before="0" w:after="0" w:line="240" w:lineRule="auto"/>
              <w:rPr>
                <w:rFonts w:ascii="Arial" w:hAnsi="Arial" w:cs="Arial"/>
                <w:sz w:val="16"/>
                <w:szCs w:val="16"/>
              </w:rPr>
            </w:pPr>
            <w:r w:rsidRPr="00EC4BA6">
              <w:rPr>
                <w:rFonts w:ascii="Arial" w:hAnsi="Arial" w:cs="Arial"/>
                <w:sz w:val="16"/>
                <w:szCs w:val="16"/>
              </w:rPr>
              <w:t> </w:t>
            </w:r>
          </w:p>
        </w:tc>
        <w:tc>
          <w:tcPr>
            <w:tcW w:w="85" w:type="pct"/>
            <w:tcBorders>
              <w:top w:val="nil"/>
              <w:left w:val="nil"/>
              <w:bottom w:val="nil"/>
              <w:right w:val="nil"/>
            </w:tcBorders>
            <w:shd w:val="clear" w:color="000000" w:fill="FFFFFF"/>
            <w:noWrap/>
            <w:vAlign w:val="center"/>
            <w:hideMark/>
          </w:tcPr>
          <w:p w14:paraId="6A6A3DEF" w14:textId="77777777" w:rsidR="001F707C" w:rsidRPr="00EC4BA6" w:rsidRDefault="001F707C" w:rsidP="001F707C">
            <w:pPr>
              <w:spacing w:before="0" w:after="0" w:line="240" w:lineRule="auto"/>
              <w:rPr>
                <w:rFonts w:ascii="Arial" w:hAnsi="Arial" w:cs="Arial"/>
                <w:sz w:val="16"/>
                <w:szCs w:val="16"/>
              </w:rPr>
            </w:pPr>
            <w:r w:rsidRPr="00EC4BA6">
              <w:rPr>
                <w:rFonts w:ascii="Arial" w:hAnsi="Arial" w:cs="Arial"/>
                <w:sz w:val="16"/>
                <w:szCs w:val="16"/>
              </w:rPr>
              <w:t> </w:t>
            </w:r>
          </w:p>
        </w:tc>
        <w:tc>
          <w:tcPr>
            <w:tcW w:w="459" w:type="pct"/>
            <w:tcBorders>
              <w:top w:val="nil"/>
              <w:left w:val="nil"/>
              <w:bottom w:val="nil"/>
              <w:right w:val="nil"/>
            </w:tcBorders>
            <w:shd w:val="clear" w:color="000000" w:fill="E6F2FF"/>
            <w:noWrap/>
            <w:vAlign w:val="center"/>
            <w:hideMark/>
          </w:tcPr>
          <w:p w14:paraId="08D6E367" w14:textId="77777777" w:rsidR="001F707C" w:rsidRPr="00EC4BA6" w:rsidRDefault="001F707C" w:rsidP="001F707C">
            <w:pPr>
              <w:spacing w:before="0" w:after="0" w:line="240" w:lineRule="auto"/>
              <w:rPr>
                <w:rFonts w:ascii="Arial" w:hAnsi="Arial" w:cs="Arial"/>
                <w:sz w:val="16"/>
                <w:szCs w:val="16"/>
              </w:rPr>
            </w:pPr>
            <w:r w:rsidRPr="00EC4BA6">
              <w:rPr>
                <w:rFonts w:ascii="Arial" w:hAnsi="Arial" w:cs="Arial"/>
                <w:sz w:val="16"/>
                <w:szCs w:val="16"/>
              </w:rPr>
              <w:t> </w:t>
            </w:r>
          </w:p>
        </w:tc>
        <w:tc>
          <w:tcPr>
            <w:tcW w:w="459" w:type="pct"/>
            <w:tcBorders>
              <w:top w:val="nil"/>
              <w:left w:val="nil"/>
              <w:bottom w:val="nil"/>
              <w:right w:val="nil"/>
            </w:tcBorders>
            <w:shd w:val="clear" w:color="000000" w:fill="E6F2FF"/>
            <w:noWrap/>
            <w:vAlign w:val="center"/>
            <w:hideMark/>
          </w:tcPr>
          <w:p w14:paraId="36DE9746" w14:textId="77777777" w:rsidR="001F707C" w:rsidRPr="00EC4BA6" w:rsidRDefault="001F707C" w:rsidP="001F707C">
            <w:pPr>
              <w:spacing w:before="0" w:after="0" w:line="240" w:lineRule="auto"/>
              <w:rPr>
                <w:rFonts w:ascii="Arial" w:hAnsi="Arial" w:cs="Arial"/>
                <w:sz w:val="16"/>
                <w:szCs w:val="16"/>
              </w:rPr>
            </w:pPr>
            <w:r w:rsidRPr="00EC4BA6">
              <w:rPr>
                <w:rFonts w:ascii="Arial" w:hAnsi="Arial" w:cs="Arial"/>
                <w:sz w:val="16"/>
                <w:szCs w:val="16"/>
              </w:rPr>
              <w:t> </w:t>
            </w:r>
          </w:p>
        </w:tc>
        <w:tc>
          <w:tcPr>
            <w:tcW w:w="459" w:type="pct"/>
            <w:tcBorders>
              <w:top w:val="nil"/>
              <w:left w:val="nil"/>
              <w:bottom w:val="nil"/>
              <w:right w:val="nil"/>
            </w:tcBorders>
            <w:shd w:val="clear" w:color="000000" w:fill="E6F2FF"/>
            <w:noWrap/>
            <w:vAlign w:val="center"/>
            <w:hideMark/>
          </w:tcPr>
          <w:p w14:paraId="145E1C65" w14:textId="77777777" w:rsidR="001F707C" w:rsidRPr="00EC4BA6" w:rsidRDefault="001F707C" w:rsidP="001F707C">
            <w:pPr>
              <w:spacing w:before="0" w:after="0" w:line="240" w:lineRule="auto"/>
              <w:rPr>
                <w:rFonts w:ascii="Arial" w:hAnsi="Arial" w:cs="Arial"/>
                <w:sz w:val="16"/>
                <w:szCs w:val="16"/>
              </w:rPr>
            </w:pPr>
            <w:r w:rsidRPr="00EC4BA6">
              <w:rPr>
                <w:rFonts w:ascii="Arial" w:hAnsi="Arial" w:cs="Arial"/>
                <w:sz w:val="16"/>
                <w:szCs w:val="16"/>
              </w:rPr>
              <w:t> </w:t>
            </w:r>
          </w:p>
        </w:tc>
        <w:tc>
          <w:tcPr>
            <w:tcW w:w="459" w:type="pct"/>
            <w:tcBorders>
              <w:top w:val="nil"/>
              <w:left w:val="nil"/>
              <w:bottom w:val="nil"/>
              <w:right w:val="nil"/>
            </w:tcBorders>
            <w:shd w:val="clear" w:color="000000" w:fill="E6F2FF"/>
            <w:noWrap/>
            <w:vAlign w:val="center"/>
            <w:hideMark/>
          </w:tcPr>
          <w:p w14:paraId="7973F880" w14:textId="77777777" w:rsidR="001F707C" w:rsidRPr="00EC4BA6" w:rsidRDefault="001F707C" w:rsidP="001F707C">
            <w:pPr>
              <w:spacing w:before="0" w:after="0" w:line="240" w:lineRule="auto"/>
              <w:rPr>
                <w:rFonts w:ascii="Arial" w:hAnsi="Arial" w:cs="Arial"/>
                <w:sz w:val="16"/>
                <w:szCs w:val="16"/>
              </w:rPr>
            </w:pPr>
            <w:r w:rsidRPr="00EC4BA6">
              <w:rPr>
                <w:rFonts w:ascii="Arial" w:hAnsi="Arial" w:cs="Arial"/>
                <w:sz w:val="16"/>
                <w:szCs w:val="16"/>
              </w:rPr>
              <w:t> </w:t>
            </w:r>
          </w:p>
        </w:tc>
        <w:tc>
          <w:tcPr>
            <w:tcW w:w="510" w:type="pct"/>
            <w:tcBorders>
              <w:top w:val="nil"/>
              <w:left w:val="nil"/>
              <w:bottom w:val="nil"/>
              <w:right w:val="nil"/>
            </w:tcBorders>
            <w:shd w:val="clear" w:color="000000" w:fill="E6F2FF"/>
            <w:noWrap/>
            <w:vAlign w:val="center"/>
            <w:hideMark/>
          </w:tcPr>
          <w:p w14:paraId="71112DF9" w14:textId="77777777" w:rsidR="001F707C" w:rsidRPr="00EC4BA6" w:rsidRDefault="001F707C" w:rsidP="001F707C">
            <w:pPr>
              <w:spacing w:before="0" w:after="0" w:line="240" w:lineRule="auto"/>
              <w:rPr>
                <w:rFonts w:ascii="Arial" w:hAnsi="Arial" w:cs="Arial"/>
                <w:sz w:val="16"/>
                <w:szCs w:val="16"/>
              </w:rPr>
            </w:pPr>
            <w:r w:rsidRPr="00EC4BA6">
              <w:rPr>
                <w:rFonts w:ascii="Arial" w:hAnsi="Arial" w:cs="Arial"/>
                <w:sz w:val="16"/>
                <w:szCs w:val="16"/>
              </w:rPr>
              <w:t> </w:t>
            </w:r>
          </w:p>
        </w:tc>
      </w:tr>
      <w:tr w:rsidR="001F707C" w:rsidRPr="00EC4BA6" w14:paraId="46245FD1" w14:textId="77777777" w:rsidTr="001F707C">
        <w:trPr>
          <w:trHeight w:hRule="exact" w:val="235"/>
        </w:trPr>
        <w:tc>
          <w:tcPr>
            <w:tcW w:w="2108" w:type="pct"/>
            <w:tcBorders>
              <w:top w:val="nil"/>
              <w:left w:val="nil"/>
              <w:bottom w:val="nil"/>
              <w:right w:val="nil"/>
            </w:tcBorders>
            <w:shd w:val="clear" w:color="000000" w:fill="FFFFFF"/>
            <w:noWrap/>
            <w:vAlign w:val="center"/>
            <w:hideMark/>
          </w:tcPr>
          <w:p w14:paraId="7B22543A" w14:textId="77777777" w:rsidR="001F707C" w:rsidRPr="00EC4BA6" w:rsidRDefault="001F707C" w:rsidP="001F707C">
            <w:pPr>
              <w:spacing w:before="0" w:after="0" w:line="240" w:lineRule="auto"/>
              <w:rPr>
                <w:rFonts w:ascii="Arial" w:hAnsi="Arial" w:cs="Arial"/>
                <w:b/>
                <w:sz w:val="16"/>
                <w:szCs w:val="16"/>
              </w:rPr>
            </w:pPr>
            <w:r w:rsidRPr="00EC4BA6">
              <w:rPr>
                <w:rFonts w:ascii="Arial" w:hAnsi="Arial" w:cs="Arial"/>
                <w:b/>
                <w:sz w:val="16"/>
                <w:szCs w:val="16"/>
              </w:rPr>
              <w:t xml:space="preserve">Revenue parameters </w:t>
            </w:r>
          </w:p>
        </w:tc>
        <w:tc>
          <w:tcPr>
            <w:tcW w:w="459" w:type="pct"/>
            <w:tcBorders>
              <w:top w:val="nil"/>
              <w:left w:val="nil"/>
              <w:bottom w:val="nil"/>
              <w:right w:val="nil"/>
            </w:tcBorders>
            <w:shd w:val="clear" w:color="000000" w:fill="FFFFFF"/>
            <w:noWrap/>
            <w:vAlign w:val="center"/>
            <w:hideMark/>
          </w:tcPr>
          <w:p w14:paraId="6F0623F6" w14:textId="77777777" w:rsidR="001F707C" w:rsidRPr="00EC4BA6" w:rsidRDefault="001F707C" w:rsidP="001F707C">
            <w:pPr>
              <w:spacing w:before="0" w:after="0" w:line="240" w:lineRule="auto"/>
              <w:rPr>
                <w:rFonts w:ascii="Arial" w:hAnsi="Arial" w:cs="Arial"/>
                <w:sz w:val="16"/>
                <w:szCs w:val="16"/>
              </w:rPr>
            </w:pPr>
            <w:r w:rsidRPr="00EC4BA6">
              <w:rPr>
                <w:rFonts w:ascii="Arial" w:hAnsi="Arial" w:cs="Arial"/>
                <w:sz w:val="16"/>
                <w:szCs w:val="16"/>
              </w:rPr>
              <w:t> </w:t>
            </w:r>
          </w:p>
        </w:tc>
        <w:tc>
          <w:tcPr>
            <w:tcW w:w="85" w:type="pct"/>
            <w:tcBorders>
              <w:top w:val="nil"/>
              <w:left w:val="nil"/>
              <w:bottom w:val="nil"/>
              <w:right w:val="nil"/>
            </w:tcBorders>
            <w:shd w:val="clear" w:color="000000" w:fill="FFFFFF"/>
            <w:noWrap/>
            <w:vAlign w:val="center"/>
            <w:hideMark/>
          </w:tcPr>
          <w:p w14:paraId="599E8DF9" w14:textId="77777777" w:rsidR="001F707C" w:rsidRPr="00EC4BA6" w:rsidRDefault="001F707C" w:rsidP="001F707C">
            <w:pPr>
              <w:spacing w:before="0" w:after="0" w:line="240" w:lineRule="auto"/>
              <w:rPr>
                <w:rFonts w:ascii="Arial" w:hAnsi="Arial" w:cs="Arial"/>
                <w:sz w:val="16"/>
                <w:szCs w:val="16"/>
              </w:rPr>
            </w:pPr>
            <w:r w:rsidRPr="00EC4BA6">
              <w:rPr>
                <w:rFonts w:ascii="Arial" w:hAnsi="Arial" w:cs="Arial"/>
                <w:sz w:val="16"/>
                <w:szCs w:val="16"/>
              </w:rPr>
              <w:t> </w:t>
            </w:r>
          </w:p>
        </w:tc>
        <w:tc>
          <w:tcPr>
            <w:tcW w:w="459" w:type="pct"/>
            <w:tcBorders>
              <w:top w:val="nil"/>
              <w:left w:val="nil"/>
              <w:bottom w:val="nil"/>
              <w:right w:val="nil"/>
            </w:tcBorders>
            <w:shd w:val="clear" w:color="000000" w:fill="E6F2FF"/>
            <w:noWrap/>
            <w:vAlign w:val="center"/>
            <w:hideMark/>
          </w:tcPr>
          <w:p w14:paraId="32B9822B" w14:textId="77777777" w:rsidR="001F707C" w:rsidRPr="00EC4BA6" w:rsidRDefault="001F707C" w:rsidP="001F707C">
            <w:pPr>
              <w:spacing w:before="0" w:after="0" w:line="240" w:lineRule="auto"/>
              <w:rPr>
                <w:rFonts w:ascii="Arial" w:hAnsi="Arial" w:cs="Arial"/>
                <w:sz w:val="16"/>
                <w:szCs w:val="16"/>
              </w:rPr>
            </w:pPr>
            <w:r w:rsidRPr="00EC4BA6">
              <w:rPr>
                <w:rFonts w:ascii="Arial" w:hAnsi="Arial" w:cs="Arial"/>
                <w:sz w:val="16"/>
                <w:szCs w:val="16"/>
              </w:rPr>
              <w:t> </w:t>
            </w:r>
          </w:p>
        </w:tc>
        <w:tc>
          <w:tcPr>
            <w:tcW w:w="459" w:type="pct"/>
            <w:tcBorders>
              <w:top w:val="nil"/>
              <w:left w:val="nil"/>
              <w:bottom w:val="nil"/>
              <w:right w:val="nil"/>
            </w:tcBorders>
            <w:shd w:val="clear" w:color="000000" w:fill="E6F2FF"/>
            <w:noWrap/>
            <w:vAlign w:val="center"/>
            <w:hideMark/>
          </w:tcPr>
          <w:p w14:paraId="11C37701" w14:textId="77777777" w:rsidR="001F707C" w:rsidRPr="00EC4BA6" w:rsidRDefault="001F707C" w:rsidP="001F707C">
            <w:pPr>
              <w:spacing w:before="0" w:after="0" w:line="240" w:lineRule="auto"/>
              <w:rPr>
                <w:rFonts w:ascii="Arial" w:hAnsi="Arial" w:cs="Arial"/>
                <w:sz w:val="16"/>
                <w:szCs w:val="16"/>
              </w:rPr>
            </w:pPr>
            <w:r w:rsidRPr="00EC4BA6">
              <w:rPr>
                <w:rFonts w:ascii="Arial" w:hAnsi="Arial" w:cs="Arial"/>
                <w:sz w:val="16"/>
                <w:szCs w:val="16"/>
              </w:rPr>
              <w:t> </w:t>
            </w:r>
          </w:p>
        </w:tc>
        <w:tc>
          <w:tcPr>
            <w:tcW w:w="459" w:type="pct"/>
            <w:tcBorders>
              <w:top w:val="nil"/>
              <w:left w:val="nil"/>
              <w:bottom w:val="nil"/>
              <w:right w:val="nil"/>
            </w:tcBorders>
            <w:shd w:val="clear" w:color="000000" w:fill="E6F2FF"/>
            <w:noWrap/>
            <w:vAlign w:val="center"/>
            <w:hideMark/>
          </w:tcPr>
          <w:p w14:paraId="12B90A81" w14:textId="77777777" w:rsidR="001F707C" w:rsidRPr="00EC4BA6" w:rsidRDefault="001F707C" w:rsidP="001F707C">
            <w:pPr>
              <w:spacing w:before="0" w:after="0" w:line="240" w:lineRule="auto"/>
              <w:rPr>
                <w:rFonts w:ascii="Arial" w:hAnsi="Arial" w:cs="Arial"/>
                <w:sz w:val="16"/>
                <w:szCs w:val="16"/>
              </w:rPr>
            </w:pPr>
            <w:r w:rsidRPr="00EC4BA6">
              <w:rPr>
                <w:rFonts w:ascii="Arial" w:hAnsi="Arial" w:cs="Arial"/>
                <w:sz w:val="16"/>
                <w:szCs w:val="16"/>
              </w:rPr>
              <w:t> </w:t>
            </w:r>
          </w:p>
        </w:tc>
        <w:tc>
          <w:tcPr>
            <w:tcW w:w="459" w:type="pct"/>
            <w:tcBorders>
              <w:top w:val="nil"/>
              <w:left w:val="nil"/>
              <w:bottom w:val="nil"/>
              <w:right w:val="nil"/>
            </w:tcBorders>
            <w:shd w:val="clear" w:color="000000" w:fill="E6F2FF"/>
            <w:noWrap/>
            <w:vAlign w:val="center"/>
            <w:hideMark/>
          </w:tcPr>
          <w:p w14:paraId="5FD49F9F" w14:textId="77777777" w:rsidR="001F707C" w:rsidRPr="00EC4BA6" w:rsidRDefault="001F707C" w:rsidP="001F707C">
            <w:pPr>
              <w:spacing w:before="0" w:after="0" w:line="240" w:lineRule="auto"/>
              <w:rPr>
                <w:rFonts w:ascii="Arial" w:hAnsi="Arial" w:cs="Arial"/>
                <w:sz w:val="16"/>
                <w:szCs w:val="16"/>
              </w:rPr>
            </w:pPr>
            <w:r w:rsidRPr="00EC4BA6">
              <w:rPr>
                <w:rFonts w:ascii="Arial" w:hAnsi="Arial" w:cs="Arial"/>
                <w:sz w:val="16"/>
                <w:szCs w:val="16"/>
              </w:rPr>
              <w:t> </w:t>
            </w:r>
          </w:p>
        </w:tc>
        <w:tc>
          <w:tcPr>
            <w:tcW w:w="510" w:type="pct"/>
            <w:tcBorders>
              <w:top w:val="nil"/>
              <w:left w:val="nil"/>
              <w:bottom w:val="nil"/>
              <w:right w:val="nil"/>
            </w:tcBorders>
            <w:shd w:val="clear" w:color="000000" w:fill="E6F2FF"/>
            <w:noWrap/>
            <w:vAlign w:val="center"/>
            <w:hideMark/>
          </w:tcPr>
          <w:p w14:paraId="7AFC8FC5" w14:textId="77777777" w:rsidR="001F707C" w:rsidRPr="00EC4BA6" w:rsidRDefault="001F707C" w:rsidP="001F707C">
            <w:pPr>
              <w:spacing w:before="0" w:after="0" w:line="240" w:lineRule="auto"/>
              <w:rPr>
                <w:rFonts w:ascii="Arial" w:hAnsi="Arial" w:cs="Arial"/>
                <w:sz w:val="16"/>
                <w:szCs w:val="16"/>
              </w:rPr>
            </w:pPr>
            <w:r w:rsidRPr="00EC4BA6">
              <w:rPr>
                <w:rFonts w:ascii="Arial" w:hAnsi="Arial" w:cs="Arial"/>
                <w:sz w:val="16"/>
                <w:szCs w:val="16"/>
              </w:rPr>
              <w:t> </w:t>
            </w:r>
          </w:p>
        </w:tc>
      </w:tr>
      <w:tr w:rsidR="001F707C" w:rsidRPr="00EC4BA6" w14:paraId="2A66508E" w14:textId="77777777" w:rsidTr="001F707C">
        <w:trPr>
          <w:trHeight w:hRule="exact" w:val="225"/>
        </w:trPr>
        <w:tc>
          <w:tcPr>
            <w:tcW w:w="2108" w:type="pct"/>
            <w:tcBorders>
              <w:top w:val="nil"/>
              <w:left w:val="nil"/>
              <w:bottom w:val="nil"/>
              <w:right w:val="nil"/>
            </w:tcBorders>
            <w:shd w:val="clear" w:color="000000" w:fill="FFFFFF"/>
            <w:noWrap/>
            <w:vAlign w:val="center"/>
            <w:hideMark/>
          </w:tcPr>
          <w:p w14:paraId="7C7CBA73" w14:textId="77777777" w:rsidR="001F707C" w:rsidRPr="00EC4BA6" w:rsidRDefault="001F707C" w:rsidP="001F707C">
            <w:pPr>
              <w:spacing w:before="0" w:after="0" w:line="240" w:lineRule="auto"/>
              <w:ind w:left="170"/>
              <w:rPr>
                <w:rFonts w:ascii="Arial" w:hAnsi="Arial" w:cs="Arial"/>
                <w:sz w:val="16"/>
                <w:szCs w:val="16"/>
              </w:rPr>
            </w:pPr>
            <w:r w:rsidRPr="00EC4BA6">
              <w:rPr>
                <w:rFonts w:ascii="Arial" w:hAnsi="Arial" w:cs="Arial"/>
                <w:sz w:val="16"/>
                <w:szCs w:val="16"/>
              </w:rPr>
              <w:t>Nominal gross domestic product</w:t>
            </w:r>
          </w:p>
        </w:tc>
        <w:tc>
          <w:tcPr>
            <w:tcW w:w="459" w:type="pct"/>
            <w:tcBorders>
              <w:top w:val="nil"/>
              <w:left w:val="nil"/>
              <w:bottom w:val="nil"/>
              <w:right w:val="nil"/>
            </w:tcBorders>
            <w:shd w:val="clear" w:color="000000" w:fill="FFFFFF"/>
            <w:noWrap/>
            <w:vAlign w:val="center"/>
            <w:hideMark/>
          </w:tcPr>
          <w:p w14:paraId="5809D2B3"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4.1</w:t>
            </w:r>
          </w:p>
        </w:tc>
        <w:tc>
          <w:tcPr>
            <w:tcW w:w="85" w:type="pct"/>
            <w:tcBorders>
              <w:top w:val="nil"/>
              <w:left w:val="nil"/>
              <w:bottom w:val="nil"/>
              <w:right w:val="nil"/>
            </w:tcBorders>
            <w:shd w:val="clear" w:color="000000" w:fill="FFFFFF"/>
            <w:noWrap/>
            <w:vAlign w:val="center"/>
            <w:hideMark/>
          </w:tcPr>
          <w:p w14:paraId="0BE4FFDC"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 </w:t>
            </w:r>
          </w:p>
        </w:tc>
        <w:tc>
          <w:tcPr>
            <w:tcW w:w="459" w:type="pct"/>
            <w:tcBorders>
              <w:top w:val="nil"/>
              <w:left w:val="nil"/>
              <w:bottom w:val="nil"/>
              <w:right w:val="nil"/>
            </w:tcBorders>
            <w:shd w:val="clear" w:color="000000" w:fill="E6F2FF"/>
            <w:vAlign w:val="center"/>
            <w:hideMark/>
          </w:tcPr>
          <w:p w14:paraId="6B3864CD"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4 1/4</w:t>
            </w:r>
          </w:p>
        </w:tc>
        <w:tc>
          <w:tcPr>
            <w:tcW w:w="459" w:type="pct"/>
            <w:tcBorders>
              <w:top w:val="nil"/>
              <w:left w:val="nil"/>
              <w:bottom w:val="nil"/>
              <w:right w:val="nil"/>
            </w:tcBorders>
            <w:shd w:val="clear" w:color="000000" w:fill="E6F2FF"/>
            <w:vAlign w:val="center"/>
            <w:hideMark/>
          </w:tcPr>
          <w:p w14:paraId="6D7FEA0E"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3 1/4</w:t>
            </w:r>
          </w:p>
        </w:tc>
        <w:tc>
          <w:tcPr>
            <w:tcW w:w="459" w:type="pct"/>
            <w:tcBorders>
              <w:top w:val="nil"/>
              <w:left w:val="nil"/>
              <w:bottom w:val="nil"/>
              <w:right w:val="nil"/>
            </w:tcBorders>
            <w:shd w:val="clear" w:color="000000" w:fill="E6F2FF"/>
            <w:vAlign w:val="center"/>
            <w:hideMark/>
          </w:tcPr>
          <w:p w14:paraId="5F431657"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4</w:t>
            </w:r>
          </w:p>
        </w:tc>
        <w:tc>
          <w:tcPr>
            <w:tcW w:w="459" w:type="pct"/>
            <w:tcBorders>
              <w:top w:val="nil"/>
              <w:left w:val="nil"/>
              <w:bottom w:val="nil"/>
              <w:right w:val="nil"/>
            </w:tcBorders>
            <w:shd w:val="clear" w:color="000000" w:fill="E6F2FF"/>
            <w:vAlign w:val="center"/>
            <w:hideMark/>
          </w:tcPr>
          <w:p w14:paraId="2BBD002B"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5 1/4</w:t>
            </w:r>
          </w:p>
        </w:tc>
        <w:tc>
          <w:tcPr>
            <w:tcW w:w="510" w:type="pct"/>
            <w:tcBorders>
              <w:top w:val="nil"/>
              <w:left w:val="nil"/>
              <w:bottom w:val="nil"/>
              <w:right w:val="nil"/>
            </w:tcBorders>
            <w:shd w:val="clear" w:color="000000" w:fill="E6F2FF"/>
            <w:vAlign w:val="center"/>
            <w:hideMark/>
          </w:tcPr>
          <w:p w14:paraId="0CBC2F11"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5 1/2</w:t>
            </w:r>
          </w:p>
        </w:tc>
      </w:tr>
      <w:tr w:rsidR="001F707C" w:rsidRPr="00EC4BA6" w14:paraId="656990AA" w14:textId="77777777" w:rsidTr="001F707C">
        <w:trPr>
          <w:trHeight w:hRule="exact" w:val="235"/>
        </w:trPr>
        <w:tc>
          <w:tcPr>
            <w:tcW w:w="2108" w:type="pct"/>
            <w:tcBorders>
              <w:top w:val="nil"/>
              <w:left w:val="nil"/>
              <w:bottom w:val="nil"/>
              <w:right w:val="nil"/>
            </w:tcBorders>
            <w:shd w:val="clear" w:color="000000" w:fill="FFFFFF"/>
            <w:noWrap/>
            <w:vAlign w:val="center"/>
            <w:hideMark/>
          </w:tcPr>
          <w:p w14:paraId="322D25F6" w14:textId="5FCF4DAC" w:rsidR="001F707C" w:rsidRPr="00EC4BA6" w:rsidRDefault="001F707C" w:rsidP="001F707C">
            <w:pPr>
              <w:spacing w:before="0" w:after="0" w:line="240" w:lineRule="auto"/>
              <w:ind w:left="340"/>
              <w:rPr>
                <w:rFonts w:ascii="Arial" w:hAnsi="Arial" w:cs="Arial"/>
                <w:sz w:val="16"/>
                <w:szCs w:val="16"/>
              </w:rPr>
            </w:pPr>
            <w:r w:rsidRPr="00EC4BA6">
              <w:rPr>
                <w:rFonts w:ascii="Arial" w:hAnsi="Arial" w:cs="Arial"/>
                <w:sz w:val="16"/>
                <w:szCs w:val="16"/>
              </w:rPr>
              <w:t>Change since 2024</w:t>
            </w:r>
            <w:r w:rsidR="001A3DD6">
              <w:rPr>
                <w:rFonts w:ascii="Arial" w:hAnsi="Arial" w:cs="Arial"/>
                <w:sz w:val="16"/>
                <w:szCs w:val="16"/>
              </w:rPr>
              <w:noBreakHyphen/>
            </w:r>
            <w:r w:rsidRPr="00EC4BA6">
              <w:rPr>
                <w:rFonts w:ascii="Arial" w:hAnsi="Arial" w:cs="Arial"/>
                <w:sz w:val="16"/>
                <w:szCs w:val="16"/>
              </w:rPr>
              <w:t>25 MYEFO</w:t>
            </w:r>
          </w:p>
        </w:tc>
        <w:tc>
          <w:tcPr>
            <w:tcW w:w="459" w:type="pct"/>
            <w:tcBorders>
              <w:top w:val="nil"/>
              <w:left w:val="nil"/>
              <w:bottom w:val="nil"/>
              <w:right w:val="nil"/>
            </w:tcBorders>
            <w:shd w:val="clear" w:color="000000" w:fill="FFFFFF"/>
            <w:noWrap/>
            <w:vAlign w:val="center"/>
            <w:hideMark/>
          </w:tcPr>
          <w:p w14:paraId="0916280F"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 </w:t>
            </w:r>
          </w:p>
        </w:tc>
        <w:tc>
          <w:tcPr>
            <w:tcW w:w="85" w:type="pct"/>
            <w:tcBorders>
              <w:top w:val="nil"/>
              <w:left w:val="nil"/>
              <w:bottom w:val="nil"/>
              <w:right w:val="nil"/>
            </w:tcBorders>
            <w:shd w:val="clear" w:color="000000" w:fill="FFFFFF"/>
            <w:noWrap/>
            <w:vAlign w:val="center"/>
            <w:hideMark/>
          </w:tcPr>
          <w:p w14:paraId="320B8B30"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 </w:t>
            </w:r>
          </w:p>
        </w:tc>
        <w:tc>
          <w:tcPr>
            <w:tcW w:w="459" w:type="pct"/>
            <w:tcBorders>
              <w:top w:val="nil"/>
              <w:left w:val="nil"/>
              <w:bottom w:val="nil"/>
              <w:right w:val="nil"/>
            </w:tcBorders>
            <w:shd w:val="clear" w:color="000000" w:fill="E6F2FF"/>
            <w:vAlign w:val="center"/>
            <w:hideMark/>
          </w:tcPr>
          <w:p w14:paraId="7FE76BB4" w14:textId="77777777" w:rsidR="001F707C" w:rsidRPr="00EC4BA6" w:rsidRDefault="001F707C" w:rsidP="001F707C">
            <w:pPr>
              <w:spacing w:before="0" w:after="0" w:line="240" w:lineRule="auto"/>
              <w:jc w:val="right"/>
              <w:rPr>
                <w:rFonts w:ascii="Arial" w:hAnsi="Arial" w:cs="Arial"/>
                <w:i/>
                <w:sz w:val="16"/>
                <w:szCs w:val="16"/>
              </w:rPr>
            </w:pPr>
            <w:r w:rsidRPr="00EC4BA6">
              <w:rPr>
                <w:rFonts w:ascii="Arial" w:hAnsi="Arial" w:cs="Arial"/>
                <w:i/>
                <w:sz w:val="16"/>
                <w:szCs w:val="16"/>
              </w:rPr>
              <w:t xml:space="preserve">1    </w:t>
            </w:r>
          </w:p>
        </w:tc>
        <w:tc>
          <w:tcPr>
            <w:tcW w:w="459" w:type="pct"/>
            <w:tcBorders>
              <w:top w:val="nil"/>
              <w:left w:val="nil"/>
              <w:bottom w:val="nil"/>
              <w:right w:val="nil"/>
            </w:tcBorders>
            <w:shd w:val="clear" w:color="000000" w:fill="E6F2FF"/>
            <w:vAlign w:val="center"/>
            <w:hideMark/>
          </w:tcPr>
          <w:p w14:paraId="6C1BCC3A" w14:textId="718B5CA0" w:rsidR="001F707C" w:rsidRPr="00EC4BA6" w:rsidRDefault="001A3DD6" w:rsidP="001F707C">
            <w:pPr>
              <w:spacing w:before="0" w:after="0" w:line="240" w:lineRule="auto"/>
              <w:jc w:val="right"/>
              <w:rPr>
                <w:rFonts w:ascii="Arial" w:hAnsi="Arial" w:cs="Arial"/>
                <w:i/>
                <w:sz w:val="16"/>
                <w:szCs w:val="16"/>
              </w:rPr>
            </w:pPr>
            <w:r>
              <w:rPr>
                <w:rFonts w:ascii="Arial" w:hAnsi="Arial" w:cs="Arial"/>
                <w:i/>
                <w:sz w:val="16"/>
                <w:szCs w:val="16"/>
              </w:rPr>
              <w:noBreakHyphen/>
            </w:r>
            <w:r w:rsidR="001F707C" w:rsidRPr="00EC4BA6">
              <w:rPr>
                <w:rFonts w:ascii="Arial" w:hAnsi="Arial" w:cs="Arial"/>
                <w:i/>
                <w:sz w:val="16"/>
                <w:szCs w:val="16"/>
              </w:rPr>
              <w:t xml:space="preserve"> 1/4</w:t>
            </w:r>
          </w:p>
        </w:tc>
        <w:tc>
          <w:tcPr>
            <w:tcW w:w="459" w:type="pct"/>
            <w:tcBorders>
              <w:top w:val="nil"/>
              <w:left w:val="nil"/>
              <w:bottom w:val="nil"/>
              <w:right w:val="nil"/>
            </w:tcBorders>
            <w:shd w:val="clear" w:color="000000" w:fill="E6F2FF"/>
            <w:vAlign w:val="center"/>
            <w:hideMark/>
          </w:tcPr>
          <w:p w14:paraId="0176C662" w14:textId="1FF60D8B" w:rsidR="001F707C" w:rsidRPr="00EC4BA6" w:rsidRDefault="001A3DD6" w:rsidP="001F707C">
            <w:pPr>
              <w:spacing w:before="0" w:after="0" w:line="240" w:lineRule="auto"/>
              <w:jc w:val="right"/>
              <w:rPr>
                <w:rFonts w:ascii="Arial" w:hAnsi="Arial" w:cs="Arial"/>
                <w:i/>
                <w:sz w:val="16"/>
                <w:szCs w:val="16"/>
              </w:rPr>
            </w:pPr>
            <w:r>
              <w:rPr>
                <w:rFonts w:ascii="Arial" w:hAnsi="Arial" w:cs="Arial"/>
                <w:i/>
                <w:sz w:val="16"/>
                <w:szCs w:val="16"/>
              </w:rPr>
              <w:noBreakHyphen/>
            </w:r>
            <w:r w:rsidR="001F707C" w:rsidRPr="00EC4BA6">
              <w:rPr>
                <w:rFonts w:ascii="Arial" w:hAnsi="Arial" w:cs="Arial"/>
                <w:i/>
                <w:sz w:val="16"/>
                <w:szCs w:val="16"/>
              </w:rPr>
              <w:t>1</w:t>
            </w:r>
          </w:p>
        </w:tc>
        <w:tc>
          <w:tcPr>
            <w:tcW w:w="459" w:type="pct"/>
            <w:tcBorders>
              <w:top w:val="nil"/>
              <w:left w:val="nil"/>
              <w:bottom w:val="nil"/>
              <w:right w:val="nil"/>
            </w:tcBorders>
            <w:shd w:val="clear" w:color="000000" w:fill="E6F2FF"/>
            <w:vAlign w:val="center"/>
            <w:hideMark/>
          </w:tcPr>
          <w:p w14:paraId="44A55413" w14:textId="661BE0A2" w:rsidR="001F707C" w:rsidRPr="00EC4BA6" w:rsidRDefault="001A3DD6" w:rsidP="001F707C">
            <w:pPr>
              <w:spacing w:before="0" w:after="0" w:line="240" w:lineRule="auto"/>
              <w:jc w:val="right"/>
              <w:rPr>
                <w:rFonts w:ascii="Arial" w:hAnsi="Arial" w:cs="Arial"/>
                <w:i/>
                <w:sz w:val="16"/>
                <w:szCs w:val="16"/>
              </w:rPr>
            </w:pPr>
            <w:r>
              <w:rPr>
                <w:rFonts w:ascii="Arial" w:hAnsi="Arial" w:cs="Arial"/>
                <w:i/>
                <w:sz w:val="16"/>
                <w:szCs w:val="16"/>
              </w:rPr>
              <w:noBreakHyphen/>
            </w:r>
            <w:r w:rsidR="001F707C" w:rsidRPr="00EC4BA6">
              <w:rPr>
                <w:rFonts w:ascii="Arial" w:hAnsi="Arial" w:cs="Arial"/>
                <w:i/>
                <w:sz w:val="16"/>
                <w:szCs w:val="16"/>
              </w:rPr>
              <w:t xml:space="preserve"> 1/4</w:t>
            </w:r>
          </w:p>
        </w:tc>
        <w:tc>
          <w:tcPr>
            <w:tcW w:w="510" w:type="pct"/>
            <w:tcBorders>
              <w:top w:val="nil"/>
              <w:left w:val="nil"/>
              <w:bottom w:val="nil"/>
              <w:right w:val="nil"/>
            </w:tcBorders>
            <w:shd w:val="clear" w:color="000000" w:fill="E6F2FF"/>
            <w:vAlign w:val="center"/>
            <w:hideMark/>
          </w:tcPr>
          <w:p w14:paraId="159738C5"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 </w:t>
            </w:r>
          </w:p>
        </w:tc>
      </w:tr>
      <w:tr w:rsidR="001F707C" w:rsidRPr="00EC4BA6" w14:paraId="278300E0" w14:textId="77777777" w:rsidTr="001F707C">
        <w:trPr>
          <w:trHeight w:hRule="exact" w:val="60"/>
        </w:trPr>
        <w:tc>
          <w:tcPr>
            <w:tcW w:w="2108" w:type="pct"/>
            <w:tcBorders>
              <w:top w:val="nil"/>
              <w:left w:val="nil"/>
              <w:bottom w:val="nil"/>
              <w:right w:val="nil"/>
            </w:tcBorders>
            <w:shd w:val="clear" w:color="000000" w:fill="FFFFFF"/>
            <w:noWrap/>
            <w:vAlign w:val="center"/>
            <w:hideMark/>
          </w:tcPr>
          <w:p w14:paraId="1DDFC551" w14:textId="77777777" w:rsidR="001F707C" w:rsidRPr="00EC4BA6" w:rsidRDefault="001F707C" w:rsidP="001F707C">
            <w:pPr>
              <w:spacing w:before="0" w:after="0" w:line="240" w:lineRule="auto"/>
              <w:ind w:left="170"/>
              <w:rPr>
                <w:rFonts w:ascii="Arial" w:hAnsi="Arial" w:cs="Arial"/>
                <w:sz w:val="16"/>
                <w:szCs w:val="16"/>
              </w:rPr>
            </w:pPr>
            <w:r w:rsidRPr="00EC4BA6">
              <w:rPr>
                <w:rFonts w:ascii="Arial" w:hAnsi="Arial" w:cs="Arial"/>
                <w:sz w:val="16"/>
                <w:szCs w:val="16"/>
              </w:rPr>
              <w:t> </w:t>
            </w:r>
          </w:p>
        </w:tc>
        <w:tc>
          <w:tcPr>
            <w:tcW w:w="459" w:type="pct"/>
            <w:tcBorders>
              <w:top w:val="nil"/>
              <w:left w:val="nil"/>
              <w:bottom w:val="nil"/>
              <w:right w:val="nil"/>
            </w:tcBorders>
            <w:shd w:val="clear" w:color="000000" w:fill="FFFFFF"/>
            <w:noWrap/>
            <w:vAlign w:val="center"/>
            <w:hideMark/>
          </w:tcPr>
          <w:p w14:paraId="2CA17C0F"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 </w:t>
            </w:r>
          </w:p>
        </w:tc>
        <w:tc>
          <w:tcPr>
            <w:tcW w:w="85" w:type="pct"/>
            <w:tcBorders>
              <w:top w:val="nil"/>
              <w:left w:val="nil"/>
              <w:bottom w:val="nil"/>
              <w:right w:val="nil"/>
            </w:tcBorders>
            <w:shd w:val="clear" w:color="000000" w:fill="FFFFFF"/>
            <w:noWrap/>
            <w:vAlign w:val="center"/>
            <w:hideMark/>
          </w:tcPr>
          <w:p w14:paraId="4A2117CD"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 </w:t>
            </w:r>
          </w:p>
        </w:tc>
        <w:tc>
          <w:tcPr>
            <w:tcW w:w="459" w:type="pct"/>
            <w:tcBorders>
              <w:top w:val="nil"/>
              <w:left w:val="nil"/>
              <w:bottom w:val="nil"/>
              <w:right w:val="nil"/>
            </w:tcBorders>
            <w:shd w:val="clear" w:color="000000" w:fill="E6F2FF"/>
            <w:vAlign w:val="center"/>
            <w:hideMark/>
          </w:tcPr>
          <w:p w14:paraId="729AF0D5"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 </w:t>
            </w:r>
          </w:p>
        </w:tc>
        <w:tc>
          <w:tcPr>
            <w:tcW w:w="459" w:type="pct"/>
            <w:tcBorders>
              <w:top w:val="nil"/>
              <w:left w:val="nil"/>
              <w:bottom w:val="nil"/>
              <w:right w:val="nil"/>
            </w:tcBorders>
            <w:shd w:val="clear" w:color="000000" w:fill="E6F2FF"/>
            <w:vAlign w:val="center"/>
            <w:hideMark/>
          </w:tcPr>
          <w:p w14:paraId="3D1601A8"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 </w:t>
            </w:r>
          </w:p>
        </w:tc>
        <w:tc>
          <w:tcPr>
            <w:tcW w:w="459" w:type="pct"/>
            <w:tcBorders>
              <w:top w:val="nil"/>
              <w:left w:val="nil"/>
              <w:bottom w:val="nil"/>
              <w:right w:val="nil"/>
            </w:tcBorders>
            <w:shd w:val="clear" w:color="000000" w:fill="E6F2FF"/>
            <w:vAlign w:val="center"/>
            <w:hideMark/>
          </w:tcPr>
          <w:p w14:paraId="104A61A0"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 </w:t>
            </w:r>
          </w:p>
        </w:tc>
        <w:tc>
          <w:tcPr>
            <w:tcW w:w="459" w:type="pct"/>
            <w:tcBorders>
              <w:top w:val="nil"/>
              <w:left w:val="nil"/>
              <w:bottom w:val="nil"/>
              <w:right w:val="nil"/>
            </w:tcBorders>
            <w:shd w:val="clear" w:color="000000" w:fill="E6F2FF"/>
            <w:vAlign w:val="center"/>
            <w:hideMark/>
          </w:tcPr>
          <w:p w14:paraId="108FF791"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 </w:t>
            </w:r>
          </w:p>
        </w:tc>
        <w:tc>
          <w:tcPr>
            <w:tcW w:w="510" w:type="pct"/>
            <w:tcBorders>
              <w:top w:val="nil"/>
              <w:left w:val="nil"/>
              <w:bottom w:val="nil"/>
              <w:right w:val="nil"/>
            </w:tcBorders>
            <w:shd w:val="clear" w:color="000000" w:fill="E6F2FF"/>
            <w:vAlign w:val="center"/>
            <w:hideMark/>
          </w:tcPr>
          <w:p w14:paraId="7E19313E"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 </w:t>
            </w:r>
          </w:p>
        </w:tc>
      </w:tr>
      <w:tr w:rsidR="001F707C" w:rsidRPr="00EC4BA6" w14:paraId="01908919" w14:textId="77777777" w:rsidTr="001F707C">
        <w:trPr>
          <w:trHeight w:hRule="exact" w:val="235"/>
        </w:trPr>
        <w:tc>
          <w:tcPr>
            <w:tcW w:w="2108" w:type="pct"/>
            <w:tcBorders>
              <w:top w:val="nil"/>
              <w:left w:val="nil"/>
              <w:bottom w:val="nil"/>
              <w:right w:val="nil"/>
            </w:tcBorders>
            <w:shd w:val="clear" w:color="000000" w:fill="FFFFFF"/>
            <w:noWrap/>
            <w:vAlign w:val="center"/>
            <w:hideMark/>
          </w:tcPr>
          <w:p w14:paraId="67C553D6" w14:textId="77777777" w:rsidR="001F707C" w:rsidRPr="00EC4BA6" w:rsidRDefault="001F707C" w:rsidP="001F707C">
            <w:pPr>
              <w:spacing w:before="0" w:after="0" w:line="240" w:lineRule="auto"/>
              <w:ind w:left="170"/>
              <w:rPr>
                <w:rFonts w:ascii="Arial" w:hAnsi="Arial" w:cs="Arial"/>
                <w:sz w:val="16"/>
                <w:szCs w:val="16"/>
              </w:rPr>
            </w:pPr>
            <w:r w:rsidRPr="00EC4BA6">
              <w:rPr>
                <w:rFonts w:ascii="Arial" w:hAnsi="Arial" w:cs="Arial"/>
                <w:sz w:val="16"/>
                <w:szCs w:val="16"/>
              </w:rPr>
              <w:t>Compensation of employees</w:t>
            </w:r>
            <w:r w:rsidRPr="00EC4BA6">
              <w:rPr>
                <w:rFonts w:ascii="Arial" w:hAnsi="Arial" w:cs="Arial"/>
                <w:sz w:val="16"/>
                <w:szCs w:val="16"/>
                <w:vertAlign w:val="superscript"/>
              </w:rPr>
              <w:t>(b)</w:t>
            </w:r>
          </w:p>
        </w:tc>
        <w:tc>
          <w:tcPr>
            <w:tcW w:w="459" w:type="pct"/>
            <w:tcBorders>
              <w:top w:val="nil"/>
              <w:left w:val="nil"/>
              <w:bottom w:val="nil"/>
              <w:right w:val="nil"/>
            </w:tcBorders>
            <w:shd w:val="clear" w:color="000000" w:fill="FFFFFF"/>
            <w:noWrap/>
            <w:vAlign w:val="center"/>
            <w:hideMark/>
          </w:tcPr>
          <w:p w14:paraId="182E1701"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7.5</w:t>
            </w:r>
          </w:p>
        </w:tc>
        <w:tc>
          <w:tcPr>
            <w:tcW w:w="85" w:type="pct"/>
            <w:tcBorders>
              <w:top w:val="nil"/>
              <w:left w:val="nil"/>
              <w:bottom w:val="nil"/>
              <w:right w:val="nil"/>
            </w:tcBorders>
            <w:shd w:val="clear" w:color="000000" w:fill="FFFFFF"/>
            <w:noWrap/>
            <w:vAlign w:val="center"/>
            <w:hideMark/>
          </w:tcPr>
          <w:p w14:paraId="3B35482C"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 </w:t>
            </w:r>
          </w:p>
        </w:tc>
        <w:tc>
          <w:tcPr>
            <w:tcW w:w="459" w:type="pct"/>
            <w:tcBorders>
              <w:top w:val="nil"/>
              <w:left w:val="nil"/>
              <w:bottom w:val="nil"/>
              <w:right w:val="nil"/>
            </w:tcBorders>
            <w:shd w:val="clear" w:color="000000" w:fill="E6F2FF"/>
            <w:vAlign w:val="center"/>
            <w:hideMark/>
          </w:tcPr>
          <w:p w14:paraId="061E8C6A"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5 3/4</w:t>
            </w:r>
          </w:p>
        </w:tc>
        <w:tc>
          <w:tcPr>
            <w:tcW w:w="459" w:type="pct"/>
            <w:tcBorders>
              <w:top w:val="nil"/>
              <w:left w:val="nil"/>
              <w:bottom w:val="nil"/>
              <w:right w:val="nil"/>
            </w:tcBorders>
            <w:shd w:val="clear" w:color="000000" w:fill="E6F2FF"/>
            <w:vAlign w:val="center"/>
            <w:hideMark/>
          </w:tcPr>
          <w:p w14:paraId="5CFD7C79"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4 1/2</w:t>
            </w:r>
          </w:p>
        </w:tc>
        <w:tc>
          <w:tcPr>
            <w:tcW w:w="459" w:type="pct"/>
            <w:tcBorders>
              <w:top w:val="nil"/>
              <w:left w:val="nil"/>
              <w:bottom w:val="nil"/>
              <w:right w:val="nil"/>
            </w:tcBorders>
            <w:shd w:val="clear" w:color="000000" w:fill="E6F2FF"/>
            <w:vAlign w:val="center"/>
            <w:hideMark/>
          </w:tcPr>
          <w:p w14:paraId="039D101E"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4 1/4</w:t>
            </w:r>
          </w:p>
        </w:tc>
        <w:tc>
          <w:tcPr>
            <w:tcW w:w="459" w:type="pct"/>
            <w:tcBorders>
              <w:top w:val="nil"/>
              <w:left w:val="nil"/>
              <w:bottom w:val="nil"/>
              <w:right w:val="nil"/>
            </w:tcBorders>
            <w:shd w:val="clear" w:color="000000" w:fill="E6F2FF"/>
            <w:vAlign w:val="center"/>
            <w:hideMark/>
          </w:tcPr>
          <w:p w14:paraId="3B80006D"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 xml:space="preserve">5    </w:t>
            </w:r>
          </w:p>
        </w:tc>
        <w:tc>
          <w:tcPr>
            <w:tcW w:w="510" w:type="pct"/>
            <w:tcBorders>
              <w:top w:val="nil"/>
              <w:left w:val="nil"/>
              <w:bottom w:val="nil"/>
              <w:right w:val="nil"/>
            </w:tcBorders>
            <w:shd w:val="clear" w:color="000000" w:fill="E6F2FF"/>
            <w:vAlign w:val="center"/>
            <w:hideMark/>
          </w:tcPr>
          <w:p w14:paraId="389D31E9"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5 1/4</w:t>
            </w:r>
          </w:p>
        </w:tc>
      </w:tr>
      <w:tr w:rsidR="001F707C" w:rsidRPr="00EC4BA6" w14:paraId="1C8C9896" w14:textId="77777777" w:rsidTr="001F707C">
        <w:trPr>
          <w:trHeight w:hRule="exact" w:val="230"/>
        </w:trPr>
        <w:tc>
          <w:tcPr>
            <w:tcW w:w="2108" w:type="pct"/>
            <w:tcBorders>
              <w:top w:val="nil"/>
              <w:left w:val="nil"/>
              <w:bottom w:val="nil"/>
              <w:right w:val="nil"/>
            </w:tcBorders>
            <w:shd w:val="clear" w:color="000000" w:fill="FFFFFF"/>
            <w:noWrap/>
            <w:vAlign w:val="center"/>
            <w:hideMark/>
          </w:tcPr>
          <w:p w14:paraId="20E82235" w14:textId="5B9B2CFB" w:rsidR="001F707C" w:rsidRPr="00EC4BA6" w:rsidRDefault="001F707C" w:rsidP="001F707C">
            <w:pPr>
              <w:spacing w:before="0" w:after="0" w:line="240" w:lineRule="auto"/>
              <w:ind w:left="340"/>
              <w:rPr>
                <w:rFonts w:ascii="Arial" w:hAnsi="Arial" w:cs="Arial"/>
                <w:sz w:val="16"/>
                <w:szCs w:val="16"/>
              </w:rPr>
            </w:pPr>
            <w:r w:rsidRPr="00EC4BA6">
              <w:rPr>
                <w:rFonts w:ascii="Arial" w:hAnsi="Arial" w:cs="Arial"/>
                <w:sz w:val="16"/>
                <w:szCs w:val="16"/>
              </w:rPr>
              <w:t>Change since 2024</w:t>
            </w:r>
            <w:r w:rsidR="001A3DD6">
              <w:rPr>
                <w:rFonts w:ascii="Arial" w:hAnsi="Arial" w:cs="Arial"/>
                <w:sz w:val="16"/>
                <w:szCs w:val="16"/>
              </w:rPr>
              <w:noBreakHyphen/>
            </w:r>
            <w:r w:rsidRPr="00EC4BA6">
              <w:rPr>
                <w:rFonts w:ascii="Arial" w:hAnsi="Arial" w:cs="Arial"/>
                <w:sz w:val="16"/>
                <w:szCs w:val="16"/>
              </w:rPr>
              <w:t>25 MYEFO</w:t>
            </w:r>
          </w:p>
        </w:tc>
        <w:tc>
          <w:tcPr>
            <w:tcW w:w="459" w:type="pct"/>
            <w:tcBorders>
              <w:top w:val="nil"/>
              <w:left w:val="nil"/>
              <w:bottom w:val="nil"/>
              <w:right w:val="nil"/>
            </w:tcBorders>
            <w:shd w:val="clear" w:color="000000" w:fill="FFFFFF"/>
            <w:noWrap/>
            <w:vAlign w:val="center"/>
            <w:hideMark/>
          </w:tcPr>
          <w:p w14:paraId="0474FF7C"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 </w:t>
            </w:r>
          </w:p>
        </w:tc>
        <w:tc>
          <w:tcPr>
            <w:tcW w:w="85" w:type="pct"/>
            <w:tcBorders>
              <w:top w:val="nil"/>
              <w:left w:val="nil"/>
              <w:bottom w:val="nil"/>
              <w:right w:val="nil"/>
            </w:tcBorders>
            <w:shd w:val="clear" w:color="000000" w:fill="FFFFFF"/>
            <w:noWrap/>
            <w:vAlign w:val="center"/>
            <w:hideMark/>
          </w:tcPr>
          <w:p w14:paraId="1779E7D1"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 </w:t>
            </w:r>
          </w:p>
        </w:tc>
        <w:tc>
          <w:tcPr>
            <w:tcW w:w="459" w:type="pct"/>
            <w:tcBorders>
              <w:top w:val="nil"/>
              <w:left w:val="nil"/>
              <w:bottom w:val="nil"/>
              <w:right w:val="nil"/>
            </w:tcBorders>
            <w:shd w:val="clear" w:color="000000" w:fill="E6F2FF"/>
            <w:vAlign w:val="center"/>
            <w:hideMark/>
          </w:tcPr>
          <w:p w14:paraId="3ABEFBC1" w14:textId="1272A6F0" w:rsidR="001F707C" w:rsidRPr="00EC4BA6" w:rsidRDefault="001F707C" w:rsidP="001F707C">
            <w:pPr>
              <w:spacing w:before="0" w:after="0" w:line="240" w:lineRule="auto"/>
              <w:jc w:val="right"/>
              <w:rPr>
                <w:rFonts w:ascii="Arial" w:hAnsi="Arial" w:cs="Arial"/>
                <w:i/>
                <w:sz w:val="16"/>
                <w:szCs w:val="16"/>
              </w:rPr>
            </w:pPr>
            <w:r w:rsidRPr="00EC4BA6">
              <w:rPr>
                <w:rFonts w:ascii="Arial" w:hAnsi="Arial" w:cs="Arial"/>
                <w:i/>
                <w:sz w:val="16"/>
                <w:szCs w:val="16"/>
              </w:rPr>
              <w:t>3/4</w:t>
            </w:r>
          </w:p>
        </w:tc>
        <w:tc>
          <w:tcPr>
            <w:tcW w:w="459" w:type="pct"/>
            <w:tcBorders>
              <w:top w:val="nil"/>
              <w:left w:val="nil"/>
              <w:bottom w:val="nil"/>
              <w:right w:val="nil"/>
            </w:tcBorders>
            <w:shd w:val="clear" w:color="000000" w:fill="E6F2FF"/>
            <w:vAlign w:val="center"/>
            <w:hideMark/>
          </w:tcPr>
          <w:p w14:paraId="4BCCED7F" w14:textId="310F7302" w:rsidR="001F707C" w:rsidRPr="00EC4BA6" w:rsidRDefault="001F707C" w:rsidP="001F707C">
            <w:pPr>
              <w:spacing w:before="0" w:after="0" w:line="240" w:lineRule="auto"/>
              <w:jc w:val="right"/>
              <w:rPr>
                <w:rFonts w:ascii="Arial" w:hAnsi="Arial" w:cs="Arial"/>
                <w:i/>
                <w:sz w:val="16"/>
                <w:szCs w:val="16"/>
              </w:rPr>
            </w:pPr>
            <w:r w:rsidRPr="00EC4BA6">
              <w:rPr>
                <w:rFonts w:ascii="Arial" w:hAnsi="Arial" w:cs="Arial"/>
                <w:i/>
                <w:sz w:val="16"/>
                <w:szCs w:val="16"/>
              </w:rPr>
              <w:t>1/4</w:t>
            </w:r>
          </w:p>
        </w:tc>
        <w:tc>
          <w:tcPr>
            <w:tcW w:w="459" w:type="pct"/>
            <w:tcBorders>
              <w:top w:val="nil"/>
              <w:left w:val="nil"/>
              <w:bottom w:val="nil"/>
              <w:right w:val="nil"/>
            </w:tcBorders>
            <w:shd w:val="clear" w:color="000000" w:fill="E6F2FF"/>
            <w:vAlign w:val="center"/>
            <w:hideMark/>
          </w:tcPr>
          <w:p w14:paraId="0FC00325" w14:textId="498CA84B" w:rsidR="001F707C" w:rsidRPr="00EC4BA6" w:rsidRDefault="001A3DD6" w:rsidP="001F707C">
            <w:pPr>
              <w:spacing w:before="0" w:after="0" w:line="240" w:lineRule="auto"/>
              <w:jc w:val="right"/>
              <w:rPr>
                <w:rFonts w:ascii="Arial" w:hAnsi="Arial" w:cs="Arial"/>
                <w:i/>
                <w:sz w:val="16"/>
                <w:szCs w:val="16"/>
              </w:rPr>
            </w:pPr>
            <w:r>
              <w:rPr>
                <w:rFonts w:ascii="Arial" w:hAnsi="Arial" w:cs="Arial"/>
                <w:i/>
                <w:sz w:val="16"/>
                <w:szCs w:val="16"/>
              </w:rPr>
              <w:noBreakHyphen/>
            </w:r>
            <w:r w:rsidR="001F707C" w:rsidRPr="00EC4BA6">
              <w:rPr>
                <w:rFonts w:ascii="Arial" w:hAnsi="Arial" w:cs="Arial"/>
                <w:i/>
                <w:sz w:val="16"/>
                <w:szCs w:val="16"/>
              </w:rPr>
              <w:t xml:space="preserve"> 1/2</w:t>
            </w:r>
          </w:p>
        </w:tc>
        <w:tc>
          <w:tcPr>
            <w:tcW w:w="459" w:type="pct"/>
            <w:tcBorders>
              <w:top w:val="nil"/>
              <w:left w:val="nil"/>
              <w:bottom w:val="nil"/>
              <w:right w:val="nil"/>
            </w:tcBorders>
            <w:shd w:val="clear" w:color="000000" w:fill="E6F2FF"/>
            <w:vAlign w:val="center"/>
            <w:hideMark/>
          </w:tcPr>
          <w:p w14:paraId="54456C65" w14:textId="74BB2BC8" w:rsidR="001F707C" w:rsidRPr="00EC4BA6" w:rsidRDefault="001A3DD6" w:rsidP="001F707C">
            <w:pPr>
              <w:spacing w:before="0" w:after="0" w:line="240" w:lineRule="auto"/>
              <w:jc w:val="right"/>
              <w:rPr>
                <w:rFonts w:ascii="Arial" w:hAnsi="Arial" w:cs="Arial"/>
                <w:i/>
                <w:sz w:val="16"/>
                <w:szCs w:val="16"/>
              </w:rPr>
            </w:pPr>
            <w:r>
              <w:rPr>
                <w:rFonts w:ascii="Arial" w:hAnsi="Arial" w:cs="Arial"/>
                <w:i/>
                <w:sz w:val="16"/>
                <w:szCs w:val="16"/>
              </w:rPr>
              <w:noBreakHyphen/>
            </w:r>
            <w:r w:rsidR="001F707C" w:rsidRPr="00EC4BA6">
              <w:rPr>
                <w:rFonts w:ascii="Arial" w:hAnsi="Arial" w:cs="Arial"/>
                <w:i/>
                <w:sz w:val="16"/>
                <w:szCs w:val="16"/>
              </w:rPr>
              <w:t xml:space="preserve"> 1/4</w:t>
            </w:r>
          </w:p>
        </w:tc>
        <w:tc>
          <w:tcPr>
            <w:tcW w:w="510" w:type="pct"/>
            <w:tcBorders>
              <w:top w:val="nil"/>
              <w:left w:val="nil"/>
              <w:bottom w:val="nil"/>
              <w:right w:val="nil"/>
            </w:tcBorders>
            <w:shd w:val="clear" w:color="000000" w:fill="E6F2FF"/>
            <w:vAlign w:val="center"/>
            <w:hideMark/>
          </w:tcPr>
          <w:p w14:paraId="065C4340"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 </w:t>
            </w:r>
          </w:p>
        </w:tc>
      </w:tr>
      <w:tr w:rsidR="001F707C" w:rsidRPr="00EC4BA6" w14:paraId="308E4A92" w14:textId="77777777" w:rsidTr="001F707C">
        <w:trPr>
          <w:trHeight w:hRule="exact" w:val="70"/>
        </w:trPr>
        <w:tc>
          <w:tcPr>
            <w:tcW w:w="2108" w:type="pct"/>
            <w:tcBorders>
              <w:top w:val="nil"/>
              <w:left w:val="nil"/>
              <w:bottom w:val="nil"/>
              <w:right w:val="nil"/>
            </w:tcBorders>
            <w:shd w:val="clear" w:color="000000" w:fill="FFFFFF"/>
            <w:noWrap/>
            <w:vAlign w:val="center"/>
            <w:hideMark/>
          </w:tcPr>
          <w:p w14:paraId="58C67E05" w14:textId="77777777" w:rsidR="001F707C" w:rsidRPr="00EC4BA6" w:rsidRDefault="001F707C" w:rsidP="001F707C">
            <w:pPr>
              <w:spacing w:before="0" w:after="0" w:line="240" w:lineRule="auto"/>
              <w:ind w:left="170"/>
              <w:rPr>
                <w:rFonts w:ascii="Arial" w:hAnsi="Arial" w:cs="Arial"/>
                <w:sz w:val="16"/>
                <w:szCs w:val="16"/>
              </w:rPr>
            </w:pPr>
            <w:r w:rsidRPr="00EC4BA6">
              <w:rPr>
                <w:rFonts w:ascii="Arial" w:hAnsi="Arial" w:cs="Arial"/>
                <w:sz w:val="16"/>
                <w:szCs w:val="16"/>
              </w:rPr>
              <w:t> </w:t>
            </w:r>
          </w:p>
        </w:tc>
        <w:tc>
          <w:tcPr>
            <w:tcW w:w="459" w:type="pct"/>
            <w:tcBorders>
              <w:top w:val="nil"/>
              <w:left w:val="nil"/>
              <w:bottom w:val="nil"/>
              <w:right w:val="nil"/>
            </w:tcBorders>
            <w:shd w:val="clear" w:color="000000" w:fill="FFFFFF"/>
            <w:noWrap/>
            <w:vAlign w:val="center"/>
            <w:hideMark/>
          </w:tcPr>
          <w:p w14:paraId="51DD6340"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 </w:t>
            </w:r>
          </w:p>
        </w:tc>
        <w:tc>
          <w:tcPr>
            <w:tcW w:w="85" w:type="pct"/>
            <w:tcBorders>
              <w:top w:val="nil"/>
              <w:left w:val="nil"/>
              <w:bottom w:val="nil"/>
              <w:right w:val="nil"/>
            </w:tcBorders>
            <w:shd w:val="clear" w:color="000000" w:fill="FFFFFF"/>
            <w:noWrap/>
            <w:vAlign w:val="center"/>
            <w:hideMark/>
          </w:tcPr>
          <w:p w14:paraId="35357B7F"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 </w:t>
            </w:r>
          </w:p>
        </w:tc>
        <w:tc>
          <w:tcPr>
            <w:tcW w:w="459" w:type="pct"/>
            <w:tcBorders>
              <w:top w:val="nil"/>
              <w:left w:val="nil"/>
              <w:bottom w:val="nil"/>
              <w:right w:val="nil"/>
            </w:tcBorders>
            <w:shd w:val="clear" w:color="000000" w:fill="E6F2FF"/>
            <w:vAlign w:val="center"/>
            <w:hideMark/>
          </w:tcPr>
          <w:p w14:paraId="5FCF8A88"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 </w:t>
            </w:r>
          </w:p>
        </w:tc>
        <w:tc>
          <w:tcPr>
            <w:tcW w:w="459" w:type="pct"/>
            <w:tcBorders>
              <w:top w:val="nil"/>
              <w:left w:val="nil"/>
              <w:bottom w:val="nil"/>
              <w:right w:val="nil"/>
            </w:tcBorders>
            <w:shd w:val="clear" w:color="000000" w:fill="E6F2FF"/>
            <w:vAlign w:val="center"/>
            <w:hideMark/>
          </w:tcPr>
          <w:p w14:paraId="3802639D"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 </w:t>
            </w:r>
          </w:p>
        </w:tc>
        <w:tc>
          <w:tcPr>
            <w:tcW w:w="459" w:type="pct"/>
            <w:tcBorders>
              <w:top w:val="nil"/>
              <w:left w:val="nil"/>
              <w:bottom w:val="nil"/>
              <w:right w:val="nil"/>
            </w:tcBorders>
            <w:shd w:val="clear" w:color="000000" w:fill="E6F2FF"/>
            <w:vAlign w:val="center"/>
            <w:hideMark/>
          </w:tcPr>
          <w:p w14:paraId="4EB46091"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 </w:t>
            </w:r>
          </w:p>
        </w:tc>
        <w:tc>
          <w:tcPr>
            <w:tcW w:w="459" w:type="pct"/>
            <w:tcBorders>
              <w:top w:val="nil"/>
              <w:left w:val="nil"/>
              <w:bottom w:val="nil"/>
              <w:right w:val="nil"/>
            </w:tcBorders>
            <w:shd w:val="clear" w:color="000000" w:fill="E6F2FF"/>
            <w:vAlign w:val="center"/>
            <w:hideMark/>
          </w:tcPr>
          <w:p w14:paraId="78E96F0B"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 </w:t>
            </w:r>
          </w:p>
        </w:tc>
        <w:tc>
          <w:tcPr>
            <w:tcW w:w="510" w:type="pct"/>
            <w:tcBorders>
              <w:top w:val="nil"/>
              <w:left w:val="nil"/>
              <w:bottom w:val="nil"/>
              <w:right w:val="nil"/>
            </w:tcBorders>
            <w:shd w:val="clear" w:color="000000" w:fill="E6F2FF"/>
            <w:vAlign w:val="center"/>
            <w:hideMark/>
          </w:tcPr>
          <w:p w14:paraId="2E55E711"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 </w:t>
            </w:r>
          </w:p>
        </w:tc>
      </w:tr>
      <w:tr w:rsidR="001F707C" w:rsidRPr="00EC4BA6" w14:paraId="6CF0B8F8" w14:textId="77777777" w:rsidTr="001F707C">
        <w:trPr>
          <w:trHeight w:hRule="exact" w:val="235"/>
        </w:trPr>
        <w:tc>
          <w:tcPr>
            <w:tcW w:w="2108" w:type="pct"/>
            <w:tcBorders>
              <w:top w:val="nil"/>
              <w:left w:val="nil"/>
              <w:bottom w:val="nil"/>
              <w:right w:val="nil"/>
            </w:tcBorders>
            <w:shd w:val="clear" w:color="000000" w:fill="FFFFFF"/>
            <w:noWrap/>
            <w:vAlign w:val="center"/>
            <w:hideMark/>
          </w:tcPr>
          <w:p w14:paraId="5DCFA33F" w14:textId="77777777" w:rsidR="001F707C" w:rsidRPr="00EC4BA6" w:rsidRDefault="001F707C" w:rsidP="001F707C">
            <w:pPr>
              <w:spacing w:before="0" w:after="0" w:line="240" w:lineRule="auto"/>
              <w:ind w:left="170"/>
              <w:rPr>
                <w:rFonts w:ascii="Arial" w:hAnsi="Arial" w:cs="Arial"/>
                <w:sz w:val="16"/>
                <w:szCs w:val="16"/>
              </w:rPr>
            </w:pPr>
            <w:r w:rsidRPr="00EC4BA6">
              <w:rPr>
                <w:rFonts w:ascii="Arial" w:hAnsi="Arial" w:cs="Arial"/>
                <w:sz w:val="16"/>
                <w:szCs w:val="16"/>
              </w:rPr>
              <w:t>Corporate gross operating surplus</w:t>
            </w:r>
            <w:r w:rsidRPr="00EC4BA6">
              <w:rPr>
                <w:rFonts w:ascii="Arial" w:hAnsi="Arial" w:cs="Arial"/>
                <w:sz w:val="16"/>
                <w:szCs w:val="16"/>
                <w:vertAlign w:val="superscript"/>
              </w:rPr>
              <w:t xml:space="preserve">(c) </w:t>
            </w:r>
          </w:p>
        </w:tc>
        <w:tc>
          <w:tcPr>
            <w:tcW w:w="459" w:type="pct"/>
            <w:tcBorders>
              <w:top w:val="nil"/>
              <w:left w:val="nil"/>
              <w:bottom w:val="nil"/>
              <w:right w:val="nil"/>
            </w:tcBorders>
            <w:shd w:val="clear" w:color="000000" w:fill="FFFFFF"/>
            <w:noWrap/>
            <w:vAlign w:val="center"/>
            <w:hideMark/>
          </w:tcPr>
          <w:p w14:paraId="01B68A6C" w14:textId="469B15AB" w:rsidR="001F707C" w:rsidRPr="00EC4BA6" w:rsidRDefault="001A3DD6" w:rsidP="001F707C">
            <w:pPr>
              <w:spacing w:before="0" w:after="0" w:line="240" w:lineRule="auto"/>
              <w:jc w:val="right"/>
              <w:rPr>
                <w:rFonts w:ascii="Arial" w:hAnsi="Arial" w:cs="Arial"/>
                <w:sz w:val="16"/>
                <w:szCs w:val="16"/>
              </w:rPr>
            </w:pPr>
            <w:r>
              <w:rPr>
                <w:rFonts w:ascii="Arial" w:hAnsi="Arial" w:cs="Arial"/>
                <w:sz w:val="16"/>
                <w:szCs w:val="16"/>
              </w:rPr>
              <w:noBreakHyphen/>
            </w:r>
            <w:r w:rsidR="001F707C" w:rsidRPr="00EC4BA6">
              <w:rPr>
                <w:rFonts w:ascii="Arial" w:hAnsi="Arial" w:cs="Arial"/>
                <w:sz w:val="16"/>
                <w:szCs w:val="16"/>
              </w:rPr>
              <w:t>3.2</w:t>
            </w:r>
          </w:p>
        </w:tc>
        <w:tc>
          <w:tcPr>
            <w:tcW w:w="85" w:type="pct"/>
            <w:tcBorders>
              <w:top w:val="nil"/>
              <w:left w:val="nil"/>
              <w:bottom w:val="nil"/>
              <w:right w:val="nil"/>
            </w:tcBorders>
            <w:shd w:val="clear" w:color="000000" w:fill="FFFFFF"/>
            <w:noWrap/>
            <w:vAlign w:val="center"/>
            <w:hideMark/>
          </w:tcPr>
          <w:p w14:paraId="52E8FF3D"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 </w:t>
            </w:r>
          </w:p>
        </w:tc>
        <w:tc>
          <w:tcPr>
            <w:tcW w:w="459" w:type="pct"/>
            <w:tcBorders>
              <w:top w:val="nil"/>
              <w:left w:val="nil"/>
              <w:bottom w:val="nil"/>
              <w:right w:val="nil"/>
            </w:tcBorders>
            <w:shd w:val="clear" w:color="000000" w:fill="E6F2FF"/>
            <w:vAlign w:val="center"/>
            <w:hideMark/>
          </w:tcPr>
          <w:p w14:paraId="4F94B53B" w14:textId="45B9D44F" w:rsidR="001F707C" w:rsidRPr="00EC4BA6" w:rsidRDefault="001A3DD6" w:rsidP="001F707C">
            <w:pPr>
              <w:spacing w:before="0" w:after="0" w:line="240" w:lineRule="auto"/>
              <w:jc w:val="right"/>
              <w:rPr>
                <w:rFonts w:ascii="Arial" w:hAnsi="Arial" w:cs="Arial"/>
                <w:sz w:val="16"/>
                <w:szCs w:val="16"/>
              </w:rPr>
            </w:pPr>
            <w:r>
              <w:rPr>
                <w:rFonts w:ascii="Arial" w:hAnsi="Arial" w:cs="Arial"/>
                <w:sz w:val="16"/>
                <w:szCs w:val="16"/>
              </w:rPr>
              <w:noBreakHyphen/>
            </w:r>
            <w:r w:rsidR="001F707C" w:rsidRPr="00EC4BA6">
              <w:rPr>
                <w:rFonts w:ascii="Arial" w:hAnsi="Arial" w:cs="Arial"/>
                <w:sz w:val="16"/>
                <w:szCs w:val="16"/>
              </w:rPr>
              <w:t xml:space="preserve"> 1/2</w:t>
            </w:r>
          </w:p>
        </w:tc>
        <w:tc>
          <w:tcPr>
            <w:tcW w:w="459" w:type="pct"/>
            <w:tcBorders>
              <w:top w:val="nil"/>
              <w:left w:val="nil"/>
              <w:bottom w:val="nil"/>
              <w:right w:val="nil"/>
            </w:tcBorders>
            <w:shd w:val="clear" w:color="000000" w:fill="E6F2FF"/>
            <w:vAlign w:val="center"/>
            <w:hideMark/>
          </w:tcPr>
          <w:p w14:paraId="16F982C2" w14:textId="399C4431" w:rsidR="001F707C" w:rsidRPr="00EC4BA6" w:rsidRDefault="001A3DD6" w:rsidP="001F707C">
            <w:pPr>
              <w:spacing w:before="0" w:after="0" w:line="240" w:lineRule="auto"/>
              <w:jc w:val="right"/>
              <w:rPr>
                <w:rFonts w:ascii="Arial" w:hAnsi="Arial" w:cs="Arial"/>
                <w:sz w:val="16"/>
                <w:szCs w:val="16"/>
              </w:rPr>
            </w:pPr>
            <w:r>
              <w:rPr>
                <w:rFonts w:ascii="Arial" w:hAnsi="Arial" w:cs="Arial"/>
                <w:sz w:val="16"/>
                <w:szCs w:val="16"/>
              </w:rPr>
              <w:noBreakHyphen/>
            </w:r>
            <w:r w:rsidR="001F707C" w:rsidRPr="00EC4BA6">
              <w:rPr>
                <w:rFonts w:ascii="Arial" w:hAnsi="Arial" w:cs="Arial"/>
                <w:sz w:val="16"/>
                <w:szCs w:val="16"/>
              </w:rPr>
              <w:t>1 1/4</w:t>
            </w:r>
          </w:p>
        </w:tc>
        <w:tc>
          <w:tcPr>
            <w:tcW w:w="459" w:type="pct"/>
            <w:tcBorders>
              <w:top w:val="nil"/>
              <w:left w:val="nil"/>
              <w:bottom w:val="nil"/>
              <w:right w:val="nil"/>
            </w:tcBorders>
            <w:shd w:val="clear" w:color="000000" w:fill="E6F2FF"/>
            <w:vAlign w:val="center"/>
            <w:hideMark/>
          </w:tcPr>
          <w:p w14:paraId="7D1A1CA5"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1 1/4</w:t>
            </w:r>
          </w:p>
        </w:tc>
        <w:tc>
          <w:tcPr>
            <w:tcW w:w="459" w:type="pct"/>
            <w:tcBorders>
              <w:top w:val="nil"/>
              <w:left w:val="nil"/>
              <w:bottom w:val="nil"/>
              <w:right w:val="nil"/>
            </w:tcBorders>
            <w:shd w:val="clear" w:color="000000" w:fill="E6F2FF"/>
            <w:vAlign w:val="center"/>
            <w:hideMark/>
          </w:tcPr>
          <w:p w14:paraId="6DC9F3C7"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5 1/2</w:t>
            </w:r>
          </w:p>
        </w:tc>
        <w:tc>
          <w:tcPr>
            <w:tcW w:w="510" w:type="pct"/>
            <w:tcBorders>
              <w:top w:val="nil"/>
              <w:left w:val="nil"/>
              <w:bottom w:val="nil"/>
              <w:right w:val="nil"/>
            </w:tcBorders>
            <w:shd w:val="clear" w:color="000000" w:fill="E6F2FF"/>
            <w:vAlign w:val="center"/>
            <w:hideMark/>
          </w:tcPr>
          <w:p w14:paraId="779A13A6"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 xml:space="preserve">6    </w:t>
            </w:r>
          </w:p>
        </w:tc>
      </w:tr>
      <w:tr w:rsidR="001F707C" w:rsidRPr="00EC4BA6" w14:paraId="33168DA5" w14:textId="77777777" w:rsidTr="001F707C">
        <w:trPr>
          <w:trHeight w:hRule="exact" w:val="225"/>
        </w:trPr>
        <w:tc>
          <w:tcPr>
            <w:tcW w:w="2108" w:type="pct"/>
            <w:tcBorders>
              <w:top w:val="nil"/>
              <w:left w:val="nil"/>
              <w:bottom w:val="nil"/>
              <w:right w:val="nil"/>
            </w:tcBorders>
            <w:shd w:val="clear" w:color="000000" w:fill="FFFFFF"/>
            <w:noWrap/>
            <w:vAlign w:val="center"/>
            <w:hideMark/>
          </w:tcPr>
          <w:p w14:paraId="69F4F10F" w14:textId="486FA1B0" w:rsidR="001F707C" w:rsidRPr="00EC4BA6" w:rsidRDefault="001F707C" w:rsidP="001F707C">
            <w:pPr>
              <w:spacing w:before="0" w:after="0" w:line="240" w:lineRule="auto"/>
              <w:ind w:left="340"/>
              <w:rPr>
                <w:rFonts w:ascii="Arial" w:hAnsi="Arial" w:cs="Arial"/>
                <w:sz w:val="16"/>
                <w:szCs w:val="16"/>
              </w:rPr>
            </w:pPr>
            <w:r w:rsidRPr="00EC4BA6">
              <w:rPr>
                <w:rFonts w:ascii="Arial" w:hAnsi="Arial" w:cs="Arial"/>
                <w:sz w:val="16"/>
                <w:szCs w:val="16"/>
              </w:rPr>
              <w:t>Change since 2024</w:t>
            </w:r>
            <w:r w:rsidR="001A3DD6">
              <w:rPr>
                <w:rFonts w:ascii="Arial" w:hAnsi="Arial" w:cs="Arial"/>
                <w:sz w:val="16"/>
                <w:szCs w:val="16"/>
              </w:rPr>
              <w:noBreakHyphen/>
            </w:r>
            <w:r w:rsidRPr="00EC4BA6">
              <w:rPr>
                <w:rFonts w:ascii="Arial" w:hAnsi="Arial" w:cs="Arial"/>
                <w:sz w:val="16"/>
                <w:szCs w:val="16"/>
              </w:rPr>
              <w:t>25 MYEFO</w:t>
            </w:r>
          </w:p>
        </w:tc>
        <w:tc>
          <w:tcPr>
            <w:tcW w:w="459" w:type="pct"/>
            <w:tcBorders>
              <w:top w:val="nil"/>
              <w:left w:val="nil"/>
              <w:bottom w:val="nil"/>
              <w:right w:val="nil"/>
            </w:tcBorders>
            <w:shd w:val="clear" w:color="000000" w:fill="FFFFFF"/>
            <w:noWrap/>
            <w:vAlign w:val="center"/>
            <w:hideMark/>
          </w:tcPr>
          <w:p w14:paraId="74D0CD19"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 </w:t>
            </w:r>
          </w:p>
        </w:tc>
        <w:tc>
          <w:tcPr>
            <w:tcW w:w="85" w:type="pct"/>
            <w:tcBorders>
              <w:top w:val="nil"/>
              <w:left w:val="nil"/>
              <w:bottom w:val="nil"/>
              <w:right w:val="nil"/>
            </w:tcBorders>
            <w:shd w:val="clear" w:color="000000" w:fill="FFFFFF"/>
            <w:noWrap/>
            <w:vAlign w:val="center"/>
            <w:hideMark/>
          </w:tcPr>
          <w:p w14:paraId="09593391"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 </w:t>
            </w:r>
          </w:p>
        </w:tc>
        <w:tc>
          <w:tcPr>
            <w:tcW w:w="459" w:type="pct"/>
            <w:tcBorders>
              <w:top w:val="nil"/>
              <w:left w:val="nil"/>
              <w:bottom w:val="nil"/>
              <w:right w:val="nil"/>
            </w:tcBorders>
            <w:shd w:val="clear" w:color="000000" w:fill="E6F2FF"/>
            <w:vAlign w:val="center"/>
            <w:hideMark/>
          </w:tcPr>
          <w:p w14:paraId="3E1C0257" w14:textId="77777777" w:rsidR="001F707C" w:rsidRPr="00EC4BA6" w:rsidRDefault="001F707C" w:rsidP="001F707C">
            <w:pPr>
              <w:spacing w:before="0" w:after="0" w:line="240" w:lineRule="auto"/>
              <w:jc w:val="right"/>
              <w:rPr>
                <w:rFonts w:ascii="Arial" w:hAnsi="Arial" w:cs="Arial"/>
                <w:i/>
                <w:sz w:val="16"/>
                <w:szCs w:val="16"/>
              </w:rPr>
            </w:pPr>
            <w:r w:rsidRPr="00EC4BA6">
              <w:rPr>
                <w:rFonts w:ascii="Arial" w:hAnsi="Arial" w:cs="Arial"/>
                <w:i/>
                <w:sz w:val="16"/>
                <w:szCs w:val="16"/>
              </w:rPr>
              <w:t>1 1/2</w:t>
            </w:r>
          </w:p>
        </w:tc>
        <w:tc>
          <w:tcPr>
            <w:tcW w:w="459" w:type="pct"/>
            <w:tcBorders>
              <w:top w:val="nil"/>
              <w:left w:val="nil"/>
              <w:bottom w:val="nil"/>
              <w:right w:val="nil"/>
            </w:tcBorders>
            <w:shd w:val="clear" w:color="000000" w:fill="E6F2FF"/>
            <w:vAlign w:val="center"/>
            <w:hideMark/>
          </w:tcPr>
          <w:p w14:paraId="53929414" w14:textId="32DBA80B" w:rsidR="001F707C" w:rsidRPr="00EC4BA6" w:rsidRDefault="001A3DD6" w:rsidP="001F707C">
            <w:pPr>
              <w:spacing w:before="0" w:after="0" w:line="240" w:lineRule="auto"/>
              <w:jc w:val="right"/>
              <w:rPr>
                <w:rFonts w:ascii="Arial" w:hAnsi="Arial" w:cs="Arial"/>
                <w:i/>
                <w:sz w:val="16"/>
                <w:szCs w:val="16"/>
              </w:rPr>
            </w:pPr>
            <w:r>
              <w:rPr>
                <w:rFonts w:ascii="Arial" w:hAnsi="Arial" w:cs="Arial"/>
                <w:i/>
                <w:sz w:val="16"/>
                <w:szCs w:val="16"/>
              </w:rPr>
              <w:noBreakHyphen/>
            </w:r>
            <w:r w:rsidR="001F707C" w:rsidRPr="00EC4BA6">
              <w:rPr>
                <w:rFonts w:ascii="Arial" w:hAnsi="Arial" w:cs="Arial"/>
                <w:i/>
                <w:sz w:val="16"/>
                <w:szCs w:val="16"/>
              </w:rPr>
              <w:t xml:space="preserve"> 3/4</w:t>
            </w:r>
          </w:p>
        </w:tc>
        <w:tc>
          <w:tcPr>
            <w:tcW w:w="459" w:type="pct"/>
            <w:tcBorders>
              <w:top w:val="nil"/>
              <w:left w:val="nil"/>
              <w:bottom w:val="nil"/>
              <w:right w:val="nil"/>
            </w:tcBorders>
            <w:shd w:val="clear" w:color="000000" w:fill="E6F2FF"/>
            <w:vAlign w:val="center"/>
            <w:hideMark/>
          </w:tcPr>
          <w:p w14:paraId="3947A041" w14:textId="08036BD5" w:rsidR="001F707C" w:rsidRPr="00EC4BA6" w:rsidRDefault="001A3DD6" w:rsidP="001F707C">
            <w:pPr>
              <w:spacing w:before="0" w:after="0" w:line="240" w:lineRule="auto"/>
              <w:jc w:val="right"/>
              <w:rPr>
                <w:rFonts w:ascii="Arial" w:hAnsi="Arial" w:cs="Arial"/>
                <w:i/>
                <w:sz w:val="16"/>
                <w:szCs w:val="16"/>
              </w:rPr>
            </w:pPr>
            <w:r>
              <w:rPr>
                <w:rFonts w:ascii="Arial" w:hAnsi="Arial" w:cs="Arial"/>
                <w:i/>
                <w:sz w:val="16"/>
                <w:szCs w:val="16"/>
              </w:rPr>
              <w:noBreakHyphen/>
            </w:r>
            <w:r w:rsidR="001F707C" w:rsidRPr="00EC4BA6">
              <w:rPr>
                <w:rFonts w:ascii="Arial" w:hAnsi="Arial" w:cs="Arial"/>
                <w:i/>
                <w:sz w:val="16"/>
                <w:szCs w:val="16"/>
              </w:rPr>
              <w:t>2 3/4</w:t>
            </w:r>
          </w:p>
        </w:tc>
        <w:tc>
          <w:tcPr>
            <w:tcW w:w="459" w:type="pct"/>
            <w:tcBorders>
              <w:top w:val="nil"/>
              <w:left w:val="nil"/>
              <w:bottom w:val="nil"/>
              <w:right w:val="nil"/>
            </w:tcBorders>
            <w:shd w:val="clear" w:color="000000" w:fill="E6F2FF"/>
            <w:vAlign w:val="center"/>
            <w:hideMark/>
          </w:tcPr>
          <w:p w14:paraId="0BDBA10D" w14:textId="18D2B0AD" w:rsidR="001F707C" w:rsidRPr="00EC4BA6" w:rsidRDefault="001F707C" w:rsidP="001F707C">
            <w:pPr>
              <w:spacing w:before="0" w:after="0" w:line="240" w:lineRule="auto"/>
              <w:jc w:val="right"/>
              <w:rPr>
                <w:rFonts w:ascii="Arial" w:hAnsi="Arial" w:cs="Arial"/>
                <w:i/>
                <w:sz w:val="16"/>
                <w:szCs w:val="16"/>
              </w:rPr>
            </w:pPr>
            <w:r w:rsidRPr="00EC4BA6">
              <w:rPr>
                <w:rFonts w:ascii="Arial" w:hAnsi="Arial" w:cs="Arial"/>
                <w:i/>
                <w:sz w:val="16"/>
                <w:szCs w:val="16"/>
              </w:rPr>
              <w:t>1/4</w:t>
            </w:r>
          </w:p>
        </w:tc>
        <w:tc>
          <w:tcPr>
            <w:tcW w:w="510" w:type="pct"/>
            <w:tcBorders>
              <w:top w:val="nil"/>
              <w:left w:val="nil"/>
              <w:bottom w:val="nil"/>
              <w:right w:val="nil"/>
            </w:tcBorders>
            <w:shd w:val="clear" w:color="000000" w:fill="E6F2FF"/>
            <w:vAlign w:val="center"/>
            <w:hideMark/>
          </w:tcPr>
          <w:p w14:paraId="03BE357C"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 </w:t>
            </w:r>
          </w:p>
        </w:tc>
      </w:tr>
      <w:tr w:rsidR="001F707C" w:rsidRPr="00EC4BA6" w14:paraId="0BDEE989" w14:textId="77777777" w:rsidTr="001F707C">
        <w:trPr>
          <w:trHeight w:hRule="exact" w:val="70"/>
        </w:trPr>
        <w:tc>
          <w:tcPr>
            <w:tcW w:w="2108" w:type="pct"/>
            <w:tcBorders>
              <w:top w:val="nil"/>
              <w:left w:val="nil"/>
              <w:bottom w:val="nil"/>
              <w:right w:val="nil"/>
            </w:tcBorders>
            <w:shd w:val="clear" w:color="000000" w:fill="FFFFFF"/>
            <w:noWrap/>
            <w:vAlign w:val="center"/>
            <w:hideMark/>
          </w:tcPr>
          <w:p w14:paraId="0344C43E" w14:textId="77777777" w:rsidR="001F707C" w:rsidRPr="00EC4BA6" w:rsidRDefault="001F707C" w:rsidP="001F707C">
            <w:pPr>
              <w:spacing w:before="0" w:after="0" w:line="240" w:lineRule="auto"/>
              <w:ind w:left="170"/>
              <w:outlineLvl w:val="0"/>
              <w:rPr>
                <w:rFonts w:ascii="Arial" w:hAnsi="Arial" w:cs="Arial"/>
                <w:sz w:val="16"/>
                <w:szCs w:val="16"/>
              </w:rPr>
            </w:pPr>
            <w:r w:rsidRPr="00EC4BA6">
              <w:rPr>
                <w:rFonts w:ascii="Arial" w:hAnsi="Arial" w:cs="Arial"/>
                <w:sz w:val="16"/>
                <w:szCs w:val="16"/>
              </w:rPr>
              <w:t> </w:t>
            </w:r>
          </w:p>
        </w:tc>
        <w:tc>
          <w:tcPr>
            <w:tcW w:w="459" w:type="pct"/>
            <w:tcBorders>
              <w:top w:val="nil"/>
              <w:left w:val="nil"/>
              <w:bottom w:val="nil"/>
              <w:right w:val="nil"/>
            </w:tcBorders>
            <w:shd w:val="clear" w:color="000000" w:fill="FFFFFF"/>
            <w:noWrap/>
            <w:vAlign w:val="center"/>
            <w:hideMark/>
          </w:tcPr>
          <w:p w14:paraId="00293513" w14:textId="77777777" w:rsidR="001F707C" w:rsidRPr="00EC4BA6" w:rsidRDefault="001F707C" w:rsidP="001F707C">
            <w:pPr>
              <w:spacing w:before="0" w:after="0" w:line="240" w:lineRule="auto"/>
              <w:jc w:val="right"/>
              <w:outlineLvl w:val="0"/>
              <w:rPr>
                <w:rFonts w:ascii="Arial" w:hAnsi="Arial" w:cs="Arial"/>
                <w:sz w:val="16"/>
                <w:szCs w:val="16"/>
              </w:rPr>
            </w:pPr>
            <w:r w:rsidRPr="00EC4BA6">
              <w:rPr>
                <w:rFonts w:ascii="Arial" w:hAnsi="Arial" w:cs="Arial"/>
                <w:sz w:val="16"/>
                <w:szCs w:val="16"/>
              </w:rPr>
              <w:t> </w:t>
            </w:r>
          </w:p>
        </w:tc>
        <w:tc>
          <w:tcPr>
            <w:tcW w:w="85" w:type="pct"/>
            <w:tcBorders>
              <w:top w:val="nil"/>
              <w:left w:val="nil"/>
              <w:bottom w:val="nil"/>
              <w:right w:val="nil"/>
            </w:tcBorders>
            <w:shd w:val="clear" w:color="000000" w:fill="FFFFFF"/>
            <w:noWrap/>
            <w:vAlign w:val="center"/>
            <w:hideMark/>
          </w:tcPr>
          <w:p w14:paraId="47E5D65F" w14:textId="77777777" w:rsidR="001F707C" w:rsidRPr="00EC4BA6" w:rsidRDefault="001F707C" w:rsidP="001F707C">
            <w:pPr>
              <w:spacing w:before="0" w:after="0" w:line="240" w:lineRule="auto"/>
              <w:jc w:val="right"/>
              <w:outlineLvl w:val="0"/>
              <w:rPr>
                <w:rFonts w:ascii="Arial" w:hAnsi="Arial" w:cs="Arial"/>
                <w:sz w:val="16"/>
                <w:szCs w:val="16"/>
              </w:rPr>
            </w:pPr>
            <w:r w:rsidRPr="00EC4BA6">
              <w:rPr>
                <w:rFonts w:ascii="Arial" w:hAnsi="Arial" w:cs="Arial"/>
                <w:sz w:val="16"/>
                <w:szCs w:val="16"/>
              </w:rPr>
              <w:t> </w:t>
            </w:r>
          </w:p>
        </w:tc>
        <w:tc>
          <w:tcPr>
            <w:tcW w:w="459" w:type="pct"/>
            <w:tcBorders>
              <w:top w:val="nil"/>
              <w:left w:val="nil"/>
              <w:bottom w:val="nil"/>
              <w:right w:val="nil"/>
            </w:tcBorders>
            <w:shd w:val="clear" w:color="000000" w:fill="E6F2FF"/>
            <w:vAlign w:val="center"/>
            <w:hideMark/>
          </w:tcPr>
          <w:p w14:paraId="575DDB63" w14:textId="77777777" w:rsidR="001F707C" w:rsidRPr="00EC4BA6" w:rsidRDefault="001F707C" w:rsidP="001F707C">
            <w:pPr>
              <w:spacing w:before="0" w:after="0" w:line="240" w:lineRule="auto"/>
              <w:jc w:val="right"/>
              <w:outlineLvl w:val="0"/>
              <w:rPr>
                <w:rFonts w:ascii="Arial" w:hAnsi="Arial" w:cs="Arial"/>
                <w:sz w:val="16"/>
                <w:szCs w:val="16"/>
              </w:rPr>
            </w:pPr>
            <w:r w:rsidRPr="00EC4BA6">
              <w:rPr>
                <w:rFonts w:ascii="Arial" w:hAnsi="Arial" w:cs="Arial"/>
                <w:sz w:val="16"/>
                <w:szCs w:val="16"/>
              </w:rPr>
              <w:t> </w:t>
            </w:r>
          </w:p>
        </w:tc>
        <w:tc>
          <w:tcPr>
            <w:tcW w:w="459" w:type="pct"/>
            <w:tcBorders>
              <w:top w:val="nil"/>
              <w:left w:val="nil"/>
              <w:bottom w:val="nil"/>
              <w:right w:val="nil"/>
            </w:tcBorders>
            <w:shd w:val="clear" w:color="000000" w:fill="E6F2FF"/>
            <w:vAlign w:val="center"/>
            <w:hideMark/>
          </w:tcPr>
          <w:p w14:paraId="46B64F96" w14:textId="77777777" w:rsidR="001F707C" w:rsidRPr="00EC4BA6" w:rsidRDefault="001F707C" w:rsidP="001F707C">
            <w:pPr>
              <w:spacing w:before="0" w:after="0" w:line="240" w:lineRule="auto"/>
              <w:jc w:val="right"/>
              <w:outlineLvl w:val="0"/>
              <w:rPr>
                <w:rFonts w:ascii="Arial" w:hAnsi="Arial" w:cs="Arial"/>
                <w:sz w:val="16"/>
                <w:szCs w:val="16"/>
              </w:rPr>
            </w:pPr>
            <w:r w:rsidRPr="00EC4BA6">
              <w:rPr>
                <w:rFonts w:ascii="Arial" w:hAnsi="Arial" w:cs="Arial"/>
                <w:sz w:val="16"/>
                <w:szCs w:val="16"/>
              </w:rPr>
              <w:t> </w:t>
            </w:r>
          </w:p>
        </w:tc>
        <w:tc>
          <w:tcPr>
            <w:tcW w:w="459" w:type="pct"/>
            <w:tcBorders>
              <w:top w:val="nil"/>
              <w:left w:val="nil"/>
              <w:bottom w:val="nil"/>
              <w:right w:val="nil"/>
            </w:tcBorders>
            <w:shd w:val="clear" w:color="000000" w:fill="E6F2FF"/>
            <w:vAlign w:val="center"/>
            <w:hideMark/>
          </w:tcPr>
          <w:p w14:paraId="5B18198A" w14:textId="77777777" w:rsidR="001F707C" w:rsidRPr="00EC4BA6" w:rsidRDefault="001F707C" w:rsidP="001F707C">
            <w:pPr>
              <w:spacing w:before="0" w:after="0" w:line="240" w:lineRule="auto"/>
              <w:jc w:val="right"/>
              <w:outlineLvl w:val="0"/>
              <w:rPr>
                <w:rFonts w:ascii="Arial" w:hAnsi="Arial" w:cs="Arial"/>
                <w:sz w:val="16"/>
                <w:szCs w:val="16"/>
              </w:rPr>
            </w:pPr>
            <w:r w:rsidRPr="00EC4BA6">
              <w:rPr>
                <w:rFonts w:ascii="Arial" w:hAnsi="Arial" w:cs="Arial"/>
                <w:sz w:val="16"/>
                <w:szCs w:val="16"/>
              </w:rPr>
              <w:t> </w:t>
            </w:r>
          </w:p>
        </w:tc>
        <w:tc>
          <w:tcPr>
            <w:tcW w:w="459" w:type="pct"/>
            <w:tcBorders>
              <w:top w:val="nil"/>
              <w:left w:val="nil"/>
              <w:bottom w:val="nil"/>
              <w:right w:val="nil"/>
            </w:tcBorders>
            <w:shd w:val="clear" w:color="000000" w:fill="E6F2FF"/>
            <w:vAlign w:val="center"/>
            <w:hideMark/>
          </w:tcPr>
          <w:p w14:paraId="46989A20" w14:textId="77777777" w:rsidR="001F707C" w:rsidRPr="00EC4BA6" w:rsidRDefault="001F707C" w:rsidP="001F707C">
            <w:pPr>
              <w:spacing w:before="0" w:after="0" w:line="240" w:lineRule="auto"/>
              <w:jc w:val="right"/>
              <w:outlineLvl w:val="0"/>
              <w:rPr>
                <w:rFonts w:ascii="Arial" w:hAnsi="Arial" w:cs="Arial"/>
                <w:sz w:val="16"/>
                <w:szCs w:val="16"/>
              </w:rPr>
            </w:pPr>
            <w:r w:rsidRPr="00EC4BA6">
              <w:rPr>
                <w:rFonts w:ascii="Arial" w:hAnsi="Arial" w:cs="Arial"/>
                <w:sz w:val="16"/>
                <w:szCs w:val="16"/>
              </w:rPr>
              <w:t> </w:t>
            </w:r>
          </w:p>
        </w:tc>
        <w:tc>
          <w:tcPr>
            <w:tcW w:w="510" w:type="pct"/>
            <w:tcBorders>
              <w:top w:val="nil"/>
              <w:left w:val="nil"/>
              <w:bottom w:val="nil"/>
              <w:right w:val="nil"/>
            </w:tcBorders>
            <w:shd w:val="clear" w:color="000000" w:fill="E6F2FF"/>
            <w:vAlign w:val="center"/>
            <w:hideMark/>
          </w:tcPr>
          <w:p w14:paraId="675D930B" w14:textId="77777777" w:rsidR="001F707C" w:rsidRPr="00EC4BA6" w:rsidRDefault="001F707C" w:rsidP="001F707C">
            <w:pPr>
              <w:spacing w:before="0" w:after="0" w:line="240" w:lineRule="auto"/>
              <w:jc w:val="right"/>
              <w:outlineLvl w:val="0"/>
              <w:rPr>
                <w:rFonts w:ascii="Arial" w:hAnsi="Arial" w:cs="Arial"/>
                <w:sz w:val="16"/>
                <w:szCs w:val="16"/>
              </w:rPr>
            </w:pPr>
            <w:r w:rsidRPr="00EC4BA6">
              <w:rPr>
                <w:rFonts w:ascii="Arial" w:hAnsi="Arial" w:cs="Arial"/>
                <w:sz w:val="16"/>
                <w:szCs w:val="16"/>
              </w:rPr>
              <w:t> </w:t>
            </w:r>
          </w:p>
        </w:tc>
      </w:tr>
      <w:tr w:rsidR="001F707C" w:rsidRPr="00EC4BA6" w14:paraId="4C127AF3" w14:textId="77777777" w:rsidTr="001F707C">
        <w:trPr>
          <w:trHeight w:hRule="exact" w:val="235"/>
        </w:trPr>
        <w:tc>
          <w:tcPr>
            <w:tcW w:w="2108" w:type="pct"/>
            <w:tcBorders>
              <w:top w:val="nil"/>
              <w:left w:val="nil"/>
              <w:bottom w:val="nil"/>
              <w:right w:val="nil"/>
            </w:tcBorders>
            <w:shd w:val="clear" w:color="000000" w:fill="FFFFFF"/>
            <w:noWrap/>
            <w:vAlign w:val="center"/>
            <w:hideMark/>
          </w:tcPr>
          <w:p w14:paraId="01B1ECC3" w14:textId="3E9956D6" w:rsidR="001F707C" w:rsidRPr="00EC4BA6" w:rsidRDefault="001F707C" w:rsidP="001F707C">
            <w:pPr>
              <w:spacing w:before="0" w:after="0" w:line="240" w:lineRule="auto"/>
              <w:ind w:left="170"/>
              <w:rPr>
                <w:rFonts w:ascii="Arial" w:hAnsi="Arial" w:cs="Arial"/>
                <w:sz w:val="16"/>
                <w:szCs w:val="16"/>
              </w:rPr>
            </w:pPr>
            <w:r w:rsidRPr="00EC4BA6">
              <w:rPr>
                <w:rFonts w:ascii="Arial" w:hAnsi="Arial" w:cs="Arial"/>
                <w:sz w:val="16"/>
                <w:szCs w:val="16"/>
              </w:rPr>
              <w:t>Non</w:t>
            </w:r>
            <w:r w:rsidR="001A3DD6">
              <w:rPr>
                <w:rFonts w:ascii="Arial" w:hAnsi="Arial" w:cs="Arial"/>
                <w:sz w:val="16"/>
                <w:szCs w:val="16"/>
              </w:rPr>
              <w:noBreakHyphen/>
            </w:r>
            <w:r w:rsidRPr="00EC4BA6">
              <w:rPr>
                <w:rFonts w:ascii="Arial" w:hAnsi="Arial" w:cs="Arial"/>
                <w:sz w:val="16"/>
                <w:szCs w:val="16"/>
              </w:rPr>
              <w:t>farm gross mixed income</w:t>
            </w:r>
          </w:p>
        </w:tc>
        <w:tc>
          <w:tcPr>
            <w:tcW w:w="459" w:type="pct"/>
            <w:tcBorders>
              <w:top w:val="nil"/>
              <w:left w:val="nil"/>
              <w:bottom w:val="nil"/>
              <w:right w:val="nil"/>
            </w:tcBorders>
            <w:shd w:val="clear" w:color="000000" w:fill="FFFFFF"/>
            <w:noWrap/>
            <w:vAlign w:val="center"/>
            <w:hideMark/>
          </w:tcPr>
          <w:p w14:paraId="21D4ACF7"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0.1</w:t>
            </w:r>
          </w:p>
        </w:tc>
        <w:tc>
          <w:tcPr>
            <w:tcW w:w="85" w:type="pct"/>
            <w:tcBorders>
              <w:top w:val="nil"/>
              <w:left w:val="nil"/>
              <w:bottom w:val="nil"/>
              <w:right w:val="nil"/>
            </w:tcBorders>
            <w:shd w:val="clear" w:color="000000" w:fill="FFFFFF"/>
            <w:noWrap/>
            <w:vAlign w:val="center"/>
            <w:hideMark/>
          </w:tcPr>
          <w:p w14:paraId="76FC3514"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 </w:t>
            </w:r>
          </w:p>
        </w:tc>
        <w:tc>
          <w:tcPr>
            <w:tcW w:w="459" w:type="pct"/>
            <w:tcBorders>
              <w:top w:val="nil"/>
              <w:left w:val="nil"/>
              <w:bottom w:val="nil"/>
              <w:right w:val="nil"/>
            </w:tcBorders>
            <w:shd w:val="clear" w:color="000000" w:fill="E6F2FF"/>
            <w:vAlign w:val="center"/>
            <w:hideMark/>
          </w:tcPr>
          <w:p w14:paraId="448D3DB2"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2 1/2</w:t>
            </w:r>
          </w:p>
        </w:tc>
        <w:tc>
          <w:tcPr>
            <w:tcW w:w="459" w:type="pct"/>
            <w:tcBorders>
              <w:top w:val="nil"/>
              <w:left w:val="nil"/>
              <w:bottom w:val="nil"/>
              <w:right w:val="nil"/>
            </w:tcBorders>
            <w:shd w:val="clear" w:color="000000" w:fill="E6F2FF"/>
            <w:vAlign w:val="center"/>
            <w:hideMark/>
          </w:tcPr>
          <w:p w14:paraId="7984B233"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8 1/4</w:t>
            </w:r>
          </w:p>
        </w:tc>
        <w:tc>
          <w:tcPr>
            <w:tcW w:w="459" w:type="pct"/>
            <w:tcBorders>
              <w:top w:val="nil"/>
              <w:left w:val="nil"/>
              <w:bottom w:val="nil"/>
              <w:right w:val="nil"/>
            </w:tcBorders>
            <w:shd w:val="clear" w:color="000000" w:fill="E6F2FF"/>
            <w:vAlign w:val="center"/>
            <w:hideMark/>
          </w:tcPr>
          <w:p w14:paraId="72B534E0"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7 1/4</w:t>
            </w:r>
          </w:p>
        </w:tc>
        <w:tc>
          <w:tcPr>
            <w:tcW w:w="459" w:type="pct"/>
            <w:tcBorders>
              <w:top w:val="nil"/>
              <w:left w:val="nil"/>
              <w:bottom w:val="nil"/>
              <w:right w:val="nil"/>
            </w:tcBorders>
            <w:shd w:val="clear" w:color="000000" w:fill="E6F2FF"/>
            <w:vAlign w:val="center"/>
            <w:hideMark/>
          </w:tcPr>
          <w:p w14:paraId="2CBA7A60"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7 1/4</w:t>
            </w:r>
          </w:p>
        </w:tc>
        <w:tc>
          <w:tcPr>
            <w:tcW w:w="510" w:type="pct"/>
            <w:tcBorders>
              <w:top w:val="nil"/>
              <w:left w:val="nil"/>
              <w:bottom w:val="nil"/>
              <w:right w:val="nil"/>
            </w:tcBorders>
            <w:shd w:val="clear" w:color="000000" w:fill="E6F2FF"/>
            <w:vAlign w:val="center"/>
            <w:hideMark/>
          </w:tcPr>
          <w:p w14:paraId="08F5783D"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6 1/2</w:t>
            </w:r>
          </w:p>
        </w:tc>
      </w:tr>
      <w:tr w:rsidR="001F707C" w:rsidRPr="00EC4BA6" w14:paraId="3D4E3B34" w14:textId="77777777" w:rsidTr="001F707C">
        <w:trPr>
          <w:trHeight w:hRule="exact" w:val="235"/>
        </w:trPr>
        <w:tc>
          <w:tcPr>
            <w:tcW w:w="2108" w:type="pct"/>
            <w:tcBorders>
              <w:top w:val="nil"/>
              <w:left w:val="nil"/>
              <w:bottom w:val="nil"/>
              <w:right w:val="nil"/>
            </w:tcBorders>
            <w:shd w:val="clear" w:color="000000" w:fill="FFFFFF"/>
            <w:noWrap/>
            <w:vAlign w:val="center"/>
            <w:hideMark/>
          </w:tcPr>
          <w:p w14:paraId="7C039E5B" w14:textId="290E1841" w:rsidR="001F707C" w:rsidRPr="00EC4BA6" w:rsidRDefault="001F707C" w:rsidP="001F707C">
            <w:pPr>
              <w:spacing w:before="0" w:after="0" w:line="240" w:lineRule="auto"/>
              <w:ind w:left="340"/>
              <w:rPr>
                <w:rFonts w:ascii="Arial" w:hAnsi="Arial" w:cs="Arial"/>
                <w:sz w:val="16"/>
                <w:szCs w:val="16"/>
              </w:rPr>
            </w:pPr>
            <w:r w:rsidRPr="00EC4BA6">
              <w:rPr>
                <w:rFonts w:ascii="Arial" w:hAnsi="Arial" w:cs="Arial"/>
                <w:sz w:val="16"/>
                <w:szCs w:val="16"/>
              </w:rPr>
              <w:t>Change since 2024</w:t>
            </w:r>
            <w:r w:rsidR="001A3DD6">
              <w:rPr>
                <w:rFonts w:ascii="Arial" w:hAnsi="Arial" w:cs="Arial"/>
                <w:sz w:val="16"/>
                <w:szCs w:val="16"/>
              </w:rPr>
              <w:noBreakHyphen/>
            </w:r>
            <w:r w:rsidRPr="00EC4BA6">
              <w:rPr>
                <w:rFonts w:ascii="Arial" w:hAnsi="Arial" w:cs="Arial"/>
                <w:sz w:val="16"/>
                <w:szCs w:val="16"/>
              </w:rPr>
              <w:t>25 MYEFO</w:t>
            </w:r>
          </w:p>
        </w:tc>
        <w:tc>
          <w:tcPr>
            <w:tcW w:w="459" w:type="pct"/>
            <w:tcBorders>
              <w:top w:val="nil"/>
              <w:left w:val="nil"/>
              <w:bottom w:val="nil"/>
              <w:right w:val="nil"/>
            </w:tcBorders>
            <w:shd w:val="clear" w:color="000000" w:fill="FFFFFF"/>
            <w:noWrap/>
            <w:vAlign w:val="center"/>
            <w:hideMark/>
          </w:tcPr>
          <w:p w14:paraId="31DF0058"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 </w:t>
            </w:r>
          </w:p>
        </w:tc>
        <w:tc>
          <w:tcPr>
            <w:tcW w:w="85" w:type="pct"/>
            <w:tcBorders>
              <w:top w:val="nil"/>
              <w:left w:val="nil"/>
              <w:bottom w:val="nil"/>
              <w:right w:val="nil"/>
            </w:tcBorders>
            <w:shd w:val="clear" w:color="000000" w:fill="FFFFFF"/>
            <w:noWrap/>
            <w:vAlign w:val="center"/>
            <w:hideMark/>
          </w:tcPr>
          <w:p w14:paraId="531D1067"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 </w:t>
            </w:r>
          </w:p>
        </w:tc>
        <w:tc>
          <w:tcPr>
            <w:tcW w:w="459" w:type="pct"/>
            <w:tcBorders>
              <w:top w:val="nil"/>
              <w:left w:val="nil"/>
              <w:bottom w:val="nil"/>
              <w:right w:val="nil"/>
            </w:tcBorders>
            <w:shd w:val="clear" w:color="000000" w:fill="E6F2FF"/>
            <w:vAlign w:val="center"/>
            <w:hideMark/>
          </w:tcPr>
          <w:p w14:paraId="1D0B107E" w14:textId="53B1DE6C" w:rsidR="001F707C" w:rsidRPr="00EC4BA6" w:rsidRDefault="001A3DD6" w:rsidP="001F707C">
            <w:pPr>
              <w:spacing w:before="0" w:after="0" w:line="240" w:lineRule="auto"/>
              <w:jc w:val="right"/>
              <w:rPr>
                <w:rFonts w:ascii="Arial" w:hAnsi="Arial" w:cs="Arial"/>
                <w:i/>
                <w:sz w:val="16"/>
                <w:szCs w:val="16"/>
              </w:rPr>
            </w:pPr>
            <w:r>
              <w:rPr>
                <w:rFonts w:ascii="Arial" w:hAnsi="Arial" w:cs="Arial"/>
                <w:i/>
                <w:sz w:val="16"/>
                <w:szCs w:val="16"/>
              </w:rPr>
              <w:noBreakHyphen/>
            </w:r>
            <w:r w:rsidR="001F707C" w:rsidRPr="00EC4BA6">
              <w:rPr>
                <w:rFonts w:ascii="Arial" w:hAnsi="Arial" w:cs="Arial"/>
                <w:i/>
                <w:sz w:val="16"/>
                <w:szCs w:val="16"/>
              </w:rPr>
              <w:t>1 3/4</w:t>
            </w:r>
          </w:p>
        </w:tc>
        <w:tc>
          <w:tcPr>
            <w:tcW w:w="459" w:type="pct"/>
            <w:tcBorders>
              <w:top w:val="nil"/>
              <w:left w:val="nil"/>
              <w:bottom w:val="nil"/>
              <w:right w:val="nil"/>
            </w:tcBorders>
            <w:shd w:val="clear" w:color="000000" w:fill="E6F2FF"/>
            <w:vAlign w:val="center"/>
            <w:hideMark/>
          </w:tcPr>
          <w:p w14:paraId="4C8479C7" w14:textId="77777777" w:rsidR="001F707C" w:rsidRPr="00EC4BA6" w:rsidRDefault="001F707C" w:rsidP="001F707C">
            <w:pPr>
              <w:spacing w:before="0" w:after="0" w:line="240" w:lineRule="auto"/>
              <w:jc w:val="right"/>
              <w:rPr>
                <w:rFonts w:ascii="Arial" w:hAnsi="Arial" w:cs="Arial"/>
                <w:i/>
                <w:sz w:val="16"/>
                <w:szCs w:val="16"/>
              </w:rPr>
            </w:pPr>
            <w:r w:rsidRPr="00EC4BA6">
              <w:rPr>
                <w:rFonts w:ascii="Arial" w:hAnsi="Arial" w:cs="Arial"/>
                <w:i/>
                <w:sz w:val="16"/>
                <w:szCs w:val="16"/>
              </w:rPr>
              <w:t>1 1/4</w:t>
            </w:r>
          </w:p>
        </w:tc>
        <w:tc>
          <w:tcPr>
            <w:tcW w:w="459" w:type="pct"/>
            <w:tcBorders>
              <w:top w:val="nil"/>
              <w:left w:val="nil"/>
              <w:bottom w:val="nil"/>
              <w:right w:val="nil"/>
            </w:tcBorders>
            <w:shd w:val="clear" w:color="000000" w:fill="E6F2FF"/>
            <w:vAlign w:val="center"/>
            <w:hideMark/>
          </w:tcPr>
          <w:p w14:paraId="1140B67D" w14:textId="6E87B1AC" w:rsidR="001F707C" w:rsidRPr="00EC4BA6" w:rsidRDefault="001A3DD6" w:rsidP="001F707C">
            <w:pPr>
              <w:spacing w:before="0" w:after="0" w:line="240" w:lineRule="auto"/>
              <w:jc w:val="right"/>
              <w:rPr>
                <w:rFonts w:ascii="Arial" w:hAnsi="Arial" w:cs="Arial"/>
                <w:i/>
                <w:sz w:val="16"/>
                <w:szCs w:val="16"/>
              </w:rPr>
            </w:pPr>
            <w:r>
              <w:rPr>
                <w:rFonts w:ascii="Arial" w:hAnsi="Arial" w:cs="Arial"/>
                <w:i/>
                <w:sz w:val="16"/>
                <w:szCs w:val="16"/>
              </w:rPr>
              <w:noBreakHyphen/>
            </w:r>
            <w:r w:rsidR="001F707C" w:rsidRPr="00EC4BA6">
              <w:rPr>
                <w:rFonts w:ascii="Arial" w:hAnsi="Arial" w:cs="Arial"/>
                <w:i/>
                <w:sz w:val="16"/>
                <w:szCs w:val="16"/>
              </w:rPr>
              <w:t xml:space="preserve"> 1/2</w:t>
            </w:r>
          </w:p>
        </w:tc>
        <w:tc>
          <w:tcPr>
            <w:tcW w:w="459" w:type="pct"/>
            <w:tcBorders>
              <w:top w:val="nil"/>
              <w:left w:val="nil"/>
              <w:bottom w:val="nil"/>
              <w:right w:val="nil"/>
            </w:tcBorders>
            <w:shd w:val="clear" w:color="000000" w:fill="E6F2FF"/>
            <w:vAlign w:val="center"/>
            <w:hideMark/>
          </w:tcPr>
          <w:p w14:paraId="7AA5A22A" w14:textId="0D183382" w:rsidR="001F707C" w:rsidRPr="00EC4BA6" w:rsidRDefault="001F707C" w:rsidP="001F707C">
            <w:pPr>
              <w:spacing w:before="0" w:after="0" w:line="240" w:lineRule="auto"/>
              <w:jc w:val="right"/>
              <w:rPr>
                <w:rFonts w:ascii="Arial" w:hAnsi="Arial" w:cs="Arial"/>
                <w:i/>
                <w:sz w:val="16"/>
                <w:szCs w:val="16"/>
              </w:rPr>
            </w:pPr>
            <w:r w:rsidRPr="00EC4BA6">
              <w:rPr>
                <w:rFonts w:ascii="Arial" w:hAnsi="Arial" w:cs="Arial"/>
                <w:i/>
                <w:sz w:val="16"/>
                <w:szCs w:val="16"/>
              </w:rPr>
              <w:t>1/4</w:t>
            </w:r>
          </w:p>
        </w:tc>
        <w:tc>
          <w:tcPr>
            <w:tcW w:w="510" w:type="pct"/>
            <w:tcBorders>
              <w:top w:val="nil"/>
              <w:left w:val="nil"/>
              <w:bottom w:val="nil"/>
              <w:right w:val="nil"/>
            </w:tcBorders>
            <w:shd w:val="clear" w:color="000000" w:fill="E6F2FF"/>
            <w:vAlign w:val="center"/>
            <w:hideMark/>
          </w:tcPr>
          <w:p w14:paraId="3F4B0D69"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 </w:t>
            </w:r>
          </w:p>
        </w:tc>
      </w:tr>
      <w:tr w:rsidR="001F707C" w:rsidRPr="00EC4BA6" w14:paraId="5A7E685E" w14:textId="77777777" w:rsidTr="001F707C">
        <w:trPr>
          <w:trHeight w:hRule="exact" w:val="70"/>
        </w:trPr>
        <w:tc>
          <w:tcPr>
            <w:tcW w:w="2108" w:type="pct"/>
            <w:tcBorders>
              <w:top w:val="nil"/>
              <w:left w:val="nil"/>
              <w:bottom w:val="nil"/>
              <w:right w:val="nil"/>
            </w:tcBorders>
            <w:shd w:val="clear" w:color="000000" w:fill="FFFFFF"/>
            <w:noWrap/>
            <w:vAlign w:val="center"/>
            <w:hideMark/>
          </w:tcPr>
          <w:p w14:paraId="7D420D5B" w14:textId="77777777" w:rsidR="001F707C" w:rsidRPr="00EC4BA6" w:rsidRDefault="001F707C" w:rsidP="001F707C">
            <w:pPr>
              <w:spacing w:before="0" w:after="0" w:line="240" w:lineRule="auto"/>
              <w:ind w:left="170"/>
              <w:rPr>
                <w:rFonts w:ascii="Arial" w:hAnsi="Arial" w:cs="Arial"/>
                <w:sz w:val="16"/>
                <w:szCs w:val="16"/>
              </w:rPr>
            </w:pPr>
            <w:r w:rsidRPr="00EC4BA6">
              <w:rPr>
                <w:rFonts w:ascii="Arial" w:hAnsi="Arial" w:cs="Arial"/>
                <w:sz w:val="16"/>
                <w:szCs w:val="16"/>
              </w:rPr>
              <w:t> </w:t>
            </w:r>
          </w:p>
        </w:tc>
        <w:tc>
          <w:tcPr>
            <w:tcW w:w="459" w:type="pct"/>
            <w:tcBorders>
              <w:top w:val="nil"/>
              <w:left w:val="nil"/>
              <w:bottom w:val="nil"/>
              <w:right w:val="nil"/>
            </w:tcBorders>
            <w:shd w:val="clear" w:color="000000" w:fill="FFFFFF"/>
            <w:noWrap/>
            <w:vAlign w:val="center"/>
            <w:hideMark/>
          </w:tcPr>
          <w:p w14:paraId="6A076999"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 </w:t>
            </w:r>
          </w:p>
        </w:tc>
        <w:tc>
          <w:tcPr>
            <w:tcW w:w="85" w:type="pct"/>
            <w:tcBorders>
              <w:top w:val="nil"/>
              <w:left w:val="nil"/>
              <w:bottom w:val="nil"/>
              <w:right w:val="nil"/>
            </w:tcBorders>
            <w:shd w:val="clear" w:color="000000" w:fill="FFFFFF"/>
            <w:noWrap/>
            <w:vAlign w:val="center"/>
            <w:hideMark/>
          </w:tcPr>
          <w:p w14:paraId="396AF111"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 </w:t>
            </w:r>
          </w:p>
        </w:tc>
        <w:tc>
          <w:tcPr>
            <w:tcW w:w="459" w:type="pct"/>
            <w:tcBorders>
              <w:top w:val="nil"/>
              <w:left w:val="nil"/>
              <w:bottom w:val="nil"/>
              <w:right w:val="nil"/>
            </w:tcBorders>
            <w:shd w:val="clear" w:color="000000" w:fill="E6F2FF"/>
            <w:vAlign w:val="center"/>
            <w:hideMark/>
          </w:tcPr>
          <w:p w14:paraId="56AEF4E3"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 </w:t>
            </w:r>
          </w:p>
        </w:tc>
        <w:tc>
          <w:tcPr>
            <w:tcW w:w="459" w:type="pct"/>
            <w:tcBorders>
              <w:top w:val="nil"/>
              <w:left w:val="nil"/>
              <w:bottom w:val="nil"/>
              <w:right w:val="nil"/>
            </w:tcBorders>
            <w:shd w:val="clear" w:color="000000" w:fill="E6F2FF"/>
            <w:vAlign w:val="center"/>
            <w:hideMark/>
          </w:tcPr>
          <w:p w14:paraId="10F58EE5"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 </w:t>
            </w:r>
          </w:p>
        </w:tc>
        <w:tc>
          <w:tcPr>
            <w:tcW w:w="459" w:type="pct"/>
            <w:tcBorders>
              <w:top w:val="nil"/>
              <w:left w:val="nil"/>
              <w:bottom w:val="nil"/>
              <w:right w:val="nil"/>
            </w:tcBorders>
            <w:shd w:val="clear" w:color="000000" w:fill="E6F2FF"/>
            <w:vAlign w:val="center"/>
            <w:hideMark/>
          </w:tcPr>
          <w:p w14:paraId="3777A648"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 </w:t>
            </w:r>
          </w:p>
        </w:tc>
        <w:tc>
          <w:tcPr>
            <w:tcW w:w="459" w:type="pct"/>
            <w:tcBorders>
              <w:top w:val="nil"/>
              <w:left w:val="nil"/>
              <w:bottom w:val="nil"/>
              <w:right w:val="nil"/>
            </w:tcBorders>
            <w:shd w:val="clear" w:color="000000" w:fill="E6F2FF"/>
            <w:vAlign w:val="center"/>
            <w:hideMark/>
          </w:tcPr>
          <w:p w14:paraId="0432EFC0"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 </w:t>
            </w:r>
          </w:p>
        </w:tc>
        <w:tc>
          <w:tcPr>
            <w:tcW w:w="510" w:type="pct"/>
            <w:tcBorders>
              <w:top w:val="nil"/>
              <w:left w:val="nil"/>
              <w:bottom w:val="nil"/>
              <w:right w:val="nil"/>
            </w:tcBorders>
            <w:shd w:val="clear" w:color="000000" w:fill="E6F2FF"/>
            <w:vAlign w:val="center"/>
            <w:hideMark/>
          </w:tcPr>
          <w:p w14:paraId="31245931"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 </w:t>
            </w:r>
          </w:p>
        </w:tc>
      </w:tr>
      <w:tr w:rsidR="001F707C" w:rsidRPr="00EC4BA6" w14:paraId="23E3CD23" w14:textId="77777777" w:rsidTr="001F707C">
        <w:trPr>
          <w:trHeight w:hRule="exact" w:val="235"/>
        </w:trPr>
        <w:tc>
          <w:tcPr>
            <w:tcW w:w="2108" w:type="pct"/>
            <w:tcBorders>
              <w:top w:val="nil"/>
              <w:left w:val="nil"/>
              <w:bottom w:val="nil"/>
              <w:right w:val="nil"/>
            </w:tcBorders>
            <w:shd w:val="clear" w:color="000000" w:fill="FFFFFF"/>
            <w:noWrap/>
            <w:vAlign w:val="center"/>
            <w:hideMark/>
          </w:tcPr>
          <w:p w14:paraId="3E76C77F" w14:textId="77777777" w:rsidR="001F707C" w:rsidRPr="00EC4BA6" w:rsidRDefault="001F707C" w:rsidP="001F707C">
            <w:pPr>
              <w:spacing w:before="0" w:after="0" w:line="240" w:lineRule="auto"/>
              <w:ind w:left="170"/>
              <w:rPr>
                <w:rFonts w:ascii="Arial" w:hAnsi="Arial" w:cs="Arial"/>
                <w:sz w:val="16"/>
                <w:szCs w:val="16"/>
              </w:rPr>
            </w:pPr>
            <w:r w:rsidRPr="00EC4BA6">
              <w:rPr>
                <w:rFonts w:ascii="Arial" w:hAnsi="Arial" w:cs="Arial"/>
                <w:sz w:val="16"/>
                <w:szCs w:val="16"/>
              </w:rPr>
              <w:t>Property income</w:t>
            </w:r>
            <w:r w:rsidRPr="00EC4BA6">
              <w:rPr>
                <w:rFonts w:ascii="Arial" w:hAnsi="Arial" w:cs="Arial"/>
                <w:sz w:val="16"/>
                <w:szCs w:val="16"/>
                <w:vertAlign w:val="superscript"/>
              </w:rPr>
              <w:t>(d)</w:t>
            </w:r>
          </w:p>
        </w:tc>
        <w:tc>
          <w:tcPr>
            <w:tcW w:w="459" w:type="pct"/>
            <w:tcBorders>
              <w:top w:val="nil"/>
              <w:left w:val="nil"/>
              <w:bottom w:val="nil"/>
              <w:right w:val="nil"/>
            </w:tcBorders>
            <w:shd w:val="clear" w:color="000000" w:fill="FFFFFF"/>
            <w:noWrap/>
            <w:vAlign w:val="center"/>
            <w:hideMark/>
          </w:tcPr>
          <w:p w14:paraId="6DD03BCF"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16.0</w:t>
            </w:r>
          </w:p>
        </w:tc>
        <w:tc>
          <w:tcPr>
            <w:tcW w:w="85" w:type="pct"/>
            <w:tcBorders>
              <w:top w:val="nil"/>
              <w:left w:val="nil"/>
              <w:bottom w:val="nil"/>
              <w:right w:val="nil"/>
            </w:tcBorders>
            <w:shd w:val="clear" w:color="000000" w:fill="FFFFFF"/>
            <w:noWrap/>
            <w:vAlign w:val="center"/>
            <w:hideMark/>
          </w:tcPr>
          <w:p w14:paraId="68936AE2"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 </w:t>
            </w:r>
          </w:p>
        </w:tc>
        <w:tc>
          <w:tcPr>
            <w:tcW w:w="459" w:type="pct"/>
            <w:tcBorders>
              <w:top w:val="nil"/>
              <w:left w:val="nil"/>
              <w:bottom w:val="nil"/>
              <w:right w:val="nil"/>
            </w:tcBorders>
            <w:shd w:val="clear" w:color="000000" w:fill="E6F2FF"/>
            <w:vAlign w:val="center"/>
            <w:hideMark/>
          </w:tcPr>
          <w:p w14:paraId="7A785583"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6 3/4</w:t>
            </w:r>
          </w:p>
        </w:tc>
        <w:tc>
          <w:tcPr>
            <w:tcW w:w="459" w:type="pct"/>
            <w:tcBorders>
              <w:top w:val="nil"/>
              <w:left w:val="nil"/>
              <w:bottom w:val="nil"/>
              <w:right w:val="nil"/>
            </w:tcBorders>
            <w:shd w:val="clear" w:color="000000" w:fill="E6F2FF"/>
            <w:vAlign w:val="center"/>
            <w:hideMark/>
          </w:tcPr>
          <w:p w14:paraId="757574A1"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2 1/4</w:t>
            </w:r>
          </w:p>
        </w:tc>
        <w:tc>
          <w:tcPr>
            <w:tcW w:w="459" w:type="pct"/>
            <w:tcBorders>
              <w:top w:val="nil"/>
              <w:left w:val="nil"/>
              <w:bottom w:val="nil"/>
              <w:right w:val="nil"/>
            </w:tcBorders>
            <w:shd w:val="clear" w:color="000000" w:fill="E6F2FF"/>
            <w:vAlign w:val="center"/>
            <w:hideMark/>
          </w:tcPr>
          <w:p w14:paraId="36083003"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 xml:space="preserve">4    </w:t>
            </w:r>
          </w:p>
        </w:tc>
        <w:tc>
          <w:tcPr>
            <w:tcW w:w="459" w:type="pct"/>
            <w:tcBorders>
              <w:top w:val="nil"/>
              <w:left w:val="nil"/>
              <w:bottom w:val="nil"/>
              <w:right w:val="nil"/>
            </w:tcBorders>
            <w:shd w:val="clear" w:color="000000" w:fill="E6F2FF"/>
            <w:vAlign w:val="center"/>
            <w:hideMark/>
          </w:tcPr>
          <w:p w14:paraId="7326AFBD"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 xml:space="preserve">5    </w:t>
            </w:r>
          </w:p>
        </w:tc>
        <w:tc>
          <w:tcPr>
            <w:tcW w:w="510" w:type="pct"/>
            <w:tcBorders>
              <w:top w:val="nil"/>
              <w:left w:val="nil"/>
              <w:bottom w:val="nil"/>
              <w:right w:val="nil"/>
            </w:tcBorders>
            <w:shd w:val="clear" w:color="000000" w:fill="E6F2FF"/>
            <w:vAlign w:val="center"/>
            <w:hideMark/>
          </w:tcPr>
          <w:p w14:paraId="2E30DEE5"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 xml:space="preserve">5    </w:t>
            </w:r>
          </w:p>
        </w:tc>
      </w:tr>
      <w:tr w:rsidR="001F707C" w:rsidRPr="00EC4BA6" w14:paraId="7129CE2B" w14:textId="77777777" w:rsidTr="001F707C">
        <w:trPr>
          <w:trHeight w:hRule="exact" w:val="235"/>
        </w:trPr>
        <w:tc>
          <w:tcPr>
            <w:tcW w:w="2108" w:type="pct"/>
            <w:tcBorders>
              <w:top w:val="nil"/>
              <w:left w:val="nil"/>
              <w:bottom w:val="nil"/>
              <w:right w:val="nil"/>
            </w:tcBorders>
            <w:shd w:val="clear" w:color="000000" w:fill="FFFFFF"/>
            <w:noWrap/>
            <w:vAlign w:val="center"/>
            <w:hideMark/>
          </w:tcPr>
          <w:p w14:paraId="7541784D" w14:textId="3F7351B3" w:rsidR="001F707C" w:rsidRPr="00EC4BA6" w:rsidRDefault="001F707C" w:rsidP="001F707C">
            <w:pPr>
              <w:spacing w:before="0" w:after="0" w:line="240" w:lineRule="auto"/>
              <w:ind w:left="340"/>
              <w:rPr>
                <w:rFonts w:ascii="Arial" w:hAnsi="Arial" w:cs="Arial"/>
                <w:sz w:val="16"/>
                <w:szCs w:val="16"/>
              </w:rPr>
            </w:pPr>
            <w:r w:rsidRPr="00EC4BA6">
              <w:rPr>
                <w:rFonts w:ascii="Arial" w:hAnsi="Arial" w:cs="Arial"/>
                <w:sz w:val="16"/>
                <w:szCs w:val="16"/>
              </w:rPr>
              <w:t>Change since 2024</w:t>
            </w:r>
            <w:r w:rsidR="001A3DD6">
              <w:rPr>
                <w:rFonts w:ascii="Arial" w:hAnsi="Arial" w:cs="Arial"/>
                <w:sz w:val="16"/>
                <w:szCs w:val="16"/>
              </w:rPr>
              <w:noBreakHyphen/>
            </w:r>
            <w:r w:rsidRPr="00EC4BA6">
              <w:rPr>
                <w:rFonts w:ascii="Arial" w:hAnsi="Arial" w:cs="Arial"/>
                <w:sz w:val="16"/>
                <w:szCs w:val="16"/>
              </w:rPr>
              <w:t>25 MYEFO</w:t>
            </w:r>
          </w:p>
        </w:tc>
        <w:tc>
          <w:tcPr>
            <w:tcW w:w="459" w:type="pct"/>
            <w:tcBorders>
              <w:top w:val="nil"/>
              <w:left w:val="nil"/>
              <w:bottom w:val="nil"/>
              <w:right w:val="nil"/>
            </w:tcBorders>
            <w:shd w:val="clear" w:color="000000" w:fill="FFFFFF"/>
            <w:noWrap/>
            <w:vAlign w:val="center"/>
            <w:hideMark/>
          </w:tcPr>
          <w:p w14:paraId="6BB111D7"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 </w:t>
            </w:r>
          </w:p>
        </w:tc>
        <w:tc>
          <w:tcPr>
            <w:tcW w:w="85" w:type="pct"/>
            <w:tcBorders>
              <w:top w:val="nil"/>
              <w:left w:val="nil"/>
              <w:bottom w:val="nil"/>
              <w:right w:val="nil"/>
            </w:tcBorders>
            <w:shd w:val="clear" w:color="000000" w:fill="FFFFFF"/>
            <w:noWrap/>
            <w:vAlign w:val="center"/>
            <w:hideMark/>
          </w:tcPr>
          <w:p w14:paraId="0306464B"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 </w:t>
            </w:r>
          </w:p>
        </w:tc>
        <w:tc>
          <w:tcPr>
            <w:tcW w:w="459" w:type="pct"/>
            <w:tcBorders>
              <w:top w:val="nil"/>
              <w:left w:val="nil"/>
              <w:bottom w:val="nil"/>
              <w:right w:val="nil"/>
            </w:tcBorders>
            <w:shd w:val="clear" w:color="000000" w:fill="E6F2FF"/>
            <w:vAlign w:val="center"/>
            <w:hideMark/>
          </w:tcPr>
          <w:p w14:paraId="22C34EFD" w14:textId="419672E1" w:rsidR="001F707C" w:rsidRPr="00EC4BA6" w:rsidRDefault="001A3DD6" w:rsidP="001F707C">
            <w:pPr>
              <w:spacing w:before="0" w:after="0" w:line="240" w:lineRule="auto"/>
              <w:jc w:val="right"/>
              <w:rPr>
                <w:rFonts w:ascii="Arial" w:hAnsi="Arial" w:cs="Arial"/>
                <w:i/>
                <w:sz w:val="16"/>
                <w:szCs w:val="16"/>
              </w:rPr>
            </w:pPr>
            <w:r>
              <w:rPr>
                <w:rFonts w:ascii="Arial" w:hAnsi="Arial" w:cs="Arial"/>
                <w:i/>
                <w:sz w:val="16"/>
                <w:szCs w:val="16"/>
              </w:rPr>
              <w:noBreakHyphen/>
            </w:r>
            <w:r w:rsidR="001F707C" w:rsidRPr="00EC4BA6">
              <w:rPr>
                <w:rFonts w:ascii="Arial" w:hAnsi="Arial" w:cs="Arial"/>
                <w:i/>
                <w:sz w:val="16"/>
                <w:szCs w:val="16"/>
              </w:rPr>
              <w:t>1 1/4</w:t>
            </w:r>
          </w:p>
        </w:tc>
        <w:tc>
          <w:tcPr>
            <w:tcW w:w="459" w:type="pct"/>
            <w:tcBorders>
              <w:top w:val="nil"/>
              <w:left w:val="nil"/>
              <w:bottom w:val="nil"/>
              <w:right w:val="nil"/>
            </w:tcBorders>
            <w:shd w:val="clear" w:color="000000" w:fill="E6F2FF"/>
            <w:vAlign w:val="center"/>
            <w:hideMark/>
          </w:tcPr>
          <w:p w14:paraId="39BA0C0A" w14:textId="020E6343" w:rsidR="001F707C" w:rsidRPr="00EC4BA6" w:rsidRDefault="001A3DD6" w:rsidP="001F707C">
            <w:pPr>
              <w:spacing w:before="0" w:after="0" w:line="240" w:lineRule="auto"/>
              <w:jc w:val="right"/>
              <w:rPr>
                <w:rFonts w:ascii="Arial" w:hAnsi="Arial" w:cs="Arial"/>
                <w:i/>
                <w:sz w:val="16"/>
                <w:szCs w:val="16"/>
              </w:rPr>
            </w:pPr>
            <w:r>
              <w:rPr>
                <w:rFonts w:ascii="Arial" w:hAnsi="Arial" w:cs="Arial"/>
                <w:i/>
                <w:sz w:val="16"/>
                <w:szCs w:val="16"/>
              </w:rPr>
              <w:noBreakHyphen/>
            </w:r>
            <w:r w:rsidR="001F707C" w:rsidRPr="00EC4BA6">
              <w:rPr>
                <w:rFonts w:ascii="Arial" w:hAnsi="Arial" w:cs="Arial"/>
                <w:i/>
                <w:sz w:val="16"/>
                <w:szCs w:val="16"/>
              </w:rPr>
              <w:t>1 1/4</w:t>
            </w:r>
          </w:p>
        </w:tc>
        <w:tc>
          <w:tcPr>
            <w:tcW w:w="459" w:type="pct"/>
            <w:tcBorders>
              <w:top w:val="nil"/>
              <w:left w:val="nil"/>
              <w:bottom w:val="nil"/>
              <w:right w:val="nil"/>
            </w:tcBorders>
            <w:shd w:val="clear" w:color="000000" w:fill="E6F2FF"/>
            <w:vAlign w:val="center"/>
            <w:hideMark/>
          </w:tcPr>
          <w:p w14:paraId="316CBB18" w14:textId="6D8054D8" w:rsidR="001F707C" w:rsidRPr="00EC4BA6" w:rsidRDefault="001A3DD6" w:rsidP="001F707C">
            <w:pPr>
              <w:spacing w:before="0" w:after="0" w:line="240" w:lineRule="auto"/>
              <w:jc w:val="right"/>
              <w:rPr>
                <w:rFonts w:ascii="Arial" w:hAnsi="Arial" w:cs="Arial"/>
                <w:i/>
                <w:sz w:val="16"/>
                <w:szCs w:val="16"/>
              </w:rPr>
            </w:pPr>
            <w:r>
              <w:rPr>
                <w:rFonts w:ascii="Arial" w:hAnsi="Arial" w:cs="Arial"/>
                <w:i/>
                <w:sz w:val="16"/>
                <w:szCs w:val="16"/>
              </w:rPr>
              <w:noBreakHyphen/>
            </w:r>
            <w:r w:rsidR="001F707C" w:rsidRPr="00EC4BA6">
              <w:rPr>
                <w:rFonts w:ascii="Arial" w:hAnsi="Arial" w:cs="Arial"/>
                <w:i/>
                <w:sz w:val="16"/>
                <w:szCs w:val="16"/>
              </w:rPr>
              <w:t xml:space="preserve"> 1/2</w:t>
            </w:r>
          </w:p>
        </w:tc>
        <w:tc>
          <w:tcPr>
            <w:tcW w:w="459" w:type="pct"/>
            <w:tcBorders>
              <w:top w:val="nil"/>
              <w:left w:val="nil"/>
              <w:bottom w:val="nil"/>
              <w:right w:val="nil"/>
            </w:tcBorders>
            <w:shd w:val="clear" w:color="000000" w:fill="E6F2FF"/>
            <w:vAlign w:val="center"/>
            <w:hideMark/>
          </w:tcPr>
          <w:p w14:paraId="33524AEE" w14:textId="7189D295" w:rsidR="001F707C" w:rsidRPr="00EC4BA6" w:rsidRDefault="001F707C" w:rsidP="001F707C">
            <w:pPr>
              <w:spacing w:before="0" w:after="0" w:line="240" w:lineRule="auto"/>
              <w:jc w:val="right"/>
              <w:rPr>
                <w:rFonts w:ascii="Arial" w:hAnsi="Arial" w:cs="Arial"/>
                <w:i/>
                <w:sz w:val="16"/>
                <w:szCs w:val="16"/>
              </w:rPr>
            </w:pPr>
            <w:r w:rsidRPr="00EC4BA6">
              <w:rPr>
                <w:rFonts w:ascii="Arial" w:hAnsi="Arial" w:cs="Arial"/>
                <w:i/>
                <w:sz w:val="16"/>
                <w:szCs w:val="16"/>
              </w:rPr>
              <w:t>1/4</w:t>
            </w:r>
          </w:p>
        </w:tc>
        <w:tc>
          <w:tcPr>
            <w:tcW w:w="510" w:type="pct"/>
            <w:tcBorders>
              <w:top w:val="nil"/>
              <w:left w:val="nil"/>
              <w:bottom w:val="nil"/>
              <w:right w:val="nil"/>
            </w:tcBorders>
            <w:shd w:val="clear" w:color="000000" w:fill="E6F2FF"/>
            <w:vAlign w:val="center"/>
            <w:hideMark/>
          </w:tcPr>
          <w:p w14:paraId="771163AD"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 </w:t>
            </w:r>
          </w:p>
        </w:tc>
      </w:tr>
      <w:tr w:rsidR="001F707C" w:rsidRPr="00EC4BA6" w14:paraId="214DFD43" w14:textId="77777777" w:rsidTr="001F707C">
        <w:trPr>
          <w:trHeight w:hRule="exact" w:val="70"/>
        </w:trPr>
        <w:tc>
          <w:tcPr>
            <w:tcW w:w="2108" w:type="pct"/>
            <w:tcBorders>
              <w:top w:val="nil"/>
              <w:left w:val="nil"/>
              <w:bottom w:val="nil"/>
              <w:right w:val="nil"/>
            </w:tcBorders>
            <w:shd w:val="clear" w:color="000000" w:fill="FFFFFF"/>
            <w:noWrap/>
            <w:vAlign w:val="center"/>
            <w:hideMark/>
          </w:tcPr>
          <w:p w14:paraId="6BD73E3B" w14:textId="77777777" w:rsidR="001F707C" w:rsidRPr="00EC4BA6" w:rsidRDefault="001F707C" w:rsidP="001F707C">
            <w:pPr>
              <w:spacing w:before="0" w:after="0" w:line="240" w:lineRule="auto"/>
              <w:ind w:left="170"/>
              <w:rPr>
                <w:rFonts w:ascii="Arial" w:hAnsi="Arial" w:cs="Arial"/>
                <w:sz w:val="16"/>
                <w:szCs w:val="16"/>
              </w:rPr>
            </w:pPr>
            <w:r w:rsidRPr="00EC4BA6">
              <w:rPr>
                <w:rFonts w:ascii="Arial" w:hAnsi="Arial" w:cs="Arial"/>
                <w:sz w:val="16"/>
                <w:szCs w:val="16"/>
              </w:rPr>
              <w:t> </w:t>
            </w:r>
          </w:p>
        </w:tc>
        <w:tc>
          <w:tcPr>
            <w:tcW w:w="459" w:type="pct"/>
            <w:tcBorders>
              <w:top w:val="nil"/>
              <w:left w:val="nil"/>
              <w:bottom w:val="nil"/>
              <w:right w:val="nil"/>
            </w:tcBorders>
            <w:shd w:val="clear" w:color="000000" w:fill="FFFFFF"/>
            <w:noWrap/>
            <w:vAlign w:val="center"/>
            <w:hideMark/>
          </w:tcPr>
          <w:p w14:paraId="3B7B4BF4"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 </w:t>
            </w:r>
          </w:p>
        </w:tc>
        <w:tc>
          <w:tcPr>
            <w:tcW w:w="85" w:type="pct"/>
            <w:tcBorders>
              <w:top w:val="nil"/>
              <w:left w:val="nil"/>
              <w:bottom w:val="nil"/>
              <w:right w:val="nil"/>
            </w:tcBorders>
            <w:shd w:val="clear" w:color="000000" w:fill="FFFFFF"/>
            <w:noWrap/>
            <w:vAlign w:val="center"/>
            <w:hideMark/>
          </w:tcPr>
          <w:p w14:paraId="041DA67D"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 </w:t>
            </w:r>
          </w:p>
        </w:tc>
        <w:tc>
          <w:tcPr>
            <w:tcW w:w="459" w:type="pct"/>
            <w:tcBorders>
              <w:top w:val="nil"/>
              <w:left w:val="nil"/>
              <w:bottom w:val="nil"/>
              <w:right w:val="nil"/>
            </w:tcBorders>
            <w:shd w:val="clear" w:color="000000" w:fill="E6F2FF"/>
            <w:vAlign w:val="center"/>
            <w:hideMark/>
          </w:tcPr>
          <w:p w14:paraId="0088AA88"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 </w:t>
            </w:r>
          </w:p>
        </w:tc>
        <w:tc>
          <w:tcPr>
            <w:tcW w:w="459" w:type="pct"/>
            <w:tcBorders>
              <w:top w:val="nil"/>
              <w:left w:val="nil"/>
              <w:bottom w:val="nil"/>
              <w:right w:val="nil"/>
            </w:tcBorders>
            <w:shd w:val="clear" w:color="000000" w:fill="E6F2FF"/>
            <w:vAlign w:val="center"/>
            <w:hideMark/>
          </w:tcPr>
          <w:p w14:paraId="1602E1D3"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 </w:t>
            </w:r>
          </w:p>
        </w:tc>
        <w:tc>
          <w:tcPr>
            <w:tcW w:w="459" w:type="pct"/>
            <w:tcBorders>
              <w:top w:val="nil"/>
              <w:left w:val="nil"/>
              <w:bottom w:val="nil"/>
              <w:right w:val="nil"/>
            </w:tcBorders>
            <w:shd w:val="clear" w:color="000000" w:fill="E6F2FF"/>
            <w:vAlign w:val="center"/>
            <w:hideMark/>
          </w:tcPr>
          <w:p w14:paraId="079E1AE6"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 </w:t>
            </w:r>
          </w:p>
        </w:tc>
        <w:tc>
          <w:tcPr>
            <w:tcW w:w="459" w:type="pct"/>
            <w:tcBorders>
              <w:top w:val="nil"/>
              <w:left w:val="nil"/>
              <w:bottom w:val="nil"/>
              <w:right w:val="nil"/>
            </w:tcBorders>
            <w:shd w:val="clear" w:color="000000" w:fill="E6F2FF"/>
            <w:vAlign w:val="center"/>
            <w:hideMark/>
          </w:tcPr>
          <w:p w14:paraId="577A8DDB"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 </w:t>
            </w:r>
          </w:p>
        </w:tc>
        <w:tc>
          <w:tcPr>
            <w:tcW w:w="510" w:type="pct"/>
            <w:tcBorders>
              <w:top w:val="nil"/>
              <w:left w:val="nil"/>
              <w:bottom w:val="nil"/>
              <w:right w:val="nil"/>
            </w:tcBorders>
            <w:shd w:val="clear" w:color="000000" w:fill="E6F2FF"/>
            <w:vAlign w:val="center"/>
            <w:hideMark/>
          </w:tcPr>
          <w:p w14:paraId="13A0F7C5"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 </w:t>
            </w:r>
          </w:p>
        </w:tc>
      </w:tr>
      <w:tr w:rsidR="001F707C" w:rsidRPr="00EC4BA6" w14:paraId="6FB594CC" w14:textId="77777777" w:rsidTr="001F707C">
        <w:trPr>
          <w:trHeight w:hRule="exact" w:val="235"/>
        </w:trPr>
        <w:tc>
          <w:tcPr>
            <w:tcW w:w="2108" w:type="pct"/>
            <w:tcBorders>
              <w:top w:val="nil"/>
              <w:left w:val="nil"/>
              <w:bottom w:val="nil"/>
              <w:right w:val="nil"/>
            </w:tcBorders>
            <w:shd w:val="clear" w:color="000000" w:fill="FFFFFF"/>
            <w:noWrap/>
            <w:vAlign w:val="center"/>
            <w:hideMark/>
          </w:tcPr>
          <w:p w14:paraId="47F9ABC3" w14:textId="77777777" w:rsidR="001F707C" w:rsidRPr="00EC4BA6" w:rsidRDefault="001F707C" w:rsidP="001F707C">
            <w:pPr>
              <w:spacing w:before="0" w:after="0" w:line="240" w:lineRule="auto"/>
              <w:ind w:left="170"/>
              <w:rPr>
                <w:rFonts w:ascii="Arial" w:hAnsi="Arial" w:cs="Arial"/>
                <w:sz w:val="16"/>
                <w:szCs w:val="16"/>
              </w:rPr>
            </w:pPr>
            <w:r w:rsidRPr="00EC4BA6">
              <w:rPr>
                <w:rFonts w:ascii="Arial" w:hAnsi="Arial" w:cs="Arial"/>
                <w:sz w:val="16"/>
                <w:szCs w:val="16"/>
              </w:rPr>
              <w:t>Consumption subject to GST</w:t>
            </w:r>
          </w:p>
        </w:tc>
        <w:tc>
          <w:tcPr>
            <w:tcW w:w="459" w:type="pct"/>
            <w:tcBorders>
              <w:top w:val="nil"/>
              <w:left w:val="nil"/>
              <w:bottom w:val="nil"/>
              <w:right w:val="nil"/>
            </w:tcBorders>
            <w:shd w:val="clear" w:color="000000" w:fill="FFFFFF"/>
            <w:noWrap/>
            <w:vAlign w:val="center"/>
            <w:hideMark/>
          </w:tcPr>
          <w:p w14:paraId="503F2910"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3.7</w:t>
            </w:r>
          </w:p>
        </w:tc>
        <w:tc>
          <w:tcPr>
            <w:tcW w:w="85" w:type="pct"/>
            <w:tcBorders>
              <w:top w:val="nil"/>
              <w:left w:val="nil"/>
              <w:bottom w:val="nil"/>
              <w:right w:val="nil"/>
            </w:tcBorders>
            <w:shd w:val="clear" w:color="000000" w:fill="FFFFFF"/>
            <w:noWrap/>
            <w:vAlign w:val="center"/>
            <w:hideMark/>
          </w:tcPr>
          <w:p w14:paraId="221720C2"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 </w:t>
            </w:r>
          </w:p>
        </w:tc>
        <w:tc>
          <w:tcPr>
            <w:tcW w:w="459" w:type="pct"/>
            <w:tcBorders>
              <w:top w:val="nil"/>
              <w:left w:val="nil"/>
              <w:bottom w:val="nil"/>
              <w:right w:val="nil"/>
            </w:tcBorders>
            <w:shd w:val="clear" w:color="000000" w:fill="E6F2FF"/>
            <w:vAlign w:val="center"/>
            <w:hideMark/>
          </w:tcPr>
          <w:p w14:paraId="6C507310"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2 1/4</w:t>
            </w:r>
          </w:p>
        </w:tc>
        <w:tc>
          <w:tcPr>
            <w:tcW w:w="459" w:type="pct"/>
            <w:tcBorders>
              <w:top w:val="nil"/>
              <w:left w:val="nil"/>
              <w:bottom w:val="nil"/>
              <w:right w:val="nil"/>
            </w:tcBorders>
            <w:shd w:val="clear" w:color="000000" w:fill="E6F2FF"/>
            <w:vAlign w:val="center"/>
            <w:hideMark/>
          </w:tcPr>
          <w:p w14:paraId="655B1CAE"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 xml:space="preserve">5    </w:t>
            </w:r>
          </w:p>
        </w:tc>
        <w:tc>
          <w:tcPr>
            <w:tcW w:w="459" w:type="pct"/>
            <w:tcBorders>
              <w:top w:val="nil"/>
              <w:left w:val="nil"/>
              <w:bottom w:val="nil"/>
              <w:right w:val="nil"/>
            </w:tcBorders>
            <w:shd w:val="clear" w:color="000000" w:fill="E6F2FF"/>
            <w:vAlign w:val="center"/>
            <w:hideMark/>
          </w:tcPr>
          <w:p w14:paraId="73682064"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4 1/4</w:t>
            </w:r>
          </w:p>
        </w:tc>
        <w:tc>
          <w:tcPr>
            <w:tcW w:w="459" w:type="pct"/>
            <w:tcBorders>
              <w:top w:val="nil"/>
              <w:left w:val="nil"/>
              <w:bottom w:val="nil"/>
              <w:right w:val="nil"/>
            </w:tcBorders>
            <w:shd w:val="clear" w:color="000000" w:fill="E6F2FF"/>
            <w:vAlign w:val="center"/>
            <w:hideMark/>
          </w:tcPr>
          <w:p w14:paraId="7CAF8CB8"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 xml:space="preserve">5    </w:t>
            </w:r>
          </w:p>
        </w:tc>
        <w:tc>
          <w:tcPr>
            <w:tcW w:w="510" w:type="pct"/>
            <w:tcBorders>
              <w:top w:val="nil"/>
              <w:left w:val="nil"/>
              <w:bottom w:val="nil"/>
              <w:right w:val="nil"/>
            </w:tcBorders>
            <w:shd w:val="clear" w:color="000000" w:fill="E6F2FF"/>
            <w:vAlign w:val="center"/>
            <w:hideMark/>
          </w:tcPr>
          <w:p w14:paraId="75B65A5D"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4 1/2</w:t>
            </w:r>
          </w:p>
        </w:tc>
      </w:tr>
      <w:tr w:rsidR="001F707C" w:rsidRPr="00EC4BA6" w14:paraId="1D8C7BA2" w14:textId="77777777" w:rsidTr="001F707C">
        <w:trPr>
          <w:trHeight w:hRule="exact" w:val="235"/>
        </w:trPr>
        <w:tc>
          <w:tcPr>
            <w:tcW w:w="2108" w:type="pct"/>
            <w:tcBorders>
              <w:top w:val="nil"/>
              <w:left w:val="nil"/>
              <w:bottom w:val="single" w:sz="4" w:space="0" w:color="293F5B"/>
              <w:right w:val="nil"/>
            </w:tcBorders>
            <w:shd w:val="clear" w:color="000000" w:fill="FFFFFF"/>
            <w:noWrap/>
            <w:vAlign w:val="center"/>
            <w:hideMark/>
          </w:tcPr>
          <w:p w14:paraId="241A4F6C" w14:textId="1A6CF175" w:rsidR="001F707C" w:rsidRPr="00EC4BA6" w:rsidRDefault="001F707C" w:rsidP="001F707C">
            <w:pPr>
              <w:spacing w:before="0" w:after="0" w:line="240" w:lineRule="auto"/>
              <w:ind w:left="340"/>
              <w:rPr>
                <w:rFonts w:ascii="Arial" w:hAnsi="Arial" w:cs="Arial"/>
                <w:sz w:val="16"/>
                <w:szCs w:val="16"/>
              </w:rPr>
            </w:pPr>
            <w:r w:rsidRPr="00EC4BA6">
              <w:rPr>
                <w:rFonts w:ascii="Arial" w:hAnsi="Arial" w:cs="Arial"/>
                <w:sz w:val="16"/>
                <w:szCs w:val="16"/>
              </w:rPr>
              <w:t>Change since 2024</w:t>
            </w:r>
            <w:r w:rsidR="001A3DD6">
              <w:rPr>
                <w:rFonts w:ascii="Arial" w:hAnsi="Arial" w:cs="Arial"/>
                <w:sz w:val="16"/>
                <w:szCs w:val="16"/>
              </w:rPr>
              <w:noBreakHyphen/>
            </w:r>
            <w:r w:rsidRPr="00EC4BA6">
              <w:rPr>
                <w:rFonts w:ascii="Arial" w:hAnsi="Arial" w:cs="Arial"/>
                <w:sz w:val="16"/>
                <w:szCs w:val="16"/>
              </w:rPr>
              <w:t>25 MYEFO</w:t>
            </w:r>
          </w:p>
        </w:tc>
        <w:tc>
          <w:tcPr>
            <w:tcW w:w="459" w:type="pct"/>
            <w:tcBorders>
              <w:top w:val="nil"/>
              <w:left w:val="nil"/>
              <w:bottom w:val="single" w:sz="4" w:space="0" w:color="293F5B"/>
              <w:right w:val="nil"/>
            </w:tcBorders>
            <w:shd w:val="clear" w:color="000000" w:fill="FFFFFF"/>
            <w:noWrap/>
            <w:vAlign w:val="center"/>
            <w:hideMark/>
          </w:tcPr>
          <w:p w14:paraId="206598B6"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 </w:t>
            </w:r>
          </w:p>
        </w:tc>
        <w:tc>
          <w:tcPr>
            <w:tcW w:w="85" w:type="pct"/>
            <w:tcBorders>
              <w:top w:val="nil"/>
              <w:left w:val="nil"/>
              <w:bottom w:val="single" w:sz="4" w:space="0" w:color="293F5B"/>
              <w:right w:val="nil"/>
            </w:tcBorders>
            <w:shd w:val="clear" w:color="000000" w:fill="FFFFFF"/>
            <w:noWrap/>
            <w:vAlign w:val="center"/>
            <w:hideMark/>
          </w:tcPr>
          <w:p w14:paraId="74A0339D"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 </w:t>
            </w:r>
          </w:p>
        </w:tc>
        <w:tc>
          <w:tcPr>
            <w:tcW w:w="459" w:type="pct"/>
            <w:tcBorders>
              <w:top w:val="nil"/>
              <w:left w:val="nil"/>
              <w:bottom w:val="single" w:sz="4" w:space="0" w:color="auto"/>
              <w:right w:val="nil"/>
            </w:tcBorders>
            <w:shd w:val="clear" w:color="000000" w:fill="E6F2FF"/>
            <w:vAlign w:val="center"/>
            <w:hideMark/>
          </w:tcPr>
          <w:p w14:paraId="40E90266" w14:textId="77777777" w:rsidR="001F707C" w:rsidRPr="00EC4BA6" w:rsidRDefault="001F707C" w:rsidP="001F707C">
            <w:pPr>
              <w:spacing w:before="0" w:after="0" w:line="240" w:lineRule="auto"/>
              <w:jc w:val="right"/>
              <w:rPr>
                <w:rFonts w:ascii="Arial" w:hAnsi="Arial" w:cs="Arial"/>
                <w:i/>
                <w:sz w:val="16"/>
                <w:szCs w:val="16"/>
              </w:rPr>
            </w:pPr>
            <w:r w:rsidRPr="00EC4BA6">
              <w:rPr>
                <w:rFonts w:ascii="Arial" w:hAnsi="Arial" w:cs="Arial"/>
                <w:i/>
                <w:sz w:val="16"/>
                <w:szCs w:val="16"/>
              </w:rPr>
              <w:t xml:space="preserve">0    </w:t>
            </w:r>
          </w:p>
        </w:tc>
        <w:tc>
          <w:tcPr>
            <w:tcW w:w="459" w:type="pct"/>
            <w:tcBorders>
              <w:top w:val="nil"/>
              <w:left w:val="nil"/>
              <w:bottom w:val="single" w:sz="4" w:space="0" w:color="auto"/>
              <w:right w:val="nil"/>
            </w:tcBorders>
            <w:shd w:val="clear" w:color="000000" w:fill="E6F2FF"/>
            <w:vAlign w:val="center"/>
            <w:hideMark/>
          </w:tcPr>
          <w:p w14:paraId="460DE057" w14:textId="47AA0002" w:rsidR="001F707C" w:rsidRPr="00EC4BA6" w:rsidRDefault="001F707C" w:rsidP="001F707C">
            <w:pPr>
              <w:spacing w:before="0" w:after="0" w:line="240" w:lineRule="auto"/>
              <w:jc w:val="right"/>
              <w:rPr>
                <w:rFonts w:ascii="Arial" w:hAnsi="Arial" w:cs="Arial"/>
                <w:i/>
                <w:sz w:val="16"/>
                <w:szCs w:val="16"/>
              </w:rPr>
            </w:pPr>
            <w:r w:rsidRPr="00EC4BA6">
              <w:rPr>
                <w:rFonts w:ascii="Arial" w:hAnsi="Arial" w:cs="Arial"/>
                <w:i/>
                <w:sz w:val="16"/>
                <w:szCs w:val="16"/>
              </w:rPr>
              <w:t>1/2</w:t>
            </w:r>
          </w:p>
        </w:tc>
        <w:tc>
          <w:tcPr>
            <w:tcW w:w="459" w:type="pct"/>
            <w:tcBorders>
              <w:top w:val="nil"/>
              <w:left w:val="nil"/>
              <w:bottom w:val="single" w:sz="4" w:space="0" w:color="auto"/>
              <w:right w:val="nil"/>
            </w:tcBorders>
            <w:shd w:val="clear" w:color="000000" w:fill="E6F2FF"/>
            <w:vAlign w:val="center"/>
            <w:hideMark/>
          </w:tcPr>
          <w:p w14:paraId="1D6448EB" w14:textId="26DC934F" w:rsidR="001F707C" w:rsidRPr="00EC4BA6" w:rsidRDefault="001F707C" w:rsidP="001F707C">
            <w:pPr>
              <w:spacing w:before="0" w:after="0" w:line="240" w:lineRule="auto"/>
              <w:jc w:val="right"/>
              <w:rPr>
                <w:rFonts w:ascii="Arial" w:hAnsi="Arial" w:cs="Arial"/>
                <w:i/>
                <w:sz w:val="16"/>
                <w:szCs w:val="16"/>
              </w:rPr>
            </w:pPr>
            <w:r w:rsidRPr="00EC4BA6">
              <w:rPr>
                <w:rFonts w:ascii="Arial" w:hAnsi="Arial" w:cs="Arial"/>
                <w:i/>
                <w:sz w:val="16"/>
                <w:szCs w:val="16"/>
              </w:rPr>
              <w:t>1/2</w:t>
            </w:r>
          </w:p>
        </w:tc>
        <w:tc>
          <w:tcPr>
            <w:tcW w:w="459" w:type="pct"/>
            <w:tcBorders>
              <w:top w:val="nil"/>
              <w:left w:val="nil"/>
              <w:bottom w:val="single" w:sz="4" w:space="0" w:color="auto"/>
              <w:right w:val="nil"/>
            </w:tcBorders>
            <w:shd w:val="clear" w:color="000000" w:fill="E6F2FF"/>
            <w:vAlign w:val="center"/>
            <w:hideMark/>
          </w:tcPr>
          <w:p w14:paraId="2B4E14A6" w14:textId="77777777" w:rsidR="001F707C" w:rsidRPr="00EC4BA6" w:rsidRDefault="001F707C" w:rsidP="001F707C">
            <w:pPr>
              <w:spacing w:before="0" w:after="0" w:line="240" w:lineRule="auto"/>
              <w:jc w:val="right"/>
              <w:rPr>
                <w:rFonts w:ascii="Arial" w:hAnsi="Arial" w:cs="Arial"/>
                <w:i/>
                <w:sz w:val="16"/>
                <w:szCs w:val="16"/>
              </w:rPr>
            </w:pPr>
            <w:r w:rsidRPr="00EC4BA6">
              <w:rPr>
                <w:rFonts w:ascii="Arial" w:hAnsi="Arial" w:cs="Arial"/>
                <w:i/>
                <w:sz w:val="16"/>
                <w:szCs w:val="16"/>
              </w:rPr>
              <w:t xml:space="preserve">1    </w:t>
            </w:r>
          </w:p>
        </w:tc>
        <w:tc>
          <w:tcPr>
            <w:tcW w:w="510" w:type="pct"/>
            <w:tcBorders>
              <w:top w:val="nil"/>
              <w:left w:val="nil"/>
              <w:bottom w:val="single" w:sz="4" w:space="0" w:color="auto"/>
              <w:right w:val="nil"/>
            </w:tcBorders>
            <w:shd w:val="clear" w:color="000000" w:fill="E6F2FF"/>
            <w:vAlign w:val="center"/>
            <w:hideMark/>
          </w:tcPr>
          <w:p w14:paraId="6D7ADD66" w14:textId="77777777" w:rsidR="001F707C" w:rsidRPr="00EC4BA6" w:rsidRDefault="001F707C" w:rsidP="001F707C">
            <w:pPr>
              <w:spacing w:before="0" w:after="0" w:line="240" w:lineRule="auto"/>
              <w:jc w:val="right"/>
              <w:rPr>
                <w:rFonts w:ascii="Arial" w:hAnsi="Arial" w:cs="Arial"/>
                <w:sz w:val="16"/>
                <w:szCs w:val="16"/>
              </w:rPr>
            </w:pPr>
            <w:r w:rsidRPr="00EC4BA6">
              <w:rPr>
                <w:rFonts w:ascii="Arial" w:hAnsi="Arial" w:cs="Arial"/>
                <w:sz w:val="16"/>
                <w:szCs w:val="16"/>
              </w:rPr>
              <w:t> </w:t>
            </w:r>
          </w:p>
        </w:tc>
      </w:tr>
    </w:tbl>
    <w:p w14:paraId="19219857" w14:textId="246DAD33" w:rsidR="00DF4D4F" w:rsidRPr="00EC4BA6" w:rsidRDefault="00DF4D4F" w:rsidP="001F707C">
      <w:pPr>
        <w:pStyle w:val="ChartandTableFootnoteAlpha"/>
        <w:rPr>
          <w:color w:val="auto"/>
        </w:rPr>
      </w:pPr>
      <w:r w:rsidRPr="00EC4BA6">
        <w:rPr>
          <w:color w:val="auto"/>
        </w:rPr>
        <w:t>Current prices, per cent change on previous year. Changes since 202</w:t>
      </w:r>
      <w:r w:rsidR="0083254E" w:rsidRPr="00EC4BA6">
        <w:rPr>
          <w:color w:val="auto"/>
        </w:rPr>
        <w:t>4</w:t>
      </w:r>
      <w:r w:rsidRPr="00EC4BA6">
        <w:rPr>
          <w:color w:val="auto"/>
        </w:rPr>
        <w:t>–2</w:t>
      </w:r>
      <w:r w:rsidR="0083254E" w:rsidRPr="00EC4BA6">
        <w:rPr>
          <w:color w:val="auto"/>
        </w:rPr>
        <w:t>5</w:t>
      </w:r>
      <w:r w:rsidRPr="00EC4BA6">
        <w:rPr>
          <w:color w:val="auto"/>
        </w:rPr>
        <w:t xml:space="preserve"> MYEFO are percentage points.</w:t>
      </w:r>
    </w:p>
    <w:p w14:paraId="38DE0B30" w14:textId="77777777" w:rsidR="00DF4D4F" w:rsidRPr="00EC4BA6" w:rsidRDefault="00DF4D4F" w:rsidP="4DDB1054">
      <w:pPr>
        <w:pStyle w:val="ChartandTableFootnoteAlpha"/>
        <w:rPr>
          <w:color w:val="auto"/>
        </w:rPr>
      </w:pPr>
      <w:r w:rsidRPr="00EC4BA6">
        <w:rPr>
          <w:color w:val="auto"/>
        </w:rPr>
        <w:t>Compensation of employees measures total remuneration earned by employees.</w:t>
      </w:r>
    </w:p>
    <w:p w14:paraId="395FF226" w14:textId="6BEADBBA" w:rsidR="00DF4D4F" w:rsidRPr="00EC4BA6" w:rsidRDefault="00DF4D4F" w:rsidP="00DF4D4F">
      <w:pPr>
        <w:pStyle w:val="ChartandTableFootnoteAlpha"/>
        <w:rPr>
          <w:color w:val="auto"/>
        </w:rPr>
      </w:pPr>
      <w:r w:rsidRPr="00EC4BA6">
        <w:rPr>
          <w:color w:val="auto"/>
        </w:rPr>
        <w:t xml:space="preserve">Corporate </w:t>
      </w:r>
      <w:r w:rsidR="00923BFC" w:rsidRPr="00EC4BA6">
        <w:rPr>
          <w:color w:val="auto"/>
        </w:rPr>
        <w:t>gross operating surplus</w:t>
      </w:r>
      <w:r w:rsidRPr="00EC4BA6">
        <w:rPr>
          <w:color w:val="auto"/>
        </w:rPr>
        <w:t xml:space="preserve"> is an Australian System of National Accounts measure of company profits, gross of depreciation.</w:t>
      </w:r>
    </w:p>
    <w:p w14:paraId="30D9811C" w14:textId="77777777" w:rsidR="00DF4D4F" w:rsidRPr="00EC4BA6" w:rsidRDefault="00DF4D4F" w:rsidP="4DDB1054">
      <w:pPr>
        <w:pStyle w:val="ChartandTableFootnoteAlpha"/>
        <w:rPr>
          <w:color w:val="auto"/>
        </w:rPr>
      </w:pPr>
      <w:r w:rsidRPr="00EC4BA6">
        <w:rPr>
          <w:color w:val="auto"/>
        </w:rPr>
        <w:t>Property income measures income derived from rent, dividends and interest.</w:t>
      </w:r>
    </w:p>
    <w:p w14:paraId="233AD8D4" w14:textId="191F8CBC" w:rsidR="00DF4D4F" w:rsidRPr="00EC4BA6" w:rsidRDefault="00DF4D4F" w:rsidP="00DF4D4F">
      <w:pPr>
        <w:pStyle w:val="ChartandTableFootnote"/>
        <w:rPr>
          <w:color w:val="auto"/>
        </w:rPr>
      </w:pPr>
      <w:r w:rsidRPr="00EC4BA6">
        <w:rPr>
          <w:color w:val="auto"/>
        </w:rPr>
        <w:t>Source:</w:t>
      </w:r>
      <w:r w:rsidRPr="00EC4BA6">
        <w:rPr>
          <w:color w:val="auto"/>
        </w:rPr>
        <w:tab/>
        <w:t>ABS Australian National Accounts: National Income, Expenditure and Product; and Treasury.</w:t>
      </w:r>
    </w:p>
    <w:p w14:paraId="239D05B3" w14:textId="77777777" w:rsidR="00DF4D4F" w:rsidRPr="00EC4BA6" w:rsidRDefault="00DF4D4F" w:rsidP="00A722FE">
      <w:pPr>
        <w:pStyle w:val="TableLine"/>
      </w:pPr>
    </w:p>
    <w:p w14:paraId="59F05ED8" w14:textId="6FED11DC" w:rsidR="00DF4D4F" w:rsidRPr="00EC4BA6" w:rsidRDefault="00DF4D4F" w:rsidP="00DF4D4F">
      <w:r w:rsidRPr="00EC4BA6">
        <w:t>Changes in the outlook for individual heads of revenue are explained in more detail below.</w:t>
      </w:r>
    </w:p>
    <w:p w14:paraId="757374DC" w14:textId="77777777" w:rsidR="00DF4D4F" w:rsidRPr="00EC4BA6" w:rsidRDefault="00DF4D4F" w:rsidP="00DF4D4F">
      <w:pPr>
        <w:pStyle w:val="Heading4"/>
      </w:pPr>
      <w:r w:rsidRPr="00EC4BA6">
        <w:t xml:space="preserve">Individuals and other withholding taxes </w:t>
      </w:r>
    </w:p>
    <w:p w14:paraId="69570771" w14:textId="7530CA82" w:rsidR="00DF4D4F" w:rsidRPr="00EC4BA6" w:rsidRDefault="00DF4D4F" w:rsidP="00DF4D4F">
      <w:pPr>
        <w:rPr>
          <w:sz w:val="22"/>
          <w:szCs w:val="22"/>
        </w:rPr>
      </w:pPr>
      <w:r w:rsidRPr="00EC4BA6">
        <w:t>Since MYEFO, total individuals and other withholding tax receipts have been revised up by $</w:t>
      </w:r>
      <w:r w:rsidR="00417C88" w:rsidRPr="00EC4BA6">
        <w:t>1.</w:t>
      </w:r>
      <w:r w:rsidR="002A400A" w:rsidRPr="00EC4BA6">
        <w:t>3</w:t>
      </w:r>
      <w:r w:rsidR="00000D74" w:rsidRPr="00EC4BA6">
        <w:t> </w:t>
      </w:r>
      <w:r w:rsidRPr="00EC4BA6">
        <w:t>billion in 202</w:t>
      </w:r>
      <w:r w:rsidR="00D144A9" w:rsidRPr="00EC4BA6">
        <w:t>5</w:t>
      </w:r>
      <w:r w:rsidRPr="00EC4BA6">
        <w:t>–2</w:t>
      </w:r>
      <w:r w:rsidR="00D144A9" w:rsidRPr="00EC4BA6">
        <w:t>6</w:t>
      </w:r>
      <w:r w:rsidRPr="00EC4BA6">
        <w:t xml:space="preserve"> and</w:t>
      </w:r>
      <w:r w:rsidR="009874A6" w:rsidRPr="00EC4BA6">
        <w:t xml:space="preserve"> revised</w:t>
      </w:r>
      <w:r w:rsidRPr="00EC4BA6">
        <w:t xml:space="preserve"> </w:t>
      </w:r>
      <w:r w:rsidR="00BF25CD" w:rsidRPr="00EC4BA6">
        <w:t>down by $</w:t>
      </w:r>
      <w:r w:rsidR="00150C80" w:rsidRPr="00EC4BA6">
        <w:t>6.5</w:t>
      </w:r>
      <w:r w:rsidR="00000D74" w:rsidRPr="00EC4BA6">
        <w:t> </w:t>
      </w:r>
      <w:r w:rsidRPr="00EC4BA6">
        <w:t xml:space="preserve">billion over </w:t>
      </w:r>
      <w:r w:rsidR="00A522C0" w:rsidRPr="00EC4BA6">
        <w:t xml:space="preserve">the </w:t>
      </w:r>
      <w:r w:rsidRPr="00EC4BA6">
        <w:t xml:space="preserve">five years from </w:t>
      </w:r>
      <w:r w:rsidR="00A833A2" w:rsidRPr="00EC4BA6">
        <w:t>2024–25</w:t>
      </w:r>
      <w:r w:rsidRPr="00EC4BA6">
        <w:t xml:space="preserve"> to 202</w:t>
      </w:r>
      <w:r w:rsidR="005653FE" w:rsidRPr="00EC4BA6">
        <w:t>8</w:t>
      </w:r>
      <w:r w:rsidRPr="00EC4BA6">
        <w:t>–2</w:t>
      </w:r>
      <w:r w:rsidR="005653FE" w:rsidRPr="00EC4BA6">
        <w:t>9</w:t>
      </w:r>
      <w:r w:rsidRPr="00EC4BA6">
        <w:t>.</w:t>
      </w:r>
      <w:r w:rsidR="006705BF" w:rsidRPr="00EC4BA6">
        <w:t xml:space="preserve"> </w:t>
      </w:r>
      <w:r w:rsidR="006705BF" w:rsidRPr="005013E4">
        <w:t>Individuals and other withholding taxes have been revised down from 2026–27 with the delivery of the Government</w:t>
      </w:r>
      <w:r w:rsidR="001A3DD6">
        <w:t>’</w:t>
      </w:r>
      <w:r w:rsidR="006705BF" w:rsidRPr="005013E4">
        <w:t>s new tax cuts for every Australian taxpayer.</w:t>
      </w:r>
    </w:p>
    <w:p w14:paraId="12F5F80D" w14:textId="34E07EFD" w:rsidR="00DF4D4F" w:rsidRPr="00EC4BA6" w:rsidRDefault="00DF4D4F" w:rsidP="00DF4D4F">
      <w:r w:rsidRPr="00EC4BA6">
        <w:t>Excluding new policy decisions, individuals and other withholding tax receipts have been revised up by $</w:t>
      </w:r>
      <w:r w:rsidR="00341630" w:rsidRPr="00EC4BA6">
        <w:t>1.5</w:t>
      </w:r>
      <w:r w:rsidR="00000D74" w:rsidRPr="00EC4BA6">
        <w:t> </w:t>
      </w:r>
      <w:r w:rsidRPr="00EC4BA6">
        <w:t>billion in 202</w:t>
      </w:r>
      <w:r w:rsidR="005653FE" w:rsidRPr="00EC4BA6">
        <w:t>5</w:t>
      </w:r>
      <w:r w:rsidRPr="00EC4BA6">
        <w:t>–2</w:t>
      </w:r>
      <w:r w:rsidR="005653FE" w:rsidRPr="00EC4BA6">
        <w:t>6</w:t>
      </w:r>
      <w:r w:rsidRPr="00EC4BA6">
        <w:t xml:space="preserve"> and $</w:t>
      </w:r>
      <w:r w:rsidR="00972CD5" w:rsidRPr="00EC4BA6">
        <w:t>9.9</w:t>
      </w:r>
      <w:r w:rsidRPr="00EC4BA6">
        <w:t xml:space="preserve"> billion over the five years from </w:t>
      </w:r>
      <w:r w:rsidR="001A364A" w:rsidRPr="00EC4BA6">
        <w:t>2024–25</w:t>
      </w:r>
      <w:r w:rsidR="005653FE" w:rsidRPr="00EC4BA6">
        <w:t xml:space="preserve"> to 2028–29</w:t>
      </w:r>
      <w:r w:rsidRPr="00EC4BA6">
        <w:t xml:space="preserve">. This reflects </w:t>
      </w:r>
      <w:r w:rsidR="3B475213" w:rsidRPr="00EC4BA6">
        <w:t xml:space="preserve">a stronger outlook for </w:t>
      </w:r>
      <w:r w:rsidR="66455291" w:rsidRPr="00EC4BA6">
        <w:t>employment</w:t>
      </w:r>
      <w:r w:rsidR="008B5C04" w:rsidRPr="00EC4BA6">
        <w:t xml:space="preserve"> and wage</w:t>
      </w:r>
      <w:r w:rsidR="74F89904" w:rsidRPr="00EC4BA6">
        <w:t>s</w:t>
      </w:r>
      <w:r w:rsidR="008B5C04" w:rsidRPr="00EC4BA6">
        <w:t xml:space="preserve"> growth</w:t>
      </w:r>
      <w:r w:rsidR="730EAC41" w:rsidRPr="00EC4BA6">
        <w:t>.</w:t>
      </w:r>
      <w:r w:rsidRPr="00EC4BA6">
        <w:t xml:space="preserve"> </w:t>
      </w:r>
    </w:p>
    <w:p w14:paraId="1EA7432F" w14:textId="40B58ABC" w:rsidR="00DF4D4F" w:rsidRPr="00EC4BA6" w:rsidRDefault="00DF4D4F" w:rsidP="00DF4D4F">
      <w:r w:rsidRPr="00EC4BA6">
        <w:t xml:space="preserve">New tax policy measures announced since MYEFO are expected to </w:t>
      </w:r>
      <w:r w:rsidR="00FD4061" w:rsidRPr="00EC4BA6">
        <w:t>decre</w:t>
      </w:r>
      <w:r w:rsidR="00C83A7A" w:rsidRPr="00EC4BA6">
        <w:t xml:space="preserve">ase individuals and other withholding tax receipts by </w:t>
      </w:r>
      <w:r w:rsidR="005957C3" w:rsidRPr="00EC4BA6">
        <w:t xml:space="preserve">$179.1 million </w:t>
      </w:r>
      <w:r w:rsidRPr="00EC4BA6">
        <w:t>in 202</w:t>
      </w:r>
      <w:r w:rsidR="00CE7A1D" w:rsidRPr="00EC4BA6">
        <w:t>5</w:t>
      </w:r>
      <w:r w:rsidRPr="00EC4BA6">
        <w:t>–</w:t>
      </w:r>
      <w:r w:rsidRPr="00EC4BA6" w:rsidDel="005957C3">
        <w:t>2</w:t>
      </w:r>
      <w:r w:rsidR="00CE7A1D" w:rsidRPr="00EC4BA6" w:rsidDel="005957C3">
        <w:t>6</w:t>
      </w:r>
      <w:r w:rsidRPr="00EC4BA6" w:rsidDel="005957C3">
        <w:t xml:space="preserve"> and</w:t>
      </w:r>
      <w:r w:rsidR="005313D2" w:rsidRPr="00EC4BA6" w:rsidDel="005957C3">
        <w:t xml:space="preserve"> </w:t>
      </w:r>
      <w:r w:rsidRPr="00EC4BA6">
        <w:t>$</w:t>
      </w:r>
      <w:r w:rsidR="001F24CC" w:rsidRPr="00EC4BA6">
        <w:t>16.4</w:t>
      </w:r>
      <w:r w:rsidR="00000D74" w:rsidRPr="00EC4BA6">
        <w:t> </w:t>
      </w:r>
      <w:r w:rsidRPr="00EC4BA6">
        <w:t xml:space="preserve">billion over the five years from </w:t>
      </w:r>
      <w:r w:rsidR="00CE7A1D" w:rsidRPr="00EC4BA6">
        <w:t>20</w:t>
      </w:r>
      <w:r w:rsidR="00A833A2" w:rsidRPr="00EC4BA6">
        <w:t>24</w:t>
      </w:r>
      <w:r w:rsidR="00CE7A1D" w:rsidRPr="00EC4BA6">
        <w:t>–2</w:t>
      </w:r>
      <w:r w:rsidR="00A833A2" w:rsidRPr="00EC4BA6">
        <w:t>5</w:t>
      </w:r>
      <w:r w:rsidR="00CE7A1D" w:rsidRPr="00EC4BA6">
        <w:t xml:space="preserve"> to 2028–29</w:t>
      </w:r>
      <w:r w:rsidRPr="00EC4BA6">
        <w:t xml:space="preserve">. </w:t>
      </w:r>
    </w:p>
    <w:p w14:paraId="11C933D3" w14:textId="0F98145C" w:rsidR="00DF4D4F" w:rsidRPr="00EC4BA6" w:rsidRDefault="00DF4D4F" w:rsidP="00DF4D4F">
      <w:pPr>
        <w:pStyle w:val="Heading4"/>
      </w:pPr>
      <w:bookmarkStart w:id="31" w:name="_Toc512338381"/>
      <w:bookmarkStart w:id="32" w:name="_Toc67658748"/>
      <w:bookmarkStart w:id="33" w:name="_Hlk115166590"/>
      <w:r w:rsidRPr="00EC4BA6">
        <w:t>Fringe benefits</w:t>
      </w:r>
      <w:r w:rsidR="00CB3205" w:rsidRPr="00EC4BA6">
        <w:t xml:space="preserve"> tax</w:t>
      </w:r>
      <w:bookmarkEnd w:id="31"/>
      <w:bookmarkEnd w:id="32"/>
    </w:p>
    <w:p w14:paraId="6ED5EB25" w14:textId="1A0F900C" w:rsidR="00DF4D4F" w:rsidRPr="00EC4BA6" w:rsidRDefault="00DF4D4F" w:rsidP="00DF4D4F">
      <w:r w:rsidRPr="00EC4BA6">
        <w:t>Since MYEFO, fringe benefits tax receipts have been revised up by $</w:t>
      </w:r>
      <w:r w:rsidR="00AA1597" w:rsidRPr="00EC4BA6">
        <w:t>50.0</w:t>
      </w:r>
      <w:r w:rsidR="00000D74" w:rsidRPr="00EC4BA6">
        <w:t> </w:t>
      </w:r>
      <w:r w:rsidRPr="00EC4BA6">
        <w:t>million in 202</w:t>
      </w:r>
      <w:r w:rsidR="00E740DF" w:rsidRPr="00EC4BA6">
        <w:t>5</w:t>
      </w:r>
      <w:r w:rsidRPr="00EC4BA6">
        <w:t>–</w:t>
      </w:r>
      <w:r w:rsidRPr="00EC4BA6">
        <w:rPr>
          <w:rFonts w:ascii="Times New Roman" w:hAnsi="Times New Roman"/>
        </w:rPr>
        <w:t>‍</w:t>
      </w:r>
      <w:r w:rsidRPr="00EC4BA6">
        <w:t>2</w:t>
      </w:r>
      <w:r w:rsidR="00E740DF" w:rsidRPr="00EC4BA6">
        <w:t>6</w:t>
      </w:r>
      <w:r w:rsidRPr="00EC4BA6">
        <w:rPr>
          <w:rFonts w:ascii="Times New Roman" w:hAnsi="Times New Roman"/>
        </w:rPr>
        <w:t> </w:t>
      </w:r>
      <w:r w:rsidRPr="00EC4BA6">
        <w:t>and $</w:t>
      </w:r>
      <w:r w:rsidR="00863D0E" w:rsidRPr="00EC4BA6">
        <w:rPr>
          <w:rFonts w:ascii="Times New Roman" w:hAnsi="Times New Roman"/>
        </w:rPr>
        <w:t xml:space="preserve">240.0 </w:t>
      </w:r>
      <w:r w:rsidRPr="00EC4BA6">
        <w:t xml:space="preserve">million over </w:t>
      </w:r>
      <w:r w:rsidR="00A522C0" w:rsidRPr="00EC4BA6">
        <w:t xml:space="preserve">the </w:t>
      </w:r>
      <w:r w:rsidRPr="00EC4BA6">
        <w:t xml:space="preserve">five years from </w:t>
      </w:r>
      <w:r w:rsidR="00E740DF" w:rsidRPr="00EC4BA6">
        <w:t>202</w:t>
      </w:r>
      <w:r w:rsidR="00A833A2" w:rsidRPr="00EC4BA6">
        <w:t>4</w:t>
      </w:r>
      <w:r w:rsidR="00E740DF" w:rsidRPr="00EC4BA6">
        <w:t>–2</w:t>
      </w:r>
      <w:r w:rsidR="00A833A2" w:rsidRPr="00EC4BA6">
        <w:t>5</w:t>
      </w:r>
      <w:r w:rsidR="00E740DF" w:rsidRPr="00EC4BA6">
        <w:t xml:space="preserve"> to 2028–29</w:t>
      </w:r>
      <w:r w:rsidRPr="00EC4BA6">
        <w:t xml:space="preserve">. This reflects </w:t>
      </w:r>
      <w:r w:rsidR="0033053D" w:rsidRPr="00EC4BA6">
        <w:t>the stronger outlook for employment</w:t>
      </w:r>
      <w:r w:rsidRPr="00EC4BA6">
        <w:t>.</w:t>
      </w:r>
    </w:p>
    <w:p w14:paraId="1FAAE98F" w14:textId="77777777" w:rsidR="00DF4D4F" w:rsidRPr="00EC4BA6" w:rsidRDefault="00DF4D4F" w:rsidP="00DF4D4F">
      <w:pPr>
        <w:pStyle w:val="Heading4"/>
      </w:pPr>
      <w:bookmarkStart w:id="34" w:name="_Toc512338382"/>
      <w:bookmarkStart w:id="35" w:name="_Toc67658749"/>
      <w:bookmarkEnd w:id="33"/>
      <w:r w:rsidRPr="00EC4BA6">
        <w:lastRenderedPageBreak/>
        <w:t>Company tax</w:t>
      </w:r>
      <w:bookmarkEnd w:id="34"/>
      <w:bookmarkEnd w:id="35"/>
    </w:p>
    <w:p w14:paraId="7ACEDF99" w14:textId="1C9B3074" w:rsidR="00DF4D4F" w:rsidRPr="00EC4BA6" w:rsidRDefault="00DF4D4F" w:rsidP="00DF4D4F">
      <w:r w:rsidRPr="00EC4BA6">
        <w:t xml:space="preserve">Since MYEFO, company tax receipts have been revised </w:t>
      </w:r>
      <w:r w:rsidR="00EE35DD" w:rsidRPr="00EC4BA6">
        <w:t>up</w:t>
      </w:r>
      <w:r w:rsidR="00F169EC" w:rsidRPr="00EC4BA6">
        <w:t xml:space="preserve"> by</w:t>
      </w:r>
      <w:r w:rsidRPr="00EC4BA6">
        <w:t xml:space="preserve"> $</w:t>
      </w:r>
      <w:r w:rsidR="00450B24" w:rsidRPr="00EC4BA6">
        <w:t>4.5</w:t>
      </w:r>
      <w:r w:rsidR="00000D74" w:rsidRPr="00EC4BA6">
        <w:t> </w:t>
      </w:r>
      <w:r w:rsidRPr="00EC4BA6">
        <w:t xml:space="preserve">billion in </w:t>
      </w:r>
      <w:r w:rsidR="00325E77" w:rsidRPr="00EC4BA6">
        <w:t>2025–</w:t>
      </w:r>
      <w:r w:rsidR="00325E77" w:rsidRPr="00EC4BA6">
        <w:rPr>
          <w:rFonts w:ascii="Times New Roman" w:hAnsi="Times New Roman"/>
        </w:rPr>
        <w:t>‍</w:t>
      </w:r>
      <w:r w:rsidR="00325E77" w:rsidRPr="00EC4BA6">
        <w:t>26</w:t>
      </w:r>
      <w:r w:rsidR="00F169EC" w:rsidRPr="00EC4BA6">
        <w:t xml:space="preserve"> </w:t>
      </w:r>
      <w:r w:rsidRPr="00EC4BA6">
        <w:t>and</w:t>
      </w:r>
      <w:r w:rsidR="000A1900" w:rsidRPr="00EC4BA6">
        <w:t> </w:t>
      </w:r>
      <w:r w:rsidR="009B2FD8" w:rsidRPr="00EC4BA6">
        <w:t>revised</w:t>
      </w:r>
      <w:r w:rsidRPr="00EC4BA6">
        <w:t xml:space="preserve"> </w:t>
      </w:r>
      <w:r w:rsidR="00EE35DD" w:rsidRPr="00EC4BA6">
        <w:t>down</w:t>
      </w:r>
      <w:r w:rsidR="009B2FD8" w:rsidRPr="00EC4BA6">
        <w:t xml:space="preserve"> by</w:t>
      </w:r>
      <w:r w:rsidR="00F169EC" w:rsidRPr="00EC4BA6">
        <w:t xml:space="preserve"> </w:t>
      </w:r>
      <w:r w:rsidR="001054C4" w:rsidRPr="00EC4BA6">
        <w:t>$800.0 million</w:t>
      </w:r>
      <w:r w:rsidRPr="00EC4BA6">
        <w:t xml:space="preserve"> over the five years from </w:t>
      </w:r>
      <w:r w:rsidR="00325E77" w:rsidRPr="00EC4BA6">
        <w:t>202</w:t>
      </w:r>
      <w:r w:rsidR="00A833A2" w:rsidRPr="00EC4BA6">
        <w:t>4</w:t>
      </w:r>
      <w:r w:rsidR="00325E77" w:rsidRPr="00EC4BA6">
        <w:t>–2</w:t>
      </w:r>
      <w:r w:rsidR="00A833A2" w:rsidRPr="00EC4BA6">
        <w:t>5</w:t>
      </w:r>
      <w:r w:rsidR="00325E77" w:rsidRPr="00EC4BA6">
        <w:t xml:space="preserve"> to 2028–29</w:t>
      </w:r>
      <w:r w:rsidRPr="00EC4BA6">
        <w:t>.</w:t>
      </w:r>
    </w:p>
    <w:p w14:paraId="5E681CEF" w14:textId="32E5D753" w:rsidR="00977CAB" w:rsidRPr="00EC4BA6" w:rsidRDefault="00977CAB" w:rsidP="00977CAB">
      <w:r w:rsidRPr="00EC4BA6">
        <w:t>Excluding new policy decisions, company tax receipts have been revised up by $</w:t>
      </w:r>
      <w:r w:rsidR="00D96DA7" w:rsidRPr="00EC4BA6">
        <w:t>4.5</w:t>
      </w:r>
      <w:r w:rsidRPr="00EC4BA6">
        <w:t> billion in 2025–</w:t>
      </w:r>
      <w:r w:rsidRPr="00EC4BA6">
        <w:rPr>
          <w:rFonts w:ascii="Times New Roman" w:hAnsi="Times New Roman"/>
        </w:rPr>
        <w:t>‍</w:t>
      </w:r>
      <w:r w:rsidRPr="00EC4BA6">
        <w:t>26 and revised down by $</w:t>
      </w:r>
      <w:r w:rsidR="00D13C27" w:rsidRPr="00EC4BA6">
        <w:t>1.9</w:t>
      </w:r>
      <w:r w:rsidRPr="00EC4BA6">
        <w:t> billion over the five years from 2024–25 to 2028–29. The upgrade in the near term reflects a stronger outlook for mining sector profits, reflecting higher near</w:t>
      </w:r>
      <w:r w:rsidR="001A3DD6">
        <w:noBreakHyphen/>
      </w:r>
      <w:r w:rsidRPr="00EC4BA6">
        <w:t>term commodity prices. Company tax receipts have been downgraded in 2027–</w:t>
      </w:r>
      <w:r w:rsidR="00115D77" w:rsidRPr="00EC4BA6">
        <w:rPr>
          <w:rFonts w:ascii="Times New Roman" w:hAnsi="Times New Roman"/>
        </w:rPr>
        <w:t>‍</w:t>
      </w:r>
      <w:r w:rsidRPr="00EC4BA6">
        <w:t>28 and 2028</w:t>
      </w:r>
      <w:r w:rsidR="00416C2A" w:rsidRPr="00EC4BA6">
        <w:t>–</w:t>
      </w:r>
      <w:r w:rsidRPr="00EC4BA6">
        <w:t>29, driven by a weaker outlook for non</w:t>
      </w:r>
      <w:r w:rsidR="001A3DD6">
        <w:noBreakHyphen/>
      </w:r>
      <w:r w:rsidRPr="00EC4BA6">
        <w:t>mining sector profits.</w:t>
      </w:r>
    </w:p>
    <w:p w14:paraId="7681A540" w14:textId="5D24AADD" w:rsidR="00A91CEA" w:rsidRPr="00EC4BA6" w:rsidRDefault="00DF4D4F" w:rsidP="00764D0D">
      <w:r w:rsidRPr="00EC4BA6">
        <w:t xml:space="preserve">New tax policy measures announced since MYEFO are expected to </w:t>
      </w:r>
      <w:r w:rsidR="004D71B3" w:rsidRPr="00EC4BA6">
        <w:t xml:space="preserve">decrease </w:t>
      </w:r>
      <w:r w:rsidRPr="00EC4BA6">
        <w:t>company tax</w:t>
      </w:r>
      <w:r w:rsidR="00021CA7" w:rsidRPr="00EC4BA6">
        <w:t> </w:t>
      </w:r>
      <w:r w:rsidRPr="00EC4BA6">
        <w:t>receipts by $</w:t>
      </w:r>
      <w:r w:rsidR="00423D05" w:rsidRPr="00EC4BA6">
        <w:t>3</w:t>
      </w:r>
      <w:r w:rsidR="00BD6C31" w:rsidRPr="00EC4BA6">
        <w:t>2.5</w:t>
      </w:r>
      <w:r w:rsidR="00000D74" w:rsidRPr="00EC4BA6">
        <w:t> </w:t>
      </w:r>
      <w:r w:rsidR="007D52CD" w:rsidRPr="00EC4BA6">
        <w:t>m</w:t>
      </w:r>
      <w:r w:rsidRPr="00EC4BA6">
        <w:t>illion in 202</w:t>
      </w:r>
      <w:r w:rsidR="007D52CD" w:rsidRPr="00EC4BA6">
        <w:t>5</w:t>
      </w:r>
      <w:r w:rsidRPr="00EC4BA6">
        <w:t>–2</w:t>
      </w:r>
      <w:r w:rsidR="007D52CD" w:rsidRPr="00EC4BA6">
        <w:t>6</w:t>
      </w:r>
      <w:r w:rsidRPr="00EC4BA6">
        <w:t xml:space="preserve"> </w:t>
      </w:r>
      <w:r w:rsidR="00795B2C" w:rsidRPr="00EC4BA6">
        <w:t>and</w:t>
      </w:r>
      <w:r w:rsidR="00DA380D" w:rsidRPr="00EC4BA6">
        <w:t xml:space="preserve"> increase company tax receipts by</w:t>
      </w:r>
      <w:r w:rsidRPr="00EC4BA6">
        <w:t xml:space="preserve"> $</w:t>
      </w:r>
      <w:r w:rsidR="003643C7" w:rsidRPr="00EC4BA6">
        <w:t>1.1</w:t>
      </w:r>
      <w:r w:rsidR="00000D74" w:rsidRPr="00EC4BA6">
        <w:t> </w:t>
      </w:r>
      <w:r w:rsidRPr="00EC4BA6">
        <w:t xml:space="preserve">billion over the five years from </w:t>
      </w:r>
      <w:r w:rsidR="007D52CD" w:rsidRPr="00EC4BA6">
        <w:t>202</w:t>
      </w:r>
      <w:r w:rsidR="001A364A" w:rsidRPr="00EC4BA6">
        <w:t>4</w:t>
      </w:r>
      <w:r w:rsidR="007D52CD" w:rsidRPr="00EC4BA6">
        <w:t>–</w:t>
      </w:r>
      <w:r w:rsidR="00021CA7" w:rsidRPr="00EC4BA6">
        <w:rPr>
          <w:rFonts w:ascii="Times New Roman" w:hAnsi="Times New Roman"/>
        </w:rPr>
        <w:t>‍</w:t>
      </w:r>
      <w:r w:rsidR="007D52CD" w:rsidRPr="00EC4BA6">
        <w:t>2</w:t>
      </w:r>
      <w:r w:rsidR="001A364A" w:rsidRPr="00EC4BA6">
        <w:t>5</w:t>
      </w:r>
      <w:r w:rsidR="000A1900" w:rsidRPr="00EC4BA6">
        <w:t> </w:t>
      </w:r>
      <w:r w:rsidR="007D52CD" w:rsidRPr="00EC4BA6">
        <w:t>to</w:t>
      </w:r>
      <w:r w:rsidR="000A1900" w:rsidRPr="00EC4BA6">
        <w:t> </w:t>
      </w:r>
      <w:r w:rsidR="007D52CD" w:rsidRPr="00EC4BA6">
        <w:t>2028–29</w:t>
      </w:r>
      <w:r w:rsidRPr="00EC4BA6">
        <w:t>.</w:t>
      </w:r>
      <w:bookmarkStart w:id="36" w:name="_Hlk115171063"/>
      <w:bookmarkStart w:id="37" w:name="_Toc512338385"/>
      <w:bookmarkStart w:id="38" w:name="_Toc67658752"/>
      <w:bookmarkStart w:id="39" w:name="_Hlk115172079"/>
    </w:p>
    <w:p w14:paraId="2BAC036D" w14:textId="4C911FE6" w:rsidR="00DF4D4F" w:rsidRPr="00EC4BA6" w:rsidRDefault="00DF4D4F" w:rsidP="00DF4D4F">
      <w:pPr>
        <w:pStyle w:val="Heading4"/>
      </w:pPr>
      <w:r w:rsidRPr="00EC4BA6">
        <w:t>Superannuation fund taxes</w:t>
      </w:r>
    </w:p>
    <w:p w14:paraId="19B2516A" w14:textId="1C72579B" w:rsidR="00E00D75" w:rsidRPr="00EC4BA6" w:rsidRDefault="00DF4D4F" w:rsidP="00DF4D4F">
      <w:r w:rsidRPr="00EC4BA6">
        <w:t xml:space="preserve">Since MYEFO, superannuation fund tax receipts have been revised </w:t>
      </w:r>
      <w:r w:rsidR="00FB490D" w:rsidRPr="00EC4BA6">
        <w:t>up</w:t>
      </w:r>
      <w:r w:rsidRPr="00EC4BA6">
        <w:t xml:space="preserve"> by $</w:t>
      </w:r>
      <w:r w:rsidR="00927452" w:rsidRPr="00EC4BA6">
        <w:t>2.4</w:t>
      </w:r>
      <w:r w:rsidR="00000D74" w:rsidRPr="00EC4BA6">
        <w:t> </w:t>
      </w:r>
      <w:r w:rsidRPr="00EC4BA6">
        <w:t>billion in 202</w:t>
      </w:r>
      <w:r w:rsidR="00FB490D" w:rsidRPr="00EC4BA6">
        <w:t>5</w:t>
      </w:r>
      <w:r w:rsidRPr="00EC4BA6">
        <w:t>–2</w:t>
      </w:r>
      <w:r w:rsidR="00FB490D" w:rsidRPr="00EC4BA6">
        <w:t>6</w:t>
      </w:r>
      <w:r w:rsidRPr="00EC4BA6">
        <w:t xml:space="preserve"> and $</w:t>
      </w:r>
      <w:r w:rsidR="00803B1A" w:rsidRPr="00EC4BA6">
        <w:t>9.7</w:t>
      </w:r>
      <w:r w:rsidR="00000D74" w:rsidRPr="00EC4BA6">
        <w:t> </w:t>
      </w:r>
      <w:r w:rsidRPr="00EC4BA6">
        <w:t xml:space="preserve">billion </w:t>
      </w:r>
      <w:r w:rsidR="00A522C0" w:rsidRPr="00EC4BA6">
        <w:t>over the</w:t>
      </w:r>
      <w:r w:rsidRPr="00EC4BA6">
        <w:t xml:space="preserve"> five years</w:t>
      </w:r>
      <w:r w:rsidRPr="00EC4BA6" w:rsidDel="00AA1DBC">
        <w:t xml:space="preserve"> </w:t>
      </w:r>
      <w:r w:rsidRPr="00EC4BA6">
        <w:t xml:space="preserve">from </w:t>
      </w:r>
      <w:r w:rsidR="00FB490D" w:rsidRPr="00EC4BA6">
        <w:t>202</w:t>
      </w:r>
      <w:r w:rsidR="00A833A2" w:rsidRPr="00EC4BA6">
        <w:t>4</w:t>
      </w:r>
      <w:r w:rsidR="00FB490D" w:rsidRPr="00EC4BA6">
        <w:t>–2</w:t>
      </w:r>
      <w:r w:rsidR="00A833A2" w:rsidRPr="00EC4BA6">
        <w:t>5</w:t>
      </w:r>
      <w:r w:rsidR="00FB490D" w:rsidRPr="00EC4BA6">
        <w:t xml:space="preserve"> to 2028–29</w:t>
      </w:r>
      <w:r w:rsidRPr="00EC4BA6">
        <w:t xml:space="preserve">. </w:t>
      </w:r>
      <w:r w:rsidR="08D17DAD" w:rsidRPr="00EC4BA6">
        <w:t>The upgrade to s</w:t>
      </w:r>
      <w:r w:rsidRPr="00EC4BA6">
        <w:t xml:space="preserve">uperannuation fund taxes </w:t>
      </w:r>
      <w:r w:rsidR="622CFFB4" w:rsidRPr="00EC4BA6">
        <w:t xml:space="preserve">reflects </w:t>
      </w:r>
      <w:r w:rsidR="622CFFB4" w:rsidRPr="00EC4BA6">
        <w:rPr>
          <w:rFonts w:eastAsia="Calibri"/>
        </w:rPr>
        <w:t>higher</w:t>
      </w:r>
      <w:r w:rsidR="001A3DD6">
        <w:rPr>
          <w:rFonts w:eastAsia="Calibri"/>
        </w:rPr>
        <w:noBreakHyphen/>
      </w:r>
      <w:r w:rsidR="00BB4BCD" w:rsidRPr="00EC4BA6">
        <w:rPr>
          <w:rFonts w:eastAsia="Calibri"/>
        </w:rPr>
        <w:t>than</w:t>
      </w:r>
      <w:r w:rsidR="001A3DD6">
        <w:rPr>
          <w:rFonts w:eastAsia="Calibri"/>
        </w:rPr>
        <w:noBreakHyphen/>
      </w:r>
      <w:r w:rsidR="622CFFB4" w:rsidRPr="00EC4BA6">
        <w:rPr>
          <w:rFonts w:eastAsia="Calibri"/>
        </w:rPr>
        <w:t>expected</w:t>
      </w:r>
      <w:r w:rsidR="2FF06398" w:rsidRPr="00EC4BA6">
        <w:rPr>
          <w:rFonts w:eastAsia="Calibri"/>
        </w:rPr>
        <w:t xml:space="preserve"> </w:t>
      </w:r>
      <w:r w:rsidR="00BB4BCD" w:rsidRPr="00EC4BA6">
        <w:rPr>
          <w:rFonts w:eastAsia="Calibri"/>
        </w:rPr>
        <w:t>current year collections</w:t>
      </w:r>
      <w:r w:rsidR="00BB4BCD" w:rsidRPr="00EC4BA6">
        <w:t xml:space="preserve">, </w:t>
      </w:r>
      <w:r w:rsidR="622CFFB4" w:rsidRPr="00EC4BA6">
        <w:t xml:space="preserve">higher </w:t>
      </w:r>
      <w:r w:rsidR="5608B1AF" w:rsidRPr="00EC4BA6">
        <w:t xml:space="preserve">contributions </w:t>
      </w:r>
      <w:r w:rsidR="00BB4BCD" w:rsidRPr="00EC4BA6">
        <w:t>due to the</w:t>
      </w:r>
      <w:r w:rsidR="5608B1AF" w:rsidRPr="00EC4BA6">
        <w:t xml:space="preserve"> strength in </w:t>
      </w:r>
      <w:r w:rsidR="75455357" w:rsidRPr="00EC4BA6">
        <w:t>employment</w:t>
      </w:r>
      <w:r w:rsidR="00F71DD1" w:rsidRPr="00EC4BA6">
        <w:t xml:space="preserve"> and </w:t>
      </w:r>
      <w:r w:rsidR="00F71DD1" w:rsidRPr="00EC4BA6">
        <w:rPr>
          <w:rFonts w:eastAsia="Calibri"/>
        </w:rPr>
        <w:t>an increase in tax from earnings on investments</w:t>
      </w:r>
      <w:r w:rsidR="5608B1AF" w:rsidRPr="00EC4BA6">
        <w:t>.</w:t>
      </w:r>
      <w:r w:rsidR="2ABC9BF3" w:rsidRPr="00EC4BA6">
        <w:t xml:space="preserve"> </w:t>
      </w:r>
    </w:p>
    <w:p w14:paraId="02E49BBB" w14:textId="22B7FA17" w:rsidR="003E5C62" w:rsidRPr="00EC4BA6" w:rsidRDefault="003E5C62" w:rsidP="00DF4D4F">
      <w:r w:rsidRPr="00EC4BA6">
        <w:t xml:space="preserve">Superannuation fund taxes </w:t>
      </w:r>
      <w:r w:rsidR="00E21D3D" w:rsidRPr="00EC4BA6">
        <w:t xml:space="preserve">are highly volatile from one year to the next, </w:t>
      </w:r>
      <w:r w:rsidR="008E5AB4" w:rsidRPr="00EC4BA6">
        <w:t xml:space="preserve">primarily due to </w:t>
      </w:r>
      <w:r w:rsidR="000F212D" w:rsidRPr="00EC4BA6">
        <w:t>year</w:t>
      </w:r>
      <w:r w:rsidR="001A3DD6">
        <w:noBreakHyphen/>
      </w:r>
      <w:r w:rsidR="000F212D" w:rsidRPr="00EC4BA6">
        <w:t>to</w:t>
      </w:r>
      <w:r w:rsidR="001A3DD6">
        <w:noBreakHyphen/>
      </w:r>
      <w:r w:rsidR="000F212D" w:rsidRPr="00EC4BA6">
        <w:t>year changes in</w:t>
      </w:r>
      <w:r w:rsidR="005C029E" w:rsidRPr="00EC4BA6">
        <w:t xml:space="preserve"> tax from </w:t>
      </w:r>
      <w:r w:rsidR="000F212D" w:rsidRPr="00EC4BA6">
        <w:t xml:space="preserve">earnings on investments and </w:t>
      </w:r>
      <w:r w:rsidR="00EB6FB5" w:rsidRPr="00EC4BA6">
        <w:t>the consequential impact on the timing of tax payments.</w:t>
      </w:r>
    </w:p>
    <w:p w14:paraId="15984E0A" w14:textId="77777777" w:rsidR="00DF4D4F" w:rsidRPr="00EC4BA6" w:rsidRDefault="00DF4D4F" w:rsidP="00DF4D4F">
      <w:pPr>
        <w:pStyle w:val="Heading4"/>
      </w:pPr>
      <w:bookmarkStart w:id="40" w:name="_Toc67658751"/>
      <w:bookmarkStart w:id="41" w:name="_Toc512338384"/>
      <w:bookmarkEnd w:id="36"/>
      <w:r w:rsidRPr="00EC4BA6">
        <w:t>Petroleum resource rent tax (PRRT)</w:t>
      </w:r>
      <w:bookmarkEnd w:id="40"/>
    </w:p>
    <w:bookmarkEnd w:id="41"/>
    <w:p w14:paraId="0EF68212" w14:textId="2ADD6186" w:rsidR="00DF4D4F" w:rsidRPr="00EC4BA6" w:rsidRDefault="00DF4D4F" w:rsidP="00DF4D4F">
      <w:r w:rsidRPr="00EC4BA6">
        <w:t xml:space="preserve">Since MYEFO, PRRT receipts </w:t>
      </w:r>
      <w:r w:rsidR="003E3918" w:rsidRPr="00EC4BA6">
        <w:t xml:space="preserve">have been revised </w:t>
      </w:r>
      <w:r w:rsidR="002467FF" w:rsidRPr="00EC4BA6">
        <w:t xml:space="preserve">up by </w:t>
      </w:r>
      <w:r w:rsidR="00FE688E" w:rsidRPr="00EC4BA6">
        <w:t>$</w:t>
      </w:r>
      <w:r w:rsidR="004C0CA9" w:rsidRPr="00EC4BA6">
        <w:t>100.0 million</w:t>
      </w:r>
      <w:r w:rsidR="00AE7857" w:rsidRPr="00EC4BA6">
        <w:t xml:space="preserve"> </w:t>
      </w:r>
      <w:r w:rsidR="00012DA5" w:rsidRPr="00EC4BA6">
        <w:t xml:space="preserve">in </w:t>
      </w:r>
      <w:r w:rsidR="00AE7857" w:rsidRPr="00EC4BA6">
        <w:t>2025</w:t>
      </w:r>
      <w:r w:rsidR="00F9446A" w:rsidRPr="00EC4BA6">
        <w:t>–</w:t>
      </w:r>
      <w:r w:rsidR="00AE7857" w:rsidRPr="00EC4BA6">
        <w:t>26</w:t>
      </w:r>
      <w:r w:rsidRPr="00EC4BA6">
        <w:t xml:space="preserve"> and</w:t>
      </w:r>
      <w:r w:rsidR="00732577" w:rsidRPr="00EC4BA6" w:rsidDel="002A29C4">
        <w:t xml:space="preserve"> </w:t>
      </w:r>
      <w:r w:rsidRPr="00EC4BA6">
        <w:t>$</w:t>
      </w:r>
      <w:r w:rsidR="00407420" w:rsidRPr="00EC4BA6">
        <w:t>750.0</w:t>
      </w:r>
      <w:r w:rsidR="007278EC" w:rsidRPr="00EC4BA6">
        <w:t> </w:t>
      </w:r>
      <w:r w:rsidRPr="00EC4BA6">
        <w:t>million over the five years from 202</w:t>
      </w:r>
      <w:r w:rsidR="00732577" w:rsidRPr="00EC4BA6">
        <w:t>4</w:t>
      </w:r>
      <w:r w:rsidRPr="00EC4BA6">
        <w:t>–2</w:t>
      </w:r>
      <w:r w:rsidR="00732577" w:rsidRPr="00EC4BA6">
        <w:t>5</w:t>
      </w:r>
      <w:r w:rsidRPr="00EC4BA6">
        <w:t xml:space="preserve"> to 202</w:t>
      </w:r>
      <w:r w:rsidR="00732577" w:rsidRPr="00EC4BA6">
        <w:t>8</w:t>
      </w:r>
      <w:r w:rsidR="00F9446A" w:rsidRPr="00EC4BA6">
        <w:t>–</w:t>
      </w:r>
      <w:r w:rsidRPr="00EC4BA6">
        <w:t>2</w:t>
      </w:r>
      <w:r w:rsidR="00732577" w:rsidRPr="00EC4BA6">
        <w:t>9</w:t>
      </w:r>
      <w:r w:rsidRPr="00EC4BA6">
        <w:t>. The</w:t>
      </w:r>
      <w:r w:rsidR="00FC4021" w:rsidRPr="00EC4BA6">
        <w:t xml:space="preserve"> </w:t>
      </w:r>
      <w:r w:rsidR="003D0734" w:rsidRPr="00EC4BA6">
        <w:t>upgrade</w:t>
      </w:r>
      <w:r w:rsidRPr="00EC4BA6">
        <w:t xml:space="preserve"> </w:t>
      </w:r>
      <w:r w:rsidR="00EF048F" w:rsidRPr="00EC4BA6">
        <w:t xml:space="preserve">is </w:t>
      </w:r>
      <w:r w:rsidR="00A3327F" w:rsidRPr="00EC4BA6">
        <w:t xml:space="preserve">primarily </w:t>
      </w:r>
      <w:r w:rsidR="00EF048F" w:rsidRPr="00EC4BA6">
        <w:t>due to</w:t>
      </w:r>
      <w:r w:rsidR="00FC4021" w:rsidRPr="00EC4BA6">
        <w:t xml:space="preserve"> </w:t>
      </w:r>
      <w:r w:rsidR="00522147" w:rsidRPr="00EC4BA6">
        <w:t>a higher</w:t>
      </w:r>
      <w:r w:rsidR="00316EEA" w:rsidRPr="00EC4BA6">
        <w:t xml:space="preserve"> assumed oil price</w:t>
      </w:r>
      <w:r w:rsidRPr="00EC4BA6">
        <w:t xml:space="preserve">. </w:t>
      </w:r>
    </w:p>
    <w:p w14:paraId="72A8FE22" w14:textId="77777777" w:rsidR="00DF4D4F" w:rsidRPr="00EC4BA6" w:rsidRDefault="00DF4D4F" w:rsidP="00DF4D4F">
      <w:pPr>
        <w:pStyle w:val="Heading4"/>
      </w:pPr>
      <w:r w:rsidRPr="00EC4BA6">
        <w:t>Goods and services tax</w:t>
      </w:r>
      <w:bookmarkEnd w:id="37"/>
      <w:r w:rsidRPr="00EC4BA6">
        <w:t xml:space="preserve"> (GST)</w:t>
      </w:r>
      <w:bookmarkEnd w:id="38"/>
    </w:p>
    <w:p w14:paraId="582A5616" w14:textId="7E43004E" w:rsidR="00DF4D4F" w:rsidRPr="00EC4BA6" w:rsidRDefault="00DF4D4F" w:rsidP="00DF4D4F">
      <w:r w:rsidRPr="00EC4BA6">
        <w:t xml:space="preserve">Since MYEFO, GST receipts </w:t>
      </w:r>
      <w:r w:rsidR="003618D7" w:rsidRPr="00EC4BA6">
        <w:t xml:space="preserve">have been revised </w:t>
      </w:r>
      <w:r w:rsidR="00ED046B" w:rsidRPr="00EC4BA6">
        <w:t xml:space="preserve">up by </w:t>
      </w:r>
      <w:r w:rsidR="00A86E4F" w:rsidRPr="00EC4BA6">
        <w:t>$</w:t>
      </w:r>
      <w:r w:rsidR="00340036" w:rsidRPr="00EC4BA6">
        <w:t>5.8</w:t>
      </w:r>
      <w:r w:rsidR="00F85DE4">
        <w:t> </w:t>
      </w:r>
      <w:r w:rsidR="00ED046B" w:rsidRPr="00EC4BA6">
        <w:t>million</w:t>
      </w:r>
      <w:r w:rsidR="003808F7" w:rsidRPr="00EC4BA6">
        <w:t xml:space="preserve"> in</w:t>
      </w:r>
      <w:r w:rsidR="00A334C9" w:rsidRPr="00EC4BA6">
        <w:t xml:space="preserve"> 2025</w:t>
      </w:r>
      <w:r w:rsidR="00F13D60" w:rsidRPr="00EC4BA6">
        <w:t>–</w:t>
      </w:r>
      <w:r w:rsidR="00A334C9" w:rsidRPr="00EC4BA6">
        <w:t xml:space="preserve">26 </w:t>
      </w:r>
      <w:r w:rsidRPr="00EC4BA6">
        <w:t xml:space="preserve">and </w:t>
      </w:r>
      <w:r w:rsidR="007B315D" w:rsidRPr="00EC4BA6">
        <w:t xml:space="preserve">revised down </w:t>
      </w:r>
      <w:r w:rsidR="002A29C4" w:rsidRPr="00EC4BA6">
        <w:t xml:space="preserve">by </w:t>
      </w:r>
      <w:r w:rsidRPr="00EC4BA6">
        <w:t>$</w:t>
      </w:r>
      <w:r w:rsidR="00EC47DA" w:rsidRPr="00EC4BA6">
        <w:t>49</w:t>
      </w:r>
      <w:r w:rsidR="0003349D" w:rsidRPr="00EC4BA6">
        <w:t>2.8</w:t>
      </w:r>
      <w:r w:rsidR="007278EC" w:rsidRPr="00EC4BA6">
        <w:t> </w:t>
      </w:r>
      <w:r w:rsidR="0003349D" w:rsidRPr="00EC4BA6">
        <w:t>m</w:t>
      </w:r>
      <w:r w:rsidRPr="00EC4BA6">
        <w:t xml:space="preserve">illion over the five years from </w:t>
      </w:r>
      <w:r w:rsidR="008D451F" w:rsidRPr="00EC4BA6">
        <w:t>2024–25 to 2028–29</w:t>
      </w:r>
      <w:r w:rsidRPr="00EC4BA6">
        <w:t xml:space="preserve">. </w:t>
      </w:r>
    </w:p>
    <w:p w14:paraId="6B356E05" w14:textId="4519E9D2" w:rsidR="00DF4D4F" w:rsidRPr="00EC4BA6" w:rsidRDefault="00DF4D4F" w:rsidP="00DF4D4F">
      <w:r w:rsidRPr="00EC4BA6">
        <w:t xml:space="preserve">Excluding new policy decisions, GST </w:t>
      </w:r>
      <w:r w:rsidR="006B446C" w:rsidRPr="00EC4BA6">
        <w:t>receipts</w:t>
      </w:r>
      <w:r w:rsidR="007A15F6" w:rsidRPr="00EC4BA6">
        <w:t xml:space="preserve"> have been revised down by </w:t>
      </w:r>
      <w:r w:rsidR="00A86D39" w:rsidRPr="00EC4BA6">
        <w:t>$</w:t>
      </w:r>
      <w:r w:rsidR="005F5478" w:rsidRPr="00EC4BA6">
        <w:t>0</w:t>
      </w:r>
      <w:r w:rsidR="006502A6" w:rsidRPr="00EC4BA6">
        <w:t>.</w:t>
      </w:r>
      <w:r w:rsidR="005F5478" w:rsidRPr="00EC4BA6">
        <w:t>3</w:t>
      </w:r>
      <w:r w:rsidR="007A15F6" w:rsidRPr="00EC4BA6">
        <w:t xml:space="preserve"> million </w:t>
      </w:r>
      <w:r w:rsidRPr="00EC4BA6">
        <w:t xml:space="preserve">in </w:t>
      </w:r>
      <w:r w:rsidR="008B7BE3" w:rsidRPr="00EC4BA6">
        <w:t>2025</w:t>
      </w:r>
      <w:r w:rsidR="00F13D60" w:rsidRPr="00EC4BA6">
        <w:t>–</w:t>
      </w:r>
      <w:r w:rsidR="008B7BE3" w:rsidRPr="00EC4BA6">
        <w:t xml:space="preserve">26 </w:t>
      </w:r>
      <w:r w:rsidRPr="00EC4BA6">
        <w:t>and $</w:t>
      </w:r>
      <w:r w:rsidR="005F5478" w:rsidRPr="00EC4BA6">
        <w:t>895</w:t>
      </w:r>
      <w:r w:rsidR="00E35802" w:rsidRPr="00EC4BA6">
        <w:t>.8 m</w:t>
      </w:r>
      <w:r w:rsidRPr="00EC4BA6">
        <w:t xml:space="preserve">illion over </w:t>
      </w:r>
      <w:r w:rsidR="00A522C0" w:rsidRPr="00EC4BA6">
        <w:t xml:space="preserve">the </w:t>
      </w:r>
      <w:r w:rsidRPr="00EC4BA6">
        <w:t xml:space="preserve">five years from </w:t>
      </w:r>
      <w:r w:rsidR="008B7BE3" w:rsidRPr="00EC4BA6">
        <w:t>2024–25 to 2028–29</w:t>
      </w:r>
      <w:r w:rsidRPr="00EC4BA6">
        <w:t xml:space="preserve">. </w:t>
      </w:r>
      <w:r w:rsidR="00F22FF5" w:rsidRPr="00EC4BA6">
        <w:t xml:space="preserve">This </w:t>
      </w:r>
      <w:r w:rsidR="005D1425" w:rsidRPr="00EC4BA6">
        <w:t>primarily</w:t>
      </w:r>
      <w:r w:rsidR="00F22FF5" w:rsidRPr="00EC4BA6">
        <w:t xml:space="preserve"> reflects </w:t>
      </w:r>
      <w:r w:rsidR="00F137BD" w:rsidRPr="00EC4BA6">
        <w:t>weaker</w:t>
      </w:r>
      <w:r w:rsidR="001A3DD6">
        <w:noBreakHyphen/>
      </w:r>
      <w:r w:rsidR="00F137BD" w:rsidRPr="00EC4BA6">
        <w:t>than</w:t>
      </w:r>
      <w:r w:rsidR="001A3DD6">
        <w:noBreakHyphen/>
      </w:r>
      <w:r w:rsidR="00F137BD" w:rsidRPr="00EC4BA6">
        <w:t>expected price pressures in the dwelling construction industry</w:t>
      </w:r>
      <w:r w:rsidR="00956182" w:rsidRPr="00EC4BA6">
        <w:t>.</w:t>
      </w:r>
    </w:p>
    <w:p w14:paraId="7BCAA276" w14:textId="17B016FD" w:rsidR="00DF4D4F" w:rsidRPr="00EC4BA6" w:rsidRDefault="00DF4D4F" w:rsidP="00DF4D4F">
      <w:r w:rsidRPr="00EC4BA6">
        <w:t xml:space="preserve">New tax policy measures announced since MYEFO are expected to </w:t>
      </w:r>
      <w:r w:rsidR="001B22F1" w:rsidRPr="00EC4BA6">
        <w:t>increase</w:t>
      </w:r>
      <w:r w:rsidRPr="00EC4BA6">
        <w:t xml:space="preserve"> GST receipts by $</w:t>
      </w:r>
      <w:r w:rsidR="005F5478" w:rsidRPr="00EC4BA6">
        <w:t>6</w:t>
      </w:r>
      <w:r w:rsidR="008B52BA" w:rsidRPr="00EC4BA6">
        <w:t>.</w:t>
      </w:r>
      <w:r w:rsidR="005F5478" w:rsidRPr="00EC4BA6">
        <w:t>1</w:t>
      </w:r>
      <w:r w:rsidR="007278EC" w:rsidRPr="00EC4BA6">
        <w:t> </w:t>
      </w:r>
      <w:r w:rsidRPr="00EC4BA6">
        <w:t>million in 202</w:t>
      </w:r>
      <w:r w:rsidR="001B61DB" w:rsidRPr="00EC4BA6">
        <w:t>5</w:t>
      </w:r>
      <w:r w:rsidRPr="00EC4BA6" w:rsidDel="0008004C">
        <w:t>–</w:t>
      </w:r>
      <w:r w:rsidRPr="00EC4BA6">
        <w:t>2</w:t>
      </w:r>
      <w:r w:rsidR="001B61DB" w:rsidRPr="00EC4BA6">
        <w:t>6</w:t>
      </w:r>
      <w:r w:rsidRPr="00EC4BA6">
        <w:t xml:space="preserve"> </w:t>
      </w:r>
      <w:r w:rsidR="001B22F1" w:rsidRPr="00EC4BA6">
        <w:t>and</w:t>
      </w:r>
      <w:r w:rsidRPr="00EC4BA6">
        <w:t xml:space="preserve"> $</w:t>
      </w:r>
      <w:r w:rsidR="003F09D3" w:rsidRPr="00EC4BA6">
        <w:t>4</w:t>
      </w:r>
      <w:r w:rsidR="00B04205" w:rsidRPr="00EC4BA6">
        <w:t>03</w:t>
      </w:r>
      <w:r w:rsidR="003F09D3" w:rsidRPr="00EC4BA6">
        <w:t>.0</w:t>
      </w:r>
      <w:r w:rsidR="007278EC" w:rsidRPr="00EC4BA6">
        <w:t> </w:t>
      </w:r>
      <w:r w:rsidRPr="00EC4BA6">
        <w:t>million over</w:t>
      </w:r>
      <w:r w:rsidR="008F751E" w:rsidRPr="00EC4BA6">
        <w:t xml:space="preserve"> the</w:t>
      </w:r>
      <w:r w:rsidRPr="00EC4BA6">
        <w:t xml:space="preserve"> five years from </w:t>
      </w:r>
      <w:r w:rsidR="001B61DB" w:rsidRPr="00EC4BA6">
        <w:t>2024–25 to 2028–29</w:t>
      </w:r>
      <w:r w:rsidRPr="00EC4BA6">
        <w:t xml:space="preserve">. </w:t>
      </w:r>
    </w:p>
    <w:p w14:paraId="27C77165" w14:textId="77777777" w:rsidR="00DF4D4F" w:rsidRPr="00EC4BA6" w:rsidRDefault="00DF4D4F" w:rsidP="00DF4D4F">
      <w:pPr>
        <w:pStyle w:val="Heading4"/>
      </w:pPr>
      <w:bookmarkStart w:id="42" w:name="_Toc512338386"/>
      <w:bookmarkStart w:id="43" w:name="_Toc67658753"/>
      <w:bookmarkStart w:id="44" w:name="_Hlk115173958"/>
      <w:bookmarkEnd w:id="39"/>
      <w:r w:rsidRPr="00EC4BA6">
        <w:lastRenderedPageBreak/>
        <w:t>Excise and customs duty</w:t>
      </w:r>
      <w:bookmarkEnd w:id="42"/>
      <w:bookmarkEnd w:id="43"/>
    </w:p>
    <w:p w14:paraId="2955F228" w14:textId="3DBFE57F" w:rsidR="00DF4D4F" w:rsidRPr="00EC4BA6" w:rsidRDefault="00DF4D4F" w:rsidP="00DF4D4F">
      <w:r w:rsidRPr="00EC4BA6">
        <w:t>Since MYEFO, total excise and customs duty receipts have been revised down by $</w:t>
      </w:r>
      <w:r w:rsidR="00AC0516" w:rsidRPr="00EC4BA6">
        <w:t>1.7</w:t>
      </w:r>
      <w:r w:rsidR="007278EC" w:rsidRPr="00EC4BA6">
        <w:t> </w:t>
      </w:r>
      <w:r w:rsidRPr="00EC4BA6">
        <w:t xml:space="preserve">billion in </w:t>
      </w:r>
      <w:r w:rsidR="00060A14" w:rsidRPr="00EC4BA6">
        <w:t>2025</w:t>
      </w:r>
      <w:r w:rsidR="009B47D5" w:rsidRPr="00EC4BA6">
        <w:t>–</w:t>
      </w:r>
      <w:r w:rsidR="00060A14" w:rsidRPr="00EC4BA6">
        <w:t xml:space="preserve">26 </w:t>
      </w:r>
      <w:r w:rsidRPr="00EC4BA6">
        <w:t>and $</w:t>
      </w:r>
      <w:r w:rsidR="00B5019A" w:rsidRPr="00EC4BA6">
        <w:t>8.</w:t>
      </w:r>
      <w:r w:rsidR="003C0E81" w:rsidRPr="00EC4BA6">
        <w:t>6</w:t>
      </w:r>
      <w:r w:rsidR="007278EC" w:rsidRPr="00EC4BA6">
        <w:t> </w:t>
      </w:r>
      <w:r w:rsidRPr="00EC4BA6">
        <w:t xml:space="preserve">billion over the five years from </w:t>
      </w:r>
      <w:r w:rsidR="00060A14" w:rsidRPr="00EC4BA6">
        <w:t>2024–25 to 2028–29</w:t>
      </w:r>
      <w:r w:rsidRPr="00EC4BA6">
        <w:t xml:space="preserve">. </w:t>
      </w:r>
    </w:p>
    <w:p w14:paraId="6137A06D" w14:textId="401F4FF7" w:rsidR="00DF4D4F" w:rsidRPr="00EC4BA6" w:rsidRDefault="00DF4D4F" w:rsidP="4DDB1054">
      <w:r w:rsidRPr="00EC4BA6">
        <w:t>Excluding new policy decisions, excise and customs duty receipts have been revised down by $</w:t>
      </w:r>
      <w:r w:rsidR="00B34876" w:rsidRPr="00EC4BA6">
        <w:t>1.7</w:t>
      </w:r>
      <w:r w:rsidR="007278EC" w:rsidRPr="00EC4BA6">
        <w:t> </w:t>
      </w:r>
      <w:r w:rsidRPr="00EC4BA6">
        <w:t xml:space="preserve">billion in </w:t>
      </w:r>
      <w:r w:rsidR="009E3779" w:rsidRPr="00EC4BA6">
        <w:t>2025</w:t>
      </w:r>
      <w:r w:rsidR="009B47D5" w:rsidRPr="00EC4BA6">
        <w:t>–</w:t>
      </w:r>
      <w:r w:rsidR="009E3779" w:rsidRPr="00EC4BA6">
        <w:t xml:space="preserve">26 </w:t>
      </w:r>
      <w:r w:rsidRPr="00EC4BA6">
        <w:t>and $</w:t>
      </w:r>
      <w:r w:rsidR="00312F12" w:rsidRPr="00EC4BA6">
        <w:t>8.</w:t>
      </w:r>
      <w:r w:rsidR="00951115" w:rsidRPr="00EC4BA6">
        <w:t>5</w:t>
      </w:r>
      <w:r w:rsidR="007278EC" w:rsidRPr="00EC4BA6">
        <w:t> </w:t>
      </w:r>
      <w:r w:rsidRPr="00EC4BA6">
        <w:t xml:space="preserve">billion over the five years from </w:t>
      </w:r>
      <w:r w:rsidR="009E3779" w:rsidRPr="00EC4BA6">
        <w:t>2024–25 to 2028–29</w:t>
      </w:r>
      <w:r w:rsidRPr="00EC4BA6">
        <w:t>. Th</w:t>
      </w:r>
      <w:r w:rsidR="009652B1" w:rsidRPr="00EC4BA6">
        <w:t>e downgrade</w:t>
      </w:r>
      <w:r w:rsidRPr="00EC4BA6">
        <w:t xml:space="preserve"> overwhelmingly reflects the significant downward revision to tobacco excise receipts. This is due to </w:t>
      </w:r>
      <w:r w:rsidR="00932E57" w:rsidRPr="00EC4BA6">
        <w:t>persistently</w:t>
      </w:r>
      <w:r w:rsidRPr="00EC4BA6">
        <w:t xml:space="preserve"> weaker</w:t>
      </w:r>
      <w:r w:rsidR="001A3DD6">
        <w:noBreakHyphen/>
      </w:r>
      <w:r w:rsidRPr="00EC4BA6">
        <w:t>than</w:t>
      </w:r>
      <w:r w:rsidR="001A3DD6">
        <w:noBreakHyphen/>
      </w:r>
      <w:r w:rsidRPr="00EC4BA6">
        <w:t xml:space="preserve">expected </w:t>
      </w:r>
      <w:r w:rsidR="00542C98" w:rsidRPr="00EC4BA6">
        <w:t>collections</w:t>
      </w:r>
      <w:r w:rsidRPr="00EC4BA6">
        <w:t xml:space="preserve"> and </w:t>
      </w:r>
      <w:r w:rsidR="005F5BE2" w:rsidRPr="00EC4BA6">
        <w:t>a weaker outlook for</w:t>
      </w:r>
      <w:r w:rsidRPr="00EC4BA6">
        <w:t xml:space="preserve"> </w:t>
      </w:r>
      <w:r w:rsidR="00F443CD" w:rsidRPr="00EC4BA6">
        <w:t xml:space="preserve">excisable </w:t>
      </w:r>
      <w:r w:rsidRPr="00EC4BA6">
        <w:t xml:space="preserve">tobacco </w:t>
      </w:r>
      <w:r w:rsidR="00F443CD" w:rsidRPr="00EC4BA6">
        <w:t>volumes</w:t>
      </w:r>
      <w:r w:rsidRPr="00EC4BA6">
        <w:t xml:space="preserve"> over the forward estimates.</w:t>
      </w:r>
      <w:r w:rsidR="007A617F" w:rsidRPr="00EC4BA6">
        <w:t xml:space="preserve"> The Government has provided further funding in this Budget to combat the trade of illicit tobacco.</w:t>
      </w:r>
    </w:p>
    <w:p w14:paraId="2E1262C5" w14:textId="3A065238" w:rsidR="00DF4D4F" w:rsidRPr="00EC4BA6" w:rsidRDefault="00DF4D4F" w:rsidP="00DF4D4F">
      <w:pPr>
        <w:rPr>
          <w:rFonts w:asciiTheme="minorHAnsi" w:hAnsiTheme="minorHAnsi"/>
          <w:szCs w:val="19"/>
        </w:rPr>
      </w:pPr>
      <w:r w:rsidRPr="00EC4BA6">
        <w:t xml:space="preserve">Policy decisions are expected to </w:t>
      </w:r>
      <w:r w:rsidR="0069501D" w:rsidRPr="00EC4BA6">
        <w:t>decrease</w:t>
      </w:r>
      <w:r w:rsidRPr="00EC4BA6">
        <w:t xml:space="preserve"> excise and customs duty receipts by $</w:t>
      </w:r>
      <w:r w:rsidR="00471346" w:rsidRPr="00EC4BA6">
        <w:t>10.0</w:t>
      </w:r>
      <w:r w:rsidR="007278EC" w:rsidRPr="00EC4BA6">
        <w:t> </w:t>
      </w:r>
      <w:r w:rsidRPr="00EC4BA6">
        <w:t xml:space="preserve">million in </w:t>
      </w:r>
      <w:r w:rsidR="00E765B2" w:rsidRPr="00EC4BA6">
        <w:t>2025</w:t>
      </w:r>
      <w:r w:rsidR="002059CE" w:rsidRPr="00EC4BA6">
        <w:t>–</w:t>
      </w:r>
      <w:r w:rsidR="00E765B2" w:rsidRPr="00EC4BA6">
        <w:t xml:space="preserve">26 </w:t>
      </w:r>
      <w:r w:rsidR="0069501D" w:rsidRPr="00EC4BA6">
        <w:t>and</w:t>
      </w:r>
      <w:r w:rsidRPr="00EC4BA6">
        <w:t xml:space="preserve"> $</w:t>
      </w:r>
      <w:r w:rsidR="00471346" w:rsidRPr="00EC4BA6">
        <w:t>125.0</w:t>
      </w:r>
      <w:r w:rsidR="007278EC" w:rsidRPr="00EC4BA6">
        <w:t> </w:t>
      </w:r>
      <w:r w:rsidRPr="00EC4BA6">
        <w:t xml:space="preserve">million over the five years from </w:t>
      </w:r>
      <w:r w:rsidR="00E765B2" w:rsidRPr="00EC4BA6">
        <w:t>2024–25 to 2028–29</w:t>
      </w:r>
      <w:r w:rsidRPr="00EC4BA6">
        <w:t>.</w:t>
      </w:r>
    </w:p>
    <w:p w14:paraId="1263EBFF" w14:textId="7FE3BC3E" w:rsidR="00DF4D4F" w:rsidRPr="00EC4BA6" w:rsidRDefault="00DF4D4F" w:rsidP="00DF4D4F">
      <w:bookmarkStart w:id="45" w:name="_Hlk70928302"/>
      <w:r w:rsidRPr="00EC4BA6">
        <w:t>The 202</w:t>
      </w:r>
      <w:r w:rsidR="002078FB" w:rsidRPr="00EC4BA6">
        <w:t>5</w:t>
      </w:r>
      <w:r w:rsidRPr="00EC4BA6">
        <w:t>–2</w:t>
      </w:r>
      <w:r w:rsidR="002078FB" w:rsidRPr="00EC4BA6">
        <w:t>6</w:t>
      </w:r>
      <w:r w:rsidRPr="00EC4BA6">
        <w:t xml:space="preserve"> Budget estimates continue to include provision for the Australia European Union Free Trade Agreement, which has not been finalised. This provision is assumed to impact customs duty receipts. No other Free Trade Agreements (FTAs) that are currently under negotiation are expected to have a material impact on revenue over the forward estimates. A full list of FTAs currently under negotiation is available on the Department of Foreign Affairs and Trade website.</w:t>
      </w:r>
    </w:p>
    <w:p w14:paraId="1E61539B" w14:textId="51B5DEDA" w:rsidR="00DF4D4F" w:rsidRPr="00EC4BA6" w:rsidRDefault="00DF4D4F" w:rsidP="00DF4D4F">
      <w:pPr>
        <w:pStyle w:val="Heading4"/>
      </w:pPr>
      <w:bookmarkStart w:id="46" w:name="_Toc512338388"/>
      <w:bookmarkStart w:id="47" w:name="_Toc67658755"/>
      <w:bookmarkEnd w:id="44"/>
      <w:bookmarkEnd w:id="45"/>
      <w:r w:rsidRPr="00EC4BA6">
        <w:t>Other taxes</w:t>
      </w:r>
      <w:bookmarkEnd w:id="46"/>
      <w:bookmarkEnd w:id="47"/>
    </w:p>
    <w:p w14:paraId="16D11D1B" w14:textId="5EB9A4A9" w:rsidR="00DF4D4F" w:rsidRPr="00EC4BA6" w:rsidRDefault="00DF4D4F" w:rsidP="00DF4D4F">
      <w:pPr>
        <w:spacing w:before="180" w:after="180"/>
      </w:pPr>
      <w:r w:rsidRPr="00EC4BA6">
        <w:t>Other taxes encompass a range of sources of receipts, including visa application charges, major bank levy, luxury car tax, wine equalisation tax and agricultural levies.</w:t>
      </w:r>
    </w:p>
    <w:p w14:paraId="6F564655" w14:textId="6FC50672" w:rsidR="00DF4D4F" w:rsidRPr="00EC4BA6" w:rsidRDefault="00DF4D4F" w:rsidP="00DF4D4F">
      <w:pPr>
        <w:spacing w:before="180" w:after="180"/>
      </w:pPr>
      <w:r w:rsidRPr="00EC4BA6" w:rsidDel="00FE60C5">
        <w:t xml:space="preserve">Since MYEFO, </w:t>
      </w:r>
      <w:r w:rsidRPr="00EC4BA6">
        <w:t xml:space="preserve">other tax receipts </w:t>
      </w:r>
      <w:r w:rsidRPr="00EC4BA6" w:rsidDel="00FE60C5">
        <w:t xml:space="preserve">have been revised </w:t>
      </w:r>
      <w:r w:rsidR="00222EDA" w:rsidRPr="00EC4BA6">
        <w:t>down</w:t>
      </w:r>
      <w:r w:rsidRPr="00EC4BA6" w:rsidDel="00FE60C5">
        <w:t xml:space="preserve"> by </w:t>
      </w:r>
      <w:r w:rsidRPr="00EC4BA6">
        <w:t>$</w:t>
      </w:r>
      <w:r w:rsidR="003A6856" w:rsidRPr="00EC4BA6">
        <w:t>140.6</w:t>
      </w:r>
      <w:r w:rsidR="007278EC" w:rsidRPr="00EC4BA6">
        <w:t> </w:t>
      </w:r>
      <w:r w:rsidR="003A6856" w:rsidRPr="00EC4BA6">
        <w:t>m</w:t>
      </w:r>
      <w:r w:rsidRPr="00EC4BA6">
        <w:t xml:space="preserve">illion </w:t>
      </w:r>
      <w:r w:rsidRPr="00EC4BA6" w:rsidDel="00FE60C5">
        <w:t>in 202</w:t>
      </w:r>
      <w:r w:rsidR="00962CEF" w:rsidRPr="00EC4BA6">
        <w:t>5</w:t>
      </w:r>
      <w:r w:rsidRPr="00EC4BA6" w:rsidDel="00FE60C5">
        <w:t>–</w:t>
      </w:r>
      <w:r w:rsidRPr="00EC4BA6">
        <w:rPr>
          <w:rFonts w:ascii="Times New Roman" w:hAnsi="Times New Roman"/>
        </w:rPr>
        <w:t>‍</w:t>
      </w:r>
      <w:r w:rsidRPr="00EC4BA6">
        <w:t>2</w:t>
      </w:r>
      <w:r w:rsidR="00962CEF" w:rsidRPr="00EC4BA6">
        <w:t>6</w:t>
      </w:r>
      <w:r w:rsidRPr="00EC4BA6" w:rsidDel="00FE60C5">
        <w:t xml:space="preserve"> and </w:t>
      </w:r>
      <w:r w:rsidRPr="00EC4BA6">
        <w:t>$</w:t>
      </w:r>
      <w:r w:rsidR="00CF5A95" w:rsidRPr="00EC4BA6">
        <w:t>843.</w:t>
      </w:r>
      <w:r w:rsidR="00F11687" w:rsidRPr="00EC4BA6">
        <w:t>0</w:t>
      </w:r>
      <w:r w:rsidR="007278EC" w:rsidRPr="00EC4BA6">
        <w:t> </w:t>
      </w:r>
      <w:r w:rsidR="00CF5A95" w:rsidRPr="00EC4BA6">
        <w:t>m</w:t>
      </w:r>
      <w:r w:rsidRPr="00EC4BA6" w:rsidDel="00FE60C5">
        <w:t xml:space="preserve">illion over </w:t>
      </w:r>
      <w:r w:rsidR="00D34F9B" w:rsidRPr="00EC4BA6">
        <w:t xml:space="preserve">the </w:t>
      </w:r>
      <w:r w:rsidRPr="00EC4BA6" w:rsidDel="00FE60C5">
        <w:t>five years from 202</w:t>
      </w:r>
      <w:r w:rsidR="00962CEF" w:rsidRPr="00EC4BA6">
        <w:t>4</w:t>
      </w:r>
      <w:r w:rsidRPr="00EC4BA6" w:rsidDel="00FE60C5">
        <w:t>–2</w:t>
      </w:r>
      <w:r w:rsidR="00962CEF" w:rsidRPr="00EC4BA6">
        <w:t>5</w:t>
      </w:r>
      <w:r w:rsidRPr="00EC4BA6" w:rsidDel="00FE60C5">
        <w:t xml:space="preserve"> to 202</w:t>
      </w:r>
      <w:r w:rsidR="00962CEF" w:rsidRPr="00EC4BA6">
        <w:t>8</w:t>
      </w:r>
      <w:r w:rsidRPr="00EC4BA6" w:rsidDel="00FE60C5">
        <w:t>–2</w:t>
      </w:r>
      <w:r w:rsidR="00962CEF" w:rsidRPr="00EC4BA6">
        <w:t>9</w:t>
      </w:r>
      <w:r w:rsidRPr="00EC4BA6" w:rsidDel="00FE60C5">
        <w:t>.</w:t>
      </w:r>
      <w:r w:rsidRPr="00EC4BA6">
        <w:t xml:space="preserve"> </w:t>
      </w:r>
      <w:r w:rsidR="00883AAB" w:rsidRPr="00EC4BA6">
        <w:t>Policy decisions</w:t>
      </w:r>
      <w:r w:rsidRPr="00EC4BA6">
        <w:t xml:space="preserve"> are expected to decrease other tax receipts by $</w:t>
      </w:r>
      <w:r w:rsidR="00C01235" w:rsidRPr="00EC4BA6">
        <w:t>4</w:t>
      </w:r>
      <w:r w:rsidR="00E53CC8" w:rsidRPr="00EC4BA6">
        <w:t>3.6</w:t>
      </w:r>
      <w:r w:rsidR="00792F98" w:rsidRPr="00EC4BA6">
        <w:t xml:space="preserve"> </w:t>
      </w:r>
      <w:r w:rsidRPr="00EC4BA6">
        <w:t xml:space="preserve">million in </w:t>
      </w:r>
      <w:r w:rsidR="00962CEF" w:rsidRPr="00EC4BA6" w:rsidDel="00FE60C5">
        <w:t>202</w:t>
      </w:r>
      <w:r w:rsidR="00962CEF" w:rsidRPr="00EC4BA6">
        <w:t>5</w:t>
      </w:r>
      <w:r w:rsidR="00962CEF" w:rsidRPr="00EC4BA6" w:rsidDel="00FE60C5">
        <w:t>–</w:t>
      </w:r>
      <w:r w:rsidR="00962CEF" w:rsidRPr="00EC4BA6">
        <w:rPr>
          <w:rFonts w:ascii="Times New Roman" w:hAnsi="Times New Roman"/>
        </w:rPr>
        <w:t>‍</w:t>
      </w:r>
      <w:r w:rsidR="00962CEF" w:rsidRPr="00EC4BA6">
        <w:t>26</w:t>
      </w:r>
      <w:r w:rsidR="00962CEF" w:rsidRPr="00EC4BA6" w:rsidDel="00FE60C5">
        <w:t xml:space="preserve"> </w:t>
      </w:r>
      <w:r w:rsidRPr="00EC4BA6">
        <w:t>and $</w:t>
      </w:r>
      <w:r w:rsidR="00153DC5" w:rsidRPr="00EC4BA6">
        <w:t>9</w:t>
      </w:r>
      <w:r w:rsidR="00E53CC8" w:rsidRPr="00EC4BA6">
        <w:t>5.9</w:t>
      </w:r>
      <w:r w:rsidR="001A3DD6">
        <w:t> </w:t>
      </w:r>
      <w:r w:rsidRPr="00EC4BA6">
        <w:t xml:space="preserve">million over the five years from </w:t>
      </w:r>
      <w:r w:rsidR="00962CEF" w:rsidRPr="00EC4BA6" w:rsidDel="00FE60C5">
        <w:t>202</w:t>
      </w:r>
      <w:r w:rsidR="00962CEF" w:rsidRPr="00EC4BA6">
        <w:t>4</w:t>
      </w:r>
      <w:r w:rsidR="00962CEF" w:rsidRPr="00EC4BA6" w:rsidDel="00FE60C5">
        <w:t>–2</w:t>
      </w:r>
      <w:r w:rsidR="00962CEF" w:rsidRPr="00EC4BA6">
        <w:t>5</w:t>
      </w:r>
      <w:r w:rsidR="00962CEF" w:rsidRPr="00EC4BA6" w:rsidDel="00FE60C5">
        <w:t xml:space="preserve"> to 202</w:t>
      </w:r>
      <w:r w:rsidR="00962CEF" w:rsidRPr="00EC4BA6">
        <w:t>8</w:t>
      </w:r>
      <w:r w:rsidR="00962CEF" w:rsidRPr="00EC4BA6" w:rsidDel="00FE60C5">
        <w:t>–2</w:t>
      </w:r>
      <w:r w:rsidR="00962CEF" w:rsidRPr="00EC4BA6">
        <w:t>9</w:t>
      </w:r>
      <w:r w:rsidRPr="00EC4BA6">
        <w:t xml:space="preserve">. </w:t>
      </w:r>
    </w:p>
    <w:p w14:paraId="5BD52D8D" w14:textId="1C37ACCA" w:rsidR="00DF4D4F" w:rsidRPr="00EC4BA6" w:rsidRDefault="00DF4D4F" w:rsidP="00DF4D4F">
      <w:pPr>
        <w:pStyle w:val="Heading3"/>
      </w:pPr>
      <w:bookmarkStart w:id="48" w:name="_Toc512338389"/>
      <w:bookmarkStart w:id="49" w:name="_Toc67658756"/>
      <w:bookmarkStart w:id="50" w:name="_Toc99201822"/>
      <w:bookmarkStart w:id="51" w:name="_Toc117324549"/>
      <w:r w:rsidRPr="00EC4BA6">
        <w:t>Non</w:t>
      </w:r>
      <w:r w:rsidRPr="00EC4BA6">
        <w:rPr>
          <w:szCs w:val="19"/>
        </w:rPr>
        <w:t>–</w:t>
      </w:r>
      <w:r w:rsidRPr="00EC4BA6">
        <w:t>tax receipts</w:t>
      </w:r>
      <w:bookmarkEnd w:id="48"/>
      <w:bookmarkEnd w:id="49"/>
      <w:bookmarkEnd w:id="50"/>
      <w:bookmarkEnd w:id="51"/>
      <w:r w:rsidRPr="00EC4BA6">
        <w:t xml:space="preserve"> estimates</w:t>
      </w:r>
    </w:p>
    <w:p w14:paraId="1C417209" w14:textId="52CE3323" w:rsidR="00DF4D4F" w:rsidRPr="00EC4BA6" w:rsidRDefault="00333337" w:rsidP="00333337">
      <w:pPr>
        <w:spacing w:before="180" w:after="180"/>
        <w:rPr>
          <w:rFonts w:cs="Calibri"/>
        </w:rPr>
      </w:pPr>
      <w:r w:rsidRPr="00EC4BA6" w:rsidDel="00FE60C5">
        <w:t xml:space="preserve">Since MYEFO, </w:t>
      </w:r>
      <w:r w:rsidRPr="00EC4BA6">
        <w:rPr>
          <w:rFonts w:cs="Calibri"/>
        </w:rPr>
        <w:t>non</w:t>
      </w:r>
      <w:r w:rsidR="001A3DD6">
        <w:rPr>
          <w:rFonts w:cs="Calibri"/>
        </w:rPr>
        <w:noBreakHyphen/>
      </w:r>
      <w:r w:rsidRPr="00EC4BA6">
        <w:rPr>
          <w:rFonts w:cs="Calibri"/>
        </w:rPr>
        <w:t>tax receipts are expected to increase by $0.5</w:t>
      </w:r>
      <w:r w:rsidR="001A3DD6">
        <w:rPr>
          <w:rFonts w:cs="Calibri"/>
        </w:rPr>
        <w:t> </w:t>
      </w:r>
      <w:r w:rsidRPr="00EC4BA6">
        <w:rPr>
          <w:rFonts w:cs="Calibri"/>
        </w:rPr>
        <w:t>billion in 2025–26 and by $2.3</w:t>
      </w:r>
      <w:r w:rsidR="00204B9F" w:rsidRPr="00EC4BA6">
        <w:rPr>
          <w:rFonts w:cs="Calibri"/>
        </w:rPr>
        <w:t> </w:t>
      </w:r>
      <w:r w:rsidRPr="00EC4BA6">
        <w:rPr>
          <w:rFonts w:cs="Calibri"/>
        </w:rPr>
        <w:t>billion over the five years from 2024</w:t>
      </w:r>
      <w:r w:rsidR="004A4A9D" w:rsidRPr="00EC4BA6">
        <w:rPr>
          <w:rFonts w:cs="Calibri"/>
        </w:rPr>
        <w:t>–</w:t>
      </w:r>
      <w:r w:rsidRPr="00EC4BA6">
        <w:rPr>
          <w:rFonts w:cs="Calibri"/>
        </w:rPr>
        <w:t>25 to 2028–29.</w:t>
      </w:r>
    </w:p>
    <w:p w14:paraId="463B2437" w14:textId="5C72EB5A" w:rsidR="00333337" w:rsidRPr="00EC4BA6" w:rsidRDefault="009A25C2" w:rsidP="00333337">
      <w:pPr>
        <w:spacing w:before="180" w:after="180"/>
        <w:rPr>
          <w:rFonts w:eastAsia="Calibri"/>
        </w:rPr>
      </w:pPr>
      <w:r w:rsidRPr="00EC4BA6">
        <w:rPr>
          <w:rFonts w:eastAsia="Calibri" w:cs="Calibri"/>
          <w:lang w:val="en-US"/>
        </w:rPr>
        <w:t>P</w:t>
      </w:r>
      <w:r w:rsidR="00C711ED" w:rsidRPr="00EC4BA6">
        <w:rPr>
          <w:rFonts w:eastAsia="Calibri" w:cs="Calibri"/>
          <w:lang w:val="en-US"/>
        </w:rPr>
        <w:t>arameter and other variations are expected to increase non</w:t>
      </w:r>
      <w:r w:rsidR="001A3DD6">
        <w:rPr>
          <w:rFonts w:eastAsia="Calibri" w:cs="Calibri"/>
          <w:lang w:val="en-US"/>
        </w:rPr>
        <w:noBreakHyphen/>
      </w:r>
      <w:r w:rsidR="00C711ED" w:rsidRPr="00EC4BA6">
        <w:rPr>
          <w:rFonts w:eastAsia="Calibri" w:cs="Calibri"/>
          <w:lang w:val="en-US"/>
        </w:rPr>
        <w:t>tax receipts by $0.3</w:t>
      </w:r>
      <w:r w:rsidR="001A3DD6">
        <w:rPr>
          <w:rFonts w:eastAsia="Calibri" w:cs="Calibri"/>
          <w:lang w:val="en-US"/>
        </w:rPr>
        <w:t> </w:t>
      </w:r>
      <w:r w:rsidR="00C711ED" w:rsidRPr="00EC4BA6">
        <w:rPr>
          <w:rFonts w:eastAsia="Calibri" w:cs="Calibri"/>
          <w:lang w:val="en-US"/>
        </w:rPr>
        <w:t>billion in</w:t>
      </w:r>
      <w:r w:rsidR="00204B9F" w:rsidRPr="00EC4BA6">
        <w:rPr>
          <w:rFonts w:eastAsia="Calibri" w:cs="Calibri"/>
          <w:lang w:val="en-US"/>
        </w:rPr>
        <w:t> </w:t>
      </w:r>
      <w:r w:rsidR="00C711ED" w:rsidRPr="00EC4BA6">
        <w:rPr>
          <w:rFonts w:eastAsia="Calibri" w:cs="Calibri"/>
          <w:lang w:val="en-US"/>
        </w:rPr>
        <w:t xml:space="preserve">2025–26 and by $1.4 billion over the five years to 2028–29. This increase is </w:t>
      </w:r>
      <w:r w:rsidR="00C711ED" w:rsidRPr="00EC4BA6">
        <w:rPr>
          <w:rFonts w:eastAsia="Calibri"/>
          <w:lang w:val="en-US"/>
        </w:rPr>
        <w:t xml:space="preserve">driven by increases in the number and value of funded benefit transfers to the Consolidated Revenue Fund from the Commonwealth Superannuation Corporation, and in anticipated lodgments of unclaimed monies from financial institutions. </w:t>
      </w:r>
      <w:r w:rsidR="00154011" w:rsidRPr="00EC4BA6">
        <w:rPr>
          <w:rFonts w:eastAsia="Calibri"/>
          <w:lang w:val="en-US"/>
        </w:rPr>
        <w:t>In addition, non</w:t>
      </w:r>
      <w:r w:rsidR="001A3DD6">
        <w:rPr>
          <w:rFonts w:eastAsia="Calibri"/>
          <w:lang w:val="en-US"/>
        </w:rPr>
        <w:noBreakHyphen/>
      </w:r>
      <w:r w:rsidR="00154011" w:rsidRPr="00EC4BA6">
        <w:rPr>
          <w:rFonts w:eastAsia="Calibri"/>
          <w:lang w:val="en-US"/>
        </w:rPr>
        <w:t xml:space="preserve">tax receipts have been revised up by $1.5 billion in 2028–29 to account for the differences between the projection methodology at MYEFO and the forward estimate in this Budget. </w:t>
      </w:r>
      <w:r w:rsidR="00C711ED" w:rsidRPr="00EC4BA6">
        <w:rPr>
          <w:rFonts w:eastAsia="Calibri"/>
          <w:lang w:val="en-US"/>
        </w:rPr>
        <w:t xml:space="preserve">This increase is partially offset by </w:t>
      </w:r>
      <w:r w:rsidR="00C711ED" w:rsidRPr="00EC4BA6">
        <w:rPr>
          <w:rFonts w:eastAsia="Calibri"/>
        </w:rPr>
        <w:t>lower</w:t>
      </w:r>
      <w:r w:rsidR="001A3DD6">
        <w:rPr>
          <w:rFonts w:eastAsia="Calibri"/>
        </w:rPr>
        <w:noBreakHyphen/>
      </w:r>
      <w:r w:rsidR="004A4A9D" w:rsidRPr="00EC4BA6">
        <w:rPr>
          <w:rFonts w:ascii="Times New Roman" w:eastAsia="Calibri" w:hAnsi="Times New Roman"/>
        </w:rPr>
        <w:t>‍</w:t>
      </w:r>
      <w:r w:rsidR="00C711ED" w:rsidRPr="00EC4BA6">
        <w:rPr>
          <w:rFonts w:eastAsia="Calibri"/>
        </w:rPr>
        <w:t>than</w:t>
      </w:r>
      <w:r w:rsidR="001A3DD6">
        <w:rPr>
          <w:rFonts w:eastAsia="Calibri"/>
        </w:rPr>
        <w:noBreakHyphen/>
      </w:r>
      <w:r w:rsidR="00C711ED" w:rsidRPr="00EC4BA6">
        <w:rPr>
          <w:rFonts w:eastAsia="Calibri"/>
        </w:rPr>
        <w:t>expected Commonwealth Government interest earnings due to an anticipated decrease in short</w:t>
      </w:r>
      <w:r w:rsidR="001A3DD6">
        <w:rPr>
          <w:rFonts w:eastAsia="Calibri"/>
        </w:rPr>
        <w:noBreakHyphen/>
      </w:r>
      <w:r w:rsidR="00C711ED" w:rsidRPr="00EC4BA6">
        <w:rPr>
          <w:rFonts w:eastAsia="Calibri"/>
        </w:rPr>
        <w:t>term interest rates.</w:t>
      </w:r>
    </w:p>
    <w:p w14:paraId="1D8DB106" w14:textId="11D0CC09" w:rsidR="00DF4D4F" w:rsidRPr="00EC4BA6" w:rsidRDefault="00DA7980" w:rsidP="00696578">
      <w:pPr>
        <w:spacing w:before="180" w:after="180"/>
        <w:rPr>
          <w:rFonts w:cs="Calibri"/>
        </w:rPr>
      </w:pPr>
      <w:r w:rsidRPr="00EC4BA6">
        <w:rPr>
          <w:rFonts w:eastAsia="Calibri" w:cs="Calibri"/>
          <w:lang w:val="en-US"/>
        </w:rPr>
        <w:t>P</w:t>
      </w:r>
      <w:r w:rsidR="00C612D1" w:rsidRPr="00EC4BA6">
        <w:rPr>
          <w:rFonts w:eastAsia="Calibri" w:cs="Calibri"/>
          <w:lang w:val="en-US"/>
        </w:rPr>
        <w:t>olicy decisions are expected to increase non</w:t>
      </w:r>
      <w:r w:rsidR="001A3DD6">
        <w:rPr>
          <w:rFonts w:eastAsia="Calibri" w:cs="Calibri"/>
          <w:lang w:val="en-US"/>
        </w:rPr>
        <w:noBreakHyphen/>
      </w:r>
      <w:r w:rsidR="00C612D1" w:rsidRPr="00EC4BA6">
        <w:rPr>
          <w:rFonts w:eastAsia="Calibri" w:cs="Calibri"/>
          <w:lang w:val="en-US"/>
        </w:rPr>
        <w:t>tax receipts by $0.2</w:t>
      </w:r>
      <w:r w:rsidR="001A3DD6">
        <w:rPr>
          <w:rFonts w:eastAsia="Calibri" w:cs="Calibri"/>
          <w:lang w:val="en-US"/>
        </w:rPr>
        <w:t> </w:t>
      </w:r>
      <w:r w:rsidR="00C612D1" w:rsidRPr="00EC4BA6">
        <w:rPr>
          <w:rFonts w:eastAsia="Calibri" w:cs="Calibri"/>
          <w:lang w:val="en-US"/>
        </w:rPr>
        <w:t xml:space="preserve">billion in 2025–26, and by $0.9 billion over the five years to 2028–29. This increase is largely driven by the standard </w:t>
      </w:r>
      <w:r w:rsidR="00C612D1" w:rsidRPr="00EC4BA6">
        <w:rPr>
          <w:rFonts w:eastAsia="Calibri" w:cs="Calibri"/>
          <w:lang w:val="en-US"/>
        </w:rPr>
        <w:lastRenderedPageBreak/>
        <w:t>non</w:t>
      </w:r>
      <w:r w:rsidR="001A3DD6">
        <w:rPr>
          <w:rFonts w:eastAsia="Calibri" w:cs="Calibri"/>
          <w:lang w:val="en-US"/>
        </w:rPr>
        <w:noBreakHyphen/>
      </w:r>
      <w:r w:rsidR="00C612D1" w:rsidRPr="00EC4BA6">
        <w:rPr>
          <w:rFonts w:eastAsia="Calibri" w:cs="Calibri"/>
          <w:lang w:val="en-US"/>
        </w:rPr>
        <w:t>tax revenue impacts of Pharmaceutical Benefits Scheme listings, which partially offset expenditure impacts of these listings</w:t>
      </w:r>
      <w:r w:rsidR="00696578" w:rsidRPr="00EC4BA6">
        <w:rPr>
          <w:rFonts w:eastAsia="Calibri" w:cs="Calibri"/>
          <w:lang w:val="en-US"/>
        </w:rPr>
        <w:t>.</w:t>
      </w:r>
      <w:r w:rsidR="00DF4D4F" w:rsidRPr="00EC4BA6">
        <w:br w:type="page"/>
      </w:r>
    </w:p>
    <w:p w14:paraId="18B94021" w14:textId="1FDA3624" w:rsidR="00AC4FFA" w:rsidRPr="00EC4BA6" w:rsidRDefault="00DF4D4F" w:rsidP="00EB4FEA">
      <w:pPr>
        <w:pStyle w:val="TableHeading"/>
        <w:rPr>
          <w:rFonts w:asciiTheme="minorHAnsi" w:eastAsiaTheme="minorHAnsi" w:hAnsiTheme="minorHAnsi" w:cstheme="minorBidi"/>
          <w:sz w:val="22"/>
          <w:szCs w:val="22"/>
          <w:lang w:eastAsia="en-US"/>
        </w:rPr>
      </w:pPr>
      <w:r w:rsidRPr="00EC4BA6">
        <w:lastRenderedPageBreak/>
        <w:t xml:space="preserve">Table </w:t>
      </w:r>
      <w:r w:rsidR="008F3AA1" w:rsidRPr="00EC4BA6">
        <w:t>4</w:t>
      </w:r>
      <w:r w:rsidRPr="00EC4BA6">
        <w:t>.5: Reconciliation of 202</w:t>
      </w:r>
      <w:r w:rsidR="009955E3" w:rsidRPr="00EC4BA6">
        <w:t>4</w:t>
      </w:r>
      <w:r w:rsidRPr="00EC4BA6">
        <w:t>–2</w:t>
      </w:r>
      <w:r w:rsidR="009955E3" w:rsidRPr="00EC4BA6">
        <w:t>5</w:t>
      </w:r>
      <w:r w:rsidRPr="00EC4BA6">
        <w:t xml:space="preserve"> general government (cash)</w:t>
      </w:r>
      <w:r w:rsidR="002573C3" w:rsidRPr="00EC4BA6">
        <w:t xml:space="preserve"> receipts</w:t>
      </w:r>
    </w:p>
    <w:tbl>
      <w:tblPr>
        <w:tblW w:w="5000" w:type="pct"/>
        <w:tblCellMar>
          <w:left w:w="0" w:type="dxa"/>
          <w:right w:w="28" w:type="dxa"/>
        </w:tblCellMar>
        <w:tblLook w:val="04A0" w:firstRow="1" w:lastRow="0" w:firstColumn="1" w:lastColumn="0" w:noHBand="0" w:noVBand="1"/>
      </w:tblPr>
      <w:tblGrid>
        <w:gridCol w:w="3088"/>
        <w:gridCol w:w="1123"/>
        <w:gridCol w:w="1123"/>
        <w:gridCol w:w="89"/>
        <w:gridCol w:w="1143"/>
        <w:gridCol w:w="1144"/>
      </w:tblGrid>
      <w:tr w:rsidR="00AC4FFA" w:rsidRPr="00EC4BA6" w14:paraId="1D6C2304" w14:textId="77777777" w:rsidTr="00FD0567">
        <w:trPr>
          <w:trHeight w:hRule="exact" w:val="225"/>
        </w:trPr>
        <w:tc>
          <w:tcPr>
            <w:tcW w:w="2003" w:type="pct"/>
            <w:tcBorders>
              <w:top w:val="single" w:sz="4" w:space="0" w:color="293F5B"/>
              <w:left w:val="nil"/>
              <w:bottom w:val="nil"/>
              <w:right w:val="nil"/>
            </w:tcBorders>
            <w:shd w:val="clear" w:color="auto" w:fill="auto"/>
            <w:noWrap/>
            <w:vAlign w:val="center"/>
            <w:hideMark/>
          </w:tcPr>
          <w:p w14:paraId="5B103864" w14:textId="2EA8B1C9" w:rsidR="00AC4FFA" w:rsidRPr="00EC4BA6" w:rsidRDefault="00AC4FFA">
            <w:pPr>
              <w:rPr>
                <w:rFonts w:ascii="Arial" w:hAnsi="Arial" w:cs="Arial"/>
                <w:sz w:val="16"/>
                <w:szCs w:val="16"/>
              </w:rPr>
            </w:pPr>
            <w:r w:rsidRPr="00EC4BA6">
              <w:rPr>
                <w:rFonts w:ascii="Arial" w:hAnsi="Arial" w:cs="Arial"/>
                <w:sz w:val="16"/>
                <w:szCs w:val="16"/>
              </w:rPr>
              <w:t> </w:t>
            </w:r>
          </w:p>
        </w:tc>
        <w:tc>
          <w:tcPr>
            <w:tcW w:w="1456" w:type="pct"/>
            <w:gridSpan w:val="2"/>
            <w:tcBorders>
              <w:top w:val="single" w:sz="4" w:space="0" w:color="293F5B"/>
              <w:left w:val="nil"/>
              <w:bottom w:val="nil"/>
              <w:right w:val="nil"/>
            </w:tcBorders>
            <w:shd w:val="clear" w:color="auto" w:fill="auto"/>
            <w:noWrap/>
            <w:vAlign w:val="center"/>
            <w:hideMark/>
          </w:tcPr>
          <w:p w14:paraId="18504313" w14:textId="77777777" w:rsidR="00AC4FFA" w:rsidRPr="00EC4BA6" w:rsidRDefault="00AC4FFA" w:rsidP="008F032C">
            <w:pPr>
              <w:spacing w:before="0" w:after="0" w:line="240" w:lineRule="auto"/>
              <w:jc w:val="center"/>
              <w:rPr>
                <w:rFonts w:ascii="Arial" w:hAnsi="Arial" w:cs="Arial"/>
                <w:sz w:val="16"/>
                <w:szCs w:val="16"/>
              </w:rPr>
            </w:pPr>
            <w:r w:rsidRPr="00EC4BA6">
              <w:rPr>
                <w:rFonts w:ascii="Arial" w:hAnsi="Arial" w:cs="Arial"/>
                <w:sz w:val="16"/>
                <w:szCs w:val="16"/>
              </w:rPr>
              <w:t>Estimates</w:t>
            </w:r>
          </w:p>
        </w:tc>
        <w:tc>
          <w:tcPr>
            <w:tcW w:w="58" w:type="pct"/>
            <w:tcBorders>
              <w:top w:val="single" w:sz="4" w:space="0" w:color="293F5B"/>
              <w:left w:val="nil"/>
              <w:bottom w:val="nil"/>
              <w:right w:val="nil"/>
            </w:tcBorders>
            <w:shd w:val="clear" w:color="auto" w:fill="auto"/>
            <w:noWrap/>
            <w:vAlign w:val="center"/>
            <w:hideMark/>
          </w:tcPr>
          <w:p w14:paraId="5A29F536"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 </w:t>
            </w:r>
          </w:p>
        </w:tc>
        <w:tc>
          <w:tcPr>
            <w:tcW w:w="1483" w:type="pct"/>
            <w:gridSpan w:val="2"/>
            <w:tcBorders>
              <w:top w:val="single" w:sz="4" w:space="0" w:color="293F5B"/>
              <w:left w:val="nil"/>
              <w:bottom w:val="nil"/>
              <w:right w:val="nil"/>
            </w:tcBorders>
            <w:shd w:val="clear" w:color="auto" w:fill="auto"/>
            <w:noWrap/>
            <w:vAlign w:val="center"/>
            <w:hideMark/>
          </w:tcPr>
          <w:p w14:paraId="16B0F322" w14:textId="77777777" w:rsidR="00AC4FFA" w:rsidRPr="00EC4BA6" w:rsidRDefault="00AC4FFA" w:rsidP="008F032C">
            <w:pPr>
              <w:spacing w:before="0" w:after="0" w:line="240" w:lineRule="auto"/>
              <w:jc w:val="center"/>
              <w:rPr>
                <w:rFonts w:ascii="Arial" w:hAnsi="Arial" w:cs="Arial"/>
                <w:sz w:val="16"/>
                <w:szCs w:val="16"/>
              </w:rPr>
            </w:pPr>
            <w:r w:rsidRPr="00EC4BA6">
              <w:rPr>
                <w:rFonts w:ascii="Arial" w:hAnsi="Arial" w:cs="Arial"/>
                <w:sz w:val="16"/>
                <w:szCs w:val="16"/>
              </w:rPr>
              <w:t>Change on MYEFO</w:t>
            </w:r>
          </w:p>
        </w:tc>
      </w:tr>
      <w:tr w:rsidR="00AC4FFA" w:rsidRPr="00EC4BA6" w14:paraId="50D70C30" w14:textId="77777777" w:rsidTr="00FD0567">
        <w:trPr>
          <w:trHeight w:hRule="exact" w:val="225"/>
        </w:trPr>
        <w:tc>
          <w:tcPr>
            <w:tcW w:w="2003" w:type="pct"/>
            <w:tcBorders>
              <w:top w:val="nil"/>
              <w:left w:val="nil"/>
              <w:bottom w:val="nil"/>
              <w:right w:val="nil"/>
            </w:tcBorders>
            <w:shd w:val="clear" w:color="auto" w:fill="auto"/>
            <w:noWrap/>
            <w:vAlign w:val="center"/>
            <w:hideMark/>
          </w:tcPr>
          <w:p w14:paraId="588804C0" w14:textId="77777777" w:rsidR="00AC4FFA" w:rsidRPr="00EC4BA6" w:rsidRDefault="00AC4FFA" w:rsidP="008F032C">
            <w:pPr>
              <w:spacing w:before="0" w:after="0" w:line="240" w:lineRule="auto"/>
              <w:jc w:val="center"/>
              <w:rPr>
                <w:rFonts w:ascii="Arial" w:hAnsi="Arial" w:cs="Arial"/>
                <w:sz w:val="16"/>
                <w:szCs w:val="16"/>
              </w:rPr>
            </w:pPr>
          </w:p>
        </w:tc>
        <w:tc>
          <w:tcPr>
            <w:tcW w:w="728" w:type="pct"/>
            <w:tcBorders>
              <w:top w:val="single" w:sz="4" w:space="0" w:color="293F5B"/>
              <w:left w:val="nil"/>
              <w:bottom w:val="nil"/>
              <w:right w:val="nil"/>
            </w:tcBorders>
            <w:shd w:val="clear" w:color="000000" w:fill="FFFFFF"/>
            <w:noWrap/>
            <w:vAlign w:val="center"/>
            <w:hideMark/>
          </w:tcPr>
          <w:p w14:paraId="752B31B5"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MYEFO</w:t>
            </w:r>
          </w:p>
        </w:tc>
        <w:tc>
          <w:tcPr>
            <w:tcW w:w="728" w:type="pct"/>
            <w:tcBorders>
              <w:top w:val="single" w:sz="4" w:space="0" w:color="293F5B"/>
              <w:left w:val="nil"/>
              <w:bottom w:val="nil"/>
              <w:right w:val="nil"/>
            </w:tcBorders>
            <w:shd w:val="clear" w:color="000000" w:fill="E6F2FF"/>
            <w:noWrap/>
            <w:vAlign w:val="center"/>
            <w:hideMark/>
          </w:tcPr>
          <w:p w14:paraId="151EE58B"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Budget</w:t>
            </w:r>
          </w:p>
        </w:tc>
        <w:tc>
          <w:tcPr>
            <w:tcW w:w="58" w:type="pct"/>
            <w:tcBorders>
              <w:top w:val="nil"/>
              <w:left w:val="nil"/>
              <w:bottom w:val="nil"/>
              <w:right w:val="nil"/>
            </w:tcBorders>
            <w:shd w:val="clear" w:color="auto" w:fill="auto"/>
            <w:noWrap/>
            <w:vAlign w:val="center"/>
            <w:hideMark/>
          </w:tcPr>
          <w:p w14:paraId="5D58B17A" w14:textId="77777777" w:rsidR="00AC4FFA" w:rsidRPr="00EC4BA6" w:rsidRDefault="00AC4FFA" w:rsidP="008F032C">
            <w:pPr>
              <w:spacing w:before="0" w:after="0" w:line="240" w:lineRule="auto"/>
              <w:jc w:val="right"/>
              <w:rPr>
                <w:rFonts w:ascii="Arial" w:hAnsi="Arial" w:cs="Arial"/>
                <w:sz w:val="16"/>
                <w:szCs w:val="16"/>
              </w:rPr>
            </w:pPr>
          </w:p>
        </w:tc>
        <w:tc>
          <w:tcPr>
            <w:tcW w:w="741" w:type="pct"/>
            <w:tcBorders>
              <w:top w:val="single" w:sz="4" w:space="0" w:color="293F5B"/>
              <w:left w:val="nil"/>
              <w:bottom w:val="nil"/>
              <w:right w:val="nil"/>
            </w:tcBorders>
            <w:shd w:val="clear" w:color="auto" w:fill="auto"/>
            <w:noWrap/>
            <w:vAlign w:val="center"/>
            <w:hideMark/>
          </w:tcPr>
          <w:p w14:paraId="2E9D8710"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 </w:t>
            </w:r>
          </w:p>
        </w:tc>
        <w:tc>
          <w:tcPr>
            <w:tcW w:w="741" w:type="pct"/>
            <w:tcBorders>
              <w:top w:val="single" w:sz="4" w:space="0" w:color="293F5B"/>
              <w:left w:val="nil"/>
              <w:bottom w:val="nil"/>
              <w:right w:val="nil"/>
            </w:tcBorders>
            <w:shd w:val="clear" w:color="auto" w:fill="auto"/>
            <w:noWrap/>
            <w:vAlign w:val="center"/>
            <w:hideMark/>
          </w:tcPr>
          <w:p w14:paraId="6C53404F"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 </w:t>
            </w:r>
          </w:p>
        </w:tc>
      </w:tr>
      <w:tr w:rsidR="00AC4FFA" w:rsidRPr="00EC4BA6" w14:paraId="60679F4C" w14:textId="77777777" w:rsidTr="00FD0567">
        <w:trPr>
          <w:trHeight w:hRule="exact" w:val="225"/>
        </w:trPr>
        <w:tc>
          <w:tcPr>
            <w:tcW w:w="2003" w:type="pct"/>
            <w:tcBorders>
              <w:top w:val="nil"/>
              <w:left w:val="nil"/>
              <w:bottom w:val="nil"/>
              <w:right w:val="nil"/>
            </w:tcBorders>
            <w:shd w:val="clear" w:color="auto" w:fill="auto"/>
            <w:vAlign w:val="center"/>
            <w:hideMark/>
          </w:tcPr>
          <w:p w14:paraId="64FB6015" w14:textId="77777777" w:rsidR="00AC4FFA" w:rsidRPr="00EC4BA6" w:rsidRDefault="00AC4FFA" w:rsidP="008F032C">
            <w:pPr>
              <w:spacing w:before="0" w:after="0" w:line="240" w:lineRule="auto"/>
              <w:jc w:val="right"/>
              <w:rPr>
                <w:rFonts w:ascii="Arial" w:hAnsi="Arial" w:cs="Arial"/>
                <w:sz w:val="16"/>
                <w:szCs w:val="16"/>
              </w:rPr>
            </w:pPr>
          </w:p>
        </w:tc>
        <w:tc>
          <w:tcPr>
            <w:tcW w:w="728" w:type="pct"/>
            <w:tcBorders>
              <w:top w:val="nil"/>
              <w:left w:val="nil"/>
              <w:bottom w:val="nil"/>
              <w:right w:val="nil"/>
            </w:tcBorders>
            <w:shd w:val="clear" w:color="auto" w:fill="auto"/>
            <w:vAlign w:val="center"/>
            <w:hideMark/>
          </w:tcPr>
          <w:p w14:paraId="1AA1ECE2"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$m</w:t>
            </w:r>
          </w:p>
        </w:tc>
        <w:tc>
          <w:tcPr>
            <w:tcW w:w="728" w:type="pct"/>
            <w:tcBorders>
              <w:top w:val="nil"/>
              <w:left w:val="nil"/>
              <w:bottom w:val="nil"/>
              <w:right w:val="nil"/>
            </w:tcBorders>
            <w:shd w:val="clear" w:color="000000" w:fill="E6F2FF"/>
            <w:noWrap/>
            <w:vAlign w:val="center"/>
            <w:hideMark/>
          </w:tcPr>
          <w:p w14:paraId="5109591E"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$m</w:t>
            </w:r>
          </w:p>
        </w:tc>
        <w:tc>
          <w:tcPr>
            <w:tcW w:w="58" w:type="pct"/>
            <w:tcBorders>
              <w:top w:val="nil"/>
              <w:left w:val="nil"/>
              <w:bottom w:val="nil"/>
              <w:right w:val="nil"/>
            </w:tcBorders>
            <w:shd w:val="clear" w:color="auto" w:fill="auto"/>
            <w:vAlign w:val="center"/>
            <w:hideMark/>
          </w:tcPr>
          <w:p w14:paraId="6EACA485" w14:textId="77777777" w:rsidR="00AC4FFA" w:rsidRPr="00EC4BA6" w:rsidRDefault="00AC4FFA" w:rsidP="008F032C">
            <w:pPr>
              <w:spacing w:before="0" w:after="0" w:line="240" w:lineRule="auto"/>
              <w:jc w:val="right"/>
              <w:rPr>
                <w:rFonts w:ascii="Arial" w:hAnsi="Arial" w:cs="Arial"/>
                <w:sz w:val="16"/>
                <w:szCs w:val="16"/>
              </w:rPr>
            </w:pPr>
          </w:p>
        </w:tc>
        <w:tc>
          <w:tcPr>
            <w:tcW w:w="741" w:type="pct"/>
            <w:tcBorders>
              <w:top w:val="nil"/>
              <w:left w:val="nil"/>
              <w:bottom w:val="nil"/>
              <w:right w:val="nil"/>
            </w:tcBorders>
            <w:shd w:val="clear" w:color="auto" w:fill="auto"/>
            <w:vAlign w:val="center"/>
            <w:hideMark/>
          </w:tcPr>
          <w:p w14:paraId="70306D3D"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$m</w:t>
            </w:r>
          </w:p>
        </w:tc>
        <w:tc>
          <w:tcPr>
            <w:tcW w:w="741" w:type="pct"/>
            <w:tcBorders>
              <w:top w:val="nil"/>
              <w:left w:val="nil"/>
              <w:bottom w:val="nil"/>
              <w:right w:val="nil"/>
            </w:tcBorders>
            <w:shd w:val="clear" w:color="auto" w:fill="auto"/>
            <w:vAlign w:val="center"/>
            <w:hideMark/>
          </w:tcPr>
          <w:p w14:paraId="0CDB9ECC"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w:t>
            </w:r>
          </w:p>
        </w:tc>
      </w:tr>
      <w:tr w:rsidR="00AC4FFA" w:rsidRPr="00EC4BA6" w14:paraId="6FDDF191" w14:textId="77777777" w:rsidTr="00FD0567">
        <w:trPr>
          <w:trHeight w:hRule="exact" w:val="225"/>
        </w:trPr>
        <w:tc>
          <w:tcPr>
            <w:tcW w:w="2003" w:type="pct"/>
            <w:tcBorders>
              <w:top w:val="nil"/>
              <w:left w:val="nil"/>
              <w:bottom w:val="nil"/>
              <w:right w:val="nil"/>
            </w:tcBorders>
            <w:shd w:val="clear" w:color="auto" w:fill="auto"/>
            <w:noWrap/>
            <w:vAlign w:val="center"/>
            <w:hideMark/>
          </w:tcPr>
          <w:p w14:paraId="02570061" w14:textId="77777777" w:rsidR="00AC4FFA" w:rsidRPr="00EC4BA6" w:rsidRDefault="00AC4FFA" w:rsidP="008F032C">
            <w:pPr>
              <w:spacing w:before="0" w:after="0" w:line="240" w:lineRule="auto"/>
              <w:rPr>
                <w:rFonts w:ascii="Arial" w:hAnsi="Arial" w:cs="Arial"/>
                <w:sz w:val="16"/>
                <w:szCs w:val="16"/>
              </w:rPr>
            </w:pPr>
            <w:r w:rsidRPr="00EC4BA6">
              <w:rPr>
                <w:rFonts w:ascii="Arial" w:hAnsi="Arial" w:cs="Arial"/>
                <w:sz w:val="16"/>
                <w:szCs w:val="16"/>
              </w:rPr>
              <w:t>Individuals and other withholding taxes</w:t>
            </w:r>
          </w:p>
        </w:tc>
        <w:tc>
          <w:tcPr>
            <w:tcW w:w="728" w:type="pct"/>
            <w:tcBorders>
              <w:top w:val="single" w:sz="4" w:space="0" w:color="293F5B"/>
              <w:left w:val="nil"/>
              <w:bottom w:val="nil"/>
              <w:right w:val="nil"/>
            </w:tcBorders>
            <w:shd w:val="clear" w:color="auto" w:fill="auto"/>
            <w:noWrap/>
            <w:vAlign w:val="center"/>
            <w:hideMark/>
          </w:tcPr>
          <w:p w14:paraId="5EB62D94"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 </w:t>
            </w:r>
          </w:p>
        </w:tc>
        <w:tc>
          <w:tcPr>
            <w:tcW w:w="728" w:type="pct"/>
            <w:tcBorders>
              <w:top w:val="single" w:sz="4" w:space="0" w:color="293F5B"/>
              <w:left w:val="nil"/>
              <w:bottom w:val="nil"/>
              <w:right w:val="nil"/>
            </w:tcBorders>
            <w:shd w:val="clear" w:color="000000" w:fill="E6F2FF"/>
            <w:noWrap/>
            <w:vAlign w:val="center"/>
            <w:hideMark/>
          </w:tcPr>
          <w:p w14:paraId="0DFF6448" w14:textId="77777777" w:rsidR="00AC4FFA" w:rsidRPr="00EC4BA6" w:rsidRDefault="00AC4FFA" w:rsidP="008F032C">
            <w:pPr>
              <w:spacing w:before="0" w:after="0" w:line="240" w:lineRule="auto"/>
              <w:rPr>
                <w:rFonts w:ascii="Arial" w:hAnsi="Arial" w:cs="Arial"/>
                <w:sz w:val="16"/>
                <w:szCs w:val="16"/>
              </w:rPr>
            </w:pPr>
            <w:r w:rsidRPr="00EC4BA6">
              <w:rPr>
                <w:rFonts w:ascii="Arial" w:hAnsi="Arial" w:cs="Arial"/>
                <w:sz w:val="16"/>
                <w:szCs w:val="16"/>
              </w:rPr>
              <w:t> </w:t>
            </w:r>
          </w:p>
        </w:tc>
        <w:tc>
          <w:tcPr>
            <w:tcW w:w="58" w:type="pct"/>
            <w:tcBorders>
              <w:top w:val="nil"/>
              <w:left w:val="nil"/>
              <w:bottom w:val="nil"/>
              <w:right w:val="nil"/>
            </w:tcBorders>
            <w:shd w:val="clear" w:color="auto" w:fill="auto"/>
            <w:noWrap/>
            <w:vAlign w:val="center"/>
            <w:hideMark/>
          </w:tcPr>
          <w:p w14:paraId="19B6DCA6" w14:textId="77777777" w:rsidR="00AC4FFA" w:rsidRPr="00EC4BA6" w:rsidRDefault="00AC4FFA" w:rsidP="008F032C">
            <w:pPr>
              <w:spacing w:before="0" w:after="0" w:line="240" w:lineRule="auto"/>
              <w:rPr>
                <w:rFonts w:ascii="Arial" w:hAnsi="Arial" w:cs="Arial"/>
                <w:sz w:val="16"/>
                <w:szCs w:val="16"/>
              </w:rPr>
            </w:pPr>
          </w:p>
        </w:tc>
        <w:tc>
          <w:tcPr>
            <w:tcW w:w="741" w:type="pct"/>
            <w:tcBorders>
              <w:top w:val="single" w:sz="4" w:space="0" w:color="293F5B"/>
              <w:left w:val="nil"/>
              <w:bottom w:val="nil"/>
              <w:right w:val="nil"/>
            </w:tcBorders>
            <w:shd w:val="clear" w:color="auto" w:fill="auto"/>
            <w:noWrap/>
            <w:vAlign w:val="center"/>
            <w:hideMark/>
          </w:tcPr>
          <w:p w14:paraId="173B9284" w14:textId="77777777" w:rsidR="00AC4FFA" w:rsidRPr="00EC4BA6" w:rsidRDefault="00AC4FFA" w:rsidP="008F032C">
            <w:pPr>
              <w:spacing w:before="0" w:after="0" w:line="240" w:lineRule="auto"/>
              <w:rPr>
                <w:rFonts w:ascii="Arial" w:hAnsi="Arial" w:cs="Arial"/>
                <w:b/>
                <w:sz w:val="16"/>
                <w:szCs w:val="16"/>
              </w:rPr>
            </w:pPr>
            <w:r w:rsidRPr="00EC4BA6">
              <w:rPr>
                <w:rFonts w:ascii="Arial" w:hAnsi="Arial" w:cs="Arial"/>
                <w:b/>
                <w:sz w:val="16"/>
                <w:szCs w:val="16"/>
              </w:rPr>
              <w:t> </w:t>
            </w:r>
          </w:p>
        </w:tc>
        <w:tc>
          <w:tcPr>
            <w:tcW w:w="741" w:type="pct"/>
            <w:tcBorders>
              <w:top w:val="single" w:sz="4" w:space="0" w:color="293F5B"/>
              <w:left w:val="nil"/>
              <w:bottom w:val="nil"/>
              <w:right w:val="nil"/>
            </w:tcBorders>
            <w:shd w:val="clear" w:color="auto" w:fill="auto"/>
            <w:noWrap/>
            <w:vAlign w:val="center"/>
            <w:hideMark/>
          </w:tcPr>
          <w:p w14:paraId="63708CFF" w14:textId="77777777" w:rsidR="00AC4FFA" w:rsidRPr="00EC4BA6" w:rsidRDefault="00AC4FFA" w:rsidP="008F032C">
            <w:pPr>
              <w:spacing w:before="0" w:after="0" w:line="240" w:lineRule="auto"/>
              <w:rPr>
                <w:rFonts w:ascii="Arial" w:hAnsi="Arial" w:cs="Arial"/>
                <w:b/>
                <w:sz w:val="16"/>
                <w:szCs w:val="16"/>
              </w:rPr>
            </w:pPr>
            <w:r w:rsidRPr="00EC4BA6">
              <w:rPr>
                <w:rFonts w:ascii="Arial" w:hAnsi="Arial" w:cs="Arial"/>
                <w:b/>
                <w:sz w:val="16"/>
                <w:szCs w:val="16"/>
              </w:rPr>
              <w:t> </w:t>
            </w:r>
          </w:p>
        </w:tc>
      </w:tr>
      <w:tr w:rsidR="00AC4FFA" w:rsidRPr="00EC4BA6" w14:paraId="4B14ADFF" w14:textId="77777777" w:rsidTr="00FD0567">
        <w:trPr>
          <w:trHeight w:hRule="exact" w:val="225"/>
        </w:trPr>
        <w:tc>
          <w:tcPr>
            <w:tcW w:w="2003" w:type="pct"/>
            <w:tcBorders>
              <w:top w:val="nil"/>
              <w:left w:val="nil"/>
              <w:bottom w:val="nil"/>
              <w:right w:val="nil"/>
            </w:tcBorders>
            <w:shd w:val="clear" w:color="auto" w:fill="auto"/>
            <w:noWrap/>
            <w:vAlign w:val="center"/>
            <w:hideMark/>
          </w:tcPr>
          <w:p w14:paraId="30894D33" w14:textId="77777777" w:rsidR="00AC4FFA" w:rsidRPr="00EC4BA6" w:rsidRDefault="00AC4FFA" w:rsidP="008F032C">
            <w:pPr>
              <w:spacing w:before="0" w:after="0" w:line="240" w:lineRule="auto"/>
              <w:ind w:left="170"/>
              <w:rPr>
                <w:rFonts w:ascii="Arial" w:hAnsi="Arial" w:cs="Arial"/>
                <w:sz w:val="16"/>
                <w:szCs w:val="16"/>
              </w:rPr>
            </w:pPr>
            <w:r w:rsidRPr="00EC4BA6">
              <w:rPr>
                <w:rFonts w:ascii="Arial" w:hAnsi="Arial" w:cs="Arial"/>
                <w:sz w:val="16"/>
                <w:szCs w:val="16"/>
              </w:rPr>
              <w:t>Gross income tax withholding</w:t>
            </w:r>
          </w:p>
        </w:tc>
        <w:tc>
          <w:tcPr>
            <w:tcW w:w="728" w:type="pct"/>
            <w:tcBorders>
              <w:top w:val="nil"/>
              <w:left w:val="nil"/>
              <w:bottom w:val="nil"/>
              <w:right w:val="nil"/>
            </w:tcBorders>
            <w:shd w:val="clear" w:color="auto" w:fill="auto"/>
            <w:noWrap/>
            <w:vAlign w:val="center"/>
            <w:hideMark/>
          </w:tcPr>
          <w:p w14:paraId="1E636B61"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293,600</w:t>
            </w:r>
          </w:p>
        </w:tc>
        <w:tc>
          <w:tcPr>
            <w:tcW w:w="728" w:type="pct"/>
            <w:tcBorders>
              <w:top w:val="nil"/>
              <w:left w:val="nil"/>
              <w:bottom w:val="nil"/>
              <w:right w:val="nil"/>
            </w:tcBorders>
            <w:shd w:val="clear" w:color="000000" w:fill="E6F2FF"/>
            <w:noWrap/>
            <w:vAlign w:val="center"/>
            <w:hideMark/>
          </w:tcPr>
          <w:p w14:paraId="671B3783"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293,600</w:t>
            </w:r>
          </w:p>
        </w:tc>
        <w:tc>
          <w:tcPr>
            <w:tcW w:w="58" w:type="pct"/>
            <w:tcBorders>
              <w:top w:val="nil"/>
              <w:left w:val="nil"/>
              <w:bottom w:val="nil"/>
              <w:right w:val="nil"/>
            </w:tcBorders>
            <w:shd w:val="clear" w:color="auto" w:fill="auto"/>
            <w:noWrap/>
            <w:vAlign w:val="center"/>
            <w:hideMark/>
          </w:tcPr>
          <w:p w14:paraId="1A2D7D2D" w14:textId="77777777" w:rsidR="00AC4FFA" w:rsidRPr="00EC4BA6" w:rsidRDefault="00AC4FFA" w:rsidP="008F032C">
            <w:pPr>
              <w:spacing w:before="0" w:after="0" w:line="240" w:lineRule="auto"/>
              <w:jc w:val="right"/>
              <w:rPr>
                <w:rFonts w:ascii="Arial" w:hAnsi="Arial" w:cs="Arial"/>
                <w:sz w:val="16"/>
                <w:szCs w:val="16"/>
              </w:rPr>
            </w:pPr>
          </w:p>
        </w:tc>
        <w:tc>
          <w:tcPr>
            <w:tcW w:w="741" w:type="pct"/>
            <w:tcBorders>
              <w:top w:val="nil"/>
              <w:left w:val="nil"/>
              <w:bottom w:val="nil"/>
              <w:right w:val="nil"/>
            </w:tcBorders>
            <w:shd w:val="clear" w:color="auto" w:fill="auto"/>
            <w:noWrap/>
            <w:vAlign w:val="center"/>
            <w:hideMark/>
          </w:tcPr>
          <w:p w14:paraId="5E27DFFE"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0</w:t>
            </w:r>
          </w:p>
        </w:tc>
        <w:tc>
          <w:tcPr>
            <w:tcW w:w="741" w:type="pct"/>
            <w:tcBorders>
              <w:top w:val="nil"/>
              <w:left w:val="nil"/>
              <w:bottom w:val="nil"/>
              <w:right w:val="nil"/>
            </w:tcBorders>
            <w:shd w:val="clear" w:color="auto" w:fill="auto"/>
            <w:noWrap/>
            <w:vAlign w:val="center"/>
            <w:hideMark/>
          </w:tcPr>
          <w:p w14:paraId="3AC8F967"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0.0</w:t>
            </w:r>
          </w:p>
        </w:tc>
      </w:tr>
      <w:tr w:rsidR="00AC4FFA" w:rsidRPr="00EC4BA6" w14:paraId="7C109281" w14:textId="77777777" w:rsidTr="00FD0567">
        <w:trPr>
          <w:trHeight w:hRule="exact" w:val="225"/>
        </w:trPr>
        <w:tc>
          <w:tcPr>
            <w:tcW w:w="2003" w:type="pct"/>
            <w:tcBorders>
              <w:top w:val="nil"/>
              <w:left w:val="nil"/>
              <w:bottom w:val="nil"/>
              <w:right w:val="nil"/>
            </w:tcBorders>
            <w:shd w:val="clear" w:color="auto" w:fill="auto"/>
            <w:noWrap/>
            <w:vAlign w:val="center"/>
            <w:hideMark/>
          </w:tcPr>
          <w:p w14:paraId="7363F7B6" w14:textId="77777777" w:rsidR="00AC4FFA" w:rsidRPr="00EC4BA6" w:rsidRDefault="00AC4FFA" w:rsidP="008F032C">
            <w:pPr>
              <w:spacing w:before="0" w:after="0" w:line="240" w:lineRule="auto"/>
              <w:ind w:left="170"/>
              <w:rPr>
                <w:rFonts w:ascii="Arial" w:hAnsi="Arial" w:cs="Arial"/>
                <w:sz w:val="16"/>
                <w:szCs w:val="16"/>
              </w:rPr>
            </w:pPr>
            <w:r w:rsidRPr="00EC4BA6">
              <w:rPr>
                <w:rFonts w:ascii="Arial" w:hAnsi="Arial" w:cs="Arial"/>
                <w:sz w:val="16"/>
                <w:szCs w:val="16"/>
              </w:rPr>
              <w:t>Gross other individuals</w:t>
            </w:r>
          </w:p>
        </w:tc>
        <w:tc>
          <w:tcPr>
            <w:tcW w:w="728" w:type="pct"/>
            <w:tcBorders>
              <w:top w:val="nil"/>
              <w:left w:val="nil"/>
              <w:bottom w:val="nil"/>
              <w:right w:val="nil"/>
            </w:tcBorders>
            <w:shd w:val="clear" w:color="auto" w:fill="auto"/>
            <w:noWrap/>
            <w:vAlign w:val="center"/>
            <w:hideMark/>
          </w:tcPr>
          <w:p w14:paraId="5D22E66B"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81,700</w:t>
            </w:r>
          </w:p>
        </w:tc>
        <w:tc>
          <w:tcPr>
            <w:tcW w:w="728" w:type="pct"/>
            <w:tcBorders>
              <w:top w:val="nil"/>
              <w:left w:val="nil"/>
              <w:bottom w:val="nil"/>
              <w:right w:val="nil"/>
            </w:tcBorders>
            <w:shd w:val="clear" w:color="000000" w:fill="E6F2FF"/>
            <w:noWrap/>
            <w:vAlign w:val="center"/>
            <w:hideMark/>
          </w:tcPr>
          <w:p w14:paraId="1EEE86E4"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80,500</w:t>
            </w:r>
          </w:p>
        </w:tc>
        <w:tc>
          <w:tcPr>
            <w:tcW w:w="58" w:type="pct"/>
            <w:tcBorders>
              <w:top w:val="nil"/>
              <w:left w:val="nil"/>
              <w:bottom w:val="nil"/>
              <w:right w:val="nil"/>
            </w:tcBorders>
            <w:shd w:val="clear" w:color="auto" w:fill="auto"/>
            <w:noWrap/>
            <w:vAlign w:val="center"/>
            <w:hideMark/>
          </w:tcPr>
          <w:p w14:paraId="3FB9A182" w14:textId="77777777" w:rsidR="00AC4FFA" w:rsidRPr="00EC4BA6" w:rsidRDefault="00AC4FFA" w:rsidP="008F032C">
            <w:pPr>
              <w:spacing w:before="0" w:after="0" w:line="240" w:lineRule="auto"/>
              <w:jc w:val="right"/>
              <w:rPr>
                <w:rFonts w:ascii="Arial" w:hAnsi="Arial" w:cs="Arial"/>
                <w:sz w:val="16"/>
                <w:szCs w:val="16"/>
              </w:rPr>
            </w:pPr>
          </w:p>
        </w:tc>
        <w:tc>
          <w:tcPr>
            <w:tcW w:w="741" w:type="pct"/>
            <w:tcBorders>
              <w:top w:val="nil"/>
              <w:left w:val="nil"/>
              <w:bottom w:val="nil"/>
              <w:right w:val="nil"/>
            </w:tcBorders>
            <w:shd w:val="clear" w:color="auto" w:fill="auto"/>
            <w:noWrap/>
            <w:vAlign w:val="center"/>
            <w:hideMark/>
          </w:tcPr>
          <w:p w14:paraId="4F75D968" w14:textId="5D2D7255" w:rsidR="00AC4FFA" w:rsidRPr="00EC4BA6" w:rsidRDefault="001A3DD6" w:rsidP="008F032C">
            <w:pPr>
              <w:spacing w:before="0" w:after="0" w:line="240" w:lineRule="auto"/>
              <w:jc w:val="right"/>
              <w:rPr>
                <w:rFonts w:ascii="Arial" w:hAnsi="Arial" w:cs="Arial"/>
                <w:sz w:val="16"/>
                <w:szCs w:val="16"/>
              </w:rPr>
            </w:pPr>
            <w:r>
              <w:rPr>
                <w:rFonts w:ascii="Arial" w:hAnsi="Arial" w:cs="Arial"/>
                <w:sz w:val="16"/>
                <w:szCs w:val="16"/>
              </w:rPr>
              <w:noBreakHyphen/>
            </w:r>
            <w:r w:rsidR="00AC4FFA" w:rsidRPr="00EC4BA6">
              <w:rPr>
                <w:rFonts w:ascii="Arial" w:hAnsi="Arial" w:cs="Arial"/>
                <w:sz w:val="16"/>
                <w:szCs w:val="16"/>
              </w:rPr>
              <w:t>1,200</w:t>
            </w:r>
          </w:p>
        </w:tc>
        <w:tc>
          <w:tcPr>
            <w:tcW w:w="741" w:type="pct"/>
            <w:tcBorders>
              <w:top w:val="nil"/>
              <w:left w:val="nil"/>
              <w:bottom w:val="nil"/>
              <w:right w:val="nil"/>
            </w:tcBorders>
            <w:shd w:val="clear" w:color="auto" w:fill="auto"/>
            <w:noWrap/>
            <w:vAlign w:val="center"/>
            <w:hideMark/>
          </w:tcPr>
          <w:p w14:paraId="77225B2C" w14:textId="05E089E1" w:rsidR="00AC4FFA" w:rsidRPr="00EC4BA6" w:rsidRDefault="001A3DD6" w:rsidP="008F032C">
            <w:pPr>
              <w:spacing w:before="0" w:after="0" w:line="240" w:lineRule="auto"/>
              <w:jc w:val="right"/>
              <w:rPr>
                <w:rFonts w:ascii="Arial" w:hAnsi="Arial" w:cs="Arial"/>
                <w:sz w:val="16"/>
                <w:szCs w:val="16"/>
              </w:rPr>
            </w:pPr>
            <w:r>
              <w:rPr>
                <w:rFonts w:ascii="Arial" w:hAnsi="Arial" w:cs="Arial"/>
                <w:sz w:val="16"/>
                <w:szCs w:val="16"/>
              </w:rPr>
              <w:noBreakHyphen/>
            </w:r>
            <w:r w:rsidR="00AC4FFA" w:rsidRPr="00EC4BA6">
              <w:rPr>
                <w:rFonts w:ascii="Arial" w:hAnsi="Arial" w:cs="Arial"/>
                <w:sz w:val="16"/>
                <w:szCs w:val="16"/>
              </w:rPr>
              <w:t>1.5</w:t>
            </w:r>
          </w:p>
        </w:tc>
      </w:tr>
      <w:tr w:rsidR="00AC4FFA" w:rsidRPr="00EC4BA6" w14:paraId="497A48A1" w14:textId="77777777" w:rsidTr="00FD0567">
        <w:trPr>
          <w:trHeight w:hRule="exact" w:val="225"/>
        </w:trPr>
        <w:tc>
          <w:tcPr>
            <w:tcW w:w="2003" w:type="pct"/>
            <w:tcBorders>
              <w:top w:val="nil"/>
              <w:left w:val="nil"/>
              <w:bottom w:val="nil"/>
              <w:right w:val="nil"/>
            </w:tcBorders>
            <w:shd w:val="clear" w:color="auto" w:fill="auto"/>
            <w:noWrap/>
            <w:vAlign w:val="center"/>
            <w:hideMark/>
          </w:tcPr>
          <w:p w14:paraId="22D151E1" w14:textId="77777777" w:rsidR="00AC4FFA" w:rsidRPr="00EC4BA6" w:rsidRDefault="00AC4FFA" w:rsidP="008F032C">
            <w:pPr>
              <w:spacing w:before="0" w:after="0" w:line="240" w:lineRule="auto"/>
              <w:ind w:left="170"/>
              <w:rPr>
                <w:rFonts w:ascii="Arial" w:hAnsi="Arial" w:cs="Arial"/>
                <w:i/>
                <w:sz w:val="16"/>
                <w:szCs w:val="16"/>
              </w:rPr>
            </w:pPr>
            <w:r w:rsidRPr="00EC4BA6">
              <w:rPr>
                <w:rFonts w:ascii="Arial" w:hAnsi="Arial" w:cs="Arial"/>
                <w:i/>
                <w:sz w:val="16"/>
                <w:szCs w:val="16"/>
              </w:rPr>
              <w:t xml:space="preserve">less: </w:t>
            </w:r>
            <w:r w:rsidRPr="00EC4BA6">
              <w:rPr>
                <w:rFonts w:ascii="Arial" w:hAnsi="Arial" w:cs="Arial"/>
                <w:sz w:val="16"/>
                <w:szCs w:val="16"/>
              </w:rPr>
              <w:t>Refunds</w:t>
            </w:r>
          </w:p>
        </w:tc>
        <w:tc>
          <w:tcPr>
            <w:tcW w:w="728" w:type="pct"/>
            <w:tcBorders>
              <w:top w:val="nil"/>
              <w:left w:val="nil"/>
              <w:bottom w:val="single" w:sz="4" w:space="0" w:color="293F5B"/>
              <w:right w:val="nil"/>
            </w:tcBorders>
            <w:shd w:val="clear" w:color="auto" w:fill="auto"/>
            <w:noWrap/>
            <w:vAlign w:val="center"/>
            <w:hideMark/>
          </w:tcPr>
          <w:p w14:paraId="533EF7AF"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39,900</w:t>
            </w:r>
          </w:p>
        </w:tc>
        <w:tc>
          <w:tcPr>
            <w:tcW w:w="728" w:type="pct"/>
            <w:tcBorders>
              <w:top w:val="nil"/>
              <w:left w:val="nil"/>
              <w:bottom w:val="single" w:sz="4" w:space="0" w:color="293F5B"/>
              <w:right w:val="nil"/>
            </w:tcBorders>
            <w:shd w:val="clear" w:color="000000" w:fill="E6F2FF"/>
            <w:noWrap/>
            <w:vAlign w:val="center"/>
            <w:hideMark/>
          </w:tcPr>
          <w:p w14:paraId="31B0D156"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39,200</w:t>
            </w:r>
          </w:p>
        </w:tc>
        <w:tc>
          <w:tcPr>
            <w:tcW w:w="58" w:type="pct"/>
            <w:tcBorders>
              <w:top w:val="nil"/>
              <w:left w:val="nil"/>
              <w:bottom w:val="nil"/>
              <w:right w:val="nil"/>
            </w:tcBorders>
            <w:shd w:val="clear" w:color="auto" w:fill="auto"/>
            <w:noWrap/>
            <w:vAlign w:val="center"/>
            <w:hideMark/>
          </w:tcPr>
          <w:p w14:paraId="675BA522" w14:textId="77777777" w:rsidR="00AC4FFA" w:rsidRPr="00EC4BA6" w:rsidRDefault="00AC4FFA" w:rsidP="008F032C">
            <w:pPr>
              <w:spacing w:before="0" w:after="0" w:line="240" w:lineRule="auto"/>
              <w:jc w:val="right"/>
              <w:rPr>
                <w:rFonts w:ascii="Arial" w:hAnsi="Arial" w:cs="Arial"/>
                <w:sz w:val="16"/>
                <w:szCs w:val="16"/>
              </w:rPr>
            </w:pPr>
          </w:p>
        </w:tc>
        <w:tc>
          <w:tcPr>
            <w:tcW w:w="741" w:type="pct"/>
            <w:tcBorders>
              <w:top w:val="nil"/>
              <w:left w:val="nil"/>
              <w:bottom w:val="single" w:sz="4" w:space="0" w:color="293F5B"/>
              <w:right w:val="nil"/>
            </w:tcBorders>
            <w:shd w:val="clear" w:color="auto" w:fill="auto"/>
            <w:noWrap/>
            <w:vAlign w:val="center"/>
            <w:hideMark/>
          </w:tcPr>
          <w:p w14:paraId="41DB01D6" w14:textId="777588F6" w:rsidR="00AC4FFA" w:rsidRPr="00EC4BA6" w:rsidRDefault="001A3DD6" w:rsidP="008F032C">
            <w:pPr>
              <w:spacing w:before="0" w:after="0" w:line="240" w:lineRule="auto"/>
              <w:jc w:val="right"/>
              <w:rPr>
                <w:rFonts w:ascii="Arial" w:hAnsi="Arial" w:cs="Arial"/>
                <w:sz w:val="16"/>
                <w:szCs w:val="16"/>
              </w:rPr>
            </w:pPr>
            <w:r>
              <w:rPr>
                <w:rFonts w:ascii="Arial" w:hAnsi="Arial" w:cs="Arial"/>
                <w:sz w:val="16"/>
                <w:szCs w:val="16"/>
              </w:rPr>
              <w:noBreakHyphen/>
            </w:r>
            <w:r w:rsidR="00AC4FFA" w:rsidRPr="00EC4BA6">
              <w:rPr>
                <w:rFonts w:ascii="Arial" w:hAnsi="Arial" w:cs="Arial"/>
                <w:sz w:val="16"/>
                <w:szCs w:val="16"/>
              </w:rPr>
              <w:t>700</w:t>
            </w:r>
          </w:p>
        </w:tc>
        <w:tc>
          <w:tcPr>
            <w:tcW w:w="741" w:type="pct"/>
            <w:tcBorders>
              <w:top w:val="nil"/>
              <w:left w:val="nil"/>
              <w:bottom w:val="single" w:sz="4" w:space="0" w:color="293F5B"/>
              <w:right w:val="nil"/>
            </w:tcBorders>
            <w:shd w:val="clear" w:color="auto" w:fill="auto"/>
            <w:noWrap/>
            <w:vAlign w:val="center"/>
            <w:hideMark/>
          </w:tcPr>
          <w:p w14:paraId="09E24B95" w14:textId="6A259626" w:rsidR="00AC4FFA" w:rsidRPr="00EC4BA6" w:rsidRDefault="001A3DD6" w:rsidP="008F032C">
            <w:pPr>
              <w:spacing w:before="0" w:after="0" w:line="240" w:lineRule="auto"/>
              <w:jc w:val="right"/>
              <w:rPr>
                <w:rFonts w:ascii="Arial" w:hAnsi="Arial" w:cs="Arial"/>
                <w:sz w:val="16"/>
                <w:szCs w:val="16"/>
              </w:rPr>
            </w:pPr>
            <w:r>
              <w:rPr>
                <w:rFonts w:ascii="Arial" w:hAnsi="Arial" w:cs="Arial"/>
                <w:sz w:val="16"/>
                <w:szCs w:val="16"/>
              </w:rPr>
              <w:noBreakHyphen/>
            </w:r>
            <w:r w:rsidR="00AC4FFA" w:rsidRPr="00EC4BA6">
              <w:rPr>
                <w:rFonts w:ascii="Arial" w:hAnsi="Arial" w:cs="Arial"/>
                <w:sz w:val="16"/>
                <w:szCs w:val="16"/>
              </w:rPr>
              <w:t>1.8</w:t>
            </w:r>
          </w:p>
        </w:tc>
      </w:tr>
      <w:tr w:rsidR="00AC4FFA" w:rsidRPr="00EC4BA6" w14:paraId="27E90A0C" w14:textId="77777777" w:rsidTr="00FD0567">
        <w:trPr>
          <w:trHeight w:hRule="exact" w:val="225"/>
        </w:trPr>
        <w:tc>
          <w:tcPr>
            <w:tcW w:w="2003" w:type="pct"/>
            <w:tcBorders>
              <w:top w:val="nil"/>
              <w:left w:val="nil"/>
              <w:bottom w:val="nil"/>
              <w:right w:val="nil"/>
            </w:tcBorders>
            <w:shd w:val="clear" w:color="auto" w:fill="auto"/>
            <w:noWrap/>
            <w:vAlign w:val="center"/>
            <w:hideMark/>
          </w:tcPr>
          <w:p w14:paraId="7341167C" w14:textId="77777777" w:rsidR="00AC4FFA" w:rsidRPr="00EC4BA6" w:rsidRDefault="00AC4FFA" w:rsidP="008F032C">
            <w:pPr>
              <w:spacing w:before="0" w:after="0" w:line="240" w:lineRule="auto"/>
              <w:rPr>
                <w:rFonts w:ascii="Arial" w:hAnsi="Arial" w:cs="Arial"/>
                <w:sz w:val="16"/>
                <w:szCs w:val="16"/>
              </w:rPr>
            </w:pPr>
            <w:r w:rsidRPr="00EC4BA6">
              <w:rPr>
                <w:rFonts w:ascii="Arial" w:hAnsi="Arial" w:cs="Arial"/>
                <w:sz w:val="16"/>
                <w:szCs w:val="16"/>
              </w:rPr>
              <w:t>Total individuals and other withholding tax</w:t>
            </w:r>
          </w:p>
        </w:tc>
        <w:tc>
          <w:tcPr>
            <w:tcW w:w="728" w:type="pct"/>
            <w:tcBorders>
              <w:top w:val="nil"/>
              <w:left w:val="nil"/>
              <w:bottom w:val="nil"/>
              <w:right w:val="nil"/>
            </w:tcBorders>
            <w:shd w:val="clear" w:color="auto" w:fill="auto"/>
            <w:noWrap/>
            <w:vAlign w:val="center"/>
            <w:hideMark/>
          </w:tcPr>
          <w:p w14:paraId="2308969F"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335,400</w:t>
            </w:r>
          </w:p>
        </w:tc>
        <w:tc>
          <w:tcPr>
            <w:tcW w:w="728" w:type="pct"/>
            <w:tcBorders>
              <w:top w:val="nil"/>
              <w:left w:val="nil"/>
              <w:bottom w:val="nil"/>
              <w:right w:val="nil"/>
            </w:tcBorders>
            <w:shd w:val="clear" w:color="000000" w:fill="E6F2FF"/>
            <w:noWrap/>
            <w:vAlign w:val="center"/>
            <w:hideMark/>
          </w:tcPr>
          <w:p w14:paraId="1B872A1B"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334,900</w:t>
            </w:r>
          </w:p>
        </w:tc>
        <w:tc>
          <w:tcPr>
            <w:tcW w:w="58" w:type="pct"/>
            <w:tcBorders>
              <w:top w:val="nil"/>
              <w:left w:val="nil"/>
              <w:bottom w:val="nil"/>
              <w:right w:val="nil"/>
            </w:tcBorders>
            <w:shd w:val="clear" w:color="auto" w:fill="auto"/>
            <w:noWrap/>
            <w:vAlign w:val="center"/>
            <w:hideMark/>
          </w:tcPr>
          <w:p w14:paraId="2B670735" w14:textId="77777777" w:rsidR="00AC4FFA" w:rsidRPr="00EC4BA6" w:rsidRDefault="00AC4FFA" w:rsidP="008F032C">
            <w:pPr>
              <w:spacing w:before="0" w:after="0" w:line="240" w:lineRule="auto"/>
              <w:jc w:val="right"/>
              <w:rPr>
                <w:rFonts w:ascii="Arial" w:hAnsi="Arial" w:cs="Arial"/>
                <w:sz w:val="16"/>
                <w:szCs w:val="16"/>
              </w:rPr>
            </w:pPr>
          </w:p>
        </w:tc>
        <w:tc>
          <w:tcPr>
            <w:tcW w:w="741" w:type="pct"/>
            <w:tcBorders>
              <w:top w:val="nil"/>
              <w:left w:val="nil"/>
              <w:bottom w:val="nil"/>
              <w:right w:val="nil"/>
            </w:tcBorders>
            <w:shd w:val="clear" w:color="auto" w:fill="auto"/>
            <w:noWrap/>
            <w:vAlign w:val="center"/>
            <w:hideMark/>
          </w:tcPr>
          <w:p w14:paraId="2A8C34FA" w14:textId="3537746C" w:rsidR="00AC4FFA" w:rsidRPr="00EC4BA6" w:rsidRDefault="001A3DD6" w:rsidP="008F032C">
            <w:pPr>
              <w:spacing w:before="0" w:after="0" w:line="240" w:lineRule="auto"/>
              <w:jc w:val="right"/>
              <w:rPr>
                <w:rFonts w:ascii="Arial" w:hAnsi="Arial" w:cs="Arial"/>
                <w:sz w:val="16"/>
                <w:szCs w:val="16"/>
              </w:rPr>
            </w:pPr>
            <w:r>
              <w:rPr>
                <w:rFonts w:ascii="Arial" w:hAnsi="Arial" w:cs="Arial"/>
                <w:sz w:val="16"/>
                <w:szCs w:val="16"/>
              </w:rPr>
              <w:noBreakHyphen/>
            </w:r>
            <w:r w:rsidR="00AC4FFA" w:rsidRPr="00EC4BA6">
              <w:rPr>
                <w:rFonts w:ascii="Arial" w:hAnsi="Arial" w:cs="Arial"/>
                <w:sz w:val="16"/>
                <w:szCs w:val="16"/>
              </w:rPr>
              <w:t>500</w:t>
            </w:r>
          </w:p>
        </w:tc>
        <w:tc>
          <w:tcPr>
            <w:tcW w:w="741" w:type="pct"/>
            <w:tcBorders>
              <w:top w:val="nil"/>
              <w:left w:val="nil"/>
              <w:bottom w:val="nil"/>
              <w:right w:val="nil"/>
            </w:tcBorders>
            <w:shd w:val="clear" w:color="auto" w:fill="auto"/>
            <w:noWrap/>
            <w:vAlign w:val="center"/>
            <w:hideMark/>
          </w:tcPr>
          <w:p w14:paraId="5FD9218D" w14:textId="06A7A008" w:rsidR="00AC4FFA" w:rsidRPr="00EC4BA6" w:rsidRDefault="001A3DD6" w:rsidP="008F032C">
            <w:pPr>
              <w:spacing w:before="0" w:after="0" w:line="240" w:lineRule="auto"/>
              <w:jc w:val="right"/>
              <w:rPr>
                <w:rFonts w:ascii="Arial" w:hAnsi="Arial" w:cs="Arial"/>
                <w:sz w:val="16"/>
                <w:szCs w:val="16"/>
              </w:rPr>
            </w:pPr>
            <w:r>
              <w:rPr>
                <w:rFonts w:ascii="Arial" w:hAnsi="Arial" w:cs="Arial"/>
                <w:sz w:val="16"/>
                <w:szCs w:val="16"/>
              </w:rPr>
              <w:noBreakHyphen/>
            </w:r>
            <w:r w:rsidR="00AC4FFA" w:rsidRPr="00EC4BA6">
              <w:rPr>
                <w:rFonts w:ascii="Arial" w:hAnsi="Arial" w:cs="Arial"/>
                <w:sz w:val="16"/>
                <w:szCs w:val="16"/>
              </w:rPr>
              <w:t>0.1</w:t>
            </w:r>
          </w:p>
        </w:tc>
      </w:tr>
      <w:tr w:rsidR="00AC4FFA" w:rsidRPr="00EC4BA6" w14:paraId="6991FE4D" w14:textId="77777777" w:rsidTr="00FD0567">
        <w:trPr>
          <w:trHeight w:hRule="exact" w:val="225"/>
        </w:trPr>
        <w:tc>
          <w:tcPr>
            <w:tcW w:w="2003" w:type="pct"/>
            <w:tcBorders>
              <w:top w:val="nil"/>
              <w:left w:val="nil"/>
              <w:bottom w:val="nil"/>
              <w:right w:val="nil"/>
            </w:tcBorders>
            <w:shd w:val="clear" w:color="auto" w:fill="auto"/>
            <w:noWrap/>
            <w:vAlign w:val="center"/>
            <w:hideMark/>
          </w:tcPr>
          <w:p w14:paraId="32333073" w14:textId="77777777" w:rsidR="00AC4FFA" w:rsidRPr="00EC4BA6" w:rsidRDefault="00AC4FFA" w:rsidP="008F032C">
            <w:pPr>
              <w:spacing w:before="0" w:after="0" w:line="240" w:lineRule="auto"/>
              <w:rPr>
                <w:rFonts w:ascii="Arial" w:hAnsi="Arial" w:cs="Arial"/>
                <w:sz w:val="16"/>
                <w:szCs w:val="16"/>
              </w:rPr>
            </w:pPr>
            <w:r w:rsidRPr="00EC4BA6">
              <w:rPr>
                <w:rFonts w:ascii="Arial" w:hAnsi="Arial" w:cs="Arial"/>
                <w:sz w:val="16"/>
                <w:szCs w:val="16"/>
              </w:rPr>
              <w:t>Fringe benefits tax</w:t>
            </w:r>
          </w:p>
        </w:tc>
        <w:tc>
          <w:tcPr>
            <w:tcW w:w="728" w:type="pct"/>
            <w:tcBorders>
              <w:top w:val="nil"/>
              <w:left w:val="nil"/>
              <w:bottom w:val="nil"/>
              <w:right w:val="nil"/>
            </w:tcBorders>
            <w:shd w:val="clear" w:color="auto" w:fill="auto"/>
            <w:noWrap/>
            <w:vAlign w:val="center"/>
            <w:hideMark/>
          </w:tcPr>
          <w:p w14:paraId="70D66731"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4,910</w:t>
            </w:r>
          </w:p>
        </w:tc>
        <w:tc>
          <w:tcPr>
            <w:tcW w:w="728" w:type="pct"/>
            <w:tcBorders>
              <w:top w:val="nil"/>
              <w:left w:val="nil"/>
              <w:bottom w:val="nil"/>
              <w:right w:val="nil"/>
            </w:tcBorders>
            <w:shd w:val="clear" w:color="000000" w:fill="E6F2FF"/>
            <w:noWrap/>
            <w:vAlign w:val="center"/>
            <w:hideMark/>
          </w:tcPr>
          <w:p w14:paraId="6C41C493"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4,950</w:t>
            </w:r>
          </w:p>
        </w:tc>
        <w:tc>
          <w:tcPr>
            <w:tcW w:w="58" w:type="pct"/>
            <w:tcBorders>
              <w:top w:val="nil"/>
              <w:left w:val="nil"/>
              <w:bottom w:val="nil"/>
              <w:right w:val="nil"/>
            </w:tcBorders>
            <w:shd w:val="clear" w:color="auto" w:fill="auto"/>
            <w:noWrap/>
            <w:vAlign w:val="center"/>
            <w:hideMark/>
          </w:tcPr>
          <w:p w14:paraId="321F2C52" w14:textId="77777777" w:rsidR="00AC4FFA" w:rsidRPr="00EC4BA6" w:rsidRDefault="00AC4FFA" w:rsidP="008F032C">
            <w:pPr>
              <w:spacing w:before="0" w:after="0" w:line="240" w:lineRule="auto"/>
              <w:jc w:val="right"/>
              <w:rPr>
                <w:rFonts w:ascii="Arial" w:hAnsi="Arial" w:cs="Arial"/>
                <w:sz w:val="16"/>
                <w:szCs w:val="16"/>
              </w:rPr>
            </w:pPr>
          </w:p>
        </w:tc>
        <w:tc>
          <w:tcPr>
            <w:tcW w:w="741" w:type="pct"/>
            <w:tcBorders>
              <w:top w:val="nil"/>
              <w:left w:val="nil"/>
              <w:bottom w:val="nil"/>
              <w:right w:val="nil"/>
            </w:tcBorders>
            <w:shd w:val="clear" w:color="auto" w:fill="auto"/>
            <w:noWrap/>
            <w:vAlign w:val="center"/>
            <w:hideMark/>
          </w:tcPr>
          <w:p w14:paraId="70F4156F"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40</w:t>
            </w:r>
          </w:p>
        </w:tc>
        <w:tc>
          <w:tcPr>
            <w:tcW w:w="741" w:type="pct"/>
            <w:tcBorders>
              <w:top w:val="nil"/>
              <w:left w:val="nil"/>
              <w:bottom w:val="nil"/>
              <w:right w:val="nil"/>
            </w:tcBorders>
            <w:shd w:val="clear" w:color="auto" w:fill="auto"/>
            <w:noWrap/>
            <w:vAlign w:val="center"/>
            <w:hideMark/>
          </w:tcPr>
          <w:p w14:paraId="5EE746BF"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0.8</w:t>
            </w:r>
          </w:p>
        </w:tc>
      </w:tr>
      <w:tr w:rsidR="00AC4FFA" w:rsidRPr="00EC4BA6" w14:paraId="3F24D739" w14:textId="77777777" w:rsidTr="00FD0567">
        <w:trPr>
          <w:trHeight w:hRule="exact" w:val="225"/>
        </w:trPr>
        <w:tc>
          <w:tcPr>
            <w:tcW w:w="2003" w:type="pct"/>
            <w:tcBorders>
              <w:top w:val="nil"/>
              <w:left w:val="nil"/>
              <w:bottom w:val="nil"/>
              <w:right w:val="nil"/>
            </w:tcBorders>
            <w:shd w:val="clear" w:color="auto" w:fill="auto"/>
            <w:noWrap/>
            <w:vAlign w:val="center"/>
            <w:hideMark/>
          </w:tcPr>
          <w:p w14:paraId="20D5C5E9" w14:textId="77777777" w:rsidR="00AC4FFA" w:rsidRPr="00EC4BA6" w:rsidRDefault="00AC4FFA" w:rsidP="008F032C">
            <w:pPr>
              <w:spacing w:before="0" w:after="0" w:line="240" w:lineRule="auto"/>
              <w:rPr>
                <w:rFonts w:ascii="Arial" w:hAnsi="Arial" w:cs="Arial"/>
                <w:sz w:val="16"/>
                <w:szCs w:val="16"/>
              </w:rPr>
            </w:pPr>
            <w:r w:rsidRPr="00EC4BA6">
              <w:rPr>
                <w:rFonts w:ascii="Arial" w:hAnsi="Arial" w:cs="Arial"/>
                <w:sz w:val="16"/>
                <w:szCs w:val="16"/>
              </w:rPr>
              <w:t>Company tax</w:t>
            </w:r>
          </w:p>
        </w:tc>
        <w:tc>
          <w:tcPr>
            <w:tcW w:w="728" w:type="pct"/>
            <w:tcBorders>
              <w:top w:val="nil"/>
              <w:left w:val="nil"/>
              <w:bottom w:val="nil"/>
              <w:right w:val="nil"/>
            </w:tcBorders>
            <w:shd w:val="clear" w:color="auto" w:fill="auto"/>
            <w:noWrap/>
            <w:vAlign w:val="center"/>
            <w:hideMark/>
          </w:tcPr>
          <w:p w14:paraId="441651BD"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132,500</w:t>
            </w:r>
          </w:p>
        </w:tc>
        <w:tc>
          <w:tcPr>
            <w:tcW w:w="728" w:type="pct"/>
            <w:tcBorders>
              <w:top w:val="nil"/>
              <w:left w:val="nil"/>
              <w:bottom w:val="nil"/>
              <w:right w:val="nil"/>
            </w:tcBorders>
            <w:shd w:val="clear" w:color="000000" w:fill="E6F2FF"/>
            <w:noWrap/>
            <w:vAlign w:val="center"/>
            <w:hideMark/>
          </w:tcPr>
          <w:p w14:paraId="274A8E30"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133,500</w:t>
            </w:r>
          </w:p>
        </w:tc>
        <w:tc>
          <w:tcPr>
            <w:tcW w:w="58" w:type="pct"/>
            <w:tcBorders>
              <w:top w:val="nil"/>
              <w:left w:val="nil"/>
              <w:bottom w:val="nil"/>
              <w:right w:val="nil"/>
            </w:tcBorders>
            <w:shd w:val="clear" w:color="auto" w:fill="auto"/>
            <w:noWrap/>
            <w:vAlign w:val="center"/>
            <w:hideMark/>
          </w:tcPr>
          <w:p w14:paraId="723D88B3" w14:textId="77777777" w:rsidR="00AC4FFA" w:rsidRPr="00EC4BA6" w:rsidRDefault="00AC4FFA" w:rsidP="008F032C">
            <w:pPr>
              <w:spacing w:before="0" w:after="0" w:line="240" w:lineRule="auto"/>
              <w:jc w:val="right"/>
              <w:rPr>
                <w:rFonts w:ascii="Arial" w:hAnsi="Arial" w:cs="Arial"/>
                <w:sz w:val="16"/>
                <w:szCs w:val="16"/>
              </w:rPr>
            </w:pPr>
          </w:p>
        </w:tc>
        <w:tc>
          <w:tcPr>
            <w:tcW w:w="741" w:type="pct"/>
            <w:tcBorders>
              <w:top w:val="nil"/>
              <w:left w:val="nil"/>
              <w:bottom w:val="nil"/>
              <w:right w:val="nil"/>
            </w:tcBorders>
            <w:shd w:val="clear" w:color="auto" w:fill="auto"/>
            <w:noWrap/>
            <w:vAlign w:val="center"/>
            <w:hideMark/>
          </w:tcPr>
          <w:p w14:paraId="3DB21CE2"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1,000</w:t>
            </w:r>
          </w:p>
        </w:tc>
        <w:tc>
          <w:tcPr>
            <w:tcW w:w="741" w:type="pct"/>
            <w:tcBorders>
              <w:top w:val="nil"/>
              <w:left w:val="nil"/>
              <w:bottom w:val="nil"/>
              <w:right w:val="nil"/>
            </w:tcBorders>
            <w:shd w:val="clear" w:color="auto" w:fill="auto"/>
            <w:noWrap/>
            <w:vAlign w:val="center"/>
            <w:hideMark/>
          </w:tcPr>
          <w:p w14:paraId="750AECA1"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0.8</w:t>
            </w:r>
          </w:p>
        </w:tc>
      </w:tr>
      <w:tr w:rsidR="00AC4FFA" w:rsidRPr="00EC4BA6" w14:paraId="284217D9" w14:textId="77777777" w:rsidTr="00FD0567">
        <w:trPr>
          <w:trHeight w:hRule="exact" w:val="225"/>
        </w:trPr>
        <w:tc>
          <w:tcPr>
            <w:tcW w:w="2003" w:type="pct"/>
            <w:tcBorders>
              <w:top w:val="nil"/>
              <w:left w:val="nil"/>
              <w:bottom w:val="nil"/>
              <w:right w:val="nil"/>
            </w:tcBorders>
            <w:shd w:val="clear" w:color="auto" w:fill="auto"/>
            <w:noWrap/>
            <w:vAlign w:val="center"/>
            <w:hideMark/>
          </w:tcPr>
          <w:p w14:paraId="03616D91" w14:textId="77777777" w:rsidR="00AC4FFA" w:rsidRPr="00EC4BA6" w:rsidRDefault="00AC4FFA" w:rsidP="008F032C">
            <w:pPr>
              <w:spacing w:before="0" w:after="0" w:line="240" w:lineRule="auto"/>
              <w:rPr>
                <w:rFonts w:ascii="Arial" w:hAnsi="Arial" w:cs="Arial"/>
                <w:sz w:val="16"/>
                <w:szCs w:val="16"/>
              </w:rPr>
            </w:pPr>
            <w:r w:rsidRPr="00EC4BA6">
              <w:rPr>
                <w:rFonts w:ascii="Arial" w:hAnsi="Arial" w:cs="Arial"/>
                <w:sz w:val="16"/>
                <w:szCs w:val="16"/>
              </w:rPr>
              <w:t>Superannuation fund taxes</w:t>
            </w:r>
          </w:p>
        </w:tc>
        <w:tc>
          <w:tcPr>
            <w:tcW w:w="728" w:type="pct"/>
            <w:tcBorders>
              <w:top w:val="nil"/>
              <w:left w:val="nil"/>
              <w:bottom w:val="nil"/>
              <w:right w:val="nil"/>
            </w:tcBorders>
            <w:shd w:val="clear" w:color="auto" w:fill="auto"/>
            <w:noWrap/>
            <w:vAlign w:val="center"/>
            <w:hideMark/>
          </w:tcPr>
          <w:p w14:paraId="4BB50E92"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21,910</w:t>
            </w:r>
          </w:p>
        </w:tc>
        <w:tc>
          <w:tcPr>
            <w:tcW w:w="728" w:type="pct"/>
            <w:tcBorders>
              <w:top w:val="nil"/>
              <w:left w:val="nil"/>
              <w:bottom w:val="nil"/>
              <w:right w:val="nil"/>
            </w:tcBorders>
            <w:shd w:val="clear" w:color="000000" w:fill="E6F2FF"/>
            <w:noWrap/>
            <w:vAlign w:val="center"/>
            <w:hideMark/>
          </w:tcPr>
          <w:p w14:paraId="7BFCC809"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22,810</w:t>
            </w:r>
          </w:p>
        </w:tc>
        <w:tc>
          <w:tcPr>
            <w:tcW w:w="58" w:type="pct"/>
            <w:tcBorders>
              <w:top w:val="nil"/>
              <w:left w:val="nil"/>
              <w:bottom w:val="nil"/>
              <w:right w:val="nil"/>
            </w:tcBorders>
            <w:shd w:val="clear" w:color="auto" w:fill="auto"/>
            <w:noWrap/>
            <w:vAlign w:val="center"/>
            <w:hideMark/>
          </w:tcPr>
          <w:p w14:paraId="2B92E8AC" w14:textId="77777777" w:rsidR="00AC4FFA" w:rsidRPr="00EC4BA6" w:rsidRDefault="00AC4FFA" w:rsidP="008F032C">
            <w:pPr>
              <w:spacing w:before="0" w:after="0" w:line="240" w:lineRule="auto"/>
              <w:jc w:val="right"/>
              <w:rPr>
                <w:rFonts w:ascii="Arial" w:hAnsi="Arial" w:cs="Arial"/>
                <w:sz w:val="16"/>
                <w:szCs w:val="16"/>
              </w:rPr>
            </w:pPr>
          </w:p>
        </w:tc>
        <w:tc>
          <w:tcPr>
            <w:tcW w:w="741" w:type="pct"/>
            <w:tcBorders>
              <w:top w:val="nil"/>
              <w:left w:val="nil"/>
              <w:bottom w:val="nil"/>
              <w:right w:val="nil"/>
            </w:tcBorders>
            <w:shd w:val="clear" w:color="auto" w:fill="auto"/>
            <w:noWrap/>
            <w:vAlign w:val="center"/>
            <w:hideMark/>
          </w:tcPr>
          <w:p w14:paraId="3DF4DB70"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900</w:t>
            </w:r>
          </w:p>
        </w:tc>
        <w:tc>
          <w:tcPr>
            <w:tcW w:w="741" w:type="pct"/>
            <w:tcBorders>
              <w:top w:val="nil"/>
              <w:left w:val="nil"/>
              <w:bottom w:val="nil"/>
              <w:right w:val="nil"/>
            </w:tcBorders>
            <w:shd w:val="clear" w:color="auto" w:fill="auto"/>
            <w:noWrap/>
            <w:vAlign w:val="center"/>
            <w:hideMark/>
          </w:tcPr>
          <w:p w14:paraId="75932011"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4.1</w:t>
            </w:r>
          </w:p>
        </w:tc>
      </w:tr>
      <w:tr w:rsidR="00AC4FFA" w:rsidRPr="00EC4BA6" w14:paraId="70DD6B96" w14:textId="77777777" w:rsidTr="00FD0567">
        <w:trPr>
          <w:trHeight w:hRule="exact" w:val="225"/>
        </w:trPr>
        <w:tc>
          <w:tcPr>
            <w:tcW w:w="2003" w:type="pct"/>
            <w:tcBorders>
              <w:top w:val="nil"/>
              <w:left w:val="nil"/>
              <w:bottom w:val="nil"/>
              <w:right w:val="nil"/>
            </w:tcBorders>
            <w:shd w:val="clear" w:color="auto" w:fill="auto"/>
            <w:noWrap/>
            <w:vAlign w:val="center"/>
            <w:hideMark/>
          </w:tcPr>
          <w:p w14:paraId="0A99BA6D" w14:textId="77777777" w:rsidR="00AC4FFA" w:rsidRPr="00EC4BA6" w:rsidRDefault="00AC4FFA" w:rsidP="008F032C">
            <w:pPr>
              <w:spacing w:before="0" w:after="0" w:line="240" w:lineRule="auto"/>
              <w:rPr>
                <w:rFonts w:ascii="Arial" w:hAnsi="Arial" w:cs="Arial"/>
                <w:sz w:val="16"/>
                <w:szCs w:val="16"/>
              </w:rPr>
            </w:pPr>
            <w:r w:rsidRPr="00EC4BA6">
              <w:rPr>
                <w:rFonts w:ascii="Arial" w:hAnsi="Arial" w:cs="Arial"/>
                <w:sz w:val="16"/>
                <w:szCs w:val="16"/>
              </w:rPr>
              <w:t>Petroleum resource rent tax</w:t>
            </w:r>
          </w:p>
        </w:tc>
        <w:tc>
          <w:tcPr>
            <w:tcW w:w="728" w:type="pct"/>
            <w:tcBorders>
              <w:top w:val="nil"/>
              <w:left w:val="nil"/>
              <w:bottom w:val="nil"/>
              <w:right w:val="nil"/>
            </w:tcBorders>
            <w:shd w:val="clear" w:color="auto" w:fill="auto"/>
            <w:noWrap/>
            <w:vAlign w:val="center"/>
            <w:hideMark/>
          </w:tcPr>
          <w:p w14:paraId="46918BDD"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1,350</w:t>
            </w:r>
          </w:p>
        </w:tc>
        <w:tc>
          <w:tcPr>
            <w:tcW w:w="728" w:type="pct"/>
            <w:tcBorders>
              <w:top w:val="nil"/>
              <w:left w:val="nil"/>
              <w:bottom w:val="nil"/>
              <w:right w:val="nil"/>
            </w:tcBorders>
            <w:shd w:val="clear" w:color="000000" w:fill="E6F2FF"/>
            <w:noWrap/>
            <w:vAlign w:val="center"/>
            <w:hideMark/>
          </w:tcPr>
          <w:p w14:paraId="58AF73D3"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1,450</w:t>
            </w:r>
          </w:p>
        </w:tc>
        <w:tc>
          <w:tcPr>
            <w:tcW w:w="58" w:type="pct"/>
            <w:tcBorders>
              <w:top w:val="nil"/>
              <w:left w:val="nil"/>
              <w:bottom w:val="nil"/>
              <w:right w:val="nil"/>
            </w:tcBorders>
            <w:shd w:val="clear" w:color="auto" w:fill="auto"/>
            <w:noWrap/>
            <w:vAlign w:val="center"/>
            <w:hideMark/>
          </w:tcPr>
          <w:p w14:paraId="5DFB5DFC" w14:textId="77777777" w:rsidR="00AC4FFA" w:rsidRPr="00EC4BA6" w:rsidRDefault="00AC4FFA" w:rsidP="008F032C">
            <w:pPr>
              <w:spacing w:before="0" w:after="0" w:line="240" w:lineRule="auto"/>
              <w:jc w:val="right"/>
              <w:rPr>
                <w:rFonts w:ascii="Arial" w:hAnsi="Arial" w:cs="Arial"/>
                <w:sz w:val="16"/>
                <w:szCs w:val="16"/>
              </w:rPr>
            </w:pPr>
          </w:p>
        </w:tc>
        <w:tc>
          <w:tcPr>
            <w:tcW w:w="741" w:type="pct"/>
            <w:tcBorders>
              <w:top w:val="nil"/>
              <w:left w:val="nil"/>
              <w:bottom w:val="nil"/>
              <w:right w:val="nil"/>
            </w:tcBorders>
            <w:shd w:val="clear" w:color="auto" w:fill="auto"/>
            <w:noWrap/>
            <w:vAlign w:val="center"/>
            <w:hideMark/>
          </w:tcPr>
          <w:p w14:paraId="0F5181D0"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100</w:t>
            </w:r>
          </w:p>
        </w:tc>
        <w:tc>
          <w:tcPr>
            <w:tcW w:w="741" w:type="pct"/>
            <w:tcBorders>
              <w:top w:val="nil"/>
              <w:left w:val="nil"/>
              <w:bottom w:val="nil"/>
              <w:right w:val="nil"/>
            </w:tcBorders>
            <w:shd w:val="clear" w:color="auto" w:fill="auto"/>
            <w:noWrap/>
            <w:vAlign w:val="center"/>
            <w:hideMark/>
          </w:tcPr>
          <w:p w14:paraId="44EDC64E"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7.4</w:t>
            </w:r>
          </w:p>
        </w:tc>
      </w:tr>
      <w:tr w:rsidR="00AC4FFA" w:rsidRPr="00EC4BA6" w14:paraId="14D4CE33" w14:textId="77777777" w:rsidTr="00FD0567">
        <w:trPr>
          <w:trHeight w:hRule="exact" w:val="225"/>
        </w:trPr>
        <w:tc>
          <w:tcPr>
            <w:tcW w:w="2003" w:type="pct"/>
            <w:tcBorders>
              <w:top w:val="nil"/>
              <w:left w:val="nil"/>
              <w:bottom w:val="nil"/>
              <w:right w:val="nil"/>
            </w:tcBorders>
            <w:shd w:val="clear" w:color="auto" w:fill="auto"/>
            <w:noWrap/>
            <w:vAlign w:val="center"/>
            <w:hideMark/>
          </w:tcPr>
          <w:p w14:paraId="79753DBE" w14:textId="77777777" w:rsidR="00AC4FFA" w:rsidRPr="00EC4BA6" w:rsidRDefault="00AC4FFA" w:rsidP="008F032C">
            <w:pPr>
              <w:spacing w:before="0" w:after="0" w:line="240" w:lineRule="auto"/>
              <w:rPr>
                <w:rFonts w:ascii="Arial" w:hAnsi="Arial" w:cs="Arial"/>
                <w:b/>
                <w:sz w:val="16"/>
                <w:szCs w:val="16"/>
              </w:rPr>
            </w:pPr>
            <w:r w:rsidRPr="00EC4BA6">
              <w:rPr>
                <w:rFonts w:ascii="Arial" w:hAnsi="Arial" w:cs="Arial"/>
                <w:b/>
                <w:sz w:val="16"/>
                <w:szCs w:val="16"/>
              </w:rPr>
              <w:t>Income taxation receipts</w:t>
            </w:r>
          </w:p>
        </w:tc>
        <w:tc>
          <w:tcPr>
            <w:tcW w:w="728" w:type="pct"/>
            <w:tcBorders>
              <w:top w:val="single" w:sz="4" w:space="0" w:color="293F5B"/>
              <w:left w:val="nil"/>
              <w:bottom w:val="single" w:sz="4" w:space="0" w:color="293F5B"/>
              <w:right w:val="nil"/>
            </w:tcBorders>
            <w:shd w:val="clear" w:color="auto" w:fill="auto"/>
            <w:noWrap/>
            <w:vAlign w:val="center"/>
            <w:hideMark/>
          </w:tcPr>
          <w:p w14:paraId="21CEA3BA" w14:textId="77777777" w:rsidR="00AC4FFA" w:rsidRPr="00EC4BA6" w:rsidRDefault="00AC4FFA" w:rsidP="008F032C">
            <w:pPr>
              <w:spacing w:before="0" w:after="0" w:line="240" w:lineRule="auto"/>
              <w:jc w:val="right"/>
              <w:rPr>
                <w:rFonts w:ascii="Arial" w:hAnsi="Arial" w:cs="Arial"/>
                <w:b/>
                <w:sz w:val="16"/>
                <w:szCs w:val="16"/>
              </w:rPr>
            </w:pPr>
            <w:r w:rsidRPr="00EC4BA6">
              <w:rPr>
                <w:rFonts w:ascii="Arial" w:hAnsi="Arial" w:cs="Arial"/>
                <w:b/>
                <w:sz w:val="16"/>
                <w:szCs w:val="16"/>
              </w:rPr>
              <w:t>496,070</w:t>
            </w:r>
          </w:p>
        </w:tc>
        <w:tc>
          <w:tcPr>
            <w:tcW w:w="728" w:type="pct"/>
            <w:tcBorders>
              <w:top w:val="single" w:sz="4" w:space="0" w:color="293F5B"/>
              <w:left w:val="nil"/>
              <w:bottom w:val="single" w:sz="4" w:space="0" w:color="293F5B"/>
              <w:right w:val="nil"/>
            </w:tcBorders>
            <w:shd w:val="clear" w:color="000000" w:fill="E6F2FF"/>
            <w:noWrap/>
            <w:vAlign w:val="center"/>
            <w:hideMark/>
          </w:tcPr>
          <w:p w14:paraId="0F6BDA3C" w14:textId="77777777" w:rsidR="00AC4FFA" w:rsidRPr="00EC4BA6" w:rsidRDefault="00AC4FFA" w:rsidP="008F032C">
            <w:pPr>
              <w:spacing w:before="0" w:after="0" w:line="240" w:lineRule="auto"/>
              <w:jc w:val="right"/>
              <w:rPr>
                <w:rFonts w:ascii="Arial" w:hAnsi="Arial" w:cs="Arial"/>
                <w:b/>
                <w:sz w:val="16"/>
                <w:szCs w:val="16"/>
              </w:rPr>
            </w:pPr>
            <w:r w:rsidRPr="00EC4BA6">
              <w:rPr>
                <w:rFonts w:ascii="Arial" w:hAnsi="Arial" w:cs="Arial"/>
                <w:b/>
                <w:sz w:val="16"/>
                <w:szCs w:val="16"/>
              </w:rPr>
              <w:t>497,610</w:t>
            </w:r>
          </w:p>
        </w:tc>
        <w:tc>
          <w:tcPr>
            <w:tcW w:w="58" w:type="pct"/>
            <w:tcBorders>
              <w:top w:val="nil"/>
              <w:left w:val="nil"/>
              <w:bottom w:val="nil"/>
              <w:right w:val="nil"/>
            </w:tcBorders>
            <w:shd w:val="clear" w:color="auto" w:fill="auto"/>
            <w:noWrap/>
            <w:vAlign w:val="center"/>
            <w:hideMark/>
          </w:tcPr>
          <w:p w14:paraId="379FE419" w14:textId="77777777" w:rsidR="00AC4FFA" w:rsidRPr="00EC4BA6" w:rsidRDefault="00AC4FFA" w:rsidP="008F032C">
            <w:pPr>
              <w:spacing w:before="0" w:after="0" w:line="240" w:lineRule="auto"/>
              <w:jc w:val="right"/>
              <w:rPr>
                <w:rFonts w:ascii="Arial" w:hAnsi="Arial" w:cs="Arial"/>
                <w:b/>
                <w:sz w:val="16"/>
                <w:szCs w:val="16"/>
              </w:rPr>
            </w:pPr>
          </w:p>
        </w:tc>
        <w:tc>
          <w:tcPr>
            <w:tcW w:w="741" w:type="pct"/>
            <w:tcBorders>
              <w:top w:val="single" w:sz="4" w:space="0" w:color="293F5B"/>
              <w:left w:val="nil"/>
              <w:bottom w:val="single" w:sz="4" w:space="0" w:color="293F5B"/>
              <w:right w:val="nil"/>
            </w:tcBorders>
            <w:shd w:val="clear" w:color="auto" w:fill="auto"/>
            <w:noWrap/>
            <w:vAlign w:val="center"/>
            <w:hideMark/>
          </w:tcPr>
          <w:p w14:paraId="0BFE64AF" w14:textId="77777777" w:rsidR="00AC4FFA" w:rsidRPr="00EC4BA6" w:rsidRDefault="00AC4FFA" w:rsidP="008F032C">
            <w:pPr>
              <w:spacing w:before="0" w:after="0" w:line="240" w:lineRule="auto"/>
              <w:jc w:val="right"/>
              <w:rPr>
                <w:rFonts w:ascii="Arial" w:hAnsi="Arial" w:cs="Arial"/>
                <w:b/>
                <w:sz w:val="16"/>
                <w:szCs w:val="16"/>
              </w:rPr>
            </w:pPr>
            <w:r w:rsidRPr="00EC4BA6">
              <w:rPr>
                <w:rFonts w:ascii="Arial" w:hAnsi="Arial" w:cs="Arial"/>
                <w:b/>
                <w:sz w:val="16"/>
                <w:szCs w:val="16"/>
              </w:rPr>
              <w:t>1,540</w:t>
            </w:r>
          </w:p>
        </w:tc>
        <w:tc>
          <w:tcPr>
            <w:tcW w:w="741" w:type="pct"/>
            <w:tcBorders>
              <w:top w:val="single" w:sz="4" w:space="0" w:color="293F5B"/>
              <w:left w:val="nil"/>
              <w:bottom w:val="single" w:sz="4" w:space="0" w:color="293F5B"/>
              <w:right w:val="nil"/>
            </w:tcBorders>
            <w:shd w:val="clear" w:color="auto" w:fill="auto"/>
            <w:noWrap/>
            <w:vAlign w:val="center"/>
            <w:hideMark/>
          </w:tcPr>
          <w:p w14:paraId="396939A2" w14:textId="77777777" w:rsidR="00AC4FFA" w:rsidRPr="00EC4BA6" w:rsidRDefault="00AC4FFA" w:rsidP="008F032C">
            <w:pPr>
              <w:spacing w:before="0" w:after="0" w:line="240" w:lineRule="auto"/>
              <w:jc w:val="right"/>
              <w:rPr>
                <w:rFonts w:ascii="Arial" w:hAnsi="Arial" w:cs="Arial"/>
                <w:b/>
                <w:sz w:val="16"/>
                <w:szCs w:val="16"/>
              </w:rPr>
            </w:pPr>
            <w:r w:rsidRPr="00EC4BA6">
              <w:rPr>
                <w:rFonts w:ascii="Arial" w:hAnsi="Arial" w:cs="Arial"/>
                <w:b/>
                <w:sz w:val="16"/>
                <w:szCs w:val="16"/>
              </w:rPr>
              <w:t>0.3</w:t>
            </w:r>
          </w:p>
        </w:tc>
      </w:tr>
      <w:tr w:rsidR="00AC4FFA" w:rsidRPr="00EC4BA6" w14:paraId="1CB7C79E" w14:textId="77777777" w:rsidTr="00FD0567">
        <w:trPr>
          <w:trHeight w:hRule="exact" w:val="225"/>
        </w:trPr>
        <w:tc>
          <w:tcPr>
            <w:tcW w:w="2003" w:type="pct"/>
            <w:tcBorders>
              <w:top w:val="nil"/>
              <w:left w:val="nil"/>
              <w:bottom w:val="nil"/>
              <w:right w:val="nil"/>
            </w:tcBorders>
            <w:shd w:val="clear" w:color="auto" w:fill="auto"/>
            <w:noWrap/>
            <w:vAlign w:val="center"/>
            <w:hideMark/>
          </w:tcPr>
          <w:p w14:paraId="42F745E8" w14:textId="77777777" w:rsidR="00AC4FFA" w:rsidRPr="00EC4BA6" w:rsidRDefault="00AC4FFA" w:rsidP="008F032C">
            <w:pPr>
              <w:spacing w:before="0" w:after="0" w:line="240" w:lineRule="auto"/>
              <w:rPr>
                <w:rFonts w:ascii="Arial" w:hAnsi="Arial" w:cs="Arial"/>
                <w:sz w:val="16"/>
                <w:szCs w:val="16"/>
              </w:rPr>
            </w:pPr>
            <w:r w:rsidRPr="00EC4BA6">
              <w:rPr>
                <w:rFonts w:ascii="Arial" w:hAnsi="Arial" w:cs="Arial"/>
                <w:sz w:val="16"/>
                <w:szCs w:val="16"/>
              </w:rPr>
              <w:t>Goods and services tax</w:t>
            </w:r>
          </w:p>
        </w:tc>
        <w:tc>
          <w:tcPr>
            <w:tcW w:w="728" w:type="pct"/>
            <w:tcBorders>
              <w:top w:val="nil"/>
              <w:left w:val="nil"/>
              <w:bottom w:val="nil"/>
              <w:right w:val="nil"/>
            </w:tcBorders>
            <w:shd w:val="clear" w:color="auto" w:fill="auto"/>
            <w:noWrap/>
            <w:vAlign w:val="center"/>
            <w:hideMark/>
          </w:tcPr>
          <w:p w14:paraId="2341A4C8"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89,753</w:t>
            </w:r>
          </w:p>
        </w:tc>
        <w:tc>
          <w:tcPr>
            <w:tcW w:w="728" w:type="pct"/>
            <w:tcBorders>
              <w:top w:val="nil"/>
              <w:left w:val="nil"/>
              <w:bottom w:val="nil"/>
              <w:right w:val="nil"/>
            </w:tcBorders>
            <w:shd w:val="clear" w:color="000000" w:fill="E6F2FF"/>
            <w:noWrap/>
            <w:vAlign w:val="center"/>
            <w:hideMark/>
          </w:tcPr>
          <w:p w14:paraId="285B5BC8"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89,400</w:t>
            </w:r>
          </w:p>
        </w:tc>
        <w:tc>
          <w:tcPr>
            <w:tcW w:w="58" w:type="pct"/>
            <w:tcBorders>
              <w:top w:val="nil"/>
              <w:left w:val="nil"/>
              <w:bottom w:val="nil"/>
              <w:right w:val="nil"/>
            </w:tcBorders>
            <w:shd w:val="clear" w:color="auto" w:fill="auto"/>
            <w:noWrap/>
            <w:vAlign w:val="center"/>
            <w:hideMark/>
          </w:tcPr>
          <w:p w14:paraId="53DCDA4D" w14:textId="77777777" w:rsidR="00AC4FFA" w:rsidRPr="00EC4BA6" w:rsidRDefault="00AC4FFA" w:rsidP="008F032C">
            <w:pPr>
              <w:spacing w:before="0" w:after="0" w:line="240" w:lineRule="auto"/>
              <w:jc w:val="right"/>
              <w:rPr>
                <w:rFonts w:ascii="Arial" w:hAnsi="Arial" w:cs="Arial"/>
                <w:sz w:val="16"/>
                <w:szCs w:val="16"/>
              </w:rPr>
            </w:pPr>
          </w:p>
        </w:tc>
        <w:tc>
          <w:tcPr>
            <w:tcW w:w="741" w:type="pct"/>
            <w:tcBorders>
              <w:top w:val="nil"/>
              <w:left w:val="nil"/>
              <w:bottom w:val="nil"/>
              <w:right w:val="nil"/>
            </w:tcBorders>
            <w:shd w:val="clear" w:color="auto" w:fill="auto"/>
            <w:noWrap/>
            <w:vAlign w:val="center"/>
            <w:hideMark/>
          </w:tcPr>
          <w:p w14:paraId="5AAFA339" w14:textId="57DB085D" w:rsidR="00AC4FFA" w:rsidRPr="00EC4BA6" w:rsidRDefault="001A3DD6" w:rsidP="008F032C">
            <w:pPr>
              <w:spacing w:before="0" w:after="0" w:line="240" w:lineRule="auto"/>
              <w:jc w:val="right"/>
              <w:rPr>
                <w:rFonts w:ascii="Arial" w:hAnsi="Arial" w:cs="Arial"/>
                <w:sz w:val="16"/>
                <w:szCs w:val="16"/>
              </w:rPr>
            </w:pPr>
            <w:r>
              <w:rPr>
                <w:rFonts w:ascii="Arial" w:hAnsi="Arial" w:cs="Arial"/>
                <w:sz w:val="16"/>
                <w:szCs w:val="16"/>
              </w:rPr>
              <w:noBreakHyphen/>
            </w:r>
            <w:r w:rsidR="00AC4FFA" w:rsidRPr="00EC4BA6">
              <w:rPr>
                <w:rFonts w:ascii="Arial" w:hAnsi="Arial" w:cs="Arial"/>
                <w:sz w:val="16"/>
                <w:szCs w:val="16"/>
              </w:rPr>
              <w:t>353</w:t>
            </w:r>
          </w:p>
        </w:tc>
        <w:tc>
          <w:tcPr>
            <w:tcW w:w="741" w:type="pct"/>
            <w:tcBorders>
              <w:top w:val="nil"/>
              <w:left w:val="nil"/>
              <w:bottom w:val="nil"/>
              <w:right w:val="nil"/>
            </w:tcBorders>
            <w:shd w:val="clear" w:color="auto" w:fill="auto"/>
            <w:noWrap/>
            <w:vAlign w:val="center"/>
            <w:hideMark/>
          </w:tcPr>
          <w:p w14:paraId="1F15A716" w14:textId="149A242E" w:rsidR="00AC4FFA" w:rsidRPr="00EC4BA6" w:rsidRDefault="001A3DD6" w:rsidP="008F032C">
            <w:pPr>
              <w:spacing w:before="0" w:after="0" w:line="240" w:lineRule="auto"/>
              <w:jc w:val="right"/>
              <w:rPr>
                <w:rFonts w:ascii="Arial" w:hAnsi="Arial" w:cs="Arial"/>
                <w:sz w:val="16"/>
                <w:szCs w:val="16"/>
              </w:rPr>
            </w:pPr>
            <w:r>
              <w:rPr>
                <w:rFonts w:ascii="Arial" w:hAnsi="Arial" w:cs="Arial"/>
                <w:sz w:val="16"/>
                <w:szCs w:val="16"/>
              </w:rPr>
              <w:noBreakHyphen/>
            </w:r>
            <w:r w:rsidR="00AC4FFA" w:rsidRPr="00EC4BA6">
              <w:rPr>
                <w:rFonts w:ascii="Arial" w:hAnsi="Arial" w:cs="Arial"/>
                <w:sz w:val="16"/>
                <w:szCs w:val="16"/>
              </w:rPr>
              <w:t>0.4</w:t>
            </w:r>
          </w:p>
        </w:tc>
      </w:tr>
      <w:tr w:rsidR="00AC4FFA" w:rsidRPr="00EC4BA6" w14:paraId="656DF456" w14:textId="77777777" w:rsidTr="00FD0567">
        <w:trPr>
          <w:trHeight w:hRule="exact" w:val="225"/>
        </w:trPr>
        <w:tc>
          <w:tcPr>
            <w:tcW w:w="2003" w:type="pct"/>
            <w:tcBorders>
              <w:top w:val="nil"/>
              <w:left w:val="nil"/>
              <w:bottom w:val="nil"/>
              <w:right w:val="nil"/>
            </w:tcBorders>
            <w:shd w:val="clear" w:color="auto" w:fill="auto"/>
            <w:noWrap/>
            <w:vAlign w:val="center"/>
            <w:hideMark/>
          </w:tcPr>
          <w:p w14:paraId="5171BCF5" w14:textId="77777777" w:rsidR="00AC4FFA" w:rsidRPr="00EC4BA6" w:rsidRDefault="00AC4FFA" w:rsidP="008F032C">
            <w:pPr>
              <w:spacing w:before="0" w:after="0" w:line="240" w:lineRule="auto"/>
              <w:rPr>
                <w:rFonts w:ascii="Arial" w:hAnsi="Arial" w:cs="Arial"/>
                <w:sz w:val="16"/>
                <w:szCs w:val="16"/>
              </w:rPr>
            </w:pPr>
            <w:r w:rsidRPr="00EC4BA6">
              <w:rPr>
                <w:rFonts w:ascii="Arial" w:hAnsi="Arial" w:cs="Arial"/>
                <w:sz w:val="16"/>
                <w:szCs w:val="16"/>
              </w:rPr>
              <w:t>Wine equalisation tax</w:t>
            </w:r>
          </w:p>
        </w:tc>
        <w:tc>
          <w:tcPr>
            <w:tcW w:w="728" w:type="pct"/>
            <w:tcBorders>
              <w:top w:val="nil"/>
              <w:left w:val="nil"/>
              <w:bottom w:val="nil"/>
              <w:right w:val="nil"/>
            </w:tcBorders>
            <w:shd w:val="clear" w:color="auto" w:fill="auto"/>
            <w:noWrap/>
            <w:vAlign w:val="center"/>
            <w:hideMark/>
          </w:tcPr>
          <w:p w14:paraId="136AE490"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1,120</w:t>
            </w:r>
          </w:p>
        </w:tc>
        <w:tc>
          <w:tcPr>
            <w:tcW w:w="728" w:type="pct"/>
            <w:tcBorders>
              <w:top w:val="nil"/>
              <w:left w:val="nil"/>
              <w:bottom w:val="nil"/>
              <w:right w:val="nil"/>
            </w:tcBorders>
            <w:shd w:val="clear" w:color="000000" w:fill="E6F2FF"/>
            <w:noWrap/>
            <w:vAlign w:val="center"/>
            <w:hideMark/>
          </w:tcPr>
          <w:p w14:paraId="06CF2ED3"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1,110</w:t>
            </w:r>
          </w:p>
        </w:tc>
        <w:tc>
          <w:tcPr>
            <w:tcW w:w="58" w:type="pct"/>
            <w:tcBorders>
              <w:top w:val="nil"/>
              <w:left w:val="nil"/>
              <w:bottom w:val="nil"/>
              <w:right w:val="nil"/>
            </w:tcBorders>
            <w:shd w:val="clear" w:color="auto" w:fill="auto"/>
            <w:noWrap/>
            <w:vAlign w:val="center"/>
            <w:hideMark/>
          </w:tcPr>
          <w:p w14:paraId="55440534" w14:textId="77777777" w:rsidR="00AC4FFA" w:rsidRPr="00EC4BA6" w:rsidRDefault="00AC4FFA" w:rsidP="008F032C">
            <w:pPr>
              <w:spacing w:before="0" w:after="0" w:line="240" w:lineRule="auto"/>
              <w:jc w:val="right"/>
              <w:rPr>
                <w:rFonts w:ascii="Arial" w:hAnsi="Arial" w:cs="Arial"/>
                <w:sz w:val="16"/>
                <w:szCs w:val="16"/>
              </w:rPr>
            </w:pPr>
          </w:p>
        </w:tc>
        <w:tc>
          <w:tcPr>
            <w:tcW w:w="741" w:type="pct"/>
            <w:tcBorders>
              <w:top w:val="nil"/>
              <w:left w:val="nil"/>
              <w:bottom w:val="nil"/>
              <w:right w:val="nil"/>
            </w:tcBorders>
            <w:shd w:val="clear" w:color="auto" w:fill="auto"/>
            <w:noWrap/>
            <w:vAlign w:val="center"/>
            <w:hideMark/>
          </w:tcPr>
          <w:p w14:paraId="2D8890B5" w14:textId="31E621E2" w:rsidR="00AC4FFA" w:rsidRPr="00EC4BA6" w:rsidRDefault="001A3DD6" w:rsidP="008F032C">
            <w:pPr>
              <w:spacing w:before="0" w:after="0" w:line="240" w:lineRule="auto"/>
              <w:jc w:val="right"/>
              <w:rPr>
                <w:rFonts w:ascii="Arial" w:hAnsi="Arial" w:cs="Arial"/>
                <w:sz w:val="16"/>
                <w:szCs w:val="16"/>
              </w:rPr>
            </w:pPr>
            <w:r>
              <w:rPr>
                <w:rFonts w:ascii="Arial" w:hAnsi="Arial" w:cs="Arial"/>
                <w:sz w:val="16"/>
                <w:szCs w:val="16"/>
              </w:rPr>
              <w:noBreakHyphen/>
            </w:r>
            <w:r w:rsidR="00AC4FFA" w:rsidRPr="00EC4BA6">
              <w:rPr>
                <w:rFonts w:ascii="Arial" w:hAnsi="Arial" w:cs="Arial"/>
                <w:sz w:val="16"/>
                <w:szCs w:val="16"/>
              </w:rPr>
              <w:t>10</w:t>
            </w:r>
          </w:p>
        </w:tc>
        <w:tc>
          <w:tcPr>
            <w:tcW w:w="741" w:type="pct"/>
            <w:tcBorders>
              <w:top w:val="nil"/>
              <w:left w:val="nil"/>
              <w:bottom w:val="nil"/>
              <w:right w:val="nil"/>
            </w:tcBorders>
            <w:shd w:val="clear" w:color="auto" w:fill="auto"/>
            <w:noWrap/>
            <w:vAlign w:val="center"/>
            <w:hideMark/>
          </w:tcPr>
          <w:p w14:paraId="6B242A0C" w14:textId="1BB6E65E" w:rsidR="00AC4FFA" w:rsidRPr="00EC4BA6" w:rsidRDefault="001A3DD6" w:rsidP="008F032C">
            <w:pPr>
              <w:spacing w:before="0" w:after="0" w:line="240" w:lineRule="auto"/>
              <w:jc w:val="right"/>
              <w:rPr>
                <w:rFonts w:ascii="Arial" w:hAnsi="Arial" w:cs="Arial"/>
                <w:sz w:val="16"/>
                <w:szCs w:val="16"/>
              </w:rPr>
            </w:pPr>
            <w:r>
              <w:rPr>
                <w:rFonts w:ascii="Arial" w:hAnsi="Arial" w:cs="Arial"/>
                <w:sz w:val="16"/>
                <w:szCs w:val="16"/>
              </w:rPr>
              <w:noBreakHyphen/>
            </w:r>
            <w:r w:rsidR="00AC4FFA" w:rsidRPr="00EC4BA6">
              <w:rPr>
                <w:rFonts w:ascii="Arial" w:hAnsi="Arial" w:cs="Arial"/>
                <w:sz w:val="16"/>
                <w:szCs w:val="16"/>
              </w:rPr>
              <w:t>0.9</w:t>
            </w:r>
          </w:p>
        </w:tc>
      </w:tr>
      <w:tr w:rsidR="00AC4FFA" w:rsidRPr="00EC4BA6" w14:paraId="32A8F812" w14:textId="77777777" w:rsidTr="00FD0567">
        <w:trPr>
          <w:trHeight w:hRule="exact" w:val="225"/>
        </w:trPr>
        <w:tc>
          <w:tcPr>
            <w:tcW w:w="2003" w:type="pct"/>
            <w:tcBorders>
              <w:top w:val="nil"/>
              <w:left w:val="nil"/>
              <w:bottom w:val="nil"/>
              <w:right w:val="nil"/>
            </w:tcBorders>
            <w:shd w:val="clear" w:color="auto" w:fill="auto"/>
            <w:noWrap/>
            <w:vAlign w:val="center"/>
            <w:hideMark/>
          </w:tcPr>
          <w:p w14:paraId="46436953" w14:textId="77777777" w:rsidR="00AC4FFA" w:rsidRPr="00EC4BA6" w:rsidRDefault="00AC4FFA" w:rsidP="008F032C">
            <w:pPr>
              <w:spacing w:before="0" w:after="0" w:line="240" w:lineRule="auto"/>
              <w:rPr>
                <w:rFonts w:ascii="Arial" w:hAnsi="Arial" w:cs="Arial"/>
                <w:sz w:val="16"/>
                <w:szCs w:val="16"/>
              </w:rPr>
            </w:pPr>
            <w:r w:rsidRPr="00EC4BA6">
              <w:rPr>
                <w:rFonts w:ascii="Arial" w:hAnsi="Arial" w:cs="Arial"/>
                <w:sz w:val="16"/>
                <w:szCs w:val="16"/>
              </w:rPr>
              <w:t>Luxury car tax</w:t>
            </w:r>
          </w:p>
        </w:tc>
        <w:tc>
          <w:tcPr>
            <w:tcW w:w="728" w:type="pct"/>
            <w:tcBorders>
              <w:top w:val="nil"/>
              <w:left w:val="nil"/>
              <w:bottom w:val="nil"/>
              <w:right w:val="nil"/>
            </w:tcBorders>
            <w:shd w:val="clear" w:color="auto" w:fill="auto"/>
            <w:noWrap/>
            <w:vAlign w:val="center"/>
            <w:hideMark/>
          </w:tcPr>
          <w:p w14:paraId="232C6614"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1,170</w:t>
            </w:r>
          </w:p>
        </w:tc>
        <w:tc>
          <w:tcPr>
            <w:tcW w:w="728" w:type="pct"/>
            <w:tcBorders>
              <w:top w:val="nil"/>
              <w:left w:val="nil"/>
              <w:bottom w:val="nil"/>
              <w:right w:val="nil"/>
            </w:tcBorders>
            <w:shd w:val="clear" w:color="000000" w:fill="E6F2FF"/>
            <w:noWrap/>
            <w:vAlign w:val="center"/>
            <w:hideMark/>
          </w:tcPr>
          <w:p w14:paraId="7954C755"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1,170</w:t>
            </w:r>
          </w:p>
        </w:tc>
        <w:tc>
          <w:tcPr>
            <w:tcW w:w="58" w:type="pct"/>
            <w:tcBorders>
              <w:top w:val="nil"/>
              <w:left w:val="nil"/>
              <w:bottom w:val="nil"/>
              <w:right w:val="nil"/>
            </w:tcBorders>
            <w:shd w:val="clear" w:color="auto" w:fill="auto"/>
            <w:noWrap/>
            <w:vAlign w:val="center"/>
            <w:hideMark/>
          </w:tcPr>
          <w:p w14:paraId="446FFF51" w14:textId="77777777" w:rsidR="00AC4FFA" w:rsidRPr="00EC4BA6" w:rsidRDefault="00AC4FFA" w:rsidP="008F032C">
            <w:pPr>
              <w:spacing w:before="0" w:after="0" w:line="240" w:lineRule="auto"/>
              <w:jc w:val="right"/>
              <w:rPr>
                <w:rFonts w:ascii="Arial" w:hAnsi="Arial" w:cs="Arial"/>
                <w:sz w:val="16"/>
                <w:szCs w:val="16"/>
              </w:rPr>
            </w:pPr>
          </w:p>
        </w:tc>
        <w:tc>
          <w:tcPr>
            <w:tcW w:w="741" w:type="pct"/>
            <w:tcBorders>
              <w:top w:val="nil"/>
              <w:left w:val="nil"/>
              <w:bottom w:val="nil"/>
              <w:right w:val="nil"/>
            </w:tcBorders>
            <w:shd w:val="clear" w:color="auto" w:fill="auto"/>
            <w:noWrap/>
            <w:vAlign w:val="center"/>
            <w:hideMark/>
          </w:tcPr>
          <w:p w14:paraId="17A28E96"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0</w:t>
            </w:r>
          </w:p>
        </w:tc>
        <w:tc>
          <w:tcPr>
            <w:tcW w:w="741" w:type="pct"/>
            <w:tcBorders>
              <w:top w:val="nil"/>
              <w:left w:val="nil"/>
              <w:bottom w:val="nil"/>
              <w:right w:val="nil"/>
            </w:tcBorders>
            <w:shd w:val="clear" w:color="auto" w:fill="auto"/>
            <w:noWrap/>
            <w:vAlign w:val="center"/>
            <w:hideMark/>
          </w:tcPr>
          <w:p w14:paraId="5244C0E5"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0.0</w:t>
            </w:r>
          </w:p>
        </w:tc>
      </w:tr>
      <w:tr w:rsidR="00AC4FFA" w:rsidRPr="00EC4BA6" w14:paraId="72FA75AE" w14:textId="77777777" w:rsidTr="00FD0567">
        <w:trPr>
          <w:trHeight w:hRule="exact" w:val="225"/>
        </w:trPr>
        <w:tc>
          <w:tcPr>
            <w:tcW w:w="2003" w:type="pct"/>
            <w:tcBorders>
              <w:top w:val="nil"/>
              <w:left w:val="nil"/>
              <w:bottom w:val="nil"/>
              <w:right w:val="nil"/>
            </w:tcBorders>
            <w:shd w:val="clear" w:color="auto" w:fill="auto"/>
            <w:noWrap/>
            <w:vAlign w:val="center"/>
            <w:hideMark/>
          </w:tcPr>
          <w:p w14:paraId="17418D14" w14:textId="77777777" w:rsidR="00AC4FFA" w:rsidRPr="00EC4BA6" w:rsidRDefault="00AC4FFA" w:rsidP="008F032C">
            <w:pPr>
              <w:spacing w:before="0" w:after="0" w:line="240" w:lineRule="auto"/>
              <w:rPr>
                <w:rFonts w:ascii="Arial" w:hAnsi="Arial" w:cs="Arial"/>
                <w:sz w:val="16"/>
                <w:szCs w:val="16"/>
              </w:rPr>
            </w:pPr>
            <w:r w:rsidRPr="00EC4BA6">
              <w:rPr>
                <w:rFonts w:ascii="Arial" w:hAnsi="Arial" w:cs="Arial"/>
                <w:sz w:val="16"/>
                <w:szCs w:val="16"/>
              </w:rPr>
              <w:t>Excise and customs duty</w:t>
            </w:r>
          </w:p>
        </w:tc>
        <w:tc>
          <w:tcPr>
            <w:tcW w:w="728" w:type="pct"/>
            <w:tcBorders>
              <w:top w:val="nil"/>
              <w:left w:val="nil"/>
              <w:bottom w:val="nil"/>
              <w:right w:val="nil"/>
            </w:tcBorders>
            <w:shd w:val="clear" w:color="auto" w:fill="auto"/>
            <w:noWrap/>
            <w:vAlign w:val="center"/>
            <w:hideMark/>
          </w:tcPr>
          <w:p w14:paraId="48CDF721" w14:textId="77777777" w:rsidR="00AC4FFA" w:rsidRPr="00EC4BA6" w:rsidRDefault="00AC4FFA" w:rsidP="008F032C">
            <w:pPr>
              <w:spacing w:before="0" w:after="0" w:line="240" w:lineRule="auto"/>
              <w:rPr>
                <w:rFonts w:ascii="Arial" w:hAnsi="Arial" w:cs="Arial"/>
                <w:sz w:val="16"/>
                <w:szCs w:val="16"/>
              </w:rPr>
            </w:pPr>
          </w:p>
        </w:tc>
        <w:tc>
          <w:tcPr>
            <w:tcW w:w="728" w:type="pct"/>
            <w:tcBorders>
              <w:top w:val="nil"/>
              <w:left w:val="nil"/>
              <w:bottom w:val="nil"/>
              <w:right w:val="nil"/>
            </w:tcBorders>
            <w:shd w:val="clear" w:color="000000" w:fill="E6F2FF"/>
            <w:noWrap/>
            <w:vAlign w:val="center"/>
            <w:hideMark/>
          </w:tcPr>
          <w:p w14:paraId="208E960A"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 </w:t>
            </w:r>
          </w:p>
        </w:tc>
        <w:tc>
          <w:tcPr>
            <w:tcW w:w="58" w:type="pct"/>
            <w:tcBorders>
              <w:top w:val="nil"/>
              <w:left w:val="nil"/>
              <w:bottom w:val="nil"/>
              <w:right w:val="nil"/>
            </w:tcBorders>
            <w:shd w:val="clear" w:color="auto" w:fill="auto"/>
            <w:noWrap/>
            <w:vAlign w:val="center"/>
            <w:hideMark/>
          </w:tcPr>
          <w:p w14:paraId="191ECA70" w14:textId="77777777" w:rsidR="00AC4FFA" w:rsidRPr="00EC4BA6" w:rsidRDefault="00AC4FFA" w:rsidP="008F032C">
            <w:pPr>
              <w:spacing w:before="0" w:after="0" w:line="240" w:lineRule="auto"/>
              <w:jc w:val="right"/>
              <w:rPr>
                <w:rFonts w:ascii="Arial" w:hAnsi="Arial" w:cs="Arial"/>
                <w:sz w:val="16"/>
                <w:szCs w:val="16"/>
              </w:rPr>
            </w:pPr>
          </w:p>
        </w:tc>
        <w:tc>
          <w:tcPr>
            <w:tcW w:w="741" w:type="pct"/>
            <w:tcBorders>
              <w:top w:val="nil"/>
              <w:left w:val="nil"/>
              <w:bottom w:val="nil"/>
              <w:right w:val="nil"/>
            </w:tcBorders>
            <w:shd w:val="clear" w:color="auto" w:fill="auto"/>
            <w:noWrap/>
            <w:vAlign w:val="center"/>
            <w:hideMark/>
          </w:tcPr>
          <w:p w14:paraId="4D48E522" w14:textId="77777777" w:rsidR="00AC4FFA" w:rsidRPr="00EC4BA6" w:rsidRDefault="00AC4FFA" w:rsidP="008F032C">
            <w:pPr>
              <w:spacing w:before="0" w:after="0" w:line="240" w:lineRule="auto"/>
              <w:jc w:val="right"/>
              <w:rPr>
                <w:rFonts w:ascii="Times New Roman" w:hAnsi="Times New Roman"/>
                <w:sz w:val="20"/>
              </w:rPr>
            </w:pPr>
          </w:p>
        </w:tc>
        <w:tc>
          <w:tcPr>
            <w:tcW w:w="741" w:type="pct"/>
            <w:tcBorders>
              <w:top w:val="nil"/>
              <w:left w:val="nil"/>
              <w:bottom w:val="nil"/>
              <w:right w:val="nil"/>
            </w:tcBorders>
            <w:shd w:val="clear" w:color="auto" w:fill="auto"/>
            <w:noWrap/>
            <w:vAlign w:val="center"/>
            <w:hideMark/>
          </w:tcPr>
          <w:p w14:paraId="008B16E8" w14:textId="77777777" w:rsidR="00AC4FFA" w:rsidRPr="00EC4BA6" w:rsidRDefault="00AC4FFA" w:rsidP="008F032C">
            <w:pPr>
              <w:spacing w:before="0" w:after="0" w:line="240" w:lineRule="auto"/>
              <w:jc w:val="right"/>
              <w:rPr>
                <w:rFonts w:ascii="Times New Roman" w:hAnsi="Times New Roman"/>
                <w:sz w:val="20"/>
              </w:rPr>
            </w:pPr>
          </w:p>
        </w:tc>
      </w:tr>
      <w:tr w:rsidR="00AC4FFA" w:rsidRPr="00EC4BA6" w14:paraId="10AD89E6" w14:textId="77777777" w:rsidTr="00FD0567">
        <w:trPr>
          <w:trHeight w:hRule="exact" w:val="225"/>
        </w:trPr>
        <w:tc>
          <w:tcPr>
            <w:tcW w:w="2003" w:type="pct"/>
            <w:tcBorders>
              <w:top w:val="nil"/>
              <w:left w:val="nil"/>
              <w:bottom w:val="nil"/>
              <w:right w:val="nil"/>
            </w:tcBorders>
            <w:shd w:val="clear" w:color="auto" w:fill="auto"/>
            <w:noWrap/>
            <w:vAlign w:val="center"/>
            <w:hideMark/>
          </w:tcPr>
          <w:p w14:paraId="0D818548" w14:textId="77777777" w:rsidR="00AC4FFA" w:rsidRPr="00EC4BA6" w:rsidRDefault="00AC4FFA" w:rsidP="008F032C">
            <w:pPr>
              <w:spacing w:before="0" w:after="0" w:line="240" w:lineRule="auto"/>
              <w:ind w:left="170"/>
              <w:rPr>
                <w:rFonts w:ascii="Arial" w:hAnsi="Arial" w:cs="Arial"/>
                <w:sz w:val="16"/>
                <w:szCs w:val="16"/>
              </w:rPr>
            </w:pPr>
            <w:r w:rsidRPr="00EC4BA6">
              <w:rPr>
                <w:rFonts w:ascii="Arial" w:hAnsi="Arial" w:cs="Arial"/>
                <w:sz w:val="16"/>
                <w:szCs w:val="16"/>
              </w:rPr>
              <w:t>Petrol</w:t>
            </w:r>
          </w:p>
        </w:tc>
        <w:tc>
          <w:tcPr>
            <w:tcW w:w="728" w:type="pct"/>
            <w:tcBorders>
              <w:top w:val="nil"/>
              <w:left w:val="nil"/>
              <w:bottom w:val="nil"/>
              <w:right w:val="nil"/>
            </w:tcBorders>
            <w:shd w:val="clear" w:color="auto" w:fill="auto"/>
            <w:noWrap/>
            <w:vAlign w:val="center"/>
            <w:hideMark/>
          </w:tcPr>
          <w:p w14:paraId="3CE2DDEB"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7,200</w:t>
            </w:r>
          </w:p>
        </w:tc>
        <w:tc>
          <w:tcPr>
            <w:tcW w:w="728" w:type="pct"/>
            <w:tcBorders>
              <w:top w:val="nil"/>
              <w:left w:val="nil"/>
              <w:bottom w:val="nil"/>
              <w:right w:val="nil"/>
            </w:tcBorders>
            <w:shd w:val="clear" w:color="000000" w:fill="E6F2FF"/>
            <w:noWrap/>
            <w:vAlign w:val="center"/>
            <w:hideMark/>
          </w:tcPr>
          <w:p w14:paraId="66685424"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7,250</w:t>
            </w:r>
          </w:p>
        </w:tc>
        <w:tc>
          <w:tcPr>
            <w:tcW w:w="58" w:type="pct"/>
            <w:tcBorders>
              <w:top w:val="nil"/>
              <w:left w:val="nil"/>
              <w:bottom w:val="nil"/>
              <w:right w:val="nil"/>
            </w:tcBorders>
            <w:shd w:val="clear" w:color="auto" w:fill="auto"/>
            <w:noWrap/>
            <w:vAlign w:val="center"/>
            <w:hideMark/>
          </w:tcPr>
          <w:p w14:paraId="4B70C5C4" w14:textId="77777777" w:rsidR="00AC4FFA" w:rsidRPr="00EC4BA6" w:rsidRDefault="00AC4FFA" w:rsidP="008F032C">
            <w:pPr>
              <w:spacing w:before="0" w:after="0" w:line="240" w:lineRule="auto"/>
              <w:jc w:val="right"/>
              <w:rPr>
                <w:rFonts w:ascii="Arial" w:hAnsi="Arial" w:cs="Arial"/>
                <w:sz w:val="16"/>
                <w:szCs w:val="16"/>
              </w:rPr>
            </w:pPr>
          </w:p>
        </w:tc>
        <w:tc>
          <w:tcPr>
            <w:tcW w:w="741" w:type="pct"/>
            <w:tcBorders>
              <w:top w:val="nil"/>
              <w:left w:val="nil"/>
              <w:bottom w:val="nil"/>
              <w:right w:val="nil"/>
            </w:tcBorders>
            <w:shd w:val="clear" w:color="auto" w:fill="auto"/>
            <w:noWrap/>
            <w:vAlign w:val="center"/>
            <w:hideMark/>
          </w:tcPr>
          <w:p w14:paraId="405FBE21"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50</w:t>
            </w:r>
          </w:p>
        </w:tc>
        <w:tc>
          <w:tcPr>
            <w:tcW w:w="741" w:type="pct"/>
            <w:tcBorders>
              <w:top w:val="nil"/>
              <w:left w:val="nil"/>
              <w:bottom w:val="nil"/>
              <w:right w:val="nil"/>
            </w:tcBorders>
            <w:shd w:val="clear" w:color="auto" w:fill="auto"/>
            <w:noWrap/>
            <w:vAlign w:val="center"/>
            <w:hideMark/>
          </w:tcPr>
          <w:p w14:paraId="340DCE3B"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0.7</w:t>
            </w:r>
          </w:p>
        </w:tc>
      </w:tr>
      <w:tr w:rsidR="00AC4FFA" w:rsidRPr="00EC4BA6" w14:paraId="3D9C583D" w14:textId="77777777" w:rsidTr="00FD0567">
        <w:trPr>
          <w:trHeight w:hRule="exact" w:val="225"/>
        </w:trPr>
        <w:tc>
          <w:tcPr>
            <w:tcW w:w="2003" w:type="pct"/>
            <w:tcBorders>
              <w:top w:val="nil"/>
              <w:left w:val="nil"/>
              <w:bottom w:val="nil"/>
              <w:right w:val="nil"/>
            </w:tcBorders>
            <w:shd w:val="clear" w:color="auto" w:fill="auto"/>
            <w:noWrap/>
            <w:vAlign w:val="center"/>
            <w:hideMark/>
          </w:tcPr>
          <w:p w14:paraId="6C8FF593" w14:textId="77777777" w:rsidR="00AC4FFA" w:rsidRPr="00EC4BA6" w:rsidRDefault="00AC4FFA" w:rsidP="008F032C">
            <w:pPr>
              <w:spacing w:before="0" w:after="0" w:line="240" w:lineRule="auto"/>
              <w:ind w:left="170"/>
              <w:rPr>
                <w:rFonts w:ascii="Arial" w:hAnsi="Arial" w:cs="Arial"/>
                <w:sz w:val="16"/>
                <w:szCs w:val="16"/>
              </w:rPr>
            </w:pPr>
            <w:r w:rsidRPr="00EC4BA6">
              <w:rPr>
                <w:rFonts w:ascii="Arial" w:hAnsi="Arial" w:cs="Arial"/>
                <w:sz w:val="16"/>
                <w:szCs w:val="16"/>
              </w:rPr>
              <w:t>Diesel</w:t>
            </w:r>
          </w:p>
        </w:tc>
        <w:tc>
          <w:tcPr>
            <w:tcW w:w="728" w:type="pct"/>
            <w:tcBorders>
              <w:top w:val="nil"/>
              <w:left w:val="nil"/>
              <w:bottom w:val="nil"/>
              <w:right w:val="nil"/>
            </w:tcBorders>
            <w:shd w:val="clear" w:color="auto" w:fill="auto"/>
            <w:noWrap/>
            <w:vAlign w:val="center"/>
            <w:hideMark/>
          </w:tcPr>
          <w:p w14:paraId="69CCEB01"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17,440</w:t>
            </w:r>
          </w:p>
        </w:tc>
        <w:tc>
          <w:tcPr>
            <w:tcW w:w="728" w:type="pct"/>
            <w:tcBorders>
              <w:top w:val="nil"/>
              <w:left w:val="nil"/>
              <w:bottom w:val="nil"/>
              <w:right w:val="nil"/>
            </w:tcBorders>
            <w:shd w:val="clear" w:color="000000" w:fill="E6F2FF"/>
            <w:noWrap/>
            <w:vAlign w:val="center"/>
            <w:hideMark/>
          </w:tcPr>
          <w:p w14:paraId="75608710"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17,390</w:t>
            </w:r>
          </w:p>
        </w:tc>
        <w:tc>
          <w:tcPr>
            <w:tcW w:w="58" w:type="pct"/>
            <w:tcBorders>
              <w:top w:val="nil"/>
              <w:left w:val="nil"/>
              <w:bottom w:val="nil"/>
              <w:right w:val="nil"/>
            </w:tcBorders>
            <w:shd w:val="clear" w:color="auto" w:fill="auto"/>
            <w:noWrap/>
            <w:vAlign w:val="center"/>
            <w:hideMark/>
          </w:tcPr>
          <w:p w14:paraId="132A5AC4" w14:textId="77777777" w:rsidR="00AC4FFA" w:rsidRPr="00EC4BA6" w:rsidRDefault="00AC4FFA" w:rsidP="008F032C">
            <w:pPr>
              <w:spacing w:before="0" w:after="0" w:line="240" w:lineRule="auto"/>
              <w:jc w:val="right"/>
              <w:rPr>
                <w:rFonts w:ascii="Arial" w:hAnsi="Arial" w:cs="Arial"/>
                <w:sz w:val="16"/>
                <w:szCs w:val="16"/>
              </w:rPr>
            </w:pPr>
          </w:p>
        </w:tc>
        <w:tc>
          <w:tcPr>
            <w:tcW w:w="741" w:type="pct"/>
            <w:tcBorders>
              <w:top w:val="nil"/>
              <w:left w:val="nil"/>
              <w:bottom w:val="nil"/>
              <w:right w:val="nil"/>
            </w:tcBorders>
            <w:shd w:val="clear" w:color="auto" w:fill="auto"/>
            <w:noWrap/>
            <w:vAlign w:val="center"/>
            <w:hideMark/>
          </w:tcPr>
          <w:p w14:paraId="5AE8BEAF" w14:textId="5177AE4C" w:rsidR="00AC4FFA" w:rsidRPr="00EC4BA6" w:rsidRDefault="001A3DD6" w:rsidP="008F032C">
            <w:pPr>
              <w:spacing w:before="0" w:after="0" w:line="240" w:lineRule="auto"/>
              <w:jc w:val="right"/>
              <w:rPr>
                <w:rFonts w:ascii="Arial" w:hAnsi="Arial" w:cs="Arial"/>
                <w:sz w:val="16"/>
                <w:szCs w:val="16"/>
              </w:rPr>
            </w:pPr>
            <w:r>
              <w:rPr>
                <w:rFonts w:ascii="Arial" w:hAnsi="Arial" w:cs="Arial"/>
                <w:sz w:val="16"/>
                <w:szCs w:val="16"/>
              </w:rPr>
              <w:noBreakHyphen/>
            </w:r>
            <w:r w:rsidR="00AC4FFA" w:rsidRPr="00EC4BA6">
              <w:rPr>
                <w:rFonts w:ascii="Arial" w:hAnsi="Arial" w:cs="Arial"/>
                <w:sz w:val="16"/>
                <w:szCs w:val="16"/>
              </w:rPr>
              <w:t>50</w:t>
            </w:r>
          </w:p>
        </w:tc>
        <w:tc>
          <w:tcPr>
            <w:tcW w:w="741" w:type="pct"/>
            <w:tcBorders>
              <w:top w:val="nil"/>
              <w:left w:val="nil"/>
              <w:bottom w:val="nil"/>
              <w:right w:val="nil"/>
            </w:tcBorders>
            <w:shd w:val="clear" w:color="auto" w:fill="auto"/>
            <w:noWrap/>
            <w:vAlign w:val="center"/>
            <w:hideMark/>
          </w:tcPr>
          <w:p w14:paraId="2DE8233B" w14:textId="31A9C5F7" w:rsidR="00AC4FFA" w:rsidRPr="00EC4BA6" w:rsidRDefault="001A3DD6" w:rsidP="008F032C">
            <w:pPr>
              <w:spacing w:before="0" w:after="0" w:line="240" w:lineRule="auto"/>
              <w:jc w:val="right"/>
              <w:rPr>
                <w:rFonts w:ascii="Arial" w:hAnsi="Arial" w:cs="Arial"/>
                <w:sz w:val="16"/>
                <w:szCs w:val="16"/>
              </w:rPr>
            </w:pPr>
            <w:r>
              <w:rPr>
                <w:rFonts w:ascii="Arial" w:hAnsi="Arial" w:cs="Arial"/>
                <w:sz w:val="16"/>
                <w:szCs w:val="16"/>
              </w:rPr>
              <w:noBreakHyphen/>
            </w:r>
            <w:r w:rsidR="00AC4FFA" w:rsidRPr="00EC4BA6">
              <w:rPr>
                <w:rFonts w:ascii="Arial" w:hAnsi="Arial" w:cs="Arial"/>
                <w:sz w:val="16"/>
                <w:szCs w:val="16"/>
              </w:rPr>
              <w:t>0.3</w:t>
            </w:r>
          </w:p>
        </w:tc>
      </w:tr>
      <w:tr w:rsidR="00AC4FFA" w:rsidRPr="00EC4BA6" w14:paraId="45D7C79B" w14:textId="77777777" w:rsidTr="00FD0567">
        <w:trPr>
          <w:trHeight w:hRule="exact" w:val="225"/>
        </w:trPr>
        <w:tc>
          <w:tcPr>
            <w:tcW w:w="2003" w:type="pct"/>
            <w:tcBorders>
              <w:top w:val="nil"/>
              <w:left w:val="nil"/>
              <w:bottom w:val="nil"/>
              <w:right w:val="nil"/>
            </w:tcBorders>
            <w:shd w:val="clear" w:color="auto" w:fill="auto"/>
            <w:noWrap/>
            <w:vAlign w:val="center"/>
            <w:hideMark/>
          </w:tcPr>
          <w:p w14:paraId="31F1F2C7" w14:textId="77777777" w:rsidR="00AC4FFA" w:rsidRPr="00EC4BA6" w:rsidRDefault="00AC4FFA" w:rsidP="008F032C">
            <w:pPr>
              <w:spacing w:before="0" w:after="0" w:line="240" w:lineRule="auto"/>
              <w:ind w:left="170"/>
              <w:rPr>
                <w:rFonts w:ascii="Arial" w:hAnsi="Arial" w:cs="Arial"/>
                <w:sz w:val="16"/>
                <w:szCs w:val="16"/>
              </w:rPr>
            </w:pPr>
            <w:r w:rsidRPr="00EC4BA6">
              <w:rPr>
                <w:rFonts w:ascii="Arial" w:hAnsi="Arial" w:cs="Arial"/>
                <w:sz w:val="16"/>
                <w:szCs w:val="16"/>
              </w:rPr>
              <w:t>Other fuel products</w:t>
            </w:r>
          </w:p>
        </w:tc>
        <w:tc>
          <w:tcPr>
            <w:tcW w:w="728" w:type="pct"/>
            <w:tcBorders>
              <w:top w:val="nil"/>
              <w:left w:val="nil"/>
              <w:bottom w:val="nil"/>
              <w:right w:val="nil"/>
            </w:tcBorders>
            <w:shd w:val="clear" w:color="auto" w:fill="auto"/>
            <w:noWrap/>
            <w:vAlign w:val="center"/>
            <w:hideMark/>
          </w:tcPr>
          <w:p w14:paraId="29FB953C"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2,070</w:t>
            </w:r>
          </w:p>
        </w:tc>
        <w:tc>
          <w:tcPr>
            <w:tcW w:w="728" w:type="pct"/>
            <w:tcBorders>
              <w:top w:val="nil"/>
              <w:left w:val="nil"/>
              <w:bottom w:val="nil"/>
              <w:right w:val="nil"/>
            </w:tcBorders>
            <w:shd w:val="clear" w:color="000000" w:fill="E6F2FF"/>
            <w:noWrap/>
            <w:vAlign w:val="center"/>
            <w:hideMark/>
          </w:tcPr>
          <w:p w14:paraId="3398E994"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2,040</w:t>
            </w:r>
          </w:p>
        </w:tc>
        <w:tc>
          <w:tcPr>
            <w:tcW w:w="58" w:type="pct"/>
            <w:tcBorders>
              <w:top w:val="nil"/>
              <w:left w:val="nil"/>
              <w:bottom w:val="nil"/>
              <w:right w:val="nil"/>
            </w:tcBorders>
            <w:shd w:val="clear" w:color="auto" w:fill="auto"/>
            <w:noWrap/>
            <w:vAlign w:val="center"/>
            <w:hideMark/>
          </w:tcPr>
          <w:p w14:paraId="0C4590E2" w14:textId="77777777" w:rsidR="00AC4FFA" w:rsidRPr="00EC4BA6" w:rsidRDefault="00AC4FFA" w:rsidP="008F032C">
            <w:pPr>
              <w:spacing w:before="0" w:after="0" w:line="240" w:lineRule="auto"/>
              <w:jc w:val="right"/>
              <w:rPr>
                <w:rFonts w:ascii="Arial" w:hAnsi="Arial" w:cs="Arial"/>
                <w:sz w:val="16"/>
                <w:szCs w:val="16"/>
              </w:rPr>
            </w:pPr>
          </w:p>
        </w:tc>
        <w:tc>
          <w:tcPr>
            <w:tcW w:w="741" w:type="pct"/>
            <w:tcBorders>
              <w:top w:val="nil"/>
              <w:left w:val="nil"/>
              <w:bottom w:val="nil"/>
              <w:right w:val="nil"/>
            </w:tcBorders>
            <w:shd w:val="clear" w:color="auto" w:fill="auto"/>
            <w:noWrap/>
            <w:vAlign w:val="center"/>
            <w:hideMark/>
          </w:tcPr>
          <w:p w14:paraId="63D3F7D4" w14:textId="32912B4C" w:rsidR="00AC4FFA" w:rsidRPr="00EC4BA6" w:rsidRDefault="001A3DD6" w:rsidP="008F032C">
            <w:pPr>
              <w:spacing w:before="0" w:after="0" w:line="240" w:lineRule="auto"/>
              <w:jc w:val="right"/>
              <w:rPr>
                <w:rFonts w:ascii="Arial" w:hAnsi="Arial" w:cs="Arial"/>
                <w:sz w:val="16"/>
                <w:szCs w:val="16"/>
              </w:rPr>
            </w:pPr>
            <w:r>
              <w:rPr>
                <w:rFonts w:ascii="Arial" w:hAnsi="Arial" w:cs="Arial"/>
                <w:sz w:val="16"/>
                <w:szCs w:val="16"/>
              </w:rPr>
              <w:noBreakHyphen/>
            </w:r>
            <w:r w:rsidR="00AC4FFA" w:rsidRPr="00EC4BA6">
              <w:rPr>
                <w:rFonts w:ascii="Arial" w:hAnsi="Arial" w:cs="Arial"/>
                <w:sz w:val="16"/>
                <w:szCs w:val="16"/>
              </w:rPr>
              <w:t>30</w:t>
            </w:r>
          </w:p>
        </w:tc>
        <w:tc>
          <w:tcPr>
            <w:tcW w:w="741" w:type="pct"/>
            <w:tcBorders>
              <w:top w:val="nil"/>
              <w:left w:val="nil"/>
              <w:bottom w:val="nil"/>
              <w:right w:val="nil"/>
            </w:tcBorders>
            <w:shd w:val="clear" w:color="auto" w:fill="auto"/>
            <w:noWrap/>
            <w:vAlign w:val="center"/>
            <w:hideMark/>
          </w:tcPr>
          <w:p w14:paraId="55D77607" w14:textId="027D3067" w:rsidR="00AC4FFA" w:rsidRPr="00EC4BA6" w:rsidRDefault="001A3DD6" w:rsidP="008F032C">
            <w:pPr>
              <w:spacing w:before="0" w:after="0" w:line="240" w:lineRule="auto"/>
              <w:jc w:val="right"/>
              <w:rPr>
                <w:rFonts w:ascii="Arial" w:hAnsi="Arial" w:cs="Arial"/>
                <w:sz w:val="16"/>
                <w:szCs w:val="16"/>
              </w:rPr>
            </w:pPr>
            <w:r>
              <w:rPr>
                <w:rFonts w:ascii="Arial" w:hAnsi="Arial" w:cs="Arial"/>
                <w:sz w:val="16"/>
                <w:szCs w:val="16"/>
              </w:rPr>
              <w:noBreakHyphen/>
            </w:r>
            <w:r w:rsidR="00AC4FFA" w:rsidRPr="00EC4BA6">
              <w:rPr>
                <w:rFonts w:ascii="Arial" w:hAnsi="Arial" w:cs="Arial"/>
                <w:sz w:val="16"/>
                <w:szCs w:val="16"/>
              </w:rPr>
              <w:t>1.4</w:t>
            </w:r>
          </w:p>
        </w:tc>
      </w:tr>
      <w:tr w:rsidR="00AC4FFA" w:rsidRPr="00EC4BA6" w14:paraId="1D63C164" w14:textId="77777777" w:rsidTr="00FD0567">
        <w:trPr>
          <w:trHeight w:hRule="exact" w:val="225"/>
        </w:trPr>
        <w:tc>
          <w:tcPr>
            <w:tcW w:w="2003" w:type="pct"/>
            <w:tcBorders>
              <w:top w:val="nil"/>
              <w:left w:val="nil"/>
              <w:bottom w:val="nil"/>
              <w:right w:val="nil"/>
            </w:tcBorders>
            <w:shd w:val="clear" w:color="auto" w:fill="auto"/>
            <w:noWrap/>
            <w:vAlign w:val="center"/>
            <w:hideMark/>
          </w:tcPr>
          <w:p w14:paraId="02114FB7" w14:textId="77777777" w:rsidR="00AC4FFA" w:rsidRPr="00EC4BA6" w:rsidRDefault="00AC4FFA" w:rsidP="008F032C">
            <w:pPr>
              <w:spacing w:before="0" w:after="0" w:line="240" w:lineRule="auto"/>
              <w:ind w:left="170"/>
              <w:rPr>
                <w:rFonts w:ascii="Arial" w:hAnsi="Arial" w:cs="Arial"/>
                <w:sz w:val="16"/>
                <w:szCs w:val="16"/>
              </w:rPr>
            </w:pPr>
            <w:r w:rsidRPr="00EC4BA6">
              <w:rPr>
                <w:rFonts w:ascii="Arial" w:hAnsi="Arial" w:cs="Arial"/>
                <w:sz w:val="16"/>
                <w:szCs w:val="16"/>
              </w:rPr>
              <w:t>Tobacco</w:t>
            </w:r>
          </w:p>
        </w:tc>
        <w:tc>
          <w:tcPr>
            <w:tcW w:w="728" w:type="pct"/>
            <w:tcBorders>
              <w:top w:val="nil"/>
              <w:left w:val="nil"/>
              <w:bottom w:val="nil"/>
              <w:right w:val="nil"/>
            </w:tcBorders>
            <w:shd w:val="clear" w:color="auto" w:fill="auto"/>
            <w:noWrap/>
            <w:vAlign w:val="center"/>
            <w:hideMark/>
          </w:tcPr>
          <w:p w14:paraId="6D2BE11D"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8,750</w:t>
            </w:r>
          </w:p>
        </w:tc>
        <w:tc>
          <w:tcPr>
            <w:tcW w:w="728" w:type="pct"/>
            <w:tcBorders>
              <w:top w:val="nil"/>
              <w:left w:val="nil"/>
              <w:bottom w:val="nil"/>
              <w:right w:val="nil"/>
            </w:tcBorders>
            <w:shd w:val="clear" w:color="000000" w:fill="E6F2FF"/>
            <w:noWrap/>
            <w:vAlign w:val="center"/>
            <w:hideMark/>
          </w:tcPr>
          <w:p w14:paraId="47681A3C"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7,400</w:t>
            </w:r>
          </w:p>
        </w:tc>
        <w:tc>
          <w:tcPr>
            <w:tcW w:w="58" w:type="pct"/>
            <w:tcBorders>
              <w:top w:val="nil"/>
              <w:left w:val="nil"/>
              <w:bottom w:val="nil"/>
              <w:right w:val="nil"/>
            </w:tcBorders>
            <w:shd w:val="clear" w:color="auto" w:fill="auto"/>
            <w:noWrap/>
            <w:vAlign w:val="center"/>
            <w:hideMark/>
          </w:tcPr>
          <w:p w14:paraId="7FC35492" w14:textId="77777777" w:rsidR="00AC4FFA" w:rsidRPr="00EC4BA6" w:rsidRDefault="00AC4FFA" w:rsidP="008F032C">
            <w:pPr>
              <w:spacing w:before="0" w:after="0" w:line="240" w:lineRule="auto"/>
              <w:jc w:val="right"/>
              <w:rPr>
                <w:rFonts w:ascii="Arial" w:hAnsi="Arial" w:cs="Arial"/>
                <w:sz w:val="16"/>
                <w:szCs w:val="16"/>
              </w:rPr>
            </w:pPr>
          </w:p>
        </w:tc>
        <w:tc>
          <w:tcPr>
            <w:tcW w:w="741" w:type="pct"/>
            <w:tcBorders>
              <w:top w:val="nil"/>
              <w:left w:val="nil"/>
              <w:bottom w:val="nil"/>
              <w:right w:val="nil"/>
            </w:tcBorders>
            <w:shd w:val="clear" w:color="auto" w:fill="auto"/>
            <w:noWrap/>
            <w:vAlign w:val="center"/>
            <w:hideMark/>
          </w:tcPr>
          <w:p w14:paraId="03907102" w14:textId="4F20500B" w:rsidR="00AC4FFA" w:rsidRPr="00EC4BA6" w:rsidRDefault="001A3DD6" w:rsidP="008F032C">
            <w:pPr>
              <w:spacing w:before="0" w:after="0" w:line="240" w:lineRule="auto"/>
              <w:jc w:val="right"/>
              <w:rPr>
                <w:rFonts w:ascii="Arial" w:hAnsi="Arial" w:cs="Arial"/>
                <w:sz w:val="16"/>
                <w:szCs w:val="16"/>
              </w:rPr>
            </w:pPr>
            <w:r>
              <w:rPr>
                <w:rFonts w:ascii="Arial" w:hAnsi="Arial" w:cs="Arial"/>
                <w:sz w:val="16"/>
                <w:szCs w:val="16"/>
              </w:rPr>
              <w:noBreakHyphen/>
            </w:r>
            <w:r w:rsidR="00AC4FFA" w:rsidRPr="00EC4BA6">
              <w:rPr>
                <w:rFonts w:ascii="Arial" w:hAnsi="Arial" w:cs="Arial"/>
                <w:sz w:val="16"/>
                <w:szCs w:val="16"/>
              </w:rPr>
              <w:t>1,350</w:t>
            </w:r>
          </w:p>
        </w:tc>
        <w:tc>
          <w:tcPr>
            <w:tcW w:w="741" w:type="pct"/>
            <w:tcBorders>
              <w:top w:val="nil"/>
              <w:left w:val="nil"/>
              <w:bottom w:val="nil"/>
              <w:right w:val="nil"/>
            </w:tcBorders>
            <w:shd w:val="clear" w:color="auto" w:fill="auto"/>
            <w:noWrap/>
            <w:vAlign w:val="center"/>
            <w:hideMark/>
          </w:tcPr>
          <w:p w14:paraId="574C18E4" w14:textId="409D4338" w:rsidR="00AC4FFA" w:rsidRPr="00EC4BA6" w:rsidRDefault="001A3DD6" w:rsidP="008F032C">
            <w:pPr>
              <w:spacing w:before="0" w:after="0" w:line="240" w:lineRule="auto"/>
              <w:jc w:val="right"/>
              <w:rPr>
                <w:rFonts w:ascii="Arial" w:hAnsi="Arial" w:cs="Arial"/>
                <w:sz w:val="16"/>
                <w:szCs w:val="16"/>
              </w:rPr>
            </w:pPr>
            <w:r>
              <w:rPr>
                <w:rFonts w:ascii="Arial" w:hAnsi="Arial" w:cs="Arial"/>
                <w:sz w:val="16"/>
                <w:szCs w:val="16"/>
              </w:rPr>
              <w:noBreakHyphen/>
            </w:r>
            <w:r w:rsidR="00AC4FFA" w:rsidRPr="00EC4BA6">
              <w:rPr>
                <w:rFonts w:ascii="Arial" w:hAnsi="Arial" w:cs="Arial"/>
                <w:sz w:val="16"/>
                <w:szCs w:val="16"/>
              </w:rPr>
              <w:t>15.4</w:t>
            </w:r>
          </w:p>
        </w:tc>
      </w:tr>
      <w:tr w:rsidR="00AC4FFA" w:rsidRPr="00EC4BA6" w14:paraId="3BB2FA97" w14:textId="77777777" w:rsidTr="00FD0567">
        <w:trPr>
          <w:trHeight w:hRule="exact" w:val="225"/>
        </w:trPr>
        <w:tc>
          <w:tcPr>
            <w:tcW w:w="2003" w:type="pct"/>
            <w:tcBorders>
              <w:top w:val="nil"/>
              <w:left w:val="nil"/>
              <w:bottom w:val="nil"/>
              <w:right w:val="nil"/>
            </w:tcBorders>
            <w:shd w:val="clear" w:color="auto" w:fill="auto"/>
            <w:noWrap/>
            <w:vAlign w:val="center"/>
            <w:hideMark/>
          </w:tcPr>
          <w:p w14:paraId="16FED5A6" w14:textId="77777777" w:rsidR="00AC4FFA" w:rsidRPr="00EC4BA6" w:rsidRDefault="00AC4FFA" w:rsidP="008F032C">
            <w:pPr>
              <w:spacing w:before="0" w:after="0" w:line="240" w:lineRule="auto"/>
              <w:ind w:left="170"/>
              <w:rPr>
                <w:rFonts w:ascii="Arial" w:hAnsi="Arial" w:cs="Arial"/>
                <w:sz w:val="16"/>
                <w:szCs w:val="16"/>
              </w:rPr>
            </w:pPr>
            <w:r w:rsidRPr="00EC4BA6">
              <w:rPr>
                <w:rFonts w:ascii="Arial" w:hAnsi="Arial" w:cs="Arial"/>
                <w:sz w:val="16"/>
                <w:szCs w:val="16"/>
              </w:rPr>
              <w:t>Beer</w:t>
            </w:r>
          </w:p>
        </w:tc>
        <w:tc>
          <w:tcPr>
            <w:tcW w:w="728" w:type="pct"/>
            <w:tcBorders>
              <w:top w:val="nil"/>
              <w:left w:val="nil"/>
              <w:bottom w:val="nil"/>
              <w:right w:val="nil"/>
            </w:tcBorders>
            <w:shd w:val="clear" w:color="auto" w:fill="auto"/>
            <w:noWrap/>
            <w:vAlign w:val="center"/>
            <w:hideMark/>
          </w:tcPr>
          <w:p w14:paraId="4956FD3F"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2,720</w:t>
            </w:r>
          </w:p>
        </w:tc>
        <w:tc>
          <w:tcPr>
            <w:tcW w:w="728" w:type="pct"/>
            <w:tcBorders>
              <w:top w:val="nil"/>
              <w:left w:val="nil"/>
              <w:bottom w:val="nil"/>
              <w:right w:val="nil"/>
            </w:tcBorders>
            <w:shd w:val="clear" w:color="000000" w:fill="E6F2FF"/>
            <w:noWrap/>
            <w:vAlign w:val="center"/>
            <w:hideMark/>
          </w:tcPr>
          <w:p w14:paraId="293E3FB7"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2,750</w:t>
            </w:r>
          </w:p>
        </w:tc>
        <w:tc>
          <w:tcPr>
            <w:tcW w:w="58" w:type="pct"/>
            <w:tcBorders>
              <w:top w:val="nil"/>
              <w:left w:val="nil"/>
              <w:bottom w:val="nil"/>
              <w:right w:val="nil"/>
            </w:tcBorders>
            <w:shd w:val="clear" w:color="auto" w:fill="auto"/>
            <w:noWrap/>
            <w:vAlign w:val="center"/>
            <w:hideMark/>
          </w:tcPr>
          <w:p w14:paraId="541F238D" w14:textId="77777777" w:rsidR="00AC4FFA" w:rsidRPr="00EC4BA6" w:rsidRDefault="00AC4FFA" w:rsidP="008F032C">
            <w:pPr>
              <w:spacing w:before="0" w:after="0" w:line="240" w:lineRule="auto"/>
              <w:jc w:val="right"/>
              <w:rPr>
                <w:rFonts w:ascii="Arial" w:hAnsi="Arial" w:cs="Arial"/>
                <w:sz w:val="16"/>
                <w:szCs w:val="16"/>
              </w:rPr>
            </w:pPr>
          </w:p>
        </w:tc>
        <w:tc>
          <w:tcPr>
            <w:tcW w:w="741" w:type="pct"/>
            <w:tcBorders>
              <w:top w:val="nil"/>
              <w:left w:val="nil"/>
              <w:bottom w:val="nil"/>
              <w:right w:val="nil"/>
            </w:tcBorders>
            <w:shd w:val="clear" w:color="auto" w:fill="auto"/>
            <w:noWrap/>
            <w:vAlign w:val="center"/>
            <w:hideMark/>
          </w:tcPr>
          <w:p w14:paraId="49A3AA6B"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30</w:t>
            </w:r>
          </w:p>
        </w:tc>
        <w:tc>
          <w:tcPr>
            <w:tcW w:w="741" w:type="pct"/>
            <w:tcBorders>
              <w:top w:val="nil"/>
              <w:left w:val="nil"/>
              <w:bottom w:val="nil"/>
              <w:right w:val="nil"/>
            </w:tcBorders>
            <w:shd w:val="clear" w:color="auto" w:fill="auto"/>
            <w:noWrap/>
            <w:vAlign w:val="center"/>
            <w:hideMark/>
          </w:tcPr>
          <w:p w14:paraId="26CDAEAD"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1.1</w:t>
            </w:r>
          </w:p>
        </w:tc>
      </w:tr>
      <w:tr w:rsidR="00AC4FFA" w:rsidRPr="00EC4BA6" w14:paraId="3C28B7E3" w14:textId="77777777" w:rsidTr="00FD0567">
        <w:trPr>
          <w:trHeight w:hRule="exact" w:val="225"/>
        </w:trPr>
        <w:tc>
          <w:tcPr>
            <w:tcW w:w="2003" w:type="pct"/>
            <w:tcBorders>
              <w:top w:val="nil"/>
              <w:left w:val="nil"/>
              <w:bottom w:val="nil"/>
              <w:right w:val="nil"/>
            </w:tcBorders>
            <w:shd w:val="clear" w:color="auto" w:fill="auto"/>
            <w:noWrap/>
            <w:vAlign w:val="center"/>
            <w:hideMark/>
          </w:tcPr>
          <w:p w14:paraId="5C44413B" w14:textId="77777777" w:rsidR="00AC4FFA" w:rsidRPr="00EC4BA6" w:rsidRDefault="00AC4FFA" w:rsidP="008F032C">
            <w:pPr>
              <w:spacing w:before="0" w:after="0" w:line="240" w:lineRule="auto"/>
              <w:ind w:left="170"/>
              <w:rPr>
                <w:rFonts w:ascii="Arial" w:hAnsi="Arial" w:cs="Arial"/>
                <w:sz w:val="16"/>
                <w:szCs w:val="16"/>
              </w:rPr>
            </w:pPr>
            <w:r w:rsidRPr="00EC4BA6">
              <w:rPr>
                <w:rFonts w:ascii="Arial" w:hAnsi="Arial" w:cs="Arial"/>
                <w:sz w:val="16"/>
                <w:szCs w:val="16"/>
              </w:rPr>
              <w:t>Spirits</w:t>
            </w:r>
          </w:p>
        </w:tc>
        <w:tc>
          <w:tcPr>
            <w:tcW w:w="728" w:type="pct"/>
            <w:tcBorders>
              <w:top w:val="nil"/>
              <w:left w:val="nil"/>
              <w:bottom w:val="nil"/>
              <w:right w:val="nil"/>
            </w:tcBorders>
            <w:shd w:val="clear" w:color="auto" w:fill="auto"/>
            <w:noWrap/>
            <w:vAlign w:val="center"/>
            <w:hideMark/>
          </w:tcPr>
          <w:p w14:paraId="41874E1F"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3,310</w:t>
            </w:r>
          </w:p>
        </w:tc>
        <w:tc>
          <w:tcPr>
            <w:tcW w:w="728" w:type="pct"/>
            <w:tcBorders>
              <w:top w:val="nil"/>
              <w:left w:val="nil"/>
              <w:bottom w:val="nil"/>
              <w:right w:val="nil"/>
            </w:tcBorders>
            <w:shd w:val="clear" w:color="000000" w:fill="E6F2FF"/>
            <w:noWrap/>
            <w:vAlign w:val="center"/>
            <w:hideMark/>
          </w:tcPr>
          <w:p w14:paraId="7ECCE55B"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3,280</w:t>
            </w:r>
          </w:p>
        </w:tc>
        <w:tc>
          <w:tcPr>
            <w:tcW w:w="58" w:type="pct"/>
            <w:tcBorders>
              <w:top w:val="nil"/>
              <w:left w:val="nil"/>
              <w:bottom w:val="nil"/>
              <w:right w:val="nil"/>
            </w:tcBorders>
            <w:shd w:val="clear" w:color="auto" w:fill="auto"/>
            <w:noWrap/>
            <w:vAlign w:val="center"/>
            <w:hideMark/>
          </w:tcPr>
          <w:p w14:paraId="1587DC0E" w14:textId="77777777" w:rsidR="00AC4FFA" w:rsidRPr="00EC4BA6" w:rsidRDefault="00AC4FFA" w:rsidP="008F032C">
            <w:pPr>
              <w:spacing w:before="0" w:after="0" w:line="240" w:lineRule="auto"/>
              <w:jc w:val="right"/>
              <w:rPr>
                <w:rFonts w:ascii="Arial" w:hAnsi="Arial" w:cs="Arial"/>
                <w:sz w:val="16"/>
                <w:szCs w:val="16"/>
              </w:rPr>
            </w:pPr>
          </w:p>
        </w:tc>
        <w:tc>
          <w:tcPr>
            <w:tcW w:w="741" w:type="pct"/>
            <w:tcBorders>
              <w:top w:val="nil"/>
              <w:left w:val="nil"/>
              <w:bottom w:val="nil"/>
              <w:right w:val="nil"/>
            </w:tcBorders>
            <w:shd w:val="clear" w:color="auto" w:fill="auto"/>
            <w:noWrap/>
            <w:vAlign w:val="center"/>
            <w:hideMark/>
          </w:tcPr>
          <w:p w14:paraId="1811D2A4" w14:textId="69C536B4" w:rsidR="00AC4FFA" w:rsidRPr="00EC4BA6" w:rsidRDefault="001A3DD6" w:rsidP="008F032C">
            <w:pPr>
              <w:spacing w:before="0" w:after="0" w:line="240" w:lineRule="auto"/>
              <w:jc w:val="right"/>
              <w:rPr>
                <w:rFonts w:ascii="Arial" w:hAnsi="Arial" w:cs="Arial"/>
                <w:sz w:val="16"/>
                <w:szCs w:val="16"/>
              </w:rPr>
            </w:pPr>
            <w:r>
              <w:rPr>
                <w:rFonts w:ascii="Arial" w:hAnsi="Arial" w:cs="Arial"/>
                <w:sz w:val="16"/>
                <w:szCs w:val="16"/>
              </w:rPr>
              <w:noBreakHyphen/>
            </w:r>
            <w:r w:rsidR="00AC4FFA" w:rsidRPr="00EC4BA6">
              <w:rPr>
                <w:rFonts w:ascii="Arial" w:hAnsi="Arial" w:cs="Arial"/>
                <w:sz w:val="16"/>
                <w:szCs w:val="16"/>
              </w:rPr>
              <w:t>30</w:t>
            </w:r>
          </w:p>
        </w:tc>
        <w:tc>
          <w:tcPr>
            <w:tcW w:w="741" w:type="pct"/>
            <w:tcBorders>
              <w:top w:val="nil"/>
              <w:left w:val="nil"/>
              <w:bottom w:val="nil"/>
              <w:right w:val="nil"/>
            </w:tcBorders>
            <w:shd w:val="clear" w:color="auto" w:fill="auto"/>
            <w:noWrap/>
            <w:vAlign w:val="center"/>
            <w:hideMark/>
          </w:tcPr>
          <w:p w14:paraId="7ECA90FA" w14:textId="54BC4641" w:rsidR="00AC4FFA" w:rsidRPr="00EC4BA6" w:rsidRDefault="001A3DD6" w:rsidP="008F032C">
            <w:pPr>
              <w:spacing w:before="0" w:after="0" w:line="240" w:lineRule="auto"/>
              <w:jc w:val="right"/>
              <w:rPr>
                <w:rFonts w:ascii="Arial" w:hAnsi="Arial" w:cs="Arial"/>
                <w:sz w:val="16"/>
                <w:szCs w:val="16"/>
              </w:rPr>
            </w:pPr>
            <w:r>
              <w:rPr>
                <w:rFonts w:ascii="Arial" w:hAnsi="Arial" w:cs="Arial"/>
                <w:sz w:val="16"/>
                <w:szCs w:val="16"/>
              </w:rPr>
              <w:noBreakHyphen/>
            </w:r>
            <w:r w:rsidR="00AC4FFA" w:rsidRPr="00EC4BA6">
              <w:rPr>
                <w:rFonts w:ascii="Arial" w:hAnsi="Arial" w:cs="Arial"/>
                <w:sz w:val="16"/>
                <w:szCs w:val="16"/>
              </w:rPr>
              <w:t>0.9</w:t>
            </w:r>
          </w:p>
        </w:tc>
      </w:tr>
      <w:tr w:rsidR="00AC4FFA" w:rsidRPr="00EC4BA6" w14:paraId="1105979D" w14:textId="77777777" w:rsidTr="00FD0567">
        <w:trPr>
          <w:trHeight w:hRule="exact" w:val="225"/>
        </w:trPr>
        <w:tc>
          <w:tcPr>
            <w:tcW w:w="2003" w:type="pct"/>
            <w:tcBorders>
              <w:top w:val="nil"/>
              <w:left w:val="nil"/>
              <w:bottom w:val="nil"/>
              <w:right w:val="nil"/>
            </w:tcBorders>
            <w:shd w:val="clear" w:color="auto" w:fill="auto"/>
            <w:noWrap/>
            <w:vAlign w:val="center"/>
            <w:hideMark/>
          </w:tcPr>
          <w:p w14:paraId="01235D0E" w14:textId="77777777" w:rsidR="00AC4FFA" w:rsidRPr="00EC4BA6" w:rsidRDefault="00AC4FFA" w:rsidP="008F032C">
            <w:pPr>
              <w:spacing w:before="0" w:after="0" w:line="240" w:lineRule="auto"/>
              <w:ind w:left="170"/>
              <w:rPr>
                <w:rFonts w:ascii="Arial" w:hAnsi="Arial" w:cs="Arial"/>
                <w:sz w:val="16"/>
                <w:szCs w:val="16"/>
              </w:rPr>
            </w:pPr>
            <w:r w:rsidRPr="00EC4BA6">
              <w:rPr>
                <w:rFonts w:ascii="Arial" w:hAnsi="Arial" w:cs="Arial"/>
                <w:sz w:val="16"/>
                <w:szCs w:val="16"/>
              </w:rPr>
              <w:t>Other alcoholic beverages(a)</w:t>
            </w:r>
          </w:p>
        </w:tc>
        <w:tc>
          <w:tcPr>
            <w:tcW w:w="728" w:type="pct"/>
            <w:tcBorders>
              <w:top w:val="nil"/>
              <w:left w:val="nil"/>
              <w:bottom w:val="nil"/>
              <w:right w:val="nil"/>
            </w:tcBorders>
            <w:shd w:val="clear" w:color="auto" w:fill="auto"/>
            <w:noWrap/>
            <w:vAlign w:val="center"/>
            <w:hideMark/>
          </w:tcPr>
          <w:p w14:paraId="44B5908B"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1,760</w:t>
            </w:r>
          </w:p>
        </w:tc>
        <w:tc>
          <w:tcPr>
            <w:tcW w:w="728" w:type="pct"/>
            <w:tcBorders>
              <w:top w:val="nil"/>
              <w:left w:val="nil"/>
              <w:bottom w:val="nil"/>
              <w:right w:val="nil"/>
            </w:tcBorders>
            <w:shd w:val="clear" w:color="000000" w:fill="E6F2FF"/>
            <w:noWrap/>
            <w:vAlign w:val="center"/>
            <w:hideMark/>
          </w:tcPr>
          <w:p w14:paraId="0476EFA8"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1,770</w:t>
            </w:r>
          </w:p>
        </w:tc>
        <w:tc>
          <w:tcPr>
            <w:tcW w:w="58" w:type="pct"/>
            <w:tcBorders>
              <w:top w:val="nil"/>
              <w:left w:val="nil"/>
              <w:bottom w:val="nil"/>
              <w:right w:val="nil"/>
            </w:tcBorders>
            <w:shd w:val="clear" w:color="auto" w:fill="auto"/>
            <w:noWrap/>
            <w:vAlign w:val="center"/>
            <w:hideMark/>
          </w:tcPr>
          <w:p w14:paraId="61D49FB9" w14:textId="77777777" w:rsidR="00AC4FFA" w:rsidRPr="00EC4BA6" w:rsidRDefault="00AC4FFA" w:rsidP="008F032C">
            <w:pPr>
              <w:spacing w:before="0" w:after="0" w:line="240" w:lineRule="auto"/>
              <w:jc w:val="right"/>
              <w:rPr>
                <w:rFonts w:ascii="Arial" w:hAnsi="Arial" w:cs="Arial"/>
                <w:sz w:val="16"/>
                <w:szCs w:val="16"/>
              </w:rPr>
            </w:pPr>
          </w:p>
        </w:tc>
        <w:tc>
          <w:tcPr>
            <w:tcW w:w="741" w:type="pct"/>
            <w:tcBorders>
              <w:top w:val="nil"/>
              <w:left w:val="nil"/>
              <w:bottom w:val="nil"/>
              <w:right w:val="nil"/>
            </w:tcBorders>
            <w:shd w:val="clear" w:color="auto" w:fill="auto"/>
            <w:noWrap/>
            <w:vAlign w:val="center"/>
            <w:hideMark/>
          </w:tcPr>
          <w:p w14:paraId="3500760B"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10</w:t>
            </w:r>
          </w:p>
        </w:tc>
        <w:tc>
          <w:tcPr>
            <w:tcW w:w="741" w:type="pct"/>
            <w:tcBorders>
              <w:top w:val="nil"/>
              <w:left w:val="nil"/>
              <w:bottom w:val="nil"/>
              <w:right w:val="nil"/>
            </w:tcBorders>
            <w:shd w:val="clear" w:color="auto" w:fill="auto"/>
            <w:noWrap/>
            <w:vAlign w:val="center"/>
            <w:hideMark/>
          </w:tcPr>
          <w:p w14:paraId="6DBD44CE"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0.6</w:t>
            </w:r>
          </w:p>
        </w:tc>
      </w:tr>
      <w:tr w:rsidR="00AC4FFA" w:rsidRPr="00EC4BA6" w14:paraId="6B1441A0" w14:textId="77777777" w:rsidTr="00FD0567">
        <w:trPr>
          <w:trHeight w:hRule="exact" w:val="225"/>
        </w:trPr>
        <w:tc>
          <w:tcPr>
            <w:tcW w:w="2003" w:type="pct"/>
            <w:tcBorders>
              <w:top w:val="nil"/>
              <w:left w:val="nil"/>
              <w:bottom w:val="nil"/>
              <w:right w:val="nil"/>
            </w:tcBorders>
            <w:shd w:val="clear" w:color="auto" w:fill="auto"/>
            <w:noWrap/>
            <w:vAlign w:val="center"/>
            <w:hideMark/>
          </w:tcPr>
          <w:p w14:paraId="1E96106B" w14:textId="77777777" w:rsidR="00AC4FFA" w:rsidRPr="00EC4BA6" w:rsidRDefault="00AC4FFA" w:rsidP="008F032C">
            <w:pPr>
              <w:spacing w:before="0" w:after="0" w:line="240" w:lineRule="auto"/>
              <w:ind w:left="170"/>
              <w:rPr>
                <w:rFonts w:ascii="Arial" w:hAnsi="Arial" w:cs="Arial"/>
                <w:sz w:val="16"/>
                <w:szCs w:val="16"/>
              </w:rPr>
            </w:pPr>
            <w:r w:rsidRPr="00EC4BA6">
              <w:rPr>
                <w:rFonts w:ascii="Arial" w:hAnsi="Arial" w:cs="Arial"/>
                <w:sz w:val="16"/>
                <w:szCs w:val="16"/>
              </w:rPr>
              <w:t>Other customs duty</w:t>
            </w:r>
          </w:p>
        </w:tc>
        <w:tc>
          <w:tcPr>
            <w:tcW w:w="728" w:type="pct"/>
            <w:tcBorders>
              <w:top w:val="nil"/>
              <w:left w:val="nil"/>
              <w:bottom w:val="nil"/>
              <w:right w:val="nil"/>
            </w:tcBorders>
            <w:shd w:val="clear" w:color="auto" w:fill="auto"/>
            <w:noWrap/>
            <w:vAlign w:val="center"/>
            <w:hideMark/>
          </w:tcPr>
          <w:p w14:paraId="7E009D0D" w14:textId="77777777" w:rsidR="00AC4FFA" w:rsidRPr="00EC4BA6" w:rsidRDefault="00AC4FFA" w:rsidP="008F032C">
            <w:pPr>
              <w:spacing w:before="0" w:after="0" w:line="240" w:lineRule="auto"/>
              <w:ind w:firstLineChars="100" w:firstLine="160"/>
              <w:rPr>
                <w:rFonts w:ascii="Arial" w:hAnsi="Arial" w:cs="Arial"/>
                <w:sz w:val="16"/>
                <w:szCs w:val="16"/>
              </w:rPr>
            </w:pPr>
          </w:p>
        </w:tc>
        <w:tc>
          <w:tcPr>
            <w:tcW w:w="728" w:type="pct"/>
            <w:tcBorders>
              <w:top w:val="nil"/>
              <w:left w:val="nil"/>
              <w:bottom w:val="nil"/>
              <w:right w:val="nil"/>
            </w:tcBorders>
            <w:shd w:val="clear" w:color="000000" w:fill="E6F2FF"/>
            <w:noWrap/>
            <w:vAlign w:val="center"/>
            <w:hideMark/>
          </w:tcPr>
          <w:p w14:paraId="78960729" w14:textId="77777777" w:rsidR="00AC4FFA" w:rsidRPr="00EC4BA6" w:rsidRDefault="00AC4FFA" w:rsidP="008F032C">
            <w:pPr>
              <w:spacing w:before="0" w:after="0" w:line="240" w:lineRule="auto"/>
              <w:rPr>
                <w:rFonts w:ascii="Arial" w:hAnsi="Arial" w:cs="Arial"/>
                <w:sz w:val="16"/>
                <w:szCs w:val="16"/>
              </w:rPr>
            </w:pPr>
            <w:r w:rsidRPr="00EC4BA6">
              <w:rPr>
                <w:rFonts w:ascii="Arial" w:hAnsi="Arial" w:cs="Arial"/>
                <w:sz w:val="16"/>
                <w:szCs w:val="16"/>
              </w:rPr>
              <w:t> </w:t>
            </w:r>
          </w:p>
        </w:tc>
        <w:tc>
          <w:tcPr>
            <w:tcW w:w="58" w:type="pct"/>
            <w:tcBorders>
              <w:top w:val="nil"/>
              <w:left w:val="nil"/>
              <w:bottom w:val="nil"/>
              <w:right w:val="nil"/>
            </w:tcBorders>
            <w:shd w:val="clear" w:color="auto" w:fill="auto"/>
            <w:noWrap/>
            <w:vAlign w:val="center"/>
            <w:hideMark/>
          </w:tcPr>
          <w:p w14:paraId="2E9DB172" w14:textId="77777777" w:rsidR="00AC4FFA" w:rsidRPr="00EC4BA6" w:rsidRDefault="00AC4FFA" w:rsidP="008F032C">
            <w:pPr>
              <w:spacing w:before="0" w:after="0" w:line="240" w:lineRule="auto"/>
              <w:rPr>
                <w:rFonts w:ascii="Arial" w:hAnsi="Arial" w:cs="Arial"/>
                <w:sz w:val="16"/>
                <w:szCs w:val="16"/>
              </w:rPr>
            </w:pPr>
          </w:p>
        </w:tc>
        <w:tc>
          <w:tcPr>
            <w:tcW w:w="741" w:type="pct"/>
            <w:tcBorders>
              <w:top w:val="nil"/>
              <w:left w:val="nil"/>
              <w:bottom w:val="nil"/>
              <w:right w:val="nil"/>
            </w:tcBorders>
            <w:shd w:val="clear" w:color="auto" w:fill="auto"/>
            <w:noWrap/>
            <w:vAlign w:val="center"/>
            <w:hideMark/>
          </w:tcPr>
          <w:p w14:paraId="72AD3E80" w14:textId="77777777" w:rsidR="00AC4FFA" w:rsidRPr="00EC4BA6" w:rsidRDefault="00AC4FFA" w:rsidP="008F032C">
            <w:pPr>
              <w:spacing w:before="0" w:after="0" w:line="240" w:lineRule="auto"/>
              <w:jc w:val="right"/>
              <w:rPr>
                <w:rFonts w:ascii="Times New Roman" w:hAnsi="Times New Roman"/>
                <w:sz w:val="20"/>
              </w:rPr>
            </w:pPr>
          </w:p>
        </w:tc>
        <w:tc>
          <w:tcPr>
            <w:tcW w:w="741" w:type="pct"/>
            <w:tcBorders>
              <w:top w:val="nil"/>
              <w:left w:val="nil"/>
              <w:bottom w:val="nil"/>
              <w:right w:val="nil"/>
            </w:tcBorders>
            <w:shd w:val="clear" w:color="auto" w:fill="auto"/>
            <w:noWrap/>
            <w:vAlign w:val="center"/>
            <w:hideMark/>
          </w:tcPr>
          <w:p w14:paraId="7B439767" w14:textId="77777777" w:rsidR="00AC4FFA" w:rsidRPr="00EC4BA6" w:rsidRDefault="00AC4FFA" w:rsidP="008F032C">
            <w:pPr>
              <w:spacing w:before="0" w:after="0" w:line="240" w:lineRule="auto"/>
              <w:jc w:val="right"/>
              <w:rPr>
                <w:rFonts w:ascii="Times New Roman" w:hAnsi="Times New Roman"/>
                <w:sz w:val="20"/>
              </w:rPr>
            </w:pPr>
          </w:p>
        </w:tc>
      </w:tr>
      <w:tr w:rsidR="00AC4FFA" w:rsidRPr="00EC4BA6" w14:paraId="3813D031" w14:textId="77777777" w:rsidTr="00FD0567">
        <w:trPr>
          <w:trHeight w:hRule="exact" w:val="225"/>
        </w:trPr>
        <w:tc>
          <w:tcPr>
            <w:tcW w:w="2003" w:type="pct"/>
            <w:tcBorders>
              <w:top w:val="nil"/>
              <w:left w:val="nil"/>
              <w:bottom w:val="nil"/>
              <w:right w:val="nil"/>
            </w:tcBorders>
            <w:shd w:val="clear" w:color="auto" w:fill="auto"/>
            <w:noWrap/>
            <w:vAlign w:val="bottom"/>
            <w:hideMark/>
          </w:tcPr>
          <w:p w14:paraId="03269708" w14:textId="77777777" w:rsidR="00AC4FFA" w:rsidRPr="00EC4BA6" w:rsidRDefault="00AC4FFA" w:rsidP="008F032C">
            <w:pPr>
              <w:spacing w:before="0" w:after="0" w:line="240" w:lineRule="auto"/>
              <w:ind w:left="170"/>
              <w:rPr>
                <w:rFonts w:ascii="Arial" w:hAnsi="Arial" w:cs="Arial"/>
                <w:sz w:val="16"/>
                <w:szCs w:val="16"/>
              </w:rPr>
            </w:pPr>
            <w:r w:rsidRPr="00EC4BA6">
              <w:rPr>
                <w:rFonts w:ascii="Arial" w:hAnsi="Arial" w:cs="Arial"/>
                <w:sz w:val="16"/>
                <w:szCs w:val="16"/>
              </w:rPr>
              <w:t xml:space="preserve">    Textiles, clothing and footwear</w:t>
            </w:r>
          </w:p>
        </w:tc>
        <w:tc>
          <w:tcPr>
            <w:tcW w:w="728" w:type="pct"/>
            <w:tcBorders>
              <w:top w:val="nil"/>
              <w:left w:val="nil"/>
              <w:bottom w:val="nil"/>
              <w:right w:val="nil"/>
            </w:tcBorders>
            <w:shd w:val="clear" w:color="auto" w:fill="auto"/>
            <w:noWrap/>
            <w:vAlign w:val="center"/>
            <w:hideMark/>
          </w:tcPr>
          <w:p w14:paraId="7A7CC3C7"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170</w:t>
            </w:r>
          </w:p>
        </w:tc>
        <w:tc>
          <w:tcPr>
            <w:tcW w:w="728" w:type="pct"/>
            <w:tcBorders>
              <w:top w:val="nil"/>
              <w:left w:val="nil"/>
              <w:bottom w:val="nil"/>
              <w:right w:val="nil"/>
            </w:tcBorders>
            <w:shd w:val="clear" w:color="000000" w:fill="E6F2FF"/>
            <w:noWrap/>
            <w:vAlign w:val="center"/>
            <w:hideMark/>
          </w:tcPr>
          <w:p w14:paraId="1F6F9A24"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160</w:t>
            </w:r>
          </w:p>
        </w:tc>
        <w:tc>
          <w:tcPr>
            <w:tcW w:w="58" w:type="pct"/>
            <w:tcBorders>
              <w:top w:val="nil"/>
              <w:left w:val="nil"/>
              <w:bottom w:val="nil"/>
              <w:right w:val="nil"/>
            </w:tcBorders>
            <w:shd w:val="clear" w:color="auto" w:fill="auto"/>
            <w:noWrap/>
            <w:vAlign w:val="center"/>
            <w:hideMark/>
          </w:tcPr>
          <w:p w14:paraId="17791067" w14:textId="77777777" w:rsidR="00AC4FFA" w:rsidRPr="00EC4BA6" w:rsidRDefault="00AC4FFA" w:rsidP="008F032C">
            <w:pPr>
              <w:spacing w:before="0" w:after="0" w:line="240" w:lineRule="auto"/>
              <w:jc w:val="right"/>
              <w:rPr>
                <w:rFonts w:ascii="Arial" w:hAnsi="Arial" w:cs="Arial"/>
                <w:sz w:val="16"/>
                <w:szCs w:val="16"/>
              </w:rPr>
            </w:pPr>
          </w:p>
        </w:tc>
        <w:tc>
          <w:tcPr>
            <w:tcW w:w="741" w:type="pct"/>
            <w:tcBorders>
              <w:top w:val="nil"/>
              <w:left w:val="nil"/>
              <w:bottom w:val="nil"/>
              <w:right w:val="nil"/>
            </w:tcBorders>
            <w:shd w:val="clear" w:color="auto" w:fill="auto"/>
            <w:noWrap/>
            <w:vAlign w:val="center"/>
            <w:hideMark/>
          </w:tcPr>
          <w:p w14:paraId="1A76F12C" w14:textId="0FA274C8" w:rsidR="00AC4FFA" w:rsidRPr="00EC4BA6" w:rsidRDefault="001A3DD6" w:rsidP="008F032C">
            <w:pPr>
              <w:spacing w:before="0" w:after="0" w:line="240" w:lineRule="auto"/>
              <w:jc w:val="right"/>
              <w:rPr>
                <w:rFonts w:ascii="Arial" w:hAnsi="Arial" w:cs="Arial"/>
                <w:sz w:val="16"/>
                <w:szCs w:val="16"/>
              </w:rPr>
            </w:pPr>
            <w:r>
              <w:rPr>
                <w:rFonts w:ascii="Arial" w:hAnsi="Arial" w:cs="Arial"/>
                <w:sz w:val="16"/>
                <w:szCs w:val="16"/>
              </w:rPr>
              <w:noBreakHyphen/>
            </w:r>
            <w:r w:rsidR="00AC4FFA" w:rsidRPr="00EC4BA6">
              <w:rPr>
                <w:rFonts w:ascii="Arial" w:hAnsi="Arial" w:cs="Arial"/>
                <w:sz w:val="16"/>
                <w:szCs w:val="16"/>
              </w:rPr>
              <w:t>10</w:t>
            </w:r>
          </w:p>
        </w:tc>
        <w:tc>
          <w:tcPr>
            <w:tcW w:w="741" w:type="pct"/>
            <w:tcBorders>
              <w:top w:val="nil"/>
              <w:left w:val="nil"/>
              <w:bottom w:val="nil"/>
              <w:right w:val="nil"/>
            </w:tcBorders>
            <w:shd w:val="clear" w:color="auto" w:fill="auto"/>
            <w:noWrap/>
            <w:vAlign w:val="center"/>
            <w:hideMark/>
          </w:tcPr>
          <w:p w14:paraId="600EEFD6" w14:textId="0F62D003" w:rsidR="00AC4FFA" w:rsidRPr="00EC4BA6" w:rsidRDefault="001A3DD6" w:rsidP="008F032C">
            <w:pPr>
              <w:spacing w:before="0" w:after="0" w:line="240" w:lineRule="auto"/>
              <w:jc w:val="right"/>
              <w:rPr>
                <w:rFonts w:ascii="Arial" w:hAnsi="Arial" w:cs="Arial"/>
                <w:sz w:val="16"/>
                <w:szCs w:val="16"/>
              </w:rPr>
            </w:pPr>
            <w:r>
              <w:rPr>
                <w:rFonts w:ascii="Arial" w:hAnsi="Arial" w:cs="Arial"/>
                <w:sz w:val="16"/>
                <w:szCs w:val="16"/>
              </w:rPr>
              <w:noBreakHyphen/>
            </w:r>
            <w:r w:rsidR="00AC4FFA" w:rsidRPr="00EC4BA6">
              <w:rPr>
                <w:rFonts w:ascii="Arial" w:hAnsi="Arial" w:cs="Arial"/>
                <w:sz w:val="16"/>
                <w:szCs w:val="16"/>
              </w:rPr>
              <w:t>5.9</w:t>
            </w:r>
          </w:p>
        </w:tc>
      </w:tr>
      <w:tr w:rsidR="00AC4FFA" w:rsidRPr="00EC4BA6" w14:paraId="76CF5B56" w14:textId="77777777" w:rsidTr="00FD0567">
        <w:trPr>
          <w:trHeight w:hRule="exact" w:val="225"/>
        </w:trPr>
        <w:tc>
          <w:tcPr>
            <w:tcW w:w="2003" w:type="pct"/>
            <w:tcBorders>
              <w:top w:val="nil"/>
              <w:left w:val="nil"/>
              <w:bottom w:val="nil"/>
              <w:right w:val="nil"/>
            </w:tcBorders>
            <w:shd w:val="clear" w:color="auto" w:fill="auto"/>
            <w:noWrap/>
            <w:vAlign w:val="bottom"/>
            <w:hideMark/>
          </w:tcPr>
          <w:p w14:paraId="6B26AD68" w14:textId="77777777" w:rsidR="00AC4FFA" w:rsidRPr="00EC4BA6" w:rsidRDefault="00AC4FFA" w:rsidP="008F032C">
            <w:pPr>
              <w:spacing w:before="0" w:after="0" w:line="240" w:lineRule="auto"/>
              <w:ind w:left="170"/>
              <w:rPr>
                <w:rFonts w:ascii="Arial" w:hAnsi="Arial" w:cs="Arial"/>
                <w:sz w:val="16"/>
                <w:szCs w:val="16"/>
              </w:rPr>
            </w:pPr>
            <w:r w:rsidRPr="00EC4BA6">
              <w:rPr>
                <w:rFonts w:ascii="Arial" w:hAnsi="Arial" w:cs="Arial"/>
                <w:sz w:val="16"/>
                <w:szCs w:val="16"/>
              </w:rPr>
              <w:t xml:space="preserve">    Passenger motor vehicles</w:t>
            </w:r>
          </w:p>
        </w:tc>
        <w:tc>
          <w:tcPr>
            <w:tcW w:w="728" w:type="pct"/>
            <w:tcBorders>
              <w:top w:val="nil"/>
              <w:left w:val="nil"/>
              <w:bottom w:val="nil"/>
              <w:right w:val="nil"/>
            </w:tcBorders>
            <w:shd w:val="clear" w:color="auto" w:fill="auto"/>
            <w:noWrap/>
            <w:vAlign w:val="center"/>
            <w:hideMark/>
          </w:tcPr>
          <w:p w14:paraId="45D7652B"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380</w:t>
            </w:r>
          </w:p>
        </w:tc>
        <w:tc>
          <w:tcPr>
            <w:tcW w:w="728" w:type="pct"/>
            <w:tcBorders>
              <w:top w:val="nil"/>
              <w:left w:val="nil"/>
              <w:bottom w:val="nil"/>
              <w:right w:val="nil"/>
            </w:tcBorders>
            <w:shd w:val="clear" w:color="000000" w:fill="E6F2FF"/>
            <w:noWrap/>
            <w:vAlign w:val="center"/>
            <w:hideMark/>
          </w:tcPr>
          <w:p w14:paraId="7350FC28"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380</w:t>
            </w:r>
          </w:p>
        </w:tc>
        <w:tc>
          <w:tcPr>
            <w:tcW w:w="58" w:type="pct"/>
            <w:tcBorders>
              <w:top w:val="nil"/>
              <w:left w:val="nil"/>
              <w:bottom w:val="nil"/>
              <w:right w:val="nil"/>
            </w:tcBorders>
            <w:shd w:val="clear" w:color="auto" w:fill="auto"/>
            <w:noWrap/>
            <w:vAlign w:val="center"/>
            <w:hideMark/>
          </w:tcPr>
          <w:p w14:paraId="04E68D0F" w14:textId="77777777" w:rsidR="00AC4FFA" w:rsidRPr="00EC4BA6" w:rsidRDefault="00AC4FFA" w:rsidP="008F032C">
            <w:pPr>
              <w:spacing w:before="0" w:after="0" w:line="240" w:lineRule="auto"/>
              <w:jc w:val="right"/>
              <w:rPr>
                <w:rFonts w:ascii="Arial" w:hAnsi="Arial" w:cs="Arial"/>
                <w:sz w:val="16"/>
                <w:szCs w:val="16"/>
              </w:rPr>
            </w:pPr>
          </w:p>
        </w:tc>
        <w:tc>
          <w:tcPr>
            <w:tcW w:w="741" w:type="pct"/>
            <w:tcBorders>
              <w:top w:val="nil"/>
              <w:left w:val="nil"/>
              <w:bottom w:val="nil"/>
              <w:right w:val="nil"/>
            </w:tcBorders>
            <w:shd w:val="clear" w:color="auto" w:fill="auto"/>
            <w:noWrap/>
            <w:vAlign w:val="center"/>
            <w:hideMark/>
          </w:tcPr>
          <w:p w14:paraId="1BBE3C1D"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0</w:t>
            </w:r>
          </w:p>
        </w:tc>
        <w:tc>
          <w:tcPr>
            <w:tcW w:w="741" w:type="pct"/>
            <w:tcBorders>
              <w:top w:val="nil"/>
              <w:left w:val="nil"/>
              <w:bottom w:val="nil"/>
              <w:right w:val="nil"/>
            </w:tcBorders>
            <w:shd w:val="clear" w:color="auto" w:fill="auto"/>
            <w:noWrap/>
            <w:vAlign w:val="center"/>
            <w:hideMark/>
          </w:tcPr>
          <w:p w14:paraId="6C14D8D5"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0.0</w:t>
            </w:r>
          </w:p>
        </w:tc>
      </w:tr>
      <w:tr w:rsidR="00AC4FFA" w:rsidRPr="00EC4BA6" w14:paraId="42ED0926" w14:textId="77777777" w:rsidTr="00FD0567">
        <w:trPr>
          <w:trHeight w:hRule="exact" w:val="225"/>
        </w:trPr>
        <w:tc>
          <w:tcPr>
            <w:tcW w:w="2003" w:type="pct"/>
            <w:tcBorders>
              <w:top w:val="nil"/>
              <w:left w:val="nil"/>
              <w:bottom w:val="nil"/>
              <w:right w:val="nil"/>
            </w:tcBorders>
            <w:shd w:val="clear" w:color="auto" w:fill="auto"/>
            <w:noWrap/>
            <w:vAlign w:val="center"/>
            <w:hideMark/>
          </w:tcPr>
          <w:p w14:paraId="0BEFEB1B" w14:textId="77777777" w:rsidR="00AC4FFA" w:rsidRPr="00EC4BA6" w:rsidRDefault="00AC4FFA" w:rsidP="008F032C">
            <w:pPr>
              <w:spacing w:before="0" w:after="0" w:line="240" w:lineRule="auto"/>
              <w:ind w:left="170"/>
              <w:rPr>
                <w:rFonts w:ascii="Arial" w:hAnsi="Arial" w:cs="Arial"/>
                <w:sz w:val="16"/>
                <w:szCs w:val="16"/>
              </w:rPr>
            </w:pPr>
            <w:r w:rsidRPr="00EC4BA6">
              <w:rPr>
                <w:rFonts w:ascii="Arial" w:hAnsi="Arial" w:cs="Arial"/>
                <w:sz w:val="16"/>
                <w:szCs w:val="16"/>
              </w:rPr>
              <w:t xml:space="preserve">    Other imports</w:t>
            </w:r>
          </w:p>
        </w:tc>
        <w:tc>
          <w:tcPr>
            <w:tcW w:w="728" w:type="pct"/>
            <w:tcBorders>
              <w:top w:val="nil"/>
              <w:left w:val="nil"/>
              <w:bottom w:val="nil"/>
              <w:right w:val="nil"/>
            </w:tcBorders>
            <w:shd w:val="clear" w:color="auto" w:fill="auto"/>
            <w:noWrap/>
            <w:vAlign w:val="center"/>
            <w:hideMark/>
          </w:tcPr>
          <w:p w14:paraId="0E1B1DD7"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1,560</w:t>
            </w:r>
          </w:p>
        </w:tc>
        <w:tc>
          <w:tcPr>
            <w:tcW w:w="728" w:type="pct"/>
            <w:tcBorders>
              <w:top w:val="nil"/>
              <w:left w:val="nil"/>
              <w:bottom w:val="nil"/>
              <w:right w:val="nil"/>
            </w:tcBorders>
            <w:shd w:val="clear" w:color="000000" w:fill="E6F2FF"/>
            <w:noWrap/>
            <w:vAlign w:val="center"/>
            <w:hideMark/>
          </w:tcPr>
          <w:p w14:paraId="415468F8"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1,560</w:t>
            </w:r>
          </w:p>
        </w:tc>
        <w:tc>
          <w:tcPr>
            <w:tcW w:w="58" w:type="pct"/>
            <w:tcBorders>
              <w:top w:val="nil"/>
              <w:left w:val="nil"/>
              <w:bottom w:val="nil"/>
              <w:right w:val="nil"/>
            </w:tcBorders>
            <w:shd w:val="clear" w:color="auto" w:fill="auto"/>
            <w:noWrap/>
            <w:vAlign w:val="center"/>
            <w:hideMark/>
          </w:tcPr>
          <w:p w14:paraId="5E4BBDD8" w14:textId="77777777" w:rsidR="00AC4FFA" w:rsidRPr="00EC4BA6" w:rsidRDefault="00AC4FFA" w:rsidP="008F032C">
            <w:pPr>
              <w:spacing w:before="0" w:after="0" w:line="240" w:lineRule="auto"/>
              <w:jc w:val="right"/>
              <w:rPr>
                <w:rFonts w:ascii="Arial" w:hAnsi="Arial" w:cs="Arial"/>
                <w:sz w:val="16"/>
                <w:szCs w:val="16"/>
              </w:rPr>
            </w:pPr>
          </w:p>
        </w:tc>
        <w:tc>
          <w:tcPr>
            <w:tcW w:w="741" w:type="pct"/>
            <w:tcBorders>
              <w:top w:val="nil"/>
              <w:left w:val="nil"/>
              <w:bottom w:val="nil"/>
              <w:right w:val="nil"/>
            </w:tcBorders>
            <w:shd w:val="clear" w:color="auto" w:fill="auto"/>
            <w:noWrap/>
            <w:vAlign w:val="center"/>
            <w:hideMark/>
          </w:tcPr>
          <w:p w14:paraId="1ABEF9D0"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0</w:t>
            </w:r>
          </w:p>
        </w:tc>
        <w:tc>
          <w:tcPr>
            <w:tcW w:w="741" w:type="pct"/>
            <w:tcBorders>
              <w:top w:val="nil"/>
              <w:left w:val="nil"/>
              <w:bottom w:val="nil"/>
              <w:right w:val="nil"/>
            </w:tcBorders>
            <w:shd w:val="clear" w:color="auto" w:fill="auto"/>
            <w:noWrap/>
            <w:vAlign w:val="center"/>
            <w:hideMark/>
          </w:tcPr>
          <w:p w14:paraId="2B825B15"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0.0</w:t>
            </w:r>
          </w:p>
        </w:tc>
      </w:tr>
      <w:tr w:rsidR="00AC4FFA" w:rsidRPr="00EC4BA6" w14:paraId="131329CE" w14:textId="77777777" w:rsidTr="00FD0567">
        <w:trPr>
          <w:trHeight w:hRule="exact" w:val="225"/>
        </w:trPr>
        <w:tc>
          <w:tcPr>
            <w:tcW w:w="2003" w:type="pct"/>
            <w:tcBorders>
              <w:top w:val="nil"/>
              <w:left w:val="nil"/>
              <w:bottom w:val="nil"/>
              <w:right w:val="nil"/>
            </w:tcBorders>
            <w:shd w:val="clear" w:color="auto" w:fill="auto"/>
            <w:noWrap/>
            <w:vAlign w:val="bottom"/>
            <w:hideMark/>
          </w:tcPr>
          <w:p w14:paraId="1A84CC73" w14:textId="77777777" w:rsidR="00AC4FFA" w:rsidRPr="00EC4BA6" w:rsidRDefault="00AC4FFA" w:rsidP="008F032C">
            <w:pPr>
              <w:spacing w:before="0" w:after="0" w:line="240" w:lineRule="auto"/>
              <w:ind w:left="170"/>
              <w:rPr>
                <w:rFonts w:ascii="Arial" w:hAnsi="Arial" w:cs="Arial"/>
                <w:i/>
                <w:sz w:val="16"/>
                <w:szCs w:val="16"/>
              </w:rPr>
            </w:pPr>
            <w:r w:rsidRPr="00EC4BA6">
              <w:rPr>
                <w:rFonts w:ascii="Arial" w:hAnsi="Arial" w:cs="Arial"/>
                <w:i/>
                <w:sz w:val="16"/>
                <w:szCs w:val="16"/>
              </w:rPr>
              <w:t xml:space="preserve">less: </w:t>
            </w:r>
            <w:r w:rsidRPr="00EC4BA6">
              <w:rPr>
                <w:rFonts w:ascii="Arial" w:hAnsi="Arial" w:cs="Arial"/>
                <w:sz w:val="16"/>
                <w:szCs w:val="16"/>
              </w:rPr>
              <w:t>Refunds and drawbacks</w:t>
            </w:r>
          </w:p>
        </w:tc>
        <w:tc>
          <w:tcPr>
            <w:tcW w:w="728" w:type="pct"/>
            <w:tcBorders>
              <w:top w:val="nil"/>
              <w:left w:val="nil"/>
              <w:bottom w:val="nil"/>
              <w:right w:val="nil"/>
            </w:tcBorders>
            <w:shd w:val="clear" w:color="auto" w:fill="auto"/>
            <w:noWrap/>
            <w:vAlign w:val="center"/>
            <w:hideMark/>
          </w:tcPr>
          <w:p w14:paraId="73A422DA"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730</w:t>
            </w:r>
          </w:p>
        </w:tc>
        <w:tc>
          <w:tcPr>
            <w:tcW w:w="728" w:type="pct"/>
            <w:tcBorders>
              <w:top w:val="nil"/>
              <w:left w:val="nil"/>
              <w:bottom w:val="nil"/>
              <w:right w:val="nil"/>
            </w:tcBorders>
            <w:shd w:val="clear" w:color="000000" w:fill="E6F2FF"/>
            <w:noWrap/>
            <w:vAlign w:val="center"/>
            <w:hideMark/>
          </w:tcPr>
          <w:p w14:paraId="7ADA058B"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870</w:t>
            </w:r>
          </w:p>
        </w:tc>
        <w:tc>
          <w:tcPr>
            <w:tcW w:w="58" w:type="pct"/>
            <w:tcBorders>
              <w:top w:val="nil"/>
              <w:left w:val="nil"/>
              <w:bottom w:val="nil"/>
              <w:right w:val="nil"/>
            </w:tcBorders>
            <w:shd w:val="clear" w:color="auto" w:fill="auto"/>
            <w:noWrap/>
            <w:vAlign w:val="center"/>
            <w:hideMark/>
          </w:tcPr>
          <w:p w14:paraId="1913AB8C" w14:textId="77777777" w:rsidR="00AC4FFA" w:rsidRPr="00EC4BA6" w:rsidRDefault="00AC4FFA" w:rsidP="008F032C">
            <w:pPr>
              <w:spacing w:before="0" w:after="0" w:line="240" w:lineRule="auto"/>
              <w:jc w:val="right"/>
              <w:rPr>
                <w:rFonts w:ascii="Arial" w:hAnsi="Arial" w:cs="Arial"/>
                <w:sz w:val="16"/>
                <w:szCs w:val="16"/>
              </w:rPr>
            </w:pPr>
          </w:p>
        </w:tc>
        <w:tc>
          <w:tcPr>
            <w:tcW w:w="741" w:type="pct"/>
            <w:tcBorders>
              <w:top w:val="nil"/>
              <w:left w:val="nil"/>
              <w:bottom w:val="nil"/>
              <w:right w:val="nil"/>
            </w:tcBorders>
            <w:shd w:val="clear" w:color="auto" w:fill="auto"/>
            <w:noWrap/>
            <w:vAlign w:val="center"/>
            <w:hideMark/>
          </w:tcPr>
          <w:p w14:paraId="22A8CBB0"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140</w:t>
            </w:r>
          </w:p>
        </w:tc>
        <w:tc>
          <w:tcPr>
            <w:tcW w:w="741" w:type="pct"/>
            <w:tcBorders>
              <w:top w:val="nil"/>
              <w:left w:val="nil"/>
              <w:bottom w:val="nil"/>
              <w:right w:val="nil"/>
            </w:tcBorders>
            <w:shd w:val="clear" w:color="auto" w:fill="auto"/>
            <w:noWrap/>
            <w:vAlign w:val="center"/>
            <w:hideMark/>
          </w:tcPr>
          <w:p w14:paraId="409AF0C2"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19.2</w:t>
            </w:r>
          </w:p>
        </w:tc>
      </w:tr>
      <w:tr w:rsidR="00AC4FFA" w:rsidRPr="00EC4BA6" w14:paraId="38C41536" w14:textId="77777777" w:rsidTr="00FD0567">
        <w:trPr>
          <w:trHeight w:hRule="exact" w:val="225"/>
        </w:trPr>
        <w:tc>
          <w:tcPr>
            <w:tcW w:w="2003" w:type="pct"/>
            <w:tcBorders>
              <w:top w:val="nil"/>
              <w:left w:val="nil"/>
              <w:bottom w:val="nil"/>
              <w:right w:val="nil"/>
            </w:tcBorders>
            <w:shd w:val="clear" w:color="auto" w:fill="auto"/>
            <w:noWrap/>
            <w:vAlign w:val="bottom"/>
            <w:hideMark/>
          </w:tcPr>
          <w:p w14:paraId="613789D1" w14:textId="77777777" w:rsidR="00AC4FFA" w:rsidRPr="00EC4BA6" w:rsidRDefault="00AC4FFA" w:rsidP="008F032C">
            <w:pPr>
              <w:spacing w:before="0" w:after="0" w:line="240" w:lineRule="auto"/>
              <w:rPr>
                <w:rFonts w:ascii="Arial" w:hAnsi="Arial" w:cs="Arial"/>
                <w:sz w:val="16"/>
                <w:szCs w:val="16"/>
              </w:rPr>
            </w:pPr>
            <w:r w:rsidRPr="00EC4BA6">
              <w:rPr>
                <w:rFonts w:ascii="Arial" w:hAnsi="Arial" w:cs="Arial"/>
                <w:sz w:val="16"/>
                <w:szCs w:val="16"/>
              </w:rPr>
              <w:t xml:space="preserve">Total excise and customs duty </w:t>
            </w:r>
          </w:p>
        </w:tc>
        <w:tc>
          <w:tcPr>
            <w:tcW w:w="728" w:type="pct"/>
            <w:tcBorders>
              <w:top w:val="single" w:sz="4" w:space="0" w:color="293F5B"/>
              <w:left w:val="nil"/>
              <w:bottom w:val="nil"/>
              <w:right w:val="nil"/>
            </w:tcBorders>
            <w:shd w:val="clear" w:color="auto" w:fill="auto"/>
            <w:noWrap/>
            <w:vAlign w:val="center"/>
            <w:hideMark/>
          </w:tcPr>
          <w:p w14:paraId="2AAF09CB"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44,630</w:t>
            </w:r>
          </w:p>
        </w:tc>
        <w:tc>
          <w:tcPr>
            <w:tcW w:w="728" w:type="pct"/>
            <w:tcBorders>
              <w:top w:val="single" w:sz="4" w:space="0" w:color="293F5B"/>
              <w:left w:val="nil"/>
              <w:bottom w:val="nil"/>
              <w:right w:val="nil"/>
            </w:tcBorders>
            <w:shd w:val="clear" w:color="000000" w:fill="E6F2FF"/>
            <w:noWrap/>
            <w:vAlign w:val="center"/>
            <w:hideMark/>
          </w:tcPr>
          <w:p w14:paraId="181775AF"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43,110</w:t>
            </w:r>
          </w:p>
        </w:tc>
        <w:tc>
          <w:tcPr>
            <w:tcW w:w="58" w:type="pct"/>
            <w:tcBorders>
              <w:top w:val="nil"/>
              <w:left w:val="nil"/>
              <w:bottom w:val="nil"/>
              <w:right w:val="nil"/>
            </w:tcBorders>
            <w:shd w:val="clear" w:color="auto" w:fill="auto"/>
            <w:noWrap/>
            <w:vAlign w:val="center"/>
            <w:hideMark/>
          </w:tcPr>
          <w:p w14:paraId="570A723F" w14:textId="77777777" w:rsidR="00AC4FFA" w:rsidRPr="00EC4BA6" w:rsidRDefault="00AC4FFA" w:rsidP="008F032C">
            <w:pPr>
              <w:spacing w:before="0" w:after="0" w:line="240" w:lineRule="auto"/>
              <w:jc w:val="right"/>
              <w:rPr>
                <w:rFonts w:ascii="Arial" w:hAnsi="Arial" w:cs="Arial"/>
                <w:sz w:val="16"/>
                <w:szCs w:val="16"/>
              </w:rPr>
            </w:pPr>
          </w:p>
        </w:tc>
        <w:tc>
          <w:tcPr>
            <w:tcW w:w="741" w:type="pct"/>
            <w:tcBorders>
              <w:top w:val="single" w:sz="4" w:space="0" w:color="293F5B"/>
              <w:left w:val="nil"/>
              <w:bottom w:val="nil"/>
              <w:right w:val="nil"/>
            </w:tcBorders>
            <w:shd w:val="clear" w:color="auto" w:fill="auto"/>
            <w:noWrap/>
            <w:vAlign w:val="center"/>
            <w:hideMark/>
          </w:tcPr>
          <w:p w14:paraId="46CDB327" w14:textId="1C2299CC" w:rsidR="00AC4FFA" w:rsidRPr="00EC4BA6" w:rsidRDefault="001A3DD6" w:rsidP="008F032C">
            <w:pPr>
              <w:spacing w:before="0" w:after="0" w:line="240" w:lineRule="auto"/>
              <w:jc w:val="right"/>
              <w:rPr>
                <w:rFonts w:ascii="Arial" w:hAnsi="Arial" w:cs="Arial"/>
                <w:sz w:val="16"/>
                <w:szCs w:val="16"/>
              </w:rPr>
            </w:pPr>
            <w:r>
              <w:rPr>
                <w:rFonts w:ascii="Arial" w:hAnsi="Arial" w:cs="Arial"/>
                <w:sz w:val="16"/>
                <w:szCs w:val="16"/>
              </w:rPr>
              <w:noBreakHyphen/>
            </w:r>
            <w:r w:rsidR="00AC4FFA" w:rsidRPr="00EC4BA6">
              <w:rPr>
                <w:rFonts w:ascii="Arial" w:hAnsi="Arial" w:cs="Arial"/>
                <w:sz w:val="16"/>
                <w:szCs w:val="16"/>
              </w:rPr>
              <w:t>1,520</w:t>
            </w:r>
          </w:p>
        </w:tc>
        <w:tc>
          <w:tcPr>
            <w:tcW w:w="741" w:type="pct"/>
            <w:tcBorders>
              <w:top w:val="single" w:sz="4" w:space="0" w:color="293F5B"/>
              <w:left w:val="nil"/>
              <w:bottom w:val="nil"/>
              <w:right w:val="nil"/>
            </w:tcBorders>
            <w:shd w:val="clear" w:color="auto" w:fill="auto"/>
            <w:noWrap/>
            <w:vAlign w:val="center"/>
            <w:hideMark/>
          </w:tcPr>
          <w:p w14:paraId="5C5EB7F5" w14:textId="30972E63" w:rsidR="00AC4FFA" w:rsidRPr="00EC4BA6" w:rsidRDefault="001A3DD6" w:rsidP="008F032C">
            <w:pPr>
              <w:spacing w:before="0" w:after="0" w:line="240" w:lineRule="auto"/>
              <w:jc w:val="right"/>
              <w:rPr>
                <w:rFonts w:ascii="Arial" w:hAnsi="Arial" w:cs="Arial"/>
                <w:sz w:val="16"/>
                <w:szCs w:val="16"/>
              </w:rPr>
            </w:pPr>
            <w:r>
              <w:rPr>
                <w:rFonts w:ascii="Arial" w:hAnsi="Arial" w:cs="Arial"/>
                <w:sz w:val="16"/>
                <w:szCs w:val="16"/>
              </w:rPr>
              <w:noBreakHyphen/>
            </w:r>
            <w:r w:rsidR="00AC4FFA" w:rsidRPr="00EC4BA6">
              <w:rPr>
                <w:rFonts w:ascii="Arial" w:hAnsi="Arial" w:cs="Arial"/>
                <w:sz w:val="16"/>
                <w:szCs w:val="16"/>
              </w:rPr>
              <w:t>3.4</w:t>
            </w:r>
          </w:p>
        </w:tc>
      </w:tr>
      <w:tr w:rsidR="00AC4FFA" w:rsidRPr="00EC4BA6" w14:paraId="2C543D84" w14:textId="77777777" w:rsidTr="00FD0567">
        <w:trPr>
          <w:trHeight w:hRule="exact" w:val="225"/>
        </w:trPr>
        <w:tc>
          <w:tcPr>
            <w:tcW w:w="2003" w:type="pct"/>
            <w:tcBorders>
              <w:top w:val="nil"/>
              <w:left w:val="nil"/>
              <w:bottom w:val="nil"/>
              <w:right w:val="nil"/>
            </w:tcBorders>
            <w:shd w:val="clear" w:color="auto" w:fill="auto"/>
            <w:noWrap/>
            <w:vAlign w:val="center"/>
            <w:hideMark/>
          </w:tcPr>
          <w:p w14:paraId="556E7EF9" w14:textId="77777777" w:rsidR="00AC4FFA" w:rsidRPr="00EC4BA6" w:rsidRDefault="00AC4FFA" w:rsidP="008F032C">
            <w:pPr>
              <w:spacing w:before="0" w:after="0" w:line="240" w:lineRule="auto"/>
              <w:rPr>
                <w:rFonts w:ascii="Arial" w:hAnsi="Arial" w:cs="Arial"/>
                <w:sz w:val="16"/>
                <w:szCs w:val="16"/>
              </w:rPr>
            </w:pPr>
            <w:r w:rsidRPr="00EC4BA6">
              <w:rPr>
                <w:rFonts w:ascii="Arial" w:hAnsi="Arial" w:cs="Arial"/>
                <w:sz w:val="16"/>
                <w:szCs w:val="16"/>
              </w:rPr>
              <w:t>Major Bank Levy</w:t>
            </w:r>
          </w:p>
        </w:tc>
        <w:tc>
          <w:tcPr>
            <w:tcW w:w="728" w:type="pct"/>
            <w:tcBorders>
              <w:top w:val="nil"/>
              <w:left w:val="nil"/>
              <w:bottom w:val="nil"/>
              <w:right w:val="nil"/>
            </w:tcBorders>
            <w:shd w:val="clear" w:color="auto" w:fill="auto"/>
            <w:noWrap/>
            <w:vAlign w:val="center"/>
            <w:hideMark/>
          </w:tcPr>
          <w:p w14:paraId="0B0A05CE"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1,730</w:t>
            </w:r>
          </w:p>
        </w:tc>
        <w:tc>
          <w:tcPr>
            <w:tcW w:w="728" w:type="pct"/>
            <w:tcBorders>
              <w:top w:val="nil"/>
              <w:left w:val="nil"/>
              <w:bottom w:val="nil"/>
              <w:right w:val="nil"/>
            </w:tcBorders>
            <w:shd w:val="clear" w:color="000000" w:fill="E6F2FF"/>
            <w:noWrap/>
            <w:vAlign w:val="center"/>
            <w:hideMark/>
          </w:tcPr>
          <w:p w14:paraId="1A8D602B"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1,770</w:t>
            </w:r>
          </w:p>
        </w:tc>
        <w:tc>
          <w:tcPr>
            <w:tcW w:w="58" w:type="pct"/>
            <w:tcBorders>
              <w:top w:val="nil"/>
              <w:left w:val="nil"/>
              <w:bottom w:val="nil"/>
              <w:right w:val="nil"/>
            </w:tcBorders>
            <w:shd w:val="clear" w:color="auto" w:fill="auto"/>
            <w:noWrap/>
            <w:vAlign w:val="center"/>
            <w:hideMark/>
          </w:tcPr>
          <w:p w14:paraId="3CAF0B2B" w14:textId="77777777" w:rsidR="00AC4FFA" w:rsidRPr="00EC4BA6" w:rsidRDefault="00AC4FFA" w:rsidP="008F032C">
            <w:pPr>
              <w:spacing w:before="0" w:after="0" w:line="240" w:lineRule="auto"/>
              <w:jc w:val="right"/>
              <w:rPr>
                <w:rFonts w:ascii="Arial" w:hAnsi="Arial" w:cs="Arial"/>
                <w:sz w:val="16"/>
                <w:szCs w:val="16"/>
              </w:rPr>
            </w:pPr>
          </w:p>
        </w:tc>
        <w:tc>
          <w:tcPr>
            <w:tcW w:w="741" w:type="pct"/>
            <w:tcBorders>
              <w:top w:val="nil"/>
              <w:left w:val="nil"/>
              <w:bottom w:val="nil"/>
              <w:right w:val="nil"/>
            </w:tcBorders>
            <w:shd w:val="clear" w:color="auto" w:fill="auto"/>
            <w:noWrap/>
            <w:vAlign w:val="center"/>
            <w:hideMark/>
          </w:tcPr>
          <w:p w14:paraId="224C3748"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40</w:t>
            </w:r>
          </w:p>
        </w:tc>
        <w:tc>
          <w:tcPr>
            <w:tcW w:w="741" w:type="pct"/>
            <w:tcBorders>
              <w:top w:val="nil"/>
              <w:left w:val="nil"/>
              <w:bottom w:val="nil"/>
              <w:right w:val="nil"/>
            </w:tcBorders>
            <w:shd w:val="clear" w:color="auto" w:fill="auto"/>
            <w:noWrap/>
            <w:vAlign w:val="center"/>
            <w:hideMark/>
          </w:tcPr>
          <w:p w14:paraId="60F183A5"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2.3</w:t>
            </w:r>
          </w:p>
        </w:tc>
      </w:tr>
      <w:tr w:rsidR="00AC4FFA" w:rsidRPr="00EC4BA6" w14:paraId="2F5A4697" w14:textId="77777777" w:rsidTr="00FD0567">
        <w:trPr>
          <w:trHeight w:hRule="exact" w:val="225"/>
        </w:trPr>
        <w:tc>
          <w:tcPr>
            <w:tcW w:w="2003" w:type="pct"/>
            <w:tcBorders>
              <w:top w:val="nil"/>
              <w:left w:val="nil"/>
              <w:bottom w:val="nil"/>
              <w:right w:val="nil"/>
            </w:tcBorders>
            <w:shd w:val="clear" w:color="auto" w:fill="auto"/>
            <w:noWrap/>
            <w:vAlign w:val="center"/>
            <w:hideMark/>
          </w:tcPr>
          <w:p w14:paraId="36C8ABFF" w14:textId="77777777" w:rsidR="00AC4FFA" w:rsidRPr="00EC4BA6" w:rsidRDefault="00AC4FFA" w:rsidP="008F032C">
            <w:pPr>
              <w:spacing w:before="0" w:after="0" w:line="240" w:lineRule="auto"/>
              <w:rPr>
                <w:rFonts w:ascii="Arial" w:hAnsi="Arial" w:cs="Arial"/>
                <w:sz w:val="16"/>
                <w:szCs w:val="16"/>
              </w:rPr>
            </w:pPr>
            <w:r w:rsidRPr="00EC4BA6">
              <w:rPr>
                <w:rFonts w:ascii="Arial" w:hAnsi="Arial" w:cs="Arial"/>
                <w:sz w:val="16"/>
                <w:szCs w:val="16"/>
              </w:rPr>
              <w:t>Agricultural levies</w:t>
            </w:r>
          </w:p>
        </w:tc>
        <w:tc>
          <w:tcPr>
            <w:tcW w:w="728" w:type="pct"/>
            <w:tcBorders>
              <w:top w:val="nil"/>
              <w:left w:val="nil"/>
              <w:bottom w:val="nil"/>
              <w:right w:val="nil"/>
            </w:tcBorders>
            <w:shd w:val="clear" w:color="auto" w:fill="auto"/>
            <w:noWrap/>
            <w:vAlign w:val="center"/>
            <w:hideMark/>
          </w:tcPr>
          <w:p w14:paraId="4B7B3492"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678</w:t>
            </w:r>
          </w:p>
        </w:tc>
        <w:tc>
          <w:tcPr>
            <w:tcW w:w="728" w:type="pct"/>
            <w:tcBorders>
              <w:top w:val="nil"/>
              <w:left w:val="nil"/>
              <w:bottom w:val="nil"/>
              <w:right w:val="nil"/>
            </w:tcBorders>
            <w:shd w:val="clear" w:color="000000" w:fill="E6F2FF"/>
            <w:noWrap/>
            <w:vAlign w:val="center"/>
            <w:hideMark/>
          </w:tcPr>
          <w:p w14:paraId="509CA433"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735</w:t>
            </w:r>
          </w:p>
        </w:tc>
        <w:tc>
          <w:tcPr>
            <w:tcW w:w="58" w:type="pct"/>
            <w:tcBorders>
              <w:top w:val="nil"/>
              <w:left w:val="nil"/>
              <w:bottom w:val="nil"/>
              <w:right w:val="nil"/>
            </w:tcBorders>
            <w:shd w:val="clear" w:color="auto" w:fill="auto"/>
            <w:noWrap/>
            <w:vAlign w:val="center"/>
            <w:hideMark/>
          </w:tcPr>
          <w:p w14:paraId="2454063B" w14:textId="77777777" w:rsidR="00AC4FFA" w:rsidRPr="00EC4BA6" w:rsidRDefault="00AC4FFA" w:rsidP="008F032C">
            <w:pPr>
              <w:spacing w:before="0" w:after="0" w:line="240" w:lineRule="auto"/>
              <w:jc w:val="right"/>
              <w:rPr>
                <w:rFonts w:ascii="Arial" w:hAnsi="Arial" w:cs="Arial"/>
                <w:sz w:val="16"/>
                <w:szCs w:val="16"/>
              </w:rPr>
            </w:pPr>
          </w:p>
        </w:tc>
        <w:tc>
          <w:tcPr>
            <w:tcW w:w="741" w:type="pct"/>
            <w:tcBorders>
              <w:top w:val="nil"/>
              <w:left w:val="nil"/>
              <w:bottom w:val="nil"/>
              <w:right w:val="nil"/>
            </w:tcBorders>
            <w:shd w:val="clear" w:color="auto" w:fill="auto"/>
            <w:noWrap/>
            <w:vAlign w:val="center"/>
            <w:hideMark/>
          </w:tcPr>
          <w:p w14:paraId="467FC6C5"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57</w:t>
            </w:r>
          </w:p>
        </w:tc>
        <w:tc>
          <w:tcPr>
            <w:tcW w:w="741" w:type="pct"/>
            <w:tcBorders>
              <w:top w:val="nil"/>
              <w:left w:val="nil"/>
              <w:bottom w:val="nil"/>
              <w:right w:val="nil"/>
            </w:tcBorders>
            <w:shd w:val="clear" w:color="auto" w:fill="auto"/>
            <w:noWrap/>
            <w:vAlign w:val="center"/>
            <w:hideMark/>
          </w:tcPr>
          <w:p w14:paraId="2EF95C64"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8.4</w:t>
            </w:r>
          </w:p>
        </w:tc>
      </w:tr>
      <w:tr w:rsidR="00AC4FFA" w:rsidRPr="00EC4BA6" w14:paraId="5BDFBA65" w14:textId="77777777" w:rsidTr="00FD0567">
        <w:trPr>
          <w:trHeight w:hRule="exact" w:val="225"/>
        </w:trPr>
        <w:tc>
          <w:tcPr>
            <w:tcW w:w="2003" w:type="pct"/>
            <w:tcBorders>
              <w:top w:val="nil"/>
              <w:left w:val="nil"/>
              <w:bottom w:val="nil"/>
              <w:right w:val="nil"/>
            </w:tcBorders>
            <w:shd w:val="clear" w:color="auto" w:fill="auto"/>
            <w:noWrap/>
            <w:vAlign w:val="center"/>
            <w:hideMark/>
          </w:tcPr>
          <w:p w14:paraId="3552D5AA" w14:textId="77777777" w:rsidR="00AC4FFA" w:rsidRPr="00EC4BA6" w:rsidRDefault="00AC4FFA" w:rsidP="008F032C">
            <w:pPr>
              <w:spacing w:before="0" w:after="0" w:line="240" w:lineRule="auto"/>
              <w:rPr>
                <w:rFonts w:ascii="Arial" w:hAnsi="Arial" w:cs="Arial"/>
                <w:sz w:val="16"/>
                <w:szCs w:val="16"/>
              </w:rPr>
            </w:pPr>
            <w:r w:rsidRPr="00EC4BA6">
              <w:rPr>
                <w:rFonts w:ascii="Arial" w:hAnsi="Arial" w:cs="Arial"/>
                <w:sz w:val="16"/>
                <w:szCs w:val="16"/>
              </w:rPr>
              <w:t>Visa application charges</w:t>
            </w:r>
          </w:p>
        </w:tc>
        <w:tc>
          <w:tcPr>
            <w:tcW w:w="728" w:type="pct"/>
            <w:tcBorders>
              <w:top w:val="nil"/>
              <w:left w:val="nil"/>
              <w:bottom w:val="nil"/>
              <w:right w:val="nil"/>
            </w:tcBorders>
            <w:shd w:val="clear" w:color="auto" w:fill="auto"/>
            <w:noWrap/>
            <w:vAlign w:val="center"/>
            <w:hideMark/>
          </w:tcPr>
          <w:p w14:paraId="45DBA72F"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4,147</w:t>
            </w:r>
          </w:p>
        </w:tc>
        <w:tc>
          <w:tcPr>
            <w:tcW w:w="728" w:type="pct"/>
            <w:tcBorders>
              <w:top w:val="nil"/>
              <w:left w:val="nil"/>
              <w:bottom w:val="nil"/>
              <w:right w:val="nil"/>
            </w:tcBorders>
            <w:shd w:val="clear" w:color="000000" w:fill="E6F2FF"/>
            <w:noWrap/>
            <w:vAlign w:val="center"/>
            <w:hideMark/>
          </w:tcPr>
          <w:p w14:paraId="16A99A68"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4,129</w:t>
            </w:r>
          </w:p>
        </w:tc>
        <w:tc>
          <w:tcPr>
            <w:tcW w:w="58" w:type="pct"/>
            <w:tcBorders>
              <w:top w:val="nil"/>
              <w:left w:val="nil"/>
              <w:bottom w:val="nil"/>
              <w:right w:val="nil"/>
            </w:tcBorders>
            <w:shd w:val="clear" w:color="auto" w:fill="auto"/>
            <w:noWrap/>
            <w:vAlign w:val="center"/>
            <w:hideMark/>
          </w:tcPr>
          <w:p w14:paraId="03954394" w14:textId="77777777" w:rsidR="00AC4FFA" w:rsidRPr="00EC4BA6" w:rsidRDefault="00AC4FFA" w:rsidP="008F032C">
            <w:pPr>
              <w:spacing w:before="0" w:after="0" w:line="240" w:lineRule="auto"/>
              <w:jc w:val="right"/>
              <w:rPr>
                <w:rFonts w:ascii="Arial" w:hAnsi="Arial" w:cs="Arial"/>
                <w:sz w:val="16"/>
                <w:szCs w:val="16"/>
              </w:rPr>
            </w:pPr>
          </w:p>
        </w:tc>
        <w:tc>
          <w:tcPr>
            <w:tcW w:w="741" w:type="pct"/>
            <w:tcBorders>
              <w:top w:val="nil"/>
              <w:left w:val="nil"/>
              <w:bottom w:val="nil"/>
              <w:right w:val="nil"/>
            </w:tcBorders>
            <w:shd w:val="clear" w:color="auto" w:fill="auto"/>
            <w:noWrap/>
            <w:vAlign w:val="center"/>
            <w:hideMark/>
          </w:tcPr>
          <w:p w14:paraId="104E364C" w14:textId="2530E945" w:rsidR="00AC4FFA" w:rsidRPr="00EC4BA6" w:rsidRDefault="001A3DD6" w:rsidP="008F032C">
            <w:pPr>
              <w:spacing w:before="0" w:after="0" w:line="240" w:lineRule="auto"/>
              <w:jc w:val="right"/>
              <w:rPr>
                <w:rFonts w:ascii="Arial" w:hAnsi="Arial" w:cs="Arial"/>
                <w:sz w:val="16"/>
                <w:szCs w:val="16"/>
              </w:rPr>
            </w:pPr>
            <w:r>
              <w:rPr>
                <w:rFonts w:ascii="Arial" w:hAnsi="Arial" w:cs="Arial"/>
                <w:sz w:val="16"/>
                <w:szCs w:val="16"/>
              </w:rPr>
              <w:noBreakHyphen/>
            </w:r>
            <w:r w:rsidR="00AC4FFA" w:rsidRPr="00EC4BA6">
              <w:rPr>
                <w:rFonts w:ascii="Arial" w:hAnsi="Arial" w:cs="Arial"/>
                <w:sz w:val="16"/>
                <w:szCs w:val="16"/>
              </w:rPr>
              <w:t>18</w:t>
            </w:r>
          </w:p>
        </w:tc>
        <w:tc>
          <w:tcPr>
            <w:tcW w:w="741" w:type="pct"/>
            <w:tcBorders>
              <w:top w:val="nil"/>
              <w:left w:val="nil"/>
              <w:bottom w:val="nil"/>
              <w:right w:val="nil"/>
            </w:tcBorders>
            <w:shd w:val="clear" w:color="auto" w:fill="auto"/>
            <w:noWrap/>
            <w:vAlign w:val="center"/>
            <w:hideMark/>
          </w:tcPr>
          <w:p w14:paraId="2385B78F" w14:textId="06E65C76" w:rsidR="00AC4FFA" w:rsidRPr="00EC4BA6" w:rsidRDefault="001A3DD6" w:rsidP="008F032C">
            <w:pPr>
              <w:spacing w:before="0" w:after="0" w:line="240" w:lineRule="auto"/>
              <w:jc w:val="right"/>
              <w:rPr>
                <w:rFonts w:ascii="Arial" w:hAnsi="Arial" w:cs="Arial"/>
                <w:sz w:val="16"/>
                <w:szCs w:val="16"/>
              </w:rPr>
            </w:pPr>
            <w:r>
              <w:rPr>
                <w:rFonts w:ascii="Arial" w:hAnsi="Arial" w:cs="Arial"/>
                <w:sz w:val="16"/>
                <w:szCs w:val="16"/>
              </w:rPr>
              <w:noBreakHyphen/>
            </w:r>
            <w:r w:rsidR="00AC4FFA" w:rsidRPr="00EC4BA6">
              <w:rPr>
                <w:rFonts w:ascii="Arial" w:hAnsi="Arial" w:cs="Arial"/>
                <w:sz w:val="16"/>
                <w:szCs w:val="16"/>
              </w:rPr>
              <w:t>0.4</w:t>
            </w:r>
          </w:p>
        </w:tc>
      </w:tr>
      <w:tr w:rsidR="00AC4FFA" w:rsidRPr="00EC4BA6" w14:paraId="58919654" w14:textId="77777777" w:rsidTr="00FD0567">
        <w:trPr>
          <w:trHeight w:hRule="exact" w:val="225"/>
        </w:trPr>
        <w:tc>
          <w:tcPr>
            <w:tcW w:w="2003" w:type="pct"/>
            <w:tcBorders>
              <w:top w:val="nil"/>
              <w:left w:val="nil"/>
              <w:bottom w:val="nil"/>
              <w:right w:val="nil"/>
            </w:tcBorders>
            <w:shd w:val="clear" w:color="auto" w:fill="auto"/>
            <w:noWrap/>
            <w:vAlign w:val="center"/>
            <w:hideMark/>
          </w:tcPr>
          <w:p w14:paraId="30FE9F8A" w14:textId="77777777" w:rsidR="00AC4FFA" w:rsidRPr="00EC4BA6" w:rsidRDefault="00AC4FFA" w:rsidP="008F032C">
            <w:pPr>
              <w:spacing w:before="0" w:after="0" w:line="240" w:lineRule="auto"/>
              <w:rPr>
                <w:rFonts w:ascii="Arial" w:hAnsi="Arial" w:cs="Arial"/>
                <w:sz w:val="16"/>
                <w:szCs w:val="16"/>
              </w:rPr>
            </w:pPr>
            <w:r w:rsidRPr="00EC4BA6">
              <w:rPr>
                <w:rFonts w:ascii="Arial" w:hAnsi="Arial" w:cs="Arial"/>
                <w:sz w:val="16"/>
                <w:szCs w:val="16"/>
              </w:rPr>
              <w:t>Other taxes</w:t>
            </w:r>
          </w:p>
        </w:tc>
        <w:tc>
          <w:tcPr>
            <w:tcW w:w="728" w:type="pct"/>
            <w:tcBorders>
              <w:top w:val="nil"/>
              <w:left w:val="nil"/>
              <w:bottom w:val="nil"/>
              <w:right w:val="nil"/>
            </w:tcBorders>
            <w:shd w:val="clear" w:color="000000" w:fill="FFFFFF"/>
            <w:noWrap/>
            <w:vAlign w:val="center"/>
            <w:hideMark/>
          </w:tcPr>
          <w:p w14:paraId="333B4BB9"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6,267</w:t>
            </w:r>
          </w:p>
        </w:tc>
        <w:tc>
          <w:tcPr>
            <w:tcW w:w="728" w:type="pct"/>
            <w:tcBorders>
              <w:top w:val="nil"/>
              <w:left w:val="nil"/>
              <w:bottom w:val="nil"/>
              <w:right w:val="nil"/>
            </w:tcBorders>
            <w:shd w:val="clear" w:color="000000" w:fill="E6F2FF"/>
            <w:noWrap/>
            <w:vAlign w:val="center"/>
            <w:hideMark/>
          </w:tcPr>
          <w:p w14:paraId="04D4C2D7"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6,209</w:t>
            </w:r>
          </w:p>
        </w:tc>
        <w:tc>
          <w:tcPr>
            <w:tcW w:w="58" w:type="pct"/>
            <w:tcBorders>
              <w:top w:val="nil"/>
              <w:left w:val="nil"/>
              <w:bottom w:val="nil"/>
              <w:right w:val="nil"/>
            </w:tcBorders>
            <w:shd w:val="clear" w:color="auto" w:fill="auto"/>
            <w:noWrap/>
            <w:vAlign w:val="center"/>
            <w:hideMark/>
          </w:tcPr>
          <w:p w14:paraId="71436248" w14:textId="77777777" w:rsidR="00AC4FFA" w:rsidRPr="00EC4BA6" w:rsidRDefault="00AC4FFA" w:rsidP="008F032C">
            <w:pPr>
              <w:spacing w:before="0" w:after="0" w:line="240" w:lineRule="auto"/>
              <w:jc w:val="right"/>
              <w:rPr>
                <w:rFonts w:ascii="Arial" w:hAnsi="Arial" w:cs="Arial"/>
                <w:sz w:val="16"/>
                <w:szCs w:val="16"/>
              </w:rPr>
            </w:pPr>
          </w:p>
        </w:tc>
        <w:tc>
          <w:tcPr>
            <w:tcW w:w="741" w:type="pct"/>
            <w:tcBorders>
              <w:top w:val="nil"/>
              <w:left w:val="nil"/>
              <w:bottom w:val="nil"/>
              <w:right w:val="nil"/>
            </w:tcBorders>
            <w:shd w:val="clear" w:color="auto" w:fill="auto"/>
            <w:noWrap/>
            <w:vAlign w:val="center"/>
            <w:hideMark/>
          </w:tcPr>
          <w:p w14:paraId="411E5C7E" w14:textId="1948CE55" w:rsidR="00AC4FFA" w:rsidRPr="00EC4BA6" w:rsidRDefault="001A3DD6" w:rsidP="008F032C">
            <w:pPr>
              <w:spacing w:before="0" w:after="0" w:line="240" w:lineRule="auto"/>
              <w:jc w:val="right"/>
              <w:rPr>
                <w:rFonts w:ascii="Arial" w:hAnsi="Arial" w:cs="Arial"/>
                <w:sz w:val="16"/>
                <w:szCs w:val="16"/>
              </w:rPr>
            </w:pPr>
            <w:r>
              <w:rPr>
                <w:rFonts w:ascii="Arial" w:hAnsi="Arial" w:cs="Arial"/>
                <w:sz w:val="16"/>
                <w:szCs w:val="16"/>
              </w:rPr>
              <w:noBreakHyphen/>
            </w:r>
            <w:r w:rsidR="00AC4FFA" w:rsidRPr="00EC4BA6">
              <w:rPr>
                <w:rFonts w:ascii="Arial" w:hAnsi="Arial" w:cs="Arial"/>
                <w:sz w:val="16"/>
                <w:szCs w:val="16"/>
              </w:rPr>
              <w:t>58</w:t>
            </w:r>
          </w:p>
        </w:tc>
        <w:tc>
          <w:tcPr>
            <w:tcW w:w="741" w:type="pct"/>
            <w:tcBorders>
              <w:top w:val="nil"/>
              <w:left w:val="nil"/>
              <w:bottom w:val="nil"/>
              <w:right w:val="nil"/>
            </w:tcBorders>
            <w:shd w:val="clear" w:color="auto" w:fill="auto"/>
            <w:noWrap/>
            <w:vAlign w:val="center"/>
            <w:hideMark/>
          </w:tcPr>
          <w:p w14:paraId="44CF1CD3" w14:textId="07AD91EC" w:rsidR="00AC4FFA" w:rsidRPr="00EC4BA6" w:rsidRDefault="001A3DD6" w:rsidP="008F032C">
            <w:pPr>
              <w:spacing w:before="0" w:after="0" w:line="240" w:lineRule="auto"/>
              <w:jc w:val="right"/>
              <w:rPr>
                <w:rFonts w:ascii="Arial" w:hAnsi="Arial" w:cs="Arial"/>
                <w:sz w:val="16"/>
                <w:szCs w:val="16"/>
              </w:rPr>
            </w:pPr>
            <w:r>
              <w:rPr>
                <w:rFonts w:ascii="Arial" w:hAnsi="Arial" w:cs="Arial"/>
                <w:sz w:val="16"/>
                <w:szCs w:val="16"/>
              </w:rPr>
              <w:noBreakHyphen/>
            </w:r>
            <w:r w:rsidR="00AC4FFA" w:rsidRPr="00EC4BA6">
              <w:rPr>
                <w:rFonts w:ascii="Arial" w:hAnsi="Arial" w:cs="Arial"/>
                <w:sz w:val="16"/>
                <w:szCs w:val="16"/>
              </w:rPr>
              <w:t>0.9</w:t>
            </w:r>
          </w:p>
        </w:tc>
      </w:tr>
      <w:tr w:rsidR="00AC4FFA" w:rsidRPr="00EC4BA6" w14:paraId="1212E347" w14:textId="77777777" w:rsidTr="00FD0567">
        <w:trPr>
          <w:trHeight w:hRule="exact" w:val="225"/>
        </w:trPr>
        <w:tc>
          <w:tcPr>
            <w:tcW w:w="2003" w:type="pct"/>
            <w:tcBorders>
              <w:top w:val="nil"/>
              <w:left w:val="nil"/>
              <w:bottom w:val="nil"/>
              <w:right w:val="nil"/>
            </w:tcBorders>
            <w:shd w:val="clear" w:color="auto" w:fill="auto"/>
            <w:noWrap/>
            <w:vAlign w:val="center"/>
            <w:hideMark/>
          </w:tcPr>
          <w:p w14:paraId="6440FFE3" w14:textId="77777777" w:rsidR="00AC4FFA" w:rsidRPr="00EC4BA6" w:rsidRDefault="00AC4FFA" w:rsidP="008F032C">
            <w:pPr>
              <w:spacing w:before="0" w:after="0" w:line="240" w:lineRule="auto"/>
              <w:rPr>
                <w:rFonts w:ascii="Arial" w:hAnsi="Arial" w:cs="Arial"/>
                <w:b/>
                <w:sz w:val="16"/>
                <w:szCs w:val="16"/>
              </w:rPr>
            </w:pPr>
            <w:r w:rsidRPr="00EC4BA6">
              <w:rPr>
                <w:rFonts w:ascii="Arial" w:hAnsi="Arial" w:cs="Arial"/>
                <w:b/>
                <w:sz w:val="16"/>
                <w:szCs w:val="16"/>
              </w:rPr>
              <w:t>Indirect taxation receipts</w:t>
            </w:r>
          </w:p>
        </w:tc>
        <w:tc>
          <w:tcPr>
            <w:tcW w:w="728" w:type="pct"/>
            <w:tcBorders>
              <w:top w:val="single" w:sz="4" w:space="0" w:color="293F5B"/>
              <w:left w:val="nil"/>
              <w:bottom w:val="nil"/>
              <w:right w:val="nil"/>
            </w:tcBorders>
            <w:shd w:val="clear" w:color="000000" w:fill="FFFFFF"/>
            <w:noWrap/>
            <w:vAlign w:val="center"/>
            <w:hideMark/>
          </w:tcPr>
          <w:p w14:paraId="2CA58C78" w14:textId="77777777" w:rsidR="00AC4FFA" w:rsidRPr="00EC4BA6" w:rsidRDefault="00AC4FFA" w:rsidP="008F032C">
            <w:pPr>
              <w:spacing w:before="0" w:after="0" w:line="240" w:lineRule="auto"/>
              <w:jc w:val="right"/>
              <w:rPr>
                <w:rFonts w:ascii="Arial" w:hAnsi="Arial" w:cs="Arial"/>
                <w:b/>
                <w:sz w:val="16"/>
                <w:szCs w:val="16"/>
              </w:rPr>
            </w:pPr>
            <w:r w:rsidRPr="00EC4BA6">
              <w:rPr>
                <w:rFonts w:ascii="Arial" w:hAnsi="Arial" w:cs="Arial"/>
                <w:b/>
                <w:sz w:val="16"/>
                <w:szCs w:val="16"/>
              </w:rPr>
              <w:t>149,495</w:t>
            </w:r>
          </w:p>
        </w:tc>
        <w:tc>
          <w:tcPr>
            <w:tcW w:w="728" w:type="pct"/>
            <w:tcBorders>
              <w:top w:val="single" w:sz="4" w:space="0" w:color="293F5B"/>
              <w:left w:val="nil"/>
              <w:bottom w:val="nil"/>
              <w:right w:val="nil"/>
            </w:tcBorders>
            <w:shd w:val="clear" w:color="000000" w:fill="E6F2FF"/>
            <w:noWrap/>
            <w:vAlign w:val="center"/>
            <w:hideMark/>
          </w:tcPr>
          <w:p w14:paraId="660AABBC" w14:textId="77777777" w:rsidR="00AC4FFA" w:rsidRPr="00EC4BA6" w:rsidRDefault="00AC4FFA" w:rsidP="008F032C">
            <w:pPr>
              <w:spacing w:before="0" w:after="0" w:line="240" w:lineRule="auto"/>
              <w:jc w:val="right"/>
              <w:rPr>
                <w:rFonts w:ascii="Arial" w:hAnsi="Arial" w:cs="Arial"/>
                <w:b/>
                <w:sz w:val="16"/>
                <w:szCs w:val="16"/>
              </w:rPr>
            </w:pPr>
            <w:r w:rsidRPr="00EC4BA6">
              <w:rPr>
                <w:rFonts w:ascii="Arial" w:hAnsi="Arial" w:cs="Arial"/>
                <w:b/>
                <w:sz w:val="16"/>
                <w:szCs w:val="16"/>
              </w:rPr>
              <w:t>147,632</w:t>
            </w:r>
          </w:p>
        </w:tc>
        <w:tc>
          <w:tcPr>
            <w:tcW w:w="58" w:type="pct"/>
            <w:tcBorders>
              <w:top w:val="nil"/>
              <w:left w:val="nil"/>
              <w:bottom w:val="nil"/>
              <w:right w:val="nil"/>
            </w:tcBorders>
            <w:shd w:val="clear" w:color="auto" w:fill="auto"/>
            <w:noWrap/>
            <w:vAlign w:val="center"/>
            <w:hideMark/>
          </w:tcPr>
          <w:p w14:paraId="426B4AD3" w14:textId="77777777" w:rsidR="00AC4FFA" w:rsidRPr="00EC4BA6" w:rsidRDefault="00AC4FFA" w:rsidP="008F032C">
            <w:pPr>
              <w:spacing w:before="0" w:after="0" w:line="240" w:lineRule="auto"/>
              <w:jc w:val="right"/>
              <w:rPr>
                <w:rFonts w:ascii="Arial" w:hAnsi="Arial" w:cs="Arial"/>
                <w:b/>
                <w:sz w:val="16"/>
                <w:szCs w:val="16"/>
              </w:rPr>
            </w:pPr>
          </w:p>
        </w:tc>
        <w:tc>
          <w:tcPr>
            <w:tcW w:w="741" w:type="pct"/>
            <w:tcBorders>
              <w:top w:val="single" w:sz="4" w:space="0" w:color="293F5B"/>
              <w:left w:val="nil"/>
              <w:bottom w:val="single" w:sz="4" w:space="0" w:color="293F5B"/>
              <w:right w:val="nil"/>
            </w:tcBorders>
            <w:shd w:val="clear" w:color="auto" w:fill="auto"/>
            <w:noWrap/>
            <w:vAlign w:val="center"/>
            <w:hideMark/>
          </w:tcPr>
          <w:p w14:paraId="29226056" w14:textId="78876DBC" w:rsidR="00AC4FFA" w:rsidRPr="00EC4BA6" w:rsidRDefault="001A3DD6" w:rsidP="008F032C">
            <w:pPr>
              <w:spacing w:before="0" w:after="0" w:line="240" w:lineRule="auto"/>
              <w:jc w:val="right"/>
              <w:rPr>
                <w:rFonts w:ascii="Arial" w:hAnsi="Arial" w:cs="Arial"/>
                <w:b/>
                <w:sz w:val="16"/>
                <w:szCs w:val="16"/>
              </w:rPr>
            </w:pPr>
            <w:r>
              <w:rPr>
                <w:rFonts w:ascii="Arial" w:hAnsi="Arial" w:cs="Arial"/>
                <w:b/>
                <w:sz w:val="16"/>
                <w:szCs w:val="16"/>
              </w:rPr>
              <w:noBreakHyphen/>
            </w:r>
            <w:r w:rsidR="00AC4FFA" w:rsidRPr="00EC4BA6">
              <w:rPr>
                <w:rFonts w:ascii="Arial" w:hAnsi="Arial" w:cs="Arial"/>
                <w:b/>
                <w:sz w:val="16"/>
                <w:szCs w:val="16"/>
              </w:rPr>
              <w:t>1,863</w:t>
            </w:r>
          </w:p>
        </w:tc>
        <w:tc>
          <w:tcPr>
            <w:tcW w:w="741" w:type="pct"/>
            <w:tcBorders>
              <w:top w:val="single" w:sz="4" w:space="0" w:color="293F5B"/>
              <w:left w:val="nil"/>
              <w:bottom w:val="single" w:sz="4" w:space="0" w:color="293F5B"/>
              <w:right w:val="nil"/>
            </w:tcBorders>
            <w:shd w:val="clear" w:color="auto" w:fill="auto"/>
            <w:noWrap/>
            <w:vAlign w:val="center"/>
            <w:hideMark/>
          </w:tcPr>
          <w:p w14:paraId="26D69B5C" w14:textId="04AFE52B" w:rsidR="00AC4FFA" w:rsidRPr="00EC4BA6" w:rsidRDefault="001A3DD6" w:rsidP="008F032C">
            <w:pPr>
              <w:spacing w:before="0" w:after="0" w:line="240" w:lineRule="auto"/>
              <w:jc w:val="right"/>
              <w:rPr>
                <w:rFonts w:ascii="Arial" w:hAnsi="Arial" w:cs="Arial"/>
                <w:b/>
                <w:sz w:val="16"/>
                <w:szCs w:val="16"/>
              </w:rPr>
            </w:pPr>
            <w:r>
              <w:rPr>
                <w:rFonts w:ascii="Arial" w:hAnsi="Arial" w:cs="Arial"/>
                <w:b/>
                <w:sz w:val="16"/>
                <w:szCs w:val="16"/>
              </w:rPr>
              <w:noBreakHyphen/>
            </w:r>
            <w:r w:rsidR="00AC4FFA" w:rsidRPr="00EC4BA6">
              <w:rPr>
                <w:rFonts w:ascii="Arial" w:hAnsi="Arial" w:cs="Arial"/>
                <w:b/>
                <w:sz w:val="16"/>
                <w:szCs w:val="16"/>
              </w:rPr>
              <w:t>1.2</w:t>
            </w:r>
          </w:p>
        </w:tc>
      </w:tr>
      <w:tr w:rsidR="00AC4FFA" w:rsidRPr="00EC4BA6" w14:paraId="706EC8DA" w14:textId="77777777" w:rsidTr="00FD0567">
        <w:trPr>
          <w:trHeight w:hRule="exact" w:val="225"/>
        </w:trPr>
        <w:tc>
          <w:tcPr>
            <w:tcW w:w="2003" w:type="pct"/>
            <w:tcBorders>
              <w:top w:val="nil"/>
              <w:left w:val="nil"/>
              <w:bottom w:val="nil"/>
              <w:right w:val="nil"/>
            </w:tcBorders>
            <w:shd w:val="clear" w:color="auto" w:fill="auto"/>
            <w:noWrap/>
            <w:vAlign w:val="center"/>
            <w:hideMark/>
          </w:tcPr>
          <w:p w14:paraId="79A5DFE0" w14:textId="77777777" w:rsidR="00AC4FFA" w:rsidRPr="00EC4BA6" w:rsidRDefault="00AC4FFA" w:rsidP="008F032C">
            <w:pPr>
              <w:spacing w:before="0" w:after="0" w:line="240" w:lineRule="auto"/>
              <w:rPr>
                <w:rFonts w:ascii="Arial" w:hAnsi="Arial" w:cs="Arial"/>
                <w:b/>
                <w:sz w:val="16"/>
                <w:szCs w:val="16"/>
              </w:rPr>
            </w:pPr>
            <w:r w:rsidRPr="00EC4BA6">
              <w:rPr>
                <w:rFonts w:ascii="Arial" w:hAnsi="Arial" w:cs="Arial"/>
                <w:b/>
                <w:sz w:val="16"/>
                <w:szCs w:val="16"/>
              </w:rPr>
              <w:t>Taxation receipts</w:t>
            </w:r>
          </w:p>
        </w:tc>
        <w:tc>
          <w:tcPr>
            <w:tcW w:w="728" w:type="pct"/>
            <w:tcBorders>
              <w:top w:val="single" w:sz="4" w:space="0" w:color="293F5B"/>
              <w:left w:val="nil"/>
              <w:bottom w:val="single" w:sz="4" w:space="0" w:color="293F5B"/>
              <w:right w:val="nil"/>
            </w:tcBorders>
            <w:shd w:val="clear" w:color="000000" w:fill="FFFFFF"/>
            <w:noWrap/>
            <w:vAlign w:val="center"/>
            <w:hideMark/>
          </w:tcPr>
          <w:p w14:paraId="6B8A8058" w14:textId="77777777" w:rsidR="00AC4FFA" w:rsidRPr="00EC4BA6" w:rsidRDefault="00AC4FFA" w:rsidP="008F032C">
            <w:pPr>
              <w:spacing w:before="0" w:after="0" w:line="240" w:lineRule="auto"/>
              <w:jc w:val="right"/>
              <w:rPr>
                <w:rFonts w:ascii="Arial" w:hAnsi="Arial" w:cs="Arial"/>
                <w:b/>
                <w:sz w:val="16"/>
                <w:szCs w:val="16"/>
              </w:rPr>
            </w:pPr>
            <w:r w:rsidRPr="00EC4BA6">
              <w:rPr>
                <w:rFonts w:ascii="Arial" w:hAnsi="Arial" w:cs="Arial"/>
                <w:b/>
                <w:sz w:val="16"/>
                <w:szCs w:val="16"/>
              </w:rPr>
              <w:t>645,565</w:t>
            </w:r>
          </w:p>
        </w:tc>
        <w:tc>
          <w:tcPr>
            <w:tcW w:w="728" w:type="pct"/>
            <w:tcBorders>
              <w:top w:val="single" w:sz="4" w:space="0" w:color="293F5B"/>
              <w:left w:val="nil"/>
              <w:bottom w:val="single" w:sz="4" w:space="0" w:color="293F5B"/>
              <w:right w:val="nil"/>
            </w:tcBorders>
            <w:shd w:val="clear" w:color="000000" w:fill="E6F2FF"/>
            <w:noWrap/>
            <w:vAlign w:val="center"/>
            <w:hideMark/>
          </w:tcPr>
          <w:p w14:paraId="3B6AA66E" w14:textId="77777777" w:rsidR="00AC4FFA" w:rsidRPr="00EC4BA6" w:rsidRDefault="00AC4FFA" w:rsidP="008F032C">
            <w:pPr>
              <w:spacing w:before="0" w:after="0" w:line="240" w:lineRule="auto"/>
              <w:jc w:val="right"/>
              <w:rPr>
                <w:rFonts w:ascii="Arial" w:hAnsi="Arial" w:cs="Arial"/>
                <w:b/>
                <w:sz w:val="16"/>
                <w:szCs w:val="16"/>
              </w:rPr>
            </w:pPr>
            <w:r w:rsidRPr="00EC4BA6">
              <w:rPr>
                <w:rFonts w:ascii="Arial" w:hAnsi="Arial" w:cs="Arial"/>
                <w:b/>
                <w:sz w:val="16"/>
                <w:szCs w:val="16"/>
              </w:rPr>
              <w:t>645,242</w:t>
            </w:r>
          </w:p>
        </w:tc>
        <w:tc>
          <w:tcPr>
            <w:tcW w:w="58" w:type="pct"/>
            <w:tcBorders>
              <w:top w:val="nil"/>
              <w:left w:val="nil"/>
              <w:bottom w:val="nil"/>
              <w:right w:val="nil"/>
            </w:tcBorders>
            <w:shd w:val="clear" w:color="auto" w:fill="auto"/>
            <w:noWrap/>
            <w:vAlign w:val="center"/>
            <w:hideMark/>
          </w:tcPr>
          <w:p w14:paraId="057FAA8C" w14:textId="77777777" w:rsidR="00AC4FFA" w:rsidRPr="00EC4BA6" w:rsidRDefault="00AC4FFA" w:rsidP="008F032C">
            <w:pPr>
              <w:spacing w:before="0" w:after="0" w:line="240" w:lineRule="auto"/>
              <w:jc w:val="right"/>
              <w:rPr>
                <w:rFonts w:ascii="Arial" w:hAnsi="Arial" w:cs="Arial"/>
                <w:b/>
                <w:sz w:val="16"/>
                <w:szCs w:val="16"/>
              </w:rPr>
            </w:pPr>
          </w:p>
        </w:tc>
        <w:tc>
          <w:tcPr>
            <w:tcW w:w="741" w:type="pct"/>
            <w:tcBorders>
              <w:top w:val="nil"/>
              <w:left w:val="nil"/>
              <w:bottom w:val="single" w:sz="4" w:space="0" w:color="293F5B"/>
              <w:right w:val="nil"/>
            </w:tcBorders>
            <w:shd w:val="clear" w:color="auto" w:fill="auto"/>
            <w:noWrap/>
            <w:vAlign w:val="center"/>
            <w:hideMark/>
          </w:tcPr>
          <w:p w14:paraId="0DBE7582" w14:textId="2C0B21A3" w:rsidR="00AC4FFA" w:rsidRPr="00EC4BA6" w:rsidRDefault="001A3DD6" w:rsidP="008F032C">
            <w:pPr>
              <w:spacing w:before="0" w:after="0" w:line="240" w:lineRule="auto"/>
              <w:jc w:val="right"/>
              <w:rPr>
                <w:rFonts w:ascii="Arial" w:hAnsi="Arial" w:cs="Arial"/>
                <w:b/>
                <w:sz w:val="16"/>
                <w:szCs w:val="16"/>
              </w:rPr>
            </w:pPr>
            <w:r>
              <w:rPr>
                <w:rFonts w:ascii="Arial" w:hAnsi="Arial" w:cs="Arial"/>
                <w:b/>
                <w:sz w:val="16"/>
                <w:szCs w:val="16"/>
              </w:rPr>
              <w:noBreakHyphen/>
            </w:r>
            <w:r w:rsidR="00AC4FFA" w:rsidRPr="00EC4BA6">
              <w:rPr>
                <w:rFonts w:ascii="Arial" w:hAnsi="Arial" w:cs="Arial"/>
                <w:b/>
                <w:sz w:val="16"/>
                <w:szCs w:val="16"/>
              </w:rPr>
              <w:t>323</w:t>
            </w:r>
          </w:p>
        </w:tc>
        <w:tc>
          <w:tcPr>
            <w:tcW w:w="741" w:type="pct"/>
            <w:tcBorders>
              <w:top w:val="nil"/>
              <w:left w:val="nil"/>
              <w:bottom w:val="single" w:sz="4" w:space="0" w:color="293F5B"/>
              <w:right w:val="nil"/>
            </w:tcBorders>
            <w:shd w:val="clear" w:color="auto" w:fill="auto"/>
            <w:noWrap/>
            <w:vAlign w:val="center"/>
            <w:hideMark/>
          </w:tcPr>
          <w:p w14:paraId="5EAEBBFD" w14:textId="77777777" w:rsidR="00AC4FFA" w:rsidRPr="00EC4BA6" w:rsidRDefault="00AC4FFA" w:rsidP="008F032C">
            <w:pPr>
              <w:spacing w:before="0" w:after="0" w:line="240" w:lineRule="auto"/>
              <w:jc w:val="right"/>
              <w:rPr>
                <w:rFonts w:ascii="Arial" w:hAnsi="Arial" w:cs="Arial"/>
                <w:b/>
                <w:sz w:val="16"/>
                <w:szCs w:val="16"/>
              </w:rPr>
            </w:pPr>
            <w:r w:rsidRPr="00EC4BA6">
              <w:rPr>
                <w:rFonts w:ascii="Arial" w:hAnsi="Arial" w:cs="Arial"/>
                <w:b/>
                <w:sz w:val="16"/>
                <w:szCs w:val="16"/>
              </w:rPr>
              <w:t>0.0</w:t>
            </w:r>
          </w:p>
        </w:tc>
      </w:tr>
      <w:tr w:rsidR="00AC4FFA" w:rsidRPr="00EC4BA6" w14:paraId="23A49E74" w14:textId="77777777" w:rsidTr="00FD0567">
        <w:trPr>
          <w:trHeight w:hRule="exact" w:val="60"/>
        </w:trPr>
        <w:tc>
          <w:tcPr>
            <w:tcW w:w="2003" w:type="pct"/>
            <w:tcBorders>
              <w:top w:val="nil"/>
              <w:left w:val="nil"/>
              <w:bottom w:val="nil"/>
              <w:right w:val="nil"/>
            </w:tcBorders>
            <w:shd w:val="clear" w:color="auto" w:fill="auto"/>
            <w:noWrap/>
            <w:vAlign w:val="center"/>
            <w:hideMark/>
          </w:tcPr>
          <w:p w14:paraId="651C3B45" w14:textId="77777777" w:rsidR="00AC4FFA" w:rsidRPr="00EC4BA6" w:rsidRDefault="00AC4FFA" w:rsidP="008F032C">
            <w:pPr>
              <w:spacing w:before="0" w:after="0" w:line="240" w:lineRule="auto"/>
              <w:jc w:val="right"/>
              <w:rPr>
                <w:rFonts w:ascii="Arial" w:hAnsi="Arial" w:cs="Arial"/>
                <w:b/>
                <w:sz w:val="16"/>
                <w:szCs w:val="16"/>
              </w:rPr>
            </w:pPr>
          </w:p>
        </w:tc>
        <w:tc>
          <w:tcPr>
            <w:tcW w:w="728" w:type="pct"/>
            <w:tcBorders>
              <w:top w:val="nil"/>
              <w:left w:val="nil"/>
              <w:bottom w:val="nil"/>
              <w:right w:val="nil"/>
            </w:tcBorders>
            <w:shd w:val="clear" w:color="000000" w:fill="FFFFFF"/>
            <w:noWrap/>
            <w:vAlign w:val="center"/>
            <w:hideMark/>
          </w:tcPr>
          <w:p w14:paraId="071AAB73" w14:textId="77777777" w:rsidR="00AC4FFA" w:rsidRPr="00EC4BA6" w:rsidRDefault="00AC4FFA" w:rsidP="008F032C">
            <w:pPr>
              <w:spacing w:before="0" w:after="0" w:line="240" w:lineRule="auto"/>
              <w:rPr>
                <w:rFonts w:ascii="Arial" w:hAnsi="Arial" w:cs="Arial"/>
                <w:b/>
                <w:sz w:val="16"/>
                <w:szCs w:val="16"/>
              </w:rPr>
            </w:pPr>
            <w:r w:rsidRPr="00EC4BA6">
              <w:rPr>
                <w:rFonts w:ascii="Arial" w:hAnsi="Arial" w:cs="Arial"/>
                <w:b/>
                <w:sz w:val="16"/>
                <w:szCs w:val="16"/>
              </w:rPr>
              <w:t> </w:t>
            </w:r>
          </w:p>
        </w:tc>
        <w:tc>
          <w:tcPr>
            <w:tcW w:w="728" w:type="pct"/>
            <w:tcBorders>
              <w:top w:val="nil"/>
              <w:left w:val="nil"/>
              <w:bottom w:val="nil"/>
              <w:right w:val="nil"/>
            </w:tcBorders>
            <w:shd w:val="clear" w:color="000000" w:fill="E6F2FF"/>
            <w:noWrap/>
            <w:vAlign w:val="center"/>
            <w:hideMark/>
          </w:tcPr>
          <w:p w14:paraId="2530050A" w14:textId="77777777" w:rsidR="00AC4FFA" w:rsidRPr="00EC4BA6" w:rsidRDefault="00AC4FFA" w:rsidP="008F032C">
            <w:pPr>
              <w:spacing w:before="0" w:after="0" w:line="240" w:lineRule="auto"/>
              <w:rPr>
                <w:rFonts w:ascii="Arial" w:hAnsi="Arial" w:cs="Arial"/>
                <w:b/>
                <w:sz w:val="16"/>
                <w:szCs w:val="16"/>
              </w:rPr>
            </w:pPr>
            <w:r w:rsidRPr="00EC4BA6">
              <w:rPr>
                <w:rFonts w:ascii="Arial" w:hAnsi="Arial" w:cs="Arial"/>
                <w:b/>
                <w:sz w:val="16"/>
                <w:szCs w:val="16"/>
              </w:rPr>
              <w:t> </w:t>
            </w:r>
          </w:p>
        </w:tc>
        <w:tc>
          <w:tcPr>
            <w:tcW w:w="58" w:type="pct"/>
            <w:tcBorders>
              <w:top w:val="nil"/>
              <w:left w:val="nil"/>
              <w:bottom w:val="nil"/>
              <w:right w:val="nil"/>
            </w:tcBorders>
            <w:shd w:val="clear" w:color="auto" w:fill="auto"/>
            <w:noWrap/>
            <w:vAlign w:val="center"/>
            <w:hideMark/>
          </w:tcPr>
          <w:p w14:paraId="3E3E1531" w14:textId="77777777" w:rsidR="00AC4FFA" w:rsidRPr="00EC4BA6" w:rsidRDefault="00AC4FFA" w:rsidP="008F032C">
            <w:pPr>
              <w:spacing w:before="0" w:after="0" w:line="240" w:lineRule="auto"/>
              <w:rPr>
                <w:rFonts w:ascii="Arial" w:hAnsi="Arial" w:cs="Arial"/>
                <w:b/>
                <w:sz w:val="16"/>
                <w:szCs w:val="16"/>
              </w:rPr>
            </w:pPr>
          </w:p>
        </w:tc>
        <w:tc>
          <w:tcPr>
            <w:tcW w:w="741" w:type="pct"/>
            <w:tcBorders>
              <w:top w:val="nil"/>
              <w:left w:val="nil"/>
              <w:bottom w:val="nil"/>
              <w:right w:val="nil"/>
            </w:tcBorders>
            <w:shd w:val="clear" w:color="auto" w:fill="auto"/>
            <w:noWrap/>
            <w:vAlign w:val="center"/>
            <w:hideMark/>
          </w:tcPr>
          <w:p w14:paraId="6EBFDA5B" w14:textId="77777777" w:rsidR="00AC4FFA" w:rsidRPr="00EC4BA6" w:rsidRDefault="00AC4FFA" w:rsidP="008F032C">
            <w:pPr>
              <w:spacing w:before="0" w:after="0" w:line="240" w:lineRule="auto"/>
              <w:jc w:val="right"/>
              <w:rPr>
                <w:rFonts w:ascii="Times New Roman" w:hAnsi="Times New Roman"/>
                <w:sz w:val="20"/>
              </w:rPr>
            </w:pPr>
          </w:p>
        </w:tc>
        <w:tc>
          <w:tcPr>
            <w:tcW w:w="741" w:type="pct"/>
            <w:tcBorders>
              <w:top w:val="nil"/>
              <w:left w:val="nil"/>
              <w:bottom w:val="nil"/>
              <w:right w:val="nil"/>
            </w:tcBorders>
            <w:shd w:val="clear" w:color="auto" w:fill="auto"/>
            <w:noWrap/>
            <w:vAlign w:val="center"/>
            <w:hideMark/>
          </w:tcPr>
          <w:p w14:paraId="5128C1EE" w14:textId="77777777" w:rsidR="00AC4FFA" w:rsidRPr="00EC4BA6" w:rsidRDefault="00AC4FFA" w:rsidP="008F032C">
            <w:pPr>
              <w:spacing w:before="0" w:after="0" w:line="240" w:lineRule="auto"/>
              <w:jc w:val="right"/>
              <w:rPr>
                <w:rFonts w:ascii="Times New Roman" w:hAnsi="Times New Roman"/>
                <w:sz w:val="20"/>
              </w:rPr>
            </w:pPr>
          </w:p>
        </w:tc>
      </w:tr>
      <w:tr w:rsidR="00AC4FFA" w:rsidRPr="00EC4BA6" w14:paraId="72056F03" w14:textId="77777777" w:rsidTr="00FD0567">
        <w:trPr>
          <w:trHeight w:hRule="exact" w:val="225"/>
        </w:trPr>
        <w:tc>
          <w:tcPr>
            <w:tcW w:w="2003" w:type="pct"/>
            <w:tcBorders>
              <w:top w:val="nil"/>
              <w:left w:val="nil"/>
              <w:bottom w:val="nil"/>
              <w:right w:val="nil"/>
            </w:tcBorders>
            <w:shd w:val="clear" w:color="auto" w:fill="auto"/>
            <w:noWrap/>
            <w:vAlign w:val="center"/>
            <w:hideMark/>
          </w:tcPr>
          <w:p w14:paraId="7D5F9D8E" w14:textId="77777777" w:rsidR="00AC4FFA" w:rsidRPr="00EC4BA6" w:rsidRDefault="00AC4FFA" w:rsidP="008F032C">
            <w:pPr>
              <w:spacing w:before="0" w:after="0" w:line="240" w:lineRule="auto"/>
              <w:rPr>
                <w:rFonts w:ascii="Arial" w:hAnsi="Arial" w:cs="Arial"/>
                <w:sz w:val="16"/>
                <w:szCs w:val="16"/>
              </w:rPr>
            </w:pPr>
            <w:r w:rsidRPr="00EC4BA6">
              <w:rPr>
                <w:rFonts w:ascii="Arial" w:hAnsi="Arial" w:cs="Arial"/>
                <w:sz w:val="16"/>
                <w:szCs w:val="16"/>
              </w:rPr>
              <w:t>Sales of goods and services</w:t>
            </w:r>
          </w:p>
        </w:tc>
        <w:tc>
          <w:tcPr>
            <w:tcW w:w="728" w:type="pct"/>
            <w:tcBorders>
              <w:top w:val="nil"/>
              <w:left w:val="nil"/>
              <w:bottom w:val="nil"/>
              <w:right w:val="nil"/>
            </w:tcBorders>
            <w:shd w:val="clear" w:color="000000" w:fill="FFFFFF"/>
            <w:noWrap/>
            <w:vAlign w:val="center"/>
            <w:hideMark/>
          </w:tcPr>
          <w:p w14:paraId="582C537C"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22,039</w:t>
            </w:r>
          </w:p>
        </w:tc>
        <w:tc>
          <w:tcPr>
            <w:tcW w:w="728" w:type="pct"/>
            <w:tcBorders>
              <w:top w:val="nil"/>
              <w:left w:val="nil"/>
              <w:bottom w:val="nil"/>
              <w:right w:val="nil"/>
            </w:tcBorders>
            <w:shd w:val="clear" w:color="000000" w:fill="E6F2FF"/>
            <w:noWrap/>
            <w:vAlign w:val="center"/>
            <w:hideMark/>
          </w:tcPr>
          <w:p w14:paraId="378BA27A"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21,796</w:t>
            </w:r>
          </w:p>
        </w:tc>
        <w:tc>
          <w:tcPr>
            <w:tcW w:w="58" w:type="pct"/>
            <w:tcBorders>
              <w:top w:val="nil"/>
              <w:left w:val="nil"/>
              <w:bottom w:val="nil"/>
              <w:right w:val="nil"/>
            </w:tcBorders>
            <w:shd w:val="clear" w:color="auto" w:fill="auto"/>
            <w:noWrap/>
            <w:vAlign w:val="center"/>
            <w:hideMark/>
          </w:tcPr>
          <w:p w14:paraId="02E4E16A" w14:textId="77777777" w:rsidR="00AC4FFA" w:rsidRPr="00EC4BA6" w:rsidRDefault="00AC4FFA" w:rsidP="008F032C">
            <w:pPr>
              <w:spacing w:before="0" w:after="0" w:line="240" w:lineRule="auto"/>
              <w:jc w:val="right"/>
              <w:rPr>
                <w:rFonts w:ascii="Arial" w:hAnsi="Arial" w:cs="Arial"/>
                <w:sz w:val="16"/>
                <w:szCs w:val="16"/>
              </w:rPr>
            </w:pPr>
          </w:p>
        </w:tc>
        <w:tc>
          <w:tcPr>
            <w:tcW w:w="741" w:type="pct"/>
            <w:tcBorders>
              <w:top w:val="nil"/>
              <w:left w:val="nil"/>
              <w:bottom w:val="nil"/>
              <w:right w:val="nil"/>
            </w:tcBorders>
            <w:shd w:val="clear" w:color="auto" w:fill="auto"/>
            <w:noWrap/>
            <w:vAlign w:val="center"/>
            <w:hideMark/>
          </w:tcPr>
          <w:p w14:paraId="21A850BD" w14:textId="695AB47B" w:rsidR="00AC4FFA" w:rsidRPr="00EC4BA6" w:rsidRDefault="001A3DD6" w:rsidP="008F032C">
            <w:pPr>
              <w:spacing w:before="0" w:after="0" w:line="240" w:lineRule="auto"/>
              <w:jc w:val="right"/>
              <w:rPr>
                <w:rFonts w:ascii="Arial" w:hAnsi="Arial" w:cs="Arial"/>
                <w:sz w:val="16"/>
                <w:szCs w:val="16"/>
              </w:rPr>
            </w:pPr>
            <w:r>
              <w:rPr>
                <w:rFonts w:ascii="Arial" w:hAnsi="Arial" w:cs="Arial"/>
                <w:sz w:val="16"/>
                <w:szCs w:val="16"/>
              </w:rPr>
              <w:noBreakHyphen/>
            </w:r>
            <w:r w:rsidR="00AC4FFA" w:rsidRPr="00EC4BA6">
              <w:rPr>
                <w:rFonts w:ascii="Arial" w:hAnsi="Arial" w:cs="Arial"/>
                <w:sz w:val="16"/>
                <w:szCs w:val="16"/>
              </w:rPr>
              <w:t>243</w:t>
            </w:r>
          </w:p>
        </w:tc>
        <w:tc>
          <w:tcPr>
            <w:tcW w:w="741" w:type="pct"/>
            <w:tcBorders>
              <w:top w:val="nil"/>
              <w:left w:val="nil"/>
              <w:bottom w:val="nil"/>
              <w:right w:val="nil"/>
            </w:tcBorders>
            <w:shd w:val="clear" w:color="auto" w:fill="auto"/>
            <w:noWrap/>
            <w:vAlign w:val="center"/>
            <w:hideMark/>
          </w:tcPr>
          <w:p w14:paraId="512E231A" w14:textId="1B3CDDD0" w:rsidR="00AC4FFA" w:rsidRPr="00EC4BA6" w:rsidRDefault="001A3DD6" w:rsidP="008F032C">
            <w:pPr>
              <w:spacing w:before="0" w:after="0" w:line="240" w:lineRule="auto"/>
              <w:jc w:val="right"/>
              <w:rPr>
                <w:rFonts w:ascii="Arial" w:hAnsi="Arial" w:cs="Arial"/>
                <w:sz w:val="16"/>
                <w:szCs w:val="16"/>
              </w:rPr>
            </w:pPr>
            <w:r>
              <w:rPr>
                <w:rFonts w:ascii="Arial" w:hAnsi="Arial" w:cs="Arial"/>
                <w:sz w:val="16"/>
                <w:szCs w:val="16"/>
              </w:rPr>
              <w:noBreakHyphen/>
            </w:r>
            <w:r w:rsidR="00AC4FFA" w:rsidRPr="00EC4BA6">
              <w:rPr>
                <w:rFonts w:ascii="Arial" w:hAnsi="Arial" w:cs="Arial"/>
                <w:sz w:val="16"/>
                <w:szCs w:val="16"/>
              </w:rPr>
              <w:t>1.1</w:t>
            </w:r>
          </w:p>
        </w:tc>
      </w:tr>
      <w:tr w:rsidR="00AC4FFA" w:rsidRPr="00EC4BA6" w14:paraId="7F1F8FCC" w14:textId="77777777" w:rsidTr="00FD0567">
        <w:trPr>
          <w:trHeight w:hRule="exact" w:val="225"/>
        </w:trPr>
        <w:tc>
          <w:tcPr>
            <w:tcW w:w="2003" w:type="pct"/>
            <w:tcBorders>
              <w:top w:val="nil"/>
              <w:left w:val="nil"/>
              <w:bottom w:val="nil"/>
              <w:right w:val="nil"/>
            </w:tcBorders>
            <w:shd w:val="clear" w:color="auto" w:fill="auto"/>
            <w:noWrap/>
            <w:vAlign w:val="center"/>
            <w:hideMark/>
          </w:tcPr>
          <w:p w14:paraId="5580CCBC" w14:textId="77777777" w:rsidR="00AC4FFA" w:rsidRPr="00EC4BA6" w:rsidRDefault="00AC4FFA" w:rsidP="008F032C">
            <w:pPr>
              <w:spacing w:before="0" w:after="0" w:line="240" w:lineRule="auto"/>
              <w:rPr>
                <w:rFonts w:ascii="Arial" w:hAnsi="Arial" w:cs="Arial"/>
                <w:sz w:val="16"/>
                <w:szCs w:val="16"/>
              </w:rPr>
            </w:pPr>
            <w:r w:rsidRPr="00EC4BA6">
              <w:rPr>
                <w:rFonts w:ascii="Arial" w:hAnsi="Arial" w:cs="Arial"/>
                <w:sz w:val="16"/>
                <w:szCs w:val="16"/>
              </w:rPr>
              <w:t>Interest received</w:t>
            </w:r>
          </w:p>
        </w:tc>
        <w:tc>
          <w:tcPr>
            <w:tcW w:w="728" w:type="pct"/>
            <w:tcBorders>
              <w:top w:val="nil"/>
              <w:left w:val="nil"/>
              <w:bottom w:val="nil"/>
              <w:right w:val="nil"/>
            </w:tcBorders>
            <w:shd w:val="clear" w:color="000000" w:fill="FFFFFF"/>
            <w:noWrap/>
            <w:vAlign w:val="center"/>
            <w:hideMark/>
          </w:tcPr>
          <w:p w14:paraId="493B31DF"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9,968</w:t>
            </w:r>
          </w:p>
        </w:tc>
        <w:tc>
          <w:tcPr>
            <w:tcW w:w="728" w:type="pct"/>
            <w:tcBorders>
              <w:top w:val="nil"/>
              <w:left w:val="nil"/>
              <w:bottom w:val="nil"/>
              <w:right w:val="nil"/>
            </w:tcBorders>
            <w:shd w:val="clear" w:color="000000" w:fill="E6F2FF"/>
            <w:noWrap/>
            <w:vAlign w:val="center"/>
            <w:hideMark/>
          </w:tcPr>
          <w:p w14:paraId="7EF50F3A"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9,520</w:t>
            </w:r>
          </w:p>
        </w:tc>
        <w:tc>
          <w:tcPr>
            <w:tcW w:w="58" w:type="pct"/>
            <w:tcBorders>
              <w:top w:val="nil"/>
              <w:left w:val="nil"/>
              <w:bottom w:val="nil"/>
              <w:right w:val="nil"/>
            </w:tcBorders>
            <w:shd w:val="clear" w:color="auto" w:fill="auto"/>
            <w:noWrap/>
            <w:vAlign w:val="center"/>
            <w:hideMark/>
          </w:tcPr>
          <w:p w14:paraId="1A560E65" w14:textId="77777777" w:rsidR="00AC4FFA" w:rsidRPr="00EC4BA6" w:rsidRDefault="00AC4FFA" w:rsidP="008F032C">
            <w:pPr>
              <w:spacing w:before="0" w:after="0" w:line="240" w:lineRule="auto"/>
              <w:jc w:val="right"/>
              <w:rPr>
                <w:rFonts w:ascii="Arial" w:hAnsi="Arial" w:cs="Arial"/>
                <w:sz w:val="16"/>
                <w:szCs w:val="16"/>
              </w:rPr>
            </w:pPr>
          </w:p>
        </w:tc>
        <w:tc>
          <w:tcPr>
            <w:tcW w:w="741" w:type="pct"/>
            <w:tcBorders>
              <w:top w:val="nil"/>
              <w:left w:val="nil"/>
              <w:bottom w:val="nil"/>
              <w:right w:val="nil"/>
            </w:tcBorders>
            <w:shd w:val="clear" w:color="auto" w:fill="auto"/>
            <w:noWrap/>
            <w:vAlign w:val="center"/>
            <w:hideMark/>
          </w:tcPr>
          <w:p w14:paraId="727308F0" w14:textId="325B55AF" w:rsidR="00AC4FFA" w:rsidRPr="00EC4BA6" w:rsidRDefault="001A3DD6" w:rsidP="008F032C">
            <w:pPr>
              <w:spacing w:before="0" w:after="0" w:line="240" w:lineRule="auto"/>
              <w:jc w:val="right"/>
              <w:rPr>
                <w:rFonts w:ascii="Arial" w:hAnsi="Arial" w:cs="Arial"/>
                <w:sz w:val="16"/>
                <w:szCs w:val="16"/>
              </w:rPr>
            </w:pPr>
            <w:r>
              <w:rPr>
                <w:rFonts w:ascii="Arial" w:hAnsi="Arial" w:cs="Arial"/>
                <w:sz w:val="16"/>
                <w:szCs w:val="16"/>
              </w:rPr>
              <w:noBreakHyphen/>
            </w:r>
            <w:r w:rsidR="00AC4FFA" w:rsidRPr="00EC4BA6">
              <w:rPr>
                <w:rFonts w:ascii="Arial" w:hAnsi="Arial" w:cs="Arial"/>
                <w:sz w:val="16"/>
                <w:szCs w:val="16"/>
              </w:rPr>
              <w:t>448</w:t>
            </w:r>
          </w:p>
        </w:tc>
        <w:tc>
          <w:tcPr>
            <w:tcW w:w="741" w:type="pct"/>
            <w:tcBorders>
              <w:top w:val="nil"/>
              <w:left w:val="nil"/>
              <w:bottom w:val="nil"/>
              <w:right w:val="nil"/>
            </w:tcBorders>
            <w:shd w:val="clear" w:color="auto" w:fill="auto"/>
            <w:noWrap/>
            <w:vAlign w:val="center"/>
            <w:hideMark/>
          </w:tcPr>
          <w:p w14:paraId="422ACDA2" w14:textId="277A997A" w:rsidR="00AC4FFA" w:rsidRPr="00EC4BA6" w:rsidRDefault="001A3DD6" w:rsidP="008F032C">
            <w:pPr>
              <w:spacing w:before="0" w:after="0" w:line="240" w:lineRule="auto"/>
              <w:jc w:val="right"/>
              <w:rPr>
                <w:rFonts w:ascii="Arial" w:hAnsi="Arial" w:cs="Arial"/>
                <w:sz w:val="16"/>
                <w:szCs w:val="16"/>
              </w:rPr>
            </w:pPr>
            <w:r>
              <w:rPr>
                <w:rFonts w:ascii="Arial" w:hAnsi="Arial" w:cs="Arial"/>
                <w:sz w:val="16"/>
                <w:szCs w:val="16"/>
              </w:rPr>
              <w:noBreakHyphen/>
            </w:r>
            <w:r w:rsidR="00AC4FFA" w:rsidRPr="00EC4BA6">
              <w:rPr>
                <w:rFonts w:ascii="Arial" w:hAnsi="Arial" w:cs="Arial"/>
                <w:sz w:val="16"/>
                <w:szCs w:val="16"/>
              </w:rPr>
              <w:t>4.5</w:t>
            </w:r>
          </w:p>
        </w:tc>
      </w:tr>
      <w:tr w:rsidR="00AC4FFA" w:rsidRPr="00EC4BA6" w14:paraId="1CCD9B43" w14:textId="77777777" w:rsidTr="00FD0567">
        <w:trPr>
          <w:trHeight w:hRule="exact" w:val="225"/>
        </w:trPr>
        <w:tc>
          <w:tcPr>
            <w:tcW w:w="2003" w:type="pct"/>
            <w:tcBorders>
              <w:top w:val="nil"/>
              <w:left w:val="nil"/>
              <w:bottom w:val="nil"/>
              <w:right w:val="nil"/>
            </w:tcBorders>
            <w:shd w:val="clear" w:color="auto" w:fill="auto"/>
            <w:noWrap/>
            <w:vAlign w:val="center"/>
            <w:hideMark/>
          </w:tcPr>
          <w:p w14:paraId="78DC7E0A" w14:textId="77777777" w:rsidR="00AC4FFA" w:rsidRPr="00EC4BA6" w:rsidRDefault="00AC4FFA" w:rsidP="008F032C">
            <w:pPr>
              <w:spacing w:before="0" w:after="0" w:line="240" w:lineRule="auto"/>
              <w:rPr>
                <w:rFonts w:ascii="Arial" w:hAnsi="Arial" w:cs="Arial"/>
                <w:sz w:val="16"/>
                <w:szCs w:val="16"/>
              </w:rPr>
            </w:pPr>
            <w:r w:rsidRPr="00EC4BA6">
              <w:rPr>
                <w:rFonts w:ascii="Arial" w:hAnsi="Arial" w:cs="Arial"/>
                <w:sz w:val="16"/>
                <w:szCs w:val="16"/>
              </w:rPr>
              <w:t>Dividends and distributions</w:t>
            </w:r>
          </w:p>
        </w:tc>
        <w:tc>
          <w:tcPr>
            <w:tcW w:w="728" w:type="pct"/>
            <w:tcBorders>
              <w:top w:val="nil"/>
              <w:left w:val="nil"/>
              <w:bottom w:val="nil"/>
              <w:right w:val="nil"/>
            </w:tcBorders>
            <w:shd w:val="clear" w:color="000000" w:fill="FFFFFF"/>
            <w:noWrap/>
            <w:vAlign w:val="center"/>
            <w:hideMark/>
          </w:tcPr>
          <w:p w14:paraId="3DDC4C6E"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7,206</w:t>
            </w:r>
          </w:p>
        </w:tc>
        <w:tc>
          <w:tcPr>
            <w:tcW w:w="728" w:type="pct"/>
            <w:tcBorders>
              <w:top w:val="nil"/>
              <w:left w:val="nil"/>
              <w:bottom w:val="nil"/>
              <w:right w:val="nil"/>
            </w:tcBorders>
            <w:shd w:val="clear" w:color="000000" w:fill="E6F2FF"/>
            <w:noWrap/>
            <w:vAlign w:val="center"/>
            <w:hideMark/>
          </w:tcPr>
          <w:p w14:paraId="476CE91C"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7,380</w:t>
            </w:r>
          </w:p>
        </w:tc>
        <w:tc>
          <w:tcPr>
            <w:tcW w:w="58" w:type="pct"/>
            <w:tcBorders>
              <w:top w:val="nil"/>
              <w:left w:val="nil"/>
              <w:bottom w:val="nil"/>
              <w:right w:val="nil"/>
            </w:tcBorders>
            <w:shd w:val="clear" w:color="auto" w:fill="auto"/>
            <w:noWrap/>
            <w:vAlign w:val="center"/>
            <w:hideMark/>
          </w:tcPr>
          <w:p w14:paraId="3837A626" w14:textId="77777777" w:rsidR="00AC4FFA" w:rsidRPr="00EC4BA6" w:rsidRDefault="00AC4FFA" w:rsidP="008F032C">
            <w:pPr>
              <w:spacing w:before="0" w:after="0" w:line="240" w:lineRule="auto"/>
              <w:jc w:val="right"/>
              <w:rPr>
                <w:rFonts w:ascii="Arial" w:hAnsi="Arial" w:cs="Arial"/>
                <w:sz w:val="16"/>
                <w:szCs w:val="16"/>
              </w:rPr>
            </w:pPr>
          </w:p>
        </w:tc>
        <w:tc>
          <w:tcPr>
            <w:tcW w:w="741" w:type="pct"/>
            <w:tcBorders>
              <w:top w:val="nil"/>
              <w:left w:val="nil"/>
              <w:bottom w:val="nil"/>
              <w:right w:val="nil"/>
            </w:tcBorders>
            <w:shd w:val="clear" w:color="auto" w:fill="auto"/>
            <w:noWrap/>
            <w:vAlign w:val="center"/>
            <w:hideMark/>
          </w:tcPr>
          <w:p w14:paraId="49EDC483"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174</w:t>
            </w:r>
          </w:p>
        </w:tc>
        <w:tc>
          <w:tcPr>
            <w:tcW w:w="741" w:type="pct"/>
            <w:tcBorders>
              <w:top w:val="nil"/>
              <w:left w:val="nil"/>
              <w:bottom w:val="nil"/>
              <w:right w:val="nil"/>
            </w:tcBorders>
            <w:shd w:val="clear" w:color="auto" w:fill="auto"/>
            <w:noWrap/>
            <w:vAlign w:val="center"/>
            <w:hideMark/>
          </w:tcPr>
          <w:p w14:paraId="4198C515"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2.4</w:t>
            </w:r>
          </w:p>
        </w:tc>
      </w:tr>
      <w:tr w:rsidR="00AC4FFA" w:rsidRPr="00EC4BA6" w14:paraId="5333542D" w14:textId="77777777" w:rsidTr="00FD0567">
        <w:trPr>
          <w:trHeight w:hRule="exact" w:val="225"/>
        </w:trPr>
        <w:tc>
          <w:tcPr>
            <w:tcW w:w="2003" w:type="pct"/>
            <w:tcBorders>
              <w:top w:val="nil"/>
              <w:left w:val="nil"/>
              <w:bottom w:val="nil"/>
              <w:right w:val="nil"/>
            </w:tcBorders>
            <w:shd w:val="clear" w:color="auto" w:fill="auto"/>
            <w:noWrap/>
            <w:vAlign w:val="center"/>
            <w:hideMark/>
          </w:tcPr>
          <w:p w14:paraId="16CA0AA5" w14:textId="3841AFA5" w:rsidR="00AC4FFA" w:rsidRPr="00EC4BA6" w:rsidRDefault="00AC4FFA" w:rsidP="008F032C">
            <w:pPr>
              <w:spacing w:before="0" w:after="0" w:line="240" w:lineRule="auto"/>
              <w:rPr>
                <w:rFonts w:ascii="Arial" w:hAnsi="Arial" w:cs="Arial"/>
                <w:sz w:val="16"/>
                <w:szCs w:val="16"/>
              </w:rPr>
            </w:pPr>
            <w:r w:rsidRPr="00EC4BA6">
              <w:rPr>
                <w:rFonts w:ascii="Arial" w:hAnsi="Arial" w:cs="Arial"/>
                <w:sz w:val="16"/>
                <w:szCs w:val="16"/>
              </w:rPr>
              <w:t>Other non</w:t>
            </w:r>
            <w:r w:rsidR="001A3DD6">
              <w:rPr>
                <w:rFonts w:ascii="Arial" w:hAnsi="Arial" w:cs="Arial"/>
                <w:sz w:val="16"/>
                <w:szCs w:val="16"/>
              </w:rPr>
              <w:noBreakHyphen/>
            </w:r>
            <w:r w:rsidRPr="00EC4BA6">
              <w:rPr>
                <w:rFonts w:ascii="Arial" w:hAnsi="Arial" w:cs="Arial"/>
                <w:sz w:val="16"/>
                <w:szCs w:val="16"/>
              </w:rPr>
              <w:t>taxation receipts</w:t>
            </w:r>
          </w:p>
        </w:tc>
        <w:tc>
          <w:tcPr>
            <w:tcW w:w="728" w:type="pct"/>
            <w:tcBorders>
              <w:top w:val="nil"/>
              <w:left w:val="nil"/>
              <w:bottom w:val="nil"/>
              <w:right w:val="nil"/>
            </w:tcBorders>
            <w:shd w:val="clear" w:color="000000" w:fill="FFFFFF"/>
            <w:noWrap/>
            <w:vAlign w:val="center"/>
            <w:hideMark/>
          </w:tcPr>
          <w:p w14:paraId="60072359"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19,407</w:t>
            </w:r>
          </w:p>
        </w:tc>
        <w:tc>
          <w:tcPr>
            <w:tcW w:w="728" w:type="pct"/>
            <w:tcBorders>
              <w:top w:val="nil"/>
              <w:left w:val="nil"/>
              <w:bottom w:val="nil"/>
              <w:right w:val="nil"/>
            </w:tcBorders>
            <w:shd w:val="clear" w:color="000000" w:fill="E6F2FF"/>
            <w:noWrap/>
            <w:vAlign w:val="center"/>
            <w:hideMark/>
          </w:tcPr>
          <w:p w14:paraId="0CE3EB25"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19,984</w:t>
            </w:r>
          </w:p>
        </w:tc>
        <w:tc>
          <w:tcPr>
            <w:tcW w:w="58" w:type="pct"/>
            <w:tcBorders>
              <w:top w:val="nil"/>
              <w:left w:val="nil"/>
              <w:bottom w:val="nil"/>
              <w:right w:val="nil"/>
            </w:tcBorders>
            <w:shd w:val="clear" w:color="auto" w:fill="auto"/>
            <w:noWrap/>
            <w:vAlign w:val="center"/>
            <w:hideMark/>
          </w:tcPr>
          <w:p w14:paraId="1EC0ADCE" w14:textId="77777777" w:rsidR="00AC4FFA" w:rsidRPr="00EC4BA6" w:rsidRDefault="00AC4FFA" w:rsidP="008F032C">
            <w:pPr>
              <w:spacing w:before="0" w:after="0" w:line="240" w:lineRule="auto"/>
              <w:jc w:val="right"/>
              <w:rPr>
                <w:rFonts w:ascii="Arial" w:hAnsi="Arial" w:cs="Arial"/>
                <w:sz w:val="16"/>
                <w:szCs w:val="16"/>
              </w:rPr>
            </w:pPr>
          </w:p>
        </w:tc>
        <w:tc>
          <w:tcPr>
            <w:tcW w:w="741" w:type="pct"/>
            <w:tcBorders>
              <w:top w:val="nil"/>
              <w:left w:val="nil"/>
              <w:bottom w:val="nil"/>
              <w:right w:val="nil"/>
            </w:tcBorders>
            <w:shd w:val="clear" w:color="auto" w:fill="auto"/>
            <w:noWrap/>
            <w:vAlign w:val="center"/>
            <w:hideMark/>
          </w:tcPr>
          <w:p w14:paraId="60D876A0"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577</w:t>
            </w:r>
          </w:p>
        </w:tc>
        <w:tc>
          <w:tcPr>
            <w:tcW w:w="741" w:type="pct"/>
            <w:tcBorders>
              <w:top w:val="nil"/>
              <w:left w:val="nil"/>
              <w:bottom w:val="nil"/>
              <w:right w:val="nil"/>
            </w:tcBorders>
            <w:shd w:val="clear" w:color="auto" w:fill="auto"/>
            <w:noWrap/>
            <w:vAlign w:val="center"/>
            <w:hideMark/>
          </w:tcPr>
          <w:p w14:paraId="6B4BBA34"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3.0</w:t>
            </w:r>
          </w:p>
        </w:tc>
      </w:tr>
      <w:tr w:rsidR="00AC4FFA" w:rsidRPr="00EC4BA6" w14:paraId="13D98544" w14:textId="77777777" w:rsidTr="00FD0567">
        <w:trPr>
          <w:trHeight w:hRule="exact" w:val="225"/>
        </w:trPr>
        <w:tc>
          <w:tcPr>
            <w:tcW w:w="2003" w:type="pct"/>
            <w:tcBorders>
              <w:top w:val="nil"/>
              <w:left w:val="nil"/>
              <w:bottom w:val="nil"/>
              <w:right w:val="nil"/>
            </w:tcBorders>
            <w:shd w:val="clear" w:color="auto" w:fill="auto"/>
            <w:noWrap/>
            <w:vAlign w:val="center"/>
            <w:hideMark/>
          </w:tcPr>
          <w:p w14:paraId="733122C7" w14:textId="43D37613" w:rsidR="00AC4FFA" w:rsidRPr="00EC4BA6" w:rsidRDefault="00AC4FFA" w:rsidP="008F032C">
            <w:pPr>
              <w:spacing w:before="0" w:after="0" w:line="240" w:lineRule="auto"/>
              <w:rPr>
                <w:rFonts w:ascii="Arial" w:hAnsi="Arial" w:cs="Arial"/>
                <w:b/>
                <w:sz w:val="16"/>
                <w:szCs w:val="16"/>
              </w:rPr>
            </w:pPr>
            <w:r w:rsidRPr="00EC4BA6">
              <w:rPr>
                <w:rFonts w:ascii="Arial" w:hAnsi="Arial" w:cs="Arial"/>
                <w:b/>
                <w:sz w:val="16"/>
                <w:szCs w:val="16"/>
              </w:rPr>
              <w:t>Non</w:t>
            </w:r>
            <w:r w:rsidR="001A3DD6">
              <w:rPr>
                <w:rFonts w:ascii="Arial" w:hAnsi="Arial" w:cs="Arial"/>
                <w:b/>
                <w:sz w:val="16"/>
                <w:szCs w:val="16"/>
              </w:rPr>
              <w:noBreakHyphen/>
            </w:r>
            <w:r w:rsidRPr="00EC4BA6">
              <w:rPr>
                <w:rFonts w:ascii="Arial" w:hAnsi="Arial" w:cs="Arial"/>
                <w:b/>
                <w:sz w:val="16"/>
                <w:szCs w:val="16"/>
              </w:rPr>
              <w:t>taxation receipts</w:t>
            </w:r>
          </w:p>
        </w:tc>
        <w:tc>
          <w:tcPr>
            <w:tcW w:w="728" w:type="pct"/>
            <w:tcBorders>
              <w:top w:val="single" w:sz="4" w:space="0" w:color="293F5B"/>
              <w:left w:val="nil"/>
              <w:bottom w:val="nil"/>
              <w:right w:val="nil"/>
            </w:tcBorders>
            <w:shd w:val="clear" w:color="000000" w:fill="FFFFFF"/>
            <w:noWrap/>
            <w:vAlign w:val="center"/>
            <w:hideMark/>
          </w:tcPr>
          <w:p w14:paraId="3F1023BB" w14:textId="77777777" w:rsidR="00AC4FFA" w:rsidRPr="00EC4BA6" w:rsidRDefault="00AC4FFA" w:rsidP="008F032C">
            <w:pPr>
              <w:spacing w:before="0" w:after="0" w:line="240" w:lineRule="auto"/>
              <w:jc w:val="right"/>
              <w:rPr>
                <w:rFonts w:ascii="Arial" w:hAnsi="Arial" w:cs="Arial"/>
                <w:b/>
                <w:sz w:val="16"/>
                <w:szCs w:val="16"/>
              </w:rPr>
            </w:pPr>
            <w:r w:rsidRPr="00EC4BA6">
              <w:rPr>
                <w:rFonts w:ascii="Arial" w:hAnsi="Arial" w:cs="Arial"/>
                <w:b/>
                <w:sz w:val="16"/>
                <w:szCs w:val="16"/>
              </w:rPr>
              <w:t>58,620</w:t>
            </w:r>
          </w:p>
        </w:tc>
        <w:tc>
          <w:tcPr>
            <w:tcW w:w="728" w:type="pct"/>
            <w:tcBorders>
              <w:top w:val="single" w:sz="4" w:space="0" w:color="293F5B"/>
              <w:left w:val="nil"/>
              <w:bottom w:val="nil"/>
              <w:right w:val="nil"/>
            </w:tcBorders>
            <w:shd w:val="clear" w:color="000000" w:fill="E6F2FF"/>
            <w:noWrap/>
            <w:vAlign w:val="center"/>
            <w:hideMark/>
          </w:tcPr>
          <w:p w14:paraId="69378516" w14:textId="77777777" w:rsidR="00AC4FFA" w:rsidRPr="00EC4BA6" w:rsidRDefault="00AC4FFA" w:rsidP="008F032C">
            <w:pPr>
              <w:spacing w:before="0" w:after="0" w:line="240" w:lineRule="auto"/>
              <w:jc w:val="right"/>
              <w:rPr>
                <w:rFonts w:ascii="Arial" w:hAnsi="Arial" w:cs="Arial"/>
                <w:b/>
                <w:sz w:val="16"/>
                <w:szCs w:val="16"/>
              </w:rPr>
            </w:pPr>
            <w:r w:rsidRPr="00EC4BA6">
              <w:rPr>
                <w:rFonts w:ascii="Arial" w:hAnsi="Arial" w:cs="Arial"/>
                <w:b/>
                <w:sz w:val="16"/>
                <w:szCs w:val="16"/>
              </w:rPr>
              <w:t>58,680</w:t>
            </w:r>
          </w:p>
        </w:tc>
        <w:tc>
          <w:tcPr>
            <w:tcW w:w="58" w:type="pct"/>
            <w:tcBorders>
              <w:top w:val="nil"/>
              <w:left w:val="nil"/>
              <w:bottom w:val="nil"/>
              <w:right w:val="nil"/>
            </w:tcBorders>
            <w:shd w:val="clear" w:color="auto" w:fill="auto"/>
            <w:noWrap/>
            <w:vAlign w:val="center"/>
            <w:hideMark/>
          </w:tcPr>
          <w:p w14:paraId="11F99A20" w14:textId="77777777" w:rsidR="00AC4FFA" w:rsidRPr="00EC4BA6" w:rsidRDefault="00AC4FFA" w:rsidP="008F032C">
            <w:pPr>
              <w:spacing w:before="0" w:after="0" w:line="240" w:lineRule="auto"/>
              <w:jc w:val="right"/>
              <w:rPr>
                <w:rFonts w:ascii="Arial" w:hAnsi="Arial" w:cs="Arial"/>
                <w:b/>
                <w:sz w:val="16"/>
                <w:szCs w:val="16"/>
              </w:rPr>
            </w:pPr>
          </w:p>
        </w:tc>
        <w:tc>
          <w:tcPr>
            <w:tcW w:w="741" w:type="pct"/>
            <w:tcBorders>
              <w:top w:val="single" w:sz="4" w:space="0" w:color="293F5B"/>
              <w:left w:val="nil"/>
              <w:bottom w:val="nil"/>
              <w:right w:val="nil"/>
            </w:tcBorders>
            <w:shd w:val="clear" w:color="auto" w:fill="auto"/>
            <w:noWrap/>
            <w:vAlign w:val="center"/>
            <w:hideMark/>
          </w:tcPr>
          <w:p w14:paraId="2F9A7E24" w14:textId="77777777" w:rsidR="00AC4FFA" w:rsidRPr="00EC4BA6" w:rsidRDefault="00AC4FFA" w:rsidP="008F032C">
            <w:pPr>
              <w:spacing w:before="0" w:after="0" w:line="240" w:lineRule="auto"/>
              <w:jc w:val="right"/>
              <w:rPr>
                <w:rFonts w:ascii="Arial" w:hAnsi="Arial" w:cs="Arial"/>
                <w:b/>
                <w:sz w:val="16"/>
                <w:szCs w:val="16"/>
              </w:rPr>
            </w:pPr>
            <w:r w:rsidRPr="00EC4BA6">
              <w:rPr>
                <w:rFonts w:ascii="Arial" w:hAnsi="Arial" w:cs="Arial"/>
                <w:b/>
                <w:sz w:val="16"/>
                <w:szCs w:val="16"/>
              </w:rPr>
              <w:t>60</w:t>
            </w:r>
          </w:p>
        </w:tc>
        <w:tc>
          <w:tcPr>
            <w:tcW w:w="741" w:type="pct"/>
            <w:tcBorders>
              <w:top w:val="single" w:sz="4" w:space="0" w:color="293F5B"/>
              <w:left w:val="nil"/>
              <w:bottom w:val="nil"/>
              <w:right w:val="nil"/>
            </w:tcBorders>
            <w:shd w:val="clear" w:color="auto" w:fill="auto"/>
            <w:noWrap/>
            <w:vAlign w:val="center"/>
            <w:hideMark/>
          </w:tcPr>
          <w:p w14:paraId="54E5ED9D" w14:textId="77777777" w:rsidR="00AC4FFA" w:rsidRPr="00EC4BA6" w:rsidRDefault="00AC4FFA" w:rsidP="008F032C">
            <w:pPr>
              <w:spacing w:before="0" w:after="0" w:line="240" w:lineRule="auto"/>
              <w:jc w:val="right"/>
              <w:rPr>
                <w:rFonts w:ascii="Arial" w:hAnsi="Arial" w:cs="Arial"/>
                <w:b/>
                <w:sz w:val="16"/>
                <w:szCs w:val="16"/>
              </w:rPr>
            </w:pPr>
            <w:r w:rsidRPr="00EC4BA6">
              <w:rPr>
                <w:rFonts w:ascii="Arial" w:hAnsi="Arial" w:cs="Arial"/>
                <w:b/>
                <w:sz w:val="16"/>
                <w:szCs w:val="16"/>
              </w:rPr>
              <w:t>0.1</w:t>
            </w:r>
          </w:p>
        </w:tc>
      </w:tr>
      <w:tr w:rsidR="00AC4FFA" w:rsidRPr="00EC4BA6" w14:paraId="78B7B8D5" w14:textId="77777777" w:rsidTr="00FD0567">
        <w:trPr>
          <w:trHeight w:hRule="exact" w:val="225"/>
        </w:trPr>
        <w:tc>
          <w:tcPr>
            <w:tcW w:w="2003" w:type="pct"/>
            <w:tcBorders>
              <w:top w:val="nil"/>
              <w:left w:val="nil"/>
              <w:bottom w:val="single" w:sz="4" w:space="0" w:color="293F5B"/>
              <w:right w:val="nil"/>
            </w:tcBorders>
            <w:shd w:val="clear" w:color="auto" w:fill="auto"/>
            <w:noWrap/>
            <w:vAlign w:val="center"/>
            <w:hideMark/>
          </w:tcPr>
          <w:p w14:paraId="1ADA4464" w14:textId="77777777" w:rsidR="00AC4FFA" w:rsidRPr="00EC4BA6" w:rsidRDefault="00AC4FFA" w:rsidP="008F032C">
            <w:pPr>
              <w:spacing w:before="0" w:after="0" w:line="240" w:lineRule="auto"/>
              <w:rPr>
                <w:rFonts w:ascii="Arial" w:hAnsi="Arial" w:cs="Arial"/>
                <w:b/>
                <w:sz w:val="16"/>
                <w:szCs w:val="16"/>
              </w:rPr>
            </w:pPr>
            <w:r w:rsidRPr="00EC4BA6">
              <w:rPr>
                <w:rFonts w:ascii="Arial" w:hAnsi="Arial" w:cs="Arial"/>
                <w:b/>
                <w:sz w:val="16"/>
                <w:szCs w:val="16"/>
              </w:rPr>
              <w:t>Total receipts</w:t>
            </w:r>
          </w:p>
        </w:tc>
        <w:tc>
          <w:tcPr>
            <w:tcW w:w="728" w:type="pct"/>
            <w:tcBorders>
              <w:top w:val="single" w:sz="4" w:space="0" w:color="293F5B"/>
              <w:left w:val="nil"/>
              <w:bottom w:val="single" w:sz="4" w:space="0" w:color="293F5B"/>
              <w:right w:val="nil"/>
            </w:tcBorders>
            <w:shd w:val="clear" w:color="000000" w:fill="FFFFFF"/>
            <w:noWrap/>
            <w:vAlign w:val="center"/>
            <w:hideMark/>
          </w:tcPr>
          <w:p w14:paraId="427E7D21" w14:textId="77777777" w:rsidR="00AC4FFA" w:rsidRPr="00EC4BA6" w:rsidRDefault="00AC4FFA" w:rsidP="008F032C">
            <w:pPr>
              <w:spacing w:before="0" w:after="0" w:line="240" w:lineRule="auto"/>
              <w:jc w:val="right"/>
              <w:rPr>
                <w:rFonts w:ascii="Arial" w:hAnsi="Arial" w:cs="Arial"/>
                <w:b/>
                <w:sz w:val="16"/>
                <w:szCs w:val="16"/>
              </w:rPr>
            </w:pPr>
            <w:r w:rsidRPr="00EC4BA6">
              <w:rPr>
                <w:rFonts w:ascii="Arial" w:hAnsi="Arial" w:cs="Arial"/>
                <w:b/>
                <w:sz w:val="16"/>
                <w:szCs w:val="16"/>
              </w:rPr>
              <w:t>704,184</w:t>
            </w:r>
          </w:p>
        </w:tc>
        <w:tc>
          <w:tcPr>
            <w:tcW w:w="728" w:type="pct"/>
            <w:tcBorders>
              <w:top w:val="single" w:sz="4" w:space="0" w:color="293F5B"/>
              <w:left w:val="nil"/>
              <w:bottom w:val="single" w:sz="4" w:space="0" w:color="293F5B"/>
              <w:right w:val="nil"/>
            </w:tcBorders>
            <w:shd w:val="clear" w:color="000000" w:fill="E6F2FF"/>
            <w:noWrap/>
            <w:vAlign w:val="center"/>
            <w:hideMark/>
          </w:tcPr>
          <w:p w14:paraId="09933BCD" w14:textId="77777777" w:rsidR="00AC4FFA" w:rsidRPr="00EC4BA6" w:rsidRDefault="00AC4FFA" w:rsidP="008F032C">
            <w:pPr>
              <w:spacing w:before="0" w:after="0" w:line="240" w:lineRule="auto"/>
              <w:jc w:val="right"/>
              <w:rPr>
                <w:rFonts w:ascii="Arial" w:hAnsi="Arial" w:cs="Arial"/>
                <w:b/>
                <w:sz w:val="16"/>
                <w:szCs w:val="16"/>
              </w:rPr>
            </w:pPr>
            <w:r w:rsidRPr="00EC4BA6">
              <w:rPr>
                <w:rFonts w:ascii="Arial" w:hAnsi="Arial" w:cs="Arial"/>
                <w:b/>
                <w:sz w:val="16"/>
                <w:szCs w:val="16"/>
              </w:rPr>
              <w:t>703,922</w:t>
            </w:r>
          </w:p>
        </w:tc>
        <w:tc>
          <w:tcPr>
            <w:tcW w:w="58" w:type="pct"/>
            <w:tcBorders>
              <w:top w:val="nil"/>
              <w:left w:val="nil"/>
              <w:bottom w:val="single" w:sz="4" w:space="0" w:color="293F5B"/>
              <w:right w:val="nil"/>
            </w:tcBorders>
            <w:shd w:val="clear" w:color="auto" w:fill="auto"/>
            <w:noWrap/>
            <w:vAlign w:val="center"/>
            <w:hideMark/>
          </w:tcPr>
          <w:p w14:paraId="7069CEA8" w14:textId="77777777" w:rsidR="00AC4FFA" w:rsidRPr="00EC4BA6" w:rsidRDefault="00AC4FFA" w:rsidP="008F032C">
            <w:pPr>
              <w:spacing w:before="0" w:after="0" w:line="240" w:lineRule="auto"/>
              <w:jc w:val="right"/>
              <w:rPr>
                <w:rFonts w:ascii="Arial" w:hAnsi="Arial" w:cs="Arial"/>
                <w:b/>
                <w:sz w:val="16"/>
                <w:szCs w:val="16"/>
              </w:rPr>
            </w:pPr>
            <w:r w:rsidRPr="00EC4BA6">
              <w:rPr>
                <w:rFonts w:ascii="Arial" w:hAnsi="Arial" w:cs="Arial"/>
                <w:b/>
                <w:sz w:val="16"/>
                <w:szCs w:val="16"/>
              </w:rPr>
              <w:t> </w:t>
            </w:r>
          </w:p>
        </w:tc>
        <w:tc>
          <w:tcPr>
            <w:tcW w:w="741" w:type="pct"/>
            <w:tcBorders>
              <w:top w:val="single" w:sz="4" w:space="0" w:color="293F5B"/>
              <w:left w:val="nil"/>
              <w:bottom w:val="single" w:sz="4" w:space="0" w:color="293F5B"/>
              <w:right w:val="nil"/>
            </w:tcBorders>
            <w:shd w:val="clear" w:color="auto" w:fill="auto"/>
            <w:noWrap/>
            <w:vAlign w:val="center"/>
            <w:hideMark/>
          </w:tcPr>
          <w:p w14:paraId="262A0329" w14:textId="2BAE2EDF" w:rsidR="00AC4FFA" w:rsidRPr="00EC4BA6" w:rsidRDefault="001A3DD6" w:rsidP="008F032C">
            <w:pPr>
              <w:spacing w:before="0" w:after="0" w:line="240" w:lineRule="auto"/>
              <w:jc w:val="right"/>
              <w:rPr>
                <w:rFonts w:ascii="Arial" w:hAnsi="Arial" w:cs="Arial"/>
                <w:b/>
                <w:sz w:val="16"/>
                <w:szCs w:val="16"/>
              </w:rPr>
            </w:pPr>
            <w:r>
              <w:rPr>
                <w:rFonts w:ascii="Arial" w:hAnsi="Arial" w:cs="Arial"/>
                <w:b/>
                <w:sz w:val="16"/>
                <w:szCs w:val="16"/>
              </w:rPr>
              <w:noBreakHyphen/>
            </w:r>
            <w:r w:rsidR="00AC4FFA" w:rsidRPr="00EC4BA6">
              <w:rPr>
                <w:rFonts w:ascii="Arial" w:hAnsi="Arial" w:cs="Arial"/>
                <w:b/>
                <w:sz w:val="16"/>
                <w:szCs w:val="16"/>
              </w:rPr>
              <w:t>263</w:t>
            </w:r>
          </w:p>
        </w:tc>
        <w:tc>
          <w:tcPr>
            <w:tcW w:w="741" w:type="pct"/>
            <w:tcBorders>
              <w:top w:val="single" w:sz="4" w:space="0" w:color="293F5B"/>
              <w:left w:val="nil"/>
              <w:bottom w:val="single" w:sz="4" w:space="0" w:color="293F5B"/>
              <w:right w:val="nil"/>
            </w:tcBorders>
            <w:shd w:val="clear" w:color="auto" w:fill="auto"/>
            <w:noWrap/>
            <w:vAlign w:val="center"/>
            <w:hideMark/>
          </w:tcPr>
          <w:p w14:paraId="34C806C0" w14:textId="77777777" w:rsidR="00AC4FFA" w:rsidRPr="00EC4BA6" w:rsidRDefault="00AC4FFA" w:rsidP="008F032C">
            <w:pPr>
              <w:spacing w:before="0" w:after="0" w:line="240" w:lineRule="auto"/>
              <w:jc w:val="right"/>
              <w:rPr>
                <w:rFonts w:ascii="Arial" w:hAnsi="Arial" w:cs="Arial"/>
                <w:b/>
                <w:sz w:val="16"/>
                <w:szCs w:val="16"/>
              </w:rPr>
            </w:pPr>
            <w:r w:rsidRPr="00EC4BA6">
              <w:rPr>
                <w:rFonts w:ascii="Arial" w:hAnsi="Arial" w:cs="Arial"/>
                <w:b/>
                <w:sz w:val="16"/>
                <w:szCs w:val="16"/>
              </w:rPr>
              <w:t>0.0</w:t>
            </w:r>
          </w:p>
        </w:tc>
      </w:tr>
      <w:tr w:rsidR="00AC4FFA" w:rsidRPr="00EC4BA6" w14:paraId="0465CB01" w14:textId="77777777" w:rsidTr="00FD0567">
        <w:trPr>
          <w:trHeight w:hRule="exact" w:val="225"/>
        </w:trPr>
        <w:tc>
          <w:tcPr>
            <w:tcW w:w="2003" w:type="pct"/>
            <w:tcBorders>
              <w:top w:val="nil"/>
              <w:left w:val="nil"/>
              <w:bottom w:val="nil"/>
              <w:right w:val="nil"/>
            </w:tcBorders>
            <w:shd w:val="clear" w:color="auto" w:fill="auto"/>
            <w:noWrap/>
            <w:vAlign w:val="center"/>
            <w:hideMark/>
          </w:tcPr>
          <w:p w14:paraId="3B3AAF5A" w14:textId="77777777" w:rsidR="00AC4FFA" w:rsidRPr="00EC4BA6" w:rsidRDefault="00AC4FFA" w:rsidP="008F032C">
            <w:pPr>
              <w:spacing w:before="0" w:after="0" w:line="240" w:lineRule="auto"/>
              <w:rPr>
                <w:rFonts w:ascii="Arial" w:hAnsi="Arial" w:cs="Arial"/>
                <w:i/>
                <w:sz w:val="16"/>
                <w:szCs w:val="16"/>
              </w:rPr>
            </w:pPr>
            <w:r w:rsidRPr="00EC4BA6">
              <w:rPr>
                <w:rFonts w:ascii="Arial" w:hAnsi="Arial" w:cs="Arial"/>
                <w:i/>
                <w:sz w:val="16"/>
                <w:szCs w:val="16"/>
              </w:rPr>
              <w:t>Memorandum:</w:t>
            </w:r>
          </w:p>
        </w:tc>
        <w:tc>
          <w:tcPr>
            <w:tcW w:w="728" w:type="pct"/>
            <w:tcBorders>
              <w:top w:val="nil"/>
              <w:left w:val="nil"/>
              <w:bottom w:val="nil"/>
              <w:right w:val="nil"/>
            </w:tcBorders>
            <w:shd w:val="clear" w:color="000000" w:fill="FFFFFF"/>
            <w:noWrap/>
            <w:vAlign w:val="center"/>
            <w:hideMark/>
          </w:tcPr>
          <w:p w14:paraId="5565DFCB" w14:textId="77777777" w:rsidR="00AC4FFA" w:rsidRPr="00EC4BA6" w:rsidRDefault="00AC4FFA" w:rsidP="008F032C">
            <w:pPr>
              <w:spacing w:before="0" w:after="0" w:line="240" w:lineRule="auto"/>
              <w:jc w:val="right"/>
              <w:rPr>
                <w:rFonts w:ascii="Arial" w:hAnsi="Arial" w:cs="Arial"/>
                <w:b/>
                <w:sz w:val="16"/>
                <w:szCs w:val="16"/>
              </w:rPr>
            </w:pPr>
            <w:r w:rsidRPr="00EC4BA6">
              <w:rPr>
                <w:rFonts w:ascii="Arial" w:hAnsi="Arial" w:cs="Arial"/>
                <w:b/>
                <w:sz w:val="16"/>
                <w:szCs w:val="16"/>
              </w:rPr>
              <w:t> </w:t>
            </w:r>
          </w:p>
        </w:tc>
        <w:tc>
          <w:tcPr>
            <w:tcW w:w="728" w:type="pct"/>
            <w:tcBorders>
              <w:top w:val="nil"/>
              <w:left w:val="nil"/>
              <w:bottom w:val="nil"/>
              <w:right w:val="nil"/>
            </w:tcBorders>
            <w:shd w:val="clear" w:color="000000" w:fill="E6F2FF"/>
            <w:noWrap/>
            <w:vAlign w:val="center"/>
            <w:hideMark/>
          </w:tcPr>
          <w:p w14:paraId="40474F41" w14:textId="77777777" w:rsidR="00AC4FFA" w:rsidRPr="00EC4BA6" w:rsidRDefault="00AC4FFA" w:rsidP="008F032C">
            <w:pPr>
              <w:spacing w:before="0" w:after="0" w:line="240" w:lineRule="auto"/>
              <w:rPr>
                <w:rFonts w:ascii="Arial" w:hAnsi="Arial" w:cs="Arial"/>
                <w:b/>
                <w:sz w:val="16"/>
                <w:szCs w:val="16"/>
              </w:rPr>
            </w:pPr>
            <w:r w:rsidRPr="00EC4BA6">
              <w:rPr>
                <w:rFonts w:ascii="Arial" w:hAnsi="Arial" w:cs="Arial"/>
                <w:b/>
                <w:sz w:val="16"/>
                <w:szCs w:val="16"/>
              </w:rPr>
              <w:t> </w:t>
            </w:r>
          </w:p>
        </w:tc>
        <w:tc>
          <w:tcPr>
            <w:tcW w:w="58" w:type="pct"/>
            <w:tcBorders>
              <w:top w:val="nil"/>
              <w:left w:val="nil"/>
              <w:bottom w:val="nil"/>
              <w:right w:val="nil"/>
            </w:tcBorders>
            <w:shd w:val="clear" w:color="auto" w:fill="auto"/>
            <w:noWrap/>
            <w:vAlign w:val="center"/>
            <w:hideMark/>
          </w:tcPr>
          <w:p w14:paraId="0AB848A8" w14:textId="77777777" w:rsidR="00AC4FFA" w:rsidRPr="00EC4BA6" w:rsidRDefault="00AC4FFA" w:rsidP="008F032C">
            <w:pPr>
              <w:spacing w:before="0" w:after="0" w:line="240" w:lineRule="auto"/>
              <w:rPr>
                <w:rFonts w:ascii="Arial" w:hAnsi="Arial" w:cs="Arial"/>
                <w:b/>
                <w:sz w:val="16"/>
                <w:szCs w:val="16"/>
              </w:rPr>
            </w:pPr>
          </w:p>
        </w:tc>
        <w:tc>
          <w:tcPr>
            <w:tcW w:w="741" w:type="pct"/>
            <w:tcBorders>
              <w:top w:val="nil"/>
              <w:left w:val="nil"/>
              <w:bottom w:val="nil"/>
              <w:right w:val="nil"/>
            </w:tcBorders>
            <w:shd w:val="clear" w:color="auto" w:fill="auto"/>
            <w:noWrap/>
            <w:vAlign w:val="center"/>
            <w:hideMark/>
          </w:tcPr>
          <w:p w14:paraId="5AC818EA" w14:textId="77777777" w:rsidR="00AC4FFA" w:rsidRPr="00EC4BA6" w:rsidRDefault="00AC4FFA" w:rsidP="008F032C">
            <w:pPr>
              <w:spacing w:before="0" w:after="0" w:line="240" w:lineRule="auto"/>
              <w:jc w:val="right"/>
              <w:rPr>
                <w:rFonts w:ascii="Times New Roman" w:hAnsi="Times New Roman"/>
                <w:sz w:val="20"/>
              </w:rPr>
            </w:pPr>
          </w:p>
        </w:tc>
        <w:tc>
          <w:tcPr>
            <w:tcW w:w="741" w:type="pct"/>
            <w:tcBorders>
              <w:top w:val="nil"/>
              <w:left w:val="nil"/>
              <w:bottom w:val="nil"/>
              <w:right w:val="nil"/>
            </w:tcBorders>
            <w:shd w:val="clear" w:color="auto" w:fill="auto"/>
            <w:noWrap/>
            <w:vAlign w:val="center"/>
            <w:hideMark/>
          </w:tcPr>
          <w:p w14:paraId="4970B893" w14:textId="77777777" w:rsidR="00AC4FFA" w:rsidRPr="00EC4BA6" w:rsidRDefault="00AC4FFA" w:rsidP="008F032C">
            <w:pPr>
              <w:spacing w:before="0" w:after="0" w:line="240" w:lineRule="auto"/>
              <w:jc w:val="right"/>
              <w:rPr>
                <w:rFonts w:ascii="Times New Roman" w:hAnsi="Times New Roman"/>
                <w:sz w:val="20"/>
              </w:rPr>
            </w:pPr>
          </w:p>
        </w:tc>
      </w:tr>
      <w:tr w:rsidR="00AC4FFA" w:rsidRPr="00EC4BA6" w14:paraId="24F59845" w14:textId="77777777" w:rsidTr="00FD0567">
        <w:trPr>
          <w:trHeight w:hRule="exact" w:val="225"/>
        </w:trPr>
        <w:tc>
          <w:tcPr>
            <w:tcW w:w="2003" w:type="pct"/>
            <w:tcBorders>
              <w:top w:val="nil"/>
              <w:left w:val="nil"/>
              <w:bottom w:val="nil"/>
              <w:right w:val="nil"/>
            </w:tcBorders>
            <w:shd w:val="clear" w:color="auto" w:fill="auto"/>
            <w:noWrap/>
            <w:vAlign w:val="center"/>
            <w:hideMark/>
          </w:tcPr>
          <w:p w14:paraId="5029928B" w14:textId="77777777" w:rsidR="00AC4FFA" w:rsidRPr="00EC4BA6" w:rsidRDefault="00AC4FFA" w:rsidP="008F032C">
            <w:pPr>
              <w:spacing w:before="0" w:after="0" w:line="240" w:lineRule="auto"/>
              <w:ind w:left="170"/>
              <w:rPr>
                <w:rFonts w:ascii="Arial" w:hAnsi="Arial" w:cs="Arial"/>
                <w:i/>
                <w:sz w:val="16"/>
                <w:szCs w:val="16"/>
              </w:rPr>
            </w:pPr>
            <w:r w:rsidRPr="00EC4BA6">
              <w:rPr>
                <w:rFonts w:ascii="Arial" w:hAnsi="Arial" w:cs="Arial"/>
                <w:i/>
                <w:sz w:val="16"/>
                <w:szCs w:val="16"/>
              </w:rPr>
              <w:t xml:space="preserve">Total excise </w:t>
            </w:r>
          </w:p>
        </w:tc>
        <w:tc>
          <w:tcPr>
            <w:tcW w:w="728" w:type="pct"/>
            <w:tcBorders>
              <w:top w:val="nil"/>
              <w:left w:val="nil"/>
              <w:bottom w:val="nil"/>
              <w:right w:val="nil"/>
            </w:tcBorders>
            <w:shd w:val="clear" w:color="auto" w:fill="auto"/>
            <w:noWrap/>
            <w:vAlign w:val="center"/>
            <w:hideMark/>
          </w:tcPr>
          <w:p w14:paraId="65E7CCA4" w14:textId="77777777" w:rsidR="00AC4FFA" w:rsidRPr="00EC4BA6" w:rsidRDefault="00AC4FFA" w:rsidP="008F032C">
            <w:pPr>
              <w:spacing w:before="0" w:after="0" w:line="240" w:lineRule="auto"/>
              <w:jc w:val="right"/>
              <w:rPr>
                <w:rFonts w:ascii="Arial" w:hAnsi="Arial" w:cs="Arial"/>
                <w:i/>
                <w:sz w:val="16"/>
                <w:szCs w:val="16"/>
              </w:rPr>
            </w:pPr>
            <w:r w:rsidRPr="00EC4BA6">
              <w:rPr>
                <w:rFonts w:ascii="Arial" w:hAnsi="Arial" w:cs="Arial"/>
                <w:i/>
                <w:sz w:val="16"/>
                <w:szCs w:val="16"/>
              </w:rPr>
              <w:t>31,650</w:t>
            </w:r>
          </w:p>
        </w:tc>
        <w:tc>
          <w:tcPr>
            <w:tcW w:w="728" w:type="pct"/>
            <w:tcBorders>
              <w:top w:val="nil"/>
              <w:left w:val="nil"/>
              <w:bottom w:val="nil"/>
              <w:right w:val="nil"/>
            </w:tcBorders>
            <w:shd w:val="clear" w:color="000000" w:fill="E6F2FF"/>
            <w:noWrap/>
            <w:vAlign w:val="center"/>
            <w:hideMark/>
          </w:tcPr>
          <w:p w14:paraId="08A289DF" w14:textId="77777777" w:rsidR="00AC4FFA" w:rsidRPr="00EC4BA6" w:rsidRDefault="00AC4FFA" w:rsidP="008F032C">
            <w:pPr>
              <w:spacing w:before="0" w:after="0" w:line="240" w:lineRule="auto"/>
              <w:jc w:val="right"/>
              <w:rPr>
                <w:rFonts w:ascii="Arial" w:hAnsi="Arial" w:cs="Arial"/>
                <w:i/>
                <w:sz w:val="16"/>
                <w:szCs w:val="16"/>
              </w:rPr>
            </w:pPr>
            <w:r w:rsidRPr="00EC4BA6">
              <w:rPr>
                <w:rFonts w:ascii="Arial" w:hAnsi="Arial" w:cs="Arial"/>
                <w:i/>
                <w:sz w:val="16"/>
                <w:szCs w:val="16"/>
              </w:rPr>
              <w:t>31,680</w:t>
            </w:r>
          </w:p>
        </w:tc>
        <w:tc>
          <w:tcPr>
            <w:tcW w:w="58" w:type="pct"/>
            <w:tcBorders>
              <w:top w:val="nil"/>
              <w:left w:val="nil"/>
              <w:bottom w:val="nil"/>
              <w:right w:val="nil"/>
            </w:tcBorders>
            <w:shd w:val="clear" w:color="auto" w:fill="auto"/>
            <w:noWrap/>
            <w:vAlign w:val="center"/>
            <w:hideMark/>
          </w:tcPr>
          <w:p w14:paraId="5E8FDEC4" w14:textId="77777777" w:rsidR="00AC4FFA" w:rsidRPr="00EC4BA6" w:rsidRDefault="00AC4FFA" w:rsidP="008F032C">
            <w:pPr>
              <w:spacing w:before="0" w:after="0" w:line="240" w:lineRule="auto"/>
              <w:jc w:val="right"/>
              <w:rPr>
                <w:rFonts w:ascii="Arial" w:hAnsi="Arial" w:cs="Arial"/>
                <w:i/>
                <w:sz w:val="16"/>
                <w:szCs w:val="16"/>
              </w:rPr>
            </w:pPr>
          </w:p>
        </w:tc>
        <w:tc>
          <w:tcPr>
            <w:tcW w:w="741" w:type="pct"/>
            <w:tcBorders>
              <w:top w:val="nil"/>
              <w:left w:val="nil"/>
              <w:bottom w:val="nil"/>
              <w:right w:val="nil"/>
            </w:tcBorders>
            <w:shd w:val="clear" w:color="auto" w:fill="auto"/>
            <w:noWrap/>
            <w:vAlign w:val="center"/>
            <w:hideMark/>
          </w:tcPr>
          <w:p w14:paraId="5061EC3B" w14:textId="77777777" w:rsidR="00AC4FFA" w:rsidRPr="00EC4BA6" w:rsidRDefault="00AC4FFA" w:rsidP="008F032C">
            <w:pPr>
              <w:spacing w:before="0" w:after="0" w:line="240" w:lineRule="auto"/>
              <w:jc w:val="right"/>
              <w:rPr>
                <w:rFonts w:ascii="Arial" w:hAnsi="Arial" w:cs="Arial"/>
                <w:i/>
                <w:sz w:val="16"/>
                <w:szCs w:val="16"/>
              </w:rPr>
            </w:pPr>
            <w:r w:rsidRPr="00EC4BA6">
              <w:rPr>
                <w:rFonts w:ascii="Arial" w:hAnsi="Arial" w:cs="Arial"/>
                <w:i/>
                <w:sz w:val="16"/>
                <w:szCs w:val="16"/>
              </w:rPr>
              <w:t>30</w:t>
            </w:r>
          </w:p>
        </w:tc>
        <w:tc>
          <w:tcPr>
            <w:tcW w:w="741" w:type="pct"/>
            <w:tcBorders>
              <w:top w:val="nil"/>
              <w:left w:val="nil"/>
              <w:bottom w:val="nil"/>
              <w:right w:val="nil"/>
            </w:tcBorders>
            <w:shd w:val="clear" w:color="auto" w:fill="auto"/>
            <w:noWrap/>
            <w:vAlign w:val="center"/>
            <w:hideMark/>
          </w:tcPr>
          <w:p w14:paraId="57B063E8" w14:textId="77777777" w:rsidR="00AC4FFA" w:rsidRPr="00EC4BA6" w:rsidRDefault="00AC4FFA" w:rsidP="008F032C">
            <w:pPr>
              <w:spacing w:before="0" w:after="0" w:line="240" w:lineRule="auto"/>
              <w:jc w:val="right"/>
              <w:rPr>
                <w:rFonts w:ascii="Arial" w:hAnsi="Arial" w:cs="Arial"/>
                <w:i/>
                <w:sz w:val="16"/>
                <w:szCs w:val="16"/>
              </w:rPr>
            </w:pPr>
            <w:r w:rsidRPr="00EC4BA6">
              <w:rPr>
                <w:rFonts w:ascii="Arial" w:hAnsi="Arial" w:cs="Arial"/>
                <w:i/>
                <w:sz w:val="16"/>
                <w:szCs w:val="16"/>
              </w:rPr>
              <w:t>0.1</w:t>
            </w:r>
          </w:p>
        </w:tc>
      </w:tr>
      <w:tr w:rsidR="00AC4FFA" w:rsidRPr="00EC4BA6" w14:paraId="08CD3018" w14:textId="77777777" w:rsidTr="00FD0567">
        <w:trPr>
          <w:trHeight w:hRule="exact" w:val="225"/>
        </w:trPr>
        <w:tc>
          <w:tcPr>
            <w:tcW w:w="2003" w:type="pct"/>
            <w:tcBorders>
              <w:top w:val="nil"/>
              <w:left w:val="nil"/>
              <w:bottom w:val="nil"/>
              <w:right w:val="nil"/>
            </w:tcBorders>
            <w:shd w:val="clear" w:color="auto" w:fill="auto"/>
            <w:noWrap/>
            <w:vAlign w:val="center"/>
            <w:hideMark/>
          </w:tcPr>
          <w:p w14:paraId="7CDF5280" w14:textId="77777777" w:rsidR="00AC4FFA" w:rsidRPr="00EC4BA6" w:rsidRDefault="00AC4FFA" w:rsidP="008F032C">
            <w:pPr>
              <w:spacing w:before="0" w:after="0" w:line="240" w:lineRule="auto"/>
              <w:ind w:left="170"/>
              <w:rPr>
                <w:rFonts w:ascii="Arial" w:hAnsi="Arial" w:cs="Arial"/>
                <w:i/>
                <w:sz w:val="16"/>
                <w:szCs w:val="16"/>
              </w:rPr>
            </w:pPr>
            <w:r w:rsidRPr="00EC4BA6">
              <w:rPr>
                <w:rFonts w:ascii="Arial" w:hAnsi="Arial" w:cs="Arial"/>
                <w:i/>
                <w:sz w:val="16"/>
                <w:szCs w:val="16"/>
              </w:rPr>
              <w:t xml:space="preserve">Total customs duty </w:t>
            </w:r>
          </w:p>
        </w:tc>
        <w:tc>
          <w:tcPr>
            <w:tcW w:w="728" w:type="pct"/>
            <w:tcBorders>
              <w:top w:val="nil"/>
              <w:left w:val="nil"/>
              <w:bottom w:val="nil"/>
              <w:right w:val="nil"/>
            </w:tcBorders>
            <w:shd w:val="clear" w:color="auto" w:fill="auto"/>
            <w:noWrap/>
            <w:vAlign w:val="center"/>
            <w:hideMark/>
          </w:tcPr>
          <w:p w14:paraId="1E6CE4A0" w14:textId="77777777" w:rsidR="00AC4FFA" w:rsidRPr="00EC4BA6" w:rsidRDefault="00AC4FFA" w:rsidP="008F032C">
            <w:pPr>
              <w:spacing w:before="0" w:after="0" w:line="240" w:lineRule="auto"/>
              <w:jc w:val="right"/>
              <w:rPr>
                <w:rFonts w:ascii="Arial" w:hAnsi="Arial" w:cs="Arial"/>
                <w:i/>
                <w:sz w:val="16"/>
                <w:szCs w:val="16"/>
              </w:rPr>
            </w:pPr>
            <w:r w:rsidRPr="00EC4BA6">
              <w:rPr>
                <w:rFonts w:ascii="Arial" w:hAnsi="Arial" w:cs="Arial"/>
                <w:i/>
                <w:sz w:val="16"/>
                <w:szCs w:val="16"/>
              </w:rPr>
              <w:t>12,980</w:t>
            </w:r>
          </w:p>
        </w:tc>
        <w:tc>
          <w:tcPr>
            <w:tcW w:w="728" w:type="pct"/>
            <w:tcBorders>
              <w:top w:val="nil"/>
              <w:left w:val="nil"/>
              <w:bottom w:val="nil"/>
              <w:right w:val="nil"/>
            </w:tcBorders>
            <w:shd w:val="clear" w:color="000000" w:fill="E6F2FF"/>
            <w:noWrap/>
            <w:vAlign w:val="center"/>
            <w:hideMark/>
          </w:tcPr>
          <w:p w14:paraId="528B85CC" w14:textId="77777777" w:rsidR="00AC4FFA" w:rsidRPr="00EC4BA6" w:rsidRDefault="00AC4FFA" w:rsidP="008F032C">
            <w:pPr>
              <w:spacing w:before="0" w:after="0" w:line="240" w:lineRule="auto"/>
              <w:jc w:val="right"/>
              <w:rPr>
                <w:rFonts w:ascii="Arial" w:hAnsi="Arial" w:cs="Arial"/>
                <w:i/>
                <w:sz w:val="16"/>
                <w:szCs w:val="16"/>
              </w:rPr>
            </w:pPr>
            <w:r w:rsidRPr="00EC4BA6">
              <w:rPr>
                <w:rFonts w:ascii="Arial" w:hAnsi="Arial" w:cs="Arial"/>
                <w:i/>
                <w:sz w:val="16"/>
                <w:szCs w:val="16"/>
              </w:rPr>
              <w:t>11,430</w:t>
            </w:r>
          </w:p>
        </w:tc>
        <w:tc>
          <w:tcPr>
            <w:tcW w:w="58" w:type="pct"/>
            <w:tcBorders>
              <w:top w:val="nil"/>
              <w:left w:val="nil"/>
              <w:bottom w:val="nil"/>
              <w:right w:val="nil"/>
            </w:tcBorders>
            <w:shd w:val="clear" w:color="auto" w:fill="auto"/>
            <w:noWrap/>
            <w:vAlign w:val="center"/>
            <w:hideMark/>
          </w:tcPr>
          <w:p w14:paraId="4D98BB60" w14:textId="77777777" w:rsidR="00AC4FFA" w:rsidRPr="00EC4BA6" w:rsidRDefault="00AC4FFA" w:rsidP="008F032C">
            <w:pPr>
              <w:spacing w:before="0" w:after="0" w:line="240" w:lineRule="auto"/>
              <w:jc w:val="right"/>
              <w:rPr>
                <w:rFonts w:ascii="Arial" w:hAnsi="Arial" w:cs="Arial"/>
                <w:i/>
                <w:sz w:val="16"/>
                <w:szCs w:val="16"/>
              </w:rPr>
            </w:pPr>
          </w:p>
        </w:tc>
        <w:tc>
          <w:tcPr>
            <w:tcW w:w="741" w:type="pct"/>
            <w:tcBorders>
              <w:top w:val="nil"/>
              <w:left w:val="nil"/>
              <w:bottom w:val="nil"/>
              <w:right w:val="nil"/>
            </w:tcBorders>
            <w:shd w:val="clear" w:color="auto" w:fill="auto"/>
            <w:noWrap/>
            <w:vAlign w:val="center"/>
            <w:hideMark/>
          </w:tcPr>
          <w:p w14:paraId="77592AA9" w14:textId="0D569FAF" w:rsidR="00AC4FFA" w:rsidRPr="00EC4BA6" w:rsidRDefault="001A3DD6" w:rsidP="008F032C">
            <w:pPr>
              <w:spacing w:before="0" w:after="0" w:line="240" w:lineRule="auto"/>
              <w:jc w:val="right"/>
              <w:rPr>
                <w:rFonts w:ascii="Arial" w:hAnsi="Arial" w:cs="Arial"/>
                <w:i/>
                <w:sz w:val="16"/>
                <w:szCs w:val="16"/>
              </w:rPr>
            </w:pPr>
            <w:r>
              <w:rPr>
                <w:rFonts w:ascii="Arial" w:hAnsi="Arial" w:cs="Arial"/>
                <w:i/>
                <w:sz w:val="16"/>
                <w:szCs w:val="16"/>
              </w:rPr>
              <w:noBreakHyphen/>
            </w:r>
            <w:r w:rsidR="00AC4FFA" w:rsidRPr="00EC4BA6">
              <w:rPr>
                <w:rFonts w:ascii="Arial" w:hAnsi="Arial" w:cs="Arial"/>
                <w:i/>
                <w:sz w:val="16"/>
                <w:szCs w:val="16"/>
              </w:rPr>
              <w:t>1,550</w:t>
            </w:r>
          </w:p>
        </w:tc>
        <w:tc>
          <w:tcPr>
            <w:tcW w:w="741" w:type="pct"/>
            <w:tcBorders>
              <w:top w:val="nil"/>
              <w:left w:val="nil"/>
              <w:bottom w:val="nil"/>
              <w:right w:val="nil"/>
            </w:tcBorders>
            <w:shd w:val="clear" w:color="auto" w:fill="auto"/>
            <w:noWrap/>
            <w:vAlign w:val="center"/>
            <w:hideMark/>
          </w:tcPr>
          <w:p w14:paraId="32C69EF7" w14:textId="4C81B77F" w:rsidR="00AC4FFA" w:rsidRPr="00EC4BA6" w:rsidRDefault="001A3DD6" w:rsidP="008F032C">
            <w:pPr>
              <w:spacing w:before="0" w:after="0" w:line="240" w:lineRule="auto"/>
              <w:jc w:val="right"/>
              <w:rPr>
                <w:rFonts w:ascii="Arial" w:hAnsi="Arial" w:cs="Arial"/>
                <w:i/>
                <w:sz w:val="16"/>
                <w:szCs w:val="16"/>
              </w:rPr>
            </w:pPr>
            <w:r>
              <w:rPr>
                <w:rFonts w:ascii="Arial" w:hAnsi="Arial" w:cs="Arial"/>
                <w:i/>
                <w:sz w:val="16"/>
                <w:szCs w:val="16"/>
              </w:rPr>
              <w:noBreakHyphen/>
            </w:r>
            <w:r w:rsidR="00AC4FFA" w:rsidRPr="00EC4BA6">
              <w:rPr>
                <w:rFonts w:ascii="Arial" w:hAnsi="Arial" w:cs="Arial"/>
                <w:i/>
                <w:sz w:val="16"/>
                <w:szCs w:val="16"/>
              </w:rPr>
              <w:t>11.9</w:t>
            </w:r>
          </w:p>
        </w:tc>
      </w:tr>
      <w:tr w:rsidR="00AC4FFA" w:rsidRPr="00EC4BA6" w14:paraId="59B52660" w14:textId="77777777" w:rsidTr="00FD0567">
        <w:trPr>
          <w:trHeight w:hRule="exact" w:val="225"/>
        </w:trPr>
        <w:tc>
          <w:tcPr>
            <w:tcW w:w="2003" w:type="pct"/>
            <w:tcBorders>
              <w:top w:val="nil"/>
              <w:left w:val="nil"/>
              <w:bottom w:val="single" w:sz="4" w:space="0" w:color="293F5B"/>
              <w:right w:val="nil"/>
            </w:tcBorders>
            <w:shd w:val="clear" w:color="auto" w:fill="auto"/>
            <w:noWrap/>
            <w:vAlign w:val="center"/>
            <w:hideMark/>
          </w:tcPr>
          <w:p w14:paraId="42BAAB56" w14:textId="77777777" w:rsidR="00AC4FFA" w:rsidRPr="00EC4BA6" w:rsidRDefault="00AC4FFA" w:rsidP="008F032C">
            <w:pPr>
              <w:spacing w:before="0" w:after="0" w:line="240" w:lineRule="auto"/>
              <w:ind w:left="170"/>
              <w:rPr>
                <w:rFonts w:ascii="Arial" w:hAnsi="Arial" w:cs="Arial"/>
                <w:i/>
                <w:sz w:val="16"/>
                <w:szCs w:val="16"/>
              </w:rPr>
            </w:pPr>
            <w:r w:rsidRPr="00EC4BA6">
              <w:rPr>
                <w:rFonts w:ascii="Arial" w:hAnsi="Arial" w:cs="Arial"/>
                <w:i/>
                <w:sz w:val="16"/>
                <w:szCs w:val="16"/>
              </w:rPr>
              <w:t>Capital gains tax(b)</w:t>
            </w:r>
          </w:p>
        </w:tc>
        <w:tc>
          <w:tcPr>
            <w:tcW w:w="728" w:type="pct"/>
            <w:tcBorders>
              <w:top w:val="nil"/>
              <w:left w:val="nil"/>
              <w:bottom w:val="single" w:sz="4" w:space="0" w:color="293F5B"/>
              <w:right w:val="nil"/>
            </w:tcBorders>
            <w:shd w:val="clear" w:color="000000" w:fill="FFFFFF"/>
            <w:noWrap/>
            <w:vAlign w:val="center"/>
            <w:hideMark/>
          </w:tcPr>
          <w:p w14:paraId="0E4BD8F0" w14:textId="77777777" w:rsidR="00AC4FFA" w:rsidRPr="00EC4BA6" w:rsidRDefault="00AC4FFA" w:rsidP="008F032C">
            <w:pPr>
              <w:spacing w:before="0" w:after="0" w:line="240" w:lineRule="auto"/>
              <w:jc w:val="right"/>
              <w:rPr>
                <w:rFonts w:ascii="Arial" w:hAnsi="Arial" w:cs="Arial"/>
                <w:i/>
                <w:sz w:val="16"/>
                <w:szCs w:val="16"/>
              </w:rPr>
            </w:pPr>
            <w:r w:rsidRPr="00EC4BA6">
              <w:rPr>
                <w:rFonts w:ascii="Arial" w:hAnsi="Arial" w:cs="Arial"/>
                <w:i/>
                <w:sz w:val="16"/>
                <w:szCs w:val="16"/>
              </w:rPr>
              <w:t>29,900</w:t>
            </w:r>
          </w:p>
        </w:tc>
        <w:tc>
          <w:tcPr>
            <w:tcW w:w="728" w:type="pct"/>
            <w:tcBorders>
              <w:top w:val="nil"/>
              <w:left w:val="nil"/>
              <w:bottom w:val="single" w:sz="4" w:space="0" w:color="293F5B"/>
              <w:right w:val="nil"/>
            </w:tcBorders>
            <w:shd w:val="clear" w:color="000000" w:fill="E6F2FF"/>
            <w:noWrap/>
            <w:vAlign w:val="center"/>
            <w:hideMark/>
          </w:tcPr>
          <w:p w14:paraId="0ECE28BC" w14:textId="77777777" w:rsidR="00AC4FFA" w:rsidRPr="00EC4BA6" w:rsidRDefault="00AC4FFA" w:rsidP="008F032C">
            <w:pPr>
              <w:spacing w:before="0" w:after="0" w:line="240" w:lineRule="auto"/>
              <w:jc w:val="right"/>
              <w:rPr>
                <w:rFonts w:ascii="Arial" w:hAnsi="Arial" w:cs="Arial"/>
                <w:i/>
                <w:sz w:val="16"/>
                <w:szCs w:val="16"/>
              </w:rPr>
            </w:pPr>
            <w:r w:rsidRPr="00EC4BA6">
              <w:rPr>
                <w:rFonts w:ascii="Arial" w:hAnsi="Arial" w:cs="Arial"/>
                <w:i/>
                <w:sz w:val="16"/>
                <w:szCs w:val="16"/>
              </w:rPr>
              <w:t>30,700</w:t>
            </w:r>
          </w:p>
        </w:tc>
        <w:tc>
          <w:tcPr>
            <w:tcW w:w="58" w:type="pct"/>
            <w:tcBorders>
              <w:top w:val="nil"/>
              <w:left w:val="nil"/>
              <w:bottom w:val="single" w:sz="4" w:space="0" w:color="293F5B"/>
              <w:right w:val="nil"/>
            </w:tcBorders>
            <w:shd w:val="clear" w:color="auto" w:fill="auto"/>
            <w:noWrap/>
            <w:vAlign w:val="center"/>
            <w:hideMark/>
          </w:tcPr>
          <w:p w14:paraId="15FD7AF5" w14:textId="77777777" w:rsidR="00AC4FFA" w:rsidRPr="00EC4BA6" w:rsidRDefault="00AC4FFA" w:rsidP="008F032C">
            <w:pPr>
              <w:spacing w:before="0" w:after="0" w:line="240" w:lineRule="auto"/>
              <w:jc w:val="right"/>
              <w:rPr>
                <w:rFonts w:ascii="Arial" w:hAnsi="Arial" w:cs="Arial"/>
                <w:i/>
                <w:sz w:val="16"/>
                <w:szCs w:val="16"/>
              </w:rPr>
            </w:pPr>
            <w:r w:rsidRPr="00EC4BA6">
              <w:rPr>
                <w:rFonts w:ascii="Arial" w:hAnsi="Arial" w:cs="Arial"/>
                <w:i/>
                <w:sz w:val="16"/>
                <w:szCs w:val="16"/>
              </w:rPr>
              <w:t> </w:t>
            </w:r>
          </w:p>
        </w:tc>
        <w:tc>
          <w:tcPr>
            <w:tcW w:w="741" w:type="pct"/>
            <w:tcBorders>
              <w:top w:val="nil"/>
              <w:left w:val="nil"/>
              <w:bottom w:val="single" w:sz="4" w:space="0" w:color="293F5B"/>
              <w:right w:val="nil"/>
            </w:tcBorders>
            <w:shd w:val="clear" w:color="auto" w:fill="auto"/>
            <w:noWrap/>
            <w:vAlign w:val="center"/>
            <w:hideMark/>
          </w:tcPr>
          <w:p w14:paraId="3862C77F" w14:textId="77777777" w:rsidR="00AC4FFA" w:rsidRPr="00EC4BA6" w:rsidRDefault="00AC4FFA" w:rsidP="008F032C">
            <w:pPr>
              <w:spacing w:before="0" w:after="0" w:line="240" w:lineRule="auto"/>
              <w:jc w:val="right"/>
              <w:rPr>
                <w:rFonts w:ascii="Arial" w:hAnsi="Arial" w:cs="Arial"/>
                <w:i/>
                <w:sz w:val="16"/>
                <w:szCs w:val="16"/>
              </w:rPr>
            </w:pPr>
            <w:r w:rsidRPr="00EC4BA6">
              <w:rPr>
                <w:rFonts w:ascii="Arial" w:hAnsi="Arial" w:cs="Arial"/>
                <w:i/>
                <w:sz w:val="16"/>
                <w:szCs w:val="16"/>
              </w:rPr>
              <w:t>800</w:t>
            </w:r>
          </w:p>
        </w:tc>
        <w:tc>
          <w:tcPr>
            <w:tcW w:w="741" w:type="pct"/>
            <w:tcBorders>
              <w:top w:val="nil"/>
              <w:left w:val="nil"/>
              <w:bottom w:val="single" w:sz="4" w:space="0" w:color="293F5B"/>
              <w:right w:val="nil"/>
            </w:tcBorders>
            <w:shd w:val="clear" w:color="auto" w:fill="auto"/>
            <w:noWrap/>
            <w:vAlign w:val="center"/>
            <w:hideMark/>
          </w:tcPr>
          <w:p w14:paraId="408C1958" w14:textId="77777777" w:rsidR="00AC4FFA" w:rsidRPr="00EC4BA6" w:rsidRDefault="00AC4FFA" w:rsidP="008F032C">
            <w:pPr>
              <w:spacing w:before="0" w:after="0" w:line="240" w:lineRule="auto"/>
              <w:jc w:val="right"/>
              <w:rPr>
                <w:rFonts w:ascii="Arial" w:hAnsi="Arial" w:cs="Arial"/>
                <w:i/>
                <w:sz w:val="16"/>
                <w:szCs w:val="16"/>
              </w:rPr>
            </w:pPr>
            <w:r w:rsidRPr="00EC4BA6">
              <w:rPr>
                <w:rFonts w:ascii="Arial" w:hAnsi="Arial" w:cs="Arial"/>
                <w:i/>
                <w:sz w:val="16"/>
                <w:szCs w:val="16"/>
              </w:rPr>
              <w:t>2.7</w:t>
            </w:r>
          </w:p>
        </w:tc>
      </w:tr>
    </w:tbl>
    <w:p w14:paraId="59A22DBD" w14:textId="01D69336" w:rsidR="00DF4D4F" w:rsidRPr="00EC4BA6" w:rsidRDefault="001A3DD6" w:rsidP="00C13F69">
      <w:pPr>
        <w:pStyle w:val="ChartandTableFootnoteAlpha"/>
        <w:numPr>
          <w:ilvl w:val="0"/>
          <w:numId w:val="41"/>
        </w:numPr>
        <w:rPr>
          <w:color w:val="auto"/>
        </w:rPr>
      </w:pPr>
      <w:r>
        <w:rPr>
          <w:color w:val="auto"/>
        </w:rPr>
        <w:t>‘</w:t>
      </w:r>
      <w:r w:rsidR="00DF4D4F" w:rsidRPr="00EC4BA6">
        <w:rPr>
          <w:color w:val="auto"/>
        </w:rPr>
        <w:t>Other alcoholic beverages</w:t>
      </w:r>
      <w:r>
        <w:rPr>
          <w:color w:val="auto"/>
        </w:rPr>
        <w:t>’</w:t>
      </w:r>
      <w:r w:rsidR="00DF4D4F" w:rsidRPr="00EC4BA6">
        <w:rPr>
          <w:color w:val="auto"/>
        </w:rPr>
        <w:t xml:space="preserve"> are those not exceeding 10 per cent by volume of alcohol (excluding beer, brandy and wine). </w:t>
      </w:r>
    </w:p>
    <w:p w14:paraId="3DC1A27F" w14:textId="4A4B4C7D" w:rsidR="00DF4D4F" w:rsidRPr="00EC4BA6" w:rsidRDefault="001A3DD6" w:rsidP="009125C5">
      <w:pPr>
        <w:pStyle w:val="ChartandTableFootnoteAlpha"/>
        <w:numPr>
          <w:ilvl w:val="0"/>
          <w:numId w:val="41"/>
        </w:numPr>
        <w:rPr>
          <w:color w:val="auto"/>
        </w:rPr>
      </w:pPr>
      <w:r>
        <w:rPr>
          <w:color w:val="auto"/>
        </w:rPr>
        <w:t>‘</w:t>
      </w:r>
      <w:r w:rsidR="00DF4D4F" w:rsidRPr="00EC4BA6">
        <w:rPr>
          <w:color w:val="auto"/>
        </w:rPr>
        <w:t>Capital gains tax</w:t>
      </w:r>
      <w:r>
        <w:rPr>
          <w:color w:val="auto"/>
        </w:rPr>
        <w:t>’</w:t>
      </w:r>
      <w:r w:rsidR="00DF4D4F" w:rsidRPr="00EC4BA6">
        <w:rPr>
          <w:color w:val="auto"/>
        </w:rPr>
        <w:t xml:space="preserve"> is part of gross other individuals, company tax and superannuation fund taxes.</w:t>
      </w:r>
    </w:p>
    <w:p w14:paraId="4883BF1F" w14:textId="77777777" w:rsidR="00DF4D4F" w:rsidRPr="00EC4BA6" w:rsidRDefault="00DF4D4F" w:rsidP="009125C5">
      <w:pPr>
        <w:pStyle w:val="TableLine"/>
      </w:pPr>
    </w:p>
    <w:p w14:paraId="20DB1575" w14:textId="4D66F51F" w:rsidR="00AA042E" w:rsidRPr="00EC4BA6" w:rsidRDefault="00DF4D4F" w:rsidP="00AA042E">
      <w:pPr>
        <w:pStyle w:val="TableHeading"/>
        <w:rPr>
          <w:rFonts w:asciiTheme="minorHAnsi" w:eastAsiaTheme="minorHAnsi" w:hAnsiTheme="minorHAnsi" w:cstheme="minorBidi"/>
          <w:sz w:val="22"/>
          <w:szCs w:val="22"/>
          <w:lang w:eastAsia="en-US"/>
        </w:rPr>
      </w:pPr>
      <w:r w:rsidRPr="00EC4BA6">
        <w:lastRenderedPageBreak/>
        <w:t xml:space="preserve">Table </w:t>
      </w:r>
      <w:r w:rsidR="008F3AA1" w:rsidRPr="00EC4BA6">
        <w:t>4</w:t>
      </w:r>
      <w:r w:rsidRPr="00EC4BA6">
        <w:t>.6: Reconciliation of 202</w:t>
      </w:r>
      <w:r w:rsidR="009955E3" w:rsidRPr="00EC4BA6">
        <w:t>5</w:t>
      </w:r>
      <w:r w:rsidRPr="00EC4BA6">
        <w:t>–2</w:t>
      </w:r>
      <w:r w:rsidR="009955E3" w:rsidRPr="00EC4BA6">
        <w:t>6</w:t>
      </w:r>
      <w:r w:rsidRPr="00EC4BA6">
        <w:t xml:space="preserve"> general government (cash) receipts</w:t>
      </w:r>
    </w:p>
    <w:tbl>
      <w:tblPr>
        <w:tblW w:w="5000" w:type="pct"/>
        <w:tblCellMar>
          <w:left w:w="0" w:type="dxa"/>
          <w:right w:w="28" w:type="dxa"/>
        </w:tblCellMar>
        <w:tblLook w:val="04A0" w:firstRow="1" w:lastRow="0" w:firstColumn="1" w:lastColumn="0" w:noHBand="0" w:noVBand="1"/>
      </w:tblPr>
      <w:tblGrid>
        <w:gridCol w:w="3074"/>
        <w:gridCol w:w="1137"/>
        <w:gridCol w:w="1138"/>
        <w:gridCol w:w="89"/>
        <w:gridCol w:w="1136"/>
        <w:gridCol w:w="1136"/>
      </w:tblGrid>
      <w:tr w:rsidR="00AA042E" w:rsidRPr="00EC4BA6" w14:paraId="35E2B125" w14:textId="77777777" w:rsidTr="00AA042E">
        <w:trPr>
          <w:trHeight w:hRule="exact" w:val="225"/>
        </w:trPr>
        <w:tc>
          <w:tcPr>
            <w:tcW w:w="1993" w:type="pct"/>
            <w:tcBorders>
              <w:top w:val="single" w:sz="4" w:space="0" w:color="293F5B"/>
              <w:left w:val="nil"/>
              <w:bottom w:val="nil"/>
              <w:right w:val="nil"/>
            </w:tcBorders>
            <w:shd w:val="clear" w:color="auto" w:fill="auto"/>
            <w:noWrap/>
            <w:vAlign w:val="center"/>
            <w:hideMark/>
          </w:tcPr>
          <w:p w14:paraId="31387E83" w14:textId="0DC3853C" w:rsidR="00AA042E" w:rsidRPr="00EC4BA6" w:rsidRDefault="00AA042E" w:rsidP="00AA042E">
            <w:pPr>
              <w:spacing w:before="0" w:after="0" w:line="240" w:lineRule="auto"/>
              <w:rPr>
                <w:rFonts w:ascii="Arial" w:hAnsi="Arial" w:cs="Arial"/>
                <w:sz w:val="16"/>
                <w:szCs w:val="16"/>
              </w:rPr>
            </w:pPr>
            <w:r w:rsidRPr="00EC4BA6">
              <w:rPr>
                <w:rFonts w:ascii="Arial" w:hAnsi="Arial" w:cs="Arial"/>
                <w:sz w:val="16"/>
                <w:szCs w:val="16"/>
              </w:rPr>
              <w:t> </w:t>
            </w:r>
          </w:p>
        </w:tc>
        <w:tc>
          <w:tcPr>
            <w:tcW w:w="1475" w:type="pct"/>
            <w:gridSpan w:val="2"/>
            <w:tcBorders>
              <w:top w:val="single" w:sz="4" w:space="0" w:color="293F5B"/>
              <w:left w:val="nil"/>
              <w:bottom w:val="nil"/>
              <w:right w:val="nil"/>
            </w:tcBorders>
            <w:shd w:val="clear" w:color="auto" w:fill="auto"/>
            <w:noWrap/>
            <w:vAlign w:val="center"/>
            <w:hideMark/>
          </w:tcPr>
          <w:p w14:paraId="5F5A46BF" w14:textId="77777777" w:rsidR="00AA042E" w:rsidRPr="00EC4BA6" w:rsidRDefault="00AA042E" w:rsidP="00AA042E">
            <w:pPr>
              <w:spacing w:before="0" w:after="0" w:line="240" w:lineRule="auto"/>
              <w:jc w:val="center"/>
              <w:rPr>
                <w:rFonts w:ascii="Arial" w:hAnsi="Arial" w:cs="Arial"/>
                <w:sz w:val="16"/>
                <w:szCs w:val="16"/>
              </w:rPr>
            </w:pPr>
            <w:r w:rsidRPr="00EC4BA6">
              <w:rPr>
                <w:rFonts w:ascii="Arial" w:hAnsi="Arial" w:cs="Arial"/>
                <w:sz w:val="16"/>
                <w:szCs w:val="16"/>
              </w:rPr>
              <w:t>Estimates</w:t>
            </w:r>
          </w:p>
        </w:tc>
        <w:tc>
          <w:tcPr>
            <w:tcW w:w="58" w:type="pct"/>
            <w:tcBorders>
              <w:top w:val="single" w:sz="4" w:space="0" w:color="293F5B"/>
              <w:left w:val="nil"/>
              <w:bottom w:val="nil"/>
              <w:right w:val="nil"/>
            </w:tcBorders>
            <w:shd w:val="clear" w:color="auto" w:fill="auto"/>
            <w:noWrap/>
            <w:vAlign w:val="center"/>
            <w:hideMark/>
          </w:tcPr>
          <w:p w14:paraId="25590174"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 </w:t>
            </w:r>
          </w:p>
        </w:tc>
        <w:tc>
          <w:tcPr>
            <w:tcW w:w="1475" w:type="pct"/>
            <w:gridSpan w:val="2"/>
            <w:tcBorders>
              <w:top w:val="single" w:sz="4" w:space="0" w:color="293F5B"/>
              <w:left w:val="nil"/>
              <w:bottom w:val="nil"/>
              <w:right w:val="nil"/>
            </w:tcBorders>
            <w:shd w:val="clear" w:color="auto" w:fill="auto"/>
            <w:noWrap/>
            <w:vAlign w:val="center"/>
            <w:hideMark/>
          </w:tcPr>
          <w:p w14:paraId="6299807A" w14:textId="77777777" w:rsidR="00AA042E" w:rsidRPr="00EC4BA6" w:rsidRDefault="00AA042E" w:rsidP="00AA042E">
            <w:pPr>
              <w:spacing w:before="0" w:after="0" w:line="240" w:lineRule="auto"/>
              <w:jc w:val="center"/>
              <w:rPr>
                <w:rFonts w:ascii="Arial" w:hAnsi="Arial" w:cs="Arial"/>
                <w:sz w:val="16"/>
                <w:szCs w:val="16"/>
              </w:rPr>
            </w:pPr>
            <w:r w:rsidRPr="00EC4BA6">
              <w:rPr>
                <w:rFonts w:ascii="Arial" w:hAnsi="Arial" w:cs="Arial"/>
                <w:sz w:val="16"/>
                <w:szCs w:val="16"/>
              </w:rPr>
              <w:t>Change on MYEFO</w:t>
            </w:r>
          </w:p>
        </w:tc>
      </w:tr>
      <w:tr w:rsidR="00AA042E" w:rsidRPr="00EC4BA6" w14:paraId="7F513A63" w14:textId="77777777" w:rsidTr="00AA042E">
        <w:trPr>
          <w:trHeight w:hRule="exact" w:val="225"/>
        </w:trPr>
        <w:tc>
          <w:tcPr>
            <w:tcW w:w="1993" w:type="pct"/>
            <w:tcBorders>
              <w:top w:val="nil"/>
              <w:left w:val="nil"/>
              <w:bottom w:val="nil"/>
              <w:right w:val="nil"/>
            </w:tcBorders>
            <w:shd w:val="clear" w:color="auto" w:fill="auto"/>
            <w:noWrap/>
            <w:vAlign w:val="center"/>
            <w:hideMark/>
          </w:tcPr>
          <w:p w14:paraId="54B2B6B3" w14:textId="77777777" w:rsidR="00AA042E" w:rsidRPr="00EC4BA6" w:rsidRDefault="00AA042E" w:rsidP="00AA042E">
            <w:pPr>
              <w:spacing w:before="0" w:after="0" w:line="240" w:lineRule="auto"/>
              <w:jc w:val="center"/>
              <w:rPr>
                <w:rFonts w:ascii="Arial" w:hAnsi="Arial" w:cs="Arial"/>
                <w:sz w:val="16"/>
                <w:szCs w:val="16"/>
              </w:rPr>
            </w:pPr>
          </w:p>
        </w:tc>
        <w:tc>
          <w:tcPr>
            <w:tcW w:w="737" w:type="pct"/>
            <w:tcBorders>
              <w:top w:val="single" w:sz="4" w:space="0" w:color="293F5B"/>
              <w:left w:val="nil"/>
              <w:bottom w:val="nil"/>
              <w:right w:val="nil"/>
            </w:tcBorders>
            <w:shd w:val="clear" w:color="000000" w:fill="FFFFFF"/>
            <w:noWrap/>
            <w:vAlign w:val="center"/>
            <w:hideMark/>
          </w:tcPr>
          <w:p w14:paraId="6717DE32"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MYEFO</w:t>
            </w:r>
          </w:p>
        </w:tc>
        <w:tc>
          <w:tcPr>
            <w:tcW w:w="737" w:type="pct"/>
            <w:tcBorders>
              <w:top w:val="single" w:sz="4" w:space="0" w:color="293F5B"/>
              <w:left w:val="nil"/>
              <w:bottom w:val="nil"/>
              <w:right w:val="nil"/>
            </w:tcBorders>
            <w:shd w:val="clear" w:color="000000" w:fill="E6F2FF"/>
            <w:noWrap/>
            <w:vAlign w:val="center"/>
            <w:hideMark/>
          </w:tcPr>
          <w:p w14:paraId="19B416F5"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Budget</w:t>
            </w:r>
          </w:p>
        </w:tc>
        <w:tc>
          <w:tcPr>
            <w:tcW w:w="58" w:type="pct"/>
            <w:tcBorders>
              <w:top w:val="nil"/>
              <w:left w:val="nil"/>
              <w:bottom w:val="nil"/>
              <w:right w:val="nil"/>
            </w:tcBorders>
            <w:shd w:val="clear" w:color="auto" w:fill="auto"/>
            <w:noWrap/>
            <w:vAlign w:val="center"/>
            <w:hideMark/>
          </w:tcPr>
          <w:p w14:paraId="2CE172F9" w14:textId="77777777" w:rsidR="00AA042E" w:rsidRPr="00EC4BA6" w:rsidRDefault="00AA042E" w:rsidP="00AA042E">
            <w:pPr>
              <w:spacing w:before="0" w:after="0" w:line="240" w:lineRule="auto"/>
              <w:jc w:val="right"/>
              <w:rPr>
                <w:rFonts w:ascii="Arial" w:hAnsi="Arial" w:cs="Arial"/>
                <w:sz w:val="16"/>
                <w:szCs w:val="16"/>
              </w:rPr>
            </w:pPr>
          </w:p>
        </w:tc>
        <w:tc>
          <w:tcPr>
            <w:tcW w:w="737" w:type="pct"/>
            <w:tcBorders>
              <w:top w:val="single" w:sz="4" w:space="0" w:color="293F5B"/>
              <w:left w:val="nil"/>
              <w:bottom w:val="nil"/>
              <w:right w:val="nil"/>
            </w:tcBorders>
            <w:shd w:val="clear" w:color="auto" w:fill="auto"/>
            <w:noWrap/>
            <w:vAlign w:val="center"/>
            <w:hideMark/>
          </w:tcPr>
          <w:p w14:paraId="60047640"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 </w:t>
            </w:r>
          </w:p>
        </w:tc>
        <w:tc>
          <w:tcPr>
            <w:tcW w:w="737" w:type="pct"/>
            <w:tcBorders>
              <w:top w:val="single" w:sz="4" w:space="0" w:color="293F5B"/>
              <w:left w:val="nil"/>
              <w:bottom w:val="nil"/>
              <w:right w:val="nil"/>
            </w:tcBorders>
            <w:shd w:val="clear" w:color="auto" w:fill="auto"/>
            <w:noWrap/>
            <w:vAlign w:val="center"/>
            <w:hideMark/>
          </w:tcPr>
          <w:p w14:paraId="26394D25"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 </w:t>
            </w:r>
          </w:p>
        </w:tc>
      </w:tr>
      <w:tr w:rsidR="00AA042E" w:rsidRPr="00EC4BA6" w14:paraId="69C6ED0E" w14:textId="77777777" w:rsidTr="00AA042E">
        <w:trPr>
          <w:trHeight w:hRule="exact" w:val="225"/>
        </w:trPr>
        <w:tc>
          <w:tcPr>
            <w:tcW w:w="1993" w:type="pct"/>
            <w:tcBorders>
              <w:top w:val="nil"/>
              <w:left w:val="nil"/>
              <w:bottom w:val="nil"/>
              <w:right w:val="nil"/>
            </w:tcBorders>
            <w:shd w:val="clear" w:color="auto" w:fill="auto"/>
            <w:vAlign w:val="center"/>
            <w:hideMark/>
          </w:tcPr>
          <w:p w14:paraId="6A39DFC6" w14:textId="77777777" w:rsidR="00AA042E" w:rsidRPr="00EC4BA6" w:rsidRDefault="00AA042E" w:rsidP="00AA042E">
            <w:pPr>
              <w:spacing w:before="0" w:after="0" w:line="240" w:lineRule="auto"/>
              <w:jc w:val="right"/>
              <w:rPr>
                <w:rFonts w:ascii="Arial" w:hAnsi="Arial" w:cs="Arial"/>
                <w:sz w:val="16"/>
                <w:szCs w:val="16"/>
              </w:rPr>
            </w:pPr>
          </w:p>
        </w:tc>
        <w:tc>
          <w:tcPr>
            <w:tcW w:w="737" w:type="pct"/>
            <w:tcBorders>
              <w:top w:val="nil"/>
              <w:left w:val="nil"/>
              <w:bottom w:val="nil"/>
              <w:right w:val="nil"/>
            </w:tcBorders>
            <w:shd w:val="clear" w:color="auto" w:fill="auto"/>
            <w:vAlign w:val="center"/>
            <w:hideMark/>
          </w:tcPr>
          <w:p w14:paraId="494A99DA"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$m</w:t>
            </w:r>
          </w:p>
        </w:tc>
        <w:tc>
          <w:tcPr>
            <w:tcW w:w="737" w:type="pct"/>
            <w:tcBorders>
              <w:top w:val="nil"/>
              <w:left w:val="nil"/>
              <w:bottom w:val="nil"/>
              <w:right w:val="nil"/>
            </w:tcBorders>
            <w:shd w:val="clear" w:color="000000" w:fill="E6F2FF"/>
            <w:noWrap/>
            <w:vAlign w:val="center"/>
            <w:hideMark/>
          </w:tcPr>
          <w:p w14:paraId="4DFD21C0"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$m</w:t>
            </w:r>
          </w:p>
        </w:tc>
        <w:tc>
          <w:tcPr>
            <w:tcW w:w="58" w:type="pct"/>
            <w:tcBorders>
              <w:top w:val="nil"/>
              <w:left w:val="nil"/>
              <w:bottom w:val="nil"/>
              <w:right w:val="nil"/>
            </w:tcBorders>
            <w:shd w:val="clear" w:color="auto" w:fill="auto"/>
            <w:vAlign w:val="center"/>
            <w:hideMark/>
          </w:tcPr>
          <w:p w14:paraId="0304AFA0" w14:textId="77777777" w:rsidR="00AA042E" w:rsidRPr="00EC4BA6" w:rsidRDefault="00AA042E" w:rsidP="00AA042E">
            <w:pPr>
              <w:spacing w:before="0" w:after="0" w:line="240" w:lineRule="auto"/>
              <w:jc w:val="right"/>
              <w:rPr>
                <w:rFonts w:ascii="Arial" w:hAnsi="Arial" w:cs="Arial"/>
                <w:sz w:val="16"/>
                <w:szCs w:val="16"/>
              </w:rPr>
            </w:pPr>
          </w:p>
        </w:tc>
        <w:tc>
          <w:tcPr>
            <w:tcW w:w="737" w:type="pct"/>
            <w:tcBorders>
              <w:top w:val="nil"/>
              <w:left w:val="nil"/>
              <w:bottom w:val="nil"/>
              <w:right w:val="nil"/>
            </w:tcBorders>
            <w:shd w:val="clear" w:color="auto" w:fill="auto"/>
            <w:vAlign w:val="center"/>
            <w:hideMark/>
          </w:tcPr>
          <w:p w14:paraId="65D23DAD"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$m</w:t>
            </w:r>
          </w:p>
        </w:tc>
        <w:tc>
          <w:tcPr>
            <w:tcW w:w="737" w:type="pct"/>
            <w:tcBorders>
              <w:top w:val="nil"/>
              <w:left w:val="nil"/>
              <w:bottom w:val="nil"/>
              <w:right w:val="nil"/>
            </w:tcBorders>
            <w:shd w:val="clear" w:color="auto" w:fill="auto"/>
            <w:vAlign w:val="center"/>
            <w:hideMark/>
          </w:tcPr>
          <w:p w14:paraId="4D950AAA"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w:t>
            </w:r>
          </w:p>
        </w:tc>
      </w:tr>
      <w:tr w:rsidR="00AA042E" w:rsidRPr="00EC4BA6" w14:paraId="3BDAD28F" w14:textId="77777777" w:rsidTr="00AA042E">
        <w:trPr>
          <w:trHeight w:hRule="exact" w:val="225"/>
        </w:trPr>
        <w:tc>
          <w:tcPr>
            <w:tcW w:w="1993" w:type="pct"/>
            <w:tcBorders>
              <w:top w:val="nil"/>
              <w:left w:val="nil"/>
              <w:bottom w:val="nil"/>
              <w:right w:val="nil"/>
            </w:tcBorders>
            <w:shd w:val="clear" w:color="auto" w:fill="auto"/>
            <w:noWrap/>
            <w:vAlign w:val="center"/>
            <w:hideMark/>
          </w:tcPr>
          <w:p w14:paraId="0F810F00" w14:textId="77777777" w:rsidR="00AA042E" w:rsidRPr="00EC4BA6" w:rsidRDefault="00AA042E" w:rsidP="00AA042E">
            <w:pPr>
              <w:spacing w:before="0" w:after="0" w:line="240" w:lineRule="auto"/>
              <w:rPr>
                <w:rFonts w:ascii="Arial" w:hAnsi="Arial" w:cs="Arial"/>
                <w:sz w:val="16"/>
                <w:szCs w:val="16"/>
              </w:rPr>
            </w:pPr>
            <w:r w:rsidRPr="00EC4BA6">
              <w:rPr>
                <w:rFonts w:ascii="Arial" w:hAnsi="Arial" w:cs="Arial"/>
                <w:sz w:val="16"/>
                <w:szCs w:val="16"/>
              </w:rPr>
              <w:t>Individuals and other withholding taxes</w:t>
            </w:r>
          </w:p>
        </w:tc>
        <w:tc>
          <w:tcPr>
            <w:tcW w:w="737" w:type="pct"/>
            <w:tcBorders>
              <w:top w:val="single" w:sz="4" w:space="0" w:color="293F5B"/>
              <w:left w:val="nil"/>
              <w:bottom w:val="nil"/>
              <w:right w:val="nil"/>
            </w:tcBorders>
            <w:shd w:val="clear" w:color="auto" w:fill="auto"/>
            <w:noWrap/>
            <w:vAlign w:val="center"/>
            <w:hideMark/>
          </w:tcPr>
          <w:p w14:paraId="65292F77"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 </w:t>
            </w:r>
          </w:p>
        </w:tc>
        <w:tc>
          <w:tcPr>
            <w:tcW w:w="737" w:type="pct"/>
            <w:tcBorders>
              <w:top w:val="single" w:sz="4" w:space="0" w:color="293F5B"/>
              <w:left w:val="nil"/>
              <w:bottom w:val="nil"/>
              <w:right w:val="nil"/>
            </w:tcBorders>
            <w:shd w:val="clear" w:color="000000" w:fill="E6F2FF"/>
            <w:noWrap/>
            <w:vAlign w:val="center"/>
            <w:hideMark/>
          </w:tcPr>
          <w:p w14:paraId="780ED878" w14:textId="77777777" w:rsidR="00AA042E" w:rsidRPr="00EC4BA6" w:rsidRDefault="00AA042E" w:rsidP="00AA042E">
            <w:pPr>
              <w:spacing w:before="0" w:after="0" w:line="240" w:lineRule="auto"/>
              <w:rPr>
                <w:rFonts w:ascii="Arial" w:hAnsi="Arial" w:cs="Arial"/>
                <w:sz w:val="16"/>
                <w:szCs w:val="16"/>
              </w:rPr>
            </w:pPr>
            <w:r w:rsidRPr="00EC4BA6">
              <w:rPr>
                <w:rFonts w:ascii="Arial" w:hAnsi="Arial" w:cs="Arial"/>
                <w:sz w:val="16"/>
                <w:szCs w:val="16"/>
              </w:rPr>
              <w:t> </w:t>
            </w:r>
          </w:p>
        </w:tc>
        <w:tc>
          <w:tcPr>
            <w:tcW w:w="58" w:type="pct"/>
            <w:tcBorders>
              <w:top w:val="nil"/>
              <w:left w:val="nil"/>
              <w:bottom w:val="nil"/>
              <w:right w:val="nil"/>
            </w:tcBorders>
            <w:shd w:val="clear" w:color="auto" w:fill="auto"/>
            <w:noWrap/>
            <w:vAlign w:val="center"/>
            <w:hideMark/>
          </w:tcPr>
          <w:p w14:paraId="6C93778A" w14:textId="77777777" w:rsidR="00AA042E" w:rsidRPr="00EC4BA6" w:rsidRDefault="00AA042E" w:rsidP="00AA042E">
            <w:pPr>
              <w:spacing w:before="0" w:after="0" w:line="240" w:lineRule="auto"/>
              <w:rPr>
                <w:rFonts w:ascii="Arial" w:hAnsi="Arial" w:cs="Arial"/>
                <w:sz w:val="16"/>
                <w:szCs w:val="16"/>
              </w:rPr>
            </w:pPr>
          </w:p>
        </w:tc>
        <w:tc>
          <w:tcPr>
            <w:tcW w:w="737" w:type="pct"/>
            <w:tcBorders>
              <w:top w:val="single" w:sz="4" w:space="0" w:color="293F5B"/>
              <w:left w:val="nil"/>
              <w:bottom w:val="nil"/>
              <w:right w:val="nil"/>
            </w:tcBorders>
            <w:shd w:val="clear" w:color="auto" w:fill="auto"/>
            <w:noWrap/>
            <w:vAlign w:val="center"/>
            <w:hideMark/>
          </w:tcPr>
          <w:p w14:paraId="705DE463" w14:textId="77777777" w:rsidR="00AA042E" w:rsidRPr="00EC4BA6" w:rsidRDefault="00AA042E" w:rsidP="00AA042E">
            <w:pPr>
              <w:spacing w:before="0" w:after="0" w:line="240" w:lineRule="auto"/>
              <w:rPr>
                <w:rFonts w:ascii="Arial" w:hAnsi="Arial" w:cs="Arial"/>
                <w:b/>
                <w:bCs/>
                <w:sz w:val="16"/>
                <w:szCs w:val="16"/>
              </w:rPr>
            </w:pPr>
            <w:r w:rsidRPr="00EC4BA6">
              <w:rPr>
                <w:rFonts w:ascii="Arial" w:hAnsi="Arial" w:cs="Arial"/>
                <w:b/>
                <w:bCs/>
                <w:sz w:val="16"/>
                <w:szCs w:val="16"/>
              </w:rPr>
              <w:t> </w:t>
            </w:r>
          </w:p>
        </w:tc>
        <w:tc>
          <w:tcPr>
            <w:tcW w:w="737" w:type="pct"/>
            <w:tcBorders>
              <w:top w:val="single" w:sz="4" w:space="0" w:color="293F5B"/>
              <w:left w:val="nil"/>
              <w:bottom w:val="nil"/>
              <w:right w:val="nil"/>
            </w:tcBorders>
            <w:shd w:val="clear" w:color="auto" w:fill="auto"/>
            <w:noWrap/>
            <w:vAlign w:val="center"/>
            <w:hideMark/>
          </w:tcPr>
          <w:p w14:paraId="5D0FA286" w14:textId="77777777" w:rsidR="00AA042E" w:rsidRPr="00EC4BA6" w:rsidRDefault="00AA042E" w:rsidP="00AA042E">
            <w:pPr>
              <w:spacing w:before="0" w:after="0" w:line="240" w:lineRule="auto"/>
              <w:rPr>
                <w:rFonts w:ascii="Arial" w:hAnsi="Arial" w:cs="Arial"/>
                <w:b/>
                <w:bCs/>
                <w:sz w:val="16"/>
                <w:szCs w:val="16"/>
              </w:rPr>
            </w:pPr>
            <w:r w:rsidRPr="00EC4BA6">
              <w:rPr>
                <w:rFonts w:ascii="Arial" w:hAnsi="Arial" w:cs="Arial"/>
                <w:b/>
                <w:bCs/>
                <w:sz w:val="16"/>
                <w:szCs w:val="16"/>
              </w:rPr>
              <w:t> </w:t>
            </w:r>
          </w:p>
        </w:tc>
      </w:tr>
      <w:tr w:rsidR="00AA042E" w:rsidRPr="00EC4BA6" w14:paraId="20782F04" w14:textId="77777777" w:rsidTr="00AA042E">
        <w:trPr>
          <w:trHeight w:hRule="exact" w:val="225"/>
        </w:trPr>
        <w:tc>
          <w:tcPr>
            <w:tcW w:w="1993" w:type="pct"/>
            <w:tcBorders>
              <w:top w:val="nil"/>
              <w:left w:val="nil"/>
              <w:bottom w:val="nil"/>
              <w:right w:val="nil"/>
            </w:tcBorders>
            <w:shd w:val="clear" w:color="auto" w:fill="auto"/>
            <w:noWrap/>
            <w:vAlign w:val="center"/>
            <w:hideMark/>
          </w:tcPr>
          <w:p w14:paraId="54CC96A8" w14:textId="77777777" w:rsidR="00AA042E" w:rsidRPr="00EC4BA6" w:rsidRDefault="00AA042E" w:rsidP="00AA042E">
            <w:pPr>
              <w:spacing w:before="0" w:after="0" w:line="240" w:lineRule="auto"/>
              <w:ind w:left="170"/>
              <w:rPr>
                <w:rFonts w:ascii="Arial" w:hAnsi="Arial" w:cs="Arial"/>
                <w:sz w:val="16"/>
                <w:szCs w:val="16"/>
              </w:rPr>
            </w:pPr>
            <w:r w:rsidRPr="00EC4BA6">
              <w:rPr>
                <w:rFonts w:ascii="Arial" w:hAnsi="Arial" w:cs="Arial"/>
                <w:sz w:val="16"/>
                <w:szCs w:val="16"/>
              </w:rPr>
              <w:t>Gross income tax withholding</w:t>
            </w:r>
          </w:p>
        </w:tc>
        <w:tc>
          <w:tcPr>
            <w:tcW w:w="737" w:type="pct"/>
            <w:tcBorders>
              <w:top w:val="nil"/>
              <w:left w:val="nil"/>
              <w:bottom w:val="nil"/>
              <w:right w:val="nil"/>
            </w:tcBorders>
            <w:shd w:val="clear" w:color="auto" w:fill="auto"/>
            <w:noWrap/>
            <w:vAlign w:val="center"/>
            <w:hideMark/>
          </w:tcPr>
          <w:p w14:paraId="47BC9BA6"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308,300</w:t>
            </w:r>
          </w:p>
        </w:tc>
        <w:tc>
          <w:tcPr>
            <w:tcW w:w="737" w:type="pct"/>
            <w:tcBorders>
              <w:top w:val="nil"/>
              <w:left w:val="nil"/>
              <w:bottom w:val="nil"/>
              <w:right w:val="nil"/>
            </w:tcBorders>
            <w:shd w:val="clear" w:color="000000" w:fill="E6F2FF"/>
            <w:noWrap/>
            <w:vAlign w:val="center"/>
            <w:hideMark/>
          </w:tcPr>
          <w:p w14:paraId="29AC095F"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310,600</w:t>
            </w:r>
          </w:p>
        </w:tc>
        <w:tc>
          <w:tcPr>
            <w:tcW w:w="58" w:type="pct"/>
            <w:tcBorders>
              <w:top w:val="nil"/>
              <w:left w:val="nil"/>
              <w:bottom w:val="nil"/>
              <w:right w:val="nil"/>
            </w:tcBorders>
            <w:shd w:val="clear" w:color="auto" w:fill="auto"/>
            <w:noWrap/>
            <w:vAlign w:val="center"/>
            <w:hideMark/>
          </w:tcPr>
          <w:p w14:paraId="47F041BA" w14:textId="77777777" w:rsidR="00AA042E" w:rsidRPr="00EC4BA6" w:rsidRDefault="00AA042E" w:rsidP="00AA042E">
            <w:pPr>
              <w:spacing w:before="0" w:after="0" w:line="240" w:lineRule="auto"/>
              <w:jc w:val="right"/>
              <w:rPr>
                <w:rFonts w:ascii="Arial" w:hAnsi="Arial" w:cs="Arial"/>
                <w:sz w:val="16"/>
                <w:szCs w:val="16"/>
              </w:rPr>
            </w:pPr>
          </w:p>
        </w:tc>
        <w:tc>
          <w:tcPr>
            <w:tcW w:w="737" w:type="pct"/>
            <w:tcBorders>
              <w:top w:val="nil"/>
              <w:left w:val="nil"/>
              <w:bottom w:val="nil"/>
              <w:right w:val="nil"/>
            </w:tcBorders>
            <w:shd w:val="clear" w:color="auto" w:fill="auto"/>
            <w:noWrap/>
            <w:vAlign w:val="center"/>
            <w:hideMark/>
          </w:tcPr>
          <w:p w14:paraId="67164998"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2,300</w:t>
            </w:r>
          </w:p>
        </w:tc>
        <w:tc>
          <w:tcPr>
            <w:tcW w:w="737" w:type="pct"/>
            <w:tcBorders>
              <w:top w:val="nil"/>
              <w:left w:val="nil"/>
              <w:bottom w:val="nil"/>
              <w:right w:val="nil"/>
            </w:tcBorders>
            <w:shd w:val="clear" w:color="auto" w:fill="auto"/>
            <w:noWrap/>
            <w:vAlign w:val="center"/>
            <w:hideMark/>
          </w:tcPr>
          <w:p w14:paraId="5D1241EE"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0.7</w:t>
            </w:r>
          </w:p>
        </w:tc>
      </w:tr>
      <w:tr w:rsidR="00AA042E" w:rsidRPr="00EC4BA6" w14:paraId="39C648A7" w14:textId="77777777" w:rsidTr="00AA042E">
        <w:trPr>
          <w:trHeight w:hRule="exact" w:val="225"/>
        </w:trPr>
        <w:tc>
          <w:tcPr>
            <w:tcW w:w="1993" w:type="pct"/>
            <w:tcBorders>
              <w:top w:val="nil"/>
              <w:left w:val="nil"/>
              <w:bottom w:val="nil"/>
              <w:right w:val="nil"/>
            </w:tcBorders>
            <w:shd w:val="clear" w:color="auto" w:fill="auto"/>
            <w:noWrap/>
            <w:vAlign w:val="center"/>
            <w:hideMark/>
          </w:tcPr>
          <w:p w14:paraId="3DB060FA" w14:textId="77777777" w:rsidR="00AA042E" w:rsidRPr="00EC4BA6" w:rsidRDefault="00AA042E" w:rsidP="00AA042E">
            <w:pPr>
              <w:spacing w:before="0" w:after="0" w:line="240" w:lineRule="auto"/>
              <w:ind w:left="170"/>
              <w:rPr>
                <w:rFonts w:ascii="Arial" w:hAnsi="Arial" w:cs="Arial"/>
                <w:sz w:val="16"/>
                <w:szCs w:val="16"/>
              </w:rPr>
            </w:pPr>
            <w:r w:rsidRPr="00EC4BA6">
              <w:rPr>
                <w:rFonts w:ascii="Arial" w:hAnsi="Arial" w:cs="Arial"/>
                <w:sz w:val="16"/>
                <w:szCs w:val="16"/>
              </w:rPr>
              <w:t>Gross other individuals</w:t>
            </w:r>
          </w:p>
        </w:tc>
        <w:tc>
          <w:tcPr>
            <w:tcW w:w="737" w:type="pct"/>
            <w:tcBorders>
              <w:top w:val="nil"/>
              <w:left w:val="nil"/>
              <w:bottom w:val="nil"/>
              <w:right w:val="nil"/>
            </w:tcBorders>
            <w:shd w:val="clear" w:color="auto" w:fill="auto"/>
            <w:noWrap/>
            <w:vAlign w:val="center"/>
            <w:hideMark/>
          </w:tcPr>
          <w:p w14:paraId="32853D53"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82,200</w:t>
            </w:r>
          </w:p>
        </w:tc>
        <w:tc>
          <w:tcPr>
            <w:tcW w:w="737" w:type="pct"/>
            <w:tcBorders>
              <w:top w:val="nil"/>
              <w:left w:val="nil"/>
              <w:bottom w:val="nil"/>
              <w:right w:val="nil"/>
            </w:tcBorders>
            <w:shd w:val="clear" w:color="000000" w:fill="E6F2FF"/>
            <w:noWrap/>
            <w:vAlign w:val="center"/>
            <w:hideMark/>
          </w:tcPr>
          <w:p w14:paraId="3C8E5F36"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79,900</w:t>
            </w:r>
          </w:p>
        </w:tc>
        <w:tc>
          <w:tcPr>
            <w:tcW w:w="58" w:type="pct"/>
            <w:tcBorders>
              <w:top w:val="nil"/>
              <w:left w:val="nil"/>
              <w:bottom w:val="nil"/>
              <w:right w:val="nil"/>
            </w:tcBorders>
            <w:shd w:val="clear" w:color="auto" w:fill="auto"/>
            <w:noWrap/>
            <w:vAlign w:val="center"/>
            <w:hideMark/>
          </w:tcPr>
          <w:p w14:paraId="3CE76E16" w14:textId="77777777" w:rsidR="00AA042E" w:rsidRPr="00EC4BA6" w:rsidRDefault="00AA042E" w:rsidP="00AA042E">
            <w:pPr>
              <w:spacing w:before="0" w:after="0" w:line="240" w:lineRule="auto"/>
              <w:jc w:val="right"/>
              <w:rPr>
                <w:rFonts w:ascii="Arial" w:hAnsi="Arial" w:cs="Arial"/>
                <w:sz w:val="16"/>
                <w:szCs w:val="16"/>
              </w:rPr>
            </w:pPr>
          </w:p>
        </w:tc>
        <w:tc>
          <w:tcPr>
            <w:tcW w:w="737" w:type="pct"/>
            <w:tcBorders>
              <w:top w:val="nil"/>
              <w:left w:val="nil"/>
              <w:bottom w:val="nil"/>
              <w:right w:val="nil"/>
            </w:tcBorders>
            <w:shd w:val="clear" w:color="auto" w:fill="auto"/>
            <w:noWrap/>
            <w:vAlign w:val="center"/>
            <w:hideMark/>
          </w:tcPr>
          <w:p w14:paraId="1577292C" w14:textId="13624EFE" w:rsidR="00AA042E" w:rsidRPr="00EC4BA6" w:rsidRDefault="001A3DD6" w:rsidP="00AA042E">
            <w:pPr>
              <w:spacing w:before="0" w:after="0" w:line="240" w:lineRule="auto"/>
              <w:jc w:val="right"/>
              <w:rPr>
                <w:rFonts w:ascii="Arial" w:hAnsi="Arial" w:cs="Arial"/>
                <w:sz w:val="16"/>
                <w:szCs w:val="16"/>
              </w:rPr>
            </w:pPr>
            <w:r>
              <w:rPr>
                <w:rFonts w:ascii="Arial" w:hAnsi="Arial" w:cs="Arial"/>
                <w:sz w:val="16"/>
                <w:szCs w:val="16"/>
              </w:rPr>
              <w:noBreakHyphen/>
            </w:r>
            <w:r w:rsidR="00AA042E" w:rsidRPr="00EC4BA6">
              <w:rPr>
                <w:rFonts w:ascii="Arial" w:hAnsi="Arial" w:cs="Arial"/>
                <w:sz w:val="16"/>
                <w:szCs w:val="16"/>
              </w:rPr>
              <w:t>2,300</w:t>
            </w:r>
          </w:p>
        </w:tc>
        <w:tc>
          <w:tcPr>
            <w:tcW w:w="737" w:type="pct"/>
            <w:tcBorders>
              <w:top w:val="nil"/>
              <w:left w:val="nil"/>
              <w:bottom w:val="nil"/>
              <w:right w:val="nil"/>
            </w:tcBorders>
            <w:shd w:val="clear" w:color="auto" w:fill="auto"/>
            <w:noWrap/>
            <w:vAlign w:val="center"/>
            <w:hideMark/>
          </w:tcPr>
          <w:p w14:paraId="17733509" w14:textId="0260374A" w:rsidR="00AA042E" w:rsidRPr="00EC4BA6" w:rsidRDefault="001A3DD6" w:rsidP="00AA042E">
            <w:pPr>
              <w:spacing w:before="0" w:after="0" w:line="240" w:lineRule="auto"/>
              <w:jc w:val="right"/>
              <w:rPr>
                <w:rFonts w:ascii="Arial" w:hAnsi="Arial" w:cs="Arial"/>
                <w:sz w:val="16"/>
                <w:szCs w:val="16"/>
              </w:rPr>
            </w:pPr>
            <w:r>
              <w:rPr>
                <w:rFonts w:ascii="Arial" w:hAnsi="Arial" w:cs="Arial"/>
                <w:sz w:val="16"/>
                <w:szCs w:val="16"/>
              </w:rPr>
              <w:noBreakHyphen/>
            </w:r>
            <w:r w:rsidR="00AA042E" w:rsidRPr="00EC4BA6">
              <w:rPr>
                <w:rFonts w:ascii="Arial" w:hAnsi="Arial" w:cs="Arial"/>
                <w:sz w:val="16"/>
                <w:szCs w:val="16"/>
              </w:rPr>
              <w:t>2.8</w:t>
            </w:r>
          </w:p>
        </w:tc>
      </w:tr>
      <w:tr w:rsidR="00AA042E" w:rsidRPr="00EC4BA6" w14:paraId="4F88904D" w14:textId="77777777" w:rsidTr="00AA042E">
        <w:trPr>
          <w:trHeight w:hRule="exact" w:val="225"/>
        </w:trPr>
        <w:tc>
          <w:tcPr>
            <w:tcW w:w="1993" w:type="pct"/>
            <w:tcBorders>
              <w:top w:val="nil"/>
              <w:left w:val="nil"/>
              <w:bottom w:val="nil"/>
              <w:right w:val="nil"/>
            </w:tcBorders>
            <w:shd w:val="clear" w:color="auto" w:fill="auto"/>
            <w:noWrap/>
            <w:vAlign w:val="center"/>
            <w:hideMark/>
          </w:tcPr>
          <w:p w14:paraId="06DDF2DB" w14:textId="77777777" w:rsidR="00AA042E" w:rsidRPr="00EC4BA6" w:rsidRDefault="00AA042E" w:rsidP="00AA042E">
            <w:pPr>
              <w:spacing w:before="0" w:after="0" w:line="240" w:lineRule="auto"/>
              <w:ind w:left="170"/>
              <w:rPr>
                <w:rFonts w:ascii="Arial" w:hAnsi="Arial" w:cs="Arial"/>
                <w:i/>
                <w:iCs/>
                <w:sz w:val="16"/>
                <w:szCs w:val="16"/>
              </w:rPr>
            </w:pPr>
            <w:r w:rsidRPr="00EC4BA6">
              <w:rPr>
                <w:rFonts w:ascii="Arial" w:hAnsi="Arial" w:cs="Arial"/>
                <w:i/>
                <w:iCs/>
                <w:sz w:val="16"/>
                <w:szCs w:val="16"/>
              </w:rPr>
              <w:t xml:space="preserve">less: </w:t>
            </w:r>
            <w:r w:rsidRPr="00EC4BA6">
              <w:rPr>
                <w:rFonts w:ascii="Arial" w:hAnsi="Arial" w:cs="Arial"/>
                <w:sz w:val="16"/>
                <w:szCs w:val="16"/>
              </w:rPr>
              <w:t>Refunds</w:t>
            </w:r>
          </w:p>
        </w:tc>
        <w:tc>
          <w:tcPr>
            <w:tcW w:w="737" w:type="pct"/>
            <w:tcBorders>
              <w:top w:val="nil"/>
              <w:left w:val="nil"/>
              <w:bottom w:val="single" w:sz="4" w:space="0" w:color="293F5B"/>
              <w:right w:val="nil"/>
            </w:tcBorders>
            <w:shd w:val="clear" w:color="auto" w:fill="auto"/>
            <w:noWrap/>
            <w:vAlign w:val="center"/>
            <w:hideMark/>
          </w:tcPr>
          <w:p w14:paraId="0BBA7A47"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42,100</w:t>
            </w:r>
          </w:p>
        </w:tc>
        <w:tc>
          <w:tcPr>
            <w:tcW w:w="737" w:type="pct"/>
            <w:tcBorders>
              <w:top w:val="nil"/>
              <w:left w:val="nil"/>
              <w:bottom w:val="single" w:sz="4" w:space="0" w:color="293F5B"/>
              <w:right w:val="nil"/>
            </w:tcBorders>
            <w:shd w:val="clear" w:color="000000" w:fill="E6F2FF"/>
            <w:noWrap/>
            <w:vAlign w:val="center"/>
            <w:hideMark/>
          </w:tcPr>
          <w:p w14:paraId="0BF1AA8C"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40,800</w:t>
            </w:r>
          </w:p>
        </w:tc>
        <w:tc>
          <w:tcPr>
            <w:tcW w:w="58" w:type="pct"/>
            <w:tcBorders>
              <w:top w:val="nil"/>
              <w:left w:val="nil"/>
              <w:bottom w:val="nil"/>
              <w:right w:val="nil"/>
            </w:tcBorders>
            <w:shd w:val="clear" w:color="auto" w:fill="auto"/>
            <w:noWrap/>
            <w:vAlign w:val="center"/>
            <w:hideMark/>
          </w:tcPr>
          <w:p w14:paraId="51286B8A" w14:textId="77777777" w:rsidR="00AA042E" w:rsidRPr="00EC4BA6" w:rsidRDefault="00AA042E" w:rsidP="00AA042E">
            <w:pPr>
              <w:spacing w:before="0" w:after="0" w:line="240" w:lineRule="auto"/>
              <w:jc w:val="right"/>
              <w:rPr>
                <w:rFonts w:ascii="Arial" w:hAnsi="Arial" w:cs="Arial"/>
                <w:sz w:val="16"/>
                <w:szCs w:val="16"/>
              </w:rPr>
            </w:pPr>
          </w:p>
        </w:tc>
        <w:tc>
          <w:tcPr>
            <w:tcW w:w="737" w:type="pct"/>
            <w:tcBorders>
              <w:top w:val="nil"/>
              <w:left w:val="nil"/>
              <w:bottom w:val="single" w:sz="4" w:space="0" w:color="293F5B"/>
              <w:right w:val="nil"/>
            </w:tcBorders>
            <w:shd w:val="clear" w:color="auto" w:fill="auto"/>
            <w:noWrap/>
            <w:vAlign w:val="center"/>
            <w:hideMark/>
          </w:tcPr>
          <w:p w14:paraId="16B26D32" w14:textId="69F26B51" w:rsidR="00AA042E" w:rsidRPr="00EC4BA6" w:rsidRDefault="001A3DD6" w:rsidP="00AA042E">
            <w:pPr>
              <w:spacing w:before="0" w:after="0" w:line="240" w:lineRule="auto"/>
              <w:jc w:val="right"/>
              <w:rPr>
                <w:rFonts w:ascii="Arial" w:hAnsi="Arial" w:cs="Arial"/>
                <w:sz w:val="16"/>
                <w:szCs w:val="16"/>
              </w:rPr>
            </w:pPr>
            <w:r>
              <w:rPr>
                <w:rFonts w:ascii="Arial" w:hAnsi="Arial" w:cs="Arial"/>
                <w:sz w:val="16"/>
                <w:szCs w:val="16"/>
              </w:rPr>
              <w:noBreakHyphen/>
            </w:r>
            <w:r w:rsidR="00AA042E" w:rsidRPr="00EC4BA6">
              <w:rPr>
                <w:rFonts w:ascii="Arial" w:hAnsi="Arial" w:cs="Arial"/>
                <w:sz w:val="16"/>
                <w:szCs w:val="16"/>
              </w:rPr>
              <w:t>1,300</w:t>
            </w:r>
          </w:p>
        </w:tc>
        <w:tc>
          <w:tcPr>
            <w:tcW w:w="737" w:type="pct"/>
            <w:tcBorders>
              <w:top w:val="nil"/>
              <w:left w:val="nil"/>
              <w:bottom w:val="single" w:sz="4" w:space="0" w:color="293F5B"/>
              <w:right w:val="nil"/>
            </w:tcBorders>
            <w:shd w:val="clear" w:color="auto" w:fill="auto"/>
            <w:noWrap/>
            <w:vAlign w:val="center"/>
            <w:hideMark/>
          </w:tcPr>
          <w:p w14:paraId="5613C565" w14:textId="2B7A4FEA" w:rsidR="00AA042E" w:rsidRPr="00EC4BA6" w:rsidRDefault="001A3DD6" w:rsidP="00AA042E">
            <w:pPr>
              <w:spacing w:before="0" w:after="0" w:line="240" w:lineRule="auto"/>
              <w:jc w:val="right"/>
              <w:rPr>
                <w:rFonts w:ascii="Arial" w:hAnsi="Arial" w:cs="Arial"/>
                <w:sz w:val="16"/>
                <w:szCs w:val="16"/>
              </w:rPr>
            </w:pPr>
            <w:r>
              <w:rPr>
                <w:rFonts w:ascii="Arial" w:hAnsi="Arial" w:cs="Arial"/>
                <w:sz w:val="16"/>
                <w:szCs w:val="16"/>
              </w:rPr>
              <w:noBreakHyphen/>
            </w:r>
            <w:r w:rsidR="00AA042E" w:rsidRPr="00EC4BA6">
              <w:rPr>
                <w:rFonts w:ascii="Arial" w:hAnsi="Arial" w:cs="Arial"/>
                <w:sz w:val="16"/>
                <w:szCs w:val="16"/>
              </w:rPr>
              <w:t>3.1</w:t>
            </w:r>
          </w:p>
        </w:tc>
      </w:tr>
      <w:tr w:rsidR="00AA042E" w:rsidRPr="00EC4BA6" w14:paraId="6914BFDD" w14:textId="77777777" w:rsidTr="00AA042E">
        <w:trPr>
          <w:trHeight w:hRule="exact" w:val="225"/>
        </w:trPr>
        <w:tc>
          <w:tcPr>
            <w:tcW w:w="1993" w:type="pct"/>
            <w:tcBorders>
              <w:top w:val="nil"/>
              <w:left w:val="nil"/>
              <w:bottom w:val="nil"/>
              <w:right w:val="nil"/>
            </w:tcBorders>
            <w:shd w:val="clear" w:color="auto" w:fill="auto"/>
            <w:noWrap/>
            <w:vAlign w:val="center"/>
            <w:hideMark/>
          </w:tcPr>
          <w:p w14:paraId="4514C74B" w14:textId="77777777" w:rsidR="00AA042E" w:rsidRPr="00EC4BA6" w:rsidRDefault="00AA042E" w:rsidP="00AA042E">
            <w:pPr>
              <w:spacing w:before="0" w:after="0" w:line="240" w:lineRule="auto"/>
              <w:rPr>
                <w:rFonts w:ascii="Arial" w:hAnsi="Arial" w:cs="Arial"/>
                <w:sz w:val="16"/>
                <w:szCs w:val="16"/>
              </w:rPr>
            </w:pPr>
            <w:r w:rsidRPr="00EC4BA6">
              <w:rPr>
                <w:rFonts w:ascii="Arial" w:hAnsi="Arial" w:cs="Arial"/>
                <w:sz w:val="16"/>
                <w:szCs w:val="16"/>
              </w:rPr>
              <w:t>Total individuals and other withholding tax</w:t>
            </w:r>
          </w:p>
        </w:tc>
        <w:tc>
          <w:tcPr>
            <w:tcW w:w="737" w:type="pct"/>
            <w:tcBorders>
              <w:top w:val="nil"/>
              <w:left w:val="nil"/>
              <w:bottom w:val="nil"/>
              <w:right w:val="nil"/>
            </w:tcBorders>
            <w:shd w:val="clear" w:color="auto" w:fill="auto"/>
            <w:noWrap/>
            <w:vAlign w:val="center"/>
            <w:hideMark/>
          </w:tcPr>
          <w:p w14:paraId="492E629C"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348,400</w:t>
            </w:r>
          </w:p>
        </w:tc>
        <w:tc>
          <w:tcPr>
            <w:tcW w:w="737" w:type="pct"/>
            <w:tcBorders>
              <w:top w:val="nil"/>
              <w:left w:val="nil"/>
              <w:bottom w:val="nil"/>
              <w:right w:val="nil"/>
            </w:tcBorders>
            <w:shd w:val="clear" w:color="000000" w:fill="E6F2FF"/>
            <w:noWrap/>
            <w:vAlign w:val="center"/>
            <w:hideMark/>
          </w:tcPr>
          <w:p w14:paraId="1389D6C3"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349,700</w:t>
            </w:r>
          </w:p>
        </w:tc>
        <w:tc>
          <w:tcPr>
            <w:tcW w:w="58" w:type="pct"/>
            <w:tcBorders>
              <w:top w:val="nil"/>
              <w:left w:val="nil"/>
              <w:bottom w:val="nil"/>
              <w:right w:val="nil"/>
            </w:tcBorders>
            <w:shd w:val="clear" w:color="auto" w:fill="auto"/>
            <w:noWrap/>
            <w:vAlign w:val="center"/>
            <w:hideMark/>
          </w:tcPr>
          <w:p w14:paraId="2A00B362" w14:textId="77777777" w:rsidR="00AA042E" w:rsidRPr="00EC4BA6" w:rsidRDefault="00AA042E" w:rsidP="00AA042E">
            <w:pPr>
              <w:spacing w:before="0" w:after="0" w:line="240" w:lineRule="auto"/>
              <w:jc w:val="right"/>
              <w:rPr>
                <w:rFonts w:ascii="Arial" w:hAnsi="Arial" w:cs="Arial"/>
                <w:sz w:val="16"/>
                <w:szCs w:val="16"/>
              </w:rPr>
            </w:pPr>
          </w:p>
        </w:tc>
        <w:tc>
          <w:tcPr>
            <w:tcW w:w="737" w:type="pct"/>
            <w:tcBorders>
              <w:top w:val="nil"/>
              <w:left w:val="nil"/>
              <w:bottom w:val="nil"/>
              <w:right w:val="nil"/>
            </w:tcBorders>
            <w:shd w:val="clear" w:color="auto" w:fill="auto"/>
            <w:noWrap/>
            <w:vAlign w:val="center"/>
            <w:hideMark/>
          </w:tcPr>
          <w:p w14:paraId="77EE8772"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1,300</w:t>
            </w:r>
          </w:p>
        </w:tc>
        <w:tc>
          <w:tcPr>
            <w:tcW w:w="737" w:type="pct"/>
            <w:tcBorders>
              <w:top w:val="nil"/>
              <w:left w:val="nil"/>
              <w:bottom w:val="nil"/>
              <w:right w:val="nil"/>
            </w:tcBorders>
            <w:shd w:val="clear" w:color="auto" w:fill="auto"/>
            <w:noWrap/>
            <w:vAlign w:val="center"/>
            <w:hideMark/>
          </w:tcPr>
          <w:p w14:paraId="14CF203F"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0.4</w:t>
            </w:r>
          </w:p>
        </w:tc>
      </w:tr>
      <w:tr w:rsidR="00AA042E" w:rsidRPr="00EC4BA6" w14:paraId="5D1074A6" w14:textId="77777777" w:rsidTr="00AA042E">
        <w:trPr>
          <w:trHeight w:hRule="exact" w:val="225"/>
        </w:trPr>
        <w:tc>
          <w:tcPr>
            <w:tcW w:w="1993" w:type="pct"/>
            <w:tcBorders>
              <w:top w:val="nil"/>
              <w:left w:val="nil"/>
              <w:bottom w:val="nil"/>
              <w:right w:val="nil"/>
            </w:tcBorders>
            <w:shd w:val="clear" w:color="auto" w:fill="auto"/>
            <w:noWrap/>
            <w:vAlign w:val="center"/>
            <w:hideMark/>
          </w:tcPr>
          <w:p w14:paraId="5C117D37" w14:textId="77777777" w:rsidR="00AA042E" w:rsidRPr="00EC4BA6" w:rsidRDefault="00AA042E" w:rsidP="00AA042E">
            <w:pPr>
              <w:spacing w:before="0" w:after="0" w:line="240" w:lineRule="auto"/>
              <w:rPr>
                <w:rFonts w:ascii="Arial" w:hAnsi="Arial" w:cs="Arial"/>
                <w:sz w:val="16"/>
                <w:szCs w:val="16"/>
              </w:rPr>
            </w:pPr>
            <w:r w:rsidRPr="00EC4BA6">
              <w:rPr>
                <w:rFonts w:ascii="Arial" w:hAnsi="Arial" w:cs="Arial"/>
                <w:sz w:val="16"/>
                <w:szCs w:val="16"/>
              </w:rPr>
              <w:t>Fringe benefits tax</w:t>
            </w:r>
          </w:p>
        </w:tc>
        <w:tc>
          <w:tcPr>
            <w:tcW w:w="737" w:type="pct"/>
            <w:tcBorders>
              <w:top w:val="nil"/>
              <w:left w:val="nil"/>
              <w:bottom w:val="nil"/>
              <w:right w:val="nil"/>
            </w:tcBorders>
            <w:shd w:val="clear" w:color="auto" w:fill="auto"/>
            <w:noWrap/>
            <w:vAlign w:val="center"/>
            <w:hideMark/>
          </w:tcPr>
          <w:p w14:paraId="25FD9175"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5,030</w:t>
            </w:r>
          </w:p>
        </w:tc>
        <w:tc>
          <w:tcPr>
            <w:tcW w:w="737" w:type="pct"/>
            <w:tcBorders>
              <w:top w:val="nil"/>
              <w:left w:val="nil"/>
              <w:bottom w:val="nil"/>
              <w:right w:val="nil"/>
            </w:tcBorders>
            <w:shd w:val="clear" w:color="000000" w:fill="E6F2FF"/>
            <w:noWrap/>
            <w:vAlign w:val="center"/>
            <w:hideMark/>
          </w:tcPr>
          <w:p w14:paraId="0BC1ED41"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5,080</w:t>
            </w:r>
          </w:p>
        </w:tc>
        <w:tc>
          <w:tcPr>
            <w:tcW w:w="58" w:type="pct"/>
            <w:tcBorders>
              <w:top w:val="nil"/>
              <w:left w:val="nil"/>
              <w:bottom w:val="nil"/>
              <w:right w:val="nil"/>
            </w:tcBorders>
            <w:shd w:val="clear" w:color="auto" w:fill="auto"/>
            <w:noWrap/>
            <w:vAlign w:val="center"/>
            <w:hideMark/>
          </w:tcPr>
          <w:p w14:paraId="29B78F7C" w14:textId="77777777" w:rsidR="00AA042E" w:rsidRPr="00EC4BA6" w:rsidRDefault="00AA042E" w:rsidP="00AA042E">
            <w:pPr>
              <w:spacing w:before="0" w:after="0" w:line="240" w:lineRule="auto"/>
              <w:jc w:val="right"/>
              <w:rPr>
                <w:rFonts w:ascii="Arial" w:hAnsi="Arial" w:cs="Arial"/>
                <w:sz w:val="16"/>
                <w:szCs w:val="16"/>
              </w:rPr>
            </w:pPr>
          </w:p>
        </w:tc>
        <w:tc>
          <w:tcPr>
            <w:tcW w:w="737" w:type="pct"/>
            <w:tcBorders>
              <w:top w:val="nil"/>
              <w:left w:val="nil"/>
              <w:bottom w:val="nil"/>
              <w:right w:val="nil"/>
            </w:tcBorders>
            <w:shd w:val="clear" w:color="auto" w:fill="auto"/>
            <w:noWrap/>
            <w:vAlign w:val="center"/>
            <w:hideMark/>
          </w:tcPr>
          <w:p w14:paraId="02085CB8"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50</w:t>
            </w:r>
          </w:p>
        </w:tc>
        <w:tc>
          <w:tcPr>
            <w:tcW w:w="737" w:type="pct"/>
            <w:tcBorders>
              <w:top w:val="nil"/>
              <w:left w:val="nil"/>
              <w:bottom w:val="nil"/>
              <w:right w:val="nil"/>
            </w:tcBorders>
            <w:shd w:val="clear" w:color="auto" w:fill="auto"/>
            <w:noWrap/>
            <w:vAlign w:val="center"/>
            <w:hideMark/>
          </w:tcPr>
          <w:p w14:paraId="15D9BC10"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1.0</w:t>
            </w:r>
          </w:p>
        </w:tc>
      </w:tr>
      <w:tr w:rsidR="00AA042E" w:rsidRPr="00EC4BA6" w14:paraId="3FFA3B22" w14:textId="77777777" w:rsidTr="00AA042E">
        <w:trPr>
          <w:trHeight w:hRule="exact" w:val="225"/>
        </w:trPr>
        <w:tc>
          <w:tcPr>
            <w:tcW w:w="1993" w:type="pct"/>
            <w:tcBorders>
              <w:top w:val="nil"/>
              <w:left w:val="nil"/>
              <w:bottom w:val="nil"/>
              <w:right w:val="nil"/>
            </w:tcBorders>
            <w:shd w:val="clear" w:color="auto" w:fill="auto"/>
            <w:noWrap/>
            <w:vAlign w:val="center"/>
            <w:hideMark/>
          </w:tcPr>
          <w:p w14:paraId="5B57F60B" w14:textId="77777777" w:rsidR="00AA042E" w:rsidRPr="00EC4BA6" w:rsidRDefault="00AA042E" w:rsidP="00AA042E">
            <w:pPr>
              <w:spacing w:before="0" w:after="0" w:line="240" w:lineRule="auto"/>
              <w:rPr>
                <w:rFonts w:ascii="Arial" w:hAnsi="Arial" w:cs="Arial"/>
                <w:sz w:val="16"/>
                <w:szCs w:val="16"/>
              </w:rPr>
            </w:pPr>
            <w:r w:rsidRPr="00EC4BA6">
              <w:rPr>
                <w:rFonts w:ascii="Arial" w:hAnsi="Arial" w:cs="Arial"/>
                <w:sz w:val="16"/>
                <w:szCs w:val="16"/>
              </w:rPr>
              <w:t>Company tax</w:t>
            </w:r>
          </w:p>
        </w:tc>
        <w:tc>
          <w:tcPr>
            <w:tcW w:w="737" w:type="pct"/>
            <w:tcBorders>
              <w:top w:val="nil"/>
              <w:left w:val="nil"/>
              <w:bottom w:val="nil"/>
              <w:right w:val="nil"/>
            </w:tcBorders>
            <w:shd w:val="clear" w:color="auto" w:fill="auto"/>
            <w:noWrap/>
            <w:vAlign w:val="center"/>
            <w:hideMark/>
          </w:tcPr>
          <w:p w14:paraId="5886F9DB"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135,900</w:t>
            </w:r>
          </w:p>
        </w:tc>
        <w:tc>
          <w:tcPr>
            <w:tcW w:w="737" w:type="pct"/>
            <w:tcBorders>
              <w:top w:val="nil"/>
              <w:left w:val="nil"/>
              <w:bottom w:val="nil"/>
              <w:right w:val="nil"/>
            </w:tcBorders>
            <w:shd w:val="clear" w:color="000000" w:fill="E6F2FF"/>
            <w:noWrap/>
            <w:vAlign w:val="center"/>
            <w:hideMark/>
          </w:tcPr>
          <w:p w14:paraId="4D2C3C0C"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140,400</w:t>
            </w:r>
          </w:p>
        </w:tc>
        <w:tc>
          <w:tcPr>
            <w:tcW w:w="58" w:type="pct"/>
            <w:tcBorders>
              <w:top w:val="nil"/>
              <w:left w:val="nil"/>
              <w:bottom w:val="nil"/>
              <w:right w:val="nil"/>
            </w:tcBorders>
            <w:shd w:val="clear" w:color="auto" w:fill="auto"/>
            <w:noWrap/>
            <w:vAlign w:val="center"/>
            <w:hideMark/>
          </w:tcPr>
          <w:p w14:paraId="35086B02" w14:textId="77777777" w:rsidR="00AA042E" w:rsidRPr="00EC4BA6" w:rsidRDefault="00AA042E" w:rsidP="00AA042E">
            <w:pPr>
              <w:spacing w:before="0" w:after="0" w:line="240" w:lineRule="auto"/>
              <w:jc w:val="right"/>
              <w:rPr>
                <w:rFonts w:ascii="Arial" w:hAnsi="Arial" w:cs="Arial"/>
                <w:sz w:val="16"/>
                <w:szCs w:val="16"/>
              </w:rPr>
            </w:pPr>
          </w:p>
        </w:tc>
        <w:tc>
          <w:tcPr>
            <w:tcW w:w="737" w:type="pct"/>
            <w:tcBorders>
              <w:top w:val="nil"/>
              <w:left w:val="nil"/>
              <w:bottom w:val="nil"/>
              <w:right w:val="nil"/>
            </w:tcBorders>
            <w:shd w:val="clear" w:color="auto" w:fill="auto"/>
            <w:noWrap/>
            <w:vAlign w:val="center"/>
            <w:hideMark/>
          </w:tcPr>
          <w:p w14:paraId="1EFDEC9E"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4,500</w:t>
            </w:r>
          </w:p>
        </w:tc>
        <w:tc>
          <w:tcPr>
            <w:tcW w:w="737" w:type="pct"/>
            <w:tcBorders>
              <w:top w:val="nil"/>
              <w:left w:val="nil"/>
              <w:bottom w:val="nil"/>
              <w:right w:val="nil"/>
            </w:tcBorders>
            <w:shd w:val="clear" w:color="auto" w:fill="auto"/>
            <w:noWrap/>
            <w:vAlign w:val="center"/>
            <w:hideMark/>
          </w:tcPr>
          <w:p w14:paraId="0E6B286B"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3.3</w:t>
            </w:r>
          </w:p>
        </w:tc>
      </w:tr>
      <w:tr w:rsidR="00AA042E" w:rsidRPr="00EC4BA6" w14:paraId="3ECBB8C7" w14:textId="77777777" w:rsidTr="00AA042E">
        <w:trPr>
          <w:trHeight w:hRule="exact" w:val="225"/>
        </w:trPr>
        <w:tc>
          <w:tcPr>
            <w:tcW w:w="1993" w:type="pct"/>
            <w:tcBorders>
              <w:top w:val="nil"/>
              <w:left w:val="nil"/>
              <w:bottom w:val="nil"/>
              <w:right w:val="nil"/>
            </w:tcBorders>
            <w:shd w:val="clear" w:color="auto" w:fill="auto"/>
            <w:noWrap/>
            <w:vAlign w:val="center"/>
            <w:hideMark/>
          </w:tcPr>
          <w:p w14:paraId="7DBB4BE8" w14:textId="77777777" w:rsidR="00AA042E" w:rsidRPr="00EC4BA6" w:rsidRDefault="00AA042E" w:rsidP="00AA042E">
            <w:pPr>
              <w:spacing w:before="0" w:after="0" w:line="240" w:lineRule="auto"/>
              <w:rPr>
                <w:rFonts w:ascii="Arial" w:hAnsi="Arial" w:cs="Arial"/>
                <w:sz w:val="16"/>
                <w:szCs w:val="16"/>
              </w:rPr>
            </w:pPr>
            <w:r w:rsidRPr="00EC4BA6">
              <w:rPr>
                <w:rFonts w:ascii="Arial" w:hAnsi="Arial" w:cs="Arial"/>
                <w:sz w:val="16"/>
                <w:szCs w:val="16"/>
              </w:rPr>
              <w:t>Superannuation fund taxes</w:t>
            </w:r>
          </w:p>
        </w:tc>
        <w:tc>
          <w:tcPr>
            <w:tcW w:w="737" w:type="pct"/>
            <w:tcBorders>
              <w:top w:val="nil"/>
              <w:left w:val="nil"/>
              <w:bottom w:val="nil"/>
              <w:right w:val="nil"/>
            </w:tcBorders>
            <w:shd w:val="clear" w:color="auto" w:fill="auto"/>
            <w:noWrap/>
            <w:vAlign w:val="center"/>
            <w:hideMark/>
          </w:tcPr>
          <w:p w14:paraId="155C0B34"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23,210</w:t>
            </w:r>
          </w:p>
        </w:tc>
        <w:tc>
          <w:tcPr>
            <w:tcW w:w="737" w:type="pct"/>
            <w:tcBorders>
              <w:top w:val="nil"/>
              <w:left w:val="nil"/>
              <w:bottom w:val="nil"/>
              <w:right w:val="nil"/>
            </w:tcBorders>
            <w:shd w:val="clear" w:color="000000" w:fill="E6F2FF"/>
            <w:noWrap/>
            <w:vAlign w:val="center"/>
            <w:hideMark/>
          </w:tcPr>
          <w:p w14:paraId="0726908D"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25,560</w:t>
            </w:r>
          </w:p>
        </w:tc>
        <w:tc>
          <w:tcPr>
            <w:tcW w:w="58" w:type="pct"/>
            <w:tcBorders>
              <w:top w:val="nil"/>
              <w:left w:val="nil"/>
              <w:bottom w:val="nil"/>
              <w:right w:val="nil"/>
            </w:tcBorders>
            <w:shd w:val="clear" w:color="auto" w:fill="auto"/>
            <w:noWrap/>
            <w:vAlign w:val="center"/>
            <w:hideMark/>
          </w:tcPr>
          <w:p w14:paraId="6D842FB6" w14:textId="77777777" w:rsidR="00AA042E" w:rsidRPr="00EC4BA6" w:rsidRDefault="00AA042E" w:rsidP="00AA042E">
            <w:pPr>
              <w:spacing w:before="0" w:after="0" w:line="240" w:lineRule="auto"/>
              <w:jc w:val="right"/>
              <w:rPr>
                <w:rFonts w:ascii="Arial" w:hAnsi="Arial" w:cs="Arial"/>
                <w:sz w:val="16"/>
                <w:szCs w:val="16"/>
              </w:rPr>
            </w:pPr>
          </w:p>
        </w:tc>
        <w:tc>
          <w:tcPr>
            <w:tcW w:w="737" w:type="pct"/>
            <w:tcBorders>
              <w:top w:val="nil"/>
              <w:left w:val="nil"/>
              <w:bottom w:val="nil"/>
              <w:right w:val="nil"/>
            </w:tcBorders>
            <w:shd w:val="clear" w:color="auto" w:fill="auto"/>
            <w:noWrap/>
            <w:vAlign w:val="center"/>
            <w:hideMark/>
          </w:tcPr>
          <w:p w14:paraId="032745B1"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2,350</w:t>
            </w:r>
          </w:p>
        </w:tc>
        <w:tc>
          <w:tcPr>
            <w:tcW w:w="737" w:type="pct"/>
            <w:tcBorders>
              <w:top w:val="nil"/>
              <w:left w:val="nil"/>
              <w:bottom w:val="nil"/>
              <w:right w:val="nil"/>
            </w:tcBorders>
            <w:shd w:val="clear" w:color="auto" w:fill="auto"/>
            <w:noWrap/>
            <w:vAlign w:val="center"/>
            <w:hideMark/>
          </w:tcPr>
          <w:p w14:paraId="14A9526C"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10.1</w:t>
            </w:r>
          </w:p>
        </w:tc>
      </w:tr>
      <w:tr w:rsidR="00AA042E" w:rsidRPr="00EC4BA6" w14:paraId="2AB5721E" w14:textId="77777777" w:rsidTr="00AA042E">
        <w:trPr>
          <w:trHeight w:hRule="exact" w:val="225"/>
        </w:trPr>
        <w:tc>
          <w:tcPr>
            <w:tcW w:w="1993" w:type="pct"/>
            <w:tcBorders>
              <w:top w:val="nil"/>
              <w:left w:val="nil"/>
              <w:bottom w:val="nil"/>
              <w:right w:val="nil"/>
            </w:tcBorders>
            <w:shd w:val="clear" w:color="auto" w:fill="auto"/>
            <w:noWrap/>
            <w:vAlign w:val="center"/>
            <w:hideMark/>
          </w:tcPr>
          <w:p w14:paraId="287C75F9" w14:textId="77777777" w:rsidR="00AA042E" w:rsidRPr="00EC4BA6" w:rsidRDefault="00AA042E" w:rsidP="00AA042E">
            <w:pPr>
              <w:spacing w:before="0" w:after="0" w:line="240" w:lineRule="auto"/>
              <w:rPr>
                <w:rFonts w:ascii="Arial" w:hAnsi="Arial" w:cs="Arial"/>
                <w:sz w:val="16"/>
                <w:szCs w:val="16"/>
              </w:rPr>
            </w:pPr>
            <w:r w:rsidRPr="00EC4BA6">
              <w:rPr>
                <w:rFonts w:ascii="Arial" w:hAnsi="Arial" w:cs="Arial"/>
                <w:sz w:val="16"/>
                <w:szCs w:val="16"/>
              </w:rPr>
              <w:t>Petroleum resource rent tax</w:t>
            </w:r>
          </w:p>
        </w:tc>
        <w:tc>
          <w:tcPr>
            <w:tcW w:w="737" w:type="pct"/>
            <w:tcBorders>
              <w:top w:val="nil"/>
              <w:left w:val="nil"/>
              <w:bottom w:val="nil"/>
              <w:right w:val="nil"/>
            </w:tcBorders>
            <w:shd w:val="clear" w:color="auto" w:fill="auto"/>
            <w:noWrap/>
            <w:vAlign w:val="center"/>
            <w:hideMark/>
          </w:tcPr>
          <w:p w14:paraId="49C69677"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1,850</w:t>
            </w:r>
          </w:p>
        </w:tc>
        <w:tc>
          <w:tcPr>
            <w:tcW w:w="737" w:type="pct"/>
            <w:tcBorders>
              <w:top w:val="nil"/>
              <w:left w:val="nil"/>
              <w:bottom w:val="nil"/>
              <w:right w:val="nil"/>
            </w:tcBorders>
            <w:shd w:val="clear" w:color="000000" w:fill="E6F2FF"/>
            <w:noWrap/>
            <w:vAlign w:val="center"/>
            <w:hideMark/>
          </w:tcPr>
          <w:p w14:paraId="6287383B"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1,950</w:t>
            </w:r>
          </w:p>
        </w:tc>
        <w:tc>
          <w:tcPr>
            <w:tcW w:w="58" w:type="pct"/>
            <w:tcBorders>
              <w:top w:val="nil"/>
              <w:left w:val="nil"/>
              <w:bottom w:val="nil"/>
              <w:right w:val="nil"/>
            </w:tcBorders>
            <w:shd w:val="clear" w:color="auto" w:fill="auto"/>
            <w:noWrap/>
            <w:vAlign w:val="center"/>
            <w:hideMark/>
          </w:tcPr>
          <w:p w14:paraId="788529F0" w14:textId="77777777" w:rsidR="00AA042E" w:rsidRPr="00EC4BA6" w:rsidRDefault="00AA042E" w:rsidP="00AA042E">
            <w:pPr>
              <w:spacing w:before="0" w:after="0" w:line="240" w:lineRule="auto"/>
              <w:jc w:val="right"/>
              <w:rPr>
                <w:rFonts w:ascii="Arial" w:hAnsi="Arial" w:cs="Arial"/>
                <w:sz w:val="16"/>
                <w:szCs w:val="16"/>
              </w:rPr>
            </w:pPr>
          </w:p>
        </w:tc>
        <w:tc>
          <w:tcPr>
            <w:tcW w:w="737" w:type="pct"/>
            <w:tcBorders>
              <w:top w:val="nil"/>
              <w:left w:val="nil"/>
              <w:bottom w:val="nil"/>
              <w:right w:val="nil"/>
            </w:tcBorders>
            <w:shd w:val="clear" w:color="auto" w:fill="auto"/>
            <w:noWrap/>
            <w:vAlign w:val="center"/>
            <w:hideMark/>
          </w:tcPr>
          <w:p w14:paraId="27A6DBB8"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100</w:t>
            </w:r>
          </w:p>
        </w:tc>
        <w:tc>
          <w:tcPr>
            <w:tcW w:w="737" w:type="pct"/>
            <w:tcBorders>
              <w:top w:val="nil"/>
              <w:left w:val="nil"/>
              <w:bottom w:val="nil"/>
              <w:right w:val="nil"/>
            </w:tcBorders>
            <w:shd w:val="clear" w:color="auto" w:fill="auto"/>
            <w:noWrap/>
            <w:vAlign w:val="center"/>
            <w:hideMark/>
          </w:tcPr>
          <w:p w14:paraId="4747DB50"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5.4</w:t>
            </w:r>
          </w:p>
        </w:tc>
      </w:tr>
      <w:tr w:rsidR="00AA042E" w:rsidRPr="00EC4BA6" w14:paraId="12BEECD3" w14:textId="77777777" w:rsidTr="00AA042E">
        <w:trPr>
          <w:trHeight w:hRule="exact" w:val="225"/>
        </w:trPr>
        <w:tc>
          <w:tcPr>
            <w:tcW w:w="1993" w:type="pct"/>
            <w:tcBorders>
              <w:top w:val="nil"/>
              <w:left w:val="nil"/>
              <w:bottom w:val="nil"/>
              <w:right w:val="nil"/>
            </w:tcBorders>
            <w:shd w:val="clear" w:color="auto" w:fill="auto"/>
            <w:noWrap/>
            <w:vAlign w:val="center"/>
            <w:hideMark/>
          </w:tcPr>
          <w:p w14:paraId="0DE7AB83" w14:textId="77777777" w:rsidR="00AA042E" w:rsidRPr="00EC4BA6" w:rsidRDefault="00AA042E" w:rsidP="00AA042E">
            <w:pPr>
              <w:spacing w:before="0" w:after="0" w:line="240" w:lineRule="auto"/>
              <w:rPr>
                <w:rFonts w:ascii="Arial" w:hAnsi="Arial" w:cs="Arial"/>
                <w:b/>
                <w:bCs/>
                <w:sz w:val="16"/>
                <w:szCs w:val="16"/>
              </w:rPr>
            </w:pPr>
            <w:r w:rsidRPr="00EC4BA6">
              <w:rPr>
                <w:rFonts w:ascii="Arial" w:hAnsi="Arial" w:cs="Arial"/>
                <w:b/>
                <w:bCs/>
                <w:sz w:val="16"/>
                <w:szCs w:val="16"/>
              </w:rPr>
              <w:t>Income taxation receipts</w:t>
            </w:r>
          </w:p>
        </w:tc>
        <w:tc>
          <w:tcPr>
            <w:tcW w:w="737" w:type="pct"/>
            <w:tcBorders>
              <w:top w:val="single" w:sz="4" w:space="0" w:color="293F5B"/>
              <w:left w:val="nil"/>
              <w:bottom w:val="single" w:sz="4" w:space="0" w:color="293F5B"/>
              <w:right w:val="nil"/>
            </w:tcBorders>
            <w:shd w:val="clear" w:color="auto" w:fill="auto"/>
            <w:noWrap/>
            <w:vAlign w:val="center"/>
            <w:hideMark/>
          </w:tcPr>
          <w:p w14:paraId="0BAB866D" w14:textId="77777777" w:rsidR="00AA042E" w:rsidRPr="00EC4BA6" w:rsidRDefault="00AA042E" w:rsidP="00AA042E">
            <w:pPr>
              <w:spacing w:before="0" w:after="0" w:line="240" w:lineRule="auto"/>
              <w:jc w:val="right"/>
              <w:rPr>
                <w:rFonts w:ascii="Arial" w:hAnsi="Arial" w:cs="Arial"/>
                <w:b/>
                <w:bCs/>
                <w:sz w:val="16"/>
                <w:szCs w:val="16"/>
              </w:rPr>
            </w:pPr>
            <w:r w:rsidRPr="00EC4BA6">
              <w:rPr>
                <w:rFonts w:ascii="Arial" w:hAnsi="Arial" w:cs="Arial"/>
                <w:b/>
                <w:bCs/>
                <w:sz w:val="16"/>
                <w:szCs w:val="16"/>
              </w:rPr>
              <w:t>514,390</w:t>
            </w:r>
          </w:p>
        </w:tc>
        <w:tc>
          <w:tcPr>
            <w:tcW w:w="737" w:type="pct"/>
            <w:tcBorders>
              <w:top w:val="single" w:sz="4" w:space="0" w:color="293F5B"/>
              <w:left w:val="nil"/>
              <w:bottom w:val="single" w:sz="4" w:space="0" w:color="293F5B"/>
              <w:right w:val="nil"/>
            </w:tcBorders>
            <w:shd w:val="clear" w:color="000000" w:fill="E6F2FF"/>
            <w:noWrap/>
            <w:vAlign w:val="center"/>
            <w:hideMark/>
          </w:tcPr>
          <w:p w14:paraId="4E50C22A" w14:textId="77777777" w:rsidR="00AA042E" w:rsidRPr="00EC4BA6" w:rsidRDefault="00AA042E" w:rsidP="00AA042E">
            <w:pPr>
              <w:spacing w:before="0" w:after="0" w:line="240" w:lineRule="auto"/>
              <w:jc w:val="right"/>
              <w:rPr>
                <w:rFonts w:ascii="Arial" w:hAnsi="Arial" w:cs="Arial"/>
                <w:b/>
                <w:bCs/>
                <w:sz w:val="16"/>
                <w:szCs w:val="16"/>
              </w:rPr>
            </w:pPr>
            <w:r w:rsidRPr="00EC4BA6">
              <w:rPr>
                <w:rFonts w:ascii="Arial" w:hAnsi="Arial" w:cs="Arial"/>
                <w:b/>
                <w:bCs/>
                <w:sz w:val="16"/>
                <w:szCs w:val="16"/>
              </w:rPr>
              <w:t>522,690</w:t>
            </w:r>
          </w:p>
        </w:tc>
        <w:tc>
          <w:tcPr>
            <w:tcW w:w="58" w:type="pct"/>
            <w:tcBorders>
              <w:top w:val="nil"/>
              <w:left w:val="nil"/>
              <w:bottom w:val="nil"/>
              <w:right w:val="nil"/>
            </w:tcBorders>
            <w:shd w:val="clear" w:color="auto" w:fill="auto"/>
            <w:noWrap/>
            <w:vAlign w:val="center"/>
            <w:hideMark/>
          </w:tcPr>
          <w:p w14:paraId="0B359270" w14:textId="77777777" w:rsidR="00AA042E" w:rsidRPr="00EC4BA6" w:rsidRDefault="00AA042E" w:rsidP="00AA042E">
            <w:pPr>
              <w:spacing w:before="0" w:after="0" w:line="240" w:lineRule="auto"/>
              <w:jc w:val="right"/>
              <w:rPr>
                <w:rFonts w:ascii="Arial" w:hAnsi="Arial" w:cs="Arial"/>
                <w:b/>
                <w:bCs/>
                <w:sz w:val="16"/>
                <w:szCs w:val="16"/>
              </w:rPr>
            </w:pPr>
          </w:p>
        </w:tc>
        <w:tc>
          <w:tcPr>
            <w:tcW w:w="737" w:type="pct"/>
            <w:tcBorders>
              <w:top w:val="single" w:sz="4" w:space="0" w:color="293F5B"/>
              <w:left w:val="nil"/>
              <w:bottom w:val="single" w:sz="4" w:space="0" w:color="293F5B"/>
              <w:right w:val="nil"/>
            </w:tcBorders>
            <w:shd w:val="clear" w:color="auto" w:fill="auto"/>
            <w:noWrap/>
            <w:vAlign w:val="center"/>
            <w:hideMark/>
          </w:tcPr>
          <w:p w14:paraId="213F899D" w14:textId="77777777" w:rsidR="00AA042E" w:rsidRPr="00EC4BA6" w:rsidRDefault="00AA042E" w:rsidP="00AA042E">
            <w:pPr>
              <w:spacing w:before="0" w:after="0" w:line="240" w:lineRule="auto"/>
              <w:jc w:val="right"/>
              <w:rPr>
                <w:rFonts w:ascii="Arial" w:hAnsi="Arial" w:cs="Arial"/>
                <w:b/>
                <w:bCs/>
                <w:sz w:val="16"/>
                <w:szCs w:val="16"/>
              </w:rPr>
            </w:pPr>
            <w:r w:rsidRPr="00EC4BA6">
              <w:rPr>
                <w:rFonts w:ascii="Arial" w:hAnsi="Arial" w:cs="Arial"/>
                <w:b/>
                <w:bCs/>
                <w:sz w:val="16"/>
                <w:szCs w:val="16"/>
              </w:rPr>
              <w:t>8,300</w:t>
            </w:r>
          </w:p>
        </w:tc>
        <w:tc>
          <w:tcPr>
            <w:tcW w:w="737" w:type="pct"/>
            <w:tcBorders>
              <w:top w:val="single" w:sz="4" w:space="0" w:color="293F5B"/>
              <w:left w:val="nil"/>
              <w:bottom w:val="single" w:sz="4" w:space="0" w:color="293F5B"/>
              <w:right w:val="nil"/>
            </w:tcBorders>
            <w:shd w:val="clear" w:color="auto" w:fill="auto"/>
            <w:noWrap/>
            <w:vAlign w:val="center"/>
            <w:hideMark/>
          </w:tcPr>
          <w:p w14:paraId="1D8F04FC" w14:textId="77777777" w:rsidR="00AA042E" w:rsidRPr="00EC4BA6" w:rsidRDefault="00AA042E" w:rsidP="00AA042E">
            <w:pPr>
              <w:spacing w:before="0" w:after="0" w:line="240" w:lineRule="auto"/>
              <w:jc w:val="right"/>
              <w:rPr>
                <w:rFonts w:ascii="Arial" w:hAnsi="Arial" w:cs="Arial"/>
                <w:b/>
                <w:bCs/>
                <w:sz w:val="16"/>
                <w:szCs w:val="16"/>
              </w:rPr>
            </w:pPr>
            <w:r w:rsidRPr="00EC4BA6">
              <w:rPr>
                <w:rFonts w:ascii="Arial" w:hAnsi="Arial" w:cs="Arial"/>
                <w:b/>
                <w:bCs/>
                <w:sz w:val="16"/>
                <w:szCs w:val="16"/>
              </w:rPr>
              <w:t>1.6</w:t>
            </w:r>
          </w:p>
        </w:tc>
      </w:tr>
      <w:tr w:rsidR="00AA042E" w:rsidRPr="00EC4BA6" w14:paraId="50988520" w14:textId="77777777" w:rsidTr="00AA042E">
        <w:trPr>
          <w:trHeight w:hRule="exact" w:val="225"/>
        </w:trPr>
        <w:tc>
          <w:tcPr>
            <w:tcW w:w="1993" w:type="pct"/>
            <w:tcBorders>
              <w:top w:val="nil"/>
              <w:left w:val="nil"/>
              <w:bottom w:val="nil"/>
              <w:right w:val="nil"/>
            </w:tcBorders>
            <w:shd w:val="clear" w:color="auto" w:fill="auto"/>
            <w:noWrap/>
            <w:vAlign w:val="center"/>
            <w:hideMark/>
          </w:tcPr>
          <w:p w14:paraId="419013BF" w14:textId="77777777" w:rsidR="00AA042E" w:rsidRPr="00EC4BA6" w:rsidRDefault="00AA042E" w:rsidP="00AA042E">
            <w:pPr>
              <w:spacing w:before="0" w:after="0" w:line="240" w:lineRule="auto"/>
              <w:rPr>
                <w:rFonts w:ascii="Arial" w:hAnsi="Arial" w:cs="Arial"/>
                <w:sz w:val="16"/>
                <w:szCs w:val="16"/>
              </w:rPr>
            </w:pPr>
            <w:r w:rsidRPr="00EC4BA6">
              <w:rPr>
                <w:rFonts w:ascii="Arial" w:hAnsi="Arial" w:cs="Arial"/>
                <w:sz w:val="16"/>
                <w:szCs w:val="16"/>
              </w:rPr>
              <w:t>Goods and services tax</w:t>
            </w:r>
          </w:p>
        </w:tc>
        <w:tc>
          <w:tcPr>
            <w:tcW w:w="737" w:type="pct"/>
            <w:tcBorders>
              <w:top w:val="nil"/>
              <w:left w:val="nil"/>
              <w:bottom w:val="nil"/>
              <w:right w:val="nil"/>
            </w:tcBorders>
            <w:shd w:val="clear" w:color="auto" w:fill="auto"/>
            <w:noWrap/>
            <w:vAlign w:val="center"/>
            <w:hideMark/>
          </w:tcPr>
          <w:p w14:paraId="4F526FF6"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94,228</w:t>
            </w:r>
          </w:p>
        </w:tc>
        <w:tc>
          <w:tcPr>
            <w:tcW w:w="737" w:type="pct"/>
            <w:tcBorders>
              <w:top w:val="nil"/>
              <w:left w:val="nil"/>
              <w:bottom w:val="nil"/>
              <w:right w:val="nil"/>
            </w:tcBorders>
            <w:shd w:val="clear" w:color="000000" w:fill="E6F2FF"/>
            <w:noWrap/>
            <w:vAlign w:val="center"/>
            <w:hideMark/>
          </w:tcPr>
          <w:p w14:paraId="289E0796"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94,234</w:t>
            </w:r>
          </w:p>
        </w:tc>
        <w:tc>
          <w:tcPr>
            <w:tcW w:w="58" w:type="pct"/>
            <w:tcBorders>
              <w:top w:val="nil"/>
              <w:left w:val="nil"/>
              <w:bottom w:val="nil"/>
              <w:right w:val="nil"/>
            </w:tcBorders>
            <w:shd w:val="clear" w:color="auto" w:fill="auto"/>
            <w:noWrap/>
            <w:vAlign w:val="center"/>
            <w:hideMark/>
          </w:tcPr>
          <w:p w14:paraId="5195C974" w14:textId="77777777" w:rsidR="00AA042E" w:rsidRPr="00EC4BA6" w:rsidRDefault="00AA042E" w:rsidP="00AA042E">
            <w:pPr>
              <w:spacing w:before="0" w:after="0" w:line="240" w:lineRule="auto"/>
              <w:jc w:val="right"/>
              <w:rPr>
                <w:rFonts w:ascii="Arial" w:hAnsi="Arial" w:cs="Arial"/>
                <w:sz w:val="16"/>
                <w:szCs w:val="16"/>
              </w:rPr>
            </w:pPr>
          </w:p>
        </w:tc>
        <w:tc>
          <w:tcPr>
            <w:tcW w:w="737" w:type="pct"/>
            <w:tcBorders>
              <w:top w:val="nil"/>
              <w:left w:val="nil"/>
              <w:bottom w:val="nil"/>
              <w:right w:val="nil"/>
            </w:tcBorders>
            <w:shd w:val="clear" w:color="auto" w:fill="auto"/>
            <w:noWrap/>
            <w:vAlign w:val="center"/>
            <w:hideMark/>
          </w:tcPr>
          <w:p w14:paraId="7A5E3750"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6</w:t>
            </w:r>
          </w:p>
        </w:tc>
        <w:tc>
          <w:tcPr>
            <w:tcW w:w="737" w:type="pct"/>
            <w:tcBorders>
              <w:top w:val="nil"/>
              <w:left w:val="nil"/>
              <w:bottom w:val="nil"/>
              <w:right w:val="nil"/>
            </w:tcBorders>
            <w:shd w:val="clear" w:color="auto" w:fill="auto"/>
            <w:noWrap/>
            <w:vAlign w:val="center"/>
            <w:hideMark/>
          </w:tcPr>
          <w:p w14:paraId="0B7CDF8B"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0.0</w:t>
            </w:r>
          </w:p>
        </w:tc>
      </w:tr>
      <w:tr w:rsidR="00AA042E" w:rsidRPr="00EC4BA6" w14:paraId="080FBAD5" w14:textId="77777777" w:rsidTr="00AA042E">
        <w:trPr>
          <w:trHeight w:hRule="exact" w:val="225"/>
        </w:trPr>
        <w:tc>
          <w:tcPr>
            <w:tcW w:w="1993" w:type="pct"/>
            <w:tcBorders>
              <w:top w:val="nil"/>
              <w:left w:val="nil"/>
              <w:bottom w:val="nil"/>
              <w:right w:val="nil"/>
            </w:tcBorders>
            <w:shd w:val="clear" w:color="auto" w:fill="auto"/>
            <w:noWrap/>
            <w:vAlign w:val="center"/>
            <w:hideMark/>
          </w:tcPr>
          <w:p w14:paraId="06380E38" w14:textId="77777777" w:rsidR="00AA042E" w:rsidRPr="00EC4BA6" w:rsidRDefault="00AA042E" w:rsidP="00AA042E">
            <w:pPr>
              <w:spacing w:before="0" w:after="0" w:line="240" w:lineRule="auto"/>
              <w:rPr>
                <w:rFonts w:ascii="Arial" w:hAnsi="Arial" w:cs="Arial"/>
                <w:sz w:val="16"/>
                <w:szCs w:val="16"/>
              </w:rPr>
            </w:pPr>
            <w:r w:rsidRPr="00EC4BA6">
              <w:rPr>
                <w:rFonts w:ascii="Arial" w:hAnsi="Arial" w:cs="Arial"/>
                <w:sz w:val="16"/>
                <w:szCs w:val="16"/>
              </w:rPr>
              <w:t>Wine equalisation tax</w:t>
            </w:r>
          </w:p>
        </w:tc>
        <w:tc>
          <w:tcPr>
            <w:tcW w:w="737" w:type="pct"/>
            <w:tcBorders>
              <w:top w:val="nil"/>
              <w:left w:val="nil"/>
              <w:bottom w:val="nil"/>
              <w:right w:val="nil"/>
            </w:tcBorders>
            <w:shd w:val="clear" w:color="auto" w:fill="auto"/>
            <w:noWrap/>
            <w:vAlign w:val="center"/>
            <w:hideMark/>
          </w:tcPr>
          <w:p w14:paraId="2F863BE8"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1,210</w:t>
            </w:r>
          </w:p>
        </w:tc>
        <w:tc>
          <w:tcPr>
            <w:tcW w:w="737" w:type="pct"/>
            <w:tcBorders>
              <w:top w:val="nil"/>
              <w:left w:val="nil"/>
              <w:bottom w:val="nil"/>
              <w:right w:val="nil"/>
            </w:tcBorders>
            <w:shd w:val="clear" w:color="000000" w:fill="E6F2FF"/>
            <w:noWrap/>
            <w:vAlign w:val="center"/>
            <w:hideMark/>
          </w:tcPr>
          <w:p w14:paraId="4BB50AA6"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1,200</w:t>
            </w:r>
          </w:p>
        </w:tc>
        <w:tc>
          <w:tcPr>
            <w:tcW w:w="58" w:type="pct"/>
            <w:tcBorders>
              <w:top w:val="nil"/>
              <w:left w:val="nil"/>
              <w:bottom w:val="nil"/>
              <w:right w:val="nil"/>
            </w:tcBorders>
            <w:shd w:val="clear" w:color="auto" w:fill="auto"/>
            <w:noWrap/>
            <w:vAlign w:val="center"/>
            <w:hideMark/>
          </w:tcPr>
          <w:p w14:paraId="7B665433" w14:textId="77777777" w:rsidR="00AA042E" w:rsidRPr="00EC4BA6" w:rsidRDefault="00AA042E" w:rsidP="00AA042E">
            <w:pPr>
              <w:spacing w:before="0" w:after="0" w:line="240" w:lineRule="auto"/>
              <w:jc w:val="right"/>
              <w:rPr>
                <w:rFonts w:ascii="Arial" w:hAnsi="Arial" w:cs="Arial"/>
                <w:sz w:val="16"/>
                <w:szCs w:val="16"/>
              </w:rPr>
            </w:pPr>
          </w:p>
        </w:tc>
        <w:tc>
          <w:tcPr>
            <w:tcW w:w="737" w:type="pct"/>
            <w:tcBorders>
              <w:top w:val="nil"/>
              <w:left w:val="nil"/>
              <w:bottom w:val="nil"/>
              <w:right w:val="nil"/>
            </w:tcBorders>
            <w:shd w:val="clear" w:color="auto" w:fill="auto"/>
            <w:noWrap/>
            <w:vAlign w:val="center"/>
            <w:hideMark/>
          </w:tcPr>
          <w:p w14:paraId="1FB916D3" w14:textId="7384FADD" w:rsidR="00AA042E" w:rsidRPr="00EC4BA6" w:rsidRDefault="001A3DD6" w:rsidP="00AA042E">
            <w:pPr>
              <w:spacing w:before="0" w:after="0" w:line="240" w:lineRule="auto"/>
              <w:jc w:val="right"/>
              <w:rPr>
                <w:rFonts w:ascii="Arial" w:hAnsi="Arial" w:cs="Arial"/>
                <w:sz w:val="16"/>
                <w:szCs w:val="16"/>
              </w:rPr>
            </w:pPr>
            <w:r>
              <w:rPr>
                <w:rFonts w:ascii="Arial" w:hAnsi="Arial" w:cs="Arial"/>
                <w:sz w:val="16"/>
                <w:szCs w:val="16"/>
              </w:rPr>
              <w:noBreakHyphen/>
            </w:r>
            <w:r w:rsidR="00AA042E" w:rsidRPr="00EC4BA6">
              <w:rPr>
                <w:rFonts w:ascii="Arial" w:hAnsi="Arial" w:cs="Arial"/>
                <w:sz w:val="16"/>
                <w:szCs w:val="16"/>
              </w:rPr>
              <w:t>10</w:t>
            </w:r>
          </w:p>
        </w:tc>
        <w:tc>
          <w:tcPr>
            <w:tcW w:w="737" w:type="pct"/>
            <w:tcBorders>
              <w:top w:val="nil"/>
              <w:left w:val="nil"/>
              <w:bottom w:val="nil"/>
              <w:right w:val="nil"/>
            </w:tcBorders>
            <w:shd w:val="clear" w:color="auto" w:fill="auto"/>
            <w:noWrap/>
            <w:vAlign w:val="center"/>
            <w:hideMark/>
          </w:tcPr>
          <w:p w14:paraId="1AAD5E84" w14:textId="35410BEB" w:rsidR="00AA042E" w:rsidRPr="00EC4BA6" w:rsidRDefault="001A3DD6" w:rsidP="00AA042E">
            <w:pPr>
              <w:spacing w:before="0" w:after="0" w:line="240" w:lineRule="auto"/>
              <w:jc w:val="right"/>
              <w:rPr>
                <w:rFonts w:ascii="Arial" w:hAnsi="Arial" w:cs="Arial"/>
                <w:sz w:val="16"/>
                <w:szCs w:val="16"/>
              </w:rPr>
            </w:pPr>
            <w:r>
              <w:rPr>
                <w:rFonts w:ascii="Arial" w:hAnsi="Arial" w:cs="Arial"/>
                <w:sz w:val="16"/>
                <w:szCs w:val="16"/>
              </w:rPr>
              <w:noBreakHyphen/>
            </w:r>
            <w:r w:rsidR="00AA042E" w:rsidRPr="00EC4BA6">
              <w:rPr>
                <w:rFonts w:ascii="Arial" w:hAnsi="Arial" w:cs="Arial"/>
                <w:sz w:val="16"/>
                <w:szCs w:val="16"/>
              </w:rPr>
              <w:t>0.8</w:t>
            </w:r>
          </w:p>
        </w:tc>
      </w:tr>
      <w:tr w:rsidR="00AA042E" w:rsidRPr="00EC4BA6" w14:paraId="10CE3A3C" w14:textId="77777777" w:rsidTr="00AA042E">
        <w:trPr>
          <w:trHeight w:hRule="exact" w:val="225"/>
        </w:trPr>
        <w:tc>
          <w:tcPr>
            <w:tcW w:w="1993" w:type="pct"/>
            <w:tcBorders>
              <w:top w:val="nil"/>
              <w:left w:val="nil"/>
              <w:bottom w:val="nil"/>
              <w:right w:val="nil"/>
            </w:tcBorders>
            <w:shd w:val="clear" w:color="auto" w:fill="auto"/>
            <w:noWrap/>
            <w:vAlign w:val="center"/>
            <w:hideMark/>
          </w:tcPr>
          <w:p w14:paraId="5E7F3ECA" w14:textId="77777777" w:rsidR="00AA042E" w:rsidRPr="00EC4BA6" w:rsidRDefault="00AA042E" w:rsidP="00AA042E">
            <w:pPr>
              <w:spacing w:before="0" w:after="0" w:line="240" w:lineRule="auto"/>
              <w:rPr>
                <w:rFonts w:ascii="Arial" w:hAnsi="Arial" w:cs="Arial"/>
                <w:sz w:val="16"/>
                <w:szCs w:val="16"/>
              </w:rPr>
            </w:pPr>
            <w:r w:rsidRPr="00EC4BA6">
              <w:rPr>
                <w:rFonts w:ascii="Arial" w:hAnsi="Arial" w:cs="Arial"/>
                <w:sz w:val="16"/>
                <w:szCs w:val="16"/>
              </w:rPr>
              <w:t>Luxury car tax</w:t>
            </w:r>
          </w:p>
        </w:tc>
        <w:tc>
          <w:tcPr>
            <w:tcW w:w="737" w:type="pct"/>
            <w:tcBorders>
              <w:top w:val="nil"/>
              <w:left w:val="nil"/>
              <w:bottom w:val="nil"/>
              <w:right w:val="nil"/>
            </w:tcBorders>
            <w:shd w:val="clear" w:color="auto" w:fill="auto"/>
            <w:noWrap/>
            <w:vAlign w:val="center"/>
            <w:hideMark/>
          </w:tcPr>
          <w:p w14:paraId="5298BB2D"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1,200</w:t>
            </w:r>
          </w:p>
        </w:tc>
        <w:tc>
          <w:tcPr>
            <w:tcW w:w="737" w:type="pct"/>
            <w:tcBorders>
              <w:top w:val="nil"/>
              <w:left w:val="nil"/>
              <w:bottom w:val="nil"/>
              <w:right w:val="nil"/>
            </w:tcBorders>
            <w:shd w:val="clear" w:color="000000" w:fill="E6F2FF"/>
            <w:noWrap/>
            <w:vAlign w:val="center"/>
            <w:hideMark/>
          </w:tcPr>
          <w:p w14:paraId="4851877C"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1,200</w:t>
            </w:r>
          </w:p>
        </w:tc>
        <w:tc>
          <w:tcPr>
            <w:tcW w:w="58" w:type="pct"/>
            <w:tcBorders>
              <w:top w:val="nil"/>
              <w:left w:val="nil"/>
              <w:bottom w:val="nil"/>
              <w:right w:val="nil"/>
            </w:tcBorders>
            <w:shd w:val="clear" w:color="auto" w:fill="auto"/>
            <w:noWrap/>
            <w:vAlign w:val="center"/>
            <w:hideMark/>
          </w:tcPr>
          <w:p w14:paraId="7AC78D97" w14:textId="77777777" w:rsidR="00AA042E" w:rsidRPr="00EC4BA6" w:rsidRDefault="00AA042E" w:rsidP="00AA042E">
            <w:pPr>
              <w:spacing w:before="0" w:after="0" w:line="240" w:lineRule="auto"/>
              <w:jc w:val="right"/>
              <w:rPr>
                <w:rFonts w:ascii="Arial" w:hAnsi="Arial" w:cs="Arial"/>
                <w:sz w:val="16"/>
                <w:szCs w:val="16"/>
              </w:rPr>
            </w:pPr>
          </w:p>
        </w:tc>
        <w:tc>
          <w:tcPr>
            <w:tcW w:w="737" w:type="pct"/>
            <w:tcBorders>
              <w:top w:val="nil"/>
              <w:left w:val="nil"/>
              <w:bottom w:val="nil"/>
              <w:right w:val="nil"/>
            </w:tcBorders>
            <w:shd w:val="clear" w:color="auto" w:fill="auto"/>
            <w:noWrap/>
            <w:vAlign w:val="center"/>
            <w:hideMark/>
          </w:tcPr>
          <w:p w14:paraId="548FC920"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0</w:t>
            </w:r>
          </w:p>
        </w:tc>
        <w:tc>
          <w:tcPr>
            <w:tcW w:w="737" w:type="pct"/>
            <w:tcBorders>
              <w:top w:val="nil"/>
              <w:left w:val="nil"/>
              <w:bottom w:val="nil"/>
              <w:right w:val="nil"/>
            </w:tcBorders>
            <w:shd w:val="clear" w:color="auto" w:fill="auto"/>
            <w:noWrap/>
            <w:vAlign w:val="center"/>
            <w:hideMark/>
          </w:tcPr>
          <w:p w14:paraId="2B23A06D"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0.0</w:t>
            </w:r>
          </w:p>
        </w:tc>
      </w:tr>
      <w:tr w:rsidR="00AA042E" w:rsidRPr="00EC4BA6" w14:paraId="130C185C" w14:textId="77777777" w:rsidTr="00AA042E">
        <w:trPr>
          <w:trHeight w:hRule="exact" w:val="225"/>
        </w:trPr>
        <w:tc>
          <w:tcPr>
            <w:tcW w:w="1993" w:type="pct"/>
            <w:tcBorders>
              <w:top w:val="nil"/>
              <w:left w:val="nil"/>
              <w:bottom w:val="nil"/>
              <w:right w:val="nil"/>
            </w:tcBorders>
            <w:shd w:val="clear" w:color="auto" w:fill="auto"/>
            <w:noWrap/>
            <w:vAlign w:val="center"/>
            <w:hideMark/>
          </w:tcPr>
          <w:p w14:paraId="529CD1F5" w14:textId="77777777" w:rsidR="00AA042E" w:rsidRPr="00EC4BA6" w:rsidRDefault="00AA042E" w:rsidP="00AA042E">
            <w:pPr>
              <w:spacing w:before="0" w:after="0" w:line="240" w:lineRule="auto"/>
              <w:rPr>
                <w:rFonts w:ascii="Arial" w:hAnsi="Arial" w:cs="Arial"/>
                <w:sz w:val="16"/>
                <w:szCs w:val="16"/>
              </w:rPr>
            </w:pPr>
            <w:r w:rsidRPr="00EC4BA6">
              <w:rPr>
                <w:rFonts w:ascii="Arial" w:hAnsi="Arial" w:cs="Arial"/>
                <w:sz w:val="16"/>
                <w:szCs w:val="16"/>
              </w:rPr>
              <w:t>Excise and customs duty</w:t>
            </w:r>
          </w:p>
        </w:tc>
        <w:tc>
          <w:tcPr>
            <w:tcW w:w="737" w:type="pct"/>
            <w:tcBorders>
              <w:top w:val="nil"/>
              <w:left w:val="nil"/>
              <w:bottom w:val="nil"/>
              <w:right w:val="nil"/>
            </w:tcBorders>
            <w:shd w:val="clear" w:color="auto" w:fill="auto"/>
            <w:noWrap/>
            <w:vAlign w:val="center"/>
            <w:hideMark/>
          </w:tcPr>
          <w:p w14:paraId="652F8CC0" w14:textId="77777777" w:rsidR="00AA042E" w:rsidRPr="00EC4BA6" w:rsidRDefault="00AA042E" w:rsidP="00AA042E">
            <w:pPr>
              <w:spacing w:before="0" w:after="0" w:line="240" w:lineRule="auto"/>
              <w:rPr>
                <w:rFonts w:ascii="Arial" w:hAnsi="Arial" w:cs="Arial"/>
                <w:sz w:val="16"/>
                <w:szCs w:val="16"/>
              </w:rPr>
            </w:pPr>
          </w:p>
        </w:tc>
        <w:tc>
          <w:tcPr>
            <w:tcW w:w="737" w:type="pct"/>
            <w:tcBorders>
              <w:top w:val="nil"/>
              <w:left w:val="nil"/>
              <w:bottom w:val="nil"/>
              <w:right w:val="nil"/>
            </w:tcBorders>
            <w:shd w:val="clear" w:color="000000" w:fill="E6F2FF"/>
            <w:noWrap/>
            <w:vAlign w:val="center"/>
            <w:hideMark/>
          </w:tcPr>
          <w:p w14:paraId="6C379F67"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 </w:t>
            </w:r>
          </w:p>
        </w:tc>
        <w:tc>
          <w:tcPr>
            <w:tcW w:w="58" w:type="pct"/>
            <w:tcBorders>
              <w:top w:val="nil"/>
              <w:left w:val="nil"/>
              <w:bottom w:val="nil"/>
              <w:right w:val="nil"/>
            </w:tcBorders>
            <w:shd w:val="clear" w:color="auto" w:fill="auto"/>
            <w:noWrap/>
            <w:vAlign w:val="center"/>
            <w:hideMark/>
          </w:tcPr>
          <w:p w14:paraId="2CEB23B6" w14:textId="77777777" w:rsidR="00AA042E" w:rsidRPr="00EC4BA6" w:rsidRDefault="00AA042E" w:rsidP="00AA042E">
            <w:pPr>
              <w:spacing w:before="0" w:after="0" w:line="240" w:lineRule="auto"/>
              <w:jc w:val="right"/>
              <w:rPr>
                <w:rFonts w:ascii="Arial" w:hAnsi="Arial" w:cs="Arial"/>
                <w:sz w:val="16"/>
                <w:szCs w:val="16"/>
              </w:rPr>
            </w:pPr>
          </w:p>
        </w:tc>
        <w:tc>
          <w:tcPr>
            <w:tcW w:w="737" w:type="pct"/>
            <w:tcBorders>
              <w:top w:val="nil"/>
              <w:left w:val="nil"/>
              <w:bottom w:val="nil"/>
              <w:right w:val="nil"/>
            </w:tcBorders>
            <w:shd w:val="clear" w:color="auto" w:fill="auto"/>
            <w:noWrap/>
            <w:vAlign w:val="center"/>
            <w:hideMark/>
          </w:tcPr>
          <w:p w14:paraId="53C5C92B" w14:textId="77777777" w:rsidR="00AA042E" w:rsidRPr="00EC4BA6" w:rsidRDefault="00AA042E" w:rsidP="00AA042E">
            <w:pPr>
              <w:spacing w:before="0" w:after="0" w:line="240" w:lineRule="auto"/>
              <w:jc w:val="right"/>
              <w:rPr>
                <w:rFonts w:ascii="Times New Roman" w:hAnsi="Times New Roman"/>
                <w:sz w:val="20"/>
              </w:rPr>
            </w:pPr>
          </w:p>
        </w:tc>
        <w:tc>
          <w:tcPr>
            <w:tcW w:w="737" w:type="pct"/>
            <w:tcBorders>
              <w:top w:val="nil"/>
              <w:left w:val="nil"/>
              <w:bottom w:val="nil"/>
              <w:right w:val="nil"/>
            </w:tcBorders>
            <w:shd w:val="clear" w:color="auto" w:fill="auto"/>
            <w:noWrap/>
            <w:vAlign w:val="center"/>
            <w:hideMark/>
          </w:tcPr>
          <w:p w14:paraId="65C35E78" w14:textId="77777777" w:rsidR="00AA042E" w:rsidRPr="00EC4BA6" w:rsidRDefault="00AA042E" w:rsidP="00AA042E">
            <w:pPr>
              <w:spacing w:before="0" w:after="0" w:line="240" w:lineRule="auto"/>
              <w:jc w:val="right"/>
              <w:rPr>
                <w:rFonts w:ascii="Times New Roman" w:hAnsi="Times New Roman"/>
                <w:sz w:val="20"/>
              </w:rPr>
            </w:pPr>
          </w:p>
        </w:tc>
      </w:tr>
      <w:tr w:rsidR="00AA042E" w:rsidRPr="00EC4BA6" w14:paraId="36EC34B9" w14:textId="77777777" w:rsidTr="00AA042E">
        <w:trPr>
          <w:trHeight w:hRule="exact" w:val="225"/>
        </w:trPr>
        <w:tc>
          <w:tcPr>
            <w:tcW w:w="1993" w:type="pct"/>
            <w:tcBorders>
              <w:top w:val="nil"/>
              <w:left w:val="nil"/>
              <w:bottom w:val="nil"/>
              <w:right w:val="nil"/>
            </w:tcBorders>
            <w:shd w:val="clear" w:color="auto" w:fill="auto"/>
            <w:noWrap/>
            <w:vAlign w:val="center"/>
            <w:hideMark/>
          </w:tcPr>
          <w:p w14:paraId="520F3113" w14:textId="77777777" w:rsidR="00AA042E" w:rsidRPr="00EC4BA6" w:rsidRDefault="00AA042E" w:rsidP="00AA042E">
            <w:pPr>
              <w:spacing w:before="0" w:after="0" w:line="240" w:lineRule="auto"/>
              <w:ind w:left="170"/>
              <w:rPr>
                <w:rFonts w:ascii="Arial" w:hAnsi="Arial" w:cs="Arial"/>
                <w:sz w:val="16"/>
                <w:szCs w:val="16"/>
              </w:rPr>
            </w:pPr>
            <w:r w:rsidRPr="00EC4BA6">
              <w:rPr>
                <w:rFonts w:ascii="Arial" w:hAnsi="Arial" w:cs="Arial"/>
                <w:sz w:val="16"/>
                <w:szCs w:val="16"/>
              </w:rPr>
              <w:t>Petrol</w:t>
            </w:r>
          </w:p>
        </w:tc>
        <w:tc>
          <w:tcPr>
            <w:tcW w:w="737" w:type="pct"/>
            <w:tcBorders>
              <w:top w:val="nil"/>
              <w:left w:val="nil"/>
              <w:bottom w:val="nil"/>
              <w:right w:val="nil"/>
            </w:tcBorders>
            <w:shd w:val="clear" w:color="auto" w:fill="auto"/>
            <w:noWrap/>
            <w:vAlign w:val="center"/>
            <w:hideMark/>
          </w:tcPr>
          <w:p w14:paraId="2BDA93D3"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7,450</w:t>
            </w:r>
          </w:p>
        </w:tc>
        <w:tc>
          <w:tcPr>
            <w:tcW w:w="737" w:type="pct"/>
            <w:tcBorders>
              <w:top w:val="nil"/>
              <w:left w:val="nil"/>
              <w:bottom w:val="nil"/>
              <w:right w:val="nil"/>
            </w:tcBorders>
            <w:shd w:val="clear" w:color="000000" w:fill="E6F2FF"/>
            <w:noWrap/>
            <w:vAlign w:val="center"/>
            <w:hideMark/>
          </w:tcPr>
          <w:p w14:paraId="7B65CB08"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7,450</w:t>
            </w:r>
          </w:p>
        </w:tc>
        <w:tc>
          <w:tcPr>
            <w:tcW w:w="58" w:type="pct"/>
            <w:tcBorders>
              <w:top w:val="nil"/>
              <w:left w:val="nil"/>
              <w:bottom w:val="nil"/>
              <w:right w:val="nil"/>
            </w:tcBorders>
            <w:shd w:val="clear" w:color="auto" w:fill="auto"/>
            <w:noWrap/>
            <w:vAlign w:val="center"/>
            <w:hideMark/>
          </w:tcPr>
          <w:p w14:paraId="0B2AF9C1" w14:textId="77777777" w:rsidR="00AA042E" w:rsidRPr="00EC4BA6" w:rsidRDefault="00AA042E" w:rsidP="00AA042E">
            <w:pPr>
              <w:spacing w:before="0" w:after="0" w:line="240" w:lineRule="auto"/>
              <w:jc w:val="right"/>
              <w:rPr>
                <w:rFonts w:ascii="Arial" w:hAnsi="Arial" w:cs="Arial"/>
                <w:sz w:val="16"/>
                <w:szCs w:val="16"/>
              </w:rPr>
            </w:pPr>
          </w:p>
        </w:tc>
        <w:tc>
          <w:tcPr>
            <w:tcW w:w="737" w:type="pct"/>
            <w:tcBorders>
              <w:top w:val="nil"/>
              <w:left w:val="nil"/>
              <w:bottom w:val="nil"/>
              <w:right w:val="nil"/>
            </w:tcBorders>
            <w:shd w:val="clear" w:color="auto" w:fill="auto"/>
            <w:noWrap/>
            <w:vAlign w:val="center"/>
            <w:hideMark/>
          </w:tcPr>
          <w:p w14:paraId="0ABC20BB"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0</w:t>
            </w:r>
          </w:p>
        </w:tc>
        <w:tc>
          <w:tcPr>
            <w:tcW w:w="737" w:type="pct"/>
            <w:tcBorders>
              <w:top w:val="nil"/>
              <w:left w:val="nil"/>
              <w:bottom w:val="nil"/>
              <w:right w:val="nil"/>
            </w:tcBorders>
            <w:shd w:val="clear" w:color="auto" w:fill="auto"/>
            <w:noWrap/>
            <w:vAlign w:val="center"/>
            <w:hideMark/>
          </w:tcPr>
          <w:p w14:paraId="6E406193"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0.0</w:t>
            </w:r>
          </w:p>
        </w:tc>
      </w:tr>
      <w:tr w:rsidR="00AA042E" w:rsidRPr="00EC4BA6" w14:paraId="38D4BB88" w14:textId="77777777" w:rsidTr="00AA042E">
        <w:trPr>
          <w:trHeight w:hRule="exact" w:val="225"/>
        </w:trPr>
        <w:tc>
          <w:tcPr>
            <w:tcW w:w="1993" w:type="pct"/>
            <w:tcBorders>
              <w:top w:val="nil"/>
              <w:left w:val="nil"/>
              <w:bottom w:val="nil"/>
              <w:right w:val="nil"/>
            </w:tcBorders>
            <w:shd w:val="clear" w:color="auto" w:fill="auto"/>
            <w:noWrap/>
            <w:vAlign w:val="center"/>
            <w:hideMark/>
          </w:tcPr>
          <w:p w14:paraId="1EAF5B7A" w14:textId="77777777" w:rsidR="00AA042E" w:rsidRPr="00EC4BA6" w:rsidRDefault="00AA042E" w:rsidP="00AA042E">
            <w:pPr>
              <w:spacing w:before="0" w:after="0" w:line="240" w:lineRule="auto"/>
              <w:ind w:left="170"/>
              <w:rPr>
                <w:rFonts w:ascii="Arial" w:hAnsi="Arial" w:cs="Arial"/>
                <w:sz w:val="16"/>
                <w:szCs w:val="16"/>
              </w:rPr>
            </w:pPr>
            <w:r w:rsidRPr="00EC4BA6">
              <w:rPr>
                <w:rFonts w:ascii="Arial" w:hAnsi="Arial" w:cs="Arial"/>
                <w:sz w:val="16"/>
                <w:szCs w:val="16"/>
              </w:rPr>
              <w:t>Diesel</w:t>
            </w:r>
          </w:p>
        </w:tc>
        <w:tc>
          <w:tcPr>
            <w:tcW w:w="737" w:type="pct"/>
            <w:tcBorders>
              <w:top w:val="nil"/>
              <w:left w:val="nil"/>
              <w:bottom w:val="nil"/>
              <w:right w:val="nil"/>
            </w:tcBorders>
            <w:shd w:val="clear" w:color="auto" w:fill="auto"/>
            <w:noWrap/>
            <w:vAlign w:val="center"/>
            <w:hideMark/>
          </w:tcPr>
          <w:p w14:paraId="4855089F"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17,850</w:t>
            </w:r>
          </w:p>
        </w:tc>
        <w:tc>
          <w:tcPr>
            <w:tcW w:w="737" w:type="pct"/>
            <w:tcBorders>
              <w:top w:val="nil"/>
              <w:left w:val="nil"/>
              <w:bottom w:val="nil"/>
              <w:right w:val="nil"/>
            </w:tcBorders>
            <w:shd w:val="clear" w:color="000000" w:fill="E6F2FF"/>
            <w:noWrap/>
            <w:vAlign w:val="center"/>
            <w:hideMark/>
          </w:tcPr>
          <w:p w14:paraId="0138A989"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17,850</w:t>
            </w:r>
          </w:p>
        </w:tc>
        <w:tc>
          <w:tcPr>
            <w:tcW w:w="58" w:type="pct"/>
            <w:tcBorders>
              <w:top w:val="nil"/>
              <w:left w:val="nil"/>
              <w:bottom w:val="nil"/>
              <w:right w:val="nil"/>
            </w:tcBorders>
            <w:shd w:val="clear" w:color="auto" w:fill="auto"/>
            <w:noWrap/>
            <w:vAlign w:val="center"/>
            <w:hideMark/>
          </w:tcPr>
          <w:p w14:paraId="75CCA437" w14:textId="77777777" w:rsidR="00AA042E" w:rsidRPr="00EC4BA6" w:rsidRDefault="00AA042E" w:rsidP="00AA042E">
            <w:pPr>
              <w:spacing w:before="0" w:after="0" w:line="240" w:lineRule="auto"/>
              <w:jc w:val="right"/>
              <w:rPr>
                <w:rFonts w:ascii="Arial" w:hAnsi="Arial" w:cs="Arial"/>
                <w:sz w:val="16"/>
                <w:szCs w:val="16"/>
              </w:rPr>
            </w:pPr>
          </w:p>
        </w:tc>
        <w:tc>
          <w:tcPr>
            <w:tcW w:w="737" w:type="pct"/>
            <w:tcBorders>
              <w:top w:val="nil"/>
              <w:left w:val="nil"/>
              <w:bottom w:val="nil"/>
              <w:right w:val="nil"/>
            </w:tcBorders>
            <w:shd w:val="clear" w:color="auto" w:fill="auto"/>
            <w:noWrap/>
            <w:vAlign w:val="center"/>
            <w:hideMark/>
          </w:tcPr>
          <w:p w14:paraId="46C4BBB5"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0</w:t>
            </w:r>
          </w:p>
        </w:tc>
        <w:tc>
          <w:tcPr>
            <w:tcW w:w="737" w:type="pct"/>
            <w:tcBorders>
              <w:top w:val="nil"/>
              <w:left w:val="nil"/>
              <w:bottom w:val="nil"/>
              <w:right w:val="nil"/>
            </w:tcBorders>
            <w:shd w:val="clear" w:color="auto" w:fill="auto"/>
            <w:noWrap/>
            <w:vAlign w:val="center"/>
            <w:hideMark/>
          </w:tcPr>
          <w:p w14:paraId="0461D929"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0.0</w:t>
            </w:r>
          </w:p>
        </w:tc>
      </w:tr>
      <w:tr w:rsidR="00AA042E" w:rsidRPr="00EC4BA6" w14:paraId="75F561AA" w14:textId="77777777" w:rsidTr="00AA042E">
        <w:trPr>
          <w:trHeight w:hRule="exact" w:val="225"/>
        </w:trPr>
        <w:tc>
          <w:tcPr>
            <w:tcW w:w="1993" w:type="pct"/>
            <w:tcBorders>
              <w:top w:val="nil"/>
              <w:left w:val="nil"/>
              <w:bottom w:val="nil"/>
              <w:right w:val="nil"/>
            </w:tcBorders>
            <w:shd w:val="clear" w:color="auto" w:fill="auto"/>
            <w:noWrap/>
            <w:vAlign w:val="center"/>
            <w:hideMark/>
          </w:tcPr>
          <w:p w14:paraId="542B2EBD" w14:textId="77777777" w:rsidR="00AA042E" w:rsidRPr="00EC4BA6" w:rsidRDefault="00AA042E" w:rsidP="00AA042E">
            <w:pPr>
              <w:spacing w:before="0" w:after="0" w:line="240" w:lineRule="auto"/>
              <w:ind w:left="170"/>
              <w:rPr>
                <w:rFonts w:ascii="Arial" w:hAnsi="Arial" w:cs="Arial"/>
                <w:sz w:val="16"/>
                <w:szCs w:val="16"/>
              </w:rPr>
            </w:pPr>
            <w:r w:rsidRPr="00EC4BA6">
              <w:rPr>
                <w:rFonts w:ascii="Arial" w:hAnsi="Arial" w:cs="Arial"/>
                <w:sz w:val="16"/>
                <w:szCs w:val="16"/>
              </w:rPr>
              <w:t>Other fuel products</w:t>
            </w:r>
          </w:p>
        </w:tc>
        <w:tc>
          <w:tcPr>
            <w:tcW w:w="737" w:type="pct"/>
            <w:tcBorders>
              <w:top w:val="nil"/>
              <w:left w:val="nil"/>
              <w:bottom w:val="nil"/>
              <w:right w:val="nil"/>
            </w:tcBorders>
            <w:shd w:val="clear" w:color="auto" w:fill="auto"/>
            <w:noWrap/>
            <w:vAlign w:val="center"/>
            <w:hideMark/>
          </w:tcPr>
          <w:p w14:paraId="17ACFCCD"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2,020</w:t>
            </w:r>
          </w:p>
        </w:tc>
        <w:tc>
          <w:tcPr>
            <w:tcW w:w="737" w:type="pct"/>
            <w:tcBorders>
              <w:top w:val="nil"/>
              <w:left w:val="nil"/>
              <w:bottom w:val="nil"/>
              <w:right w:val="nil"/>
            </w:tcBorders>
            <w:shd w:val="clear" w:color="000000" w:fill="E6F2FF"/>
            <w:noWrap/>
            <w:vAlign w:val="center"/>
            <w:hideMark/>
          </w:tcPr>
          <w:p w14:paraId="626B0CC7"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2,020</w:t>
            </w:r>
          </w:p>
        </w:tc>
        <w:tc>
          <w:tcPr>
            <w:tcW w:w="58" w:type="pct"/>
            <w:tcBorders>
              <w:top w:val="nil"/>
              <w:left w:val="nil"/>
              <w:bottom w:val="nil"/>
              <w:right w:val="nil"/>
            </w:tcBorders>
            <w:shd w:val="clear" w:color="auto" w:fill="auto"/>
            <w:noWrap/>
            <w:vAlign w:val="center"/>
            <w:hideMark/>
          </w:tcPr>
          <w:p w14:paraId="3FD612FF" w14:textId="77777777" w:rsidR="00AA042E" w:rsidRPr="00EC4BA6" w:rsidRDefault="00AA042E" w:rsidP="00AA042E">
            <w:pPr>
              <w:spacing w:before="0" w:after="0" w:line="240" w:lineRule="auto"/>
              <w:jc w:val="right"/>
              <w:rPr>
                <w:rFonts w:ascii="Arial" w:hAnsi="Arial" w:cs="Arial"/>
                <w:sz w:val="16"/>
                <w:szCs w:val="16"/>
              </w:rPr>
            </w:pPr>
          </w:p>
        </w:tc>
        <w:tc>
          <w:tcPr>
            <w:tcW w:w="737" w:type="pct"/>
            <w:tcBorders>
              <w:top w:val="nil"/>
              <w:left w:val="nil"/>
              <w:bottom w:val="nil"/>
              <w:right w:val="nil"/>
            </w:tcBorders>
            <w:shd w:val="clear" w:color="auto" w:fill="auto"/>
            <w:noWrap/>
            <w:vAlign w:val="center"/>
            <w:hideMark/>
          </w:tcPr>
          <w:p w14:paraId="12A39F46"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0</w:t>
            </w:r>
          </w:p>
        </w:tc>
        <w:tc>
          <w:tcPr>
            <w:tcW w:w="737" w:type="pct"/>
            <w:tcBorders>
              <w:top w:val="nil"/>
              <w:left w:val="nil"/>
              <w:bottom w:val="nil"/>
              <w:right w:val="nil"/>
            </w:tcBorders>
            <w:shd w:val="clear" w:color="auto" w:fill="auto"/>
            <w:noWrap/>
            <w:vAlign w:val="center"/>
            <w:hideMark/>
          </w:tcPr>
          <w:p w14:paraId="2A2203B8"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0.0</w:t>
            </w:r>
          </w:p>
        </w:tc>
      </w:tr>
      <w:tr w:rsidR="00AA042E" w:rsidRPr="00EC4BA6" w14:paraId="0B6A50AD" w14:textId="77777777" w:rsidTr="00AA042E">
        <w:trPr>
          <w:trHeight w:hRule="exact" w:val="225"/>
        </w:trPr>
        <w:tc>
          <w:tcPr>
            <w:tcW w:w="1993" w:type="pct"/>
            <w:tcBorders>
              <w:top w:val="nil"/>
              <w:left w:val="nil"/>
              <w:bottom w:val="nil"/>
              <w:right w:val="nil"/>
            </w:tcBorders>
            <w:shd w:val="clear" w:color="auto" w:fill="auto"/>
            <w:noWrap/>
            <w:vAlign w:val="center"/>
            <w:hideMark/>
          </w:tcPr>
          <w:p w14:paraId="61B09CF5" w14:textId="77777777" w:rsidR="00AA042E" w:rsidRPr="00EC4BA6" w:rsidRDefault="00AA042E" w:rsidP="00AA042E">
            <w:pPr>
              <w:spacing w:before="0" w:after="0" w:line="240" w:lineRule="auto"/>
              <w:ind w:left="170"/>
              <w:rPr>
                <w:rFonts w:ascii="Arial" w:hAnsi="Arial" w:cs="Arial"/>
                <w:sz w:val="16"/>
                <w:szCs w:val="16"/>
              </w:rPr>
            </w:pPr>
            <w:r w:rsidRPr="00EC4BA6">
              <w:rPr>
                <w:rFonts w:ascii="Arial" w:hAnsi="Arial" w:cs="Arial"/>
                <w:sz w:val="16"/>
                <w:szCs w:val="16"/>
              </w:rPr>
              <w:t>Tobacco</w:t>
            </w:r>
          </w:p>
        </w:tc>
        <w:tc>
          <w:tcPr>
            <w:tcW w:w="737" w:type="pct"/>
            <w:tcBorders>
              <w:top w:val="nil"/>
              <w:left w:val="nil"/>
              <w:bottom w:val="nil"/>
              <w:right w:val="nil"/>
            </w:tcBorders>
            <w:shd w:val="clear" w:color="auto" w:fill="auto"/>
            <w:noWrap/>
            <w:vAlign w:val="center"/>
            <w:hideMark/>
          </w:tcPr>
          <w:p w14:paraId="4F8259EA"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8,650</w:t>
            </w:r>
          </w:p>
        </w:tc>
        <w:tc>
          <w:tcPr>
            <w:tcW w:w="737" w:type="pct"/>
            <w:tcBorders>
              <w:top w:val="nil"/>
              <w:left w:val="nil"/>
              <w:bottom w:val="nil"/>
              <w:right w:val="nil"/>
            </w:tcBorders>
            <w:shd w:val="clear" w:color="000000" w:fill="E6F2FF"/>
            <w:noWrap/>
            <w:vAlign w:val="center"/>
            <w:hideMark/>
          </w:tcPr>
          <w:p w14:paraId="56C049F6"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7,050</w:t>
            </w:r>
          </w:p>
        </w:tc>
        <w:tc>
          <w:tcPr>
            <w:tcW w:w="58" w:type="pct"/>
            <w:tcBorders>
              <w:top w:val="nil"/>
              <w:left w:val="nil"/>
              <w:bottom w:val="nil"/>
              <w:right w:val="nil"/>
            </w:tcBorders>
            <w:shd w:val="clear" w:color="auto" w:fill="auto"/>
            <w:noWrap/>
            <w:vAlign w:val="center"/>
            <w:hideMark/>
          </w:tcPr>
          <w:p w14:paraId="29E2480C" w14:textId="77777777" w:rsidR="00AA042E" w:rsidRPr="00EC4BA6" w:rsidRDefault="00AA042E" w:rsidP="00AA042E">
            <w:pPr>
              <w:spacing w:before="0" w:after="0" w:line="240" w:lineRule="auto"/>
              <w:jc w:val="right"/>
              <w:rPr>
                <w:rFonts w:ascii="Arial" w:hAnsi="Arial" w:cs="Arial"/>
                <w:sz w:val="16"/>
                <w:szCs w:val="16"/>
              </w:rPr>
            </w:pPr>
          </w:p>
        </w:tc>
        <w:tc>
          <w:tcPr>
            <w:tcW w:w="737" w:type="pct"/>
            <w:tcBorders>
              <w:top w:val="nil"/>
              <w:left w:val="nil"/>
              <w:bottom w:val="nil"/>
              <w:right w:val="nil"/>
            </w:tcBorders>
            <w:shd w:val="clear" w:color="auto" w:fill="auto"/>
            <w:noWrap/>
            <w:vAlign w:val="center"/>
            <w:hideMark/>
          </w:tcPr>
          <w:p w14:paraId="68F2BA7D" w14:textId="290250A0" w:rsidR="00AA042E" w:rsidRPr="00EC4BA6" w:rsidRDefault="001A3DD6" w:rsidP="00AA042E">
            <w:pPr>
              <w:spacing w:before="0" w:after="0" w:line="240" w:lineRule="auto"/>
              <w:jc w:val="right"/>
              <w:rPr>
                <w:rFonts w:ascii="Arial" w:hAnsi="Arial" w:cs="Arial"/>
                <w:sz w:val="16"/>
                <w:szCs w:val="16"/>
              </w:rPr>
            </w:pPr>
            <w:r>
              <w:rPr>
                <w:rFonts w:ascii="Arial" w:hAnsi="Arial" w:cs="Arial"/>
                <w:sz w:val="16"/>
                <w:szCs w:val="16"/>
              </w:rPr>
              <w:noBreakHyphen/>
            </w:r>
            <w:r w:rsidR="00AA042E" w:rsidRPr="00EC4BA6">
              <w:rPr>
                <w:rFonts w:ascii="Arial" w:hAnsi="Arial" w:cs="Arial"/>
                <w:sz w:val="16"/>
                <w:szCs w:val="16"/>
              </w:rPr>
              <w:t>1,600</w:t>
            </w:r>
          </w:p>
        </w:tc>
        <w:tc>
          <w:tcPr>
            <w:tcW w:w="737" w:type="pct"/>
            <w:tcBorders>
              <w:top w:val="nil"/>
              <w:left w:val="nil"/>
              <w:bottom w:val="nil"/>
              <w:right w:val="nil"/>
            </w:tcBorders>
            <w:shd w:val="clear" w:color="auto" w:fill="auto"/>
            <w:noWrap/>
            <w:vAlign w:val="center"/>
            <w:hideMark/>
          </w:tcPr>
          <w:p w14:paraId="42E94E36" w14:textId="0591BA3E" w:rsidR="00AA042E" w:rsidRPr="00EC4BA6" w:rsidRDefault="001A3DD6" w:rsidP="00AA042E">
            <w:pPr>
              <w:spacing w:before="0" w:after="0" w:line="240" w:lineRule="auto"/>
              <w:jc w:val="right"/>
              <w:rPr>
                <w:rFonts w:ascii="Arial" w:hAnsi="Arial" w:cs="Arial"/>
                <w:sz w:val="16"/>
                <w:szCs w:val="16"/>
              </w:rPr>
            </w:pPr>
            <w:r>
              <w:rPr>
                <w:rFonts w:ascii="Arial" w:hAnsi="Arial" w:cs="Arial"/>
                <w:sz w:val="16"/>
                <w:szCs w:val="16"/>
              </w:rPr>
              <w:noBreakHyphen/>
            </w:r>
            <w:r w:rsidR="00AA042E" w:rsidRPr="00EC4BA6">
              <w:rPr>
                <w:rFonts w:ascii="Arial" w:hAnsi="Arial" w:cs="Arial"/>
                <w:sz w:val="16"/>
                <w:szCs w:val="16"/>
              </w:rPr>
              <w:t>18.5</w:t>
            </w:r>
          </w:p>
        </w:tc>
      </w:tr>
      <w:tr w:rsidR="00AA042E" w:rsidRPr="00EC4BA6" w14:paraId="1DBD3A8C" w14:textId="77777777" w:rsidTr="00AA042E">
        <w:trPr>
          <w:trHeight w:hRule="exact" w:val="225"/>
        </w:trPr>
        <w:tc>
          <w:tcPr>
            <w:tcW w:w="1993" w:type="pct"/>
            <w:tcBorders>
              <w:top w:val="nil"/>
              <w:left w:val="nil"/>
              <w:bottom w:val="nil"/>
              <w:right w:val="nil"/>
            </w:tcBorders>
            <w:shd w:val="clear" w:color="auto" w:fill="auto"/>
            <w:noWrap/>
            <w:vAlign w:val="center"/>
            <w:hideMark/>
          </w:tcPr>
          <w:p w14:paraId="08A5B546" w14:textId="77777777" w:rsidR="00AA042E" w:rsidRPr="00EC4BA6" w:rsidRDefault="00AA042E" w:rsidP="00AA042E">
            <w:pPr>
              <w:spacing w:before="0" w:after="0" w:line="240" w:lineRule="auto"/>
              <w:ind w:left="170"/>
              <w:rPr>
                <w:rFonts w:ascii="Arial" w:hAnsi="Arial" w:cs="Arial"/>
                <w:sz w:val="16"/>
                <w:szCs w:val="16"/>
              </w:rPr>
            </w:pPr>
            <w:r w:rsidRPr="00EC4BA6">
              <w:rPr>
                <w:rFonts w:ascii="Arial" w:hAnsi="Arial" w:cs="Arial"/>
                <w:sz w:val="16"/>
                <w:szCs w:val="16"/>
              </w:rPr>
              <w:t>Beer</w:t>
            </w:r>
          </w:p>
        </w:tc>
        <w:tc>
          <w:tcPr>
            <w:tcW w:w="737" w:type="pct"/>
            <w:tcBorders>
              <w:top w:val="nil"/>
              <w:left w:val="nil"/>
              <w:bottom w:val="nil"/>
              <w:right w:val="nil"/>
            </w:tcBorders>
            <w:shd w:val="clear" w:color="auto" w:fill="auto"/>
            <w:noWrap/>
            <w:vAlign w:val="center"/>
            <w:hideMark/>
          </w:tcPr>
          <w:p w14:paraId="5827E94A"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2,850</w:t>
            </w:r>
          </w:p>
        </w:tc>
        <w:tc>
          <w:tcPr>
            <w:tcW w:w="737" w:type="pct"/>
            <w:tcBorders>
              <w:top w:val="nil"/>
              <w:left w:val="nil"/>
              <w:bottom w:val="nil"/>
              <w:right w:val="nil"/>
            </w:tcBorders>
            <w:shd w:val="clear" w:color="000000" w:fill="E6F2FF"/>
            <w:noWrap/>
            <w:vAlign w:val="center"/>
            <w:hideMark/>
          </w:tcPr>
          <w:p w14:paraId="0E2D91D4"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2,780</w:t>
            </w:r>
          </w:p>
        </w:tc>
        <w:tc>
          <w:tcPr>
            <w:tcW w:w="58" w:type="pct"/>
            <w:tcBorders>
              <w:top w:val="nil"/>
              <w:left w:val="nil"/>
              <w:bottom w:val="nil"/>
              <w:right w:val="nil"/>
            </w:tcBorders>
            <w:shd w:val="clear" w:color="auto" w:fill="auto"/>
            <w:noWrap/>
            <w:vAlign w:val="center"/>
            <w:hideMark/>
          </w:tcPr>
          <w:p w14:paraId="0540329C" w14:textId="77777777" w:rsidR="00AA042E" w:rsidRPr="00EC4BA6" w:rsidRDefault="00AA042E" w:rsidP="00AA042E">
            <w:pPr>
              <w:spacing w:before="0" w:after="0" w:line="240" w:lineRule="auto"/>
              <w:jc w:val="right"/>
              <w:rPr>
                <w:rFonts w:ascii="Arial" w:hAnsi="Arial" w:cs="Arial"/>
                <w:sz w:val="16"/>
                <w:szCs w:val="16"/>
              </w:rPr>
            </w:pPr>
          </w:p>
        </w:tc>
        <w:tc>
          <w:tcPr>
            <w:tcW w:w="737" w:type="pct"/>
            <w:tcBorders>
              <w:top w:val="nil"/>
              <w:left w:val="nil"/>
              <w:bottom w:val="nil"/>
              <w:right w:val="nil"/>
            </w:tcBorders>
            <w:shd w:val="clear" w:color="auto" w:fill="auto"/>
            <w:noWrap/>
            <w:vAlign w:val="center"/>
            <w:hideMark/>
          </w:tcPr>
          <w:p w14:paraId="0AE22DD1" w14:textId="744121BA" w:rsidR="00AA042E" w:rsidRPr="00EC4BA6" w:rsidRDefault="001A3DD6" w:rsidP="00AA042E">
            <w:pPr>
              <w:spacing w:before="0" w:after="0" w:line="240" w:lineRule="auto"/>
              <w:jc w:val="right"/>
              <w:rPr>
                <w:rFonts w:ascii="Arial" w:hAnsi="Arial" w:cs="Arial"/>
                <w:sz w:val="16"/>
                <w:szCs w:val="16"/>
              </w:rPr>
            </w:pPr>
            <w:r>
              <w:rPr>
                <w:rFonts w:ascii="Arial" w:hAnsi="Arial" w:cs="Arial"/>
                <w:sz w:val="16"/>
                <w:szCs w:val="16"/>
              </w:rPr>
              <w:noBreakHyphen/>
            </w:r>
            <w:r w:rsidR="00AA042E" w:rsidRPr="00EC4BA6">
              <w:rPr>
                <w:rFonts w:ascii="Arial" w:hAnsi="Arial" w:cs="Arial"/>
                <w:sz w:val="16"/>
                <w:szCs w:val="16"/>
              </w:rPr>
              <w:t>70</w:t>
            </w:r>
          </w:p>
        </w:tc>
        <w:tc>
          <w:tcPr>
            <w:tcW w:w="737" w:type="pct"/>
            <w:tcBorders>
              <w:top w:val="nil"/>
              <w:left w:val="nil"/>
              <w:bottom w:val="nil"/>
              <w:right w:val="nil"/>
            </w:tcBorders>
            <w:shd w:val="clear" w:color="auto" w:fill="auto"/>
            <w:noWrap/>
            <w:vAlign w:val="center"/>
            <w:hideMark/>
          </w:tcPr>
          <w:p w14:paraId="220465AC" w14:textId="027B6DB0" w:rsidR="00AA042E" w:rsidRPr="00EC4BA6" w:rsidRDefault="001A3DD6" w:rsidP="00AA042E">
            <w:pPr>
              <w:spacing w:before="0" w:after="0" w:line="240" w:lineRule="auto"/>
              <w:jc w:val="right"/>
              <w:rPr>
                <w:rFonts w:ascii="Arial" w:hAnsi="Arial" w:cs="Arial"/>
                <w:sz w:val="16"/>
                <w:szCs w:val="16"/>
              </w:rPr>
            </w:pPr>
            <w:r>
              <w:rPr>
                <w:rFonts w:ascii="Arial" w:hAnsi="Arial" w:cs="Arial"/>
                <w:sz w:val="16"/>
                <w:szCs w:val="16"/>
              </w:rPr>
              <w:noBreakHyphen/>
            </w:r>
            <w:r w:rsidR="00AA042E" w:rsidRPr="00EC4BA6">
              <w:rPr>
                <w:rFonts w:ascii="Arial" w:hAnsi="Arial" w:cs="Arial"/>
                <w:sz w:val="16"/>
                <w:szCs w:val="16"/>
              </w:rPr>
              <w:t>2.5</w:t>
            </w:r>
          </w:p>
        </w:tc>
      </w:tr>
      <w:tr w:rsidR="00AA042E" w:rsidRPr="00EC4BA6" w14:paraId="0F13F4F7" w14:textId="77777777" w:rsidTr="00AA042E">
        <w:trPr>
          <w:trHeight w:hRule="exact" w:val="225"/>
        </w:trPr>
        <w:tc>
          <w:tcPr>
            <w:tcW w:w="1993" w:type="pct"/>
            <w:tcBorders>
              <w:top w:val="nil"/>
              <w:left w:val="nil"/>
              <w:bottom w:val="nil"/>
              <w:right w:val="nil"/>
            </w:tcBorders>
            <w:shd w:val="clear" w:color="auto" w:fill="auto"/>
            <w:noWrap/>
            <w:vAlign w:val="center"/>
            <w:hideMark/>
          </w:tcPr>
          <w:p w14:paraId="7F7BD623" w14:textId="77777777" w:rsidR="00AA042E" w:rsidRPr="00EC4BA6" w:rsidRDefault="00AA042E" w:rsidP="00AA042E">
            <w:pPr>
              <w:spacing w:before="0" w:after="0" w:line="240" w:lineRule="auto"/>
              <w:ind w:left="170"/>
              <w:rPr>
                <w:rFonts w:ascii="Arial" w:hAnsi="Arial" w:cs="Arial"/>
                <w:sz w:val="16"/>
                <w:szCs w:val="16"/>
              </w:rPr>
            </w:pPr>
            <w:r w:rsidRPr="00EC4BA6">
              <w:rPr>
                <w:rFonts w:ascii="Arial" w:hAnsi="Arial" w:cs="Arial"/>
                <w:sz w:val="16"/>
                <w:szCs w:val="16"/>
              </w:rPr>
              <w:t>Spirits</w:t>
            </w:r>
          </w:p>
        </w:tc>
        <w:tc>
          <w:tcPr>
            <w:tcW w:w="737" w:type="pct"/>
            <w:tcBorders>
              <w:top w:val="nil"/>
              <w:left w:val="nil"/>
              <w:bottom w:val="nil"/>
              <w:right w:val="nil"/>
            </w:tcBorders>
            <w:shd w:val="clear" w:color="auto" w:fill="auto"/>
            <w:noWrap/>
            <w:vAlign w:val="center"/>
            <w:hideMark/>
          </w:tcPr>
          <w:p w14:paraId="4CD2EF48"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3,450</w:t>
            </w:r>
          </w:p>
        </w:tc>
        <w:tc>
          <w:tcPr>
            <w:tcW w:w="737" w:type="pct"/>
            <w:tcBorders>
              <w:top w:val="nil"/>
              <w:left w:val="nil"/>
              <w:bottom w:val="nil"/>
              <w:right w:val="nil"/>
            </w:tcBorders>
            <w:shd w:val="clear" w:color="000000" w:fill="E6F2FF"/>
            <w:noWrap/>
            <w:vAlign w:val="center"/>
            <w:hideMark/>
          </w:tcPr>
          <w:p w14:paraId="53326CA8"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3,380</w:t>
            </w:r>
          </w:p>
        </w:tc>
        <w:tc>
          <w:tcPr>
            <w:tcW w:w="58" w:type="pct"/>
            <w:tcBorders>
              <w:top w:val="nil"/>
              <w:left w:val="nil"/>
              <w:bottom w:val="nil"/>
              <w:right w:val="nil"/>
            </w:tcBorders>
            <w:shd w:val="clear" w:color="auto" w:fill="auto"/>
            <w:noWrap/>
            <w:vAlign w:val="center"/>
            <w:hideMark/>
          </w:tcPr>
          <w:p w14:paraId="507F3828" w14:textId="77777777" w:rsidR="00AA042E" w:rsidRPr="00EC4BA6" w:rsidRDefault="00AA042E" w:rsidP="00AA042E">
            <w:pPr>
              <w:spacing w:before="0" w:after="0" w:line="240" w:lineRule="auto"/>
              <w:jc w:val="right"/>
              <w:rPr>
                <w:rFonts w:ascii="Arial" w:hAnsi="Arial" w:cs="Arial"/>
                <w:sz w:val="16"/>
                <w:szCs w:val="16"/>
              </w:rPr>
            </w:pPr>
          </w:p>
        </w:tc>
        <w:tc>
          <w:tcPr>
            <w:tcW w:w="737" w:type="pct"/>
            <w:tcBorders>
              <w:top w:val="nil"/>
              <w:left w:val="nil"/>
              <w:bottom w:val="nil"/>
              <w:right w:val="nil"/>
            </w:tcBorders>
            <w:shd w:val="clear" w:color="auto" w:fill="auto"/>
            <w:noWrap/>
            <w:vAlign w:val="center"/>
            <w:hideMark/>
          </w:tcPr>
          <w:p w14:paraId="3B9A292E" w14:textId="2A45E9E5" w:rsidR="00AA042E" w:rsidRPr="00EC4BA6" w:rsidRDefault="001A3DD6" w:rsidP="00AA042E">
            <w:pPr>
              <w:spacing w:before="0" w:after="0" w:line="240" w:lineRule="auto"/>
              <w:jc w:val="right"/>
              <w:rPr>
                <w:rFonts w:ascii="Arial" w:hAnsi="Arial" w:cs="Arial"/>
                <w:sz w:val="16"/>
                <w:szCs w:val="16"/>
              </w:rPr>
            </w:pPr>
            <w:r>
              <w:rPr>
                <w:rFonts w:ascii="Arial" w:hAnsi="Arial" w:cs="Arial"/>
                <w:sz w:val="16"/>
                <w:szCs w:val="16"/>
              </w:rPr>
              <w:noBreakHyphen/>
            </w:r>
            <w:r w:rsidR="00AA042E" w:rsidRPr="00EC4BA6">
              <w:rPr>
                <w:rFonts w:ascii="Arial" w:hAnsi="Arial" w:cs="Arial"/>
                <w:sz w:val="16"/>
                <w:szCs w:val="16"/>
              </w:rPr>
              <w:t>70</w:t>
            </w:r>
          </w:p>
        </w:tc>
        <w:tc>
          <w:tcPr>
            <w:tcW w:w="737" w:type="pct"/>
            <w:tcBorders>
              <w:top w:val="nil"/>
              <w:left w:val="nil"/>
              <w:bottom w:val="nil"/>
              <w:right w:val="nil"/>
            </w:tcBorders>
            <w:shd w:val="clear" w:color="auto" w:fill="auto"/>
            <w:noWrap/>
            <w:vAlign w:val="center"/>
            <w:hideMark/>
          </w:tcPr>
          <w:p w14:paraId="242A8A9A" w14:textId="1F61E141" w:rsidR="00AA042E" w:rsidRPr="00EC4BA6" w:rsidRDefault="001A3DD6" w:rsidP="00AA042E">
            <w:pPr>
              <w:spacing w:before="0" w:after="0" w:line="240" w:lineRule="auto"/>
              <w:jc w:val="right"/>
              <w:rPr>
                <w:rFonts w:ascii="Arial" w:hAnsi="Arial" w:cs="Arial"/>
                <w:sz w:val="16"/>
                <w:szCs w:val="16"/>
              </w:rPr>
            </w:pPr>
            <w:r>
              <w:rPr>
                <w:rFonts w:ascii="Arial" w:hAnsi="Arial" w:cs="Arial"/>
                <w:sz w:val="16"/>
                <w:szCs w:val="16"/>
              </w:rPr>
              <w:noBreakHyphen/>
            </w:r>
            <w:r w:rsidR="00AA042E" w:rsidRPr="00EC4BA6">
              <w:rPr>
                <w:rFonts w:ascii="Arial" w:hAnsi="Arial" w:cs="Arial"/>
                <w:sz w:val="16"/>
                <w:szCs w:val="16"/>
              </w:rPr>
              <w:t>2.0</w:t>
            </w:r>
          </w:p>
        </w:tc>
      </w:tr>
      <w:tr w:rsidR="00AA042E" w:rsidRPr="00EC4BA6" w14:paraId="6BA70D91" w14:textId="77777777" w:rsidTr="00AA042E">
        <w:trPr>
          <w:trHeight w:hRule="exact" w:val="225"/>
        </w:trPr>
        <w:tc>
          <w:tcPr>
            <w:tcW w:w="1993" w:type="pct"/>
            <w:tcBorders>
              <w:top w:val="nil"/>
              <w:left w:val="nil"/>
              <w:bottom w:val="nil"/>
              <w:right w:val="nil"/>
            </w:tcBorders>
            <w:shd w:val="clear" w:color="auto" w:fill="auto"/>
            <w:noWrap/>
            <w:vAlign w:val="center"/>
            <w:hideMark/>
          </w:tcPr>
          <w:p w14:paraId="0BA951FE" w14:textId="77777777" w:rsidR="00AA042E" w:rsidRPr="00EC4BA6" w:rsidRDefault="00AA042E" w:rsidP="00AA042E">
            <w:pPr>
              <w:spacing w:before="0" w:after="0" w:line="240" w:lineRule="auto"/>
              <w:ind w:left="170"/>
              <w:rPr>
                <w:rFonts w:ascii="Arial" w:hAnsi="Arial" w:cs="Arial"/>
                <w:sz w:val="16"/>
                <w:szCs w:val="16"/>
              </w:rPr>
            </w:pPr>
            <w:r w:rsidRPr="00EC4BA6">
              <w:rPr>
                <w:rFonts w:ascii="Arial" w:hAnsi="Arial" w:cs="Arial"/>
                <w:sz w:val="16"/>
                <w:szCs w:val="16"/>
              </w:rPr>
              <w:t>Other alcoholic beverages(a)</w:t>
            </w:r>
          </w:p>
        </w:tc>
        <w:tc>
          <w:tcPr>
            <w:tcW w:w="737" w:type="pct"/>
            <w:tcBorders>
              <w:top w:val="nil"/>
              <w:left w:val="nil"/>
              <w:bottom w:val="nil"/>
              <w:right w:val="nil"/>
            </w:tcBorders>
            <w:shd w:val="clear" w:color="auto" w:fill="auto"/>
            <w:noWrap/>
            <w:vAlign w:val="center"/>
            <w:hideMark/>
          </w:tcPr>
          <w:p w14:paraId="79BB41D4"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1,850</w:t>
            </w:r>
          </w:p>
        </w:tc>
        <w:tc>
          <w:tcPr>
            <w:tcW w:w="737" w:type="pct"/>
            <w:tcBorders>
              <w:top w:val="nil"/>
              <w:left w:val="nil"/>
              <w:bottom w:val="nil"/>
              <w:right w:val="nil"/>
            </w:tcBorders>
            <w:shd w:val="clear" w:color="000000" w:fill="E6F2FF"/>
            <w:noWrap/>
            <w:vAlign w:val="center"/>
            <w:hideMark/>
          </w:tcPr>
          <w:p w14:paraId="1FD969F0"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1,830</w:t>
            </w:r>
          </w:p>
        </w:tc>
        <w:tc>
          <w:tcPr>
            <w:tcW w:w="58" w:type="pct"/>
            <w:tcBorders>
              <w:top w:val="nil"/>
              <w:left w:val="nil"/>
              <w:bottom w:val="nil"/>
              <w:right w:val="nil"/>
            </w:tcBorders>
            <w:shd w:val="clear" w:color="auto" w:fill="auto"/>
            <w:noWrap/>
            <w:vAlign w:val="center"/>
            <w:hideMark/>
          </w:tcPr>
          <w:p w14:paraId="72C1E2D8" w14:textId="77777777" w:rsidR="00AA042E" w:rsidRPr="00EC4BA6" w:rsidRDefault="00AA042E" w:rsidP="00AA042E">
            <w:pPr>
              <w:spacing w:before="0" w:after="0" w:line="240" w:lineRule="auto"/>
              <w:jc w:val="right"/>
              <w:rPr>
                <w:rFonts w:ascii="Arial" w:hAnsi="Arial" w:cs="Arial"/>
                <w:sz w:val="16"/>
                <w:szCs w:val="16"/>
              </w:rPr>
            </w:pPr>
          </w:p>
        </w:tc>
        <w:tc>
          <w:tcPr>
            <w:tcW w:w="737" w:type="pct"/>
            <w:tcBorders>
              <w:top w:val="nil"/>
              <w:left w:val="nil"/>
              <w:bottom w:val="nil"/>
              <w:right w:val="nil"/>
            </w:tcBorders>
            <w:shd w:val="clear" w:color="auto" w:fill="auto"/>
            <w:noWrap/>
            <w:vAlign w:val="center"/>
            <w:hideMark/>
          </w:tcPr>
          <w:p w14:paraId="13285D53" w14:textId="0FEAD7E3" w:rsidR="00AA042E" w:rsidRPr="00EC4BA6" w:rsidRDefault="001A3DD6" w:rsidP="00AA042E">
            <w:pPr>
              <w:spacing w:before="0" w:after="0" w:line="240" w:lineRule="auto"/>
              <w:jc w:val="right"/>
              <w:rPr>
                <w:rFonts w:ascii="Arial" w:hAnsi="Arial" w:cs="Arial"/>
                <w:sz w:val="16"/>
                <w:szCs w:val="16"/>
              </w:rPr>
            </w:pPr>
            <w:r>
              <w:rPr>
                <w:rFonts w:ascii="Arial" w:hAnsi="Arial" w:cs="Arial"/>
                <w:sz w:val="16"/>
                <w:szCs w:val="16"/>
              </w:rPr>
              <w:noBreakHyphen/>
            </w:r>
            <w:r w:rsidR="00AA042E" w:rsidRPr="00EC4BA6">
              <w:rPr>
                <w:rFonts w:ascii="Arial" w:hAnsi="Arial" w:cs="Arial"/>
                <w:sz w:val="16"/>
                <w:szCs w:val="16"/>
              </w:rPr>
              <w:t>20</w:t>
            </w:r>
          </w:p>
        </w:tc>
        <w:tc>
          <w:tcPr>
            <w:tcW w:w="737" w:type="pct"/>
            <w:tcBorders>
              <w:top w:val="nil"/>
              <w:left w:val="nil"/>
              <w:bottom w:val="nil"/>
              <w:right w:val="nil"/>
            </w:tcBorders>
            <w:shd w:val="clear" w:color="auto" w:fill="auto"/>
            <w:noWrap/>
            <w:vAlign w:val="center"/>
            <w:hideMark/>
          </w:tcPr>
          <w:p w14:paraId="0E90FF83" w14:textId="370ECF95" w:rsidR="00AA042E" w:rsidRPr="00EC4BA6" w:rsidRDefault="001A3DD6" w:rsidP="00AA042E">
            <w:pPr>
              <w:spacing w:before="0" w:after="0" w:line="240" w:lineRule="auto"/>
              <w:jc w:val="right"/>
              <w:rPr>
                <w:rFonts w:ascii="Arial" w:hAnsi="Arial" w:cs="Arial"/>
                <w:sz w:val="16"/>
                <w:szCs w:val="16"/>
              </w:rPr>
            </w:pPr>
            <w:r>
              <w:rPr>
                <w:rFonts w:ascii="Arial" w:hAnsi="Arial" w:cs="Arial"/>
                <w:sz w:val="16"/>
                <w:szCs w:val="16"/>
              </w:rPr>
              <w:noBreakHyphen/>
            </w:r>
            <w:r w:rsidR="00AA042E" w:rsidRPr="00EC4BA6">
              <w:rPr>
                <w:rFonts w:ascii="Arial" w:hAnsi="Arial" w:cs="Arial"/>
                <w:sz w:val="16"/>
                <w:szCs w:val="16"/>
              </w:rPr>
              <w:t>1.1</w:t>
            </w:r>
          </w:p>
        </w:tc>
      </w:tr>
      <w:tr w:rsidR="00AA042E" w:rsidRPr="00EC4BA6" w14:paraId="5A2D13E3" w14:textId="77777777" w:rsidTr="00AA042E">
        <w:trPr>
          <w:trHeight w:hRule="exact" w:val="225"/>
        </w:trPr>
        <w:tc>
          <w:tcPr>
            <w:tcW w:w="1993" w:type="pct"/>
            <w:tcBorders>
              <w:top w:val="nil"/>
              <w:left w:val="nil"/>
              <w:bottom w:val="nil"/>
              <w:right w:val="nil"/>
            </w:tcBorders>
            <w:shd w:val="clear" w:color="auto" w:fill="auto"/>
            <w:noWrap/>
            <w:vAlign w:val="center"/>
            <w:hideMark/>
          </w:tcPr>
          <w:p w14:paraId="02C070BC" w14:textId="77777777" w:rsidR="00AA042E" w:rsidRPr="00EC4BA6" w:rsidRDefault="00AA042E" w:rsidP="00AA042E">
            <w:pPr>
              <w:spacing w:before="0" w:after="0" w:line="240" w:lineRule="auto"/>
              <w:ind w:left="170"/>
              <w:rPr>
                <w:rFonts w:ascii="Arial" w:hAnsi="Arial" w:cs="Arial"/>
                <w:sz w:val="16"/>
                <w:szCs w:val="16"/>
              </w:rPr>
            </w:pPr>
            <w:r w:rsidRPr="00EC4BA6">
              <w:rPr>
                <w:rFonts w:ascii="Arial" w:hAnsi="Arial" w:cs="Arial"/>
                <w:sz w:val="16"/>
                <w:szCs w:val="16"/>
              </w:rPr>
              <w:t>Other customs duty</w:t>
            </w:r>
          </w:p>
        </w:tc>
        <w:tc>
          <w:tcPr>
            <w:tcW w:w="737" w:type="pct"/>
            <w:tcBorders>
              <w:top w:val="nil"/>
              <w:left w:val="nil"/>
              <w:bottom w:val="nil"/>
              <w:right w:val="nil"/>
            </w:tcBorders>
            <w:shd w:val="clear" w:color="auto" w:fill="auto"/>
            <w:noWrap/>
            <w:vAlign w:val="center"/>
            <w:hideMark/>
          </w:tcPr>
          <w:p w14:paraId="2BB195EB" w14:textId="77777777" w:rsidR="00AA042E" w:rsidRPr="00EC4BA6" w:rsidRDefault="00AA042E" w:rsidP="00AA042E">
            <w:pPr>
              <w:spacing w:before="0" w:after="0" w:line="240" w:lineRule="auto"/>
              <w:ind w:firstLineChars="100" w:firstLine="160"/>
              <w:rPr>
                <w:rFonts w:ascii="Arial" w:hAnsi="Arial" w:cs="Arial"/>
                <w:sz w:val="16"/>
                <w:szCs w:val="16"/>
              </w:rPr>
            </w:pPr>
          </w:p>
        </w:tc>
        <w:tc>
          <w:tcPr>
            <w:tcW w:w="737" w:type="pct"/>
            <w:tcBorders>
              <w:top w:val="nil"/>
              <w:left w:val="nil"/>
              <w:bottom w:val="nil"/>
              <w:right w:val="nil"/>
            </w:tcBorders>
            <w:shd w:val="clear" w:color="000000" w:fill="E6F2FF"/>
            <w:noWrap/>
            <w:vAlign w:val="center"/>
            <w:hideMark/>
          </w:tcPr>
          <w:p w14:paraId="56D12600" w14:textId="77777777" w:rsidR="00AA042E" w:rsidRPr="00EC4BA6" w:rsidRDefault="00AA042E" w:rsidP="00AA042E">
            <w:pPr>
              <w:spacing w:before="0" w:after="0" w:line="240" w:lineRule="auto"/>
              <w:rPr>
                <w:rFonts w:ascii="Arial" w:hAnsi="Arial" w:cs="Arial"/>
                <w:sz w:val="16"/>
                <w:szCs w:val="16"/>
              </w:rPr>
            </w:pPr>
            <w:r w:rsidRPr="00EC4BA6">
              <w:rPr>
                <w:rFonts w:ascii="Arial" w:hAnsi="Arial" w:cs="Arial"/>
                <w:sz w:val="16"/>
                <w:szCs w:val="16"/>
              </w:rPr>
              <w:t> </w:t>
            </w:r>
          </w:p>
        </w:tc>
        <w:tc>
          <w:tcPr>
            <w:tcW w:w="58" w:type="pct"/>
            <w:tcBorders>
              <w:top w:val="nil"/>
              <w:left w:val="nil"/>
              <w:bottom w:val="nil"/>
              <w:right w:val="nil"/>
            </w:tcBorders>
            <w:shd w:val="clear" w:color="auto" w:fill="auto"/>
            <w:noWrap/>
            <w:vAlign w:val="center"/>
            <w:hideMark/>
          </w:tcPr>
          <w:p w14:paraId="30AB9F60" w14:textId="77777777" w:rsidR="00AA042E" w:rsidRPr="00EC4BA6" w:rsidRDefault="00AA042E" w:rsidP="00AA042E">
            <w:pPr>
              <w:spacing w:before="0" w:after="0" w:line="240" w:lineRule="auto"/>
              <w:rPr>
                <w:rFonts w:ascii="Arial" w:hAnsi="Arial" w:cs="Arial"/>
                <w:sz w:val="16"/>
                <w:szCs w:val="16"/>
              </w:rPr>
            </w:pPr>
          </w:p>
        </w:tc>
        <w:tc>
          <w:tcPr>
            <w:tcW w:w="737" w:type="pct"/>
            <w:tcBorders>
              <w:top w:val="nil"/>
              <w:left w:val="nil"/>
              <w:bottom w:val="nil"/>
              <w:right w:val="nil"/>
            </w:tcBorders>
            <w:shd w:val="clear" w:color="auto" w:fill="auto"/>
            <w:noWrap/>
            <w:vAlign w:val="center"/>
            <w:hideMark/>
          </w:tcPr>
          <w:p w14:paraId="430DE364" w14:textId="77777777" w:rsidR="00AA042E" w:rsidRPr="00EC4BA6" w:rsidRDefault="00AA042E" w:rsidP="00AA042E">
            <w:pPr>
              <w:spacing w:before="0" w:after="0" w:line="240" w:lineRule="auto"/>
              <w:jc w:val="right"/>
              <w:rPr>
                <w:rFonts w:ascii="Times New Roman" w:hAnsi="Times New Roman"/>
                <w:sz w:val="20"/>
              </w:rPr>
            </w:pPr>
          </w:p>
        </w:tc>
        <w:tc>
          <w:tcPr>
            <w:tcW w:w="737" w:type="pct"/>
            <w:tcBorders>
              <w:top w:val="nil"/>
              <w:left w:val="nil"/>
              <w:bottom w:val="nil"/>
              <w:right w:val="nil"/>
            </w:tcBorders>
            <w:shd w:val="clear" w:color="auto" w:fill="auto"/>
            <w:noWrap/>
            <w:vAlign w:val="center"/>
            <w:hideMark/>
          </w:tcPr>
          <w:p w14:paraId="06D9520B" w14:textId="77777777" w:rsidR="00AA042E" w:rsidRPr="00EC4BA6" w:rsidRDefault="00AA042E" w:rsidP="00AA042E">
            <w:pPr>
              <w:spacing w:before="0" w:after="0" w:line="240" w:lineRule="auto"/>
              <w:jc w:val="right"/>
              <w:rPr>
                <w:rFonts w:ascii="Times New Roman" w:hAnsi="Times New Roman"/>
                <w:sz w:val="20"/>
              </w:rPr>
            </w:pPr>
          </w:p>
        </w:tc>
      </w:tr>
      <w:tr w:rsidR="00AA042E" w:rsidRPr="00EC4BA6" w14:paraId="4E59ED54" w14:textId="77777777" w:rsidTr="00AA042E">
        <w:trPr>
          <w:trHeight w:hRule="exact" w:val="225"/>
        </w:trPr>
        <w:tc>
          <w:tcPr>
            <w:tcW w:w="1993" w:type="pct"/>
            <w:tcBorders>
              <w:top w:val="nil"/>
              <w:left w:val="nil"/>
              <w:bottom w:val="nil"/>
              <w:right w:val="nil"/>
            </w:tcBorders>
            <w:shd w:val="clear" w:color="auto" w:fill="auto"/>
            <w:noWrap/>
            <w:vAlign w:val="bottom"/>
            <w:hideMark/>
          </w:tcPr>
          <w:p w14:paraId="0E60C588" w14:textId="77777777" w:rsidR="00AA042E" w:rsidRPr="00EC4BA6" w:rsidRDefault="00AA042E" w:rsidP="00AA042E">
            <w:pPr>
              <w:spacing w:before="0" w:after="0" w:line="240" w:lineRule="auto"/>
              <w:ind w:left="170"/>
              <w:rPr>
                <w:rFonts w:ascii="Arial" w:hAnsi="Arial" w:cs="Arial"/>
                <w:sz w:val="16"/>
                <w:szCs w:val="16"/>
              </w:rPr>
            </w:pPr>
            <w:r w:rsidRPr="00EC4BA6">
              <w:rPr>
                <w:rFonts w:ascii="Arial" w:hAnsi="Arial" w:cs="Arial"/>
                <w:sz w:val="16"/>
                <w:szCs w:val="16"/>
              </w:rPr>
              <w:t xml:space="preserve">    Textiles, clothing and footwear</w:t>
            </w:r>
          </w:p>
        </w:tc>
        <w:tc>
          <w:tcPr>
            <w:tcW w:w="737" w:type="pct"/>
            <w:tcBorders>
              <w:top w:val="nil"/>
              <w:left w:val="nil"/>
              <w:bottom w:val="nil"/>
              <w:right w:val="nil"/>
            </w:tcBorders>
            <w:shd w:val="clear" w:color="auto" w:fill="auto"/>
            <w:noWrap/>
            <w:vAlign w:val="center"/>
            <w:hideMark/>
          </w:tcPr>
          <w:p w14:paraId="3186B29F"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170</w:t>
            </w:r>
          </w:p>
        </w:tc>
        <w:tc>
          <w:tcPr>
            <w:tcW w:w="737" w:type="pct"/>
            <w:tcBorders>
              <w:top w:val="nil"/>
              <w:left w:val="nil"/>
              <w:bottom w:val="nil"/>
              <w:right w:val="nil"/>
            </w:tcBorders>
            <w:shd w:val="clear" w:color="000000" w:fill="E6F2FF"/>
            <w:noWrap/>
            <w:vAlign w:val="center"/>
            <w:hideMark/>
          </w:tcPr>
          <w:p w14:paraId="177F4ACA"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170</w:t>
            </w:r>
          </w:p>
        </w:tc>
        <w:tc>
          <w:tcPr>
            <w:tcW w:w="58" w:type="pct"/>
            <w:tcBorders>
              <w:top w:val="nil"/>
              <w:left w:val="nil"/>
              <w:bottom w:val="nil"/>
              <w:right w:val="nil"/>
            </w:tcBorders>
            <w:shd w:val="clear" w:color="auto" w:fill="auto"/>
            <w:noWrap/>
            <w:vAlign w:val="center"/>
            <w:hideMark/>
          </w:tcPr>
          <w:p w14:paraId="0964F6BC" w14:textId="77777777" w:rsidR="00AA042E" w:rsidRPr="00EC4BA6" w:rsidRDefault="00AA042E" w:rsidP="00AA042E">
            <w:pPr>
              <w:spacing w:before="0" w:after="0" w:line="240" w:lineRule="auto"/>
              <w:jc w:val="right"/>
              <w:rPr>
                <w:rFonts w:ascii="Arial" w:hAnsi="Arial" w:cs="Arial"/>
                <w:sz w:val="16"/>
                <w:szCs w:val="16"/>
              </w:rPr>
            </w:pPr>
          </w:p>
        </w:tc>
        <w:tc>
          <w:tcPr>
            <w:tcW w:w="737" w:type="pct"/>
            <w:tcBorders>
              <w:top w:val="nil"/>
              <w:left w:val="nil"/>
              <w:bottom w:val="nil"/>
              <w:right w:val="nil"/>
            </w:tcBorders>
            <w:shd w:val="clear" w:color="auto" w:fill="auto"/>
            <w:noWrap/>
            <w:vAlign w:val="center"/>
            <w:hideMark/>
          </w:tcPr>
          <w:p w14:paraId="015A4B7D"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0</w:t>
            </w:r>
          </w:p>
        </w:tc>
        <w:tc>
          <w:tcPr>
            <w:tcW w:w="737" w:type="pct"/>
            <w:tcBorders>
              <w:top w:val="nil"/>
              <w:left w:val="nil"/>
              <w:bottom w:val="nil"/>
              <w:right w:val="nil"/>
            </w:tcBorders>
            <w:shd w:val="clear" w:color="auto" w:fill="auto"/>
            <w:noWrap/>
            <w:vAlign w:val="center"/>
            <w:hideMark/>
          </w:tcPr>
          <w:p w14:paraId="000EAEF0"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0.0</w:t>
            </w:r>
          </w:p>
        </w:tc>
      </w:tr>
      <w:tr w:rsidR="00AA042E" w:rsidRPr="00EC4BA6" w14:paraId="370E477E" w14:textId="77777777" w:rsidTr="00AA042E">
        <w:trPr>
          <w:trHeight w:hRule="exact" w:val="225"/>
        </w:trPr>
        <w:tc>
          <w:tcPr>
            <w:tcW w:w="1993" w:type="pct"/>
            <w:tcBorders>
              <w:top w:val="nil"/>
              <w:left w:val="nil"/>
              <w:bottom w:val="nil"/>
              <w:right w:val="nil"/>
            </w:tcBorders>
            <w:shd w:val="clear" w:color="auto" w:fill="auto"/>
            <w:noWrap/>
            <w:vAlign w:val="bottom"/>
            <w:hideMark/>
          </w:tcPr>
          <w:p w14:paraId="6AF28112" w14:textId="77777777" w:rsidR="00AA042E" w:rsidRPr="00EC4BA6" w:rsidRDefault="00AA042E" w:rsidP="00AA042E">
            <w:pPr>
              <w:spacing w:before="0" w:after="0" w:line="240" w:lineRule="auto"/>
              <w:ind w:left="170"/>
              <w:rPr>
                <w:rFonts w:ascii="Arial" w:hAnsi="Arial" w:cs="Arial"/>
                <w:sz w:val="16"/>
                <w:szCs w:val="16"/>
              </w:rPr>
            </w:pPr>
            <w:r w:rsidRPr="00EC4BA6">
              <w:rPr>
                <w:rFonts w:ascii="Arial" w:hAnsi="Arial" w:cs="Arial"/>
                <w:sz w:val="16"/>
                <w:szCs w:val="16"/>
              </w:rPr>
              <w:t xml:space="preserve">    Passenger motor vehicles</w:t>
            </w:r>
          </w:p>
        </w:tc>
        <w:tc>
          <w:tcPr>
            <w:tcW w:w="737" w:type="pct"/>
            <w:tcBorders>
              <w:top w:val="nil"/>
              <w:left w:val="nil"/>
              <w:bottom w:val="nil"/>
              <w:right w:val="nil"/>
            </w:tcBorders>
            <w:shd w:val="clear" w:color="auto" w:fill="auto"/>
            <w:noWrap/>
            <w:vAlign w:val="center"/>
            <w:hideMark/>
          </w:tcPr>
          <w:p w14:paraId="744E8327"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370</w:t>
            </w:r>
          </w:p>
        </w:tc>
        <w:tc>
          <w:tcPr>
            <w:tcW w:w="737" w:type="pct"/>
            <w:tcBorders>
              <w:top w:val="nil"/>
              <w:left w:val="nil"/>
              <w:bottom w:val="nil"/>
              <w:right w:val="nil"/>
            </w:tcBorders>
            <w:shd w:val="clear" w:color="000000" w:fill="E6F2FF"/>
            <w:noWrap/>
            <w:vAlign w:val="center"/>
            <w:hideMark/>
          </w:tcPr>
          <w:p w14:paraId="030A5380"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380</w:t>
            </w:r>
          </w:p>
        </w:tc>
        <w:tc>
          <w:tcPr>
            <w:tcW w:w="58" w:type="pct"/>
            <w:tcBorders>
              <w:top w:val="nil"/>
              <w:left w:val="nil"/>
              <w:bottom w:val="nil"/>
              <w:right w:val="nil"/>
            </w:tcBorders>
            <w:shd w:val="clear" w:color="auto" w:fill="auto"/>
            <w:noWrap/>
            <w:vAlign w:val="center"/>
            <w:hideMark/>
          </w:tcPr>
          <w:p w14:paraId="3E32115E" w14:textId="77777777" w:rsidR="00AA042E" w:rsidRPr="00EC4BA6" w:rsidRDefault="00AA042E" w:rsidP="00AA042E">
            <w:pPr>
              <w:spacing w:before="0" w:after="0" w:line="240" w:lineRule="auto"/>
              <w:jc w:val="right"/>
              <w:rPr>
                <w:rFonts w:ascii="Arial" w:hAnsi="Arial" w:cs="Arial"/>
                <w:sz w:val="16"/>
                <w:szCs w:val="16"/>
              </w:rPr>
            </w:pPr>
          </w:p>
        </w:tc>
        <w:tc>
          <w:tcPr>
            <w:tcW w:w="737" w:type="pct"/>
            <w:tcBorders>
              <w:top w:val="nil"/>
              <w:left w:val="nil"/>
              <w:bottom w:val="nil"/>
              <w:right w:val="nil"/>
            </w:tcBorders>
            <w:shd w:val="clear" w:color="auto" w:fill="auto"/>
            <w:noWrap/>
            <w:vAlign w:val="center"/>
            <w:hideMark/>
          </w:tcPr>
          <w:p w14:paraId="21D12203"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10</w:t>
            </w:r>
          </w:p>
        </w:tc>
        <w:tc>
          <w:tcPr>
            <w:tcW w:w="737" w:type="pct"/>
            <w:tcBorders>
              <w:top w:val="nil"/>
              <w:left w:val="nil"/>
              <w:bottom w:val="nil"/>
              <w:right w:val="nil"/>
            </w:tcBorders>
            <w:shd w:val="clear" w:color="auto" w:fill="auto"/>
            <w:noWrap/>
            <w:vAlign w:val="center"/>
            <w:hideMark/>
          </w:tcPr>
          <w:p w14:paraId="6F1295EB"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2.7</w:t>
            </w:r>
          </w:p>
        </w:tc>
      </w:tr>
      <w:tr w:rsidR="00AA042E" w:rsidRPr="00EC4BA6" w14:paraId="44840486" w14:textId="77777777" w:rsidTr="00AA042E">
        <w:trPr>
          <w:trHeight w:hRule="exact" w:val="225"/>
        </w:trPr>
        <w:tc>
          <w:tcPr>
            <w:tcW w:w="1993" w:type="pct"/>
            <w:tcBorders>
              <w:top w:val="nil"/>
              <w:left w:val="nil"/>
              <w:bottom w:val="nil"/>
              <w:right w:val="nil"/>
            </w:tcBorders>
            <w:shd w:val="clear" w:color="auto" w:fill="auto"/>
            <w:noWrap/>
            <w:vAlign w:val="center"/>
            <w:hideMark/>
          </w:tcPr>
          <w:p w14:paraId="39D96EA3" w14:textId="77777777" w:rsidR="00AA042E" w:rsidRPr="00EC4BA6" w:rsidRDefault="00AA042E" w:rsidP="00AA042E">
            <w:pPr>
              <w:spacing w:before="0" w:after="0" w:line="240" w:lineRule="auto"/>
              <w:ind w:left="170"/>
              <w:rPr>
                <w:rFonts w:ascii="Arial" w:hAnsi="Arial" w:cs="Arial"/>
                <w:sz w:val="16"/>
                <w:szCs w:val="16"/>
              </w:rPr>
            </w:pPr>
            <w:r w:rsidRPr="00EC4BA6">
              <w:rPr>
                <w:rFonts w:ascii="Arial" w:hAnsi="Arial" w:cs="Arial"/>
                <w:sz w:val="16"/>
                <w:szCs w:val="16"/>
              </w:rPr>
              <w:t xml:space="preserve">    Other imports</w:t>
            </w:r>
          </w:p>
        </w:tc>
        <w:tc>
          <w:tcPr>
            <w:tcW w:w="737" w:type="pct"/>
            <w:tcBorders>
              <w:top w:val="nil"/>
              <w:left w:val="nil"/>
              <w:bottom w:val="nil"/>
              <w:right w:val="nil"/>
            </w:tcBorders>
            <w:shd w:val="clear" w:color="auto" w:fill="auto"/>
            <w:noWrap/>
            <w:vAlign w:val="center"/>
            <w:hideMark/>
          </w:tcPr>
          <w:p w14:paraId="65763017"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1,600</w:t>
            </w:r>
          </w:p>
        </w:tc>
        <w:tc>
          <w:tcPr>
            <w:tcW w:w="737" w:type="pct"/>
            <w:tcBorders>
              <w:top w:val="nil"/>
              <w:left w:val="nil"/>
              <w:bottom w:val="nil"/>
              <w:right w:val="nil"/>
            </w:tcBorders>
            <w:shd w:val="clear" w:color="000000" w:fill="E6F2FF"/>
            <w:noWrap/>
            <w:vAlign w:val="center"/>
            <w:hideMark/>
          </w:tcPr>
          <w:p w14:paraId="021FCA23"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1,620</w:t>
            </w:r>
          </w:p>
        </w:tc>
        <w:tc>
          <w:tcPr>
            <w:tcW w:w="58" w:type="pct"/>
            <w:tcBorders>
              <w:top w:val="nil"/>
              <w:left w:val="nil"/>
              <w:bottom w:val="nil"/>
              <w:right w:val="nil"/>
            </w:tcBorders>
            <w:shd w:val="clear" w:color="auto" w:fill="auto"/>
            <w:noWrap/>
            <w:vAlign w:val="center"/>
            <w:hideMark/>
          </w:tcPr>
          <w:p w14:paraId="189A43C9" w14:textId="77777777" w:rsidR="00AA042E" w:rsidRPr="00EC4BA6" w:rsidRDefault="00AA042E" w:rsidP="00AA042E">
            <w:pPr>
              <w:spacing w:before="0" w:after="0" w:line="240" w:lineRule="auto"/>
              <w:jc w:val="right"/>
              <w:rPr>
                <w:rFonts w:ascii="Arial" w:hAnsi="Arial" w:cs="Arial"/>
                <w:sz w:val="16"/>
                <w:szCs w:val="16"/>
              </w:rPr>
            </w:pPr>
          </w:p>
        </w:tc>
        <w:tc>
          <w:tcPr>
            <w:tcW w:w="737" w:type="pct"/>
            <w:tcBorders>
              <w:top w:val="nil"/>
              <w:left w:val="nil"/>
              <w:bottom w:val="nil"/>
              <w:right w:val="nil"/>
            </w:tcBorders>
            <w:shd w:val="clear" w:color="auto" w:fill="auto"/>
            <w:noWrap/>
            <w:vAlign w:val="center"/>
            <w:hideMark/>
          </w:tcPr>
          <w:p w14:paraId="712729CB"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20</w:t>
            </w:r>
          </w:p>
        </w:tc>
        <w:tc>
          <w:tcPr>
            <w:tcW w:w="737" w:type="pct"/>
            <w:tcBorders>
              <w:top w:val="nil"/>
              <w:left w:val="nil"/>
              <w:bottom w:val="nil"/>
              <w:right w:val="nil"/>
            </w:tcBorders>
            <w:shd w:val="clear" w:color="auto" w:fill="auto"/>
            <w:noWrap/>
            <w:vAlign w:val="center"/>
            <w:hideMark/>
          </w:tcPr>
          <w:p w14:paraId="067B554C"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1.3</w:t>
            </w:r>
          </w:p>
        </w:tc>
      </w:tr>
      <w:tr w:rsidR="00AA042E" w:rsidRPr="00EC4BA6" w14:paraId="5DC2DC56" w14:textId="77777777" w:rsidTr="00AA042E">
        <w:trPr>
          <w:trHeight w:hRule="exact" w:val="225"/>
        </w:trPr>
        <w:tc>
          <w:tcPr>
            <w:tcW w:w="1993" w:type="pct"/>
            <w:tcBorders>
              <w:top w:val="nil"/>
              <w:left w:val="nil"/>
              <w:bottom w:val="nil"/>
              <w:right w:val="nil"/>
            </w:tcBorders>
            <w:shd w:val="clear" w:color="auto" w:fill="auto"/>
            <w:noWrap/>
            <w:vAlign w:val="bottom"/>
            <w:hideMark/>
          </w:tcPr>
          <w:p w14:paraId="17AE6033" w14:textId="77777777" w:rsidR="00AA042E" w:rsidRPr="00EC4BA6" w:rsidRDefault="00AA042E" w:rsidP="00AA042E">
            <w:pPr>
              <w:spacing w:before="0" w:after="0" w:line="240" w:lineRule="auto"/>
              <w:ind w:left="170"/>
              <w:rPr>
                <w:rFonts w:ascii="Arial" w:hAnsi="Arial" w:cs="Arial"/>
                <w:i/>
                <w:iCs/>
                <w:sz w:val="16"/>
                <w:szCs w:val="16"/>
              </w:rPr>
            </w:pPr>
            <w:r w:rsidRPr="00EC4BA6">
              <w:rPr>
                <w:rFonts w:ascii="Arial" w:hAnsi="Arial" w:cs="Arial"/>
                <w:i/>
                <w:iCs/>
                <w:sz w:val="16"/>
                <w:szCs w:val="16"/>
              </w:rPr>
              <w:t xml:space="preserve">less: </w:t>
            </w:r>
            <w:r w:rsidRPr="00EC4BA6">
              <w:rPr>
                <w:rFonts w:ascii="Arial" w:hAnsi="Arial" w:cs="Arial"/>
                <w:sz w:val="16"/>
                <w:szCs w:val="16"/>
              </w:rPr>
              <w:t>Refunds and drawbacks</w:t>
            </w:r>
          </w:p>
        </w:tc>
        <w:tc>
          <w:tcPr>
            <w:tcW w:w="737" w:type="pct"/>
            <w:tcBorders>
              <w:top w:val="nil"/>
              <w:left w:val="nil"/>
              <w:bottom w:val="nil"/>
              <w:right w:val="nil"/>
            </w:tcBorders>
            <w:shd w:val="clear" w:color="auto" w:fill="auto"/>
            <w:noWrap/>
            <w:vAlign w:val="center"/>
            <w:hideMark/>
          </w:tcPr>
          <w:p w14:paraId="17AD3E00"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730</w:t>
            </w:r>
          </w:p>
        </w:tc>
        <w:tc>
          <w:tcPr>
            <w:tcW w:w="737" w:type="pct"/>
            <w:tcBorders>
              <w:top w:val="nil"/>
              <w:left w:val="nil"/>
              <w:bottom w:val="nil"/>
              <w:right w:val="nil"/>
            </w:tcBorders>
            <w:shd w:val="clear" w:color="000000" w:fill="E6F2FF"/>
            <w:noWrap/>
            <w:vAlign w:val="center"/>
            <w:hideMark/>
          </w:tcPr>
          <w:p w14:paraId="6C3045B0"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730</w:t>
            </w:r>
          </w:p>
        </w:tc>
        <w:tc>
          <w:tcPr>
            <w:tcW w:w="58" w:type="pct"/>
            <w:tcBorders>
              <w:top w:val="nil"/>
              <w:left w:val="nil"/>
              <w:bottom w:val="nil"/>
              <w:right w:val="nil"/>
            </w:tcBorders>
            <w:shd w:val="clear" w:color="auto" w:fill="auto"/>
            <w:noWrap/>
            <w:vAlign w:val="center"/>
            <w:hideMark/>
          </w:tcPr>
          <w:p w14:paraId="12EE59EA" w14:textId="77777777" w:rsidR="00AA042E" w:rsidRPr="00EC4BA6" w:rsidRDefault="00AA042E" w:rsidP="00AA042E">
            <w:pPr>
              <w:spacing w:before="0" w:after="0" w:line="240" w:lineRule="auto"/>
              <w:jc w:val="right"/>
              <w:rPr>
                <w:rFonts w:ascii="Arial" w:hAnsi="Arial" w:cs="Arial"/>
                <w:sz w:val="16"/>
                <w:szCs w:val="16"/>
              </w:rPr>
            </w:pPr>
          </w:p>
        </w:tc>
        <w:tc>
          <w:tcPr>
            <w:tcW w:w="737" w:type="pct"/>
            <w:tcBorders>
              <w:top w:val="nil"/>
              <w:left w:val="nil"/>
              <w:bottom w:val="nil"/>
              <w:right w:val="nil"/>
            </w:tcBorders>
            <w:shd w:val="clear" w:color="auto" w:fill="auto"/>
            <w:noWrap/>
            <w:vAlign w:val="center"/>
            <w:hideMark/>
          </w:tcPr>
          <w:p w14:paraId="5CFC2BEA"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0</w:t>
            </w:r>
          </w:p>
        </w:tc>
        <w:tc>
          <w:tcPr>
            <w:tcW w:w="737" w:type="pct"/>
            <w:tcBorders>
              <w:top w:val="nil"/>
              <w:left w:val="nil"/>
              <w:bottom w:val="nil"/>
              <w:right w:val="nil"/>
            </w:tcBorders>
            <w:shd w:val="clear" w:color="auto" w:fill="auto"/>
            <w:noWrap/>
            <w:vAlign w:val="center"/>
            <w:hideMark/>
          </w:tcPr>
          <w:p w14:paraId="512D9BE7"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0.0</w:t>
            </w:r>
          </w:p>
        </w:tc>
      </w:tr>
      <w:tr w:rsidR="00AA042E" w:rsidRPr="00EC4BA6" w14:paraId="79294D10" w14:textId="77777777" w:rsidTr="00AA042E">
        <w:trPr>
          <w:trHeight w:hRule="exact" w:val="225"/>
        </w:trPr>
        <w:tc>
          <w:tcPr>
            <w:tcW w:w="1993" w:type="pct"/>
            <w:tcBorders>
              <w:top w:val="nil"/>
              <w:left w:val="nil"/>
              <w:bottom w:val="nil"/>
              <w:right w:val="nil"/>
            </w:tcBorders>
            <w:shd w:val="clear" w:color="auto" w:fill="auto"/>
            <w:noWrap/>
            <w:vAlign w:val="bottom"/>
            <w:hideMark/>
          </w:tcPr>
          <w:p w14:paraId="178BACE8" w14:textId="77777777" w:rsidR="00AA042E" w:rsidRPr="00EC4BA6" w:rsidRDefault="00AA042E" w:rsidP="00AA042E">
            <w:pPr>
              <w:spacing w:before="0" w:after="0" w:line="240" w:lineRule="auto"/>
              <w:rPr>
                <w:rFonts w:ascii="Arial" w:hAnsi="Arial" w:cs="Arial"/>
                <w:sz w:val="16"/>
                <w:szCs w:val="16"/>
              </w:rPr>
            </w:pPr>
            <w:r w:rsidRPr="00EC4BA6">
              <w:rPr>
                <w:rFonts w:ascii="Arial" w:hAnsi="Arial" w:cs="Arial"/>
                <w:sz w:val="16"/>
                <w:szCs w:val="16"/>
              </w:rPr>
              <w:t xml:space="preserve">Total excise and customs duty </w:t>
            </w:r>
          </w:p>
        </w:tc>
        <w:tc>
          <w:tcPr>
            <w:tcW w:w="737" w:type="pct"/>
            <w:tcBorders>
              <w:top w:val="single" w:sz="4" w:space="0" w:color="293F5B"/>
              <w:left w:val="nil"/>
              <w:bottom w:val="nil"/>
              <w:right w:val="nil"/>
            </w:tcBorders>
            <w:shd w:val="clear" w:color="auto" w:fill="auto"/>
            <w:noWrap/>
            <w:vAlign w:val="center"/>
            <w:hideMark/>
          </w:tcPr>
          <w:p w14:paraId="6474F5B4"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45,530</w:t>
            </w:r>
          </w:p>
        </w:tc>
        <w:tc>
          <w:tcPr>
            <w:tcW w:w="737" w:type="pct"/>
            <w:tcBorders>
              <w:top w:val="single" w:sz="4" w:space="0" w:color="293F5B"/>
              <w:left w:val="nil"/>
              <w:bottom w:val="nil"/>
              <w:right w:val="nil"/>
            </w:tcBorders>
            <w:shd w:val="clear" w:color="000000" w:fill="E6F2FF"/>
            <w:noWrap/>
            <w:vAlign w:val="center"/>
            <w:hideMark/>
          </w:tcPr>
          <w:p w14:paraId="7602E7C8"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43,800</w:t>
            </w:r>
          </w:p>
        </w:tc>
        <w:tc>
          <w:tcPr>
            <w:tcW w:w="58" w:type="pct"/>
            <w:tcBorders>
              <w:top w:val="nil"/>
              <w:left w:val="nil"/>
              <w:bottom w:val="nil"/>
              <w:right w:val="nil"/>
            </w:tcBorders>
            <w:shd w:val="clear" w:color="auto" w:fill="auto"/>
            <w:noWrap/>
            <w:vAlign w:val="center"/>
            <w:hideMark/>
          </w:tcPr>
          <w:p w14:paraId="6882EB59" w14:textId="77777777" w:rsidR="00AA042E" w:rsidRPr="00EC4BA6" w:rsidRDefault="00AA042E" w:rsidP="00AA042E">
            <w:pPr>
              <w:spacing w:before="0" w:after="0" w:line="240" w:lineRule="auto"/>
              <w:jc w:val="right"/>
              <w:rPr>
                <w:rFonts w:ascii="Arial" w:hAnsi="Arial" w:cs="Arial"/>
                <w:sz w:val="16"/>
                <w:szCs w:val="16"/>
              </w:rPr>
            </w:pPr>
          </w:p>
        </w:tc>
        <w:tc>
          <w:tcPr>
            <w:tcW w:w="737" w:type="pct"/>
            <w:tcBorders>
              <w:top w:val="single" w:sz="4" w:space="0" w:color="293F5B"/>
              <w:left w:val="nil"/>
              <w:bottom w:val="nil"/>
              <w:right w:val="nil"/>
            </w:tcBorders>
            <w:shd w:val="clear" w:color="auto" w:fill="auto"/>
            <w:noWrap/>
            <w:vAlign w:val="center"/>
            <w:hideMark/>
          </w:tcPr>
          <w:p w14:paraId="018BB3BD" w14:textId="46A58399" w:rsidR="00AA042E" w:rsidRPr="00EC4BA6" w:rsidRDefault="001A3DD6" w:rsidP="00AA042E">
            <w:pPr>
              <w:spacing w:before="0" w:after="0" w:line="240" w:lineRule="auto"/>
              <w:jc w:val="right"/>
              <w:rPr>
                <w:rFonts w:ascii="Arial" w:hAnsi="Arial" w:cs="Arial"/>
                <w:sz w:val="16"/>
                <w:szCs w:val="16"/>
              </w:rPr>
            </w:pPr>
            <w:r>
              <w:rPr>
                <w:rFonts w:ascii="Arial" w:hAnsi="Arial" w:cs="Arial"/>
                <w:sz w:val="16"/>
                <w:szCs w:val="16"/>
              </w:rPr>
              <w:noBreakHyphen/>
            </w:r>
            <w:r w:rsidR="00AA042E" w:rsidRPr="00EC4BA6">
              <w:rPr>
                <w:rFonts w:ascii="Arial" w:hAnsi="Arial" w:cs="Arial"/>
                <w:sz w:val="16"/>
                <w:szCs w:val="16"/>
              </w:rPr>
              <w:t>1,730</w:t>
            </w:r>
          </w:p>
        </w:tc>
        <w:tc>
          <w:tcPr>
            <w:tcW w:w="737" w:type="pct"/>
            <w:tcBorders>
              <w:top w:val="single" w:sz="4" w:space="0" w:color="293F5B"/>
              <w:left w:val="nil"/>
              <w:bottom w:val="nil"/>
              <w:right w:val="nil"/>
            </w:tcBorders>
            <w:shd w:val="clear" w:color="auto" w:fill="auto"/>
            <w:noWrap/>
            <w:vAlign w:val="center"/>
            <w:hideMark/>
          </w:tcPr>
          <w:p w14:paraId="677B1D8B" w14:textId="2DBE61FE" w:rsidR="00AA042E" w:rsidRPr="00EC4BA6" w:rsidRDefault="001A3DD6" w:rsidP="00AA042E">
            <w:pPr>
              <w:spacing w:before="0" w:after="0" w:line="240" w:lineRule="auto"/>
              <w:jc w:val="right"/>
              <w:rPr>
                <w:rFonts w:ascii="Arial" w:hAnsi="Arial" w:cs="Arial"/>
                <w:sz w:val="16"/>
                <w:szCs w:val="16"/>
              </w:rPr>
            </w:pPr>
            <w:r>
              <w:rPr>
                <w:rFonts w:ascii="Arial" w:hAnsi="Arial" w:cs="Arial"/>
                <w:sz w:val="16"/>
                <w:szCs w:val="16"/>
              </w:rPr>
              <w:noBreakHyphen/>
            </w:r>
            <w:r w:rsidR="00AA042E" w:rsidRPr="00EC4BA6">
              <w:rPr>
                <w:rFonts w:ascii="Arial" w:hAnsi="Arial" w:cs="Arial"/>
                <w:sz w:val="16"/>
                <w:szCs w:val="16"/>
              </w:rPr>
              <w:t>3.8</w:t>
            </w:r>
          </w:p>
        </w:tc>
      </w:tr>
      <w:tr w:rsidR="00AA042E" w:rsidRPr="00EC4BA6" w14:paraId="52F43FB3" w14:textId="77777777" w:rsidTr="00AA042E">
        <w:trPr>
          <w:trHeight w:hRule="exact" w:val="225"/>
        </w:trPr>
        <w:tc>
          <w:tcPr>
            <w:tcW w:w="1993" w:type="pct"/>
            <w:tcBorders>
              <w:top w:val="nil"/>
              <w:left w:val="nil"/>
              <w:bottom w:val="nil"/>
              <w:right w:val="nil"/>
            </w:tcBorders>
            <w:shd w:val="clear" w:color="auto" w:fill="auto"/>
            <w:noWrap/>
            <w:vAlign w:val="center"/>
            <w:hideMark/>
          </w:tcPr>
          <w:p w14:paraId="407E55E0" w14:textId="77777777" w:rsidR="00AA042E" w:rsidRPr="00EC4BA6" w:rsidRDefault="00AA042E" w:rsidP="00AA042E">
            <w:pPr>
              <w:spacing w:before="0" w:after="0" w:line="240" w:lineRule="auto"/>
              <w:rPr>
                <w:rFonts w:ascii="Arial" w:hAnsi="Arial" w:cs="Arial"/>
                <w:sz w:val="16"/>
                <w:szCs w:val="16"/>
              </w:rPr>
            </w:pPr>
            <w:r w:rsidRPr="00EC4BA6">
              <w:rPr>
                <w:rFonts w:ascii="Arial" w:hAnsi="Arial" w:cs="Arial"/>
                <w:sz w:val="16"/>
                <w:szCs w:val="16"/>
              </w:rPr>
              <w:t>Major Bank Levy</w:t>
            </w:r>
          </w:p>
        </w:tc>
        <w:tc>
          <w:tcPr>
            <w:tcW w:w="737" w:type="pct"/>
            <w:tcBorders>
              <w:top w:val="nil"/>
              <w:left w:val="nil"/>
              <w:bottom w:val="nil"/>
              <w:right w:val="nil"/>
            </w:tcBorders>
            <w:shd w:val="clear" w:color="auto" w:fill="auto"/>
            <w:noWrap/>
            <w:vAlign w:val="center"/>
            <w:hideMark/>
          </w:tcPr>
          <w:p w14:paraId="49B13DFA"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1,790</w:t>
            </w:r>
          </w:p>
        </w:tc>
        <w:tc>
          <w:tcPr>
            <w:tcW w:w="737" w:type="pct"/>
            <w:tcBorders>
              <w:top w:val="nil"/>
              <w:left w:val="nil"/>
              <w:bottom w:val="nil"/>
              <w:right w:val="nil"/>
            </w:tcBorders>
            <w:shd w:val="clear" w:color="000000" w:fill="E6F2FF"/>
            <w:noWrap/>
            <w:vAlign w:val="center"/>
            <w:hideMark/>
          </w:tcPr>
          <w:p w14:paraId="2FA3843A"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1,850</w:t>
            </w:r>
          </w:p>
        </w:tc>
        <w:tc>
          <w:tcPr>
            <w:tcW w:w="58" w:type="pct"/>
            <w:tcBorders>
              <w:top w:val="nil"/>
              <w:left w:val="nil"/>
              <w:bottom w:val="nil"/>
              <w:right w:val="nil"/>
            </w:tcBorders>
            <w:shd w:val="clear" w:color="auto" w:fill="auto"/>
            <w:noWrap/>
            <w:vAlign w:val="center"/>
            <w:hideMark/>
          </w:tcPr>
          <w:p w14:paraId="2F1467D5" w14:textId="77777777" w:rsidR="00AA042E" w:rsidRPr="00EC4BA6" w:rsidRDefault="00AA042E" w:rsidP="00AA042E">
            <w:pPr>
              <w:spacing w:before="0" w:after="0" w:line="240" w:lineRule="auto"/>
              <w:jc w:val="right"/>
              <w:rPr>
                <w:rFonts w:ascii="Arial" w:hAnsi="Arial" w:cs="Arial"/>
                <w:sz w:val="16"/>
                <w:szCs w:val="16"/>
              </w:rPr>
            </w:pPr>
          </w:p>
        </w:tc>
        <w:tc>
          <w:tcPr>
            <w:tcW w:w="737" w:type="pct"/>
            <w:tcBorders>
              <w:top w:val="nil"/>
              <w:left w:val="nil"/>
              <w:bottom w:val="nil"/>
              <w:right w:val="nil"/>
            </w:tcBorders>
            <w:shd w:val="clear" w:color="auto" w:fill="auto"/>
            <w:noWrap/>
            <w:vAlign w:val="center"/>
            <w:hideMark/>
          </w:tcPr>
          <w:p w14:paraId="3CE02A26"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60</w:t>
            </w:r>
          </w:p>
        </w:tc>
        <w:tc>
          <w:tcPr>
            <w:tcW w:w="737" w:type="pct"/>
            <w:tcBorders>
              <w:top w:val="nil"/>
              <w:left w:val="nil"/>
              <w:bottom w:val="nil"/>
              <w:right w:val="nil"/>
            </w:tcBorders>
            <w:shd w:val="clear" w:color="auto" w:fill="auto"/>
            <w:noWrap/>
            <w:vAlign w:val="center"/>
            <w:hideMark/>
          </w:tcPr>
          <w:p w14:paraId="7EBDD07D"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3.4</w:t>
            </w:r>
          </w:p>
        </w:tc>
      </w:tr>
      <w:tr w:rsidR="00AA042E" w:rsidRPr="00EC4BA6" w14:paraId="49E1FB7F" w14:textId="77777777" w:rsidTr="00AA042E">
        <w:trPr>
          <w:trHeight w:hRule="exact" w:val="225"/>
        </w:trPr>
        <w:tc>
          <w:tcPr>
            <w:tcW w:w="1993" w:type="pct"/>
            <w:tcBorders>
              <w:top w:val="nil"/>
              <w:left w:val="nil"/>
              <w:bottom w:val="nil"/>
              <w:right w:val="nil"/>
            </w:tcBorders>
            <w:shd w:val="clear" w:color="auto" w:fill="auto"/>
            <w:noWrap/>
            <w:vAlign w:val="center"/>
            <w:hideMark/>
          </w:tcPr>
          <w:p w14:paraId="7F3C8C44" w14:textId="77777777" w:rsidR="00AA042E" w:rsidRPr="00EC4BA6" w:rsidRDefault="00AA042E" w:rsidP="00AA042E">
            <w:pPr>
              <w:spacing w:before="0" w:after="0" w:line="240" w:lineRule="auto"/>
              <w:rPr>
                <w:rFonts w:ascii="Arial" w:hAnsi="Arial" w:cs="Arial"/>
                <w:sz w:val="16"/>
                <w:szCs w:val="16"/>
              </w:rPr>
            </w:pPr>
            <w:r w:rsidRPr="00EC4BA6">
              <w:rPr>
                <w:rFonts w:ascii="Arial" w:hAnsi="Arial" w:cs="Arial"/>
                <w:sz w:val="16"/>
                <w:szCs w:val="16"/>
              </w:rPr>
              <w:t>Agricultural levies</w:t>
            </w:r>
          </w:p>
        </w:tc>
        <w:tc>
          <w:tcPr>
            <w:tcW w:w="737" w:type="pct"/>
            <w:tcBorders>
              <w:top w:val="nil"/>
              <w:left w:val="nil"/>
              <w:bottom w:val="nil"/>
              <w:right w:val="nil"/>
            </w:tcBorders>
            <w:shd w:val="clear" w:color="auto" w:fill="auto"/>
            <w:noWrap/>
            <w:vAlign w:val="center"/>
            <w:hideMark/>
          </w:tcPr>
          <w:p w14:paraId="50DE0F87"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625</w:t>
            </w:r>
          </w:p>
        </w:tc>
        <w:tc>
          <w:tcPr>
            <w:tcW w:w="737" w:type="pct"/>
            <w:tcBorders>
              <w:top w:val="nil"/>
              <w:left w:val="nil"/>
              <w:bottom w:val="nil"/>
              <w:right w:val="nil"/>
            </w:tcBorders>
            <w:shd w:val="clear" w:color="000000" w:fill="E6F2FF"/>
            <w:noWrap/>
            <w:vAlign w:val="center"/>
            <w:hideMark/>
          </w:tcPr>
          <w:p w14:paraId="72068D93"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669</w:t>
            </w:r>
          </w:p>
        </w:tc>
        <w:tc>
          <w:tcPr>
            <w:tcW w:w="58" w:type="pct"/>
            <w:tcBorders>
              <w:top w:val="nil"/>
              <w:left w:val="nil"/>
              <w:bottom w:val="nil"/>
              <w:right w:val="nil"/>
            </w:tcBorders>
            <w:shd w:val="clear" w:color="auto" w:fill="auto"/>
            <w:noWrap/>
            <w:vAlign w:val="center"/>
            <w:hideMark/>
          </w:tcPr>
          <w:p w14:paraId="007230F3" w14:textId="77777777" w:rsidR="00AA042E" w:rsidRPr="00EC4BA6" w:rsidRDefault="00AA042E" w:rsidP="00AA042E">
            <w:pPr>
              <w:spacing w:before="0" w:after="0" w:line="240" w:lineRule="auto"/>
              <w:jc w:val="right"/>
              <w:rPr>
                <w:rFonts w:ascii="Arial" w:hAnsi="Arial" w:cs="Arial"/>
                <w:sz w:val="16"/>
                <w:szCs w:val="16"/>
              </w:rPr>
            </w:pPr>
          </w:p>
        </w:tc>
        <w:tc>
          <w:tcPr>
            <w:tcW w:w="737" w:type="pct"/>
            <w:tcBorders>
              <w:top w:val="nil"/>
              <w:left w:val="nil"/>
              <w:bottom w:val="nil"/>
              <w:right w:val="nil"/>
            </w:tcBorders>
            <w:shd w:val="clear" w:color="auto" w:fill="auto"/>
            <w:noWrap/>
            <w:vAlign w:val="center"/>
            <w:hideMark/>
          </w:tcPr>
          <w:p w14:paraId="37CC8729"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44</w:t>
            </w:r>
          </w:p>
        </w:tc>
        <w:tc>
          <w:tcPr>
            <w:tcW w:w="737" w:type="pct"/>
            <w:tcBorders>
              <w:top w:val="nil"/>
              <w:left w:val="nil"/>
              <w:bottom w:val="nil"/>
              <w:right w:val="nil"/>
            </w:tcBorders>
            <w:shd w:val="clear" w:color="auto" w:fill="auto"/>
            <w:noWrap/>
            <w:vAlign w:val="center"/>
            <w:hideMark/>
          </w:tcPr>
          <w:p w14:paraId="3C6A022B"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7.1</w:t>
            </w:r>
          </w:p>
        </w:tc>
      </w:tr>
      <w:tr w:rsidR="00AA042E" w:rsidRPr="00EC4BA6" w14:paraId="4B053350" w14:textId="77777777" w:rsidTr="00AA042E">
        <w:trPr>
          <w:trHeight w:hRule="exact" w:val="225"/>
        </w:trPr>
        <w:tc>
          <w:tcPr>
            <w:tcW w:w="1993" w:type="pct"/>
            <w:tcBorders>
              <w:top w:val="nil"/>
              <w:left w:val="nil"/>
              <w:bottom w:val="nil"/>
              <w:right w:val="nil"/>
            </w:tcBorders>
            <w:shd w:val="clear" w:color="auto" w:fill="auto"/>
            <w:noWrap/>
            <w:vAlign w:val="center"/>
            <w:hideMark/>
          </w:tcPr>
          <w:p w14:paraId="7D7A02BC" w14:textId="77777777" w:rsidR="00AA042E" w:rsidRPr="00EC4BA6" w:rsidRDefault="00AA042E" w:rsidP="00AA042E">
            <w:pPr>
              <w:spacing w:before="0" w:after="0" w:line="240" w:lineRule="auto"/>
              <w:rPr>
                <w:rFonts w:ascii="Arial" w:hAnsi="Arial" w:cs="Arial"/>
                <w:sz w:val="16"/>
                <w:szCs w:val="16"/>
              </w:rPr>
            </w:pPr>
            <w:r w:rsidRPr="00EC4BA6">
              <w:rPr>
                <w:rFonts w:ascii="Arial" w:hAnsi="Arial" w:cs="Arial"/>
                <w:sz w:val="16"/>
                <w:szCs w:val="16"/>
              </w:rPr>
              <w:t>Visa application charges</w:t>
            </w:r>
          </w:p>
        </w:tc>
        <w:tc>
          <w:tcPr>
            <w:tcW w:w="737" w:type="pct"/>
            <w:tcBorders>
              <w:top w:val="nil"/>
              <w:left w:val="nil"/>
              <w:bottom w:val="nil"/>
              <w:right w:val="nil"/>
            </w:tcBorders>
            <w:shd w:val="clear" w:color="auto" w:fill="auto"/>
            <w:noWrap/>
            <w:vAlign w:val="center"/>
            <w:hideMark/>
          </w:tcPr>
          <w:p w14:paraId="4CC7F110"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4,211</w:t>
            </w:r>
          </w:p>
        </w:tc>
        <w:tc>
          <w:tcPr>
            <w:tcW w:w="737" w:type="pct"/>
            <w:tcBorders>
              <w:top w:val="nil"/>
              <w:left w:val="nil"/>
              <w:bottom w:val="nil"/>
              <w:right w:val="nil"/>
            </w:tcBorders>
            <w:shd w:val="clear" w:color="000000" w:fill="E6F2FF"/>
            <w:noWrap/>
            <w:vAlign w:val="center"/>
            <w:hideMark/>
          </w:tcPr>
          <w:p w14:paraId="2D77DBF0"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4,199</w:t>
            </w:r>
          </w:p>
        </w:tc>
        <w:tc>
          <w:tcPr>
            <w:tcW w:w="58" w:type="pct"/>
            <w:tcBorders>
              <w:top w:val="nil"/>
              <w:left w:val="nil"/>
              <w:bottom w:val="nil"/>
              <w:right w:val="nil"/>
            </w:tcBorders>
            <w:shd w:val="clear" w:color="auto" w:fill="auto"/>
            <w:noWrap/>
            <w:vAlign w:val="center"/>
            <w:hideMark/>
          </w:tcPr>
          <w:p w14:paraId="6A3D59F5" w14:textId="77777777" w:rsidR="00AA042E" w:rsidRPr="00EC4BA6" w:rsidRDefault="00AA042E" w:rsidP="00AA042E">
            <w:pPr>
              <w:spacing w:before="0" w:after="0" w:line="240" w:lineRule="auto"/>
              <w:jc w:val="right"/>
              <w:rPr>
                <w:rFonts w:ascii="Arial" w:hAnsi="Arial" w:cs="Arial"/>
                <w:sz w:val="16"/>
                <w:szCs w:val="16"/>
              </w:rPr>
            </w:pPr>
          </w:p>
        </w:tc>
        <w:tc>
          <w:tcPr>
            <w:tcW w:w="737" w:type="pct"/>
            <w:tcBorders>
              <w:top w:val="nil"/>
              <w:left w:val="nil"/>
              <w:bottom w:val="nil"/>
              <w:right w:val="nil"/>
            </w:tcBorders>
            <w:shd w:val="clear" w:color="auto" w:fill="auto"/>
            <w:noWrap/>
            <w:vAlign w:val="center"/>
            <w:hideMark/>
          </w:tcPr>
          <w:p w14:paraId="4EB0E8B1" w14:textId="61D95B6A" w:rsidR="00AA042E" w:rsidRPr="00EC4BA6" w:rsidRDefault="001A3DD6" w:rsidP="00AA042E">
            <w:pPr>
              <w:spacing w:before="0" w:after="0" w:line="240" w:lineRule="auto"/>
              <w:jc w:val="right"/>
              <w:rPr>
                <w:rFonts w:ascii="Arial" w:hAnsi="Arial" w:cs="Arial"/>
                <w:sz w:val="16"/>
                <w:szCs w:val="16"/>
              </w:rPr>
            </w:pPr>
            <w:r>
              <w:rPr>
                <w:rFonts w:ascii="Arial" w:hAnsi="Arial" w:cs="Arial"/>
                <w:sz w:val="16"/>
                <w:szCs w:val="16"/>
              </w:rPr>
              <w:noBreakHyphen/>
            </w:r>
            <w:r w:rsidR="00AA042E" w:rsidRPr="00EC4BA6">
              <w:rPr>
                <w:rFonts w:ascii="Arial" w:hAnsi="Arial" w:cs="Arial"/>
                <w:sz w:val="16"/>
                <w:szCs w:val="16"/>
              </w:rPr>
              <w:t>12</w:t>
            </w:r>
          </w:p>
        </w:tc>
        <w:tc>
          <w:tcPr>
            <w:tcW w:w="737" w:type="pct"/>
            <w:tcBorders>
              <w:top w:val="nil"/>
              <w:left w:val="nil"/>
              <w:bottom w:val="nil"/>
              <w:right w:val="nil"/>
            </w:tcBorders>
            <w:shd w:val="clear" w:color="auto" w:fill="auto"/>
            <w:noWrap/>
            <w:vAlign w:val="center"/>
            <w:hideMark/>
          </w:tcPr>
          <w:p w14:paraId="73DB9C39" w14:textId="6A245D2C" w:rsidR="00AA042E" w:rsidRPr="00EC4BA6" w:rsidRDefault="001A3DD6" w:rsidP="00AA042E">
            <w:pPr>
              <w:spacing w:before="0" w:after="0" w:line="240" w:lineRule="auto"/>
              <w:jc w:val="right"/>
              <w:rPr>
                <w:rFonts w:ascii="Arial" w:hAnsi="Arial" w:cs="Arial"/>
                <w:sz w:val="16"/>
                <w:szCs w:val="16"/>
              </w:rPr>
            </w:pPr>
            <w:r>
              <w:rPr>
                <w:rFonts w:ascii="Arial" w:hAnsi="Arial" w:cs="Arial"/>
                <w:sz w:val="16"/>
                <w:szCs w:val="16"/>
              </w:rPr>
              <w:noBreakHyphen/>
            </w:r>
            <w:r w:rsidR="00AA042E" w:rsidRPr="00EC4BA6">
              <w:rPr>
                <w:rFonts w:ascii="Arial" w:hAnsi="Arial" w:cs="Arial"/>
                <w:sz w:val="16"/>
                <w:szCs w:val="16"/>
              </w:rPr>
              <w:t>0.3</w:t>
            </w:r>
          </w:p>
        </w:tc>
      </w:tr>
      <w:tr w:rsidR="00AA042E" w:rsidRPr="00EC4BA6" w14:paraId="4E403991" w14:textId="77777777" w:rsidTr="00AA042E">
        <w:trPr>
          <w:trHeight w:hRule="exact" w:val="225"/>
        </w:trPr>
        <w:tc>
          <w:tcPr>
            <w:tcW w:w="1993" w:type="pct"/>
            <w:tcBorders>
              <w:top w:val="nil"/>
              <w:left w:val="nil"/>
              <w:bottom w:val="nil"/>
              <w:right w:val="nil"/>
            </w:tcBorders>
            <w:shd w:val="clear" w:color="auto" w:fill="auto"/>
            <w:noWrap/>
            <w:vAlign w:val="center"/>
            <w:hideMark/>
          </w:tcPr>
          <w:p w14:paraId="218E609A" w14:textId="77777777" w:rsidR="00AA042E" w:rsidRPr="00EC4BA6" w:rsidRDefault="00AA042E" w:rsidP="00AA042E">
            <w:pPr>
              <w:spacing w:before="0" w:after="0" w:line="240" w:lineRule="auto"/>
              <w:rPr>
                <w:rFonts w:ascii="Arial" w:hAnsi="Arial" w:cs="Arial"/>
                <w:sz w:val="16"/>
                <w:szCs w:val="16"/>
              </w:rPr>
            </w:pPr>
            <w:r w:rsidRPr="00EC4BA6">
              <w:rPr>
                <w:rFonts w:ascii="Arial" w:hAnsi="Arial" w:cs="Arial"/>
                <w:sz w:val="16"/>
                <w:szCs w:val="16"/>
              </w:rPr>
              <w:t>Other taxes</w:t>
            </w:r>
          </w:p>
        </w:tc>
        <w:tc>
          <w:tcPr>
            <w:tcW w:w="737" w:type="pct"/>
            <w:tcBorders>
              <w:top w:val="nil"/>
              <w:left w:val="nil"/>
              <w:bottom w:val="nil"/>
              <w:right w:val="nil"/>
            </w:tcBorders>
            <w:shd w:val="clear" w:color="000000" w:fill="FFFFFF"/>
            <w:noWrap/>
            <w:vAlign w:val="center"/>
            <w:hideMark/>
          </w:tcPr>
          <w:p w14:paraId="6E1CB3EE"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6,467</w:t>
            </w:r>
          </w:p>
        </w:tc>
        <w:tc>
          <w:tcPr>
            <w:tcW w:w="737" w:type="pct"/>
            <w:tcBorders>
              <w:top w:val="nil"/>
              <w:left w:val="nil"/>
              <w:bottom w:val="nil"/>
              <w:right w:val="nil"/>
            </w:tcBorders>
            <w:shd w:val="clear" w:color="000000" w:fill="E6F2FF"/>
            <w:noWrap/>
            <w:vAlign w:val="center"/>
            <w:hideMark/>
          </w:tcPr>
          <w:p w14:paraId="5E2FB64F"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6,244</w:t>
            </w:r>
          </w:p>
        </w:tc>
        <w:tc>
          <w:tcPr>
            <w:tcW w:w="58" w:type="pct"/>
            <w:tcBorders>
              <w:top w:val="nil"/>
              <w:left w:val="nil"/>
              <w:bottom w:val="nil"/>
              <w:right w:val="nil"/>
            </w:tcBorders>
            <w:shd w:val="clear" w:color="auto" w:fill="auto"/>
            <w:noWrap/>
            <w:vAlign w:val="center"/>
            <w:hideMark/>
          </w:tcPr>
          <w:p w14:paraId="6771D07C" w14:textId="77777777" w:rsidR="00AA042E" w:rsidRPr="00EC4BA6" w:rsidRDefault="00AA042E" w:rsidP="00AA042E">
            <w:pPr>
              <w:spacing w:before="0" w:after="0" w:line="240" w:lineRule="auto"/>
              <w:jc w:val="right"/>
              <w:rPr>
                <w:rFonts w:ascii="Arial" w:hAnsi="Arial" w:cs="Arial"/>
                <w:sz w:val="16"/>
                <w:szCs w:val="16"/>
              </w:rPr>
            </w:pPr>
          </w:p>
        </w:tc>
        <w:tc>
          <w:tcPr>
            <w:tcW w:w="737" w:type="pct"/>
            <w:tcBorders>
              <w:top w:val="nil"/>
              <w:left w:val="nil"/>
              <w:bottom w:val="nil"/>
              <w:right w:val="nil"/>
            </w:tcBorders>
            <w:shd w:val="clear" w:color="auto" w:fill="auto"/>
            <w:noWrap/>
            <w:vAlign w:val="center"/>
            <w:hideMark/>
          </w:tcPr>
          <w:p w14:paraId="14581272" w14:textId="6AF58BBF" w:rsidR="00AA042E" w:rsidRPr="00EC4BA6" w:rsidRDefault="001A3DD6" w:rsidP="00AA042E">
            <w:pPr>
              <w:spacing w:before="0" w:after="0" w:line="240" w:lineRule="auto"/>
              <w:jc w:val="right"/>
              <w:rPr>
                <w:rFonts w:ascii="Arial" w:hAnsi="Arial" w:cs="Arial"/>
                <w:sz w:val="16"/>
                <w:szCs w:val="16"/>
              </w:rPr>
            </w:pPr>
            <w:r>
              <w:rPr>
                <w:rFonts w:ascii="Arial" w:hAnsi="Arial" w:cs="Arial"/>
                <w:sz w:val="16"/>
                <w:szCs w:val="16"/>
              </w:rPr>
              <w:noBreakHyphen/>
            </w:r>
            <w:r w:rsidR="00AA042E" w:rsidRPr="00EC4BA6">
              <w:rPr>
                <w:rFonts w:ascii="Arial" w:hAnsi="Arial" w:cs="Arial"/>
                <w:sz w:val="16"/>
                <w:szCs w:val="16"/>
              </w:rPr>
              <w:t>223</w:t>
            </w:r>
          </w:p>
        </w:tc>
        <w:tc>
          <w:tcPr>
            <w:tcW w:w="737" w:type="pct"/>
            <w:tcBorders>
              <w:top w:val="nil"/>
              <w:left w:val="nil"/>
              <w:bottom w:val="nil"/>
              <w:right w:val="nil"/>
            </w:tcBorders>
            <w:shd w:val="clear" w:color="auto" w:fill="auto"/>
            <w:noWrap/>
            <w:vAlign w:val="center"/>
            <w:hideMark/>
          </w:tcPr>
          <w:p w14:paraId="11C85A63" w14:textId="1C4B6F5E" w:rsidR="00AA042E" w:rsidRPr="00EC4BA6" w:rsidRDefault="001A3DD6" w:rsidP="00AA042E">
            <w:pPr>
              <w:spacing w:before="0" w:after="0" w:line="240" w:lineRule="auto"/>
              <w:jc w:val="right"/>
              <w:rPr>
                <w:rFonts w:ascii="Arial" w:hAnsi="Arial" w:cs="Arial"/>
                <w:sz w:val="16"/>
                <w:szCs w:val="16"/>
              </w:rPr>
            </w:pPr>
            <w:r>
              <w:rPr>
                <w:rFonts w:ascii="Arial" w:hAnsi="Arial" w:cs="Arial"/>
                <w:sz w:val="16"/>
                <w:szCs w:val="16"/>
              </w:rPr>
              <w:noBreakHyphen/>
            </w:r>
            <w:r w:rsidR="00AA042E" w:rsidRPr="00EC4BA6">
              <w:rPr>
                <w:rFonts w:ascii="Arial" w:hAnsi="Arial" w:cs="Arial"/>
                <w:sz w:val="16"/>
                <w:szCs w:val="16"/>
              </w:rPr>
              <w:t>3.5</w:t>
            </w:r>
          </w:p>
        </w:tc>
      </w:tr>
      <w:tr w:rsidR="00AA042E" w:rsidRPr="00EC4BA6" w14:paraId="17D7198C" w14:textId="77777777" w:rsidTr="00AA042E">
        <w:trPr>
          <w:trHeight w:hRule="exact" w:val="225"/>
        </w:trPr>
        <w:tc>
          <w:tcPr>
            <w:tcW w:w="1993" w:type="pct"/>
            <w:tcBorders>
              <w:top w:val="nil"/>
              <w:left w:val="nil"/>
              <w:bottom w:val="nil"/>
              <w:right w:val="nil"/>
            </w:tcBorders>
            <w:shd w:val="clear" w:color="auto" w:fill="auto"/>
            <w:noWrap/>
            <w:vAlign w:val="center"/>
            <w:hideMark/>
          </w:tcPr>
          <w:p w14:paraId="10ED52F5" w14:textId="77777777" w:rsidR="00AA042E" w:rsidRPr="00EC4BA6" w:rsidRDefault="00AA042E" w:rsidP="00AA042E">
            <w:pPr>
              <w:spacing w:before="0" w:after="0" w:line="240" w:lineRule="auto"/>
              <w:rPr>
                <w:rFonts w:ascii="Arial" w:hAnsi="Arial" w:cs="Arial"/>
                <w:b/>
                <w:bCs/>
                <w:sz w:val="16"/>
                <w:szCs w:val="16"/>
              </w:rPr>
            </w:pPr>
            <w:r w:rsidRPr="00EC4BA6">
              <w:rPr>
                <w:rFonts w:ascii="Arial" w:hAnsi="Arial" w:cs="Arial"/>
                <w:b/>
                <w:bCs/>
                <w:sz w:val="16"/>
                <w:szCs w:val="16"/>
              </w:rPr>
              <w:t>Indirect taxation receipts</w:t>
            </w:r>
          </w:p>
        </w:tc>
        <w:tc>
          <w:tcPr>
            <w:tcW w:w="737" w:type="pct"/>
            <w:tcBorders>
              <w:top w:val="single" w:sz="4" w:space="0" w:color="293F5B"/>
              <w:left w:val="nil"/>
              <w:bottom w:val="single" w:sz="4" w:space="0" w:color="293F5B"/>
              <w:right w:val="nil"/>
            </w:tcBorders>
            <w:shd w:val="clear" w:color="000000" w:fill="FFFFFF"/>
            <w:noWrap/>
            <w:vAlign w:val="center"/>
            <w:hideMark/>
          </w:tcPr>
          <w:p w14:paraId="7B944E54" w14:textId="77777777" w:rsidR="00AA042E" w:rsidRPr="00EC4BA6" w:rsidRDefault="00AA042E" w:rsidP="00AA042E">
            <w:pPr>
              <w:spacing w:before="0" w:after="0" w:line="240" w:lineRule="auto"/>
              <w:jc w:val="right"/>
              <w:rPr>
                <w:rFonts w:ascii="Arial" w:hAnsi="Arial" w:cs="Arial"/>
                <w:b/>
                <w:bCs/>
                <w:sz w:val="16"/>
                <w:szCs w:val="16"/>
              </w:rPr>
            </w:pPr>
            <w:r w:rsidRPr="00EC4BA6">
              <w:rPr>
                <w:rFonts w:ascii="Arial" w:hAnsi="Arial" w:cs="Arial"/>
                <w:b/>
                <w:bCs/>
                <w:sz w:val="16"/>
                <w:szCs w:val="16"/>
              </w:rPr>
              <w:t>155,261</w:t>
            </w:r>
          </w:p>
        </w:tc>
        <w:tc>
          <w:tcPr>
            <w:tcW w:w="737" w:type="pct"/>
            <w:tcBorders>
              <w:top w:val="single" w:sz="4" w:space="0" w:color="293F5B"/>
              <w:left w:val="nil"/>
              <w:bottom w:val="single" w:sz="4" w:space="0" w:color="293F5B"/>
              <w:right w:val="nil"/>
            </w:tcBorders>
            <w:shd w:val="clear" w:color="000000" w:fill="E6F2FF"/>
            <w:noWrap/>
            <w:vAlign w:val="center"/>
            <w:hideMark/>
          </w:tcPr>
          <w:p w14:paraId="038DD7BE" w14:textId="77777777" w:rsidR="00AA042E" w:rsidRPr="00EC4BA6" w:rsidRDefault="00AA042E" w:rsidP="00AA042E">
            <w:pPr>
              <w:spacing w:before="0" w:after="0" w:line="240" w:lineRule="auto"/>
              <w:jc w:val="right"/>
              <w:rPr>
                <w:rFonts w:ascii="Arial" w:hAnsi="Arial" w:cs="Arial"/>
                <w:b/>
                <w:bCs/>
                <w:sz w:val="16"/>
                <w:szCs w:val="16"/>
              </w:rPr>
            </w:pPr>
            <w:r w:rsidRPr="00EC4BA6">
              <w:rPr>
                <w:rFonts w:ascii="Arial" w:hAnsi="Arial" w:cs="Arial"/>
                <w:b/>
                <w:bCs/>
                <w:sz w:val="16"/>
                <w:szCs w:val="16"/>
              </w:rPr>
              <w:t>153,396</w:t>
            </w:r>
          </w:p>
        </w:tc>
        <w:tc>
          <w:tcPr>
            <w:tcW w:w="58" w:type="pct"/>
            <w:tcBorders>
              <w:top w:val="nil"/>
              <w:left w:val="nil"/>
              <w:bottom w:val="nil"/>
              <w:right w:val="nil"/>
            </w:tcBorders>
            <w:shd w:val="clear" w:color="auto" w:fill="auto"/>
            <w:noWrap/>
            <w:vAlign w:val="center"/>
            <w:hideMark/>
          </w:tcPr>
          <w:p w14:paraId="739A44CD" w14:textId="77777777" w:rsidR="00AA042E" w:rsidRPr="00EC4BA6" w:rsidRDefault="00AA042E" w:rsidP="00AA042E">
            <w:pPr>
              <w:spacing w:before="0" w:after="0" w:line="240" w:lineRule="auto"/>
              <w:jc w:val="right"/>
              <w:rPr>
                <w:rFonts w:ascii="Arial" w:hAnsi="Arial" w:cs="Arial"/>
                <w:b/>
                <w:bCs/>
                <w:sz w:val="16"/>
                <w:szCs w:val="16"/>
              </w:rPr>
            </w:pPr>
          </w:p>
        </w:tc>
        <w:tc>
          <w:tcPr>
            <w:tcW w:w="737" w:type="pct"/>
            <w:tcBorders>
              <w:top w:val="single" w:sz="4" w:space="0" w:color="293F5B"/>
              <w:left w:val="nil"/>
              <w:bottom w:val="single" w:sz="4" w:space="0" w:color="293F5B"/>
              <w:right w:val="nil"/>
            </w:tcBorders>
            <w:shd w:val="clear" w:color="auto" w:fill="auto"/>
            <w:noWrap/>
            <w:vAlign w:val="center"/>
            <w:hideMark/>
          </w:tcPr>
          <w:p w14:paraId="004E4FD5" w14:textId="275312C1" w:rsidR="00AA042E" w:rsidRPr="00EC4BA6" w:rsidRDefault="001A3DD6" w:rsidP="00AA042E">
            <w:pPr>
              <w:spacing w:before="0" w:after="0" w:line="240" w:lineRule="auto"/>
              <w:jc w:val="right"/>
              <w:rPr>
                <w:rFonts w:ascii="Arial" w:hAnsi="Arial" w:cs="Arial"/>
                <w:b/>
                <w:bCs/>
                <w:sz w:val="16"/>
                <w:szCs w:val="16"/>
              </w:rPr>
            </w:pPr>
            <w:r>
              <w:rPr>
                <w:rFonts w:ascii="Arial" w:hAnsi="Arial" w:cs="Arial"/>
                <w:b/>
                <w:bCs/>
                <w:sz w:val="16"/>
                <w:szCs w:val="16"/>
              </w:rPr>
              <w:noBreakHyphen/>
            </w:r>
            <w:r w:rsidR="00AA042E" w:rsidRPr="00EC4BA6">
              <w:rPr>
                <w:rFonts w:ascii="Arial" w:hAnsi="Arial" w:cs="Arial"/>
                <w:b/>
                <w:bCs/>
                <w:sz w:val="16"/>
                <w:szCs w:val="16"/>
              </w:rPr>
              <w:t>1,865</w:t>
            </w:r>
          </w:p>
        </w:tc>
        <w:tc>
          <w:tcPr>
            <w:tcW w:w="737" w:type="pct"/>
            <w:tcBorders>
              <w:top w:val="single" w:sz="4" w:space="0" w:color="293F5B"/>
              <w:left w:val="nil"/>
              <w:bottom w:val="single" w:sz="4" w:space="0" w:color="293F5B"/>
              <w:right w:val="nil"/>
            </w:tcBorders>
            <w:shd w:val="clear" w:color="auto" w:fill="auto"/>
            <w:noWrap/>
            <w:vAlign w:val="center"/>
            <w:hideMark/>
          </w:tcPr>
          <w:p w14:paraId="57594C75" w14:textId="4DF702A2" w:rsidR="00AA042E" w:rsidRPr="00EC4BA6" w:rsidRDefault="001A3DD6" w:rsidP="00AA042E">
            <w:pPr>
              <w:spacing w:before="0" w:after="0" w:line="240" w:lineRule="auto"/>
              <w:jc w:val="right"/>
              <w:rPr>
                <w:rFonts w:ascii="Arial" w:hAnsi="Arial" w:cs="Arial"/>
                <w:b/>
                <w:bCs/>
                <w:sz w:val="16"/>
                <w:szCs w:val="16"/>
              </w:rPr>
            </w:pPr>
            <w:r>
              <w:rPr>
                <w:rFonts w:ascii="Arial" w:hAnsi="Arial" w:cs="Arial"/>
                <w:b/>
                <w:bCs/>
                <w:sz w:val="16"/>
                <w:szCs w:val="16"/>
              </w:rPr>
              <w:noBreakHyphen/>
            </w:r>
            <w:r w:rsidR="00AA042E" w:rsidRPr="00EC4BA6">
              <w:rPr>
                <w:rFonts w:ascii="Arial" w:hAnsi="Arial" w:cs="Arial"/>
                <w:b/>
                <w:bCs/>
                <w:sz w:val="16"/>
                <w:szCs w:val="16"/>
              </w:rPr>
              <w:t>1.2</w:t>
            </w:r>
          </w:p>
        </w:tc>
      </w:tr>
      <w:tr w:rsidR="00AA042E" w:rsidRPr="00EC4BA6" w14:paraId="29DA835E" w14:textId="77777777" w:rsidTr="00AA042E">
        <w:trPr>
          <w:trHeight w:hRule="exact" w:val="225"/>
        </w:trPr>
        <w:tc>
          <w:tcPr>
            <w:tcW w:w="1993" w:type="pct"/>
            <w:tcBorders>
              <w:top w:val="nil"/>
              <w:left w:val="nil"/>
              <w:bottom w:val="nil"/>
              <w:right w:val="nil"/>
            </w:tcBorders>
            <w:shd w:val="clear" w:color="auto" w:fill="auto"/>
            <w:noWrap/>
            <w:vAlign w:val="center"/>
            <w:hideMark/>
          </w:tcPr>
          <w:p w14:paraId="31FBC715" w14:textId="77777777" w:rsidR="00AA042E" w:rsidRPr="00EC4BA6" w:rsidRDefault="00AA042E" w:rsidP="00AA042E">
            <w:pPr>
              <w:spacing w:before="0" w:after="0" w:line="240" w:lineRule="auto"/>
              <w:rPr>
                <w:rFonts w:ascii="Arial" w:hAnsi="Arial" w:cs="Arial"/>
                <w:b/>
                <w:bCs/>
                <w:sz w:val="16"/>
                <w:szCs w:val="16"/>
              </w:rPr>
            </w:pPr>
            <w:r w:rsidRPr="00EC4BA6">
              <w:rPr>
                <w:rFonts w:ascii="Arial" w:hAnsi="Arial" w:cs="Arial"/>
                <w:b/>
                <w:bCs/>
                <w:sz w:val="16"/>
                <w:szCs w:val="16"/>
              </w:rPr>
              <w:t>Taxation receipts</w:t>
            </w:r>
          </w:p>
        </w:tc>
        <w:tc>
          <w:tcPr>
            <w:tcW w:w="737" w:type="pct"/>
            <w:tcBorders>
              <w:top w:val="nil"/>
              <w:left w:val="nil"/>
              <w:bottom w:val="single" w:sz="4" w:space="0" w:color="293F5B"/>
              <w:right w:val="nil"/>
            </w:tcBorders>
            <w:shd w:val="clear" w:color="000000" w:fill="FFFFFF"/>
            <w:noWrap/>
            <w:vAlign w:val="center"/>
            <w:hideMark/>
          </w:tcPr>
          <w:p w14:paraId="23114573" w14:textId="77777777" w:rsidR="00AA042E" w:rsidRPr="00EC4BA6" w:rsidRDefault="00AA042E" w:rsidP="00AA042E">
            <w:pPr>
              <w:spacing w:before="0" w:after="0" w:line="240" w:lineRule="auto"/>
              <w:jc w:val="right"/>
              <w:rPr>
                <w:rFonts w:ascii="Arial" w:hAnsi="Arial" w:cs="Arial"/>
                <w:b/>
                <w:bCs/>
                <w:sz w:val="16"/>
                <w:szCs w:val="16"/>
              </w:rPr>
            </w:pPr>
            <w:r w:rsidRPr="00EC4BA6">
              <w:rPr>
                <w:rFonts w:ascii="Arial" w:hAnsi="Arial" w:cs="Arial"/>
                <w:b/>
                <w:bCs/>
                <w:sz w:val="16"/>
                <w:szCs w:val="16"/>
              </w:rPr>
              <w:t>669,651</w:t>
            </w:r>
          </w:p>
        </w:tc>
        <w:tc>
          <w:tcPr>
            <w:tcW w:w="737" w:type="pct"/>
            <w:tcBorders>
              <w:top w:val="nil"/>
              <w:left w:val="nil"/>
              <w:bottom w:val="single" w:sz="4" w:space="0" w:color="293F5B"/>
              <w:right w:val="nil"/>
            </w:tcBorders>
            <w:shd w:val="clear" w:color="000000" w:fill="E6F2FF"/>
            <w:noWrap/>
            <w:vAlign w:val="center"/>
            <w:hideMark/>
          </w:tcPr>
          <w:p w14:paraId="68A217EE" w14:textId="77777777" w:rsidR="00AA042E" w:rsidRPr="00EC4BA6" w:rsidRDefault="00AA042E" w:rsidP="00AA042E">
            <w:pPr>
              <w:spacing w:before="0" w:after="0" w:line="240" w:lineRule="auto"/>
              <w:jc w:val="right"/>
              <w:rPr>
                <w:rFonts w:ascii="Arial" w:hAnsi="Arial" w:cs="Arial"/>
                <w:b/>
                <w:bCs/>
                <w:sz w:val="16"/>
                <w:szCs w:val="16"/>
              </w:rPr>
            </w:pPr>
            <w:r w:rsidRPr="00EC4BA6">
              <w:rPr>
                <w:rFonts w:ascii="Arial" w:hAnsi="Arial" w:cs="Arial"/>
                <w:b/>
                <w:bCs/>
                <w:sz w:val="16"/>
                <w:szCs w:val="16"/>
              </w:rPr>
              <w:t>676,086</w:t>
            </w:r>
          </w:p>
        </w:tc>
        <w:tc>
          <w:tcPr>
            <w:tcW w:w="58" w:type="pct"/>
            <w:tcBorders>
              <w:top w:val="nil"/>
              <w:left w:val="nil"/>
              <w:bottom w:val="nil"/>
              <w:right w:val="nil"/>
            </w:tcBorders>
            <w:shd w:val="clear" w:color="auto" w:fill="auto"/>
            <w:noWrap/>
            <w:vAlign w:val="center"/>
            <w:hideMark/>
          </w:tcPr>
          <w:p w14:paraId="2D7CE66B" w14:textId="77777777" w:rsidR="00AA042E" w:rsidRPr="00EC4BA6" w:rsidRDefault="00AA042E" w:rsidP="00AA042E">
            <w:pPr>
              <w:spacing w:before="0" w:after="0" w:line="240" w:lineRule="auto"/>
              <w:jc w:val="right"/>
              <w:rPr>
                <w:rFonts w:ascii="Arial" w:hAnsi="Arial" w:cs="Arial"/>
                <w:b/>
                <w:bCs/>
                <w:sz w:val="16"/>
                <w:szCs w:val="16"/>
              </w:rPr>
            </w:pPr>
          </w:p>
        </w:tc>
        <w:tc>
          <w:tcPr>
            <w:tcW w:w="737" w:type="pct"/>
            <w:tcBorders>
              <w:top w:val="nil"/>
              <w:left w:val="nil"/>
              <w:bottom w:val="single" w:sz="4" w:space="0" w:color="293F5B"/>
              <w:right w:val="nil"/>
            </w:tcBorders>
            <w:shd w:val="clear" w:color="auto" w:fill="auto"/>
            <w:noWrap/>
            <w:vAlign w:val="center"/>
            <w:hideMark/>
          </w:tcPr>
          <w:p w14:paraId="2BA0725C" w14:textId="77777777" w:rsidR="00AA042E" w:rsidRPr="00EC4BA6" w:rsidRDefault="00AA042E" w:rsidP="00AA042E">
            <w:pPr>
              <w:spacing w:before="0" w:after="0" w:line="240" w:lineRule="auto"/>
              <w:jc w:val="right"/>
              <w:rPr>
                <w:rFonts w:ascii="Arial" w:hAnsi="Arial" w:cs="Arial"/>
                <w:b/>
                <w:bCs/>
                <w:sz w:val="16"/>
                <w:szCs w:val="16"/>
              </w:rPr>
            </w:pPr>
            <w:r w:rsidRPr="00EC4BA6">
              <w:rPr>
                <w:rFonts w:ascii="Arial" w:hAnsi="Arial" w:cs="Arial"/>
                <w:b/>
                <w:bCs/>
                <w:sz w:val="16"/>
                <w:szCs w:val="16"/>
              </w:rPr>
              <w:t>6,435</w:t>
            </w:r>
          </w:p>
        </w:tc>
        <w:tc>
          <w:tcPr>
            <w:tcW w:w="737" w:type="pct"/>
            <w:tcBorders>
              <w:top w:val="nil"/>
              <w:left w:val="nil"/>
              <w:bottom w:val="single" w:sz="4" w:space="0" w:color="293F5B"/>
              <w:right w:val="nil"/>
            </w:tcBorders>
            <w:shd w:val="clear" w:color="auto" w:fill="auto"/>
            <w:noWrap/>
            <w:vAlign w:val="center"/>
            <w:hideMark/>
          </w:tcPr>
          <w:p w14:paraId="455004F2" w14:textId="77777777" w:rsidR="00AA042E" w:rsidRPr="00EC4BA6" w:rsidRDefault="00AA042E" w:rsidP="00AA042E">
            <w:pPr>
              <w:spacing w:before="0" w:after="0" w:line="240" w:lineRule="auto"/>
              <w:jc w:val="right"/>
              <w:rPr>
                <w:rFonts w:ascii="Arial" w:hAnsi="Arial" w:cs="Arial"/>
                <w:b/>
                <w:bCs/>
                <w:sz w:val="16"/>
                <w:szCs w:val="16"/>
              </w:rPr>
            </w:pPr>
            <w:r w:rsidRPr="00EC4BA6">
              <w:rPr>
                <w:rFonts w:ascii="Arial" w:hAnsi="Arial" w:cs="Arial"/>
                <w:b/>
                <w:bCs/>
                <w:sz w:val="16"/>
                <w:szCs w:val="16"/>
              </w:rPr>
              <w:t>1.0</w:t>
            </w:r>
          </w:p>
        </w:tc>
      </w:tr>
      <w:tr w:rsidR="00AA042E" w:rsidRPr="00EC4BA6" w14:paraId="399CBFBE" w14:textId="77777777" w:rsidTr="00AA042E">
        <w:trPr>
          <w:trHeight w:hRule="exact" w:val="60"/>
        </w:trPr>
        <w:tc>
          <w:tcPr>
            <w:tcW w:w="1993" w:type="pct"/>
            <w:tcBorders>
              <w:top w:val="nil"/>
              <w:left w:val="nil"/>
              <w:bottom w:val="nil"/>
              <w:right w:val="nil"/>
            </w:tcBorders>
            <w:shd w:val="clear" w:color="auto" w:fill="auto"/>
            <w:noWrap/>
            <w:vAlign w:val="center"/>
            <w:hideMark/>
          </w:tcPr>
          <w:p w14:paraId="3EEE839E" w14:textId="77777777" w:rsidR="00AA042E" w:rsidRPr="00EC4BA6" w:rsidRDefault="00AA042E" w:rsidP="00AA042E">
            <w:pPr>
              <w:spacing w:before="0" w:after="0" w:line="240" w:lineRule="auto"/>
              <w:jc w:val="right"/>
              <w:rPr>
                <w:rFonts w:ascii="Arial" w:hAnsi="Arial" w:cs="Arial"/>
                <w:b/>
                <w:bCs/>
                <w:sz w:val="16"/>
                <w:szCs w:val="16"/>
              </w:rPr>
            </w:pPr>
          </w:p>
        </w:tc>
        <w:tc>
          <w:tcPr>
            <w:tcW w:w="737" w:type="pct"/>
            <w:tcBorders>
              <w:top w:val="nil"/>
              <w:left w:val="nil"/>
              <w:bottom w:val="nil"/>
              <w:right w:val="nil"/>
            </w:tcBorders>
            <w:shd w:val="clear" w:color="000000" w:fill="FFFFFF"/>
            <w:noWrap/>
            <w:vAlign w:val="center"/>
            <w:hideMark/>
          </w:tcPr>
          <w:p w14:paraId="5F3C0F66" w14:textId="77777777" w:rsidR="00AA042E" w:rsidRPr="00EC4BA6" w:rsidRDefault="00AA042E" w:rsidP="00AA042E">
            <w:pPr>
              <w:spacing w:before="0" w:after="0" w:line="240" w:lineRule="auto"/>
              <w:rPr>
                <w:rFonts w:ascii="Arial" w:hAnsi="Arial" w:cs="Arial"/>
                <w:b/>
                <w:bCs/>
                <w:sz w:val="16"/>
                <w:szCs w:val="16"/>
              </w:rPr>
            </w:pPr>
            <w:r w:rsidRPr="00EC4BA6">
              <w:rPr>
                <w:rFonts w:ascii="Arial" w:hAnsi="Arial" w:cs="Arial"/>
                <w:b/>
                <w:bCs/>
                <w:sz w:val="16"/>
                <w:szCs w:val="16"/>
              </w:rPr>
              <w:t> </w:t>
            </w:r>
          </w:p>
        </w:tc>
        <w:tc>
          <w:tcPr>
            <w:tcW w:w="737" w:type="pct"/>
            <w:tcBorders>
              <w:top w:val="nil"/>
              <w:left w:val="nil"/>
              <w:bottom w:val="nil"/>
              <w:right w:val="nil"/>
            </w:tcBorders>
            <w:shd w:val="clear" w:color="000000" w:fill="E6F2FF"/>
            <w:noWrap/>
            <w:vAlign w:val="center"/>
            <w:hideMark/>
          </w:tcPr>
          <w:p w14:paraId="1E27B571" w14:textId="77777777" w:rsidR="00AA042E" w:rsidRPr="00EC4BA6" w:rsidRDefault="00AA042E" w:rsidP="00AA042E">
            <w:pPr>
              <w:spacing w:before="0" w:after="0" w:line="240" w:lineRule="auto"/>
              <w:rPr>
                <w:rFonts w:ascii="Arial" w:hAnsi="Arial" w:cs="Arial"/>
                <w:b/>
                <w:bCs/>
                <w:sz w:val="16"/>
                <w:szCs w:val="16"/>
              </w:rPr>
            </w:pPr>
            <w:r w:rsidRPr="00EC4BA6">
              <w:rPr>
                <w:rFonts w:ascii="Arial" w:hAnsi="Arial" w:cs="Arial"/>
                <w:b/>
                <w:bCs/>
                <w:sz w:val="16"/>
                <w:szCs w:val="16"/>
              </w:rPr>
              <w:t> </w:t>
            </w:r>
          </w:p>
        </w:tc>
        <w:tc>
          <w:tcPr>
            <w:tcW w:w="58" w:type="pct"/>
            <w:tcBorders>
              <w:top w:val="nil"/>
              <w:left w:val="nil"/>
              <w:bottom w:val="nil"/>
              <w:right w:val="nil"/>
            </w:tcBorders>
            <w:shd w:val="clear" w:color="auto" w:fill="auto"/>
            <w:noWrap/>
            <w:vAlign w:val="center"/>
            <w:hideMark/>
          </w:tcPr>
          <w:p w14:paraId="74686D6A" w14:textId="77777777" w:rsidR="00AA042E" w:rsidRPr="00EC4BA6" w:rsidRDefault="00AA042E" w:rsidP="00AA042E">
            <w:pPr>
              <w:spacing w:before="0" w:after="0" w:line="240" w:lineRule="auto"/>
              <w:rPr>
                <w:rFonts w:ascii="Arial" w:hAnsi="Arial" w:cs="Arial"/>
                <w:b/>
                <w:bCs/>
                <w:sz w:val="16"/>
                <w:szCs w:val="16"/>
              </w:rPr>
            </w:pPr>
          </w:p>
        </w:tc>
        <w:tc>
          <w:tcPr>
            <w:tcW w:w="737" w:type="pct"/>
            <w:tcBorders>
              <w:top w:val="nil"/>
              <w:left w:val="nil"/>
              <w:bottom w:val="nil"/>
              <w:right w:val="nil"/>
            </w:tcBorders>
            <w:shd w:val="clear" w:color="auto" w:fill="auto"/>
            <w:noWrap/>
            <w:vAlign w:val="center"/>
            <w:hideMark/>
          </w:tcPr>
          <w:p w14:paraId="653A72A4" w14:textId="77777777" w:rsidR="00AA042E" w:rsidRPr="00EC4BA6" w:rsidRDefault="00AA042E" w:rsidP="00AA042E">
            <w:pPr>
              <w:spacing w:before="0" w:after="0" w:line="240" w:lineRule="auto"/>
              <w:jc w:val="right"/>
              <w:rPr>
                <w:rFonts w:ascii="Times New Roman" w:hAnsi="Times New Roman"/>
                <w:sz w:val="20"/>
              </w:rPr>
            </w:pPr>
          </w:p>
        </w:tc>
        <w:tc>
          <w:tcPr>
            <w:tcW w:w="737" w:type="pct"/>
            <w:tcBorders>
              <w:top w:val="nil"/>
              <w:left w:val="nil"/>
              <w:bottom w:val="nil"/>
              <w:right w:val="nil"/>
            </w:tcBorders>
            <w:shd w:val="clear" w:color="auto" w:fill="auto"/>
            <w:noWrap/>
            <w:vAlign w:val="center"/>
            <w:hideMark/>
          </w:tcPr>
          <w:p w14:paraId="0E4CF697" w14:textId="77777777" w:rsidR="00AA042E" w:rsidRPr="00EC4BA6" w:rsidRDefault="00AA042E" w:rsidP="00AA042E">
            <w:pPr>
              <w:spacing w:before="0" w:after="0" w:line="240" w:lineRule="auto"/>
              <w:jc w:val="right"/>
              <w:rPr>
                <w:rFonts w:ascii="Times New Roman" w:hAnsi="Times New Roman"/>
                <w:sz w:val="20"/>
              </w:rPr>
            </w:pPr>
          </w:p>
        </w:tc>
      </w:tr>
      <w:tr w:rsidR="00AA042E" w:rsidRPr="00EC4BA6" w14:paraId="3248F29D" w14:textId="77777777" w:rsidTr="00AA042E">
        <w:trPr>
          <w:trHeight w:hRule="exact" w:val="225"/>
        </w:trPr>
        <w:tc>
          <w:tcPr>
            <w:tcW w:w="1993" w:type="pct"/>
            <w:tcBorders>
              <w:top w:val="nil"/>
              <w:left w:val="nil"/>
              <w:bottom w:val="nil"/>
              <w:right w:val="nil"/>
            </w:tcBorders>
            <w:shd w:val="clear" w:color="auto" w:fill="auto"/>
            <w:noWrap/>
            <w:vAlign w:val="center"/>
            <w:hideMark/>
          </w:tcPr>
          <w:p w14:paraId="4D74C167" w14:textId="77777777" w:rsidR="00AA042E" w:rsidRPr="00EC4BA6" w:rsidRDefault="00AA042E" w:rsidP="00AA042E">
            <w:pPr>
              <w:spacing w:before="0" w:after="0" w:line="240" w:lineRule="auto"/>
              <w:rPr>
                <w:rFonts w:ascii="Arial" w:hAnsi="Arial" w:cs="Arial"/>
                <w:sz w:val="16"/>
                <w:szCs w:val="16"/>
              </w:rPr>
            </w:pPr>
            <w:r w:rsidRPr="00EC4BA6">
              <w:rPr>
                <w:rFonts w:ascii="Arial" w:hAnsi="Arial" w:cs="Arial"/>
                <w:sz w:val="16"/>
                <w:szCs w:val="16"/>
              </w:rPr>
              <w:t>Sales of goods and services</w:t>
            </w:r>
          </w:p>
        </w:tc>
        <w:tc>
          <w:tcPr>
            <w:tcW w:w="737" w:type="pct"/>
            <w:tcBorders>
              <w:top w:val="nil"/>
              <w:left w:val="nil"/>
              <w:bottom w:val="nil"/>
              <w:right w:val="nil"/>
            </w:tcBorders>
            <w:shd w:val="clear" w:color="000000" w:fill="FFFFFF"/>
            <w:noWrap/>
            <w:vAlign w:val="center"/>
            <w:hideMark/>
          </w:tcPr>
          <w:p w14:paraId="132C5D0B"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21,774</w:t>
            </w:r>
          </w:p>
        </w:tc>
        <w:tc>
          <w:tcPr>
            <w:tcW w:w="737" w:type="pct"/>
            <w:tcBorders>
              <w:top w:val="nil"/>
              <w:left w:val="nil"/>
              <w:bottom w:val="nil"/>
              <w:right w:val="nil"/>
            </w:tcBorders>
            <w:shd w:val="clear" w:color="000000" w:fill="E6F2FF"/>
            <w:noWrap/>
            <w:vAlign w:val="center"/>
            <w:hideMark/>
          </w:tcPr>
          <w:p w14:paraId="27FA338F"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21,921</w:t>
            </w:r>
          </w:p>
        </w:tc>
        <w:tc>
          <w:tcPr>
            <w:tcW w:w="58" w:type="pct"/>
            <w:tcBorders>
              <w:top w:val="nil"/>
              <w:left w:val="nil"/>
              <w:bottom w:val="nil"/>
              <w:right w:val="nil"/>
            </w:tcBorders>
            <w:shd w:val="clear" w:color="auto" w:fill="auto"/>
            <w:noWrap/>
            <w:vAlign w:val="center"/>
            <w:hideMark/>
          </w:tcPr>
          <w:p w14:paraId="4498B025" w14:textId="77777777" w:rsidR="00AA042E" w:rsidRPr="00EC4BA6" w:rsidRDefault="00AA042E" w:rsidP="00AA042E">
            <w:pPr>
              <w:spacing w:before="0" w:after="0" w:line="240" w:lineRule="auto"/>
              <w:jc w:val="right"/>
              <w:rPr>
                <w:rFonts w:ascii="Arial" w:hAnsi="Arial" w:cs="Arial"/>
                <w:sz w:val="16"/>
                <w:szCs w:val="16"/>
              </w:rPr>
            </w:pPr>
          </w:p>
        </w:tc>
        <w:tc>
          <w:tcPr>
            <w:tcW w:w="737" w:type="pct"/>
            <w:tcBorders>
              <w:top w:val="nil"/>
              <w:left w:val="nil"/>
              <w:bottom w:val="nil"/>
              <w:right w:val="nil"/>
            </w:tcBorders>
            <w:shd w:val="clear" w:color="auto" w:fill="auto"/>
            <w:noWrap/>
            <w:vAlign w:val="center"/>
            <w:hideMark/>
          </w:tcPr>
          <w:p w14:paraId="30AA41F3"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147</w:t>
            </w:r>
          </w:p>
        </w:tc>
        <w:tc>
          <w:tcPr>
            <w:tcW w:w="737" w:type="pct"/>
            <w:tcBorders>
              <w:top w:val="nil"/>
              <w:left w:val="nil"/>
              <w:bottom w:val="nil"/>
              <w:right w:val="nil"/>
            </w:tcBorders>
            <w:shd w:val="clear" w:color="auto" w:fill="auto"/>
            <w:noWrap/>
            <w:vAlign w:val="center"/>
            <w:hideMark/>
          </w:tcPr>
          <w:p w14:paraId="0EB0DE33"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0.7</w:t>
            </w:r>
          </w:p>
        </w:tc>
      </w:tr>
      <w:tr w:rsidR="00AA042E" w:rsidRPr="00EC4BA6" w14:paraId="188665FF" w14:textId="77777777" w:rsidTr="00AA042E">
        <w:trPr>
          <w:trHeight w:hRule="exact" w:val="225"/>
        </w:trPr>
        <w:tc>
          <w:tcPr>
            <w:tcW w:w="1993" w:type="pct"/>
            <w:tcBorders>
              <w:top w:val="nil"/>
              <w:left w:val="nil"/>
              <w:bottom w:val="nil"/>
              <w:right w:val="nil"/>
            </w:tcBorders>
            <w:shd w:val="clear" w:color="auto" w:fill="auto"/>
            <w:noWrap/>
            <w:vAlign w:val="center"/>
            <w:hideMark/>
          </w:tcPr>
          <w:p w14:paraId="339051B2" w14:textId="77777777" w:rsidR="00AA042E" w:rsidRPr="00EC4BA6" w:rsidRDefault="00AA042E" w:rsidP="00AA042E">
            <w:pPr>
              <w:spacing w:before="0" w:after="0" w:line="240" w:lineRule="auto"/>
              <w:rPr>
                <w:rFonts w:ascii="Arial" w:hAnsi="Arial" w:cs="Arial"/>
                <w:sz w:val="16"/>
                <w:szCs w:val="16"/>
              </w:rPr>
            </w:pPr>
            <w:r w:rsidRPr="00EC4BA6">
              <w:rPr>
                <w:rFonts w:ascii="Arial" w:hAnsi="Arial" w:cs="Arial"/>
                <w:sz w:val="16"/>
                <w:szCs w:val="16"/>
              </w:rPr>
              <w:t>Interest received</w:t>
            </w:r>
          </w:p>
        </w:tc>
        <w:tc>
          <w:tcPr>
            <w:tcW w:w="737" w:type="pct"/>
            <w:tcBorders>
              <w:top w:val="nil"/>
              <w:left w:val="nil"/>
              <w:bottom w:val="nil"/>
              <w:right w:val="nil"/>
            </w:tcBorders>
            <w:shd w:val="clear" w:color="000000" w:fill="FFFFFF"/>
            <w:noWrap/>
            <w:vAlign w:val="center"/>
            <w:hideMark/>
          </w:tcPr>
          <w:p w14:paraId="429AD947"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9,659</w:t>
            </w:r>
          </w:p>
        </w:tc>
        <w:tc>
          <w:tcPr>
            <w:tcW w:w="737" w:type="pct"/>
            <w:tcBorders>
              <w:top w:val="nil"/>
              <w:left w:val="nil"/>
              <w:bottom w:val="nil"/>
              <w:right w:val="nil"/>
            </w:tcBorders>
            <w:shd w:val="clear" w:color="000000" w:fill="E6F2FF"/>
            <w:noWrap/>
            <w:vAlign w:val="center"/>
            <w:hideMark/>
          </w:tcPr>
          <w:p w14:paraId="498E5ACD"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9,389</w:t>
            </w:r>
          </w:p>
        </w:tc>
        <w:tc>
          <w:tcPr>
            <w:tcW w:w="58" w:type="pct"/>
            <w:tcBorders>
              <w:top w:val="nil"/>
              <w:left w:val="nil"/>
              <w:bottom w:val="nil"/>
              <w:right w:val="nil"/>
            </w:tcBorders>
            <w:shd w:val="clear" w:color="auto" w:fill="auto"/>
            <w:noWrap/>
            <w:vAlign w:val="center"/>
            <w:hideMark/>
          </w:tcPr>
          <w:p w14:paraId="753E346D" w14:textId="77777777" w:rsidR="00AA042E" w:rsidRPr="00EC4BA6" w:rsidRDefault="00AA042E" w:rsidP="00AA042E">
            <w:pPr>
              <w:spacing w:before="0" w:after="0" w:line="240" w:lineRule="auto"/>
              <w:jc w:val="right"/>
              <w:rPr>
                <w:rFonts w:ascii="Arial" w:hAnsi="Arial" w:cs="Arial"/>
                <w:sz w:val="16"/>
                <w:szCs w:val="16"/>
              </w:rPr>
            </w:pPr>
          </w:p>
        </w:tc>
        <w:tc>
          <w:tcPr>
            <w:tcW w:w="737" w:type="pct"/>
            <w:tcBorders>
              <w:top w:val="nil"/>
              <w:left w:val="nil"/>
              <w:bottom w:val="nil"/>
              <w:right w:val="nil"/>
            </w:tcBorders>
            <w:shd w:val="clear" w:color="auto" w:fill="auto"/>
            <w:noWrap/>
            <w:vAlign w:val="center"/>
            <w:hideMark/>
          </w:tcPr>
          <w:p w14:paraId="6E6E1E26" w14:textId="0C1C267C" w:rsidR="00AA042E" w:rsidRPr="00EC4BA6" w:rsidRDefault="001A3DD6" w:rsidP="00AA042E">
            <w:pPr>
              <w:spacing w:before="0" w:after="0" w:line="240" w:lineRule="auto"/>
              <w:jc w:val="right"/>
              <w:rPr>
                <w:rFonts w:ascii="Arial" w:hAnsi="Arial" w:cs="Arial"/>
                <w:sz w:val="16"/>
                <w:szCs w:val="16"/>
              </w:rPr>
            </w:pPr>
            <w:r>
              <w:rPr>
                <w:rFonts w:ascii="Arial" w:hAnsi="Arial" w:cs="Arial"/>
                <w:sz w:val="16"/>
                <w:szCs w:val="16"/>
              </w:rPr>
              <w:noBreakHyphen/>
            </w:r>
            <w:r w:rsidR="00AA042E" w:rsidRPr="00EC4BA6">
              <w:rPr>
                <w:rFonts w:ascii="Arial" w:hAnsi="Arial" w:cs="Arial"/>
                <w:sz w:val="16"/>
                <w:szCs w:val="16"/>
              </w:rPr>
              <w:t>269</w:t>
            </w:r>
          </w:p>
        </w:tc>
        <w:tc>
          <w:tcPr>
            <w:tcW w:w="737" w:type="pct"/>
            <w:tcBorders>
              <w:top w:val="nil"/>
              <w:left w:val="nil"/>
              <w:bottom w:val="nil"/>
              <w:right w:val="nil"/>
            </w:tcBorders>
            <w:shd w:val="clear" w:color="auto" w:fill="auto"/>
            <w:noWrap/>
            <w:vAlign w:val="center"/>
            <w:hideMark/>
          </w:tcPr>
          <w:p w14:paraId="11878F05" w14:textId="3ED73E88" w:rsidR="00AA042E" w:rsidRPr="00EC4BA6" w:rsidRDefault="001A3DD6" w:rsidP="00AA042E">
            <w:pPr>
              <w:spacing w:before="0" w:after="0" w:line="240" w:lineRule="auto"/>
              <w:jc w:val="right"/>
              <w:rPr>
                <w:rFonts w:ascii="Arial" w:hAnsi="Arial" w:cs="Arial"/>
                <w:sz w:val="16"/>
                <w:szCs w:val="16"/>
              </w:rPr>
            </w:pPr>
            <w:r>
              <w:rPr>
                <w:rFonts w:ascii="Arial" w:hAnsi="Arial" w:cs="Arial"/>
                <w:sz w:val="16"/>
                <w:szCs w:val="16"/>
              </w:rPr>
              <w:noBreakHyphen/>
            </w:r>
            <w:r w:rsidR="00AA042E" w:rsidRPr="00EC4BA6">
              <w:rPr>
                <w:rFonts w:ascii="Arial" w:hAnsi="Arial" w:cs="Arial"/>
                <w:sz w:val="16"/>
                <w:szCs w:val="16"/>
              </w:rPr>
              <w:t>2.8</w:t>
            </w:r>
          </w:p>
        </w:tc>
      </w:tr>
      <w:tr w:rsidR="00AA042E" w:rsidRPr="00EC4BA6" w14:paraId="5969DA3C" w14:textId="77777777" w:rsidTr="00AA042E">
        <w:trPr>
          <w:trHeight w:hRule="exact" w:val="225"/>
        </w:trPr>
        <w:tc>
          <w:tcPr>
            <w:tcW w:w="1993" w:type="pct"/>
            <w:tcBorders>
              <w:top w:val="nil"/>
              <w:left w:val="nil"/>
              <w:bottom w:val="nil"/>
              <w:right w:val="nil"/>
            </w:tcBorders>
            <w:shd w:val="clear" w:color="auto" w:fill="auto"/>
            <w:noWrap/>
            <w:vAlign w:val="center"/>
            <w:hideMark/>
          </w:tcPr>
          <w:p w14:paraId="77039D6F" w14:textId="77777777" w:rsidR="00AA042E" w:rsidRPr="00EC4BA6" w:rsidRDefault="00AA042E" w:rsidP="00AA042E">
            <w:pPr>
              <w:spacing w:before="0" w:after="0" w:line="240" w:lineRule="auto"/>
              <w:rPr>
                <w:rFonts w:ascii="Arial" w:hAnsi="Arial" w:cs="Arial"/>
                <w:sz w:val="16"/>
                <w:szCs w:val="16"/>
              </w:rPr>
            </w:pPr>
            <w:r w:rsidRPr="00EC4BA6">
              <w:rPr>
                <w:rFonts w:ascii="Arial" w:hAnsi="Arial" w:cs="Arial"/>
                <w:sz w:val="16"/>
                <w:szCs w:val="16"/>
              </w:rPr>
              <w:t>Dividends and distributions</w:t>
            </w:r>
          </w:p>
        </w:tc>
        <w:tc>
          <w:tcPr>
            <w:tcW w:w="737" w:type="pct"/>
            <w:tcBorders>
              <w:top w:val="nil"/>
              <w:left w:val="nil"/>
              <w:bottom w:val="nil"/>
              <w:right w:val="nil"/>
            </w:tcBorders>
            <w:shd w:val="clear" w:color="000000" w:fill="FFFFFF"/>
            <w:noWrap/>
            <w:vAlign w:val="center"/>
            <w:hideMark/>
          </w:tcPr>
          <w:p w14:paraId="60BB9532"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7,129</w:t>
            </w:r>
          </w:p>
        </w:tc>
        <w:tc>
          <w:tcPr>
            <w:tcW w:w="737" w:type="pct"/>
            <w:tcBorders>
              <w:top w:val="nil"/>
              <w:left w:val="nil"/>
              <w:bottom w:val="nil"/>
              <w:right w:val="nil"/>
            </w:tcBorders>
            <w:shd w:val="clear" w:color="000000" w:fill="E6F2FF"/>
            <w:noWrap/>
            <w:vAlign w:val="center"/>
            <w:hideMark/>
          </w:tcPr>
          <w:p w14:paraId="17579255"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7,416</w:t>
            </w:r>
          </w:p>
        </w:tc>
        <w:tc>
          <w:tcPr>
            <w:tcW w:w="58" w:type="pct"/>
            <w:tcBorders>
              <w:top w:val="nil"/>
              <w:left w:val="nil"/>
              <w:bottom w:val="nil"/>
              <w:right w:val="nil"/>
            </w:tcBorders>
            <w:shd w:val="clear" w:color="auto" w:fill="auto"/>
            <w:noWrap/>
            <w:vAlign w:val="center"/>
            <w:hideMark/>
          </w:tcPr>
          <w:p w14:paraId="15958153" w14:textId="77777777" w:rsidR="00AA042E" w:rsidRPr="00EC4BA6" w:rsidRDefault="00AA042E" w:rsidP="00AA042E">
            <w:pPr>
              <w:spacing w:before="0" w:after="0" w:line="240" w:lineRule="auto"/>
              <w:jc w:val="right"/>
              <w:rPr>
                <w:rFonts w:ascii="Arial" w:hAnsi="Arial" w:cs="Arial"/>
                <w:sz w:val="16"/>
                <w:szCs w:val="16"/>
              </w:rPr>
            </w:pPr>
          </w:p>
        </w:tc>
        <w:tc>
          <w:tcPr>
            <w:tcW w:w="737" w:type="pct"/>
            <w:tcBorders>
              <w:top w:val="nil"/>
              <w:left w:val="nil"/>
              <w:bottom w:val="nil"/>
              <w:right w:val="nil"/>
            </w:tcBorders>
            <w:shd w:val="clear" w:color="auto" w:fill="auto"/>
            <w:noWrap/>
            <w:vAlign w:val="center"/>
            <w:hideMark/>
          </w:tcPr>
          <w:p w14:paraId="238F1AB5"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286</w:t>
            </w:r>
          </w:p>
        </w:tc>
        <w:tc>
          <w:tcPr>
            <w:tcW w:w="737" w:type="pct"/>
            <w:tcBorders>
              <w:top w:val="nil"/>
              <w:left w:val="nil"/>
              <w:bottom w:val="nil"/>
              <w:right w:val="nil"/>
            </w:tcBorders>
            <w:shd w:val="clear" w:color="auto" w:fill="auto"/>
            <w:noWrap/>
            <w:vAlign w:val="center"/>
            <w:hideMark/>
          </w:tcPr>
          <w:p w14:paraId="44004528"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4.0</w:t>
            </w:r>
          </w:p>
        </w:tc>
      </w:tr>
      <w:tr w:rsidR="00AA042E" w:rsidRPr="00EC4BA6" w14:paraId="0AC630BC" w14:textId="77777777" w:rsidTr="00AA042E">
        <w:trPr>
          <w:trHeight w:hRule="exact" w:val="225"/>
        </w:trPr>
        <w:tc>
          <w:tcPr>
            <w:tcW w:w="1993" w:type="pct"/>
            <w:tcBorders>
              <w:top w:val="nil"/>
              <w:left w:val="nil"/>
              <w:bottom w:val="nil"/>
              <w:right w:val="nil"/>
            </w:tcBorders>
            <w:shd w:val="clear" w:color="auto" w:fill="auto"/>
            <w:noWrap/>
            <w:vAlign w:val="center"/>
            <w:hideMark/>
          </w:tcPr>
          <w:p w14:paraId="4CE60D4F" w14:textId="67937557" w:rsidR="00AA042E" w:rsidRPr="00EC4BA6" w:rsidRDefault="00AA042E" w:rsidP="00AA042E">
            <w:pPr>
              <w:spacing w:before="0" w:after="0" w:line="240" w:lineRule="auto"/>
              <w:rPr>
                <w:rFonts w:ascii="Arial" w:hAnsi="Arial" w:cs="Arial"/>
                <w:sz w:val="16"/>
                <w:szCs w:val="16"/>
              </w:rPr>
            </w:pPr>
            <w:r w:rsidRPr="00EC4BA6">
              <w:rPr>
                <w:rFonts w:ascii="Arial" w:hAnsi="Arial" w:cs="Arial"/>
                <w:sz w:val="16"/>
                <w:szCs w:val="16"/>
              </w:rPr>
              <w:t>Other non</w:t>
            </w:r>
            <w:r w:rsidR="001A3DD6">
              <w:rPr>
                <w:rFonts w:ascii="Arial" w:hAnsi="Arial" w:cs="Arial"/>
                <w:sz w:val="16"/>
                <w:szCs w:val="16"/>
              </w:rPr>
              <w:noBreakHyphen/>
            </w:r>
            <w:r w:rsidRPr="00EC4BA6">
              <w:rPr>
                <w:rFonts w:ascii="Arial" w:hAnsi="Arial" w:cs="Arial"/>
                <w:sz w:val="16"/>
                <w:szCs w:val="16"/>
              </w:rPr>
              <w:t>taxation receipts</w:t>
            </w:r>
          </w:p>
        </w:tc>
        <w:tc>
          <w:tcPr>
            <w:tcW w:w="737" w:type="pct"/>
            <w:tcBorders>
              <w:top w:val="nil"/>
              <w:left w:val="nil"/>
              <w:bottom w:val="nil"/>
              <w:right w:val="nil"/>
            </w:tcBorders>
            <w:shd w:val="clear" w:color="000000" w:fill="FFFFFF"/>
            <w:noWrap/>
            <w:vAlign w:val="center"/>
            <w:hideMark/>
          </w:tcPr>
          <w:p w14:paraId="30995D8D"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20,206</w:t>
            </w:r>
          </w:p>
        </w:tc>
        <w:tc>
          <w:tcPr>
            <w:tcW w:w="737" w:type="pct"/>
            <w:tcBorders>
              <w:top w:val="nil"/>
              <w:left w:val="nil"/>
              <w:bottom w:val="nil"/>
              <w:right w:val="nil"/>
            </w:tcBorders>
            <w:shd w:val="clear" w:color="000000" w:fill="E6F2FF"/>
            <w:noWrap/>
            <w:vAlign w:val="center"/>
            <w:hideMark/>
          </w:tcPr>
          <w:p w14:paraId="06A6B980"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20,540</w:t>
            </w:r>
          </w:p>
        </w:tc>
        <w:tc>
          <w:tcPr>
            <w:tcW w:w="58" w:type="pct"/>
            <w:tcBorders>
              <w:top w:val="nil"/>
              <w:left w:val="nil"/>
              <w:bottom w:val="nil"/>
              <w:right w:val="nil"/>
            </w:tcBorders>
            <w:shd w:val="clear" w:color="auto" w:fill="auto"/>
            <w:noWrap/>
            <w:vAlign w:val="center"/>
            <w:hideMark/>
          </w:tcPr>
          <w:p w14:paraId="45271DB8" w14:textId="77777777" w:rsidR="00AA042E" w:rsidRPr="00EC4BA6" w:rsidRDefault="00AA042E" w:rsidP="00AA042E">
            <w:pPr>
              <w:spacing w:before="0" w:after="0" w:line="240" w:lineRule="auto"/>
              <w:jc w:val="right"/>
              <w:rPr>
                <w:rFonts w:ascii="Arial" w:hAnsi="Arial" w:cs="Arial"/>
                <w:sz w:val="16"/>
                <w:szCs w:val="16"/>
              </w:rPr>
            </w:pPr>
          </w:p>
        </w:tc>
        <w:tc>
          <w:tcPr>
            <w:tcW w:w="737" w:type="pct"/>
            <w:tcBorders>
              <w:top w:val="nil"/>
              <w:left w:val="nil"/>
              <w:bottom w:val="nil"/>
              <w:right w:val="nil"/>
            </w:tcBorders>
            <w:shd w:val="clear" w:color="auto" w:fill="auto"/>
            <w:noWrap/>
            <w:vAlign w:val="center"/>
            <w:hideMark/>
          </w:tcPr>
          <w:p w14:paraId="08ABFADB"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334</w:t>
            </w:r>
          </w:p>
        </w:tc>
        <w:tc>
          <w:tcPr>
            <w:tcW w:w="737" w:type="pct"/>
            <w:tcBorders>
              <w:top w:val="nil"/>
              <w:left w:val="nil"/>
              <w:bottom w:val="nil"/>
              <w:right w:val="nil"/>
            </w:tcBorders>
            <w:shd w:val="clear" w:color="auto" w:fill="auto"/>
            <w:noWrap/>
            <w:vAlign w:val="center"/>
            <w:hideMark/>
          </w:tcPr>
          <w:p w14:paraId="48C36353" w14:textId="77777777" w:rsidR="00AA042E" w:rsidRPr="00EC4BA6" w:rsidRDefault="00AA042E" w:rsidP="00AA042E">
            <w:pPr>
              <w:spacing w:before="0" w:after="0" w:line="240" w:lineRule="auto"/>
              <w:jc w:val="right"/>
              <w:rPr>
                <w:rFonts w:ascii="Arial" w:hAnsi="Arial" w:cs="Arial"/>
                <w:sz w:val="16"/>
                <w:szCs w:val="16"/>
              </w:rPr>
            </w:pPr>
            <w:r w:rsidRPr="00EC4BA6">
              <w:rPr>
                <w:rFonts w:ascii="Arial" w:hAnsi="Arial" w:cs="Arial"/>
                <w:sz w:val="16"/>
                <w:szCs w:val="16"/>
              </w:rPr>
              <w:t>1.7</w:t>
            </w:r>
          </w:p>
        </w:tc>
      </w:tr>
      <w:tr w:rsidR="00AA042E" w:rsidRPr="00EC4BA6" w14:paraId="76F85B64" w14:textId="77777777" w:rsidTr="00AA042E">
        <w:trPr>
          <w:trHeight w:hRule="exact" w:val="225"/>
        </w:trPr>
        <w:tc>
          <w:tcPr>
            <w:tcW w:w="1993" w:type="pct"/>
            <w:tcBorders>
              <w:top w:val="nil"/>
              <w:left w:val="nil"/>
              <w:bottom w:val="nil"/>
              <w:right w:val="nil"/>
            </w:tcBorders>
            <w:shd w:val="clear" w:color="auto" w:fill="auto"/>
            <w:noWrap/>
            <w:vAlign w:val="center"/>
            <w:hideMark/>
          </w:tcPr>
          <w:p w14:paraId="70485E02" w14:textId="4941F9D9" w:rsidR="00AA042E" w:rsidRPr="00EC4BA6" w:rsidRDefault="00AA042E" w:rsidP="00AA042E">
            <w:pPr>
              <w:spacing w:before="0" w:after="0" w:line="240" w:lineRule="auto"/>
              <w:rPr>
                <w:rFonts w:ascii="Arial" w:hAnsi="Arial" w:cs="Arial"/>
                <w:b/>
                <w:bCs/>
                <w:sz w:val="16"/>
                <w:szCs w:val="16"/>
              </w:rPr>
            </w:pPr>
            <w:r w:rsidRPr="00EC4BA6">
              <w:rPr>
                <w:rFonts w:ascii="Arial" w:hAnsi="Arial" w:cs="Arial"/>
                <w:b/>
                <w:bCs/>
                <w:sz w:val="16"/>
                <w:szCs w:val="16"/>
              </w:rPr>
              <w:t>Non</w:t>
            </w:r>
            <w:r w:rsidR="001A3DD6">
              <w:rPr>
                <w:rFonts w:ascii="Arial" w:hAnsi="Arial" w:cs="Arial"/>
                <w:b/>
                <w:bCs/>
                <w:sz w:val="16"/>
                <w:szCs w:val="16"/>
              </w:rPr>
              <w:noBreakHyphen/>
            </w:r>
            <w:r w:rsidRPr="00EC4BA6">
              <w:rPr>
                <w:rFonts w:ascii="Arial" w:hAnsi="Arial" w:cs="Arial"/>
                <w:b/>
                <w:bCs/>
                <w:sz w:val="16"/>
                <w:szCs w:val="16"/>
              </w:rPr>
              <w:t>taxation receipts</w:t>
            </w:r>
          </w:p>
        </w:tc>
        <w:tc>
          <w:tcPr>
            <w:tcW w:w="737" w:type="pct"/>
            <w:tcBorders>
              <w:top w:val="single" w:sz="4" w:space="0" w:color="293F5B"/>
              <w:left w:val="nil"/>
              <w:bottom w:val="single" w:sz="4" w:space="0" w:color="293F5B"/>
              <w:right w:val="nil"/>
            </w:tcBorders>
            <w:shd w:val="clear" w:color="000000" w:fill="FFFFFF"/>
            <w:noWrap/>
            <w:vAlign w:val="center"/>
            <w:hideMark/>
          </w:tcPr>
          <w:p w14:paraId="234B5808" w14:textId="77777777" w:rsidR="00AA042E" w:rsidRPr="00EC4BA6" w:rsidRDefault="00AA042E" w:rsidP="00AA042E">
            <w:pPr>
              <w:spacing w:before="0" w:after="0" w:line="240" w:lineRule="auto"/>
              <w:jc w:val="right"/>
              <w:rPr>
                <w:rFonts w:ascii="Arial" w:hAnsi="Arial" w:cs="Arial"/>
                <w:b/>
                <w:bCs/>
                <w:sz w:val="16"/>
                <w:szCs w:val="16"/>
              </w:rPr>
            </w:pPr>
            <w:r w:rsidRPr="00EC4BA6">
              <w:rPr>
                <w:rFonts w:ascii="Arial" w:hAnsi="Arial" w:cs="Arial"/>
                <w:b/>
                <w:bCs/>
                <w:sz w:val="16"/>
                <w:szCs w:val="16"/>
              </w:rPr>
              <w:t>58,768</w:t>
            </w:r>
          </w:p>
        </w:tc>
        <w:tc>
          <w:tcPr>
            <w:tcW w:w="737" w:type="pct"/>
            <w:tcBorders>
              <w:top w:val="single" w:sz="4" w:space="0" w:color="293F5B"/>
              <w:left w:val="nil"/>
              <w:bottom w:val="single" w:sz="4" w:space="0" w:color="293F5B"/>
              <w:right w:val="nil"/>
            </w:tcBorders>
            <w:shd w:val="clear" w:color="000000" w:fill="E6F2FF"/>
            <w:noWrap/>
            <w:vAlign w:val="center"/>
            <w:hideMark/>
          </w:tcPr>
          <w:p w14:paraId="1C7CF490" w14:textId="77777777" w:rsidR="00AA042E" w:rsidRPr="00EC4BA6" w:rsidRDefault="00AA042E" w:rsidP="00AA042E">
            <w:pPr>
              <w:spacing w:before="0" w:after="0" w:line="240" w:lineRule="auto"/>
              <w:jc w:val="right"/>
              <w:rPr>
                <w:rFonts w:ascii="Arial" w:hAnsi="Arial" w:cs="Arial"/>
                <w:b/>
                <w:bCs/>
                <w:sz w:val="16"/>
                <w:szCs w:val="16"/>
              </w:rPr>
            </w:pPr>
            <w:r w:rsidRPr="00EC4BA6">
              <w:rPr>
                <w:rFonts w:ascii="Arial" w:hAnsi="Arial" w:cs="Arial"/>
                <w:b/>
                <w:bCs/>
                <w:sz w:val="16"/>
                <w:szCs w:val="16"/>
              </w:rPr>
              <w:t>59,266</w:t>
            </w:r>
          </w:p>
        </w:tc>
        <w:tc>
          <w:tcPr>
            <w:tcW w:w="58" w:type="pct"/>
            <w:tcBorders>
              <w:top w:val="nil"/>
              <w:left w:val="nil"/>
              <w:bottom w:val="nil"/>
              <w:right w:val="nil"/>
            </w:tcBorders>
            <w:shd w:val="clear" w:color="auto" w:fill="auto"/>
            <w:noWrap/>
            <w:vAlign w:val="center"/>
            <w:hideMark/>
          </w:tcPr>
          <w:p w14:paraId="00BF00FF" w14:textId="77777777" w:rsidR="00AA042E" w:rsidRPr="00EC4BA6" w:rsidRDefault="00AA042E" w:rsidP="00AA042E">
            <w:pPr>
              <w:spacing w:before="0" w:after="0" w:line="240" w:lineRule="auto"/>
              <w:jc w:val="right"/>
              <w:rPr>
                <w:rFonts w:ascii="Arial" w:hAnsi="Arial" w:cs="Arial"/>
                <w:b/>
                <w:bCs/>
                <w:sz w:val="16"/>
                <w:szCs w:val="16"/>
              </w:rPr>
            </w:pPr>
          </w:p>
        </w:tc>
        <w:tc>
          <w:tcPr>
            <w:tcW w:w="737" w:type="pct"/>
            <w:tcBorders>
              <w:top w:val="single" w:sz="4" w:space="0" w:color="293F5B"/>
              <w:left w:val="nil"/>
              <w:bottom w:val="single" w:sz="4" w:space="0" w:color="293F5B"/>
              <w:right w:val="nil"/>
            </w:tcBorders>
            <w:shd w:val="clear" w:color="auto" w:fill="auto"/>
            <w:noWrap/>
            <w:vAlign w:val="center"/>
            <w:hideMark/>
          </w:tcPr>
          <w:p w14:paraId="3A95F175" w14:textId="77777777" w:rsidR="00AA042E" w:rsidRPr="00EC4BA6" w:rsidRDefault="00AA042E" w:rsidP="00AA042E">
            <w:pPr>
              <w:spacing w:before="0" w:after="0" w:line="240" w:lineRule="auto"/>
              <w:jc w:val="right"/>
              <w:rPr>
                <w:rFonts w:ascii="Arial" w:hAnsi="Arial" w:cs="Arial"/>
                <w:b/>
                <w:bCs/>
                <w:sz w:val="16"/>
                <w:szCs w:val="16"/>
              </w:rPr>
            </w:pPr>
            <w:r w:rsidRPr="00EC4BA6">
              <w:rPr>
                <w:rFonts w:ascii="Arial" w:hAnsi="Arial" w:cs="Arial"/>
                <w:b/>
                <w:bCs/>
                <w:sz w:val="16"/>
                <w:szCs w:val="16"/>
              </w:rPr>
              <w:t>498</w:t>
            </w:r>
          </w:p>
        </w:tc>
        <w:tc>
          <w:tcPr>
            <w:tcW w:w="737" w:type="pct"/>
            <w:tcBorders>
              <w:top w:val="single" w:sz="4" w:space="0" w:color="293F5B"/>
              <w:left w:val="nil"/>
              <w:bottom w:val="single" w:sz="4" w:space="0" w:color="293F5B"/>
              <w:right w:val="nil"/>
            </w:tcBorders>
            <w:shd w:val="clear" w:color="auto" w:fill="auto"/>
            <w:noWrap/>
            <w:vAlign w:val="center"/>
            <w:hideMark/>
          </w:tcPr>
          <w:p w14:paraId="255CDF89" w14:textId="77777777" w:rsidR="00AA042E" w:rsidRPr="00EC4BA6" w:rsidRDefault="00AA042E" w:rsidP="00AA042E">
            <w:pPr>
              <w:spacing w:before="0" w:after="0" w:line="240" w:lineRule="auto"/>
              <w:jc w:val="right"/>
              <w:rPr>
                <w:rFonts w:ascii="Arial" w:hAnsi="Arial" w:cs="Arial"/>
                <w:b/>
                <w:bCs/>
                <w:sz w:val="16"/>
                <w:szCs w:val="16"/>
              </w:rPr>
            </w:pPr>
            <w:r w:rsidRPr="00EC4BA6">
              <w:rPr>
                <w:rFonts w:ascii="Arial" w:hAnsi="Arial" w:cs="Arial"/>
                <w:b/>
                <w:bCs/>
                <w:sz w:val="16"/>
                <w:szCs w:val="16"/>
              </w:rPr>
              <w:t>0.8</w:t>
            </w:r>
          </w:p>
        </w:tc>
      </w:tr>
      <w:tr w:rsidR="00AA042E" w:rsidRPr="00EC4BA6" w14:paraId="453ABF91" w14:textId="77777777" w:rsidTr="00AA042E">
        <w:trPr>
          <w:trHeight w:hRule="exact" w:val="225"/>
        </w:trPr>
        <w:tc>
          <w:tcPr>
            <w:tcW w:w="1993" w:type="pct"/>
            <w:tcBorders>
              <w:top w:val="nil"/>
              <w:left w:val="nil"/>
              <w:bottom w:val="single" w:sz="4" w:space="0" w:color="293F5B"/>
              <w:right w:val="nil"/>
            </w:tcBorders>
            <w:shd w:val="clear" w:color="auto" w:fill="auto"/>
            <w:noWrap/>
            <w:vAlign w:val="center"/>
            <w:hideMark/>
          </w:tcPr>
          <w:p w14:paraId="30D6F641" w14:textId="77777777" w:rsidR="00AA042E" w:rsidRPr="00EC4BA6" w:rsidRDefault="00AA042E" w:rsidP="00AA042E">
            <w:pPr>
              <w:spacing w:before="0" w:after="0" w:line="240" w:lineRule="auto"/>
              <w:rPr>
                <w:rFonts w:ascii="Arial" w:hAnsi="Arial" w:cs="Arial"/>
                <w:b/>
                <w:bCs/>
                <w:sz w:val="16"/>
                <w:szCs w:val="16"/>
              </w:rPr>
            </w:pPr>
            <w:r w:rsidRPr="00EC4BA6">
              <w:rPr>
                <w:rFonts w:ascii="Arial" w:hAnsi="Arial" w:cs="Arial"/>
                <w:b/>
                <w:bCs/>
                <w:sz w:val="16"/>
                <w:szCs w:val="16"/>
              </w:rPr>
              <w:t>Total receipts</w:t>
            </w:r>
          </w:p>
        </w:tc>
        <w:tc>
          <w:tcPr>
            <w:tcW w:w="737" w:type="pct"/>
            <w:tcBorders>
              <w:top w:val="nil"/>
              <w:left w:val="nil"/>
              <w:bottom w:val="single" w:sz="4" w:space="0" w:color="293F5B"/>
              <w:right w:val="nil"/>
            </w:tcBorders>
            <w:shd w:val="clear" w:color="auto" w:fill="auto"/>
            <w:noWrap/>
            <w:vAlign w:val="center"/>
            <w:hideMark/>
          </w:tcPr>
          <w:p w14:paraId="41B1D6E2" w14:textId="77777777" w:rsidR="00AA042E" w:rsidRPr="00EC4BA6" w:rsidRDefault="00AA042E" w:rsidP="00AA042E">
            <w:pPr>
              <w:spacing w:before="0" w:after="0" w:line="240" w:lineRule="auto"/>
              <w:jc w:val="right"/>
              <w:rPr>
                <w:rFonts w:ascii="Arial" w:hAnsi="Arial" w:cs="Arial"/>
                <w:b/>
                <w:bCs/>
                <w:sz w:val="16"/>
                <w:szCs w:val="16"/>
              </w:rPr>
            </w:pPr>
            <w:r w:rsidRPr="00EC4BA6">
              <w:rPr>
                <w:rFonts w:ascii="Arial" w:hAnsi="Arial" w:cs="Arial"/>
                <w:b/>
                <w:bCs/>
                <w:sz w:val="16"/>
                <w:szCs w:val="16"/>
              </w:rPr>
              <w:t>728,419</w:t>
            </w:r>
          </w:p>
        </w:tc>
        <w:tc>
          <w:tcPr>
            <w:tcW w:w="737" w:type="pct"/>
            <w:tcBorders>
              <w:top w:val="nil"/>
              <w:left w:val="nil"/>
              <w:bottom w:val="single" w:sz="4" w:space="0" w:color="293F5B"/>
              <w:right w:val="nil"/>
            </w:tcBorders>
            <w:shd w:val="clear" w:color="000000" w:fill="E6F2FF"/>
            <w:noWrap/>
            <w:vAlign w:val="center"/>
            <w:hideMark/>
          </w:tcPr>
          <w:p w14:paraId="5E8D6993" w14:textId="77777777" w:rsidR="00AA042E" w:rsidRPr="00EC4BA6" w:rsidRDefault="00AA042E" w:rsidP="00AA042E">
            <w:pPr>
              <w:spacing w:before="0" w:after="0" w:line="240" w:lineRule="auto"/>
              <w:jc w:val="right"/>
              <w:rPr>
                <w:rFonts w:ascii="Arial" w:hAnsi="Arial" w:cs="Arial"/>
                <w:b/>
                <w:bCs/>
                <w:sz w:val="16"/>
                <w:szCs w:val="16"/>
              </w:rPr>
            </w:pPr>
            <w:r w:rsidRPr="00EC4BA6">
              <w:rPr>
                <w:rFonts w:ascii="Arial" w:hAnsi="Arial" w:cs="Arial"/>
                <w:b/>
                <w:bCs/>
                <w:sz w:val="16"/>
                <w:szCs w:val="16"/>
              </w:rPr>
              <w:t>735,353</w:t>
            </w:r>
          </w:p>
        </w:tc>
        <w:tc>
          <w:tcPr>
            <w:tcW w:w="58" w:type="pct"/>
            <w:tcBorders>
              <w:top w:val="nil"/>
              <w:left w:val="nil"/>
              <w:bottom w:val="single" w:sz="4" w:space="0" w:color="293F5B"/>
              <w:right w:val="nil"/>
            </w:tcBorders>
            <w:shd w:val="clear" w:color="auto" w:fill="auto"/>
            <w:noWrap/>
            <w:vAlign w:val="center"/>
            <w:hideMark/>
          </w:tcPr>
          <w:p w14:paraId="7218258F" w14:textId="77777777" w:rsidR="00AA042E" w:rsidRPr="00EC4BA6" w:rsidRDefault="00AA042E" w:rsidP="00AA042E">
            <w:pPr>
              <w:spacing w:before="0" w:after="0" w:line="240" w:lineRule="auto"/>
              <w:jc w:val="right"/>
              <w:rPr>
                <w:rFonts w:ascii="Arial" w:hAnsi="Arial" w:cs="Arial"/>
                <w:b/>
                <w:bCs/>
                <w:sz w:val="16"/>
                <w:szCs w:val="16"/>
              </w:rPr>
            </w:pPr>
            <w:r w:rsidRPr="00EC4BA6">
              <w:rPr>
                <w:rFonts w:ascii="Arial" w:hAnsi="Arial" w:cs="Arial"/>
                <w:b/>
                <w:bCs/>
                <w:sz w:val="16"/>
                <w:szCs w:val="16"/>
              </w:rPr>
              <w:t> </w:t>
            </w:r>
          </w:p>
        </w:tc>
        <w:tc>
          <w:tcPr>
            <w:tcW w:w="737" w:type="pct"/>
            <w:tcBorders>
              <w:top w:val="nil"/>
              <w:left w:val="nil"/>
              <w:bottom w:val="single" w:sz="4" w:space="0" w:color="293F5B"/>
              <w:right w:val="nil"/>
            </w:tcBorders>
            <w:shd w:val="clear" w:color="auto" w:fill="auto"/>
            <w:noWrap/>
            <w:vAlign w:val="center"/>
            <w:hideMark/>
          </w:tcPr>
          <w:p w14:paraId="2365D424" w14:textId="77777777" w:rsidR="00AA042E" w:rsidRPr="00EC4BA6" w:rsidRDefault="00AA042E" w:rsidP="00AA042E">
            <w:pPr>
              <w:spacing w:before="0" w:after="0" w:line="240" w:lineRule="auto"/>
              <w:jc w:val="right"/>
              <w:rPr>
                <w:rFonts w:ascii="Arial" w:hAnsi="Arial" w:cs="Arial"/>
                <w:b/>
                <w:bCs/>
                <w:sz w:val="16"/>
                <w:szCs w:val="16"/>
              </w:rPr>
            </w:pPr>
            <w:r w:rsidRPr="00EC4BA6">
              <w:rPr>
                <w:rFonts w:ascii="Arial" w:hAnsi="Arial" w:cs="Arial"/>
                <w:b/>
                <w:bCs/>
                <w:sz w:val="16"/>
                <w:szCs w:val="16"/>
              </w:rPr>
              <w:t>6,933</w:t>
            </w:r>
          </w:p>
        </w:tc>
        <w:tc>
          <w:tcPr>
            <w:tcW w:w="737" w:type="pct"/>
            <w:tcBorders>
              <w:top w:val="nil"/>
              <w:left w:val="nil"/>
              <w:bottom w:val="single" w:sz="4" w:space="0" w:color="293F5B"/>
              <w:right w:val="nil"/>
            </w:tcBorders>
            <w:shd w:val="clear" w:color="auto" w:fill="auto"/>
            <w:noWrap/>
            <w:vAlign w:val="center"/>
            <w:hideMark/>
          </w:tcPr>
          <w:p w14:paraId="14881FDB" w14:textId="77777777" w:rsidR="00AA042E" w:rsidRPr="00EC4BA6" w:rsidRDefault="00AA042E" w:rsidP="00AA042E">
            <w:pPr>
              <w:spacing w:before="0" w:after="0" w:line="240" w:lineRule="auto"/>
              <w:jc w:val="right"/>
              <w:rPr>
                <w:rFonts w:ascii="Arial" w:hAnsi="Arial" w:cs="Arial"/>
                <w:b/>
                <w:bCs/>
                <w:sz w:val="16"/>
                <w:szCs w:val="16"/>
              </w:rPr>
            </w:pPr>
            <w:r w:rsidRPr="00EC4BA6">
              <w:rPr>
                <w:rFonts w:ascii="Arial" w:hAnsi="Arial" w:cs="Arial"/>
                <w:b/>
                <w:bCs/>
                <w:sz w:val="16"/>
                <w:szCs w:val="16"/>
              </w:rPr>
              <w:t>1.0</w:t>
            </w:r>
          </w:p>
        </w:tc>
      </w:tr>
      <w:tr w:rsidR="00AA042E" w:rsidRPr="00EC4BA6" w14:paraId="5B9EDC9D" w14:textId="77777777" w:rsidTr="00AA042E">
        <w:trPr>
          <w:trHeight w:hRule="exact" w:val="225"/>
        </w:trPr>
        <w:tc>
          <w:tcPr>
            <w:tcW w:w="1993" w:type="pct"/>
            <w:tcBorders>
              <w:top w:val="nil"/>
              <w:left w:val="nil"/>
              <w:bottom w:val="nil"/>
              <w:right w:val="nil"/>
            </w:tcBorders>
            <w:shd w:val="clear" w:color="auto" w:fill="auto"/>
            <w:noWrap/>
            <w:vAlign w:val="center"/>
            <w:hideMark/>
          </w:tcPr>
          <w:p w14:paraId="79D4018D" w14:textId="77777777" w:rsidR="00AA042E" w:rsidRPr="00EC4BA6" w:rsidRDefault="00AA042E" w:rsidP="00AA042E">
            <w:pPr>
              <w:spacing w:before="0" w:after="0" w:line="240" w:lineRule="auto"/>
              <w:rPr>
                <w:rFonts w:ascii="Arial" w:hAnsi="Arial" w:cs="Arial"/>
                <w:i/>
                <w:iCs/>
                <w:sz w:val="16"/>
                <w:szCs w:val="16"/>
              </w:rPr>
            </w:pPr>
            <w:r w:rsidRPr="00EC4BA6">
              <w:rPr>
                <w:rFonts w:ascii="Arial" w:hAnsi="Arial" w:cs="Arial"/>
                <w:i/>
                <w:iCs/>
                <w:sz w:val="16"/>
                <w:szCs w:val="16"/>
              </w:rPr>
              <w:t>Memorandum:</w:t>
            </w:r>
          </w:p>
        </w:tc>
        <w:tc>
          <w:tcPr>
            <w:tcW w:w="737" w:type="pct"/>
            <w:tcBorders>
              <w:top w:val="nil"/>
              <w:left w:val="nil"/>
              <w:bottom w:val="nil"/>
              <w:right w:val="nil"/>
            </w:tcBorders>
            <w:shd w:val="clear" w:color="000000" w:fill="FFFFFF"/>
            <w:noWrap/>
            <w:vAlign w:val="center"/>
            <w:hideMark/>
          </w:tcPr>
          <w:p w14:paraId="554C834B" w14:textId="77777777" w:rsidR="00AA042E" w:rsidRPr="00EC4BA6" w:rsidRDefault="00AA042E" w:rsidP="00AA042E">
            <w:pPr>
              <w:spacing w:before="0" w:after="0" w:line="240" w:lineRule="auto"/>
              <w:jc w:val="right"/>
              <w:rPr>
                <w:rFonts w:ascii="Arial" w:hAnsi="Arial" w:cs="Arial"/>
                <w:b/>
                <w:bCs/>
                <w:sz w:val="16"/>
                <w:szCs w:val="16"/>
              </w:rPr>
            </w:pPr>
            <w:r w:rsidRPr="00EC4BA6">
              <w:rPr>
                <w:rFonts w:ascii="Arial" w:hAnsi="Arial" w:cs="Arial"/>
                <w:b/>
                <w:bCs/>
                <w:sz w:val="16"/>
                <w:szCs w:val="16"/>
              </w:rPr>
              <w:t> </w:t>
            </w:r>
          </w:p>
        </w:tc>
        <w:tc>
          <w:tcPr>
            <w:tcW w:w="737" w:type="pct"/>
            <w:tcBorders>
              <w:top w:val="nil"/>
              <w:left w:val="nil"/>
              <w:bottom w:val="nil"/>
              <w:right w:val="nil"/>
            </w:tcBorders>
            <w:shd w:val="clear" w:color="000000" w:fill="E6F2FF"/>
            <w:noWrap/>
            <w:vAlign w:val="center"/>
            <w:hideMark/>
          </w:tcPr>
          <w:p w14:paraId="7355C4DC" w14:textId="77777777" w:rsidR="00AA042E" w:rsidRPr="00EC4BA6" w:rsidRDefault="00AA042E" w:rsidP="00AA042E">
            <w:pPr>
              <w:spacing w:before="0" w:after="0" w:line="240" w:lineRule="auto"/>
              <w:rPr>
                <w:rFonts w:ascii="Arial" w:hAnsi="Arial" w:cs="Arial"/>
                <w:b/>
                <w:bCs/>
                <w:sz w:val="16"/>
                <w:szCs w:val="16"/>
              </w:rPr>
            </w:pPr>
            <w:r w:rsidRPr="00EC4BA6">
              <w:rPr>
                <w:rFonts w:ascii="Arial" w:hAnsi="Arial" w:cs="Arial"/>
                <w:b/>
                <w:bCs/>
                <w:sz w:val="16"/>
                <w:szCs w:val="16"/>
              </w:rPr>
              <w:t> </w:t>
            </w:r>
          </w:p>
        </w:tc>
        <w:tc>
          <w:tcPr>
            <w:tcW w:w="58" w:type="pct"/>
            <w:tcBorders>
              <w:top w:val="nil"/>
              <w:left w:val="nil"/>
              <w:bottom w:val="nil"/>
              <w:right w:val="nil"/>
            </w:tcBorders>
            <w:shd w:val="clear" w:color="auto" w:fill="auto"/>
            <w:noWrap/>
            <w:vAlign w:val="center"/>
            <w:hideMark/>
          </w:tcPr>
          <w:p w14:paraId="3C6E2C59" w14:textId="77777777" w:rsidR="00AA042E" w:rsidRPr="00EC4BA6" w:rsidRDefault="00AA042E" w:rsidP="00AA042E">
            <w:pPr>
              <w:spacing w:before="0" w:after="0" w:line="240" w:lineRule="auto"/>
              <w:rPr>
                <w:rFonts w:ascii="Arial" w:hAnsi="Arial" w:cs="Arial"/>
                <w:b/>
                <w:bCs/>
                <w:sz w:val="16"/>
                <w:szCs w:val="16"/>
              </w:rPr>
            </w:pPr>
          </w:p>
        </w:tc>
        <w:tc>
          <w:tcPr>
            <w:tcW w:w="737" w:type="pct"/>
            <w:tcBorders>
              <w:top w:val="nil"/>
              <w:left w:val="nil"/>
              <w:bottom w:val="nil"/>
              <w:right w:val="nil"/>
            </w:tcBorders>
            <w:shd w:val="clear" w:color="auto" w:fill="auto"/>
            <w:noWrap/>
            <w:vAlign w:val="center"/>
            <w:hideMark/>
          </w:tcPr>
          <w:p w14:paraId="69A8390E" w14:textId="77777777" w:rsidR="00AA042E" w:rsidRPr="00EC4BA6" w:rsidRDefault="00AA042E" w:rsidP="00AA042E">
            <w:pPr>
              <w:spacing w:before="0" w:after="0" w:line="240" w:lineRule="auto"/>
              <w:jc w:val="right"/>
              <w:rPr>
                <w:rFonts w:ascii="Times New Roman" w:hAnsi="Times New Roman"/>
                <w:sz w:val="20"/>
              </w:rPr>
            </w:pPr>
          </w:p>
        </w:tc>
        <w:tc>
          <w:tcPr>
            <w:tcW w:w="737" w:type="pct"/>
            <w:tcBorders>
              <w:top w:val="nil"/>
              <w:left w:val="nil"/>
              <w:bottom w:val="nil"/>
              <w:right w:val="nil"/>
            </w:tcBorders>
            <w:shd w:val="clear" w:color="auto" w:fill="auto"/>
            <w:noWrap/>
            <w:vAlign w:val="center"/>
            <w:hideMark/>
          </w:tcPr>
          <w:p w14:paraId="75A1CF69" w14:textId="77777777" w:rsidR="00AA042E" w:rsidRPr="00EC4BA6" w:rsidRDefault="00AA042E" w:rsidP="00AA042E">
            <w:pPr>
              <w:spacing w:before="0" w:after="0" w:line="240" w:lineRule="auto"/>
              <w:jc w:val="right"/>
              <w:rPr>
                <w:rFonts w:ascii="Times New Roman" w:hAnsi="Times New Roman"/>
                <w:sz w:val="20"/>
              </w:rPr>
            </w:pPr>
          </w:p>
        </w:tc>
      </w:tr>
      <w:tr w:rsidR="00AA042E" w:rsidRPr="00EC4BA6" w14:paraId="61A8FBDE" w14:textId="77777777" w:rsidTr="00AA042E">
        <w:trPr>
          <w:trHeight w:hRule="exact" w:val="225"/>
        </w:trPr>
        <w:tc>
          <w:tcPr>
            <w:tcW w:w="1993" w:type="pct"/>
            <w:tcBorders>
              <w:top w:val="nil"/>
              <w:left w:val="nil"/>
              <w:bottom w:val="nil"/>
              <w:right w:val="nil"/>
            </w:tcBorders>
            <w:shd w:val="clear" w:color="auto" w:fill="auto"/>
            <w:noWrap/>
            <w:vAlign w:val="center"/>
            <w:hideMark/>
          </w:tcPr>
          <w:p w14:paraId="78825B68" w14:textId="77777777" w:rsidR="00AA042E" w:rsidRPr="00EC4BA6" w:rsidRDefault="00AA042E" w:rsidP="00AA042E">
            <w:pPr>
              <w:spacing w:before="0" w:after="0" w:line="240" w:lineRule="auto"/>
              <w:ind w:left="170"/>
              <w:rPr>
                <w:rFonts w:ascii="Arial" w:hAnsi="Arial" w:cs="Arial"/>
                <w:i/>
                <w:iCs/>
                <w:sz w:val="16"/>
                <w:szCs w:val="16"/>
              </w:rPr>
            </w:pPr>
            <w:r w:rsidRPr="00EC4BA6">
              <w:rPr>
                <w:rFonts w:ascii="Arial" w:hAnsi="Arial" w:cs="Arial"/>
                <w:i/>
                <w:iCs/>
                <w:sz w:val="16"/>
                <w:szCs w:val="16"/>
              </w:rPr>
              <w:t xml:space="preserve">Total excise </w:t>
            </w:r>
          </w:p>
        </w:tc>
        <w:tc>
          <w:tcPr>
            <w:tcW w:w="737" w:type="pct"/>
            <w:tcBorders>
              <w:top w:val="nil"/>
              <w:left w:val="nil"/>
              <w:bottom w:val="nil"/>
              <w:right w:val="nil"/>
            </w:tcBorders>
            <w:shd w:val="clear" w:color="auto" w:fill="auto"/>
            <w:noWrap/>
            <w:vAlign w:val="center"/>
            <w:hideMark/>
          </w:tcPr>
          <w:p w14:paraId="3BF9A5F5" w14:textId="77777777" w:rsidR="00AA042E" w:rsidRPr="00EC4BA6" w:rsidRDefault="00AA042E" w:rsidP="00AA042E">
            <w:pPr>
              <w:spacing w:before="0" w:after="0" w:line="240" w:lineRule="auto"/>
              <w:jc w:val="right"/>
              <w:rPr>
                <w:rFonts w:ascii="Arial" w:hAnsi="Arial" w:cs="Arial"/>
                <w:i/>
                <w:iCs/>
                <w:sz w:val="16"/>
                <w:szCs w:val="16"/>
              </w:rPr>
            </w:pPr>
            <w:r w:rsidRPr="00EC4BA6">
              <w:rPr>
                <w:rFonts w:ascii="Arial" w:hAnsi="Arial" w:cs="Arial"/>
                <w:i/>
                <w:iCs/>
                <w:sz w:val="16"/>
                <w:szCs w:val="16"/>
              </w:rPr>
              <w:t>32,570</w:t>
            </w:r>
          </w:p>
        </w:tc>
        <w:tc>
          <w:tcPr>
            <w:tcW w:w="737" w:type="pct"/>
            <w:tcBorders>
              <w:top w:val="nil"/>
              <w:left w:val="nil"/>
              <w:bottom w:val="nil"/>
              <w:right w:val="nil"/>
            </w:tcBorders>
            <w:shd w:val="clear" w:color="000000" w:fill="E6F2FF"/>
            <w:noWrap/>
            <w:vAlign w:val="center"/>
            <w:hideMark/>
          </w:tcPr>
          <w:p w14:paraId="73608789" w14:textId="77777777" w:rsidR="00AA042E" w:rsidRPr="00EC4BA6" w:rsidRDefault="00AA042E" w:rsidP="00AA042E">
            <w:pPr>
              <w:spacing w:before="0" w:after="0" w:line="240" w:lineRule="auto"/>
              <w:jc w:val="right"/>
              <w:rPr>
                <w:rFonts w:ascii="Arial" w:hAnsi="Arial" w:cs="Arial"/>
                <w:i/>
                <w:iCs/>
                <w:sz w:val="16"/>
                <w:szCs w:val="16"/>
              </w:rPr>
            </w:pPr>
            <w:r w:rsidRPr="00EC4BA6">
              <w:rPr>
                <w:rFonts w:ascii="Arial" w:hAnsi="Arial" w:cs="Arial"/>
                <w:i/>
                <w:iCs/>
                <w:sz w:val="16"/>
                <w:szCs w:val="16"/>
              </w:rPr>
              <w:t>32,450</w:t>
            </w:r>
          </w:p>
        </w:tc>
        <w:tc>
          <w:tcPr>
            <w:tcW w:w="58" w:type="pct"/>
            <w:tcBorders>
              <w:top w:val="nil"/>
              <w:left w:val="nil"/>
              <w:bottom w:val="nil"/>
              <w:right w:val="nil"/>
            </w:tcBorders>
            <w:shd w:val="clear" w:color="auto" w:fill="auto"/>
            <w:noWrap/>
            <w:vAlign w:val="center"/>
            <w:hideMark/>
          </w:tcPr>
          <w:p w14:paraId="593C8350" w14:textId="77777777" w:rsidR="00AA042E" w:rsidRPr="00EC4BA6" w:rsidRDefault="00AA042E" w:rsidP="00AA042E">
            <w:pPr>
              <w:spacing w:before="0" w:after="0" w:line="240" w:lineRule="auto"/>
              <w:jc w:val="right"/>
              <w:rPr>
                <w:rFonts w:ascii="Arial" w:hAnsi="Arial" w:cs="Arial"/>
                <w:i/>
                <w:iCs/>
                <w:sz w:val="16"/>
                <w:szCs w:val="16"/>
              </w:rPr>
            </w:pPr>
          </w:p>
        </w:tc>
        <w:tc>
          <w:tcPr>
            <w:tcW w:w="737" w:type="pct"/>
            <w:tcBorders>
              <w:top w:val="nil"/>
              <w:left w:val="nil"/>
              <w:bottom w:val="nil"/>
              <w:right w:val="nil"/>
            </w:tcBorders>
            <w:shd w:val="clear" w:color="auto" w:fill="auto"/>
            <w:noWrap/>
            <w:vAlign w:val="center"/>
            <w:hideMark/>
          </w:tcPr>
          <w:p w14:paraId="01866750" w14:textId="3967C5F0" w:rsidR="00AA042E" w:rsidRPr="00EC4BA6" w:rsidRDefault="001A3DD6" w:rsidP="00AA042E">
            <w:pPr>
              <w:spacing w:before="0" w:after="0" w:line="240" w:lineRule="auto"/>
              <w:jc w:val="right"/>
              <w:rPr>
                <w:rFonts w:ascii="Arial" w:hAnsi="Arial" w:cs="Arial"/>
                <w:i/>
                <w:iCs/>
                <w:sz w:val="16"/>
                <w:szCs w:val="16"/>
              </w:rPr>
            </w:pPr>
            <w:r>
              <w:rPr>
                <w:rFonts w:ascii="Arial" w:hAnsi="Arial" w:cs="Arial"/>
                <w:i/>
                <w:iCs/>
                <w:sz w:val="16"/>
                <w:szCs w:val="16"/>
              </w:rPr>
              <w:noBreakHyphen/>
            </w:r>
            <w:r w:rsidR="00AA042E" w:rsidRPr="00EC4BA6">
              <w:rPr>
                <w:rFonts w:ascii="Arial" w:hAnsi="Arial" w:cs="Arial"/>
                <w:i/>
                <w:iCs/>
                <w:sz w:val="16"/>
                <w:szCs w:val="16"/>
              </w:rPr>
              <w:t>120</w:t>
            </w:r>
          </w:p>
        </w:tc>
        <w:tc>
          <w:tcPr>
            <w:tcW w:w="737" w:type="pct"/>
            <w:tcBorders>
              <w:top w:val="nil"/>
              <w:left w:val="nil"/>
              <w:bottom w:val="nil"/>
              <w:right w:val="nil"/>
            </w:tcBorders>
            <w:shd w:val="clear" w:color="auto" w:fill="auto"/>
            <w:noWrap/>
            <w:vAlign w:val="center"/>
            <w:hideMark/>
          </w:tcPr>
          <w:p w14:paraId="1C3613F9" w14:textId="64F6EC80" w:rsidR="00AA042E" w:rsidRPr="00EC4BA6" w:rsidRDefault="001A3DD6" w:rsidP="00AA042E">
            <w:pPr>
              <w:spacing w:before="0" w:after="0" w:line="240" w:lineRule="auto"/>
              <w:jc w:val="right"/>
              <w:rPr>
                <w:rFonts w:ascii="Arial" w:hAnsi="Arial" w:cs="Arial"/>
                <w:i/>
                <w:iCs/>
                <w:sz w:val="16"/>
                <w:szCs w:val="16"/>
              </w:rPr>
            </w:pPr>
            <w:r>
              <w:rPr>
                <w:rFonts w:ascii="Arial" w:hAnsi="Arial" w:cs="Arial"/>
                <w:i/>
                <w:iCs/>
                <w:sz w:val="16"/>
                <w:szCs w:val="16"/>
              </w:rPr>
              <w:noBreakHyphen/>
            </w:r>
            <w:r w:rsidR="00AA042E" w:rsidRPr="00EC4BA6">
              <w:rPr>
                <w:rFonts w:ascii="Arial" w:hAnsi="Arial" w:cs="Arial"/>
                <w:i/>
                <w:iCs/>
                <w:sz w:val="16"/>
                <w:szCs w:val="16"/>
              </w:rPr>
              <w:t>0.4</w:t>
            </w:r>
          </w:p>
        </w:tc>
      </w:tr>
      <w:tr w:rsidR="00AA042E" w:rsidRPr="00EC4BA6" w14:paraId="2862D2C3" w14:textId="77777777" w:rsidTr="00AA042E">
        <w:trPr>
          <w:trHeight w:hRule="exact" w:val="225"/>
        </w:trPr>
        <w:tc>
          <w:tcPr>
            <w:tcW w:w="1993" w:type="pct"/>
            <w:tcBorders>
              <w:top w:val="nil"/>
              <w:left w:val="nil"/>
              <w:bottom w:val="nil"/>
              <w:right w:val="nil"/>
            </w:tcBorders>
            <w:shd w:val="clear" w:color="auto" w:fill="auto"/>
            <w:noWrap/>
            <w:vAlign w:val="center"/>
            <w:hideMark/>
          </w:tcPr>
          <w:p w14:paraId="2AD352C6" w14:textId="77777777" w:rsidR="00AA042E" w:rsidRPr="00EC4BA6" w:rsidRDefault="00AA042E" w:rsidP="00AA042E">
            <w:pPr>
              <w:spacing w:before="0" w:after="0" w:line="240" w:lineRule="auto"/>
              <w:ind w:left="170"/>
              <w:rPr>
                <w:rFonts w:ascii="Arial" w:hAnsi="Arial" w:cs="Arial"/>
                <w:i/>
                <w:iCs/>
                <w:sz w:val="16"/>
                <w:szCs w:val="16"/>
              </w:rPr>
            </w:pPr>
            <w:r w:rsidRPr="00EC4BA6">
              <w:rPr>
                <w:rFonts w:ascii="Arial" w:hAnsi="Arial" w:cs="Arial"/>
                <w:i/>
                <w:iCs/>
                <w:sz w:val="16"/>
                <w:szCs w:val="16"/>
              </w:rPr>
              <w:t xml:space="preserve">Total customs duty </w:t>
            </w:r>
          </w:p>
        </w:tc>
        <w:tc>
          <w:tcPr>
            <w:tcW w:w="737" w:type="pct"/>
            <w:tcBorders>
              <w:top w:val="nil"/>
              <w:left w:val="nil"/>
              <w:bottom w:val="nil"/>
              <w:right w:val="nil"/>
            </w:tcBorders>
            <w:shd w:val="clear" w:color="auto" w:fill="auto"/>
            <w:noWrap/>
            <w:vAlign w:val="center"/>
            <w:hideMark/>
          </w:tcPr>
          <w:p w14:paraId="081B2CEE" w14:textId="77777777" w:rsidR="00AA042E" w:rsidRPr="00EC4BA6" w:rsidRDefault="00AA042E" w:rsidP="00AA042E">
            <w:pPr>
              <w:spacing w:before="0" w:after="0" w:line="240" w:lineRule="auto"/>
              <w:jc w:val="right"/>
              <w:rPr>
                <w:rFonts w:ascii="Arial" w:hAnsi="Arial" w:cs="Arial"/>
                <w:i/>
                <w:iCs/>
                <w:sz w:val="16"/>
                <w:szCs w:val="16"/>
              </w:rPr>
            </w:pPr>
            <w:r w:rsidRPr="00EC4BA6">
              <w:rPr>
                <w:rFonts w:ascii="Arial" w:hAnsi="Arial" w:cs="Arial"/>
                <w:i/>
                <w:iCs/>
                <w:sz w:val="16"/>
                <w:szCs w:val="16"/>
              </w:rPr>
              <w:t>12,960</w:t>
            </w:r>
          </w:p>
        </w:tc>
        <w:tc>
          <w:tcPr>
            <w:tcW w:w="737" w:type="pct"/>
            <w:tcBorders>
              <w:top w:val="nil"/>
              <w:left w:val="nil"/>
              <w:bottom w:val="nil"/>
              <w:right w:val="nil"/>
            </w:tcBorders>
            <w:shd w:val="clear" w:color="000000" w:fill="E6F2FF"/>
            <w:noWrap/>
            <w:vAlign w:val="center"/>
            <w:hideMark/>
          </w:tcPr>
          <w:p w14:paraId="15976661" w14:textId="77777777" w:rsidR="00AA042E" w:rsidRPr="00EC4BA6" w:rsidRDefault="00AA042E" w:rsidP="00AA042E">
            <w:pPr>
              <w:spacing w:before="0" w:after="0" w:line="240" w:lineRule="auto"/>
              <w:jc w:val="right"/>
              <w:rPr>
                <w:rFonts w:ascii="Arial" w:hAnsi="Arial" w:cs="Arial"/>
                <w:i/>
                <w:iCs/>
                <w:sz w:val="16"/>
                <w:szCs w:val="16"/>
              </w:rPr>
            </w:pPr>
            <w:r w:rsidRPr="00EC4BA6">
              <w:rPr>
                <w:rFonts w:ascii="Arial" w:hAnsi="Arial" w:cs="Arial"/>
                <w:i/>
                <w:iCs/>
                <w:sz w:val="16"/>
                <w:szCs w:val="16"/>
              </w:rPr>
              <w:t>11,350</w:t>
            </w:r>
          </w:p>
        </w:tc>
        <w:tc>
          <w:tcPr>
            <w:tcW w:w="58" w:type="pct"/>
            <w:tcBorders>
              <w:top w:val="nil"/>
              <w:left w:val="nil"/>
              <w:bottom w:val="nil"/>
              <w:right w:val="nil"/>
            </w:tcBorders>
            <w:shd w:val="clear" w:color="auto" w:fill="auto"/>
            <w:noWrap/>
            <w:vAlign w:val="center"/>
            <w:hideMark/>
          </w:tcPr>
          <w:p w14:paraId="6C3F4864" w14:textId="77777777" w:rsidR="00AA042E" w:rsidRPr="00EC4BA6" w:rsidRDefault="00AA042E" w:rsidP="00AA042E">
            <w:pPr>
              <w:spacing w:before="0" w:after="0" w:line="240" w:lineRule="auto"/>
              <w:jc w:val="right"/>
              <w:rPr>
                <w:rFonts w:ascii="Arial" w:hAnsi="Arial" w:cs="Arial"/>
                <w:i/>
                <w:iCs/>
                <w:sz w:val="16"/>
                <w:szCs w:val="16"/>
              </w:rPr>
            </w:pPr>
          </w:p>
        </w:tc>
        <w:tc>
          <w:tcPr>
            <w:tcW w:w="737" w:type="pct"/>
            <w:tcBorders>
              <w:top w:val="nil"/>
              <w:left w:val="nil"/>
              <w:bottom w:val="nil"/>
              <w:right w:val="nil"/>
            </w:tcBorders>
            <w:shd w:val="clear" w:color="auto" w:fill="auto"/>
            <w:noWrap/>
            <w:vAlign w:val="center"/>
            <w:hideMark/>
          </w:tcPr>
          <w:p w14:paraId="52C90429" w14:textId="5FE22E6D" w:rsidR="00AA042E" w:rsidRPr="00EC4BA6" w:rsidRDefault="001A3DD6" w:rsidP="00AA042E">
            <w:pPr>
              <w:spacing w:before="0" w:after="0" w:line="240" w:lineRule="auto"/>
              <w:jc w:val="right"/>
              <w:rPr>
                <w:rFonts w:ascii="Arial" w:hAnsi="Arial" w:cs="Arial"/>
                <w:i/>
                <w:iCs/>
                <w:sz w:val="16"/>
                <w:szCs w:val="16"/>
              </w:rPr>
            </w:pPr>
            <w:r>
              <w:rPr>
                <w:rFonts w:ascii="Arial" w:hAnsi="Arial" w:cs="Arial"/>
                <w:i/>
                <w:iCs/>
                <w:sz w:val="16"/>
                <w:szCs w:val="16"/>
              </w:rPr>
              <w:noBreakHyphen/>
            </w:r>
            <w:r w:rsidR="00AA042E" w:rsidRPr="00EC4BA6">
              <w:rPr>
                <w:rFonts w:ascii="Arial" w:hAnsi="Arial" w:cs="Arial"/>
                <w:i/>
                <w:iCs/>
                <w:sz w:val="16"/>
                <w:szCs w:val="16"/>
              </w:rPr>
              <w:t>1,610</w:t>
            </w:r>
          </w:p>
        </w:tc>
        <w:tc>
          <w:tcPr>
            <w:tcW w:w="737" w:type="pct"/>
            <w:tcBorders>
              <w:top w:val="nil"/>
              <w:left w:val="nil"/>
              <w:bottom w:val="nil"/>
              <w:right w:val="nil"/>
            </w:tcBorders>
            <w:shd w:val="clear" w:color="auto" w:fill="auto"/>
            <w:noWrap/>
            <w:vAlign w:val="center"/>
            <w:hideMark/>
          </w:tcPr>
          <w:p w14:paraId="04B17F07" w14:textId="64489CCD" w:rsidR="00AA042E" w:rsidRPr="00EC4BA6" w:rsidRDefault="001A3DD6" w:rsidP="00AA042E">
            <w:pPr>
              <w:spacing w:before="0" w:after="0" w:line="240" w:lineRule="auto"/>
              <w:jc w:val="right"/>
              <w:rPr>
                <w:rFonts w:ascii="Arial" w:hAnsi="Arial" w:cs="Arial"/>
                <w:i/>
                <w:iCs/>
                <w:sz w:val="16"/>
                <w:szCs w:val="16"/>
              </w:rPr>
            </w:pPr>
            <w:r>
              <w:rPr>
                <w:rFonts w:ascii="Arial" w:hAnsi="Arial" w:cs="Arial"/>
                <w:i/>
                <w:iCs/>
                <w:sz w:val="16"/>
                <w:szCs w:val="16"/>
              </w:rPr>
              <w:noBreakHyphen/>
            </w:r>
            <w:r w:rsidR="00AA042E" w:rsidRPr="00EC4BA6">
              <w:rPr>
                <w:rFonts w:ascii="Arial" w:hAnsi="Arial" w:cs="Arial"/>
                <w:i/>
                <w:iCs/>
                <w:sz w:val="16"/>
                <w:szCs w:val="16"/>
              </w:rPr>
              <w:t>12.4</w:t>
            </w:r>
          </w:p>
        </w:tc>
      </w:tr>
      <w:tr w:rsidR="00AA042E" w:rsidRPr="00EC4BA6" w14:paraId="39DE9749" w14:textId="77777777" w:rsidTr="00AA042E">
        <w:trPr>
          <w:trHeight w:hRule="exact" w:val="225"/>
        </w:trPr>
        <w:tc>
          <w:tcPr>
            <w:tcW w:w="1993" w:type="pct"/>
            <w:tcBorders>
              <w:top w:val="nil"/>
              <w:left w:val="nil"/>
              <w:bottom w:val="single" w:sz="4" w:space="0" w:color="293F5B"/>
              <w:right w:val="nil"/>
            </w:tcBorders>
            <w:shd w:val="clear" w:color="auto" w:fill="auto"/>
            <w:noWrap/>
            <w:vAlign w:val="center"/>
            <w:hideMark/>
          </w:tcPr>
          <w:p w14:paraId="723C448D" w14:textId="77777777" w:rsidR="00AA042E" w:rsidRPr="00EC4BA6" w:rsidRDefault="00AA042E" w:rsidP="00AA042E">
            <w:pPr>
              <w:spacing w:before="0" w:after="0" w:line="240" w:lineRule="auto"/>
              <w:ind w:left="170"/>
              <w:rPr>
                <w:rFonts w:ascii="Arial" w:hAnsi="Arial" w:cs="Arial"/>
                <w:i/>
                <w:iCs/>
                <w:sz w:val="16"/>
                <w:szCs w:val="16"/>
              </w:rPr>
            </w:pPr>
            <w:r w:rsidRPr="00EC4BA6">
              <w:rPr>
                <w:rFonts w:ascii="Arial" w:hAnsi="Arial" w:cs="Arial"/>
                <w:i/>
                <w:iCs/>
                <w:sz w:val="16"/>
                <w:szCs w:val="16"/>
              </w:rPr>
              <w:t>Capital gains tax(b)</w:t>
            </w:r>
          </w:p>
        </w:tc>
        <w:tc>
          <w:tcPr>
            <w:tcW w:w="737" w:type="pct"/>
            <w:tcBorders>
              <w:top w:val="nil"/>
              <w:left w:val="nil"/>
              <w:bottom w:val="single" w:sz="4" w:space="0" w:color="293F5B"/>
              <w:right w:val="nil"/>
            </w:tcBorders>
            <w:shd w:val="clear" w:color="000000" w:fill="FFFFFF"/>
            <w:noWrap/>
            <w:vAlign w:val="center"/>
            <w:hideMark/>
          </w:tcPr>
          <w:p w14:paraId="0D1EBA87" w14:textId="77777777" w:rsidR="00AA042E" w:rsidRPr="00EC4BA6" w:rsidRDefault="00AA042E" w:rsidP="00AA042E">
            <w:pPr>
              <w:spacing w:before="0" w:after="0" w:line="240" w:lineRule="auto"/>
              <w:jc w:val="right"/>
              <w:rPr>
                <w:rFonts w:ascii="Arial" w:hAnsi="Arial" w:cs="Arial"/>
                <w:i/>
                <w:iCs/>
                <w:sz w:val="16"/>
                <w:szCs w:val="16"/>
              </w:rPr>
            </w:pPr>
            <w:r w:rsidRPr="00EC4BA6">
              <w:rPr>
                <w:rFonts w:ascii="Arial" w:hAnsi="Arial" w:cs="Arial"/>
                <w:i/>
                <w:iCs/>
                <w:sz w:val="16"/>
                <w:szCs w:val="16"/>
              </w:rPr>
              <w:t>26,100</w:t>
            </w:r>
          </w:p>
        </w:tc>
        <w:tc>
          <w:tcPr>
            <w:tcW w:w="737" w:type="pct"/>
            <w:tcBorders>
              <w:top w:val="nil"/>
              <w:left w:val="nil"/>
              <w:bottom w:val="single" w:sz="4" w:space="0" w:color="293F5B"/>
              <w:right w:val="nil"/>
            </w:tcBorders>
            <w:shd w:val="clear" w:color="000000" w:fill="E6F2FF"/>
            <w:noWrap/>
            <w:vAlign w:val="center"/>
            <w:hideMark/>
          </w:tcPr>
          <w:p w14:paraId="6EE696B2" w14:textId="77777777" w:rsidR="00AA042E" w:rsidRPr="00EC4BA6" w:rsidRDefault="00AA042E" w:rsidP="00AA042E">
            <w:pPr>
              <w:spacing w:before="0" w:after="0" w:line="240" w:lineRule="auto"/>
              <w:jc w:val="right"/>
              <w:rPr>
                <w:rFonts w:ascii="Arial" w:hAnsi="Arial" w:cs="Arial"/>
                <w:i/>
                <w:iCs/>
                <w:sz w:val="16"/>
                <w:szCs w:val="16"/>
              </w:rPr>
            </w:pPr>
            <w:r w:rsidRPr="00EC4BA6">
              <w:rPr>
                <w:rFonts w:ascii="Arial" w:hAnsi="Arial" w:cs="Arial"/>
                <w:i/>
                <w:iCs/>
                <w:sz w:val="16"/>
                <w:szCs w:val="16"/>
              </w:rPr>
              <w:t>27,600</w:t>
            </w:r>
          </w:p>
        </w:tc>
        <w:tc>
          <w:tcPr>
            <w:tcW w:w="58" w:type="pct"/>
            <w:tcBorders>
              <w:top w:val="nil"/>
              <w:left w:val="nil"/>
              <w:bottom w:val="single" w:sz="4" w:space="0" w:color="293F5B"/>
              <w:right w:val="nil"/>
            </w:tcBorders>
            <w:shd w:val="clear" w:color="auto" w:fill="auto"/>
            <w:noWrap/>
            <w:vAlign w:val="center"/>
            <w:hideMark/>
          </w:tcPr>
          <w:p w14:paraId="1F3019B6" w14:textId="77777777" w:rsidR="00AA042E" w:rsidRPr="00EC4BA6" w:rsidRDefault="00AA042E" w:rsidP="00AA042E">
            <w:pPr>
              <w:spacing w:before="0" w:after="0" w:line="240" w:lineRule="auto"/>
              <w:jc w:val="right"/>
              <w:rPr>
                <w:rFonts w:ascii="Arial" w:hAnsi="Arial" w:cs="Arial"/>
                <w:i/>
                <w:iCs/>
                <w:sz w:val="16"/>
                <w:szCs w:val="16"/>
              </w:rPr>
            </w:pPr>
            <w:r w:rsidRPr="00EC4BA6">
              <w:rPr>
                <w:rFonts w:ascii="Arial" w:hAnsi="Arial" w:cs="Arial"/>
                <w:i/>
                <w:iCs/>
                <w:sz w:val="16"/>
                <w:szCs w:val="16"/>
              </w:rPr>
              <w:t> </w:t>
            </w:r>
          </w:p>
        </w:tc>
        <w:tc>
          <w:tcPr>
            <w:tcW w:w="737" w:type="pct"/>
            <w:tcBorders>
              <w:top w:val="nil"/>
              <w:left w:val="nil"/>
              <w:bottom w:val="single" w:sz="4" w:space="0" w:color="293F5B"/>
              <w:right w:val="nil"/>
            </w:tcBorders>
            <w:shd w:val="clear" w:color="auto" w:fill="auto"/>
            <w:noWrap/>
            <w:vAlign w:val="center"/>
            <w:hideMark/>
          </w:tcPr>
          <w:p w14:paraId="13571617" w14:textId="77777777" w:rsidR="00AA042E" w:rsidRPr="00EC4BA6" w:rsidRDefault="00AA042E" w:rsidP="00AA042E">
            <w:pPr>
              <w:spacing w:before="0" w:after="0" w:line="240" w:lineRule="auto"/>
              <w:jc w:val="right"/>
              <w:rPr>
                <w:rFonts w:ascii="Arial" w:hAnsi="Arial" w:cs="Arial"/>
                <w:i/>
                <w:iCs/>
                <w:sz w:val="16"/>
                <w:szCs w:val="16"/>
              </w:rPr>
            </w:pPr>
            <w:r w:rsidRPr="00EC4BA6">
              <w:rPr>
                <w:rFonts w:ascii="Arial" w:hAnsi="Arial" w:cs="Arial"/>
                <w:i/>
                <w:iCs/>
                <w:sz w:val="16"/>
                <w:szCs w:val="16"/>
              </w:rPr>
              <w:t>1,500</w:t>
            </w:r>
          </w:p>
        </w:tc>
        <w:tc>
          <w:tcPr>
            <w:tcW w:w="737" w:type="pct"/>
            <w:tcBorders>
              <w:top w:val="nil"/>
              <w:left w:val="nil"/>
              <w:bottom w:val="single" w:sz="4" w:space="0" w:color="293F5B"/>
              <w:right w:val="nil"/>
            </w:tcBorders>
            <w:shd w:val="clear" w:color="auto" w:fill="auto"/>
            <w:noWrap/>
            <w:vAlign w:val="center"/>
            <w:hideMark/>
          </w:tcPr>
          <w:p w14:paraId="0EF721F6" w14:textId="77777777" w:rsidR="00AA042E" w:rsidRPr="00EC4BA6" w:rsidRDefault="00AA042E" w:rsidP="00AA042E">
            <w:pPr>
              <w:spacing w:before="0" w:after="0" w:line="240" w:lineRule="auto"/>
              <w:jc w:val="right"/>
              <w:rPr>
                <w:rFonts w:ascii="Arial" w:hAnsi="Arial" w:cs="Arial"/>
                <w:i/>
                <w:iCs/>
                <w:sz w:val="16"/>
                <w:szCs w:val="16"/>
              </w:rPr>
            </w:pPr>
            <w:r w:rsidRPr="00EC4BA6">
              <w:rPr>
                <w:rFonts w:ascii="Arial" w:hAnsi="Arial" w:cs="Arial"/>
                <w:i/>
                <w:iCs/>
                <w:sz w:val="16"/>
                <w:szCs w:val="16"/>
              </w:rPr>
              <w:t>5.7</w:t>
            </w:r>
          </w:p>
        </w:tc>
      </w:tr>
    </w:tbl>
    <w:p w14:paraId="3C8ADBB3" w14:textId="4BB3D7B4" w:rsidR="00DF4D4F" w:rsidRPr="00EC4BA6" w:rsidRDefault="001A3DD6" w:rsidP="00C7718D">
      <w:pPr>
        <w:pStyle w:val="ChartandTableFootnoteAlpha"/>
        <w:numPr>
          <w:ilvl w:val="0"/>
          <w:numId w:val="56"/>
        </w:numPr>
        <w:rPr>
          <w:color w:val="auto"/>
        </w:rPr>
      </w:pPr>
      <w:r>
        <w:rPr>
          <w:color w:val="auto"/>
        </w:rPr>
        <w:t>‘</w:t>
      </w:r>
      <w:r w:rsidR="00DF4D4F" w:rsidRPr="00EC4BA6">
        <w:rPr>
          <w:color w:val="auto"/>
        </w:rPr>
        <w:t>Other alcoholic beverages</w:t>
      </w:r>
      <w:r>
        <w:rPr>
          <w:color w:val="auto"/>
        </w:rPr>
        <w:t>’</w:t>
      </w:r>
      <w:r w:rsidR="00DF4D4F" w:rsidRPr="00EC4BA6">
        <w:rPr>
          <w:color w:val="auto"/>
        </w:rPr>
        <w:t xml:space="preserve"> are those not exceeding 10 per cent by volume of alcohol (excluding beer, brandy and wine). </w:t>
      </w:r>
    </w:p>
    <w:p w14:paraId="361B381F" w14:textId="17407CAA" w:rsidR="00DF4D4F" w:rsidRPr="00EC4BA6" w:rsidRDefault="001A3DD6" w:rsidP="001F4DFD">
      <w:pPr>
        <w:pStyle w:val="ChartandTableFootnoteAlpha"/>
        <w:rPr>
          <w:color w:val="auto"/>
        </w:rPr>
      </w:pPr>
      <w:r>
        <w:rPr>
          <w:color w:val="auto"/>
        </w:rPr>
        <w:t>‘</w:t>
      </w:r>
      <w:r w:rsidR="00DF4D4F" w:rsidRPr="00EC4BA6">
        <w:rPr>
          <w:color w:val="auto"/>
        </w:rPr>
        <w:t>Capital gains tax</w:t>
      </w:r>
      <w:r>
        <w:rPr>
          <w:color w:val="auto"/>
        </w:rPr>
        <w:t>’</w:t>
      </w:r>
      <w:r w:rsidR="00DF4D4F" w:rsidRPr="00EC4BA6">
        <w:rPr>
          <w:color w:val="auto"/>
        </w:rPr>
        <w:t xml:space="preserve"> is part of gross other individuals, company tax and superannuation fund taxes.</w:t>
      </w:r>
    </w:p>
    <w:p w14:paraId="6AB2106A" w14:textId="45EAD36E" w:rsidR="001F4DFD" w:rsidRPr="00EC4BA6" w:rsidRDefault="001F4DFD" w:rsidP="001F4DFD">
      <w:pPr>
        <w:pStyle w:val="TableLine"/>
      </w:pPr>
    </w:p>
    <w:p w14:paraId="78F944CF" w14:textId="77F9F834" w:rsidR="00AC4FFA" w:rsidRPr="00EC4BA6" w:rsidRDefault="00DF4D4F" w:rsidP="0041688A">
      <w:pPr>
        <w:pStyle w:val="TableHeading"/>
        <w:rPr>
          <w:rFonts w:asciiTheme="minorHAnsi" w:eastAsiaTheme="minorHAnsi" w:hAnsiTheme="minorHAnsi" w:cstheme="minorBidi"/>
          <w:sz w:val="22"/>
          <w:szCs w:val="22"/>
          <w:lang w:eastAsia="en-US"/>
        </w:rPr>
      </w:pPr>
      <w:r w:rsidRPr="00EC4BA6">
        <w:lastRenderedPageBreak/>
        <w:t xml:space="preserve">Table </w:t>
      </w:r>
      <w:r w:rsidR="008F3AA1" w:rsidRPr="00EC4BA6">
        <w:t>4</w:t>
      </w:r>
      <w:r w:rsidRPr="00EC4BA6">
        <w:t>.7: Australian Government general government (cash) receipt</w:t>
      </w:r>
      <w:r w:rsidR="005E40C2" w:rsidRPr="00EC4BA6">
        <w:t>s</w:t>
      </w:r>
    </w:p>
    <w:tbl>
      <w:tblPr>
        <w:tblW w:w="5000" w:type="pct"/>
        <w:tblCellMar>
          <w:left w:w="0" w:type="dxa"/>
          <w:right w:w="28" w:type="dxa"/>
        </w:tblCellMar>
        <w:tblLook w:val="04A0" w:firstRow="1" w:lastRow="0" w:firstColumn="1" w:lastColumn="0" w:noHBand="0" w:noVBand="1"/>
      </w:tblPr>
      <w:tblGrid>
        <w:gridCol w:w="3003"/>
        <w:gridCol w:w="771"/>
        <w:gridCol w:w="83"/>
        <w:gridCol w:w="709"/>
        <w:gridCol w:w="709"/>
        <w:gridCol w:w="811"/>
        <w:gridCol w:w="811"/>
        <w:gridCol w:w="813"/>
      </w:tblGrid>
      <w:tr w:rsidR="00EB4FEA" w:rsidRPr="00EC4BA6" w14:paraId="7D1B7A9B" w14:textId="77777777" w:rsidTr="008F032C">
        <w:trPr>
          <w:trHeight w:hRule="exact" w:val="225"/>
        </w:trPr>
        <w:tc>
          <w:tcPr>
            <w:tcW w:w="1947" w:type="pct"/>
            <w:tcBorders>
              <w:top w:val="single" w:sz="4" w:space="0" w:color="293F5B"/>
              <w:left w:val="nil"/>
              <w:bottom w:val="nil"/>
              <w:right w:val="nil"/>
            </w:tcBorders>
            <w:shd w:val="clear" w:color="000000" w:fill="FFFFFF"/>
            <w:noWrap/>
            <w:vAlign w:val="center"/>
            <w:hideMark/>
          </w:tcPr>
          <w:p w14:paraId="0F46B97B" w14:textId="19A563FB" w:rsidR="00AC4FFA" w:rsidRPr="00EC4BA6" w:rsidRDefault="00AC4FFA">
            <w:pPr>
              <w:rPr>
                <w:rFonts w:ascii="Arial" w:hAnsi="Arial" w:cs="Arial"/>
                <w:sz w:val="16"/>
                <w:szCs w:val="16"/>
              </w:rPr>
            </w:pPr>
            <w:r w:rsidRPr="00EC4BA6">
              <w:rPr>
                <w:rFonts w:ascii="Arial" w:hAnsi="Arial" w:cs="Arial"/>
                <w:sz w:val="16"/>
                <w:szCs w:val="16"/>
              </w:rPr>
              <w:t> </w:t>
            </w:r>
          </w:p>
        </w:tc>
        <w:tc>
          <w:tcPr>
            <w:tcW w:w="500" w:type="pct"/>
            <w:tcBorders>
              <w:top w:val="single" w:sz="4" w:space="0" w:color="293F5B"/>
              <w:left w:val="nil"/>
              <w:bottom w:val="single" w:sz="4" w:space="0" w:color="293F5B"/>
              <w:right w:val="nil"/>
            </w:tcBorders>
            <w:shd w:val="clear" w:color="000000" w:fill="FFFFFF"/>
            <w:noWrap/>
            <w:vAlign w:val="center"/>
            <w:hideMark/>
          </w:tcPr>
          <w:p w14:paraId="27464C85" w14:textId="77777777" w:rsidR="00AC4FFA" w:rsidRPr="00EC4BA6" w:rsidRDefault="00AC4FFA" w:rsidP="008F032C">
            <w:pPr>
              <w:spacing w:before="0" w:after="0" w:line="240" w:lineRule="auto"/>
              <w:jc w:val="center"/>
              <w:rPr>
                <w:rFonts w:ascii="Arial" w:hAnsi="Arial" w:cs="Arial"/>
                <w:sz w:val="16"/>
                <w:szCs w:val="16"/>
              </w:rPr>
            </w:pPr>
            <w:r w:rsidRPr="00EC4BA6">
              <w:rPr>
                <w:rFonts w:ascii="Arial" w:hAnsi="Arial" w:cs="Arial"/>
                <w:sz w:val="16"/>
                <w:szCs w:val="16"/>
              </w:rPr>
              <w:t>Actual</w:t>
            </w:r>
          </w:p>
        </w:tc>
        <w:tc>
          <w:tcPr>
            <w:tcW w:w="54" w:type="pct"/>
            <w:tcBorders>
              <w:top w:val="single" w:sz="4" w:space="0" w:color="293F5B"/>
              <w:left w:val="nil"/>
              <w:bottom w:val="nil"/>
              <w:right w:val="nil"/>
            </w:tcBorders>
            <w:shd w:val="clear" w:color="000000" w:fill="FFFFFF"/>
            <w:noWrap/>
            <w:vAlign w:val="center"/>
            <w:hideMark/>
          </w:tcPr>
          <w:p w14:paraId="4EF263EE"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 </w:t>
            </w:r>
          </w:p>
        </w:tc>
        <w:tc>
          <w:tcPr>
            <w:tcW w:w="2499" w:type="pct"/>
            <w:gridSpan w:val="5"/>
            <w:tcBorders>
              <w:top w:val="single" w:sz="4" w:space="0" w:color="293F5B"/>
              <w:left w:val="nil"/>
              <w:bottom w:val="single" w:sz="4" w:space="0" w:color="293F5B"/>
              <w:right w:val="nil"/>
            </w:tcBorders>
            <w:shd w:val="clear" w:color="000000" w:fill="FFFFFF"/>
            <w:noWrap/>
            <w:vAlign w:val="center"/>
            <w:hideMark/>
          </w:tcPr>
          <w:p w14:paraId="43F08497" w14:textId="77777777" w:rsidR="00AC4FFA" w:rsidRPr="00EC4BA6" w:rsidRDefault="00AC4FFA" w:rsidP="008F032C">
            <w:pPr>
              <w:spacing w:before="0" w:after="0" w:line="240" w:lineRule="auto"/>
              <w:jc w:val="center"/>
              <w:rPr>
                <w:rFonts w:ascii="Arial" w:hAnsi="Arial" w:cs="Arial"/>
                <w:sz w:val="16"/>
                <w:szCs w:val="16"/>
              </w:rPr>
            </w:pPr>
            <w:r w:rsidRPr="00EC4BA6">
              <w:rPr>
                <w:rFonts w:ascii="Arial" w:hAnsi="Arial" w:cs="Arial"/>
                <w:sz w:val="16"/>
                <w:szCs w:val="16"/>
              </w:rPr>
              <w:t>Estimates</w:t>
            </w:r>
          </w:p>
        </w:tc>
      </w:tr>
      <w:tr w:rsidR="00EB4FEA" w:rsidRPr="00EC4BA6" w14:paraId="07F6C992" w14:textId="77777777" w:rsidTr="008F032C">
        <w:trPr>
          <w:trHeight w:hRule="exact" w:val="225"/>
        </w:trPr>
        <w:tc>
          <w:tcPr>
            <w:tcW w:w="1947" w:type="pct"/>
            <w:tcBorders>
              <w:top w:val="nil"/>
              <w:left w:val="nil"/>
              <w:bottom w:val="nil"/>
              <w:right w:val="nil"/>
            </w:tcBorders>
            <w:shd w:val="clear" w:color="000000" w:fill="FFFFFF"/>
            <w:noWrap/>
            <w:vAlign w:val="center"/>
            <w:hideMark/>
          </w:tcPr>
          <w:p w14:paraId="223B7FC6" w14:textId="77777777" w:rsidR="00AC4FFA" w:rsidRPr="00EC4BA6" w:rsidRDefault="00AC4FFA" w:rsidP="008F032C">
            <w:pPr>
              <w:spacing w:before="0" w:after="0" w:line="240" w:lineRule="auto"/>
              <w:rPr>
                <w:rFonts w:ascii="Arial" w:hAnsi="Arial" w:cs="Arial"/>
                <w:sz w:val="16"/>
                <w:szCs w:val="16"/>
              </w:rPr>
            </w:pPr>
            <w:r w:rsidRPr="00EC4BA6">
              <w:rPr>
                <w:rFonts w:ascii="Arial" w:hAnsi="Arial" w:cs="Arial"/>
                <w:sz w:val="16"/>
                <w:szCs w:val="16"/>
              </w:rPr>
              <w:t> </w:t>
            </w:r>
          </w:p>
        </w:tc>
        <w:tc>
          <w:tcPr>
            <w:tcW w:w="500" w:type="pct"/>
            <w:tcBorders>
              <w:top w:val="nil"/>
              <w:left w:val="nil"/>
              <w:bottom w:val="nil"/>
              <w:right w:val="nil"/>
            </w:tcBorders>
            <w:shd w:val="clear" w:color="000000" w:fill="FFFFFF"/>
            <w:noWrap/>
            <w:vAlign w:val="center"/>
            <w:hideMark/>
          </w:tcPr>
          <w:p w14:paraId="5FA1A552" w14:textId="2F9916CA"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2023</w:t>
            </w:r>
            <w:r w:rsidR="001A3DD6">
              <w:rPr>
                <w:rFonts w:ascii="Arial" w:hAnsi="Arial" w:cs="Arial"/>
                <w:sz w:val="16"/>
                <w:szCs w:val="16"/>
              </w:rPr>
              <w:noBreakHyphen/>
            </w:r>
            <w:r w:rsidRPr="00EC4BA6">
              <w:rPr>
                <w:rFonts w:ascii="Arial" w:hAnsi="Arial" w:cs="Arial"/>
                <w:sz w:val="16"/>
                <w:szCs w:val="16"/>
              </w:rPr>
              <w:t>24</w:t>
            </w:r>
          </w:p>
        </w:tc>
        <w:tc>
          <w:tcPr>
            <w:tcW w:w="54" w:type="pct"/>
            <w:tcBorders>
              <w:top w:val="nil"/>
              <w:left w:val="nil"/>
              <w:bottom w:val="nil"/>
              <w:right w:val="nil"/>
            </w:tcBorders>
            <w:shd w:val="clear" w:color="000000" w:fill="FFFFFF"/>
            <w:noWrap/>
            <w:vAlign w:val="center"/>
            <w:hideMark/>
          </w:tcPr>
          <w:p w14:paraId="57502530"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 </w:t>
            </w:r>
          </w:p>
        </w:tc>
        <w:tc>
          <w:tcPr>
            <w:tcW w:w="460" w:type="pct"/>
            <w:tcBorders>
              <w:top w:val="nil"/>
              <w:left w:val="nil"/>
              <w:bottom w:val="nil"/>
              <w:right w:val="nil"/>
            </w:tcBorders>
            <w:shd w:val="clear" w:color="000000" w:fill="FFFFFF"/>
            <w:noWrap/>
            <w:vAlign w:val="center"/>
            <w:hideMark/>
          </w:tcPr>
          <w:p w14:paraId="38AF7994" w14:textId="2B0CB072"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2024</w:t>
            </w:r>
            <w:r w:rsidR="001A3DD6">
              <w:rPr>
                <w:rFonts w:ascii="Arial" w:hAnsi="Arial" w:cs="Arial"/>
                <w:sz w:val="16"/>
                <w:szCs w:val="16"/>
              </w:rPr>
              <w:noBreakHyphen/>
            </w:r>
            <w:r w:rsidRPr="00EC4BA6">
              <w:rPr>
                <w:rFonts w:ascii="Arial" w:hAnsi="Arial" w:cs="Arial"/>
                <w:sz w:val="16"/>
                <w:szCs w:val="16"/>
              </w:rPr>
              <w:t>25</w:t>
            </w:r>
          </w:p>
        </w:tc>
        <w:tc>
          <w:tcPr>
            <w:tcW w:w="460" w:type="pct"/>
            <w:tcBorders>
              <w:top w:val="nil"/>
              <w:left w:val="nil"/>
              <w:bottom w:val="nil"/>
              <w:right w:val="nil"/>
            </w:tcBorders>
            <w:shd w:val="clear" w:color="000000" w:fill="E6F2FF"/>
            <w:noWrap/>
            <w:vAlign w:val="center"/>
            <w:hideMark/>
          </w:tcPr>
          <w:p w14:paraId="3ED8061F" w14:textId="5FF50231"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2025</w:t>
            </w:r>
            <w:r w:rsidR="001A3DD6">
              <w:rPr>
                <w:rFonts w:ascii="Arial" w:hAnsi="Arial" w:cs="Arial"/>
                <w:sz w:val="16"/>
                <w:szCs w:val="16"/>
              </w:rPr>
              <w:noBreakHyphen/>
            </w:r>
            <w:r w:rsidRPr="00EC4BA6">
              <w:rPr>
                <w:rFonts w:ascii="Arial" w:hAnsi="Arial" w:cs="Arial"/>
                <w:sz w:val="16"/>
                <w:szCs w:val="16"/>
              </w:rPr>
              <w:t>26</w:t>
            </w:r>
          </w:p>
        </w:tc>
        <w:tc>
          <w:tcPr>
            <w:tcW w:w="526" w:type="pct"/>
            <w:tcBorders>
              <w:top w:val="nil"/>
              <w:left w:val="nil"/>
              <w:bottom w:val="nil"/>
              <w:right w:val="nil"/>
            </w:tcBorders>
            <w:shd w:val="clear" w:color="000000" w:fill="FFFFFF"/>
            <w:noWrap/>
            <w:vAlign w:val="center"/>
            <w:hideMark/>
          </w:tcPr>
          <w:p w14:paraId="006FA78F" w14:textId="29C1D6EE"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2026</w:t>
            </w:r>
            <w:r w:rsidR="001A3DD6">
              <w:rPr>
                <w:rFonts w:ascii="Arial" w:hAnsi="Arial" w:cs="Arial"/>
                <w:sz w:val="16"/>
                <w:szCs w:val="16"/>
              </w:rPr>
              <w:noBreakHyphen/>
            </w:r>
            <w:r w:rsidRPr="00EC4BA6">
              <w:rPr>
                <w:rFonts w:ascii="Arial" w:hAnsi="Arial" w:cs="Arial"/>
                <w:sz w:val="16"/>
                <w:szCs w:val="16"/>
              </w:rPr>
              <w:t>27</w:t>
            </w:r>
          </w:p>
        </w:tc>
        <w:tc>
          <w:tcPr>
            <w:tcW w:w="526" w:type="pct"/>
            <w:tcBorders>
              <w:top w:val="nil"/>
              <w:left w:val="nil"/>
              <w:bottom w:val="nil"/>
              <w:right w:val="nil"/>
            </w:tcBorders>
            <w:shd w:val="clear" w:color="000000" w:fill="FFFFFF"/>
            <w:noWrap/>
            <w:vAlign w:val="center"/>
            <w:hideMark/>
          </w:tcPr>
          <w:p w14:paraId="567BD9B0" w14:textId="3D0F3AB0"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2027</w:t>
            </w:r>
            <w:r w:rsidR="001A3DD6">
              <w:rPr>
                <w:rFonts w:ascii="Arial" w:hAnsi="Arial" w:cs="Arial"/>
                <w:sz w:val="16"/>
                <w:szCs w:val="16"/>
              </w:rPr>
              <w:noBreakHyphen/>
            </w:r>
            <w:r w:rsidRPr="00EC4BA6">
              <w:rPr>
                <w:rFonts w:ascii="Arial" w:hAnsi="Arial" w:cs="Arial"/>
                <w:sz w:val="16"/>
                <w:szCs w:val="16"/>
              </w:rPr>
              <w:t>28</w:t>
            </w:r>
          </w:p>
        </w:tc>
        <w:tc>
          <w:tcPr>
            <w:tcW w:w="526" w:type="pct"/>
            <w:tcBorders>
              <w:top w:val="nil"/>
              <w:left w:val="nil"/>
              <w:bottom w:val="nil"/>
              <w:right w:val="nil"/>
            </w:tcBorders>
            <w:shd w:val="clear" w:color="000000" w:fill="FFFFFF"/>
            <w:noWrap/>
            <w:vAlign w:val="center"/>
            <w:hideMark/>
          </w:tcPr>
          <w:p w14:paraId="685B0C61" w14:textId="40AC7732"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2028</w:t>
            </w:r>
            <w:r w:rsidR="001A3DD6">
              <w:rPr>
                <w:rFonts w:ascii="Arial" w:hAnsi="Arial" w:cs="Arial"/>
                <w:sz w:val="16"/>
                <w:szCs w:val="16"/>
              </w:rPr>
              <w:noBreakHyphen/>
            </w:r>
            <w:r w:rsidRPr="00EC4BA6">
              <w:rPr>
                <w:rFonts w:ascii="Arial" w:hAnsi="Arial" w:cs="Arial"/>
                <w:sz w:val="16"/>
                <w:szCs w:val="16"/>
              </w:rPr>
              <w:t>29</w:t>
            </w:r>
          </w:p>
        </w:tc>
      </w:tr>
      <w:tr w:rsidR="00EB4FEA" w:rsidRPr="00EC4BA6" w14:paraId="0B4DDF06" w14:textId="77777777" w:rsidTr="008F032C">
        <w:trPr>
          <w:trHeight w:hRule="exact" w:val="225"/>
        </w:trPr>
        <w:tc>
          <w:tcPr>
            <w:tcW w:w="1947" w:type="pct"/>
            <w:tcBorders>
              <w:top w:val="nil"/>
              <w:left w:val="nil"/>
              <w:bottom w:val="nil"/>
              <w:right w:val="nil"/>
            </w:tcBorders>
            <w:shd w:val="clear" w:color="000000" w:fill="FFFFFF"/>
            <w:vAlign w:val="center"/>
            <w:hideMark/>
          </w:tcPr>
          <w:p w14:paraId="219FA1D6" w14:textId="77777777" w:rsidR="00AC4FFA" w:rsidRPr="00EC4BA6" w:rsidRDefault="00AC4FFA" w:rsidP="008F032C">
            <w:pPr>
              <w:spacing w:before="0" w:after="0" w:line="240" w:lineRule="auto"/>
              <w:rPr>
                <w:rFonts w:ascii="Arial" w:hAnsi="Arial" w:cs="Arial"/>
                <w:sz w:val="16"/>
                <w:szCs w:val="16"/>
              </w:rPr>
            </w:pPr>
            <w:r w:rsidRPr="00EC4BA6">
              <w:rPr>
                <w:rFonts w:ascii="Arial" w:hAnsi="Arial" w:cs="Arial"/>
                <w:sz w:val="16"/>
                <w:szCs w:val="16"/>
              </w:rPr>
              <w:t> </w:t>
            </w:r>
          </w:p>
        </w:tc>
        <w:tc>
          <w:tcPr>
            <w:tcW w:w="500" w:type="pct"/>
            <w:tcBorders>
              <w:top w:val="nil"/>
              <w:left w:val="nil"/>
              <w:bottom w:val="nil"/>
              <w:right w:val="nil"/>
            </w:tcBorders>
            <w:shd w:val="clear" w:color="000000" w:fill="FFFFFF"/>
            <w:vAlign w:val="center"/>
            <w:hideMark/>
          </w:tcPr>
          <w:p w14:paraId="04104046"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$m</w:t>
            </w:r>
          </w:p>
        </w:tc>
        <w:tc>
          <w:tcPr>
            <w:tcW w:w="54" w:type="pct"/>
            <w:tcBorders>
              <w:top w:val="nil"/>
              <w:left w:val="nil"/>
              <w:bottom w:val="nil"/>
              <w:right w:val="nil"/>
            </w:tcBorders>
            <w:shd w:val="clear" w:color="000000" w:fill="FFFFFF"/>
            <w:vAlign w:val="center"/>
            <w:hideMark/>
          </w:tcPr>
          <w:p w14:paraId="7E7E7360"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 </w:t>
            </w:r>
          </w:p>
        </w:tc>
        <w:tc>
          <w:tcPr>
            <w:tcW w:w="460" w:type="pct"/>
            <w:tcBorders>
              <w:top w:val="nil"/>
              <w:left w:val="nil"/>
              <w:bottom w:val="nil"/>
              <w:right w:val="nil"/>
            </w:tcBorders>
            <w:shd w:val="clear" w:color="000000" w:fill="FFFFFF"/>
            <w:noWrap/>
            <w:vAlign w:val="center"/>
            <w:hideMark/>
          </w:tcPr>
          <w:p w14:paraId="541D21AF"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$m</w:t>
            </w:r>
          </w:p>
        </w:tc>
        <w:tc>
          <w:tcPr>
            <w:tcW w:w="460" w:type="pct"/>
            <w:tcBorders>
              <w:top w:val="nil"/>
              <w:left w:val="nil"/>
              <w:bottom w:val="nil"/>
              <w:right w:val="nil"/>
            </w:tcBorders>
            <w:shd w:val="clear" w:color="000000" w:fill="E6F2FF"/>
            <w:noWrap/>
            <w:vAlign w:val="center"/>
            <w:hideMark/>
          </w:tcPr>
          <w:p w14:paraId="7CA2217E"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$m</w:t>
            </w:r>
          </w:p>
        </w:tc>
        <w:tc>
          <w:tcPr>
            <w:tcW w:w="526" w:type="pct"/>
            <w:tcBorders>
              <w:top w:val="nil"/>
              <w:left w:val="nil"/>
              <w:bottom w:val="nil"/>
              <w:right w:val="nil"/>
            </w:tcBorders>
            <w:shd w:val="clear" w:color="000000" w:fill="FFFFFF"/>
            <w:vAlign w:val="center"/>
            <w:hideMark/>
          </w:tcPr>
          <w:p w14:paraId="72EBE6B1"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$m</w:t>
            </w:r>
          </w:p>
        </w:tc>
        <w:tc>
          <w:tcPr>
            <w:tcW w:w="526" w:type="pct"/>
            <w:tcBorders>
              <w:top w:val="nil"/>
              <w:left w:val="nil"/>
              <w:bottom w:val="nil"/>
              <w:right w:val="nil"/>
            </w:tcBorders>
            <w:shd w:val="clear" w:color="000000" w:fill="FFFFFF"/>
            <w:vAlign w:val="center"/>
            <w:hideMark/>
          </w:tcPr>
          <w:p w14:paraId="5EFE0152"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$m</w:t>
            </w:r>
          </w:p>
        </w:tc>
        <w:tc>
          <w:tcPr>
            <w:tcW w:w="526" w:type="pct"/>
            <w:tcBorders>
              <w:top w:val="nil"/>
              <w:left w:val="nil"/>
              <w:bottom w:val="nil"/>
              <w:right w:val="nil"/>
            </w:tcBorders>
            <w:shd w:val="clear" w:color="000000" w:fill="FFFFFF"/>
            <w:vAlign w:val="center"/>
            <w:hideMark/>
          </w:tcPr>
          <w:p w14:paraId="51858BB7"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$m</w:t>
            </w:r>
          </w:p>
        </w:tc>
      </w:tr>
      <w:tr w:rsidR="00EB4FEA" w:rsidRPr="00EC4BA6" w14:paraId="25C554C8" w14:textId="77777777" w:rsidTr="008F032C">
        <w:trPr>
          <w:trHeight w:hRule="exact" w:val="225"/>
        </w:trPr>
        <w:tc>
          <w:tcPr>
            <w:tcW w:w="1947" w:type="pct"/>
            <w:tcBorders>
              <w:top w:val="nil"/>
              <w:left w:val="nil"/>
              <w:bottom w:val="nil"/>
              <w:right w:val="nil"/>
            </w:tcBorders>
            <w:shd w:val="clear" w:color="000000" w:fill="FFFFFF"/>
            <w:noWrap/>
            <w:vAlign w:val="center"/>
            <w:hideMark/>
          </w:tcPr>
          <w:p w14:paraId="4571A01A" w14:textId="77777777" w:rsidR="00AC4FFA" w:rsidRPr="00EC4BA6" w:rsidRDefault="00AC4FFA" w:rsidP="008F032C">
            <w:pPr>
              <w:spacing w:before="0" w:after="0" w:line="240" w:lineRule="auto"/>
              <w:rPr>
                <w:rFonts w:ascii="Arial" w:hAnsi="Arial" w:cs="Arial"/>
                <w:sz w:val="16"/>
                <w:szCs w:val="16"/>
              </w:rPr>
            </w:pPr>
            <w:r w:rsidRPr="00EC4BA6">
              <w:rPr>
                <w:rFonts w:ascii="Arial" w:hAnsi="Arial" w:cs="Arial"/>
                <w:sz w:val="16"/>
                <w:szCs w:val="16"/>
              </w:rPr>
              <w:t>Individuals and other withholding taxes</w:t>
            </w:r>
          </w:p>
        </w:tc>
        <w:tc>
          <w:tcPr>
            <w:tcW w:w="500" w:type="pct"/>
            <w:tcBorders>
              <w:top w:val="single" w:sz="4" w:space="0" w:color="293F5B"/>
              <w:left w:val="nil"/>
              <w:bottom w:val="nil"/>
              <w:right w:val="nil"/>
            </w:tcBorders>
            <w:shd w:val="clear" w:color="000000" w:fill="FFFFFF"/>
            <w:noWrap/>
            <w:vAlign w:val="center"/>
            <w:hideMark/>
          </w:tcPr>
          <w:p w14:paraId="3317E4C1"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 </w:t>
            </w:r>
          </w:p>
        </w:tc>
        <w:tc>
          <w:tcPr>
            <w:tcW w:w="54" w:type="pct"/>
            <w:tcBorders>
              <w:top w:val="nil"/>
              <w:left w:val="nil"/>
              <w:bottom w:val="nil"/>
              <w:right w:val="nil"/>
            </w:tcBorders>
            <w:shd w:val="clear" w:color="000000" w:fill="FFFFFF"/>
            <w:noWrap/>
            <w:vAlign w:val="center"/>
            <w:hideMark/>
          </w:tcPr>
          <w:p w14:paraId="36AF9BC0"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 </w:t>
            </w:r>
          </w:p>
        </w:tc>
        <w:tc>
          <w:tcPr>
            <w:tcW w:w="460" w:type="pct"/>
            <w:tcBorders>
              <w:top w:val="single" w:sz="4" w:space="0" w:color="293F5B"/>
              <w:left w:val="nil"/>
              <w:bottom w:val="nil"/>
              <w:right w:val="nil"/>
            </w:tcBorders>
            <w:shd w:val="clear" w:color="000000" w:fill="FFFFFF"/>
            <w:noWrap/>
            <w:vAlign w:val="center"/>
            <w:hideMark/>
          </w:tcPr>
          <w:p w14:paraId="09F6F436" w14:textId="77777777" w:rsidR="00AC4FFA" w:rsidRPr="00EC4BA6" w:rsidRDefault="00AC4FFA" w:rsidP="008F032C">
            <w:pPr>
              <w:spacing w:before="0" w:after="0" w:line="240" w:lineRule="auto"/>
              <w:rPr>
                <w:rFonts w:ascii="Arial" w:hAnsi="Arial" w:cs="Arial"/>
                <w:sz w:val="16"/>
                <w:szCs w:val="16"/>
              </w:rPr>
            </w:pPr>
            <w:r w:rsidRPr="00EC4BA6">
              <w:rPr>
                <w:rFonts w:ascii="Arial" w:hAnsi="Arial" w:cs="Arial"/>
                <w:sz w:val="16"/>
                <w:szCs w:val="16"/>
              </w:rPr>
              <w:t> </w:t>
            </w:r>
          </w:p>
        </w:tc>
        <w:tc>
          <w:tcPr>
            <w:tcW w:w="460" w:type="pct"/>
            <w:tcBorders>
              <w:top w:val="single" w:sz="4" w:space="0" w:color="293F5B"/>
              <w:left w:val="nil"/>
              <w:bottom w:val="nil"/>
              <w:right w:val="nil"/>
            </w:tcBorders>
            <w:shd w:val="clear" w:color="000000" w:fill="E6F2FF"/>
            <w:noWrap/>
            <w:vAlign w:val="center"/>
            <w:hideMark/>
          </w:tcPr>
          <w:p w14:paraId="62037ED3" w14:textId="77777777" w:rsidR="00AC4FFA" w:rsidRPr="00EC4BA6" w:rsidRDefault="00AC4FFA" w:rsidP="008F032C">
            <w:pPr>
              <w:spacing w:before="0" w:after="0" w:line="240" w:lineRule="auto"/>
              <w:rPr>
                <w:rFonts w:ascii="Arial" w:hAnsi="Arial" w:cs="Arial"/>
                <w:sz w:val="16"/>
                <w:szCs w:val="16"/>
              </w:rPr>
            </w:pPr>
            <w:r w:rsidRPr="00EC4BA6">
              <w:rPr>
                <w:rFonts w:ascii="Arial" w:hAnsi="Arial" w:cs="Arial"/>
                <w:sz w:val="16"/>
                <w:szCs w:val="16"/>
              </w:rPr>
              <w:t> </w:t>
            </w:r>
          </w:p>
        </w:tc>
        <w:tc>
          <w:tcPr>
            <w:tcW w:w="526" w:type="pct"/>
            <w:tcBorders>
              <w:top w:val="single" w:sz="4" w:space="0" w:color="293F5B"/>
              <w:left w:val="nil"/>
              <w:bottom w:val="nil"/>
              <w:right w:val="nil"/>
            </w:tcBorders>
            <w:shd w:val="clear" w:color="000000" w:fill="FFFFFF"/>
            <w:noWrap/>
            <w:vAlign w:val="center"/>
            <w:hideMark/>
          </w:tcPr>
          <w:p w14:paraId="3B25623C" w14:textId="77777777" w:rsidR="00AC4FFA" w:rsidRPr="00EC4BA6" w:rsidRDefault="00AC4FFA" w:rsidP="008F032C">
            <w:pPr>
              <w:spacing w:before="0" w:after="0" w:line="240" w:lineRule="auto"/>
              <w:rPr>
                <w:rFonts w:ascii="Arial" w:hAnsi="Arial" w:cs="Arial"/>
                <w:b/>
                <w:sz w:val="16"/>
                <w:szCs w:val="16"/>
              </w:rPr>
            </w:pPr>
            <w:r w:rsidRPr="00EC4BA6">
              <w:rPr>
                <w:rFonts w:ascii="Arial" w:hAnsi="Arial" w:cs="Arial"/>
                <w:b/>
                <w:sz w:val="16"/>
                <w:szCs w:val="16"/>
              </w:rPr>
              <w:t> </w:t>
            </w:r>
          </w:p>
        </w:tc>
        <w:tc>
          <w:tcPr>
            <w:tcW w:w="526" w:type="pct"/>
            <w:tcBorders>
              <w:top w:val="single" w:sz="4" w:space="0" w:color="293F5B"/>
              <w:left w:val="nil"/>
              <w:bottom w:val="nil"/>
              <w:right w:val="nil"/>
            </w:tcBorders>
            <w:shd w:val="clear" w:color="000000" w:fill="FFFFFF"/>
            <w:noWrap/>
            <w:vAlign w:val="center"/>
            <w:hideMark/>
          </w:tcPr>
          <w:p w14:paraId="24365BC2" w14:textId="77777777" w:rsidR="00AC4FFA" w:rsidRPr="00EC4BA6" w:rsidRDefault="00AC4FFA" w:rsidP="008F032C">
            <w:pPr>
              <w:spacing w:before="0" w:after="0" w:line="240" w:lineRule="auto"/>
              <w:rPr>
                <w:rFonts w:ascii="Arial" w:hAnsi="Arial" w:cs="Arial"/>
                <w:b/>
                <w:sz w:val="16"/>
                <w:szCs w:val="16"/>
              </w:rPr>
            </w:pPr>
            <w:r w:rsidRPr="00EC4BA6">
              <w:rPr>
                <w:rFonts w:ascii="Arial" w:hAnsi="Arial" w:cs="Arial"/>
                <w:b/>
                <w:sz w:val="16"/>
                <w:szCs w:val="16"/>
              </w:rPr>
              <w:t> </w:t>
            </w:r>
          </w:p>
        </w:tc>
        <w:tc>
          <w:tcPr>
            <w:tcW w:w="526" w:type="pct"/>
            <w:tcBorders>
              <w:top w:val="single" w:sz="4" w:space="0" w:color="293F5B"/>
              <w:left w:val="nil"/>
              <w:bottom w:val="nil"/>
              <w:right w:val="nil"/>
            </w:tcBorders>
            <w:shd w:val="clear" w:color="000000" w:fill="FFFFFF"/>
            <w:noWrap/>
            <w:vAlign w:val="center"/>
            <w:hideMark/>
          </w:tcPr>
          <w:p w14:paraId="546AF1A6" w14:textId="77777777" w:rsidR="00AC4FFA" w:rsidRPr="00EC4BA6" w:rsidRDefault="00AC4FFA" w:rsidP="008F032C">
            <w:pPr>
              <w:spacing w:before="0" w:after="0" w:line="240" w:lineRule="auto"/>
              <w:rPr>
                <w:rFonts w:ascii="Arial" w:hAnsi="Arial" w:cs="Arial"/>
                <w:b/>
                <w:sz w:val="16"/>
                <w:szCs w:val="16"/>
              </w:rPr>
            </w:pPr>
            <w:r w:rsidRPr="00EC4BA6">
              <w:rPr>
                <w:rFonts w:ascii="Arial" w:hAnsi="Arial" w:cs="Arial"/>
                <w:b/>
                <w:sz w:val="16"/>
                <w:szCs w:val="16"/>
              </w:rPr>
              <w:t> </w:t>
            </w:r>
          </w:p>
        </w:tc>
      </w:tr>
      <w:tr w:rsidR="00EB4FEA" w:rsidRPr="00EC4BA6" w14:paraId="5590D228" w14:textId="77777777" w:rsidTr="008F032C">
        <w:trPr>
          <w:trHeight w:hRule="exact" w:val="225"/>
        </w:trPr>
        <w:tc>
          <w:tcPr>
            <w:tcW w:w="1947" w:type="pct"/>
            <w:tcBorders>
              <w:top w:val="nil"/>
              <w:left w:val="nil"/>
              <w:bottom w:val="nil"/>
              <w:right w:val="nil"/>
            </w:tcBorders>
            <w:shd w:val="clear" w:color="000000" w:fill="FFFFFF"/>
            <w:noWrap/>
            <w:vAlign w:val="center"/>
            <w:hideMark/>
          </w:tcPr>
          <w:p w14:paraId="1E525094" w14:textId="77777777" w:rsidR="00AC4FFA" w:rsidRPr="00EC4BA6" w:rsidRDefault="00AC4FFA" w:rsidP="008F032C">
            <w:pPr>
              <w:spacing w:before="0" w:after="0" w:line="240" w:lineRule="auto"/>
              <w:ind w:left="170"/>
              <w:rPr>
                <w:rFonts w:ascii="Arial" w:hAnsi="Arial" w:cs="Arial"/>
                <w:sz w:val="16"/>
                <w:szCs w:val="16"/>
              </w:rPr>
            </w:pPr>
            <w:r w:rsidRPr="00EC4BA6">
              <w:rPr>
                <w:rFonts w:ascii="Arial" w:hAnsi="Arial" w:cs="Arial"/>
                <w:sz w:val="16"/>
                <w:szCs w:val="16"/>
              </w:rPr>
              <w:t>Gross income tax withholding</w:t>
            </w:r>
          </w:p>
        </w:tc>
        <w:tc>
          <w:tcPr>
            <w:tcW w:w="500" w:type="pct"/>
            <w:tcBorders>
              <w:top w:val="nil"/>
              <w:left w:val="nil"/>
              <w:bottom w:val="nil"/>
              <w:right w:val="nil"/>
            </w:tcBorders>
            <w:shd w:val="clear" w:color="000000" w:fill="FFFFFF"/>
            <w:noWrap/>
            <w:vAlign w:val="center"/>
            <w:hideMark/>
          </w:tcPr>
          <w:p w14:paraId="56EA0206"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294,949</w:t>
            </w:r>
          </w:p>
        </w:tc>
        <w:tc>
          <w:tcPr>
            <w:tcW w:w="54" w:type="pct"/>
            <w:tcBorders>
              <w:top w:val="nil"/>
              <w:left w:val="nil"/>
              <w:bottom w:val="nil"/>
              <w:right w:val="nil"/>
            </w:tcBorders>
            <w:shd w:val="clear" w:color="000000" w:fill="FFFFFF"/>
            <w:noWrap/>
            <w:vAlign w:val="center"/>
            <w:hideMark/>
          </w:tcPr>
          <w:p w14:paraId="6A5C8C39" w14:textId="77777777" w:rsidR="00AC4FFA" w:rsidRPr="00EC4BA6" w:rsidRDefault="00AC4FFA" w:rsidP="008F032C">
            <w:pPr>
              <w:spacing w:before="0" w:after="0" w:line="240" w:lineRule="auto"/>
              <w:rPr>
                <w:rFonts w:ascii="Arial" w:hAnsi="Arial" w:cs="Arial"/>
                <w:sz w:val="16"/>
                <w:szCs w:val="16"/>
              </w:rPr>
            </w:pPr>
            <w:r w:rsidRPr="00EC4BA6">
              <w:rPr>
                <w:rFonts w:ascii="Arial" w:hAnsi="Arial" w:cs="Arial"/>
                <w:sz w:val="16"/>
                <w:szCs w:val="16"/>
              </w:rPr>
              <w:t> </w:t>
            </w:r>
          </w:p>
        </w:tc>
        <w:tc>
          <w:tcPr>
            <w:tcW w:w="460" w:type="pct"/>
            <w:tcBorders>
              <w:top w:val="nil"/>
              <w:left w:val="nil"/>
              <w:bottom w:val="nil"/>
              <w:right w:val="nil"/>
            </w:tcBorders>
            <w:shd w:val="clear" w:color="000000" w:fill="FFFFFF"/>
            <w:noWrap/>
            <w:vAlign w:val="center"/>
            <w:hideMark/>
          </w:tcPr>
          <w:p w14:paraId="7B7C640F"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293,600</w:t>
            </w:r>
          </w:p>
        </w:tc>
        <w:tc>
          <w:tcPr>
            <w:tcW w:w="460" w:type="pct"/>
            <w:tcBorders>
              <w:top w:val="nil"/>
              <w:left w:val="nil"/>
              <w:bottom w:val="nil"/>
              <w:right w:val="nil"/>
            </w:tcBorders>
            <w:shd w:val="clear" w:color="000000" w:fill="E6F2FF"/>
            <w:noWrap/>
            <w:vAlign w:val="center"/>
            <w:hideMark/>
          </w:tcPr>
          <w:p w14:paraId="6E178F3A"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310,600</w:t>
            </w:r>
          </w:p>
        </w:tc>
        <w:tc>
          <w:tcPr>
            <w:tcW w:w="526" w:type="pct"/>
            <w:tcBorders>
              <w:top w:val="nil"/>
              <w:left w:val="nil"/>
              <w:bottom w:val="nil"/>
              <w:right w:val="nil"/>
            </w:tcBorders>
            <w:shd w:val="clear" w:color="000000" w:fill="FFFFFF"/>
            <w:noWrap/>
            <w:vAlign w:val="center"/>
            <w:hideMark/>
          </w:tcPr>
          <w:p w14:paraId="18DEA6F9"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327,000</w:t>
            </w:r>
          </w:p>
        </w:tc>
        <w:tc>
          <w:tcPr>
            <w:tcW w:w="526" w:type="pct"/>
            <w:tcBorders>
              <w:top w:val="nil"/>
              <w:left w:val="nil"/>
              <w:bottom w:val="nil"/>
              <w:right w:val="nil"/>
            </w:tcBorders>
            <w:shd w:val="clear" w:color="000000" w:fill="FFFFFF"/>
            <w:noWrap/>
            <w:vAlign w:val="center"/>
            <w:hideMark/>
          </w:tcPr>
          <w:p w14:paraId="30B85E86"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346,800</w:t>
            </w:r>
          </w:p>
        </w:tc>
        <w:tc>
          <w:tcPr>
            <w:tcW w:w="526" w:type="pct"/>
            <w:tcBorders>
              <w:top w:val="nil"/>
              <w:left w:val="nil"/>
              <w:bottom w:val="nil"/>
              <w:right w:val="nil"/>
            </w:tcBorders>
            <w:shd w:val="clear" w:color="000000" w:fill="FFFFFF"/>
            <w:noWrap/>
            <w:vAlign w:val="center"/>
            <w:hideMark/>
          </w:tcPr>
          <w:p w14:paraId="2C0EF9C5"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368,700</w:t>
            </w:r>
          </w:p>
        </w:tc>
      </w:tr>
      <w:tr w:rsidR="00EB4FEA" w:rsidRPr="00EC4BA6" w14:paraId="56A9E0B2" w14:textId="77777777" w:rsidTr="008F032C">
        <w:trPr>
          <w:trHeight w:hRule="exact" w:val="225"/>
        </w:trPr>
        <w:tc>
          <w:tcPr>
            <w:tcW w:w="1947" w:type="pct"/>
            <w:tcBorders>
              <w:top w:val="nil"/>
              <w:left w:val="nil"/>
              <w:bottom w:val="nil"/>
              <w:right w:val="nil"/>
            </w:tcBorders>
            <w:shd w:val="clear" w:color="000000" w:fill="FFFFFF"/>
            <w:noWrap/>
            <w:vAlign w:val="center"/>
            <w:hideMark/>
          </w:tcPr>
          <w:p w14:paraId="2FDB2F56" w14:textId="77777777" w:rsidR="00AC4FFA" w:rsidRPr="00EC4BA6" w:rsidRDefault="00AC4FFA" w:rsidP="008F032C">
            <w:pPr>
              <w:spacing w:before="0" w:after="0" w:line="240" w:lineRule="auto"/>
              <w:ind w:left="170"/>
              <w:rPr>
                <w:rFonts w:ascii="Arial" w:hAnsi="Arial" w:cs="Arial"/>
                <w:sz w:val="16"/>
                <w:szCs w:val="16"/>
              </w:rPr>
            </w:pPr>
            <w:r w:rsidRPr="00EC4BA6">
              <w:rPr>
                <w:rFonts w:ascii="Arial" w:hAnsi="Arial" w:cs="Arial"/>
                <w:sz w:val="16"/>
                <w:szCs w:val="16"/>
              </w:rPr>
              <w:t>Gross other individuals</w:t>
            </w:r>
          </w:p>
        </w:tc>
        <w:tc>
          <w:tcPr>
            <w:tcW w:w="500" w:type="pct"/>
            <w:tcBorders>
              <w:top w:val="nil"/>
              <w:left w:val="nil"/>
              <w:bottom w:val="nil"/>
              <w:right w:val="nil"/>
            </w:tcBorders>
            <w:shd w:val="clear" w:color="000000" w:fill="FFFFFF"/>
            <w:noWrap/>
            <w:vAlign w:val="center"/>
            <w:hideMark/>
          </w:tcPr>
          <w:p w14:paraId="06B3B1D0"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74,199</w:t>
            </w:r>
          </w:p>
        </w:tc>
        <w:tc>
          <w:tcPr>
            <w:tcW w:w="54" w:type="pct"/>
            <w:tcBorders>
              <w:top w:val="nil"/>
              <w:left w:val="nil"/>
              <w:bottom w:val="nil"/>
              <w:right w:val="nil"/>
            </w:tcBorders>
            <w:shd w:val="clear" w:color="000000" w:fill="FFFFFF"/>
            <w:noWrap/>
            <w:vAlign w:val="center"/>
            <w:hideMark/>
          </w:tcPr>
          <w:p w14:paraId="36B93B8D" w14:textId="77777777" w:rsidR="00AC4FFA" w:rsidRPr="00EC4BA6" w:rsidRDefault="00AC4FFA" w:rsidP="008F032C">
            <w:pPr>
              <w:spacing w:before="0" w:after="0" w:line="240" w:lineRule="auto"/>
              <w:rPr>
                <w:rFonts w:ascii="Arial" w:hAnsi="Arial" w:cs="Arial"/>
                <w:sz w:val="16"/>
                <w:szCs w:val="16"/>
              </w:rPr>
            </w:pPr>
            <w:r w:rsidRPr="00EC4BA6">
              <w:rPr>
                <w:rFonts w:ascii="Arial" w:hAnsi="Arial" w:cs="Arial"/>
                <w:sz w:val="16"/>
                <w:szCs w:val="16"/>
              </w:rPr>
              <w:t> </w:t>
            </w:r>
          </w:p>
        </w:tc>
        <w:tc>
          <w:tcPr>
            <w:tcW w:w="460" w:type="pct"/>
            <w:tcBorders>
              <w:top w:val="nil"/>
              <w:left w:val="nil"/>
              <w:bottom w:val="nil"/>
              <w:right w:val="nil"/>
            </w:tcBorders>
            <w:shd w:val="clear" w:color="000000" w:fill="FFFFFF"/>
            <w:noWrap/>
            <w:vAlign w:val="center"/>
            <w:hideMark/>
          </w:tcPr>
          <w:p w14:paraId="7B2E5288"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80,500</w:t>
            </w:r>
          </w:p>
        </w:tc>
        <w:tc>
          <w:tcPr>
            <w:tcW w:w="460" w:type="pct"/>
            <w:tcBorders>
              <w:top w:val="nil"/>
              <w:left w:val="nil"/>
              <w:bottom w:val="nil"/>
              <w:right w:val="nil"/>
            </w:tcBorders>
            <w:shd w:val="clear" w:color="000000" w:fill="E6F2FF"/>
            <w:noWrap/>
            <w:vAlign w:val="center"/>
            <w:hideMark/>
          </w:tcPr>
          <w:p w14:paraId="3B212218"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79,900</w:t>
            </w:r>
          </w:p>
        </w:tc>
        <w:tc>
          <w:tcPr>
            <w:tcW w:w="526" w:type="pct"/>
            <w:tcBorders>
              <w:top w:val="nil"/>
              <w:left w:val="nil"/>
              <w:bottom w:val="nil"/>
              <w:right w:val="nil"/>
            </w:tcBorders>
            <w:shd w:val="clear" w:color="000000" w:fill="FFFFFF"/>
            <w:noWrap/>
            <w:vAlign w:val="center"/>
            <w:hideMark/>
          </w:tcPr>
          <w:p w14:paraId="0125C1C6"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84,900</w:t>
            </w:r>
          </w:p>
        </w:tc>
        <w:tc>
          <w:tcPr>
            <w:tcW w:w="526" w:type="pct"/>
            <w:tcBorders>
              <w:top w:val="nil"/>
              <w:left w:val="nil"/>
              <w:bottom w:val="nil"/>
              <w:right w:val="nil"/>
            </w:tcBorders>
            <w:shd w:val="clear" w:color="000000" w:fill="FFFFFF"/>
            <w:noWrap/>
            <w:vAlign w:val="center"/>
            <w:hideMark/>
          </w:tcPr>
          <w:p w14:paraId="20876E3F"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90,700</w:t>
            </w:r>
          </w:p>
        </w:tc>
        <w:tc>
          <w:tcPr>
            <w:tcW w:w="526" w:type="pct"/>
            <w:tcBorders>
              <w:top w:val="nil"/>
              <w:left w:val="nil"/>
              <w:bottom w:val="nil"/>
              <w:right w:val="nil"/>
            </w:tcBorders>
            <w:shd w:val="clear" w:color="000000" w:fill="FFFFFF"/>
            <w:noWrap/>
            <w:vAlign w:val="center"/>
            <w:hideMark/>
          </w:tcPr>
          <w:p w14:paraId="069D2BE7"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97,700</w:t>
            </w:r>
          </w:p>
        </w:tc>
      </w:tr>
      <w:tr w:rsidR="00EB4FEA" w:rsidRPr="00EC4BA6" w14:paraId="06C05BA8" w14:textId="77777777" w:rsidTr="008F032C">
        <w:trPr>
          <w:trHeight w:hRule="exact" w:val="225"/>
        </w:trPr>
        <w:tc>
          <w:tcPr>
            <w:tcW w:w="1947" w:type="pct"/>
            <w:tcBorders>
              <w:top w:val="nil"/>
              <w:left w:val="nil"/>
              <w:bottom w:val="nil"/>
              <w:right w:val="nil"/>
            </w:tcBorders>
            <w:shd w:val="clear" w:color="000000" w:fill="FFFFFF"/>
            <w:noWrap/>
            <w:vAlign w:val="center"/>
            <w:hideMark/>
          </w:tcPr>
          <w:p w14:paraId="4E1DEF75" w14:textId="77777777" w:rsidR="00AC4FFA" w:rsidRPr="00EC4BA6" w:rsidRDefault="00AC4FFA" w:rsidP="008F032C">
            <w:pPr>
              <w:spacing w:before="0" w:after="0" w:line="240" w:lineRule="auto"/>
              <w:ind w:left="170"/>
              <w:rPr>
                <w:rFonts w:ascii="Arial" w:hAnsi="Arial" w:cs="Arial"/>
                <w:i/>
                <w:sz w:val="16"/>
                <w:szCs w:val="16"/>
              </w:rPr>
            </w:pPr>
            <w:r w:rsidRPr="00EC4BA6">
              <w:rPr>
                <w:rFonts w:ascii="Arial" w:hAnsi="Arial" w:cs="Arial"/>
                <w:i/>
                <w:sz w:val="16"/>
                <w:szCs w:val="16"/>
              </w:rPr>
              <w:t xml:space="preserve">less: </w:t>
            </w:r>
            <w:r w:rsidRPr="00EC4BA6">
              <w:rPr>
                <w:rFonts w:ascii="Arial" w:hAnsi="Arial" w:cs="Arial"/>
                <w:sz w:val="16"/>
                <w:szCs w:val="16"/>
              </w:rPr>
              <w:t>Refunds</w:t>
            </w:r>
          </w:p>
        </w:tc>
        <w:tc>
          <w:tcPr>
            <w:tcW w:w="500" w:type="pct"/>
            <w:tcBorders>
              <w:top w:val="nil"/>
              <w:left w:val="nil"/>
              <w:bottom w:val="nil"/>
              <w:right w:val="nil"/>
            </w:tcBorders>
            <w:shd w:val="clear" w:color="000000" w:fill="FFFFFF"/>
            <w:noWrap/>
            <w:vAlign w:val="center"/>
            <w:hideMark/>
          </w:tcPr>
          <w:p w14:paraId="6D78351E"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37,635</w:t>
            </w:r>
          </w:p>
        </w:tc>
        <w:tc>
          <w:tcPr>
            <w:tcW w:w="54" w:type="pct"/>
            <w:tcBorders>
              <w:top w:val="nil"/>
              <w:left w:val="nil"/>
              <w:bottom w:val="nil"/>
              <w:right w:val="nil"/>
            </w:tcBorders>
            <w:shd w:val="clear" w:color="000000" w:fill="FFFFFF"/>
            <w:noWrap/>
            <w:vAlign w:val="center"/>
            <w:hideMark/>
          </w:tcPr>
          <w:p w14:paraId="379AA308"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 </w:t>
            </w:r>
          </w:p>
        </w:tc>
        <w:tc>
          <w:tcPr>
            <w:tcW w:w="460" w:type="pct"/>
            <w:tcBorders>
              <w:top w:val="nil"/>
              <w:left w:val="nil"/>
              <w:bottom w:val="nil"/>
              <w:right w:val="nil"/>
            </w:tcBorders>
            <w:shd w:val="clear" w:color="000000" w:fill="FFFFFF"/>
            <w:noWrap/>
            <w:vAlign w:val="center"/>
            <w:hideMark/>
          </w:tcPr>
          <w:p w14:paraId="426D295F"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39,200</w:t>
            </w:r>
          </w:p>
        </w:tc>
        <w:tc>
          <w:tcPr>
            <w:tcW w:w="460" w:type="pct"/>
            <w:tcBorders>
              <w:top w:val="nil"/>
              <w:left w:val="nil"/>
              <w:bottom w:val="nil"/>
              <w:right w:val="nil"/>
            </w:tcBorders>
            <w:shd w:val="clear" w:color="000000" w:fill="E6F2FF"/>
            <w:noWrap/>
            <w:vAlign w:val="center"/>
            <w:hideMark/>
          </w:tcPr>
          <w:p w14:paraId="70D8F594"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40,800</w:t>
            </w:r>
          </w:p>
        </w:tc>
        <w:tc>
          <w:tcPr>
            <w:tcW w:w="526" w:type="pct"/>
            <w:tcBorders>
              <w:top w:val="nil"/>
              <w:left w:val="nil"/>
              <w:bottom w:val="nil"/>
              <w:right w:val="nil"/>
            </w:tcBorders>
            <w:shd w:val="clear" w:color="000000" w:fill="FFFFFF"/>
            <w:noWrap/>
            <w:vAlign w:val="center"/>
            <w:hideMark/>
          </w:tcPr>
          <w:p w14:paraId="4E522753"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41,900</w:t>
            </w:r>
          </w:p>
        </w:tc>
        <w:tc>
          <w:tcPr>
            <w:tcW w:w="526" w:type="pct"/>
            <w:tcBorders>
              <w:top w:val="nil"/>
              <w:left w:val="nil"/>
              <w:bottom w:val="nil"/>
              <w:right w:val="nil"/>
            </w:tcBorders>
            <w:shd w:val="clear" w:color="000000" w:fill="FFFFFF"/>
            <w:noWrap/>
            <w:vAlign w:val="center"/>
            <w:hideMark/>
          </w:tcPr>
          <w:p w14:paraId="40BB7F08"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44,400</w:t>
            </w:r>
          </w:p>
        </w:tc>
        <w:tc>
          <w:tcPr>
            <w:tcW w:w="526" w:type="pct"/>
            <w:tcBorders>
              <w:top w:val="nil"/>
              <w:left w:val="nil"/>
              <w:bottom w:val="nil"/>
              <w:right w:val="nil"/>
            </w:tcBorders>
            <w:shd w:val="clear" w:color="000000" w:fill="FFFFFF"/>
            <w:noWrap/>
            <w:vAlign w:val="center"/>
            <w:hideMark/>
          </w:tcPr>
          <w:p w14:paraId="7405349D"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46,100</w:t>
            </w:r>
          </w:p>
        </w:tc>
      </w:tr>
      <w:tr w:rsidR="00EB4FEA" w:rsidRPr="00EC4BA6" w14:paraId="5358E3BF" w14:textId="77777777" w:rsidTr="008F032C">
        <w:trPr>
          <w:trHeight w:hRule="exact" w:val="225"/>
        </w:trPr>
        <w:tc>
          <w:tcPr>
            <w:tcW w:w="1947" w:type="pct"/>
            <w:tcBorders>
              <w:top w:val="nil"/>
              <w:left w:val="nil"/>
              <w:bottom w:val="nil"/>
              <w:right w:val="nil"/>
            </w:tcBorders>
            <w:shd w:val="clear" w:color="000000" w:fill="FFFFFF"/>
            <w:noWrap/>
            <w:vAlign w:val="center"/>
            <w:hideMark/>
          </w:tcPr>
          <w:p w14:paraId="1C88EFCF" w14:textId="77777777" w:rsidR="00AC4FFA" w:rsidRPr="00EC4BA6" w:rsidRDefault="00AC4FFA" w:rsidP="008F032C">
            <w:pPr>
              <w:spacing w:before="0" w:after="0" w:line="240" w:lineRule="auto"/>
              <w:rPr>
                <w:rFonts w:ascii="Arial" w:hAnsi="Arial" w:cs="Arial"/>
                <w:sz w:val="16"/>
                <w:szCs w:val="16"/>
              </w:rPr>
            </w:pPr>
            <w:r w:rsidRPr="00EC4BA6">
              <w:rPr>
                <w:rFonts w:ascii="Arial" w:hAnsi="Arial" w:cs="Arial"/>
                <w:sz w:val="16"/>
                <w:szCs w:val="16"/>
              </w:rPr>
              <w:t>Total individuals and other withholding tax</w:t>
            </w:r>
          </w:p>
        </w:tc>
        <w:tc>
          <w:tcPr>
            <w:tcW w:w="500" w:type="pct"/>
            <w:tcBorders>
              <w:top w:val="single" w:sz="4" w:space="0" w:color="293F5B"/>
              <w:left w:val="nil"/>
              <w:bottom w:val="nil"/>
              <w:right w:val="nil"/>
            </w:tcBorders>
            <w:shd w:val="clear" w:color="000000" w:fill="FFFFFF"/>
            <w:noWrap/>
            <w:vAlign w:val="center"/>
            <w:hideMark/>
          </w:tcPr>
          <w:p w14:paraId="4C649F61"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331,513</w:t>
            </w:r>
          </w:p>
        </w:tc>
        <w:tc>
          <w:tcPr>
            <w:tcW w:w="54" w:type="pct"/>
            <w:tcBorders>
              <w:top w:val="nil"/>
              <w:left w:val="nil"/>
              <w:bottom w:val="nil"/>
              <w:right w:val="nil"/>
            </w:tcBorders>
            <w:shd w:val="clear" w:color="000000" w:fill="FFFFFF"/>
            <w:noWrap/>
            <w:vAlign w:val="center"/>
            <w:hideMark/>
          </w:tcPr>
          <w:p w14:paraId="4B433B82"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 </w:t>
            </w:r>
          </w:p>
        </w:tc>
        <w:tc>
          <w:tcPr>
            <w:tcW w:w="460" w:type="pct"/>
            <w:tcBorders>
              <w:top w:val="single" w:sz="4" w:space="0" w:color="293F5B"/>
              <w:left w:val="nil"/>
              <w:bottom w:val="nil"/>
              <w:right w:val="nil"/>
            </w:tcBorders>
            <w:shd w:val="clear" w:color="000000" w:fill="FFFFFF"/>
            <w:noWrap/>
            <w:vAlign w:val="center"/>
            <w:hideMark/>
          </w:tcPr>
          <w:p w14:paraId="6D4EB9F3"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334,900</w:t>
            </w:r>
          </w:p>
        </w:tc>
        <w:tc>
          <w:tcPr>
            <w:tcW w:w="460" w:type="pct"/>
            <w:tcBorders>
              <w:top w:val="single" w:sz="4" w:space="0" w:color="293F5B"/>
              <w:left w:val="nil"/>
              <w:bottom w:val="nil"/>
              <w:right w:val="nil"/>
            </w:tcBorders>
            <w:shd w:val="clear" w:color="000000" w:fill="E6F2FF"/>
            <w:noWrap/>
            <w:vAlign w:val="center"/>
            <w:hideMark/>
          </w:tcPr>
          <w:p w14:paraId="00408350"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349,700</w:t>
            </w:r>
          </w:p>
        </w:tc>
        <w:tc>
          <w:tcPr>
            <w:tcW w:w="526" w:type="pct"/>
            <w:tcBorders>
              <w:top w:val="single" w:sz="4" w:space="0" w:color="293F5B"/>
              <w:left w:val="nil"/>
              <w:bottom w:val="nil"/>
              <w:right w:val="nil"/>
            </w:tcBorders>
            <w:shd w:val="clear" w:color="000000" w:fill="FFFFFF"/>
            <w:noWrap/>
            <w:vAlign w:val="center"/>
            <w:hideMark/>
          </w:tcPr>
          <w:p w14:paraId="45FA340F"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370,000</w:t>
            </w:r>
          </w:p>
        </w:tc>
        <w:tc>
          <w:tcPr>
            <w:tcW w:w="526" w:type="pct"/>
            <w:tcBorders>
              <w:top w:val="single" w:sz="4" w:space="0" w:color="293F5B"/>
              <w:left w:val="nil"/>
              <w:bottom w:val="nil"/>
              <w:right w:val="nil"/>
            </w:tcBorders>
            <w:shd w:val="clear" w:color="000000" w:fill="FFFFFF"/>
            <w:noWrap/>
            <w:vAlign w:val="center"/>
            <w:hideMark/>
          </w:tcPr>
          <w:p w14:paraId="2AABEC6F"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393,100</w:t>
            </w:r>
          </w:p>
        </w:tc>
        <w:tc>
          <w:tcPr>
            <w:tcW w:w="526" w:type="pct"/>
            <w:tcBorders>
              <w:top w:val="single" w:sz="4" w:space="0" w:color="293F5B"/>
              <w:left w:val="nil"/>
              <w:bottom w:val="nil"/>
              <w:right w:val="nil"/>
            </w:tcBorders>
            <w:shd w:val="clear" w:color="000000" w:fill="FFFFFF"/>
            <w:noWrap/>
            <w:vAlign w:val="center"/>
            <w:hideMark/>
          </w:tcPr>
          <w:p w14:paraId="209A1D0B"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420,300</w:t>
            </w:r>
          </w:p>
        </w:tc>
      </w:tr>
      <w:tr w:rsidR="00EB4FEA" w:rsidRPr="00EC4BA6" w14:paraId="0F8855D8" w14:textId="77777777" w:rsidTr="008F032C">
        <w:trPr>
          <w:trHeight w:hRule="exact" w:val="225"/>
        </w:trPr>
        <w:tc>
          <w:tcPr>
            <w:tcW w:w="1947" w:type="pct"/>
            <w:tcBorders>
              <w:top w:val="nil"/>
              <w:left w:val="nil"/>
              <w:bottom w:val="nil"/>
              <w:right w:val="nil"/>
            </w:tcBorders>
            <w:shd w:val="clear" w:color="000000" w:fill="FFFFFF"/>
            <w:noWrap/>
            <w:vAlign w:val="center"/>
            <w:hideMark/>
          </w:tcPr>
          <w:p w14:paraId="1425EB6F" w14:textId="77777777" w:rsidR="00AC4FFA" w:rsidRPr="00EC4BA6" w:rsidRDefault="00AC4FFA" w:rsidP="008F032C">
            <w:pPr>
              <w:spacing w:before="0" w:after="0" w:line="240" w:lineRule="auto"/>
              <w:rPr>
                <w:rFonts w:ascii="Arial" w:hAnsi="Arial" w:cs="Arial"/>
                <w:sz w:val="16"/>
                <w:szCs w:val="16"/>
              </w:rPr>
            </w:pPr>
            <w:r w:rsidRPr="00EC4BA6">
              <w:rPr>
                <w:rFonts w:ascii="Arial" w:hAnsi="Arial" w:cs="Arial"/>
                <w:sz w:val="16"/>
                <w:szCs w:val="16"/>
              </w:rPr>
              <w:t>Fringe benefits tax</w:t>
            </w:r>
          </w:p>
        </w:tc>
        <w:tc>
          <w:tcPr>
            <w:tcW w:w="500" w:type="pct"/>
            <w:tcBorders>
              <w:top w:val="nil"/>
              <w:left w:val="nil"/>
              <w:bottom w:val="nil"/>
              <w:right w:val="nil"/>
            </w:tcBorders>
            <w:shd w:val="clear" w:color="000000" w:fill="FFFFFF"/>
            <w:noWrap/>
            <w:vAlign w:val="center"/>
            <w:hideMark/>
          </w:tcPr>
          <w:p w14:paraId="0DC5BB06"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4,632</w:t>
            </w:r>
          </w:p>
        </w:tc>
        <w:tc>
          <w:tcPr>
            <w:tcW w:w="54" w:type="pct"/>
            <w:tcBorders>
              <w:top w:val="nil"/>
              <w:left w:val="nil"/>
              <w:bottom w:val="nil"/>
              <w:right w:val="nil"/>
            </w:tcBorders>
            <w:shd w:val="clear" w:color="000000" w:fill="FFFFFF"/>
            <w:noWrap/>
            <w:vAlign w:val="center"/>
            <w:hideMark/>
          </w:tcPr>
          <w:p w14:paraId="75A48368"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 </w:t>
            </w:r>
          </w:p>
        </w:tc>
        <w:tc>
          <w:tcPr>
            <w:tcW w:w="460" w:type="pct"/>
            <w:tcBorders>
              <w:top w:val="nil"/>
              <w:left w:val="nil"/>
              <w:bottom w:val="nil"/>
              <w:right w:val="nil"/>
            </w:tcBorders>
            <w:shd w:val="clear" w:color="000000" w:fill="FFFFFF"/>
            <w:noWrap/>
            <w:vAlign w:val="center"/>
            <w:hideMark/>
          </w:tcPr>
          <w:p w14:paraId="43522FC2"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4,950</w:t>
            </w:r>
          </w:p>
        </w:tc>
        <w:tc>
          <w:tcPr>
            <w:tcW w:w="460" w:type="pct"/>
            <w:tcBorders>
              <w:top w:val="nil"/>
              <w:left w:val="nil"/>
              <w:bottom w:val="nil"/>
              <w:right w:val="nil"/>
            </w:tcBorders>
            <w:shd w:val="clear" w:color="000000" w:fill="E6F2FF"/>
            <w:noWrap/>
            <w:vAlign w:val="center"/>
            <w:hideMark/>
          </w:tcPr>
          <w:p w14:paraId="42FEEC6F"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5,080</w:t>
            </w:r>
          </w:p>
        </w:tc>
        <w:tc>
          <w:tcPr>
            <w:tcW w:w="526" w:type="pct"/>
            <w:tcBorders>
              <w:top w:val="nil"/>
              <w:left w:val="nil"/>
              <w:bottom w:val="nil"/>
              <w:right w:val="nil"/>
            </w:tcBorders>
            <w:shd w:val="clear" w:color="000000" w:fill="FFFFFF"/>
            <w:noWrap/>
            <w:vAlign w:val="center"/>
            <w:hideMark/>
          </w:tcPr>
          <w:p w14:paraId="48C138B0"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5,110</w:t>
            </w:r>
          </w:p>
        </w:tc>
        <w:tc>
          <w:tcPr>
            <w:tcW w:w="526" w:type="pct"/>
            <w:tcBorders>
              <w:top w:val="nil"/>
              <w:left w:val="nil"/>
              <w:bottom w:val="nil"/>
              <w:right w:val="nil"/>
            </w:tcBorders>
            <w:shd w:val="clear" w:color="000000" w:fill="FFFFFF"/>
            <w:noWrap/>
            <w:vAlign w:val="center"/>
            <w:hideMark/>
          </w:tcPr>
          <w:p w14:paraId="37A89406"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5,220</w:t>
            </w:r>
          </w:p>
        </w:tc>
        <w:tc>
          <w:tcPr>
            <w:tcW w:w="526" w:type="pct"/>
            <w:tcBorders>
              <w:top w:val="nil"/>
              <w:left w:val="nil"/>
              <w:bottom w:val="nil"/>
              <w:right w:val="nil"/>
            </w:tcBorders>
            <w:shd w:val="clear" w:color="000000" w:fill="FFFFFF"/>
            <w:noWrap/>
            <w:vAlign w:val="center"/>
            <w:hideMark/>
          </w:tcPr>
          <w:p w14:paraId="59438D15"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5,440</w:t>
            </w:r>
          </w:p>
        </w:tc>
      </w:tr>
      <w:tr w:rsidR="00EB4FEA" w:rsidRPr="00EC4BA6" w14:paraId="3EA3AE95" w14:textId="77777777" w:rsidTr="008F032C">
        <w:trPr>
          <w:trHeight w:hRule="exact" w:val="225"/>
        </w:trPr>
        <w:tc>
          <w:tcPr>
            <w:tcW w:w="1947" w:type="pct"/>
            <w:tcBorders>
              <w:top w:val="nil"/>
              <w:left w:val="nil"/>
              <w:bottom w:val="nil"/>
              <w:right w:val="nil"/>
            </w:tcBorders>
            <w:shd w:val="clear" w:color="000000" w:fill="FFFFFF"/>
            <w:noWrap/>
            <w:vAlign w:val="center"/>
            <w:hideMark/>
          </w:tcPr>
          <w:p w14:paraId="7C51F291" w14:textId="77777777" w:rsidR="00AC4FFA" w:rsidRPr="00EC4BA6" w:rsidRDefault="00AC4FFA" w:rsidP="008F032C">
            <w:pPr>
              <w:spacing w:before="0" w:after="0" w:line="240" w:lineRule="auto"/>
              <w:rPr>
                <w:rFonts w:ascii="Arial" w:hAnsi="Arial" w:cs="Arial"/>
                <w:sz w:val="16"/>
                <w:szCs w:val="16"/>
              </w:rPr>
            </w:pPr>
            <w:r w:rsidRPr="00EC4BA6">
              <w:rPr>
                <w:rFonts w:ascii="Arial" w:hAnsi="Arial" w:cs="Arial"/>
                <w:sz w:val="16"/>
                <w:szCs w:val="16"/>
              </w:rPr>
              <w:t>Company tax</w:t>
            </w:r>
          </w:p>
        </w:tc>
        <w:tc>
          <w:tcPr>
            <w:tcW w:w="500" w:type="pct"/>
            <w:tcBorders>
              <w:top w:val="nil"/>
              <w:left w:val="nil"/>
              <w:bottom w:val="nil"/>
              <w:right w:val="nil"/>
            </w:tcBorders>
            <w:shd w:val="clear" w:color="000000" w:fill="FFFFFF"/>
            <w:noWrap/>
            <w:vAlign w:val="center"/>
            <w:hideMark/>
          </w:tcPr>
          <w:p w14:paraId="6ED3A03B"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141,177</w:t>
            </w:r>
          </w:p>
        </w:tc>
        <w:tc>
          <w:tcPr>
            <w:tcW w:w="54" w:type="pct"/>
            <w:tcBorders>
              <w:top w:val="nil"/>
              <w:left w:val="nil"/>
              <w:bottom w:val="nil"/>
              <w:right w:val="nil"/>
            </w:tcBorders>
            <w:shd w:val="clear" w:color="000000" w:fill="FFFFFF"/>
            <w:noWrap/>
            <w:vAlign w:val="center"/>
            <w:hideMark/>
          </w:tcPr>
          <w:p w14:paraId="47B6E581"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 </w:t>
            </w:r>
          </w:p>
        </w:tc>
        <w:tc>
          <w:tcPr>
            <w:tcW w:w="460" w:type="pct"/>
            <w:tcBorders>
              <w:top w:val="nil"/>
              <w:left w:val="nil"/>
              <w:bottom w:val="nil"/>
              <w:right w:val="nil"/>
            </w:tcBorders>
            <w:shd w:val="clear" w:color="000000" w:fill="FFFFFF"/>
            <w:noWrap/>
            <w:vAlign w:val="center"/>
            <w:hideMark/>
          </w:tcPr>
          <w:p w14:paraId="4E8F5942"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133,500</w:t>
            </w:r>
          </w:p>
        </w:tc>
        <w:tc>
          <w:tcPr>
            <w:tcW w:w="460" w:type="pct"/>
            <w:tcBorders>
              <w:top w:val="nil"/>
              <w:left w:val="nil"/>
              <w:bottom w:val="nil"/>
              <w:right w:val="nil"/>
            </w:tcBorders>
            <w:shd w:val="clear" w:color="000000" w:fill="E6F2FF"/>
            <w:noWrap/>
            <w:vAlign w:val="center"/>
            <w:hideMark/>
          </w:tcPr>
          <w:p w14:paraId="6C60192F"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140,400</w:t>
            </w:r>
          </w:p>
        </w:tc>
        <w:tc>
          <w:tcPr>
            <w:tcW w:w="526" w:type="pct"/>
            <w:tcBorders>
              <w:top w:val="nil"/>
              <w:left w:val="nil"/>
              <w:bottom w:val="nil"/>
              <w:right w:val="nil"/>
            </w:tcBorders>
            <w:shd w:val="clear" w:color="000000" w:fill="FFFFFF"/>
            <w:noWrap/>
            <w:vAlign w:val="center"/>
            <w:hideMark/>
          </w:tcPr>
          <w:p w14:paraId="3DB3029B"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144,500</w:t>
            </w:r>
          </w:p>
        </w:tc>
        <w:tc>
          <w:tcPr>
            <w:tcW w:w="526" w:type="pct"/>
            <w:tcBorders>
              <w:top w:val="nil"/>
              <w:left w:val="nil"/>
              <w:bottom w:val="nil"/>
              <w:right w:val="nil"/>
            </w:tcBorders>
            <w:shd w:val="clear" w:color="000000" w:fill="FFFFFF"/>
            <w:noWrap/>
            <w:vAlign w:val="center"/>
            <w:hideMark/>
          </w:tcPr>
          <w:p w14:paraId="1777C8C1"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144,000</w:t>
            </w:r>
          </w:p>
        </w:tc>
        <w:tc>
          <w:tcPr>
            <w:tcW w:w="526" w:type="pct"/>
            <w:tcBorders>
              <w:top w:val="nil"/>
              <w:left w:val="nil"/>
              <w:bottom w:val="nil"/>
              <w:right w:val="nil"/>
            </w:tcBorders>
            <w:shd w:val="clear" w:color="000000" w:fill="FFFFFF"/>
            <w:noWrap/>
            <w:vAlign w:val="center"/>
            <w:hideMark/>
          </w:tcPr>
          <w:p w14:paraId="695D62C9"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149,300</w:t>
            </w:r>
          </w:p>
        </w:tc>
      </w:tr>
      <w:tr w:rsidR="00EB4FEA" w:rsidRPr="00EC4BA6" w14:paraId="2DF2095F" w14:textId="77777777" w:rsidTr="008F032C">
        <w:trPr>
          <w:trHeight w:hRule="exact" w:val="225"/>
        </w:trPr>
        <w:tc>
          <w:tcPr>
            <w:tcW w:w="1947" w:type="pct"/>
            <w:tcBorders>
              <w:top w:val="nil"/>
              <w:left w:val="nil"/>
              <w:bottom w:val="nil"/>
              <w:right w:val="nil"/>
            </w:tcBorders>
            <w:shd w:val="clear" w:color="000000" w:fill="FFFFFF"/>
            <w:noWrap/>
            <w:vAlign w:val="center"/>
            <w:hideMark/>
          </w:tcPr>
          <w:p w14:paraId="286D63BF" w14:textId="77777777" w:rsidR="00AC4FFA" w:rsidRPr="00EC4BA6" w:rsidRDefault="00AC4FFA" w:rsidP="008F032C">
            <w:pPr>
              <w:spacing w:before="0" w:after="0" w:line="240" w:lineRule="auto"/>
              <w:rPr>
                <w:rFonts w:ascii="Arial" w:hAnsi="Arial" w:cs="Arial"/>
                <w:sz w:val="16"/>
                <w:szCs w:val="16"/>
              </w:rPr>
            </w:pPr>
            <w:r w:rsidRPr="00EC4BA6">
              <w:rPr>
                <w:rFonts w:ascii="Arial" w:hAnsi="Arial" w:cs="Arial"/>
                <w:sz w:val="16"/>
                <w:szCs w:val="16"/>
              </w:rPr>
              <w:t>Superannuation fund taxes</w:t>
            </w:r>
          </w:p>
        </w:tc>
        <w:tc>
          <w:tcPr>
            <w:tcW w:w="500" w:type="pct"/>
            <w:tcBorders>
              <w:top w:val="nil"/>
              <w:left w:val="nil"/>
              <w:bottom w:val="nil"/>
              <w:right w:val="nil"/>
            </w:tcBorders>
            <w:shd w:val="clear" w:color="000000" w:fill="FFFFFF"/>
            <w:noWrap/>
            <w:vAlign w:val="center"/>
            <w:hideMark/>
          </w:tcPr>
          <w:p w14:paraId="07985328"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12,465</w:t>
            </w:r>
          </w:p>
        </w:tc>
        <w:tc>
          <w:tcPr>
            <w:tcW w:w="54" w:type="pct"/>
            <w:tcBorders>
              <w:top w:val="nil"/>
              <w:left w:val="nil"/>
              <w:bottom w:val="nil"/>
              <w:right w:val="nil"/>
            </w:tcBorders>
            <w:shd w:val="clear" w:color="000000" w:fill="FFFFFF"/>
            <w:noWrap/>
            <w:vAlign w:val="center"/>
            <w:hideMark/>
          </w:tcPr>
          <w:p w14:paraId="79BAE4EB"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 </w:t>
            </w:r>
          </w:p>
        </w:tc>
        <w:tc>
          <w:tcPr>
            <w:tcW w:w="460" w:type="pct"/>
            <w:tcBorders>
              <w:top w:val="nil"/>
              <w:left w:val="nil"/>
              <w:bottom w:val="nil"/>
              <w:right w:val="nil"/>
            </w:tcBorders>
            <w:shd w:val="clear" w:color="000000" w:fill="FFFFFF"/>
            <w:noWrap/>
            <w:vAlign w:val="center"/>
            <w:hideMark/>
          </w:tcPr>
          <w:p w14:paraId="11ECFED7"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22,810</w:t>
            </w:r>
          </w:p>
        </w:tc>
        <w:tc>
          <w:tcPr>
            <w:tcW w:w="460" w:type="pct"/>
            <w:tcBorders>
              <w:top w:val="nil"/>
              <w:left w:val="nil"/>
              <w:bottom w:val="nil"/>
              <w:right w:val="nil"/>
            </w:tcBorders>
            <w:shd w:val="clear" w:color="000000" w:fill="E6F2FF"/>
            <w:noWrap/>
            <w:vAlign w:val="center"/>
            <w:hideMark/>
          </w:tcPr>
          <w:p w14:paraId="4BF92E22"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25,560</w:t>
            </w:r>
          </w:p>
        </w:tc>
        <w:tc>
          <w:tcPr>
            <w:tcW w:w="526" w:type="pct"/>
            <w:tcBorders>
              <w:top w:val="nil"/>
              <w:left w:val="nil"/>
              <w:bottom w:val="nil"/>
              <w:right w:val="nil"/>
            </w:tcBorders>
            <w:shd w:val="clear" w:color="000000" w:fill="FFFFFF"/>
            <w:noWrap/>
            <w:vAlign w:val="center"/>
            <w:hideMark/>
          </w:tcPr>
          <w:p w14:paraId="316BB8C0"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26,110</w:t>
            </w:r>
          </w:p>
        </w:tc>
        <w:tc>
          <w:tcPr>
            <w:tcW w:w="526" w:type="pct"/>
            <w:tcBorders>
              <w:top w:val="nil"/>
              <w:left w:val="nil"/>
              <w:bottom w:val="nil"/>
              <w:right w:val="nil"/>
            </w:tcBorders>
            <w:shd w:val="clear" w:color="000000" w:fill="FFFFFF"/>
            <w:noWrap/>
            <w:vAlign w:val="center"/>
            <w:hideMark/>
          </w:tcPr>
          <w:p w14:paraId="0C9B74E5"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26,110</w:t>
            </w:r>
          </w:p>
        </w:tc>
        <w:tc>
          <w:tcPr>
            <w:tcW w:w="526" w:type="pct"/>
            <w:tcBorders>
              <w:top w:val="nil"/>
              <w:left w:val="nil"/>
              <w:bottom w:val="nil"/>
              <w:right w:val="nil"/>
            </w:tcBorders>
            <w:shd w:val="clear" w:color="000000" w:fill="FFFFFF"/>
            <w:noWrap/>
            <w:vAlign w:val="center"/>
            <w:hideMark/>
          </w:tcPr>
          <w:p w14:paraId="42E0322F"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28,860</w:t>
            </w:r>
          </w:p>
        </w:tc>
      </w:tr>
      <w:tr w:rsidR="00EB4FEA" w:rsidRPr="00EC4BA6" w14:paraId="76FBF790" w14:textId="77777777" w:rsidTr="008F032C">
        <w:trPr>
          <w:trHeight w:hRule="exact" w:val="225"/>
        </w:trPr>
        <w:tc>
          <w:tcPr>
            <w:tcW w:w="1947" w:type="pct"/>
            <w:tcBorders>
              <w:top w:val="nil"/>
              <w:left w:val="nil"/>
              <w:bottom w:val="nil"/>
              <w:right w:val="nil"/>
            </w:tcBorders>
            <w:shd w:val="clear" w:color="000000" w:fill="FFFFFF"/>
            <w:noWrap/>
            <w:vAlign w:val="center"/>
            <w:hideMark/>
          </w:tcPr>
          <w:p w14:paraId="395E4240" w14:textId="77777777" w:rsidR="00AC4FFA" w:rsidRPr="00EC4BA6" w:rsidRDefault="00AC4FFA" w:rsidP="008F032C">
            <w:pPr>
              <w:spacing w:before="0" w:after="0" w:line="240" w:lineRule="auto"/>
              <w:rPr>
                <w:rFonts w:ascii="Arial" w:hAnsi="Arial" w:cs="Arial"/>
                <w:sz w:val="16"/>
                <w:szCs w:val="16"/>
              </w:rPr>
            </w:pPr>
            <w:r w:rsidRPr="00EC4BA6">
              <w:rPr>
                <w:rFonts w:ascii="Arial" w:hAnsi="Arial" w:cs="Arial"/>
                <w:sz w:val="16"/>
                <w:szCs w:val="16"/>
              </w:rPr>
              <w:t>Petroleum resource rent tax</w:t>
            </w:r>
          </w:p>
        </w:tc>
        <w:tc>
          <w:tcPr>
            <w:tcW w:w="500" w:type="pct"/>
            <w:tcBorders>
              <w:top w:val="nil"/>
              <w:left w:val="nil"/>
              <w:bottom w:val="nil"/>
              <w:right w:val="nil"/>
            </w:tcBorders>
            <w:shd w:val="clear" w:color="000000" w:fill="FFFFFF"/>
            <w:noWrap/>
            <w:vAlign w:val="center"/>
            <w:hideMark/>
          </w:tcPr>
          <w:p w14:paraId="702068B0"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1,144</w:t>
            </w:r>
          </w:p>
        </w:tc>
        <w:tc>
          <w:tcPr>
            <w:tcW w:w="54" w:type="pct"/>
            <w:tcBorders>
              <w:top w:val="nil"/>
              <w:left w:val="nil"/>
              <w:bottom w:val="nil"/>
              <w:right w:val="nil"/>
            </w:tcBorders>
            <w:shd w:val="clear" w:color="000000" w:fill="FFFFFF"/>
            <w:noWrap/>
            <w:vAlign w:val="center"/>
            <w:hideMark/>
          </w:tcPr>
          <w:p w14:paraId="265D272B"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 </w:t>
            </w:r>
          </w:p>
        </w:tc>
        <w:tc>
          <w:tcPr>
            <w:tcW w:w="460" w:type="pct"/>
            <w:tcBorders>
              <w:top w:val="nil"/>
              <w:left w:val="nil"/>
              <w:bottom w:val="nil"/>
              <w:right w:val="nil"/>
            </w:tcBorders>
            <w:shd w:val="clear" w:color="000000" w:fill="FFFFFF"/>
            <w:noWrap/>
            <w:vAlign w:val="center"/>
            <w:hideMark/>
          </w:tcPr>
          <w:p w14:paraId="5EB46094"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1,450</w:t>
            </w:r>
          </w:p>
        </w:tc>
        <w:tc>
          <w:tcPr>
            <w:tcW w:w="460" w:type="pct"/>
            <w:tcBorders>
              <w:top w:val="nil"/>
              <w:left w:val="nil"/>
              <w:bottom w:val="nil"/>
              <w:right w:val="nil"/>
            </w:tcBorders>
            <w:shd w:val="clear" w:color="000000" w:fill="E6F2FF"/>
            <w:noWrap/>
            <w:vAlign w:val="center"/>
            <w:hideMark/>
          </w:tcPr>
          <w:p w14:paraId="48EA044D"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1,950</w:t>
            </w:r>
          </w:p>
        </w:tc>
        <w:tc>
          <w:tcPr>
            <w:tcW w:w="526" w:type="pct"/>
            <w:tcBorders>
              <w:top w:val="nil"/>
              <w:left w:val="nil"/>
              <w:bottom w:val="nil"/>
              <w:right w:val="nil"/>
            </w:tcBorders>
            <w:shd w:val="clear" w:color="000000" w:fill="FFFFFF"/>
            <w:noWrap/>
            <w:vAlign w:val="center"/>
            <w:hideMark/>
          </w:tcPr>
          <w:p w14:paraId="54B3E573"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1,800</w:t>
            </w:r>
          </w:p>
        </w:tc>
        <w:tc>
          <w:tcPr>
            <w:tcW w:w="526" w:type="pct"/>
            <w:tcBorders>
              <w:top w:val="nil"/>
              <w:left w:val="nil"/>
              <w:bottom w:val="nil"/>
              <w:right w:val="nil"/>
            </w:tcBorders>
            <w:shd w:val="clear" w:color="000000" w:fill="FFFFFF"/>
            <w:noWrap/>
            <w:vAlign w:val="center"/>
            <w:hideMark/>
          </w:tcPr>
          <w:p w14:paraId="147640B3"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1,650</w:t>
            </w:r>
          </w:p>
        </w:tc>
        <w:tc>
          <w:tcPr>
            <w:tcW w:w="526" w:type="pct"/>
            <w:tcBorders>
              <w:top w:val="nil"/>
              <w:left w:val="nil"/>
              <w:bottom w:val="nil"/>
              <w:right w:val="nil"/>
            </w:tcBorders>
            <w:shd w:val="clear" w:color="000000" w:fill="FFFFFF"/>
            <w:noWrap/>
            <w:vAlign w:val="center"/>
            <w:hideMark/>
          </w:tcPr>
          <w:p w14:paraId="179CD74A"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1,450</w:t>
            </w:r>
          </w:p>
        </w:tc>
      </w:tr>
      <w:tr w:rsidR="00EB4FEA" w:rsidRPr="00EC4BA6" w14:paraId="6B206232" w14:textId="77777777" w:rsidTr="008F032C">
        <w:trPr>
          <w:trHeight w:hRule="exact" w:val="225"/>
        </w:trPr>
        <w:tc>
          <w:tcPr>
            <w:tcW w:w="1947" w:type="pct"/>
            <w:tcBorders>
              <w:top w:val="nil"/>
              <w:left w:val="nil"/>
              <w:bottom w:val="nil"/>
              <w:right w:val="nil"/>
            </w:tcBorders>
            <w:shd w:val="clear" w:color="000000" w:fill="FFFFFF"/>
            <w:noWrap/>
            <w:vAlign w:val="center"/>
            <w:hideMark/>
          </w:tcPr>
          <w:p w14:paraId="3B554CAB" w14:textId="77777777" w:rsidR="00AC4FFA" w:rsidRPr="00EC4BA6" w:rsidRDefault="00AC4FFA" w:rsidP="008F032C">
            <w:pPr>
              <w:spacing w:before="0" w:after="0" w:line="240" w:lineRule="auto"/>
              <w:rPr>
                <w:rFonts w:ascii="Arial" w:hAnsi="Arial" w:cs="Arial"/>
                <w:b/>
                <w:sz w:val="16"/>
                <w:szCs w:val="16"/>
              </w:rPr>
            </w:pPr>
            <w:r w:rsidRPr="00EC4BA6">
              <w:rPr>
                <w:rFonts w:ascii="Arial" w:hAnsi="Arial" w:cs="Arial"/>
                <w:b/>
                <w:sz w:val="16"/>
                <w:szCs w:val="16"/>
              </w:rPr>
              <w:t>Income taxation receipts</w:t>
            </w:r>
          </w:p>
        </w:tc>
        <w:tc>
          <w:tcPr>
            <w:tcW w:w="500" w:type="pct"/>
            <w:tcBorders>
              <w:top w:val="single" w:sz="4" w:space="0" w:color="293F5B"/>
              <w:left w:val="nil"/>
              <w:bottom w:val="single" w:sz="4" w:space="0" w:color="293F5B"/>
              <w:right w:val="nil"/>
            </w:tcBorders>
            <w:shd w:val="clear" w:color="000000" w:fill="FFFFFF"/>
            <w:noWrap/>
            <w:vAlign w:val="center"/>
            <w:hideMark/>
          </w:tcPr>
          <w:p w14:paraId="526B119D" w14:textId="77777777" w:rsidR="00AC4FFA" w:rsidRPr="00EC4BA6" w:rsidRDefault="00AC4FFA" w:rsidP="008F032C">
            <w:pPr>
              <w:spacing w:before="0" w:after="0" w:line="240" w:lineRule="auto"/>
              <w:jc w:val="right"/>
              <w:rPr>
                <w:rFonts w:ascii="Arial" w:hAnsi="Arial" w:cs="Arial"/>
                <w:b/>
                <w:sz w:val="16"/>
                <w:szCs w:val="16"/>
              </w:rPr>
            </w:pPr>
            <w:r w:rsidRPr="00EC4BA6">
              <w:rPr>
                <w:rFonts w:ascii="Arial" w:hAnsi="Arial" w:cs="Arial"/>
                <w:b/>
                <w:sz w:val="16"/>
                <w:szCs w:val="16"/>
              </w:rPr>
              <w:t>490,931</w:t>
            </w:r>
          </w:p>
        </w:tc>
        <w:tc>
          <w:tcPr>
            <w:tcW w:w="54" w:type="pct"/>
            <w:tcBorders>
              <w:top w:val="nil"/>
              <w:left w:val="nil"/>
              <w:bottom w:val="nil"/>
              <w:right w:val="nil"/>
            </w:tcBorders>
            <w:shd w:val="clear" w:color="000000" w:fill="FFFFFF"/>
            <w:noWrap/>
            <w:vAlign w:val="center"/>
            <w:hideMark/>
          </w:tcPr>
          <w:p w14:paraId="708F978A" w14:textId="77777777" w:rsidR="00AC4FFA" w:rsidRPr="00EC4BA6" w:rsidRDefault="00AC4FFA" w:rsidP="008F032C">
            <w:pPr>
              <w:spacing w:before="0" w:after="0" w:line="240" w:lineRule="auto"/>
              <w:jc w:val="right"/>
              <w:rPr>
                <w:rFonts w:ascii="Arial" w:hAnsi="Arial" w:cs="Arial"/>
                <w:b/>
                <w:sz w:val="16"/>
                <w:szCs w:val="16"/>
              </w:rPr>
            </w:pPr>
            <w:r w:rsidRPr="00EC4BA6">
              <w:rPr>
                <w:rFonts w:ascii="Arial" w:hAnsi="Arial" w:cs="Arial"/>
                <w:b/>
                <w:sz w:val="16"/>
                <w:szCs w:val="16"/>
              </w:rPr>
              <w:t> </w:t>
            </w:r>
          </w:p>
        </w:tc>
        <w:tc>
          <w:tcPr>
            <w:tcW w:w="460" w:type="pct"/>
            <w:tcBorders>
              <w:top w:val="single" w:sz="4" w:space="0" w:color="293F5B"/>
              <w:left w:val="nil"/>
              <w:bottom w:val="single" w:sz="4" w:space="0" w:color="293F5B"/>
              <w:right w:val="nil"/>
            </w:tcBorders>
            <w:shd w:val="clear" w:color="000000" w:fill="FFFFFF"/>
            <w:noWrap/>
            <w:vAlign w:val="center"/>
            <w:hideMark/>
          </w:tcPr>
          <w:p w14:paraId="4FB56B5D" w14:textId="77777777" w:rsidR="00AC4FFA" w:rsidRPr="00EC4BA6" w:rsidRDefault="00AC4FFA" w:rsidP="008F032C">
            <w:pPr>
              <w:spacing w:before="0" w:after="0" w:line="240" w:lineRule="auto"/>
              <w:jc w:val="right"/>
              <w:rPr>
                <w:rFonts w:ascii="Arial" w:hAnsi="Arial" w:cs="Arial"/>
                <w:b/>
                <w:sz w:val="16"/>
                <w:szCs w:val="16"/>
              </w:rPr>
            </w:pPr>
            <w:r w:rsidRPr="00EC4BA6">
              <w:rPr>
                <w:rFonts w:ascii="Arial" w:hAnsi="Arial" w:cs="Arial"/>
                <w:b/>
                <w:sz w:val="16"/>
                <w:szCs w:val="16"/>
              </w:rPr>
              <w:t>497,610</w:t>
            </w:r>
          </w:p>
        </w:tc>
        <w:tc>
          <w:tcPr>
            <w:tcW w:w="460" w:type="pct"/>
            <w:tcBorders>
              <w:top w:val="single" w:sz="4" w:space="0" w:color="293F5B"/>
              <w:left w:val="nil"/>
              <w:bottom w:val="single" w:sz="4" w:space="0" w:color="293F5B"/>
              <w:right w:val="nil"/>
            </w:tcBorders>
            <w:shd w:val="clear" w:color="000000" w:fill="E6F2FF"/>
            <w:noWrap/>
            <w:vAlign w:val="center"/>
            <w:hideMark/>
          </w:tcPr>
          <w:p w14:paraId="7DE4ADB7" w14:textId="77777777" w:rsidR="00AC4FFA" w:rsidRPr="00EC4BA6" w:rsidRDefault="00AC4FFA" w:rsidP="008F032C">
            <w:pPr>
              <w:spacing w:before="0" w:after="0" w:line="240" w:lineRule="auto"/>
              <w:jc w:val="right"/>
              <w:rPr>
                <w:rFonts w:ascii="Arial" w:hAnsi="Arial" w:cs="Arial"/>
                <w:b/>
                <w:sz w:val="16"/>
                <w:szCs w:val="16"/>
              </w:rPr>
            </w:pPr>
            <w:r w:rsidRPr="00EC4BA6">
              <w:rPr>
                <w:rFonts w:ascii="Arial" w:hAnsi="Arial" w:cs="Arial"/>
                <w:b/>
                <w:sz w:val="16"/>
                <w:szCs w:val="16"/>
              </w:rPr>
              <w:t>522,690</w:t>
            </w:r>
          </w:p>
        </w:tc>
        <w:tc>
          <w:tcPr>
            <w:tcW w:w="526" w:type="pct"/>
            <w:tcBorders>
              <w:top w:val="single" w:sz="4" w:space="0" w:color="293F5B"/>
              <w:left w:val="nil"/>
              <w:bottom w:val="single" w:sz="4" w:space="0" w:color="293F5B"/>
              <w:right w:val="nil"/>
            </w:tcBorders>
            <w:shd w:val="clear" w:color="000000" w:fill="FFFFFF"/>
            <w:noWrap/>
            <w:vAlign w:val="center"/>
            <w:hideMark/>
          </w:tcPr>
          <w:p w14:paraId="48E94B01" w14:textId="77777777" w:rsidR="00AC4FFA" w:rsidRPr="00EC4BA6" w:rsidRDefault="00AC4FFA" w:rsidP="008F032C">
            <w:pPr>
              <w:spacing w:before="0" w:after="0" w:line="240" w:lineRule="auto"/>
              <w:jc w:val="right"/>
              <w:rPr>
                <w:rFonts w:ascii="Arial" w:hAnsi="Arial" w:cs="Arial"/>
                <w:b/>
                <w:sz w:val="16"/>
                <w:szCs w:val="16"/>
              </w:rPr>
            </w:pPr>
            <w:r w:rsidRPr="00EC4BA6">
              <w:rPr>
                <w:rFonts w:ascii="Arial" w:hAnsi="Arial" w:cs="Arial"/>
                <w:b/>
                <w:sz w:val="16"/>
                <w:szCs w:val="16"/>
              </w:rPr>
              <w:t>547,520</w:t>
            </w:r>
          </w:p>
        </w:tc>
        <w:tc>
          <w:tcPr>
            <w:tcW w:w="526" w:type="pct"/>
            <w:tcBorders>
              <w:top w:val="single" w:sz="4" w:space="0" w:color="293F5B"/>
              <w:left w:val="nil"/>
              <w:bottom w:val="single" w:sz="4" w:space="0" w:color="293F5B"/>
              <w:right w:val="nil"/>
            </w:tcBorders>
            <w:shd w:val="clear" w:color="000000" w:fill="FFFFFF"/>
            <w:noWrap/>
            <w:vAlign w:val="center"/>
            <w:hideMark/>
          </w:tcPr>
          <w:p w14:paraId="38EF3337" w14:textId="77777777" w:rsidR="00AC4FFA" w:rsidRPr="00EC4BA6" w:rsidRDefault="00AC4FFA" w:rsidP="008F032C">
            <w:pPr>
              <w:spacing w:before="0" w:after="0" w:line="240" w:lineRule="auto"/>
              <w:jc w:val="right"/>
              <w:rPr>
                <w:rFonts w:ascii="Arial" w:hAnsi="Arial" w:cs="Arial"/>
                <w:b/>
                <w:sz w:val="16"/>
                <w:szCs w:val="16"/>
              </w:rPr>
            </w:pPr>
            <w:r w:rsidRPr="00EC4BA6">
              <w:rPr>
                <w:rFonts w:ascii="Arial" w:hAnsi="Arial" w:cs="Arial"/>
                <w:b/>
                <w:sz w:val="16"/>
                <w:szCs w:val="16"/>
              </w:rPr>
              <w:t>570,080</w:t>
            </w:r>
          </w:p>
        </w:tc>
        <w:tc>
          <w:tcPr>
            <w:tcW w:w="526" w:type="pct"/>
            <w:tcBorders>
              <w:top w:val="single" w:sz="4" w:space="0" w:color="293F5B"/>
              <w:left w:val="nil"/>
              <w:bottom w:val="single" w:sz="4" w:space="0" w:color="293F5B"/>
              <w:right w:val="nil"/>
            </w:tcBorders>
            <w:shd w:val="clear" w:color="000000" w:fill="FFFFFF"/>
            <w:noWrap/>
            <w:vAlign w:val="center"/>
            <w:hideMark/>
          </w:tcPr>
          <w:p w14:paraId="4B8C9441" w14:textId="77777777" w:rsidR="00AC4FFA" w:rsidRPr="00EC4BA6" w:rsidRDefault="00AC4FFA" w:rsidP="008F032C">
            <w:pPr>
              <w:spacing w:before="0" w:after="0" w:line="240" w:lineRule="auto"/>
              <w:jc w:val="right"/>
              <w:rPr>
                <w:rFonts w:ascii="Arial" w:hAnsi="Arial" w:cs="Arial"/>
                <w:b/>
                <w:sz w:val="16"/>
                <w:szCs w:val="16"/>
              </w:rPr>
            </w:pPr>
            <w:r w:rsidRPr="00EC4BA6">
              <w:rPr>
                <w:rFonts w:ascii="Arial" w:hAnsi="Arial" w:cs="Arial"/>
                <w:b/>
                <w:sz w:val="16"/>
                <w:szCs w:val="16"/>
              </w:rPr>
              <w:t>605,350</w:t>
            </w:r>
          </w:p>
        </w:tc>
      </w:tr>
      <w:tr w:rsidR="00EB4FEA" w:rsidRPr="00EC4BA6" w14:paraId="2779BF1B" w14:textId="77777777" w:rsidTr="008F032C">
        <w:trPr>
          <w:trHeight w:hRule="exact" w:val="225"/>
        </w:trPr>
        <w:tc>
          <w:tcPr>
            <w:tcW w:w="1947" w:type="pct"/>
            <w:tcBorders>
              <w:top w:val="nil"/>
              <w:left w:val="nil"/>
              <w:bottom w:val="nil"/>
              <w:right w:val="nil"/>
            </w:tcBorders>
            <w:shd w:val="clear" w:color="000000" w:fill="FFFFFF"/>
            <w:noWrap/>
            <w:vAlign w:val="center"/>
            <w:hideMark/>
          </w:tcPr>
          <w:p w14:paraId="5463F72C" w14:textId="77777777" w:rsidR="00AC4FFA" w:rsidRPr="00EC4BA6" w:rsidRDefault="00AC4FFA" w:rsidP="008F032C">
            <w:pPr>
              <w:spacing w:before="0" w:after="0" w:line="240" w:lineRule="auto"/>
              <w:rPr>
                <w:rFonts w:ascii="Arial" w:hAnsi="Arial" w:cs="Arial"/>
                <w:sz w:val="16"/>
                <w:szCs w:val="16"/>
              </w:rPr>
            </w:pPr>
            <w:r w:rsidRPr="00EC4BA6">
              <w:rPr>
                <w:rFonts w:ascii="Arial" w:hAnsi="Arial" w:cs="Arial"/>
                <w:sz w:val="16"/>
                <w:szCs w:val="16"/>
              </w:rPr>
              <w:t>Goods and services tax</w:t>
            </w:r>
          </w:p>
        </w:tc>
        <w:tc>
          <w:tcPr>
            <w:tcW w:w="500" w:type="pct"/>
            <w:tcBorders>
              <w:top w:val="nil"/>
              <w:left w:val="nil"/>
              <w:bottom w:val="nil"/>
              <w:right w:val="nil"/>
            </w:tcBorders>
            <w:shd w:val="clear" w:color="000000" w:fill="FFFFFF"/>
            <w:noWrap/>
            <w:vAlign w:val="center"/>
            <w:hideMark/>
          </w:tcPr>
          <w:p w14:paraId="1A0E391D"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85,031</w:t>
            </w:r>
          </w:p>
        </w:tc>
        <w:tc>
          <w:tcPr>
            <w:tcW w:w="54" w:type="pct"/>
            <w:tcBorders>
              <w:top w:val="nil"/>
              <w:left w:val="nil"/>
              <w:bottom w:val="nil"/>
              <w:right w:val="nil"/>
            </w:tcBorders>
            <w:shd w:val="clear" w:color="000000" w:fill="FFFFFF"/>
            <w:noWrap/>
            <w:vAlign w:val="center"/>
            <w:hideMark/>
          </w:tcPr>
          <w:p w14:paraId="2EB1D71E"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 </w:t>
            </w:r>
          </w:p>
        </w:tc>
        <w:tc>
          <w:tcPr>
            <w:tcW w:w="460" w:type="pct"/>
            <w:tcBorders>
              <w:top w:val="nil"/>
              <w:left w:val="nil"/>
              <w:bottom w:val="nil"/>
              <w:right w:val="nil"/>
            </w:tcBorders>
            <w:shd w:val="clear" w:color="000000" w:fill="FFFFFF"/>
            <w:noWrap/>
            <w:vAlign w:val="center"/>
            <w:hideMark/>
          </w:tcPr>
          <w:p w14:paraId="77965B9C"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89,400</w:t>
            </w:r>
          </w:p>
        </w:tc>
        <w:tc>
          <w:tcPr>
            <w:tcW w:w="460" w:type="pct"/>
            <w:tcBorders>
              <w:top w:val="nil"/>
              <w:left w:val="nil"/>
              <w:bottom w:val="nil"/>
              <w:right w:val="nil"/>
            </w:tcBorders>
            <w:shd w:val="clear" w:color="000000" w:fill="E6F2FF"/>
            <w:noWrap/>
            <w:vAlign w:val="center"/>
            <w:hideMark/>
          </w:tcPr>
          <w:p w14:paraId="5E4554F9"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94,234</w:t>
            </w:r>
          </w:p>
        </w:tc>
        <w:tc>
          <w:tcPr>
            <w:tcW w:w="526" w:type="pct"/>
            <w:tcBorders>
              <w:top w:val="nil"/>
              <w:left w:val="nil"/>
              <w:bottom w:val="nil"/>
              <w:right w:val="nil"/>
            </w:tcBorders>
            <w:shd w:val="clear" w:color="000000" w:fill="FFFFFF"/>
            <w:noWrap/>
            <w:vAlign w:val="center"/>
            <w:hideMark/>
          </w:tcPr>
          <w:p w14:paraId="24D9C47A"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99,309</w:t>
            </w:r>
          </w:p>
        </w:tc>
        <w:tc>
          <w:tcPr>
            <w:tcW w:w="526" w:type="pct"/>
            <w:tcBorders>
              <w:top w:val="nil"/>
              <w:left w:val="nil"/>
              <w:bottom w:val="nil"/>
              <w:right w:val="nil"/>
            </w:tcBorders>
            <w:shd w:val="clear" w:color="000000" w:fill="FFFFFF"/>
            <w:noWrap/>
            <w:vAlign w:val="center"/>
            <w:hideMark/>
          </w:tcPr>
          <w:p w14:paraId="51534500"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104,868</w:t>
            </w:r>
          </w:p>
        </w:tc>
        <w:tc>
          <w:tcPr>
            <w:tcW w:w="526" w:type="pct"/>
            <w:tcBorders>
              <w:top w:val="nil"/>
              <w:left w:val="nil"/>
              <w:bottom w:val="nil"/>
              <w:right w:val="nil"/>
            </w:tcBorders>
            <w:shd w:val="clear" w:color="000000" w:fill="FFFFFF"/>
            <w:noWrap/>
            <w:vAlign w:val="center"/>
            <w:hideMark/>
          </w:tcPr>
          <w:p w14:paraId="028AF230"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110,481</w:t>
            </w:r>
          </w:p>
        </w:tc>
      </w:tr>
      <w:tr w:rsidR="00EB4FEA" w:rsidRPr="00EC4BA6" w14:paraId="6AA42403" w14:textId="77777777" w:rsidTr="008F032C">
        <w:trPr>
          <w:trHeight w:hRule="exact" w:val="225"/>
        </w:trPr>
        <w:tc>
          <w:tcPr>
            <w:tcW w:w="1947" w:type="pct"/>
            <w:tcBorders>
              <w:top w:val="nil"/>
              <w:left w:val="nil"/>
              <w:bottom w:val="nil"/>
              <w:right w:val="nil"/>
            </w:tcBorders>
            <w:shd w:val="clear" w:color="000000" w:fill="FFFFFF"/>
            <w:noWrap/>
            <w:vAlign w:val="center"/>
            <w:hideMark/>
          </w:tcPr>
          <w:p w14:paraId="04A533F9" w14:textId="77777777" w:rsidR="00AC4FFA" w:rsidRPr="00EC4BA6" w:rsidRDefault="00AC4FFA" w:rsidP="008F032C">
            <w:pPr>
              <w:spacing w:before="0" w:after="0" w:line="240" w:lineRule="auto"/>
              <w:rPr>
                <w:rFonts w:ascii="Arial" w:hAnsi="Arial" w:cs="Arial"/>
                <w:sz w:val="16"/>
                <w:szCs w:val="16"/>
              </w:rPr>
            </w:pPr>
            <w:r w:rsidRPr="00EC4BA6">
              <w:rPr>
                <w:rFonts w:ascii="Arial" w:hAnsi="Arial" w:cs="Arial"/>
                <w:sz w:val="16"/>
                <w:szCs w:val="16"/>
              </w:rPr>
              <w:t>Wine equalisation tax</w:t>
            </w:r>
          </w:p>
        </w:tc>
        <w:tc>
          <w:tcPr>
            <w:tcW w:w="500" w:type="pct"/>
            <w:tcBorders>
              <w:top w:val="nil"/>
              <w:left w:val="nil"/>
              <w:bottom w:val="nil"/>
              <w:right w:val="nil"/>
            </w:tcBorders>
            <w:shd w:val="clear" w:color="000000" w:fill="FFFFFF"/>
            <w:noWrap/>
            <w:vAlign w:val="center"/>
            <w:hideMark/>
          </w:tcPr>
          <w:p w14:paraId="50C794AC"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1,091</w:t>
            </w:r>
          </w:p>
        </w:tc>
        <w:tc>
          <w:tcPr>
            <w:tcW w:w="54" w:type="pct"/>
            <w:tcBorders>
              <w:top w:val="nil"/>
              <w:left w:val="nil"/>
              <w:bottom w:val="nil"/>
              <w:right w:val="nil"/>
            </w:tcBorders>
            <w:shd w:val="clear" w:color="000000" w:fill="FFFFFF"/>
            <w:noWrap/>
            <w:vAlign w:val="center"/>
            <w:hideMark/>
          </w:tcPr>
          <w:p w14:paraId="139F73B0"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 </w:t>
            </w:r>
          </w:p>
        </w:tc>
        <w:tc>
          <w:tcPr>
            <w:tcW w:w="460" w:type="pct"/>
            <w:tcBorders>
              <w:top w:val="nil"/>
              <w:left w:val="nil"/>
              <w:bottom w:val="nil"/>
              <w:right w:val="nil"/>
            </w:tcBorders>
            <w:shd w:val="clear" w:color="000000" w:fill="FFFFFF"/>
            <w:noWrap/>
            <w:vAlign w:val="center"/>
            <w:hideMark/>
          </w:tcPr>
          <w:p w14:paraId="6725DB4F"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1,110</w:t>
            </w:r>
          </w:p>
        </w:tc>
        <w:tc>
          <w:tcPr>
            <w:tcW w:w="460" w:type="pct"/>
            <w:tcBorders>
              <w:top w:val="nil"/>
              <w:left w:val="nil"/>
              <w:bottom w:val="nil"/>
              <w:right w:val="nil"/>
            </w:tcBorders>
            <w:shd w:val="clear" w:color="000000" w:fill="E6F2FF"/>
            <w:noWrap/>
            <w:vAlign w:val="center"/>
            <w:hideMark/>
          </w:tcPr>
          <w:p w14:paraId="325B64A1"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1,200</w:t>
            </w:r>
          </w:p>
        </w:tc>
        <w:tc>
          <w:tcPr>
            <w:tcW w:w="526" w:type="pct"/>
            <w:tcBorders>
              <w:top w:val="nil"/>
              <w:left w:val="nil"/>
              <w:bottom w:val="nil"/>
              <w:right w:val="nil"/>
            </w:tcBorders>
            <w:shd w:val="clear" w:color="000000" w:fill="FFFFFF"/>
            <w:noWrap/>
            <w:vAlign w:val="center"/>
            <w:hideMark/>
          </w:tcPr>
          <w:p w14:paraId="773042C9"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1,240</w:t>
            </w:r>
          </w:p>
        </w:tc>
        <w:tc>
          <w:tcPr>
            <w:tcW w:w="526" w:type="pct"/>
            <w:tcBorders>
              <w:top w:val="nil"/>
              <w:left w:val="nil"/>
              <w:bottom w:val="nil"/>
              <w:right w:val="nil"/>
            </w:tcBorders>
            <w:shd w:val="clear" w:color="000000" w:fill="FFFFFF"/>
            <w:noWrap/>
            <w:vAlign w:val="center"/>
            <w:hideMark/>
          </w:tcPr>
          <w:p w14:paraId="117F121B"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1,300</w:t>
            </w:r>
          </w:p>
        </w:tc>
        <w:tc>
          <w:tcPr>
            <w:tcW w:w="526" w:type="pct"/>
            <w:tcBorders>
              <w:top w:val="nil"/>
              <w:left w:val="nil"/>
              <w:bottom w:val="nil"/>
              <w:right w:val="nil"/>
            </w:tcBorders>
            <w:shd w:val="clear" w:color="000000" w:fill="FFFFFF"/>
            <w:noWrap/>
            <w:vAlign w:val="center"/>
            <w:hideMark/>
          </w:tcPr>
          <w:p w14:paraId="52E65DAA"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1,350</w:t>
            </w:r>
          </w:p>
        </w:tc>
      </w:tr>
      <w:tr w:rsidR="00EB4FEA" w:rsidRPr="00EC4BA6" w14:paraId="50DA86A7" w14:textId="77777777" w:rsidTr="008F032C">
        <w:trPr>
          <w:trHeight w:hRule="exact" w:val="225"/>
        </w:trPr>
        <w:tc>
          <w:tcPr>
            <w:tcW w:w="1947" w:type="pct"/>
            <w:tcBorders>
              <w:top w:val="nil"/>
              <w:left w:val="nil"/>
              <w:bottom w:val="nil"/>
              <w:right w:val="nil"/>
            </w:tcBorders>
            <w:shd w:val="clear" w:color="000000" w:fill="FFFFFF"/>
            <w:noWrap/>
            <w:vAlign w:val="center"/>
            <w:hideMark/>
          </w:tcPr>
          <w:p w14:paraId="36067E74" w14:textId="77777777" w:rsidR="00AC4FFA" w:rsidRPr="00EC4BA6" w:rsidRDefault="00AC4FFA" w:rsidP="008F032C">
            <w:pPr>
              <w:spacing w:before="0" w:after="0" w:line="240" w:lineRule="auto"/>
              <w:rPr>
                <w:rFonts w:ascii="Arial" w:hAnsi="Arial" w:cs="Arial"/>
                <w:sz w:val="16"/>
                <w:szCs w:val="16"/>
              </w:rPr>
            </w:pPr>
            <w:r w:rsidRPr="00EC4BA6">
              <w:rPr>
                <w:rFonts w:ascii="Arial" w:hAnsi="Arial" w:cs="Arial"/>
                <w:sz w:val="16"/>
                <w:szCs w:val="16"/>
              </w:rPr>
              <w:t>Luxury car tax</w:t>
            </w:r>
          </w:p>
        </w:tc>
        <w:tc>
          <w:tcPr>
            <w:tcW w:w="500" w:type="pct"/>
            <w:tcBorders>
              <w:top w:val="nil"/>
              <w:left w:val="nil"/>
              <w:bottom w:val="nil"/>
              <w:right w:val="nil"/>
            </w:tcBorders>
            <w:shd w:val="clear" w:color="000000" w:fill="FFFFFF"/>
            <w:noWrap/>
            <w:vAlign w:val="center"/>
            <w:hideMark/>
          </w:tcPr>
          <w:p w14:paraId="322DE92E"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1,253</w:t>
            </w:r>
          </w:p>
        </w:tc>
        <w:tc>
          <w:tcPr>
            <w:tcW w:w="54" w:type="pct"/>
            <w:tcBorders>
              <w:top w:val="nil"/>
              <w:left w:val="nil"/>
              <w:bottom w:val="nil"/>
              <w:right w:val="nil"/>
            </w:tcBorders>
            <w:shd w:val="clear" w:color="000000" w:fill="FFFFFF"/>
            <w:noWrap/>
            <w:vAlign w:val="center"/>
            <w:hideMark/>
          </w:tcPr>
          <w:p w14:paraId="265756AA"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 </w:t>
            </w:r>
          </w:p>
        </w:tc>
        <w:tc>
          <w:tcPr>
            <w:tcW w:w="460" w:type="pct"/>
            <w:tcBorders>
              <w:top w:val="nil"/>
              <w:left w:val="nil"/>
              <w:bottom w:val="nil"/>
              <w:right w:val="nil"/>
            </w:tcBorders>
            <w:shd w:val="clear" w:color="000000" w:fill="FFFFFF"/>
            <w:noWrap/>
            <w:vAlign w:val="center"/>
            <w:hideMark/>
          </w:tcPr>
          <w:p w14:paraId="7FA48023"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1,170</w:t>
            </w:r>
          </w:p>
        </w:tc>
        <w:tc>
          <w:tcPr>
            <w:tcW w:w="460" w:type="pct"/>
            <w:tcBorders>
              <w:top w:val="nil"/>
              <w:left w:val="nil"/>
              <w:bottom w:val="nil"/>
              <w:right w:val="nil"/>
            </w:tcBorders>
            <w:shd w:val="clear" w:color="000000" w:fill="E6F2FF"/>
            <w:noWrap/>
            <w:vAlign w:val="center"/>
            <w:hideMark/>
          </w:tcPr>
          <w:p w14:paraId="64D4AA63"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1,200</w:t>
            </w:r>
          </w:p>
        </w:tc>
        <w:tc>
          <w:tcPr>
            <w:tcW w:w="526" w:type="pct"/>
            <w:tcBorders>
              <w:top w:val="nil"/>
              <w:left w:val="nil"/>
              <w:bottom w:val="nil"/>
              <w:right w:val="nil"/>
            </w:tcBorders>
            <w:shd w:val="clear" w:color="000000" w:fill="FFFFFF"/>
            <w:noWrap/>
            <w:vAlign w:val="center"/>
            <w:hideMark/>
          </w:tcPr>
          <w:p w14:paraId="4D99728D"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1,270</w:t>
            </w:r>
          </w:p>
        </w:tc>
        <w:tc>
          <w:tcPr>
            <w:tcW w:w="526" w:type="pct"/>
            <w:tcBorders>
              <w:top w:val="nil"/>
              <w:left w:val="nil"/>
              <w:bottom w:val="nil"/>
              <w:right w:val="nil"/>
            </w:tcBorders>
            <w:shd w:val="clear" w:color="000000" w:fill="FFFFFF"/>
            <w:noWrap/>
            <w:vAlign w:val="center"/>
            <w:hideMark/>
          </w:tcPr>
          <w:p w14:paraId="12CC7C38"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1,330</w:t>
            </w:r>
          </w:p>
        </w:tc>
        <w:tc>
          <w:tcPr>
            <w:tcW w:w="526" w:type="pct"/>
            <w:tcBorders>
              <w:top w:val="nil"/>
              <w:left w:val="nil"/>
              <w:bottom w:val="nil"/>
              <w:right w:val="nil"/>
            </w:tcBorders>
            <w:shd w:val="clear" w:color="000000" w:fill="FFFFFF"/>
            <w:noWrap/>
            <w:vAlign w:val="center"/>
            <w:hideMark/>
          </w:tcPr>
          <w:p w14:paraId="49C62086"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1,400</w:t>
            </w:r>
          </w:p>
        </w:tc>
      </w:tr>
      <w:tr w:rsidR="00EB4FEA" w:rsidRPr="00EC4BA6" w14:paraId="4D4933F3" w14:textId="77777777" w:rsidTr="008F032C">
        <w:trPr>
          <w:trHeight w:hRule="exact" w:val="225"/>
        </w:trPr>
        <w:tc>
          <w:tcPr>
            <w:tcW w:w="1947" w:type="pct"/>
            <w:tcBorders>
              <w:top w:val="nil"/>
              <w:left w:val="nil"/>
              <w:bottom w:val="nil"/>
              <w:right w:val="nil"/>
            </w:tcBorders>
            <w:shd w:val="clear" w:color="000000" w:fill="FFFFFF"/>
            <w:noWrap/>
            <w:vAlign w:val="center"/>
            <w:hideMark/>
          </w:tcPr>
          <w:p w14:paraId="6A6C8391" w14:textId="77777777" w:rsidR="00AC4FFA" w:rsidRPr="00EC4BA6" w:rsidRDefault="00AC4FFA" w:rsidP="008F032C">
            <w:pPr>
              <w:spacing w:before="0" w:after="0" w:line="240" w:lineRule="auto"/>
              <w:rPr>
                <w:rFonts w:ascii="Arial" w:hAnsi="Arial" w:cs="Arial"/>
                <w:sz w:val="16"/>
                <w:szCs w:val="16"/>
              </w:rPr>
            </w:pPr>
            <w:r w:rsidRPr="00EC4BA6">
              <w:rPr>
                <w:rFonts w:ascii="Arial" w:hAnsi="Arial" w:cs="Arial"/>
                <w:sz w:val="16"/>
                <w:szCs w:val="16"/>
              </w:rPr>
              <w:t>Excise and customs duty</w:t>
            </w:r>
          </w:p>
        </w:tc>
        <w:tc>
          <w:tcPr>
            <w:tcW w:w="500" w:type="pct"/>
            <w:tcBorders>
              <w:top w:val="nil"/>
              <w:left w:val="nil"/>
              <w:bottom w:val="nil"/>
              <w:right w:val="nil"/>
            </w:tcBorders>
            <w:shd w:val="clear" w:color="000000" w:fill="FFFFFF"/>
            <w:noWrap/>
            <w:vAlign w:val="center"/>
            <w:hideMark/>
          </w:tcPr>
          <w:p w14:paraId="600035C7"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 </w:t>
            </w:r>
          </w:p>
        </w:tc>
        <w:tc>
          <w:tcPr>
            <w:tcW w:w="54" w:type="pct"/>
            <w:tcBorders>
              <w:top w:val="nil"/>
              <w:left w:val="nil"/>
              <w:bottom w:val="nil"/>
              <w:right w:val="nil"/>
            </w:tcBorders>
            <w:shd w:val="clear" w:color="000000" w:fill="FFFFFF"/>
            <w:noWrap/>
            <w:vAlign w:val="center"/>
            <w:hideMark/>
          </w:tcPr>
          <w:p w14:paraId="031C06E9"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 </w:t>
            </w:r>
          </w:p>
        </w:tc>
        <w:tc>
          <w:tcPr>
            <w:tcW w:w="460" w:type="pct"/>
            <w:tcBorders>
              <w:top w:val="nil"/>
              <w:left w:val="nil"/>
              <w:bottom w:val="nil"/>
              <w:right w:val="nil"/>
            </w:tcBorders>
            <w:shd w:val="clear" w:color="000000" w:fill="FFFFFF"/>
            <w:noWrap/>
            <w:vAlign w:val="center"/>
            <w:hideMark/>
          </w:tcPr>
          <w:p w14:paraId="6541D689" w14:textId="77777777" w:rsidR="00AC4FFA" w:rsidRPr="00EC4BA6" w:rsidRDefault="00AC4FFA" w:rsidP="008F032C">
            <w:pPr>
              <w:spacing w:before="0" w:after="0" w:line="240" w:lineRule="auto"/>
              <w:rPr>
                <w:rFonts w:ascii="Arial" w:hAnsi="Arial" w:cs="Arial"/>
                <w:sz w:val="16"/>
                <w:szCs w:val="16"/>
              </w:rPr>
            </w:pPr>
            <w:r w:rsidRPr="00EC4BA6">
              <w:rPr>
                <w:rFonts w:ascii="Arial" w:hAnsi="Arial" w:cs="Arial"/>
                <w:sz w:val="16"/>
                <w:szCs w:val="16"/>
              </w:rPr>
              <w:t> </w:t>
            </w:r>
          </w:p>
        </w:tc>
        <w:tc>
          <w:tcPr>
            <w:tcW w:w="460" w:type="pct"/>
            <w:tcBorders>
              <w:top w:val="nil"/>
              <w:left w:val="nil"/>
              <w:bottom w:val="nil"/>
              <w:right w:val="nil"/>
            </w:tcBorders>
            <w:shd w:val="clear" w:color="000000" w:fill="E6F2FF"/>
            <w:noWrap/>
            <w:vAlign w:val="center"/>
            <w:hideMark/>
          </w:tcPr>
          <w:p w14:paraId="29D020F6" w14:textId="77777777" w:rsidR="00AC4FFA" w:rsidRPr="00EC4BA6" w:rsidRDefault="00AC4FFA" w:rsidP="008F032C">
            <w:pPr>
              <w:spacing w:before="0" w:after="0" w:line="240" w:lineRule="auto"/>
              <w:rPr>
                <w:rFonts w:ascii="Arial" w:hAnsi="Arial" w:cs="Arial"/>
                <w:sz w:val="16"/>
                <w:szCs w:val="16"/>
              </w:rPr>
            </w:pPr>
            <w:r w:rsidRPr="00EC4BA6">
              <w:rPr>
                <w:rFonts w:ascii="Arial" w:hAnsi="Arial" w:cs="Arial"/>
                <w:sz w:val="16"/>
                <w:szCs w:val="16"/>
              </w:rPr>
              <w:t> </w:t>
            </w:r>
          </w:p>
        </w:tc>
        <w:tc>
          <w:tcPr>
            <w:tcW w:w="526" w:type="pct"/>
            <w:tcBorders>
              <w:top w:val="nil"/>
              <w:left w:val="nil"/>
              <w:bottom w:val="nil"/>
              <w:right w:val="nil"/>
            </w:tcBorders>
            <w:shd w:val="clear" w:color="000000" w:fill="FFFFFF"/>
            <w:noWrap/>
            <w:vAlign w:val="center"/>
            <w:hideMark/>
          </w:tcPr>
          <w:p w14:paraId="308D4A05"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 </w:t>
            </w:r>
          </w:p>
        </w:tc>
        <w:tc>
          <w:tcPr>
            <w:tcW w:w="526" w:type="pct"/>
            <w:tcBorders>
              <w:top w:val="nil"/>
              <w:left w:val="nil"/>
              <w:bottom w:val="nil"/>
              <w:right w:val="nil"/>
            </w:tcBorders>
            <w:shd w:val="clear" w:color="000000" w:fill="FFFFFF"/>
            <w:noWrap/>
            <w:vAlign w:val="center"/>
            <w:hideMark/>
          </w:tcPr>
          <w:p w14:paraId="375D74B0"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 </w:t>
            </w:r>
          </w:p>
        </w:tc>
        <w:tc>
          <w:tcPr>
            <w:tcW w:w="526" w:type="pct"/>
            <w:tcBorders>
              <w:top w:val="nil"/>
              <w:left w:val="nil"/>
              <w:bottom w:val="nil"/>
              <w:right w:val="nil"/>
            </w:tcBorders>
            <w:shd w:val="clear" w:color="000000" w:fill="FFFFFF"/>
            <w:noWrap/>
            <w:vAlign w:val="center"/>
            <w:hideMark/>
          </w:tcPr>
          <w:p w14:paraId="175259BC"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 </w:t>
            </w:r>
          </w:p>
        </w:tc>
      </w:tr>
      <w:tr w:rsidR="00EB4FEA" w:rsidRPr="00EC4BA6" w14:paraId="4A0F3054" w14:textId="77777777" w:rsidTr="008F032C">
        <w:trPr>
          <w:trHeight w:hRule="exact" w:val="225"/>
        </w:trPr>
        <w:tc>
          <w:tcPr>
            <w:tcW w:w="1947" w:type="pct"/>
            <w:tcBorders>
              <w:top w:val="nil"/>
              <w:left w:val="nil"/>
              <w:bottom w:val="nil"/>
              <w:right w:val="nil"/>
            </w:tcBorders>
            <w:shd w:val="clear" w:color="000000" w:fill="FFFFFF"/>
            <w:noWrap/>
            <w:vAlign w:val="center"/>
            <w:hideMark/>
          </w:tcPr>
          <w:p w14:paraId="0C5AC307" w14:textId="77777777" w:rsidR="00AC4FFA" w:rsidRPr="00EC4BA6" w:rsidRDefault="00AC4FFA" w:rsidP="008F032C">
            <w:pPr>
              <w:spacing w:before="0" w:after="0" w:line="240" w:lineRule="auto"/>
              <w:ind w:left="170"/>
              <w:rPr>
                <w:rFonts w:ascii="Arial" w:hAnsi="Arial" w:cs="Arial"/>
                <w:sz w:val="16"/>
                <w:szCs w:val="16"/>
              </w:rPr>
            </w:pPr>
            <w:r w:rsidRPr="00EC4BA6">
              <w:rPr>
                <w:rFonts w:ascii="Arial" w:hAnsi="Arial" w:cs="Arial"/>
                <w:sz w:val="16"/>
                <w:szCs w:val="16"/>
              </w:rPr>
              <w:t>Petrol</w:t>
            </w:r>
          </w:p>
        </w:tc>
        <w:tc>
          <w:tcPr>
            <w:tcW w:w="500" w:type="pct"/>
            <w:tcBorders>
              <w:top w:val="nil"/>
              <w:left w:val="nil"/>
              <w:bottom w:val="nil"/>
              <w:right w:val="nil"/>
            </w:tcBorders>
            <w:shd w:val="clear" w:color="000000" w:fill="FFFFFF"/>
            <w:noWrap/>
            <w:vAlign w:val="center"/>
            <w:hideMark/>
          </w:tcPr>
          <w:p w14:paraId="10F89D8A"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6,941</w:t>
            </w:r>
          </w:p>
        </w:tc>
        <w:tc>
          <w:tcPr>
            <w:tcW w:w="54" w:type="pct"/>
            <w:tcBorders>
              <w:top w:val="nil"/>
              <w:left w:val="nil"/>
              <w:bottom w:val="nil"/>
              <w:right w:val="nil"/>
            </w:tcBorders>
            <w:shd w:val="clear" w:color="000000" w:fill="FFFFFF"/>
            <w:noWrap/>
            <w:vAlign w:val="center"/>
            <w:hideMark/>
          </w:tcPr>
          <w:p w14:paraId="2CC0813D"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 </w:t>
            </w:r>
          </w:p>
        </w:tc>
        <w:tc>
          <w:tcPr>
            <w:tcW w:w="460" w:type="pct"/>
            <w:tcBorders>
              <w:top w:val="nil"/>
              <w:left w:val="nil"/>
              <w:bottom w:val="nil"/>
              <w:right w:val="nil"/>
            </w:tcBorders>
            <w:shd w:val="clear" w:color="000000" w:fill="FFFFFF"/>
            <w:noWrap/>
            <w:vAlign w:val="center"/>
            <w:hideMark/>
          </w:tcPr>
          <w:p w14:paraId="702ACD49"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7,250</w:t>
            </w:r>
          </w:p>
        </w:tc>
        <w:tc>
          <w:tcPr>
            <w:tcW w:w="460" w:type="pct"/>
            <w:tcBorders>
              <w:top w:val="nil"/>
              <w:left w:val="nil"/>
              <w:bottom w:val="nil"/>
              <w:right w:val="nil"/>
            </w:tcBorders>
            <w:shd w:val="clear" w:color="000000" w:fill="E6F2FF"/>
            <w:noWrap/>
            <w:vAlign w:val="center"/>
            <w:hideMark/>
          </w:tcPr>
          <w:p w14:paraId="35125857"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7,450</w:t>
            </w:r>
          </w:p>
        </w:tc>
        <w:tc>
          <w:tcPr>
            <w:tcW w:w="526" w:type="pct"/>
            <w:tcBorders>
              <w:top w:val="nil"/>
              <w:left w:val="nil"/>
              <w:bottom w:val="nil"/>
              <w:right w:val="nil"/>
            </w:tcBorders>
            <w:shd w:val="clear" w:color="000000" w:fill="FFFFFF"/>
            <w:noWrap/>
            <w:vAlign w:val="center"/>
            <w:hideMark/>
          </w:tcPr>
          <w:p w14:paraId="1BD3CDF6"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7,600</w:t>
            </w:r>
          </w:p>
        </w:tc>
        <w:tc>
          <w:tcPr>
            <w:tcW w:w="526" w:type="pct"/>
            <w:tcBorders>
              <w:top w:val="nil"/>
              <w:left w:val="nil"/>
              <w:bottom w:val="nil"/>
              <w:right w:val="nil"/>
            </w:tcBorders>
            <w:shd w:val="clear" w:color="000000" w:fill="FFFFFF"/>
            <w:noWrap/>
            <w:vAlign w:val="center"/>
            <w:hideMark/>
          </w:tcPr>
          <w:p w14:paraId="27910D5E"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7,800</w:t>
            </w:r>
          </w:p>
        </w:tc>
        <w:tc>
          <w:tcPr>
            <w:tcW w:w="526" w:type="pct"/>
            <w:tcBorders>
              <w:top w:val="nil"/>
              <w:left w:val="nil"/>
              <w:bottom w:val="nil"/>
              <w:right w:val="nil"/>
            </w:tcBorders>
            <w:shd w:val="clear" w:color="000000" w:fill="FFFFFF"/>
            <w:noWrap/>
            <w:vAlign w:val="center"/>
            <w:hideMark/>
          </w:tcPr>
          <w:p w14:paraId="02BA8F11"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8,100</w:t>
            </w:r>
          </w:p>
        </w:tc>
      </w:tr>
      <w:tr w:rsidR="00EB4FEA" w:rsidRPr="00EC4BA6" w14:paraId="69D1755A" w14:textId="77777777" w:rsidTr="008F032C">
        <w:trPr>
          <w:trHeight w:hRule="exact" w:val="225"/>
        </w:trPr>
        <w:tc>
          <w:tcPr>
            <w:tcW w:w="1947" w:type="pct"/>
            <w:tcBorders>
              <w:top w:val="nil"/>
              <w:left w:val="nil"/>
              <w:bottom w:val="nil"/>
              <w:right w:val="nil"/>
            </w:tcBorders>
            <w:shd w:val="clear" w:color="000000" w:fill="FFFFFF"/>
            <w:noWrap/>
            <w:vAlign w:val="center"/>
            <w:hideMark/>
          </w:tcPr>
          <w:p w14:paraId="43BDE65A" w14:textId="77777777" w:rsidR="00AC4FFA" w:rsidRPr="00EC4BA6" w:rsidRDefault="00AC4FFA" w:rsidP="008F032C">
            <w:pPr>
              <w:spacing w:before="0" w:after="0" w:line="240" w:lineRule="auto"/>
              <w:ind w:left="170"/>
              <w:rPr>
                <w:rFonts w:ascii="Arial" w:hAnsi="Arial" w:cs="Arial"/>
                <w:sz w:val="16"/>
                <w:szCs w:val="16"/>
              </w:rPr>
            </w:pPr>
            <w:r w:rsidRPr="00EC4BA6">
              <w:rPr>
                <w:rFonts w:ascii="Arial" w:hAnsi="Arial" w:cs="Arial"/>
                <w:sz w:val="16"/>
                <w:szCs w:val="16"/>
              </w:rPr>
              <w:t>Diesel</w:t>
            </w:r>
          </w:p>
        </w:tc>
        <w:tc>
          <w:tcPr>
            <w:tcW w:w="500" w:type="pct"/>
            <w:tcBorders>
              <w:top w:val="nil"/>
              <w:left w:val="nil"/>
              <w:bottom w:val="nil"/>
              <w:right w:val="nil"/>
            </w:tcBorders>
            <w:shd w:val="clear" w:color="000000" w:fill="FFFFFF"/>
            <w:noWrap/>
            <w:vAlign w:val="center"/>
            <w:hideMark/>
          </w:tcPr>
          <w:p w14:paraId="673AE163"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16,092</w:t>
            </w:r>
          </w:p>
        </w:tc>
        <w:tc>
          <w:tcPr>
            <w:tcW w:w="54" w:type="pct"/>
            <w:tcBorders>
              <w:top w:val="nil"/>
              <w:left w:val="nil"/>
              <w:bottom w:val="nil"/>
              <w:right w:val="nil"/>
            </w:tcBorders>
            <w:shd w:val="clear" w:color="000000" w:fill="FFFFFF"/>
            <w:noWrap/>
            <w:vAlign w:val="center"/>
            <w:hideMark/>
          </w:tcPr>
          <w:p w14:paraId="58E572DF"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 </w:t>
            </w:r>
          </w:p>
        </w:tc>
        <w:tc>
          <w:tcPr>
            <w:tcW w:w="460" w:type="pct"/>
            <w:tcBorders>
              <w:top w:val="nil"/>
              <w:left w:val="nil"/>
              <w:bottom w:val="nil"/>
              <w:right w:val="nil"/>
            </w:tcBorders>
            <w:shd w:val="clear" w:color="000000" w:fill="FFFFFF"/>
            <w:noWrap/>
            <w:vAlign w:val="center"/>
            <w:hideMark/>
          </w:tcPr>
          <w:p w14:paraId="7574C208"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17,390</w:t>
            </w:r>
          </w:p>
        </w:tc>
        <w:tc>
          <w:tcPr>
            <w:tcW w:w="460" w:type="pct"/>
            <w:tcBorders>
              <w:top w:val="nil"/>
              <w:left w:val="nil"/>
              <w:bottom w:val="nil"/>
              <w:right w:val="nil"/>
            </w:tcBorders>
            <w:shd w:val="clear" w:color="000000" w:fill="E6F2FF"/>
            <w:noWrap/>
            <w:vAlign w:val="center"/>
            <w:hideMark/>
          </w:tcPr>
          <w:p w14:paraId="1B4491C3"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17,850</w:t>
            </w:r>
          </w:p>
        </w:tc>
        <w:tc>
          <w:tcPr>
            <w:tcW w:w="526" w:type="pct"/>
            <w:tcBorders>
              <w:top w:val="nil"/>
              <w:left w:val="nil"/>
              <w:bottom w:val="nil"/>
              <w:right w:val="nil"/>
            </w:tcBorders>
            <w:shd w:val="clear" w:color="000000" w:fill="FFFFFF"/>
            <w:noWrap/>
            <w:vAlign w:val="center"/>
            <w:hideMark/>
          </w:tcPr>
          <w:p w14:paraId="3098AC33"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18,770</w:t>
            </w:r>
          </w:p>
        </w:tc>
        <w:tc>
          <w:tcPr>
            <w:tcW w:w="526" w:type="pct"/>
            <w:tcBorders>
              <w:top w:val="nil"/>
              <w:left w:val="nil"/>
              <w:bottom w:val="nil"/>
              <w:right w:val="nil"/>
            </w:tcBorders>
            <w:shd w:val="clear" w:color="000000" w:fill="FFFFFF"/>
            <w:noWrap/>
            <w:vAlign w:val="center"/>
            <w:hideMark/>
          </w:tcPr>
          <w:p w14:paraId="6C12E981"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19,470</w:t>
            </w:r>
          </w:p>
        </w:tc>
        <w:tc>
          <w:tcPr>
            <w:tcW w:w="526" w:type="pct"/>
            <w:tcBorders>
              <w:top w:val="nil"/>
              <w:left w:val="nil"/>
              <w:bottom w:val="nil"/>
              <w:right w:val="nil"/>
            </w:tcBorders>
            <w:shd w:val="clear" w:color="000000" w:fill="FFFFFF"/>
            <w:noWrap/>
            <w:vAlign w:val="center"/>
            <w:hideMark/>
          </w:tcPr>
          <w:p w14:paraId="2C94F6EC"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20,060</w:t>
            </w:r>
          </w:p>
        </w:tc>
      </w:tr>
      <w:tr w:rsidR="00EB4FEA" w:rsidRPr="00EC4BA6" w14:paraId="65A33119" w14:textId="77777777" w:rsidTr="008F032C">
        <w:trPr>
          <w:trHeight w:hRule="exact" w:val="225"/>
        </w:trPr>
        <w:tc>
          <w:tcPr>
            <w:tcW w:w="1947" w:type="pct"/>
            <w:tcBorders>
              <w:top w:val="nil"/>
              <w:left w:val="nil"/>
              <w:bottom w:val="nil"/>
              <w:right w:val="nil"/>
            </w:tcBorders>
            <w:shd w:val="clear" w:color="000000" w:fill="FFFFFF"/>
            <w:noWrap/>
            <w:vAlign w:val="center"/>
            <w:hideMark/>
          </w:tcPr>
          <w:p w14:paraId="238FF1B0" w14:textId="77777777" w:rsidR="00AC4FFA" w:rsidRPr="00EC4BA6" w:rsidRDefault="00AC4FFA" w:rsidP="008F032C">
            <w:pPr>
              <w:spacing w:before="0" w:after="0" w:line="240" w:lineRule="auto"/>
              <w:ind w:left="170"/>
              <w:rPr>
                <w:rFonts w:ascii="Arial" w:hAnsi="Arial" w:cs="Arial"/>
                <w:sz w:val="16"/>
                <w:szCs w:val="16"/>
              </w:rPr>
            </w:pPr>
            <w:r w:rsidRPr="00EC4BA6">
              <w:rPr>
                <w:rFonts w:ascii="Arial" w:hAnsi="Arial" w:cs="Arial"/>
                <w:sz w:val="16"/>
                <w:szCs w:val="16"/>
              </w:rPr>
              <w:t>Other fuel products</w:t>
            </w:r>
          </w:p>
        </w:tc>
        <w:tc>
          <w:tcPr>
            <w:tcW w:w="500" w:type="pct"/>
            <w:tcBorders>
              <w:top w:val="nil"/>
              <w:left w:val="nil"/>
              <w:bottom w:val="nil"/>
              <w:right w:val="nil"/>
            </w:tcBorders>
            <w:shd w:val="clear" w:color="000000" w:fill="FFFFFF"/>
            <w:noWrap/>
            <w:vAlign w:val="center"/>
            <w:hideMark/>
          </w:tcPr>
          <w:p w14:paraId="6437A74E"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1,999</w:t>
            </w:r>
          </w:p>
        </w:tc>
        <w:tc>
          <w:tcPr>
            <w:tcW w:w="54" w:type="pct"/>
            <w:tcBorders>
              <w:top w:val="nil"/>
              <w:left w:val="nil"/>
              <w:bottom w:val="nil"/>
              <w:right w:val="nil"/>
            </w:tcBorders>
            <w:shd w:val="clear" w:color="000000" w:fill="FFFFFF"/>
            <w:noWrap/>
            <w:vAlign w:val="center"/>
            <w:hideMark/>
          </w:tcPr>
          <w:p w14:paraId="461A4848"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 </w:t>
            </w:r>
          </w:p>
        </w:tc>
        <w:tc>
          <w:tcPr>
            <w:tcW w:w="460" w:type="pct"/>
            <w:tcBorders>
              <w:top w:val="nil"/>
              <w:left w:val="nil"/>
              <w:bottom w:val="nil"/>
              <w:right w:val="nil"/>
            </w:tcBorders>
            <w:shd w:val="clear" w:color="000000" w:fill="FFFFFF"/>
            <w:noWrap/>
            <w:vAlign w:val="center"/>
            <w:hideMark/>
          </w:tcPr>
          <w:p w14:paraId="7953D00A"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2,040</w:t>
            </w:r>
          </w:p>
        </w:tc>
        <w:tc>
          <w:tcPr>
            <w:tcW w:w="460" w:type="pct"/>
            <w:tcBorders>
              <w:top w:val="nil"/>
              <w:left w:val="nil"/>
              <w:bottom w:val="nil"/>
              <w:right w:val="nil"/>
            </w:tcBorders>
            <w:shd w:val="clear" w:color="000000" w:fill="E6F2FF"/>
            <w:noWrap/>
            <w:vAlign w:val="center"/>
            <w:hideMark/>
          </w:tcPr>
          <w:p w14:paraId="1F610054"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2,020</w:t>
            </w:r>
          </w:p>
        </w:tc>
        <w:tc>
          <w:tcPr>
            <w:tcW w:w="526" w:type="pct"/>
            <w:tcBorders>
              <w:top w:val="nil"/>
              <w:left w:val="nil"/>
              <w:bottom w:val="nil"/>
              <w:right w:val="nil"/>
            </w:tcBorders>
            <w:shd w:val="clear" w:color="000000" w:fill="FFFFFF"/>
            <w:noWrap/>
            <w:vAlign w:val="center"/>
            <w:hideMark/>
          </w:tcPr>
          <w:p w14:paraId="6756512F"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2,070</w:t>
            </w:r>
          </w:p>
        </w:tc>
        <w:tc>
          <w:tcPr>
            <w:tcW w:w="526" w:type="pct"/>
            <w:tcBorders>
              <w:top w:val="nil"/>
              <w:left w:val="nil"/>
              <w:bottom w:val="nil"/>
              <w:right w:val="nil"/>
            </w:tcBorders>
            <w:shd w:val="clear" w:color="000000" w:fill="FFFFFF"/>
            <w:noWrap/>
            <w:vAlign w:val="center"/>
            <w:hideMark/>
          </w:tcPr>
          <w:p w14:paraId="75755A87"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2,120</w:t>
            </w:r>
          </w:p>
        </w:tc>
        <w:tc>
          <w:tcPr>
            <w:tcW w:w="526" w:type="pct"/>
            <w:tcBorders>
              <w:top w:val="nil"/>
              <w:left w:val="nil"/>
              <w:bottom w:val="nil"/>
              <w:right w:val="nil"/>
            </w:tcBorders>
            <w:shd w:val="clear" w:color="000000" w:fill="FFFFFF"/>
            <w:noWrap/>
            <w:vAlign w:val="center"/>
            <w:hideMark/>
          </w:tcPr>
          <w:p w14:paraId="321EE0CF"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2,170</w:t>
            </w:r>
          </w:p>
        </w:tc>
      </w:tr>
      <w:tr w:rsidR="00EB4FEA" w:rsidRPr="00EC4BA6" w14:paraId="657D7C21" w14:textId="77777777" w:rsidTr="008F032C">
        <w:trPr>
          <w:trHeight w:hRule="exact" w:val="225"/>
        </w:trPr>
        <w:tc>
          <w:tcPr>
            <w:tcW w:w="1947" w:type="pct"/>
            <w:tcBorders>
              <w:top w:val="nil"/>
              <w:left w:val="nil"/>
              <w:bottom w:val="nil"/>
              <w:right w:val="nil"/>
            </w:tcBorders>
            <w:shd w:val="clear" w:color="000000" w:fill="FFFFFF"/>
            <w:noWrap/>
            <w:vAlign w:val="center"/>
            <w:hideMark/>
          </w:tcPr>
          <w:p w14:paraId="409F8C5C" w14:textId="77777777" w:rsidR="00AC4FFA" w:rsidRPr="00EC4BA6" w:rsidRDefault="00AC4FFA" w:rsidP="008F032C">
            <w:pPr>
              <w:spacing w:before="0" w:after="0" w:line="240" w:lineRule="auto"/>
              <w:ind w:left="170"/>
              <w:rPr>
                <w:rFonts w:ascii="Arial" w:hAnsi="Arial" w:cs="Arial"/>
                <w:sz w:val="16"/>
                <w:szCs w:val="16"/>
              </w:rPr>
            </w:pPr>
            <w:r w:rsidRPr="00EC4BA6">
              <w:rPr>
                <w:rFonts w:ascii="Arial" w:hAnsi="Arial" w:cs="Arial"/>
                <w:sz w:val="16"/>
                <w:szCs w:val="16"/>
              </w:rPr>
              <w:t>Tobacco</w:t>
            </w:r>
          </w:p>
        </w:tc>
        <w:tc>
          <w:tcPr>
            <w:tcW w:w="500" w:type="pct"/>
            <w:tcBorders>
              <w:top w:val="nil"/>
              <w:left w:val="nil"/>
              <w:bottom w:val="nil"/>
              <w:right w:val="nil"/>
            </w:tcBorders>
            <w:shd w:val="clear" w:color="000000" w:fill="FFFFFF"/>
            <w:noWrap/>
            <w:vAlign w:val="center"/>
            <w:hideMark/>
          </w:tcPr>
          <w:p w14:paraId="43D87E10"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9,730</w:t>
            </w:r>
          </w:p>
        </w:tc>
        <w:tc>
          <w:tcPr>
            <w:tcW w:w="54" w:type="pct"/>
            <w:tcBorders>
              <w:top w:val="nil"/>
              <w:left w:val="nil"/>
              <w:bottom w:val="nil"/>
              <w:right w:val="nil"/>
            </w:tcBorders>
            <w:shd w:val="clear" w:color="000000" w:fill="FFFFFF"/>
            <w:noWrap/>
            <w:vAlign w:val="center"/>
            <w:hideMark/>
          </w:tcPr>
          <w:p w14:paraId="63690114"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 </w:t>
            </w:r>
          </w:p>
        </w:tc>
        <w:tc>
          <w:tcPr>
            <w:tcW w:w="460" w:type="pct"/>
            <w:tcBorders>
              <w:top w:val="nil"/>
              <w:left w:val="nil"/>
              <w:bottom w:val="nil"/>
              <w:right w:val="nil"/>
            </w:tcBorders>
            <w:shd w:val="clear" w:color="000000" w:fill="FFFFFF"/>
            <w:noWrap/>
            <w:vAlign w:val="center"/>
            <w:hideMark/>
          </w:tcPr>
          <w:p w14:paraId="4E5B513A"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7,400</w:t>
            </w:r>
          </w:p>
        </w:tc>
        <w:tc>
          <w:tcPr>
            <w:tcW w:w="460" w:type="pct"/>
            <w:tcBorders>
              <w:top w:val="nil"/>
              <w:left w:val="nil"/>
              <w:bottom w:val="nil"/>
              <w:right w:val="nil"/>
            </w:tcBorders>
            <w:shd w:val="clear" w:color="000000" w:fill="E6F2FF"/>
            <w:noWrap/>
            <w:vAlign w:val="center"/>
            <w:hideMark/>
          </w:tcPr>
          <w:p w14:paraId="20480CAB"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7,050</w:t>
            </w:r>
          </w:p>
        </w:tc>
        <w:tc>
          <w:tcPr>
            <w:tcW w:w="526" w:type="pct"/>
            <w:tcBorders>
              <w:top w:val="nil"/>
              <w:left w:val="nil"/>
              <w:bottom w:val="nil"/>
              <w:right w:val="nil"/>
            </w:tcBorders>
            <w:shd w:val="clear" w:color="000000" w:fill="FFFFFF"/>
            <w:noWrap/>
            <w:vAlign w:val="center"/>
            <w:hideMark/>
          </w:tcPr>
          <w:p w14:paraId="071AB37F"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6,800</w:t>
            </w:r>
          </w:p>
        </w:tc>
        <w:tc>
          <w:tcPr>
            <w:tcW w:w="526" w:type="pct"/>
            <w:tcBorders>
              <w:top w:val="nil"/>
              <w:left w:val="nil"/>
              <w:bottom w:val="nil"/>
              <w:right w:val="nil"/>
            </w:tcBorders>
            <w:shd w:val="clear" w:color="000000" w:fill="FFFFFF"/>
            <w:noWrap/>
            <w:vAlign w:val="center"/>
            <w:hideMark/>
          </w:tcPr>
          <w:p w14:paraId="2664CB88"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6,750</w:t>
            </w:r>
          </w:p>
        </w:tc>
        <w:tc>
          <w:tcPr>
            <w:tcW w:w="526" w:type="pct"/>
            <w:tcBorders>
              <w:top w:val="nil"/>
              <w:left w:val="nil"/>
              <w:bottom w:val="nil"/>
              <w:right w:val="nil"/>
            </w:tcBorders>
            <w:shd w:val="clear" w:color="000000" w:fill="FFFFFF"/>
            <w:noWrap/>
            <w:vAlign w:val="center"/>
            <w:hideMark/>
          </w:tcPr>
          <w:p w14:paraId="03E0E352"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6,700</w:t>
            </w:r>
          </w:p>
        </w:tc>
      </w:tr>
      <w:tr w:rsidR="00EB4FEA" w:rsidRPr="00EC4BA6" w14:paraId="7B280497" w14:textId="77777777" w:rsidTr="008F032C">
        <w:trPr>
          <w:trHeight w:hRule="exact" w:val="225"/>
        </w:trPr>
        <w:tc>
          <w:tcPr>
            <w:tcW w:w="1947" w:type="pct"/>
            <w:tcBorders>
              <w:top w:val="nil"/>
              <w:left w:val="nil"/>
              <w:bottom w:val="nil"/>
              <w:right w:val="nil"/>
            </w:tcBorders>
            <w:shd w:val="clear" w:color="000000" w:fill="FFFFFF"/>
            <w:noWrap/>
            <w:vAlign w:val="center"/>
            <w:hideMark/>
          </w:tcPr>
          <w:p w14:paraId="1A0FF8CC" w14:textId="77777777" w:rsidR="00AC4FFA" w:rsidRPr="00EC4BA6" w:rsidRDefault="00AC4FFA" w:rsidP="008F032C">
            <w:pPr>
              <w:spacing w:before="0" w:after="0" w:line="240" w:lineRule="auto"/>
              <w:ind w:left="170"/>
              <w:rPr>
                <w:rFonts w:ascii="Arial" w:hAnsi="Arial" w:cs="Arial"/>
                <w:sz w:val="16"/>
                <w:szCs w:val="16"/>
              </w:rPr>
            </w:pPr>
            <w:r w:rsidRPr="00EC4BA6">
              <w:rPr>
                <w:rFonts w:ascii="Arial" w:hAnsi="Arial" w:cs="Arial"/>
                <w:sz w:val="16"/>
                <w:szCs w:val="16"/>
              </w:rPr>
              <w:t>Beer</w:t>
            </w:r>
          </w:p>
        </w:tc>
        <w:tc>
          <w:tcPr>
            <w:tcW w:w="500" w:type="pct"/>
            <w:tcBorders>
              <w:top w:val="nil"/>
              <w:left w:val="nil"/>
              <w:bottom w:val="nil"/>
              <w:right w:val="nil"/>
            </w:tcBorders>
            <w:shd w:val="clear" w:color="000000" w:fill="FFFFFF"/>
            <w:noWrap/>
            <w:vAlign w:val="center"/>
            <w:hideMark/>
          </w:tcPr>
          <w:p w14:paraId="71C878C8"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2,599</w:t>
            </w:r>
          </w:p>
        </w:tc>
        <w:tc>
          <w:tcPr>
            <w:tcW w:w="54" w:type="pct"/>
            <w:tcBorders>
              <w:top w:val="nil"/>
              <w:left w:val="nil"/>
              <w:bottom w:val="nil"/>
              <w:right w:val="nil"/>
            </w:tcBorders>
            <w:shd w:val="clear" w:color="000000" w:fill="FFFFFF"/>
            <w:noWrap/>
            <w:vAlign w:val="center"/>
            <w:hideMark/>
          </w:tcPr>
          <w:p w14:paraId="32CE8638"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 </w:t>
            </w:r>
          </w:p>
        </w:tc>
        <w:tc>
          <w:tcPr>
            <w:tcW w:w="460" w:type="pct"/>
            <w:tcBorders>
              <w:top w:val="nil"/>
              <w:left w:val="nil"/>
              <w:bottom w:val="nil"/>
              <w:right w:val="nil"/>
            </w:tcBorders>
            <w:shd w:val="clear" w:color="000000" w:fill="FFFFFF"/>
            <w:noWrap/>
            <w:vAlign w:val="center"/>
            <w:hideMark/>
          </w:tcPr>
          <w:p w14:paraId="37FFEC09"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2,750</w:t>
            </w:r>
          </w:p>
        </w:tc>
        <w:tc>
          <w:tcPr>
            <w:tcW w:w="460" w:type="pct"/>
            <w:tcBorders>
              <w:top w:val="nil"/>
              <w:left w:val="nil"/>
              <w:bottom w:val="nil"/>
              <w:right w:val="nil"/>
            </w:tcBorders>
            <w:shd w:val="clear" w:color="000000" w:fill="E6F2FF"/>
            <w:noWrap/>
            <w:vAlign w:val="center"/>
            <w:hideMark/>
          </w:tcPr>
          <w:p w14:paraId="700ED901"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2,780</w:t>
            </w:r>
          </w:p>
        </w:tc>
        <w:tc>
          <w:tcPr>
            <w:tcW w:w="526" w:type="pct"/>
            <w:tcBorders>
              <w:top w:val="nil"/>
              <w:left w:val="nil"/>
              <w:bottom w:val="nil"/>
              <w:right w:val="nil"/>
            </w:tcBorders>
            <w:shd w:val="clear" w:color="000000" w:fill="FFFFFF"/>
            <w:noWrap/>
            <w:vAlign w:val="center"/>
            <w:hideMark/>
          </w:tcPr>
          <w:p w14:paraId="04A7DD00"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2,910</w:t>
            </w:r>
          </w:p>
        </w:tc>
        <w:tc>
          <w:tcPr>
            <w:tcW w:w="526" w:type="pct"/>
            <w:tcBorders>
              <w:top w:val="nil"/>
              <w:left w:val="nil"/>
              <w:bottom w:val="nil"/>
              <w:right w:val="nil"/>
            </w:tcBorders>
            <w:shd w:val="clear" w:color="000000" w:fill="FFFFFF"/>
            <w:noWrap/>
            <w:vAlign w:val="center"/>
            <w:hideMark/>
          </w:tcPr>
          <w:p w14:paraId="36D5F030"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2,970</w:t>
            </w:r>
          </w:p>
        </w:tc>
        <w:tc>
          <w:tcPr>
            <w:tcW w:w="526" w:type="pct"/>
            <w:tcBorders>
              <w:top w:val="nil"/>
              <w:left w:val="nil"/>
              <w:bottom w:val="nil"/>
              <w:right w:val="nil"/>
            </w:tcBorders>
            <w:shd w:val="clear" w:color="000000" w:fill="FFFFFF"/>
            <w:noWrap/>
            <w:vAlign w:val="center"/>
            <w:hideMark/>
          </w:tcPr>
          <w:p w14:paraId="486C3B34"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2,990</w:t>
            </w:r>
          </w:p>
        </w:tc>
      </w:tr>
      <w:tr w:rsidR="00EB4FEA" w:rsidRPr="00EC4BA6" w14:paraId="33FA5456" w14:textId="77777777" w:rsidTr="008F032C">
        <w:trPr>
          <w:trHeight w:hRule="exact" w:val="225"/>
        </w:trPr>
        <w:tc>
          <w:tcPr>
            <w:tcW w:w="1947" w:type="pct"/>
            <w:tcBorders>
              <w:top w:val="nil"/>
              <w:left w:val="nil"/>
              <w:bottom w:val="nil"/>
              <w:right w:val="nil"/>
            </w:tcBorders>
            <w:shd w:val="clear" w:color="000000" w:fill="FFFFFF"/>
            <w:noWrap/>
            <w:vAlign w:val="center"/>
            <w:hideMark/>
          </w:tcPr>
          <w:p w14:paraId="494518BB" w14:textId="77777777" w:rsidR="00AC4FFA" w:rsidRPr="00EC4BA6" w:rsidRDefault="00AC4FFA" w:rsidP="008F032C">
            <w:pPr>
              <w:spacing w:before="0" w:after="0" w:line="240" w:lineRule="auto"/>
              <w:ind w:left="170"/>
              <w:rPr>
                <w:rFonts w:ascii="Arial" w:hAnsi="Arial" w:cs="Arial"/>
                <w:sz w:val="16"/>
                <w:szCs w:val="16"/>
              </w:rPr>
            </w:pPr>
            <w:r w:rsidRPr="00EC4BA6">
              <w:rPr>
                <w:rFonts w:ascii="Arial" w:hAnsi="Arial" w:cs="Arial"/>
                <w:sz w:val="16"/>
                <w:szCs w:val="16"/>
              </w:rPr>
              <w:t>Spirits</w:t>
            </w:r>
          </w:p>
        </w:tc>
        <w:tc>
          <w:tcPr>
            <w:tcW w:w="500" w:type="pct"/>
            <w:tcBorders>
              <w:top w:val="nil"/>
              <w:left w:val="nil"/>
              <w:bottom w:val="nil"/>
              <w:right w:val="nil"/>
            </w:tcBorders>
            <w:shd w:val="clear" w:color="000000" w:fill="FFFFFF"/>
            <w:noWrap/>
            <w:vAlign w:val="center"/>
            <w:hideMark/>
          </w:tcPr>
          <w:p w14:paraId="7AD28BC8"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3,208</w:t>
            </w:r>
          </w:p>
        </w:tc>
        <w:tc>
          <w:tcPr>
            <w:tcW w:w="54" w:type="pct"/>
            <w:tcBorders>
              <w:top w:val="nil"/>
              <w:left w:val="nil"/>
              <w:bottom w:val="nil"/>
              <w:right w:val="nil"/>
            </w:tcBorders>
            <w:shd w:val="clear" w:color="000000" w:fill="FFFFFF"/>
            <w:noWrap/>
            <w:vAlign w:val="center"/>
            <w:hideMark/>
          </w:tcPr>
          <w:p w14:paraId="7A496D4A"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 </w:t>
            </w:r>
          </w:p>
        </w:tc>
        <w:tc>
          <w:tcPr>
            <w:tcW w:w="460" w:type="pct"/>
            <w:tcBorders>
              <w:top w:val="nil"/>
              <w:left w:val="nil"/>
              <w:bottom w:val="nil"/>
              <w:right w:val="nil"/>
            </w:tcBorders>
            <w:shd w:val="clear" w:color="000000" w:fill="FFFFFF"/>
            <w:noWrap/>
            <w:vAlign w:val="center"/>
            <w:hideMark/>
          </w:tcPr>
          <w:p w14:paraId="6DF2B6FA"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3,280</w:t>
            </w:r>
          </w:p>
        </w:tc>
        <w:tc>
          <w:tcPr>
            <w:tcW w:w="460" w:type="pct"/>
            <w:tcBorders>
              <w:top w:val="nil"/>
              <w:left w:val="nil"/>
              <w:bottom w:val="nil"/>
              <w:right w:val="nil"/>
            </w:tcBorders>
            <w:shd w:val="clear" w:color="000000" w:fill="E6F2FF"/>
            <w:noWrap/>
            <w:vAlign w:val="center"/>
            <w:hideMark/>
          </w:tcPr>
          <w:p w14:paraId="136281D8"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3,380</w:t>
            </w:r>
          </w:p>
        </w:tc>
        <w:tc>
          <w:tcPr>
            <w:tcW w:w="526" w:type="pct"/>
            <w:tcBorders>
              <w:top w:val="nil"/>
              <w:left w:val="nil"/>
              <w:bottom w:val="nil"/>
              <w:right w:val="nil"/>
            </w:tcBorders>
            <w:shd w:val="clear" w:color="000000" w:fill="FFFFFF"/>
            <w:noWrap/>
            <w:vAlign w:val="center"/>
            <w:hideMark/>
          </w:tcPr>
          <w:p w14:paraId="451BFA09"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3,430</w:t>
            </w:r>
          </w:p>
        </w:tc>
        <w:tc>
          <w:tcPr>
            <w:tcW w:w="526" w:type="pct"/>
            <w:tcBorders>
              <w:top w:val="nil"/>
              <w:left w:val="nil"/>
              <w:bottom w:val="nil"/>
              <w:right w:val="nil"/>
            </w:tcBorders>
            <w:shd w:val="clear" w:color="000000" w:fill="FFFFFF"/>
            <w:noWrap/>
            <w:vAlign w:val="center"/>
            <w:hideMark/>
          </w:tcPr>
          <w:p w14:paraId="5D53F872"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3,450</w:t>
            </w:r>
          </w:p>
        </w:tc>
        <w:tc>
          <w:tcPr>
            <w:tcW w:w="526" w:type="pct"/>
            <w:tcBorders>
              <w:top w:val="nil"/>
              <w:left w:val="nil"/>
              <w:bottom w:val="nil"/>
              <w:right w:val="nil"/>
            </w:tcBorders>
            <w:shd w:val="clear" w:color="000000" w:fill="FFFFFF"/>
            <w:noWrap/>
            <w:vAlign w:val="center"/>
            <w:hideMark/>
          </w:tcPr>
          <w:p w14:paraId="796F0AB2"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3,450</w:t>
            </w:r>
          </w:p>
        </w:tc>
      </w:tr>
      <w:tr w:rsidR="00EB4FEA" w:rsidRPr="00EC4BA6" w14:paraId="3C6EC990" w14:textId="77777777" w:rsidTr="008F032C">
        <w:trPr>
          <w:trHeight w:hRule="exact" w:val="225"/>
        </w:trPr>
        <w:tc>
          <w:tcPr>
            <w:tcW w:w="1947" w:type="pct"/>
            <w:tcBorders>
              <w:top w:val="nil"/>
              <w:left w:val="nil"/>
              <w:bottom w:val="nil"/>
              <w:right w:val="nil"/>
            </w:tcBorders>
            <w:shd w:val="clear" w:color="000000" w:fill="FFFFFF"/>
            <w:noWrap/>
            <w:vAlign w:val="center"/>
            <w:hideMark/>
          </w:tcPr>
          <w:p w14:paraId="258242E2" w14:textId="77777777" w:rsidR="00AC4FFA" w:rsidRPr="00EC4BA6" w:rsidRDefault="00AC4FFA" w:rsidP="008F032C">
            <w:pPr>
              <w:spacing w:before="0" w:after="0" w:line="240" w:lineRule="auto"/>
              <w:ind w:left="170"/>
              <w:rPr>
                <w:rFonts w:ascii="Arial" w:hAnsi="Arial" w:cs="Arial"/>
                <w:sz w:val="16"/>
                <w:szCs w:val="16"/>
              </w:rPr>
            </w:pPr>
            <w:r w:rsidRPr="00EC4BA6">
              <w:rPr>
                <w:rFonts w:ascii="Arial" w:hAnsi="Arial" w:cs="Arial"/>
                <w:sz w:val="16"/>
                <w:szCs w:val="16"/>
              </w:rPr>
              <w:t>Other alcoholic beverages(a)</w:t>
            </w:r>
          </w:p>
        </w:tc>
        <w:tc>
          <w:tcPr>
            <w:tcW w:w="500" w:type="pct"/>
            <w:tcBorders>
              <w:top w:val="nil"/>
              <w:left w:val="nil"/>
              <w:bottom w:val="nil"/>
              <w:right w:val="nil"/>
            </w:tcBorders>
            <w:shd w:val="clear" w:color="000000" w:fill="FFFFFF"/>
            <w:noWrap/>
            <w:vAlign w:val="center"/>
            <w:hideMark/>
          </w:tcPr>
          <w:p w14:paraId="114C9133"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1,686</w:t>
            </w:r>
          </w:p>
        </w:tc>
        <w:tc>
          <w:tcPr>
            <w:tcW w:w="54" w:type="pct"/>
            <w:tcBorders>
              <w:top w:val="nil"/>
              <w:left w:val="nil"/>
              <w:bottom w:val="nil"/>
              <w:right w:val="nil"/>
            </w:tcBorders>
            <w:shd w:val="clear" w:color="000000" w:fill="FFFFFF"/>
            <w:noWrap/>
            <w:vAlign w:val="center"/>
            <w:hideMark/>
          </w:tcPr>
          <w:p w14:paraId="416B14BD"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 </w:t>
            </w:r>
          </w:p>
        </w:tc>
        <w:tc>
          <w:tcPr>
            <w:tcW w:w="460" w:type="pct"/>
            <w:tcBorders>
              <w:top w:val="nil"/>
              <w:left w:val="nil"/>
              <w:bottom w:val="nil"/>
              <w:right w:val="nil"/>
            </w:tcBorders>
            <w:shd w:val="clear" w:color="000000" w:fill="FFFFFF"/>
            <w:noWrap/>
            <w:vAlign w:val="center"/>
            <w:hideMark/>
          </w:tcPr>
          <w:p w14:paraId="44076DE0"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1,770</w:t>
            </w:r>
          </w:p>
        </w:tc>
        <w:tc>
          <w:tcPr>
            <w:tcW w:w="460" w:type="pct"/>
            <w:tcBorders>
              <w:top w:val="nil"/>
              <w:left w:val="nil"/>
              <w:bottom w:val="nil"/>
              <w:right w:val="nil"/>
            </w:tcBorders>
            <w:shd w:val="clear" w:color="000000" w:fill="E6F2FF"/>
            <w:noWrap/>
            <w:vAlign w:val="center"/>
            <w:hideMark/>
          </w:tcPr>
          <w:p w14:paraId="6C0F14B2"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1,830</w:t>
            </w:r>
          </w:p>
        </w:tc>
        <w:tc>
          <w:tcPr>
            <w:tcW w:w="526" w:type="pct"/>
            <w:tcBorders>
              <w:top w:val="nil"/>
              <w:left w:val="nil"/>
              <w:bottom w:val="nil"/>
              <w:right w:val="nil"/>
            </w:tcBorders>
            <w:shd w:val="clear" w:color="000000" w:fill="FFFFFF"/>
            <w:noWrap/>
            <w:vAlign w:val="center"/>
            <w:hideMark/>
          </w:tcPr>
          <w:p w14:paraId="1999E734"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1,930</w:t>
            </w:r>
          </w:p>
        </w:tc>
        <w:tc>
          <w:tcPr>
            <w:tcW w:w="526" w:type="pct"/>
            <w:tcBorders>
              <w:top w:val="nil"/>
              <w:left w:val="nil"/>
              <w:bottom w:val="nil"/>
              <w:right w:val="nil"/>
            </w:tcBorders>
            <w:shd w:val="clear" w:color="000000" w:fill="FFFFFF"/>
            <w:noWrap/>
            <w:vAlign w:val="center"/>
            <w:hideMark/>
          </w:tcPr>
          <w:p w14:paraId="40477727"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1,950</w:t>
            </w:r>
          </w:p>
        </w:tc>
        <w:tc>
          <w:tcPr>
            <w:tcW w:w="526" w:type="pct"/>
            <w:tcBorders>
              <w:top w:val="nil"/>
              <w:left w:val="nil"/>
              <w:bottom w:val="nil"/>
              <w:right w:val="nil"/>
            </w:tcBorders>
            <w:shd w:val="clear" w:color="000000" w:fill="FFFFFF"/>
            <w:noWrap/>
            <w:vAlign w:val="center"/>
            <w:hideMark/>
          </w:tcPr>
          <w:p w14:paraId="10B2F507"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2,000</w:t>
            </w:r>
          </w:p>
        </w:tc>
      </w:tr>
      <w:tr w:rsidR="00EB4FEA" w:rsidRPr="00EC4BA6" w14:paraId="5BC39700" w14:textId="77777777" w:rsidTr="008F032C">
        <w:trPr>
          <w:trHeight w:hRule="exact" w:val="225"/>
        </w:trPr>
        <w:tc>
          <w:tcPr>
            <w:tcW w:w="1947" w:type="pct"/>
            <w:tcBorders>
              <w:top w:val="nil"/>
              <w:left w:val="nil"/>
              <w:bottom w:val="nil"/>
              <w:right w:val="nil"/>
            </w:tcBorders>
            <w:shd w:val="clear" w:color="000000" w:fill="FFFFFF"/>
            <w:noWrap/>
            <w:vAlign w:val="center"/>
            <w:hideMark/>
          </w:tcPr>
          <w:p w14:paraId="01375FC0" w14:textId="77777777" w:rsidR="00AC4FFA" w:rsidRPr="00EC4BA6" w:rsidRDefault="00AC4FFA" w:rsidP="008F032C">
            <w:pPr>
              <w:spacing w:before="0" w:after="0" w:line="240" w:lineRule="auto"/>
              <w:ind w:left="170"/>
              <w:rPr>
                <w:rFonts w:ascii="Arial" w:hAnsi="Arial" w:cs="Arial"/>
                <w:sz w:val="16"/>
                <w:szCs w:val="16"/>
              </w:rPr>
            </w:pPr>
            <w:r w:rsidRPr="00EC4BA6">
              <w:rPr>
                <w:rFonts w:ascii="Arial" w:hAnsi="Arial" w:cs="Arial"/>
                <w:sz w:val="16"/>
                <w:szCs w:val="16"/>
              </w:rPr>
              <w:t>Other customs duty</w:t>
            </w:r>
          </w:p>
        </w:tc>
        <w:tc>
          <w:tcPr>
            <w:tcW w:w="500" w:type="pct"/>
            <w:tcBorders>
              <w:top w:val="nil"/>
              <w:left w:val="nil"/>
              <w:bottom w:val="nil"/>
              <w:right w:val="nil"/>
            </w:tcBorders>
            <w:shd w:val="clear" w:color="000000" w:fill="FFFFFF"/>
            <w:noWrap/>
            <w:vAlign w:val="center"/>
            <w:hideMark/>
          </w:tcPr>
          <w:p w14:paraId="4460F256"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 </w:t>
            </w:r>
          </w:p>
        </w:tc>
        <w:tc>
          <w:tcPr>
            <w:tcW w:w="54" w:type="pct"/>
            <w:tcBorders>
              <w:top w:val="nil"/>
              <w:left w:val="nil"/>
              <w:bottom w:val="nil"/>
              <w:right w:val="nil"/>
            </w:tcBorders>
            <w:shd w:val="clear" w:color="000000" w:fill="FFFFFF"/>
            <w:noWrap/>
            <w:vAlign w:val="center"/>
            <w:hideMark/>
          </w:tcPr>
          <w:p w14:paraId="563D9FD0"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 </w:t>
            </w:r>
          </w:p>
        </w:tc>
        <w:tc>
          <w:tcPr>
            <w:tcW w:w="460" w:type="pct"/>
            <w:tcBorders>
              <w:top w:val="nil"/>
              <w:left w:val="nil"/>
              <w:bottom w:val="nil"/>
              <w:right w:val="nil"/>
            </w:tcBorders>
            <w:shd w:val="clear" w:color="000000" w:fill="FFFFFF"/>
            <w:noWrap/>
            <w:vAlign w:val="center"/>
            <w:hideMark/>
          </w:tcPr>
          <w:p w14:paraId="1528DA50" w14:textId="77777777" w:rsidR="00AC4FFA" w:rsidRPr="00EC4BA6" w:rsidRDefault="00AC4FFA" w:rsidP="008F032C">
            <w:pPr>
              <w:spacing w:before="0" w:after="0" w:line="240" w:lineRule="auto"/>
              <w:rPr>
                <w:rFonts w:ascii="Arial" w:hAnsi="Arial" w:cs="Arial"/>
                <w:sz w:val="16"/>
                <w:szCs w:val="16"/>
              </w:rPr>
            </w:pPr>
            <w:r w:rsidRPr="00EC4BA6">
              <w:rPr>
                <w:rFonts w:ascii="Arial" w:hAnsi="Arial" w:cs="Arial"/>
                <w:sz w:val="16"/>
                <w:szCs w:val="16"/>
              </w:rPr>
              <w:t> </w:t>
            </w:r>
          </w:p>
        </w:tc>
        <w:tc>
          <w:tcPr>
            <w:tcW w:w="460" w:type="pct"/>
            <w:tcBorders>
              <w:top w:val="nil"/>
              <w:left w:val="nil"/>
              <w:bottom w:val="nil"/>
              <w:right w:val="nil"/>
            </w:tcBorders>
            <w:shd w:val="clear" w:color="000000" w:fill="E6F2FF"/>
            <w:noWrap/>
            <w:vAlign w:val="center"/>
            <w:hideMark/>
          </w:tcPr>
          <w:p w14:paraId="5B4BEA2E" w14:textId="77777777" w:rsidR="00AC4FFA" w:rsidRPr="00EC4BA6" w:rsidRDefault="00AC4FFA" w:rsidP="008F032C">
            <w:pPr>
              <w:spacing w:before="0" w:after="0" w:line="240" w:lineRule="auto"/>
              <w:rPr>
                <w:rFonts w:ascii="Arial" w:hAnsi="Arial" w:cs="Arial"/>
                <w:sz w:val="16"/>
                <w:szCs w:val="16"/>
              </w:rPr>
            </w:pPr>
            <w:r w:rsidRPr="00EC4BA6">
              <w:rPr>
                <w:rFonts w:ascii="Arial" w:hAnsi="Arial" w:cs="Arial"/>
                <w:sz w:val="16"/>
                <w:szCs w:val="16"/>
              </w:rPr>
              <w:t> </w:t>
            </w:r>
          </w:p>
        </w:tc>
        <w:tc>
          <w:tcPr>
            <w:tcW w:w="526" w:type="pct"/>
            <w:tcBorders>
              <w:top w:val="nil"/>
              <w:left w:val="nil"/>
              <w:bottom w:val="nil"/>
              <w:right w:val="nil"/>
            </w:tcBorders>
            <w:shd w:val="clear" w:color="000000" w:fill="FFFFFF"/>
            <w:noWrap/>
            <w:vAlign w:val="center"/>
            <w:hideMark/>
          </w:tcPr>
          <w:p w14:paraId="0A63CC9E"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 </w:t>
            </w:r>
          </w:p>
        </w:tc>
        <w:tc>
          <w:tcPr>
            <w:tcW w:w="526" w:type="pct"/>
            <w:tcBorders>
              <w:top w:val="nil"/>
              <w:left w:val="nil"/>
              <w:bottom w:val="nil"/>
              <w:right w:val="nil"/>
            </w:tcBorders>
            <w:shd w:val="clear" w:color="000000" w:fill="FFFFFF"/>
            <w:noWrap/>
            <w:vAlign w:val="center"/>
            <w:hideMark/>
          </w:tcPr>
          <w:p w14:paraId="31AD7E13"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 </w:t>
            </w:r>
          </w:p>
        </w:tc>
        <w:tc>
          <w:tcPr>
            <w:tcW w:w="526" w:type="pct"/>
            <w:tcBorders>
              <w:top w:val="nil"/>
              <w:left w:val="nil"/>
              <w:bottom w:val="nil"/>
              <w:right w:val="nil"/>
            </w:tcBorders>
            <w:shd w:val="clear" w:color="000000" w:fill="FFFFFF"/>
            <w:noWrap/>
            <w:vAlign w:val="center"/>
            <w:hideMark/>
          </w:tcPr>
          <w:p w14:paraId="67CA6CFA"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 </w:t>
            </w:r>
          </w:p>
        </w:tc>
      </w:tr>
      <w:tr w:rsidR="00EB4FEA" w:rsidRPr="00EC4BA6" w14:paraId="5B1897DD" w14:textId="77777777" w:rsidTr="008F032C">
        <w:trPr>
          <w:trHeight w:hRule="exact" w:val="225"/>
        </w:trPr>
        <w:tc>
          <w:tcPr>
            <w:tcW w:w="1947" w:type="pct"/>
            <w:tcBorders>
              <w:top w:val="nil"/>
              <w:left w:val="nil"/>
              <w:bottom w:val="nil"/>
              <w:right w:val="nil"/>
            </w:tcBorders>
            <w:shd w:val="clear" w:color="000000" w:fill="FFFFFF"/>
            <w:noWrap/>
            <w:vAlign w:val="bottom"/>
            <w:hideMark/>
          </w:tcPr>
          <w:p w14:paraId="7984AF37" w14:textId="77777777" w:rsidR="00AC4FFA" w:rsidRPr="00EC4BA6" w:rsidRDefault="00AC4FFA" w:rsidP="008F032C">
            <w:pPr>
              <w:spacing w:before="0" w:after="0" w:line="240" w:lineRule="auto"/>
              <w:ind w:left="170"/>
              <w:rPr>
                <w:rFonts w:ascii="Arial" w:hAnsi="Arial" w:cs="Arial"/>
                <w:sz w:val="16"/>
                <w:szCs w:val="16"/>
              </w:rPr>
            </w:pPr>
            <w:r w:rsidRPr="00EC4BA6">
              <w:rPr>
                <w:rFonts w:ascii="Arial" w:hAnsi="Arial" w:cs="Arial"/>
                <w:sz w:val="16"/>
                <w:szCs w:val="16"/>
              </w:rPr>
              <w:t xml:space="preserve">    Textiles, clothing and footwear</w:t>
            </w:r>
          </w:p>
        </w:tc>
        <w:tc>
          <w:tcPr>
            <w:tcW w:w="500" w:type="pct"/>
            <w:tcBorders>
              <w:top w:val="nil"/>
              <w:left w:val="nil"/>
              <w:bottom w:val="nil"/>
              <w:right w:val="nil"/>
            </w:tcBorders>
            <w:shd w:val="clear" w:color="000000" w:fill="FFFFFF"/>
            <w:noWrap/>
            <w:vAlign w:val="center"/>
            <w:hideMark/>
          </w:tcPr>
          <w:p w14:paraId="7242D779"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159</w:t>
            </w:r>
          </w:p>
        </w:tc>
        <w:tc>
          <w:tcPr>
            <w:tcW w:w="54" w:type="pct"/>
            <w:tcBorders>
              <w:top w:val="nil"/>
              <w:left w:val="nil"/>
              <w:bottom w:val="nil"/>
              <w:right w:val="nil"/>
            </w:tcBorders>
            <w:shd w:val="clear" w:color="000000" w:fill="FFFFFF"/>
            <w:noWrap/>
            <w:vAlign w:val="center"/>
            <w:hideMark/>
          </w:tcPr>
          <w:p w14:paraId="09513EF6"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 </w:t>
            </w:r>
          </w:p>
        </w:tc>
        <w:tc>
          <w:tcPr>
            <w:tcW w:w="460" w:type="pct"/>
            <w:tcBorders>
              <w:top w:val="nil"/>
              <w:left w:val="nil"/>
              <w:bottom w:val="nil"/>
              <w:right w:val="nil"/>
            </w:tcBorders>
            <w:shd w:val="clear" w:color="000000" w:fill="FFFFFF"/>
            <w:noWrap/>
            <w:vAlign w:val="center"/>
            <w:hideMark/>
          </w:tcPr>
          <w:p w14:paraId="0CE91C8A"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160</w:t>
            </w:r>
          </w:p>
        </w:tc>
        <w:tc>
          <w:tcPr>
            <w:tcW w:w="460" w:type="pct"/>
            <w:tcBorders>
              <w:top w:val="nil"/>
              <w:left w:val="nil"/>
              <w:bottom w:val="nil"/>
              <w:right w:val="nil"/>
            </w:tcBorders>
            <w:shd w:val="clear" w:color="000000" w:fill="E6F2FF"/>
            <w:noWrap/>
            <w:vAlign w:val="center"/>
            <w:hideMark/>
          </w:tcPr>
          <w:p w14:paraId="65F8A44F"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170</w:t>
            </w:r>
          </w:p>
        </w:tc>
        <w:tc>
          <w:tcPr>
            <w:tcW w:w="526" w:type="pct"/>
            <w:tcBorders>
              <w:top w:val="nil"/>
              <w:left w:val="nil"/>
              <w:bottom w:val="nil"/>
              <w:right w:val="nil"/>
            </w:tcBorders>
            <w:shd w:val="clear" w:color="000000" w:fill="FFFFFF"/>
            <w:noWrap/>
            <w:vAlign w:val="center"/>
            <w:hideMark/>
          </w:tcPr>
          <w:p w14:paraId="0EC46429"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180</w:t>
            </w:r>
          </w:p>
        </w:tc>
        <w:tc>
          <w:tcPr>
            <w:tcW w:w="526" w:type="pct"/>
            <w:tcBorders>
              <w:top w:val="nil"/>
              <w:left w:val="nil"/>
              <w:bottom w:val="nil"/>
              <w:right w:val="nil"/>
            </w:tcBorders>
            <w:shd w:val="clear" w:color="000000" w:fill="FFFFFF"/>
            <w:noWrap/>
            <w:vAlign w:val="center"/>
            <w:hideMark/>
          </w:tcPr>
          <w:p w14:paraId="1F433D3B"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150</w:t>
            </w:r>
          </w:p>
        </w:tc>
        <w:tc>
          <w:tcPr>
            <w:tcW w:w="526" w:type="pct"/>
            <w:tcBorders>
              <w:top w:val="nil"/>
              <w:left w:val="nil"/>
              <w:bottom w:val="nil"/>
              <w:right w:val="nil"/>
            </w:tcBorders>
            <w:shd w:val="clear" w:color="000000" w:fill="FFFFFF"/>
            <w:noWrap/>
            <w:vAlign w:val="center"/>
            <w:hideMark/>
          </w:tcPr>
          <w:p w14:paraId="7190CD15"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160</w:t>
            </w:r>
          </w:p>
        </w:tc>
      </w:tr>
      <w:tr w:rsidR="00EB4FEA" w:rsidRPr="00EC4BA6" w14:paraId="5139DE10" w14:textId="77777777" w:rsidTr="008F032C">
        <w:trPr>
          <w:trHeight w:hRule="exact" w:val="225"/>
        </w:trPr>
        <w:tc>
          <w:tcPr>
            <w:tcW w:w="1947" w:type="pct"/>
            <w:tcBorders>
              <w:top w:val="nil"/>
              <w:left w:val="nil"/>
              <w:bottom w:val="nil"/>
              <w:right w:val="nil"/>
            </w:tcBorders>
            <w:shd w:val="clear" w:color="000000" w:fill="FFFFFF"/>
            <w:noWrap/>
            <w:vAlign w:val="bottom"/>
            <w:hideMark/>
          </w:tcPr>
          <w:p w14:paraId="5986CF3A" w14:textId="77777777" w:rsidR="00AC4FFA" w:rsidRPr="00EC4BA6" w:rsidRDefault="00AC4FFA" w:rsidP="008F032C">
            <w:pPr>
              <w:spacing w:before="0" w:after="0" w:line="240" w:lineRule="auto"/>
              <w:ind w:left="170"/>
              <w:rPr>
                <w:rFonts w:ascii="Arial" w:hAnsi="Arial" w:cs="Arial"/>
                <w:sz w:val="16"/>
                <w:szCs w:val="16"/>
              </w:rPr>
            </w:pPr>
            <w:r w:rsidRPr="00EC4BA6">
              <w:rPr>
                <w:rFonts w:ascii="Arial" w:hAnsi="Arial" w:cs="Arial"/>
                <w:sz w:val="16"/>
                <w:szCs w:val="16"/>
              </w:rPr>
              <w:t xml:space="preserve">    Passenger motor vehicles</w:t>
            </w:r>
          </w:p>
        </w:tc>
        <w:tc>
          <w:tcPr>
            <w:tcW w:w="500" w:type="pct"/>
            <w:tcBorders>
              <w:top w:val="nil"/>
              <w:left w:val="nil"/>
              <w:bottom w:val="nil"/>
              <w:right w:val="nil"/>
            </w:tcBorders>
            <w:shd w:val="clear" w:color="000000" w:fill="FFFFFF"/>
            <w:noWrap/>
            <w:vAlign w:val="center"/>
            <w:hideMark/>
          </w:tcPr>
          <w:p w14:paraId="23C8CB06"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391</w:t>
            </w:r>
          </w:p>
        </w:tc>
        <w:tc>
          <w:tcPr>
            <w:tcW w:w="54" w:type="pct"/>
            <w:tcBorders>
              <w:top w:val="nil"/>
              <w:left w:val="nil"/>
              <w:bottom w:val="nil"/>
              <w:right w:val="nil"/>
            </w:tcBorders>
            <w:shd w:val="clear" w:color="000000" w:fill="FFFFFF"/>
            <w:noWrap/>
            <w:vAlign w:val="center"/>
            <w:hideMark/>
          </w:tcPr>
          <w:p w14:paraId="69216EAF"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 </w:t>
            </w:r>
          </w:p>
        </w:tc>
        <w:tc>
          <w:tcPr>
            <w:tcW w:w="460" w:type="pct"/>
            <w:tcBorders>
              <w:top w:val="nil"/>
              <w:left w:val="nil"/>
              <w:bottom w:val="nil"/>
              <w:right w:val="nil"/>
            </w:tcBorders>
            <w:shd w:val="clear" w:color="000000" w:fill="FFFFFF"/>
            <w:noWrap/>
            <w:vAlign w:val="center"/>
            <w:hideMark/>
          </w:tcPr>
          <w:p w14:paraId="42A010AE"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380</w:t>
            </w:r>
          </w:p>
        </w:tc>
        <w:tc>
          <w:tcPr>
            <w:tcW w:w="460" w:type="pct"/>
            <w:tcBorders>
              <w:top w:val="nil"/>
              <w:left w:val="nil"/>
              <w:bottom w:val="nil"/>
              <w:right w:val="nil"/>
            </w:tcBorders>
            <w:shd w:val="clear" w:color="000000" w:fill="E6F2FF"/>
            <w:noWrap/>
            <w:vAlign w:val="center"/>
            <w:hideMark/>
          </w:tcPr>
          <w:p w14:paraId="11ACCCA3"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380</w:t>
            </w:r>
          </w:p>
        </w:tc>
        <w:tc>
          <w:tcPr>
            <w:tcW w:w="526" w:type="pct"/>
            <w:tcBorders>
              <w:top w:val="nil"/>
              <w:left w:val="nil"/>
              <w:bottom w:val="nil"/>
              <w:right w:val="nil"/>
            </w:tcBorders>
            <w:shd w:val="clear" w:color="000000" w:fill="FFFFFF"/>
            <w:noWrap/>
            <w:vAlign w:val="center"/>
            <w:hideMark/>
          </w:tcPr>
          <w:p w14:paraId="2D33527F"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350</w:t>
            </w:r>
          </w:p>
        </w:tc>
        <w:tc>
          <w:tcPr>
            <w:tcW w:w="526" w:type="pct"/>
            <w:tcBorders>
              <w:top w:val="nil"/>
              <w:left w:val="nil"/>
              <w:bottom w:val="nil"/>
              <w:right w:val="nil"/>
            </w:tcBorders>
            <w:shd w:val="clear" w:color="000000" w:fill="FFFFFF"/>
            <w:noWrap/>
            <w:vAlign w:val="center"/>
            <w:hideMark/>
          </w:tcPr>
          <w:p w14:paraId="24F09E57"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120</w:t>
            </w:r>
          </w:p>
        </w:tc>
        <w:tc>
          <w:tcPr>
            <w:tcW w:w="526" w:type="pct"/>
            <w:tcBorders>
              <w:top w:val="nil"/>
              <w:left w:val="nil"/>
              <w:bottom w:val="nil"/>
              <w:right w:val="nil"/>
            </w:tcBorders>
            <w:shd w:val="clear" w:color="000000" w:fill="FFFFFF"/>
            <w:noWrap/>
            <w:vAlign w:val="center"/>
            <w:hideMark/>
          </w:tcPr>
          <w:p w14:paraId="3DF73F08"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120</w:t>
            </w:r>
          </w:p>
        </w:tc>
      </w:tr>
      <w:tr w:rsidR="00EB4FEA" w:rsidRPr="00EC4BA6" w14:paraId="52964CBD" w14:textId="77777777" w:rsidTr="008F032C">
        <w:trPr>
          <w:trHeight w:hRule="exact" w:val="225"/>
        </w:trPr>
        <w:tc>
          <w:tcPr>
            <w:tcW w:w="1947" w:type="pct"/>
            <w:tcBorders>
              <w:top w:val="nil"/>
              <w:left w:val="nil"/>
              <w:bottom w:val="nil"/>
              <w:right w:val="nil"/>
            </w:tcBorders>
            <w:shd w:val="clear" w:color="000000" w:fill="FFFFFF"/>
            <w:noWrap/>
            <w:vAlign w:val="center"/>
            <w:hideMark/>
          </w:tcPr>
          <w:p w14:paraId="3408E295" w14:textId="77777777" w:rsidR="00AC4FFA" w:rsidRPr="00EC4BA6" w:rsidRDefault="00AC4FFA" w:rsidP="008F032C">
            <w:pPr>
              <w:spacing w:before="0" w:after="0" w:line="240" w:lineRule="auto"/>
              <w:ind w:left="170"/>
              <w:rPr>
                <w:rFonts w:ascii="Arial" w:hAnsi="Arial" w:cs="Arial"/>
                <w:sz w:val="16"/>
                <w:szCs w:val="16"/>
              </w:rPr>
            </w:pPr>
            <w:r w:rsidRPr="00EC4BA6">
              <w:rPr>
                <w:rFonts w:ascii="Arial" w:hAnsi="Arial" w:cs="Arial"/>
                <w:sz w:val="16"/>
                <w:szCs w:val="16"/>
              </w:rPr>
              <w:t xml:space="preserve">    Other imports</w:t>
            </w:r>
          </w:p>
        </w:tc>
        <w:tc>
          <w:tcPr>
            <w:tcW w:w="500" w:type="pct"/>
            <w:tcBorders>
              <w:top w:val="nil"/>
              <w:left w:val="nil"/>
              <w:bottom w:val="nil"/>
              <w:right w:val="nil"/>
            </w:tcBorders>
            <w:shd w:val="clear" w:color="000000" w:fill="FFFFFF"/>
            <w:noWrap/>
            <w:vAlign w:val="center"/>
            <w:hideMark/>
          </w:tcPr>
          <w:p w14:paraId="53E92EA4"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1,501</w:t>
            </w:r>
          </w:p>
        </w:tc>
        <w:tc>
          <w:tcPr>
            <w:tcW w:w="54" w:type="pct"/>
            <w:tcBorders>
              <w:top w:val="nil"/>
              <w:left w:val="nil"/>
              <w:bottom w:val="nil"/>
              <w:right w:val="nil"/>
            </w:tcBorders>
            <w:shd w:val="clear" w:color="000000" w:fill="FFFFFF"/>
            <w:noWrap/>
            <w:vAlign w:val="center"/>
            <w:hideMark/>
          </w:tcPr>
          <w:p w14:paraId="33AF327B"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 </w:t>
            </w:r>
          </w:p>
        </w:tc>
        <w:tc>
          <w:tcPr>
            <w:tcW w:w="460" w:type="pct"/>
            <w:tcBorders>
              <w:top w:val="nil"/>
              <w:left w:val="nil"/>
              <w:bottom w:val="nil"/>
              <w:right w:val="nil"/>
            </w:tcBorders>
            <w:shd w:val="clear" w:color="000000" w:fill="FFFFFF"/>
            <w:noWrap/>
            <w:vAlign w:val="center"/>
            <w:hideMark/>
          </w:tcPr>
          <w:p w14:paraId="6330578C"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1,560</w:t>
            </w:r>
          </w:p>
        </w:tc>
        <w:tc>
          <w:tcPr>
            <w:tcW w:w="460" w:type="pct"/>
            <w:tcBorders>
              <w:top w:val="nil"/>
              <w:left w:val="nil"/>
              <w:bottom w:val="nil"/>
              <w:right w:val="nil"/>
            </w:tcBorders>
            <w:shd w:val="clear" w:color="000000" w:fill="E6F2FF"/>
            <w:noWrap/>
            <w:vAlign w:val="center"/>
            <w:hideMark/>
          </w:tcPr>
          <w:p w14:paraId="509B7EE8"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1,620</w:t>
            </w:r>
          </w:p>
        </w:tc>
        <w:tc>
          <w:tcPr>
            <w:tcW w:w="526" w:type="pct"/>
            <w:tcBorders>
              <w:top w:val="nil"/>
              <w:left w:val="nil"/>
              <w:bottom w:val="nil"/>
              <w:right w:val="nil"/>
            </w:tcBorders>
            <w:shd w:val="clear" w:color="000000" w:fill="FFFFFF"/>
            <w:noWrap/>
            <w:vAlign w:val="center"/>
            <w:hideMark/>
          </w:tcPr>
          <w:p w14:paraId="78607D71"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1,680</w:t>
            </w:r>
          </w:p>
        </w:tc>
        <w:tc>
          <w:tcPr>
            <w:tcW w:w="526" w:type="pct"/>
            <w:tcBorders>
              <w:top w:val="nil"/>
              <w:left w:val="nil"/>
              <w:bottom w:val="nil"/>
              <w:right w:val="nil"/>
            </w:tcBorders>
            <w:shd w:val="clear" w:color="000000" w:fill="FFFFFF"/>
            <w:noWrap/>
            <w:vAlign w:val="center"/>
            <w:hideMark/>
          </w:tcPr>
          <w:p w14:paraId="28B95F39"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890</w:t>
            </w:r>
          </w:p>
        </w:tc>
        <w:tc>
          <w:tcPr>
            <w:tcW w:w="526" w:type="pct"/>
            <w:tcBorders>
              <w:top w:val="nil"/>
              <w:left w:val="nil"/>
              <w:bottom w:val="nil"/>
              <w:right w:val="nil"/>
            </w:tcBorders>
            <w:shd w:val="clear" w:color="000000" w:fill="FFFFFF"/>
            <w:noWrap/>
            <w:vAlign w:val="center"/>
            <w:hideMark/>
          </w:tcPr>
          <w:p w14:paraId="6A86DB41"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910</w:t>
            </w:r>
          </w:p>
        </w:tc>
      </w:tr>
      <w:tr w:rsidR="00EB4FEA" w:rsidRPr="00EC4BA6" w14:paraId="1B3ED0FE" w14:textId="77777777" w:rsidTr="008F032C">
        <w:trPr>
          <w:trHeight w:hRule="exact" w:val="225"/>
        </w:trPr>
        <w:tc>
          <w:tcPr>
            <w:tcW w:w="1947" w:type="pct"/>
            <w:tcBorders>
              <w:top w:val="nil"/>
              <w:left w:val="nil"/>
              <w:bottom w:val="nil"/>
              <w:right w:val="nil"/>
            </w:tcBorders>
            <w:shd w:val="clear" w:color="000000" w:fill="FFFFFF"/>
            <w:noWrap/>
            <w:vAlign w:val="bottom"/>
            <w:hideMark/>
          </w:tcPr>
          <w:p w14:paraId="6B0ADFBA" w14:textId="77777777" w:rsidR="00AC4FFA" w:rsidRPr="00EC4BA6" w:rsidRDefault="00AC4FFA" w:rsidP="008F032C">
            <w:pPr>
              <w:spacing w:before="0" w:after="0" w:line="240" w:lineRule="auto"/>
              <w:ind w:left="170"/>
              <w:rPr>
                <w:rFonts w:ascii="Arial" w:hAnsi="Arial" w:cs="Arial"/>
                <w:i/>
                <w:sz w:val="16"/>
                <w:szCs w:val="16"/>
              </w:rPr>
            </w:pPr>
            <w:r w:rsidRPr="00EC4BA6">
              <w:rPr>
                <w:rFonts w:ascii="Arial" w:hAnsi="Arial" w:cs="Arial"/>
                <w:i/>
                <w:sz w:val="16"/>
                <w:szCs w:val="16"/>
              </w:rPr>
              <w:t xml:space="preserve">less: </w:t>
            </w:r>
            <w:r w:rsidRPr="00EC4BA6">
              <w:rPr>
                <w:rFonts w:ascii="Arial" w:hAnsi="Arial" w:cs="Arial"/>
                <w:sz w:val="16"/>
                <w:szCs w:val="16"/>
              </w:rPr>
              <w:t>Refunds and drawbacks</w:t>
            </w:r>
          </w:p>
        </w:tc>
        <w:tc>
          <w:tcPr>
            <w:tcW w:w="500" w:type="pct"/>
            <w:tcBorders>
              <w:top w:val="nil"/>
              <w:left w:val="nil"/>
              <w:bottom w:val="nil"/>
              <w:right w:val="nil"/>
            </w:tcBorders>
            <w:shd w:val="clear" w:color="000000" w:fill="FFFFFF"/>
            <w:noWrap/>
            <w:vAlign w:val="center"/>
            <w:hideMark/>
          </w:tcPr>
          <w:p w14:paraId="1B35C015"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791</w:t>
            </w:r>
          </w:p>
        </w:tc>
        <w:tc>
          <w:tcPr>
            <w:tcW w:w="54" w:type="pct"/>
            <w:tcBorders>
              <w:top w:val="nil"/>
              <w:left w:val="nil"/>
              <w:bottom w:val="nil"/>
              <w:right w:val="nil"/>
            </w:tcBorders>
            <w:shd w:val="clear" w:color="000000" w:fill="FFFFFF"/>
            <w:noWrap/>
            <w:vAlign w:val="center"/>
            <w:hideMark/>
          </w:tcPr>
          <w:p w14:paraId="7816B37A"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 </w:t>
            </w:r>
          </w:p>
        </w:tc>
        <w:tc>
          <w:tcPr>
            <w:tcW w:w="460" w:type="pct"/>
            <w:tcBorders>
              <w:top w:val="nil"/>
              <w:left w:val="nil"/>
              <w:bottom w:val="nil"/>
              <w:right w:val="nil"/>
            </w:tcBorders>
            <w:shd w:val="clear" w:color="000000" w:fill="FFFFFF"/>
            <w:noWrap/>
            <w:vAlign w:val="center"/>
            <w:hideMark/>
          </w:tcPr>
          <w:p w14:paraId="19F044F6"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870</w:t>
            </w:r>
          </w:p>
        </w:tc>
        <w:tc>
          <w:tcPr>
            <w:tcW w:w="460" w:type="pct"/>
            <w:tcBorders>
              <w:top w:val="nil"/>
              <w:left w:val="nil"/>
              <w:bottom w:val="nil"/>
              <w:right w:val="nil"/>
            </w:tcBorders>
            <w:shd w:val="clear" w:color="000000" w:fill="E6F2FF"/>
            <w:noWrap/>
            <w:vAlign w:val="center"/>
            <w:hideMark/>
          </w:tcPr>
          <w:p w14:paraId="31924BBD"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730</w:t>
            </w:r>
          </w:p>
        </w:tc>
        <w:tc>
          <w:tcPr>
            <w:tcW w:w="526" w:type="pct"/>
            <w:tcBorders>
              <w:top w:val="nil"/>
              <w:left w:val="nil"/>
              <w:bottom w:val="nil"/>
              <w:right w:val="nil"/>
            </w:tcBorders>
            <w:shd w:val="clear" w:color="000000" w:fill="FFFFFF"/>
            <w:noWrap/>
            <w:vAlign w:val="center"/>
            <w:hideMark/>
          </w:tcPr>
          <w:p w14:paraId="5470583E"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730</w:t>
            </w:r>
          </w:p>
        </w:tc>
        <w:tc>
          <w:tcPr>
            <w:tcW w:w="526" w:type="pct"/>
            <w:tcBorders>
              <w:top w:val="nil"/>
              <w:left w:val="nil"/>
              <w:bottom w:val="nil"/>
              <w:right w:val="nil"/>
            </w:tcBorders>
            <w:shd w:val="clear" w:color="000000" w:fill="FFFFFF"/>
            <w:noWrap/>
            <w:vAlign w:val="center"/>
            <w:hideMark/>
          </w:tcPr>
          <w:p w14:paraId="74F62068"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730</w:t>
            </w:r>
          </w:p>
        </w:tc>
        <w:tc>
          <w:tcPr>
            <w:tcW w:w="526" w:type="pct"/>
            <w:tcBorders>
              <w:top w:val="nil"/>
              <w:left w:val="nil"/>
              <w:bottom w:val="nil"/>
              <w:right w:val="nil"/>
            </w:tcBorders>
            <w:shd w:val="clear" w:color="000000" w:fill="FFFFFF"/>
            <w:noWrap/>
            <w:vAlign w:val="center"/>
            <w:hideMark/>
          </w:tcPr>
          <w:p w14:paraId="2146267A"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730</w:t>
            </w:r>
          </w:p>
        </w:tc>
      </w:tr>
      <w:tr w:rsidR="00EB4FEA" w:rsidRPr="00EC4BA6" w14:paraId="26C8AAED" w14:textId="77777777" w:rsidTr="008F032C">
        <w:trPr>
          <w:trHeight w:hRule="exact" w:val="225"/>
        </w:trPr>
        <w:tc>
          <w:tcPr>
            <w:tcW w:w="1947" w:type="pct"/>
            <w:tcBorders>
              <w:top w:val="nil"/>
              <w:left w:val="nil"/>
              <w:bottom w:val="nil"/>
              <w:right w:val="nil"/>
            </w:tcBorders>
            <w:shd w:val="clear" w:color="000000" w:fill="FFFFFF"/>
            <w:noWrap/>
            <w:vAlign w:val="bottom"/>
            <w:hideMark/>
          </w:tcPr>
          <w:p w14:paraId="53E45C5D" w14:textId="77777777" w:rsidR="00AC4FFA" w:rsidRPr="00EC4BA6" w:rsidRDefault="00AC4FFA" w:rsidP="008F032C">
            <w:pPr>
              <w:spacing w:before="0" w:after="0" w:line="240" w:lineRule="auto"/>
              <w:rPr>
                <w:rFonts w:ascii="Arial" w:hAnsi="Arial" w:cs="Arial"/>
                <w:sz w:val="16"/>
                <w:szCs w:val="16"/>
              </w:rPr>
            </w:pPr>
            <w:r w:rsidRPr="00EC4BA6">
              <w:rPr>
                <w:rFonts w:ascii="Arial" w:hAnsi="Arial" w:cs="Arial"/>
                <w:sz w:val="16"/>
                <w:szCs w:val="16"/>
              </w:rPr>
              <w:t xml:space="preserve">Total excise and customs duty </w:t>
            </w:r>
          </w:p>
        </w:tc>
        <w:tc>
          <w:tcPr>
            <w:tcW w:w="500" w:type="pct"/>
            <w:tcBorders>
              <w:top w:val="single" w:sz="4" w:space="0" w:color="293F5B"/>
              <w:left w:val="nil"/>
              <w:bottom w:val="nil"/>
              <w:right w:val="nil"/>
            </w:tcBorders>
            <w:shd w:val="clear" w:color="000000" w:fill="FFFFFF"/>
            <w:noWrap/>
            <w:vAlign w:val="center"/>
            <w:hideMark/>
          </w:tcPr>
          <w:p w14:paraId="7AB84F8C"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43,514</w:t>
            </w:r>
          </w:p>
        </w:tc>
        <w:tc>
          <w:tcPr>
            <w:tcW w:w="54" w:type="pct"/>
            <w:tcBorders>
              <w:top w:val="nil"/>
              <w:left w:val="nil"/>
              <w:bottom w:val="nil"/>
              <w:right w:val="nil"/>
            </w:tcBorders>
            <w:shd w:val="clear" w:color="000000" w:fill="FFFFFF"/>
            <w:noWrap/>
            <w:vAlign w:val="center"/>
            <w:hideMark/>
          </w:tcPr>
          <w:p w14:paraId="0BD0A00E"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 </w:t>
            </w:r>
          </w:p>
        </w:tc>
        <w:tc>
          <w:tcPr>
            <w:tcW w:w="460" w:type="pct"/>
            <w:tcBorders>
              <w:top w:val="single" w:sz="4" w:space="0" w:color="293F5B"/>
              <w:left w:val="nil"/>
              <w:bottom w:val="nil"/>
              <w:right w:val="nil"/>
            </w:tcBorders>
            <w:shd w:val="clear" w:color="000000" w:fill="FFFFFF"/>
            <w:noWrap/>
            <w:vAlign w:val="center"/>
            <w:hideMark/>
          </w:tcPr>
          <w:p w14:paraId="5D98E5AB"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43,110</w:t>
            </w:r>
          </w:p>
        </w:tc>
        <w:tc>
          <w:tcPr>
            <w:tcW w:w="460" w:type="pct"/>
            <w:tcBorders>
              <w:top w:val="single" w:sz="4" w:space="0" w:color="293F5B"/>
              <w:left w:val="nil"/>
              <w:bottom w:val="nil"/>
              <w:right w:val="nil"/>
            </w:tcBorders>
            <w:shd w:val="clear" w:color="000000" w:fill="E6F2FF"/>
            <w:noWrap/>
            <w:vAlign w:val="center"/>
            <w:hideMark/>
          </w:tcPr>
          <w:p w14:paraId="4DAFADE2"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43,800</w:t>
            </w:r>
          </w:p>
        </w:tc>
        <w:tc>
          <w:tcPr>
            <w:tcW w:w="526" w:type="pct"/>
            <w:tcBorders>
              <w:top w:val="single" w:sz="4" w:space="0" w:color="293F5B"/>
              <w:left w:val="nil"/>
              <w:bottom w:val="nil"/>
              <w:right w:val="nil"/>
            </w:tcBorders>
            <w:shd w:val="clear" w:color="000000" w:fill="FFFFFF"/>
            <w:noWrap/>
            <w:vAlign w:val="center"/>
            <w:hideMark/>
          </w:tcPr>
          <w:p w14:paraId="67AE8BFE"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44,990</w:t>
            </w:r>
          </w:p>
        </w:tc>
        <w:tc>
          <w:tcPr>
            <w:tcW w:w="526" w:type="pct"/>
            <w:tcBorders>
              <w:top w:val="single" w:sz="4" w:space="0" w:color="293F5B"/>
              <w:left w:val="nil"/>
              <w:bottom w:val="nil"/>
              <w:right w:val="nil"/>
            </w:tcBorders>
            <w:shd w:val="clear" w:color="000000" w:fill="FFFFFF"/>
            <w:noWrap/>
            <w:vAlign w:val="center"/>
            <w:hideMark/>
          </w:tcPr>
          <w:p w14:paraId="2E3D87C2"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44,940</w:t>
            </w:r>
          </w:p>
        </w:tc>
        <w:tc>
          <w:tcPr>
            <w:tcW w:w="526" w:type="pct"/>
            <w:tcBorders>
              <w:top w:val="single" w:sz="4" w:space="0" w:color="293F5B"/>
              <w:left w:val="nil"/>
              <w:bottom w:val="nil"/>
              <w:right w:val="nil"/>
            </w:tcBorders>
            <w:shd w:val="clear" w:color="000000" w:fill="FFFFFF"/>
            <w:noWrap/>
            <w:vAlign w:val="center"/>
            <w:hideMark/>
          </w:tcPr>
          <w:p w14:paraId="098DFA51"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45,930</w:t>
            </w:r>
          </w:p>
        </w:tc>
      </w:tr>
      <w:tr w:rsidR="00EB4FEA" w:rsidRPr="00EC4BA6" w14:paraId="6C09D681" w14:textId="77777777" w:rsidTr="008F032C">
        <w:trPr>
          <w:trHeight w:hRule="exact" w:val="225"/>
        </w:trPr>
        <w:tc>
          <w:tcPr>
            <w:tcW w:w="1947" w:type="pct"/>
            <w:tcBorders>
              <w:top w:val="nil"/>
              <w:left w:val="nil"/>
              <w:bottom w:val="nil"/>
              <w:right w:val="nil"/>
            </w:tcBorders>
            <w:shd w:val="clear" w:color="000000" w:fill="FFFFFF"/>
            <w:noWrap/>
            <w:vAlign w:val="center"/>
            <w:hideMark/>
          </w:tcPr>
          <w:p w14:paraId="7B521418" w14:textId="77777777" w:rsidR="00AC4FFA" w:rsidRPr="00EC4BA6" w:rsidRDefault="00AC4FFA" w:rsidP="008F032C">
            <w:pPr>
              <w:spacing w:before="0" w:after="0" w:line="240" w:lineRule="auto"/>
              <w:rPr>
                <w:rFonts w:ascii="Arial" w:hAnsi="Arial" w:cs="Arial"/>
                <w:sz w:val="16"/>
                <w:szCs w:val="16"/>
              </w:rPr>
            </w:pPr>
            <w:r w:rsidRPr="00EC4BA6">
              <w:rPr>
                <w:rFonts w:ascii="Arial" w:hAnsi="Arial" w:cs="Arial"/>
                <w:sz w:val="16"/>
                <w:szCs w:val="16"/>
              </w:rPr>
              <w:t>Major Bank Levy</w:t>
            </w:r>
          </w:p>
        </w:tc>
        <w:tc>
          <w:tcPr>
            <w:tcW w:w="500" w:type="pct"/>
            <w:tcBorders>
              <w:top w:val="nil"/>
              <w:left w:val="nil"/>
              <w:bottom w:val="nil"/>
              <w:right w:val="nil"/>
            </w:tcBorders>
            <w:shd w:val="clear" w:color="000000" w:fill="FFFFFF"/>
            <w:noWrap/>
            <w:vAlign w:val="center"/>
            <w:hideMark/>
          </w:tcPr>
          <w:p w14:paraId="16D9E04C"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1,623</w:t>
            </w:r>
          </w:p>
        </w:tc>
        <w:tc>
          <w:tcPr>
            <w:tcW w:w="54" w:type="pct"/>
            <w:tcBorders>
              <w:top w:val="nil"/>
              <w:left w:val="nil"/>
              <w:bottom w:val="nil"/>
              <w:right w:val="nil"/>
            </w:tcBorders>
            <w:shd w:val="clear" w:color="000000" w:fill="FFFFFF"/>
            <w:noWrap/>
            <w:vAlign w:val="center"/>
            <w:hideMark/>
          </w:tcPr>
          <w:p w14:paraId="3F7E7596"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 </w:t>
            </w:r>
          </w:p>
        </w:tc>
        <w:tc>
          <w:tcPr>
            <w:tcW w:w="460" w:type="pct"/>
            <w:tcBorders>
              <w:top w:val="nil"/>
              <w:left w:val="nil"/>
              <w:bottom w:val="nil"/>
              <w:right w:val="nil"/>
            </w:tcBorders>
            <w:shd w:val="clear" w:color="000000" w:fill="FFFFFF"/>
            <w:noWrap/>
            <w:vAlign w:val="center"/>
            <w:hideMark/>
          </w:tcPr>
          <w:p w14:paraId="7171DB3F"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1,770</w:t>
            </w:r>
          </w:p>
        </w:tc>
        <w:tc>
          <w:tcPr>
            <w:tcW w:w="460" w:type="pct"/>
            <w:tcBorders>
              <w:top w:val="nil"/>
              <w:left w:val="nil"/>
              <w:bottom w:val="nil"/>
              <w:right w:val="nil"/>
            </w:tcBorders>
            <w:shd w:val="clear" w:color="000000" w:fill="E6F2FF"/>
            <w:noWrap/>
            <w:vAlign w:val="center"/>
            <w:hideMark/>
          </w:tcPr>
          <w:p w14:paraId="37F50556"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1,850</w:t>
            </w:r>
          </w:p>
        </w:tc>
        <w:tc>
          <w:tcPr>
            <w:tcW w:w="526" w:type="pct"/>
            <w:tcBorders>
              <w:top w:val="nil"/>
              <w:left w:val="nil"/>
              <w:bottom w:val="nil"/>
              <w:right w:val="nil"/>
            </w:tcBorders>
            <w:shd w:val="clear" w:color="000000" w:fill="FFFFFF"/>
            <w:noWrap/>
            <w:vAlign w:val="center"/>
            <w:hideMark/>
          </w:tcPr>
          <w:p w14:paraId="4DDA7B0D"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1,930</w:t>
            </w:r>
          </w:p>
        </w:tc>
        <w:tc>
          <w:tcPr>
            <w:tcW w:w="526" w:type="pct"/>
            <w:tcBorders>
              <w:top w:val="nil"/>
              <w:left w:val="nil"/>
              <w:bottom w:val="nil"/>
              <w:right w:val="nil"/>
            </w:tcBorders>
            <w:shd w:val="clear" w:color="000000" w:fill="FFFFFF"/>
            <w:noWrap/>
            <w:vAlign w:val="center"/>
            <w:hideMark/>
          </w:tcPr>
          <w:p w14:paraId="51AF6E26"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2,030</w:t>
            </w:r>
          </w:p>
        </w:tc>
        <w:tc>
          <w:tcPr>
            <w:tcW w:w="526" w:type="pct"/>
            <w:tcBorders>
              <w:top w:val="nil"/>
              <w:left w:val="nil"/>
              <w:bottom w:val="nil"/>
              <w:right w:val="nil"/>
            </w:tcBorders>
            <w:shd w:val="clear" w:color="000000" w:fill="FFFFFF"/>
            <w:noWrap/>
            <w:vAlign w:val="center"/>
            <w:hideMark/>
          </w:tcPr>
          <w:p w14:paraId="52218C22"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2,140</w:t>
            </w:r>
          </w:p>
        </w:tc>
      </w:tr>
      <w:tr w:rsidR="00EB4FEA" w:rsidRPr="00EC4BA6" w14:paraId="756FB693" w14:textId="77777777" w:rsidTr="008F032C">
        <w:trPr>
          <w:trHeight w:hRule="exact" w:val="225"/>
        </w:trPr>
        <w:tc>
          <w:tcPr>
            <w:tcW w:w="1947" w:type="pct"/>
            <w:tcBorders>
              <w:top w:val="nil"/>
              <w:left w:val="nil"/>
              <w:bottom w:val="nil"/>
              <w:right w:val="nil"/>
            </w:tcBorders>
            <w:shd w:val="clear" w:color="000000" w:fill="FFFFFF"/>
            <w:noWrap/>
            <w:vAlign w:val="center"/>
            <w:hideMark/>
          </w:tcPr>
          <w:p w14:paraId="5077111E" w14:textId="77777777" w:rsidR="00AC4FFA" w:rsidRPr="00EC4BA6" w:rsidRDefault="00AC4FFA" w:rsidP="008F032C">
            <w:pPr>
              <w:spacing w:before="0" w:after="0" w:line="240" w:lineRule="auto"/>
              <w:rPr>
                <w:rFonts w:ascii="Arial" w:hAnsi="Arial" w:cs="Arial"/>
                <w:sz w:val="16"/>
                <w:szCs w:val="16"/>
              </w:rPr>
            </w:pPr>
            <w:r w:rsidRPr="00EC4BA6">
              <w:rPr>
                <w:rFonts w:ascii="Arial" w:hAnsi="Arial" w:cs="Arial"/>
                <w:sz w:val="16"/>
                <w:szCs w:val="16"/>
              </w:rPr>
              <w:t>Agricultural levies</w:t>
            </w:r>
          </w:p>
        </w:tc>
        <w:tc>
          <w:tcPr>
            <w:tcW w:w="500" w:type="pct"/>
            <w:tcBorders>
              <w:top w:val="nil"/>
              <w:left w:val="nil"/>
              <w:bottom w:val="nil"/>
              <w:right w:val="nil"/>
            </w:tcBorders>
            <w:shd w:val="clear" w:color="000000" w:fill="FFFFFF"/>
            <w:noWrap/>
            <w:vAlign w:val="center"/>
            <w:hideMark/>
          </w:tcPr>
          <w:p w14:paraId="02D8884A"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637</w:t>
            </w:r>
          </w:p>
        </w:tc>
        <w:tc>
          <w:tcPr>
            <w:tcW w:w="54" w:type="pct"/>
            <w:tcBorders>
              <w:top w:val="nil"/>
              <w:left w:val="nil"/>
              <w:bottom w:val="nil"/>
              <w:right w:val="nil"/>
            </w:tcBorders>
            <w:shd w:val="clear" w:color="000000" w:fill="FFFFFF"/>
            <w:noWrap/>
            <w:vAlign w:val="center"/>
            <w:hideMark/>
          </w:tcPr>
          <w:p w14:paraId="47F130EF"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 </w:t>
            </w:r>
          </w:p>
        </w:tc>
        <w:tc>
          <w:tcPr>
            <w:tcW w:w="460" w:type="pct"/>
            <w:tcBorders>
              <w:top w:val="nil"/>
              <w:left w:val="nil"/>
              <w:bottom w:val="nil"/>
              <w:right w:val="nil"/>
            </w:tcBorders>
            <w:shd w:val="clear" w:color="000000" w:fill="FFFFFF"/>
            <w:noWrap/>
            <w:vAlign w:val="center"/>
            <w:hideMark/>
          </w:tcPr>
          <w:p w14:paraId="0AEF278F"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735</w:t>
            </w:r>
          </w:p>
        </w:tc>
        <w:tc>
          <w:tcPr>
            <w:tcW w:w="460" w:type="pct"/>
            <w:tcBorders>
              <w:top w:val="nil"/>
              <w:left w:val="nil"/>
              <w:bottom w:val="nil"/>
              <w:right w:val="nil"/>
            </w:tcBorders>
            <w:shd w:val="clear" w:color="000000" w:fill="E6F2FF"/>
            <w:noWrap/>
            <w:vAlign w:val="center"/>
            <w:hideMark/>
          </w:tcPr>
          <w:p w14:paraId="13CD3E31"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669</w:t>
            </w:r>
          </w:p>
        </w:tc>
        <w:tc>
          <w:tcPr>
            <w:tcW w:w="526" w:type="pct"/>
            <w:tcBorders>
              <w:top w:val="nil"/>
              <w:left w:val="nil"/>
              <w:bottom w:val="nil"/>
              <w:right w:val="nil"/>
            </w:tcBorders>
            <w:shd w:val="clear" w:color="000000" w:fill="FFFFFF"/>
            <w:noWrap/>
            <w:vAlign w:val="center"/>
            <w:hideMark/>
          </w:tcPr>
          <w:p w14:paraId="43D79BD7"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684</w:t>
            </w:r>
          </w:p>
        </w:tc>
        <w:tc>
          <w:tcPr>
            <w:tcW w:w="526" w:type="pct"/>
            <w:tcBorders>
              <w:top w:val="nil"/>
              <w:left w:val="nil"/>
              <w:bottom w:val="nil"/>
              <w:right w:val="nil"/>
            </w:tcBorders>
            <w:shd w:val="clear" w:color="000000" w:fill="FFFFFF"/>
            <w:noWrap/>
            <w:vAlign w:val="center"/>
            <w:hideMark/>
          </w:tcPr>
          <w:p w14:paraId="4182703B"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691</w:t>
            </w:r>
          </w:p>
        </w:tc>
        <w:tc>
          <w:tcPr>
            <w:tcW w:w="526" w:type="pct"/>
            <w:tcBorders>
              <w:top w:val="nil"/>
              <w:left w:val="nil"/>
              <w:bottom w:val="nil"/>
              <w:right w:val="nil"/>
            </w:tcBorders>
            <w:shd w:val="clear" w:color="000000" w:fill="FFFFFF"/>
            <w:noWrap/>
            <w:vAlign w:val="center"/>
            <w:hideMark/>
          </w:tcPr>
          <w:p w14:paraId="44185B34"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712</w:t>
            </w:r>
          </w:p>
        </w:tc>
      </w:tr>
      <w:tr w:rsidR="00EB4FEA" w:rsidRPr="00EC4BA6" w14:paraId="5502B53C" w14:textId="77777777" w:rsidTr="008F032C">
        <w:trPr>
          <w:trHeight w:hRule="exact" w:val="225"/>
        </w:trPr>
        <w:tc>
          <w:tcPr>
            <w:tcW w:w="1947" w:type="pct"/>
            <w:tcBorders>
              <w:top w:val="nil"/>
              <w:left w:val="nil"/>
              <w:bottom w:val="nil"/>
              <w:right w:val="nil"/>
            </w:tcBorders>
            <w:shd w:val="clear" w:color="000000" w:fill="FFFFFF"/>
            <w:noWrap/>
            <w:vAlign w:val="center"/>
            <w:hideMark/>
          </w:tcPr>
          <w:p w14:paraId="59BC19B1" w14:textId="77777777" w:rsidR="00AC4FFA" w:rsidRPr="00EC4BA6" w:rsidRDefault="00AC4FFA" w:rsidP="008F032C">
            <w:pPr>
              <w:spacing w:before="0" w:after="0" w:line="240" w:lineRule="auto"/>
              <w:rPr>
                <w:rFonts w:ascii="Arial" w:hAnsi="Arial" w:cs="Arial"/>
                <w:sz w:val="16"/>
                <w:szCs w:val="16"/>
              </w:rPr>
            </w:pPr>
            <w:r w:rsidRPr="00EC4BA6">
              <w:rPr>
                <w:rFonts w:ascii="Arial" w:hAnsi="Arial" w:cs="Arial"/>
                <w:sz w:val="16"/>
                <w:szCs w:val="16"/>
              </w:rPr>
              <w:t>Visa application charges</w:t>
            </w:r>
          </w:p>
        </w:tc>
        <w:tc>
          <w:tcPr>
            <w:tcW w:w="500" w:type="pct"/>
            <w:tcBorders>
              <w:top w:val="nil"/>
              <w:left w:val="nil"/>
              <w:bottom w:val="nil"/>
              <w:right w:val="nil"/>
            </w:tcBorders>
            <w:shd w:val="clear" w:color="000000" w:fill="FFFFFF"/>
            <w:noWrap/>
            <w:vAlign w:val="center"/>
            <w:hideMark/>
          </w:tcPr>
          <w:p w14:paraId="2032718C"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3,385</w:t>
            </w:r>
          </w:p>
        </w:tc>
        <w:tc>
          <w:tcPr>
            <w:tcW w:w="54" w:type="pct"/>
            <w:tcBorders>
              <w:top w:val="nil"/>
              <w:left w:val="nil"/>
              <w:bottom w:val="nil"/>
              <w:right w:val="nil"/>
            </w:tcBorders>
            <w:shd w:val="clear" w:color="000000" w:fill="FFFFFF"/>
            <w:noWrap/>
            <w:vAlign w:val="center"/>
            <w:hideMark/>
          </w:tcPr>
          <w:p w14:paraId="4A3ABDF5"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 </w:t>
            </w:r>
          </w:p>
        </w:tc>
        <w:tc>
          <w:tcPr>
            <w:tcW w:w="460" w:type="pct"/>
            <w:tcBorders>
              <w:top w:val="nil"/>
              <w:left w:val="nil"/>
              <w:bottom w:val="nil"/>
              <w:right w:val="nil"/>
            </w:tcBorders>
            <w:shd w:val="clear" w:color="000000" w:fill="FFFFFF"/>
            <w:noWrap/>
            <w:vAlign w:val="center"/>
            <w:hideMark/>
          </w:tcPr>
          <w:p w14:paraId="4A963F63"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4,129</w:t>
            </w:r>
          </w:p>
        </w:tc>
        <w:tc>
          <w:tcPr>
            <w:tcW w:w="460" w:type="pct"/>
            <w:tcBorders>
              <w:top w:val="nil"/>
              <w:left w:val="nil"/>
              <w:bottom w:val="nil"/>
              <w:right w:val="nil"/>
            </w:tcBorders>
            <w:shd w:val="clear" w:color="000000" w:fill="E6F2FF"/>
            <w:noWrap/>
            <w:vAlign w:val="center"/>
            <w:hideMark/>
          </w:tcPr>
          <w:p w14:paraId="010A9B93"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4,199</w:t>
            </w:r>
          </w:p>
        </w:tc>
        <w:tc>
          <w:tcPr>
            <w:tcW w:w="526" w:type="pct"/>
            <w:tcBorders>
              <w:top w:val="nil"/>
              <w:left w:val="nil"/>
              <w:bottom w:val="nil"/>
              <w:right w:val="nil"/>
            </w:tcBorders>
            <w:shd w:val="clear" w:color="000000" w:fill="FFFFFF"/>
            <w:noWrap/>
            <w:vAlign w:val="center"/>
            <w:hideMark/>
          </w:tcPr>
          <w:p w14:paraId="0EFF0B61"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4,402</w:t>
            </w:r>
          </w:p>
        </w:tc>
        <w:tc>
          <w:tcPr>
            <w:tcW w:w="526" w:type="pct"/>
            <w:tcBorders>
              <w:top w:val="nil"/>
              <w:left w:val="nil"/>
              <w:bottom w:val="nil"/>
              <w:right w:val="nil"/>
            </w:tcBorders>
            <w:shd w:val="clear" w:color="000000" w:fill="FFFFFF"/>
            <w:noWrap/>
            <w:vAlign w:val="center"/>
            <w:hideMark/>
          </w:tcPr>
          <w:p w14:paraId="69644BD3"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4,579</w:t>
            </w:r>
          </w:p>
        </w:tc>
        <w:tc>
          <w:tcPr>
            <w:tcW w:w="526" w:type="pct"/>
            <w:tcBorders>
              <w:top w:val="nil"/>
              <w:left w:val="nil"/>
              <w:bottom w:val="nil"/>
              <w:right w:val="nil"/>
            </w:tcBorders>
            <w:shd w:val="clear" w:color="000000" w:fill="FFFFFF"/>
            <w:noWrap/>
            <w:vAlign w:val="center"/>
            <w:hideMark/>
          </w:tcPr>
          <w:p w14:paraId="47BDBCD9"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4,696</w:t>
            </w:r>
          </w:p>
        </w:tc>
      </w:tr>
      <w:tr w:rsidR="00EB4FEA" w:rsidRPr="00EC4BA6" w14:paraId="709BAC99" w14:textId="77777777" w:rsidTr="008F032C">
        <w:trPr>
          <w:trHeight w:hRule="exact" w:val="225"/>
        </w:trPr>
        <w:tc>
          <w:tcPr>
            <w:tcW w:w="1947" w:type="pct"/>
            <w:tcBorders>
              <w:top w:val="nil"/>
              <w:left w:val="nil"/>
              <w:bottom w:val="nil"/>
              <w:right w:val="nil"/>
            </w:tcBorders>
            <w:shd w:val="clear" w:color="000000" w:fill="FFFFFF"/>
            <w:noWrap/>
            <w:vAlign w:val="center"/>
            <w:hideMark/>
          </w:tcPr>
          <w:p w14:paraId="63EFA7EB" w14:textId="77777777" w:rsidR="00AC4FFA" w:rsidRPr="00EC4BA6" w:rsidRDefault="00AC4FFA" w:rsidP="008F032C">
            <w:pPr>
              <w:spacing w:before="0" w:after="0" w:line="240" w:lineRule="auto"/>
              <w:rPr>
                <w:rFonts w:ascii="Arial" w:hAnsi="Arial" w:cs="Arial"/>
                <w:sz w:val="16"/>
                <w:szCs w:val="16"/>
              </w:rPr>
            </w:pPr>
            <w:r w:rsidRPr="00EC4BA6">
              <w:rPr>
                <w:rFonts w:ascii="Arial" w:hAnsi="Arial" w:cs="Arial"/>
                <w:sz w:val="16"/>
                <w:szCs w:val="16"/>
              </w:rPr>
              <w:t>Other taxes</w:t>
            </w:r>
          </w:p>
        </w:tc>
        <w:tc>
          <w:tcPr>
            <w:tcW w:w="500" w:type="pct"/>
            <w:tcBorders>
              <w:top w:val="nil"/>
              <w:left w:val="nil"/>
              <w:bottom w:val="single" w:sz="4" w:space="0" w:color="293F5B"/>
              <w:right w:val="nil"/>
            </w:tcBorders>
            <w:shd w:val="clear" w:color="000000" w:fill="FFFFFF"/>
            <w:noWrap/>
            <w:vAlign w:val="center"/>
            <w:hideMark/>
          </w:tcPr>
          <w:p w14:paraId="7C09DC80"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5,936</w:t>
            </w:r>
          </w:p>
        </w:tc>
        <w:tc>
          <w:tcPr>
            <w:tcW w:w="54" w:type="pct"/>
            <w:tcBorders>
              <w:top w:val="nil"/>
              <w:left w:val="nil"/>
              <w:bottom w:val="nil"/>
              <w:right w:val="nil"/>
            </w:tcBorders>
            <w:shd w:val="clear" w:color="000000" w:fill="FFFFFF"/>
            <w:noWrap/>
            <w:vAlign w:val="center"/>
            <w:hideMark/>
          </w:tcPr>
          <w:p w14:paraId="215D1D8D"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 </w:t>
            </w:r>
          </w:p>
        </w:tc>
        <w:tc>
          <w:tcPr>
            <w:tcW w:w="460" w:type="pct"/>
            <w:tcBorders>
              <w:top w:val="nil"/>
              <w:left w:val="nil"/>
              <w:bottom w:val="single" w:sz="4" w:space="0" w:color="293F5B"/>
              <w:right w:val="nil"/>
            </w:tcBorders>
            <w:shd w:val="clear" w:color="000000" w:fill="FFFFFF"/>
            <w:noWrap/>
            <w:vAlign w:val="center"/>
            <w:hideMark/>
          </w:tcPr>
          <w:p w14:paraId="0C43783A"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6,209</w:t>
            </w:r>
          </w:p>
        </w:tc>
        <w:tc>
          <w:tcPr>
            <w:tcW w:w="460" w:type="pct"/>
            <w:tcBorders>
              <w:top w:val="nil"/>
              <w:left w:val="nil"/>
              <w:bottom w:val="single" w:sz="4" w:space="0" w:color="293F5B"/>
              <w:right w:val="nil"/>
            </w:tcBorders>
            <w:shd w:val="clear" w:color="000000" w:fill="E6F2FF"/>
            <w:noWrap/>
            <w:vAlign w:val="center"/>
            <w:hideMark/>
          </w:tcPr>
          <w:p w14:paraId="1367FFEC"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6,244</w:t>
            </w:r>
          </w:p>
        </w:tc>
        <w:tc>
          <w:tcPr>
            <w:tcW w:w="526" w:type="pct"/>
            <w:tcBorders>
              <w:top w:val="nil"/>
              <w:left w:val="nil"/>
              <w:bottom w:val="single" w:sz="4" w:space="0" w:color="293F5B"/>
              <w:right w:val="nil"/>
            </w:tcBorders>
            <w:shd w:val="clear" w:color="000000" w:fill="FFFFFF"/>
            <w:noWrap/>
            <w:vAlign w:val="center"/>
            <w:hideMark/>
          </w:tcPr>
          <w:p w14:paraId="17D1B2B7"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6,211</w:t>
            </w:r>
          </w:p>
        </w:tc>
        <w:tc>
          <w:tcPr>
            <w:tcW w:w="526" w:type="pct"/>
            <w:tcBorders>
              <w:top w:val="nil"/>
              <w:left w:val="nil"/>
              <w:bottom w:val="single" w:sz="4" w:space="0" w:color="293F5B"/>
              <w:right w:val="nil"/>
            </w:tcBorders>
            <w:shd w:val="clear" w:color="000000" w:fill="FFFFFF"/>
            <w:noWrap/>
            <w:vAlign w:val="center"/>
            <w:hideMark/>
          </w:tcPr>
          <w:p w14:paraId="62C1CFE0"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6,120</w:t>
            </w:r>
          </w:p>
        </w:tc>
        <w:tc>
          <w:tcPr>
            <w:tcW w:w="526" w:type="pct"/>
            <w:tcBorders>
              <w:top w:val="nil"/>
              <w:left w:val="nil"/>
              <w:bottom w:val="single" w:sz="4" w:space="0" w:color="293F5B"/>
              <w:right w:val="nil"/>
            </w:tcBorders>
            <w:shd w:val="clear" w:color="000000" w:fill="FFFFFF"/>
            <w:noWrap/>
            <w:vAlign w:val="center"/>
            <w:hideMark/>
          </w:tcPr>
          <w:p w14:paraId="4050A376"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6,208</w:t>
            </w:r>
          </w:p>
        </w:tc>
      </w:tr>
      <w:tr w:rsidR="00EB4FEA" w:rsidRPr="00EC4BA6" w14:paraId="2011C4EF" w14:textId="77777777" w:rsidTr="008F032C">
        <w:trPr>
          <w:trHeight w:hRule="exact" w:val="225"/>
        </w:trPr>
        <w:tc>
          <w:tcPr>
            <w:tcW w:w="1947" w:type="pct"/>
            <w:tcBorders>
              <w:top w:val="nil"/>
              <w:left w:val="nil"/>
              <w:bottom w:val="nil"/>
              <w:right w:val="nil"/>
            </w:tcBorders>
            <w:shd w:val="clear" w:color="000000" w:fill="FFFFFF"/>
            <w:noWrap/>
            <w:vAlign w:val="center"/>
            <w:hideMark/>
          </w:tcPr>
          <w:p w14:paraId="1F395568" w14:textId="77777777" w:rsidR="00AC4FFA" w:rsidRPr="00EC4BA6" w:rsidRDefault="00AC4FFA" w:rsidP="008F032C">
            <w:pPr>
              <w:spacing w:before="0" w:after="0" w:line="240" w:lineRule="auto"/>
              <w:rPr>
                <w:rFonts w:ascii="Arial" w:hAnsi="Arial" w:cs="Arial"/>
                <w:b/>
                <w:sz w:val="16"/>
                <w:szCs w:val="16"/>
              </w:rPr>
            </w:pPr>
            <w:r w:rsidRPr="00EC4BA6">
              <w:rPr>
                <w:rFonts w:ascii="Arial" w:hAnsi="Arial" w:cs="Arial"/>
                <w:b/>
                <w:sz w:val="16"/>
                <w:szCs w:val="16"/>
              </w:rPr>
              <w:t>Indirect taxation receipts</w:t>
            </w:r>
          </w:p>
        </w:tc>
        <w:tc>
          <w:tcPr>
            <w:tcW w:w="500" w:type="pct"/>
            <w:tcBorders>
              <w:top w:val="nil"/>
              <w:left w:val="nil"/>
              <w:bottom w:val="single" w:sz="4" w:space="0" w:color="293F5B"/>
              <w:right w:val="nil"/>
            </w:tcBorders>
            <w:shd w:val="clear" w:color="000000" w:fill="FFFFFF"/>
            <w:noWrap/>
            <w:vAlign w:val="center"/>
            <w:hideMark/>
          </w:tcPr>
          <w:p w14:paraId="758E38F1" w14:textId="77777777" w:rsidR="00AC4FFA" w:rsidRPr="00EC4BA6" w:rsidRDefault="00AC4FFA" w:rsidP="008F032C">
            <w:pPr>
              <w:spacing w:before="0" w:after="0" w:line="240" w:lineRule="auto"/>
              <w:jc w:val="right"/>
              <w:rPr>
                <w:rFonts w:ascii="Arial" w:hAnsi="Arial" w:cs="Arial"/>
                <w:b/>
                <w:sz w:val="16"/>
                <w:szCs w:val="16"/>
              </w:rPr>
            </w:pPr>
            <w:r w:rsidRPr="00EC4BA6">
              <w:rPr>
                <w:rFonts w:ascii="Arial" w:hAnsi="Arial" w:cs="Arial"/>
                <w:b/>
                <w:sz w:val="16"/>
                <w:szCs w:val="16"/>
              </w:rPr>
              <w:t>142,469</w:t>
            </w:r>
          </w:p>
        </w:tc>
        <w:tc>
          <w:tcPr>
            <w:tcW w:w="54" w:type="pct"/>
            <w:tcBorders>
              <w:top w:val="nil"/>
              <w:left w:val="nil"/>
              <w:bottom w:val="nil"/>
              <w:right w:val="nil"/>
            </w:tcBorders>
            <w:shd w:val="clear" w:color="000000" w:fill="FFFFFF"/>
            <w:noWrap/>
            <w:vAlign w:val="center"/>
            <w:hideMark/>
          </w:tcPr>
          <w:p w14:paraId="6C2B5E4C" w14:textId="77777777" w:rsidR="00AC4FFA" w:rsidRPr="00EC4BA6" w:rsidRDefault="00AC4FFA" w:rsidP="008F032C">
            <w:pPr>
              <w:spacing w:before="0" w:after="0" w:line="240" w:lineRule="auto"/>
              <w:jc w:val="right"/>
              <w:rPr>
                <w:rFonts w:ascii="Arial" w:hAnsi="Arial" w:cs="Arial"/>
                <w:b/>
                <w:sz w:val="16"/>
                <w:szCs w:val="16"/>
              </w:rPr>
            </w:pPr>
            <w:r w:rsidRPr="00EC4BA6">
              <w:rPr>
                <w:rFonts w:ascii="Arial" w:hAnsi="Arial" w:cs="Arial"/>
                <w:b/>
                <w:sz w:val="16"/>
                <w:szCs w:val="16"/>
              </w:rPr>
              <w:t> </w:t>
            </w:r>
          </w:p>
        </w:tc>
        <w:tc>
          <w:tcPr>
            <w:tcW w:w="460" w:type="pct"/>
            <w:tcBorders>
              <w:top w:val="nil"/>
              <w:left w:val="nil"/>
              <w:bottom w:val="single" w:sz="4" w:space="0" w:color="293F5B"/>
              <w:right w:val="nil"/>
            </w:tcBorders>
            <w:shd w:val="clear" w:color="000000" w:fill="FFFFFF"/>
            <w:noWrap/>
            <w:vAlign w:val="center"/>
            <w:hideMark/>
          </w:tcPr>
          <w:p w14:paraId="56CD876A" w14:textId="77777777" w:rsidR="00AC4FFA" w:rsidRPr="00EC4BA6" w:rsidRDefault="00AC4FFA" w:rsidP="008F032C">
            <w:pPr>
              <w:spacing w:before="0" w:after="0" w:line="240" w:lineRule="auto"/>
              <w:jc w:val="right"/>
              <w:rPr>
                <w:rFonts w:ascii="Arial" w:hAnsi="Arial" w:cs="Arial"/>
                <w:b/>
                <w:sz w:val="16"/>
                <w:szCs w:val="16"/>
              </w:rPr>
            </w:pPr>
            <w:r w:rsidRPr="00EC4BA6">
              <w:rPr>
                <w:rFonts w:ascii="Arial" w:hAnsi="Arial" w:cs="Arial"/>
                <w:b/>
                <w:sz w:val="16"/>
                <w:szCs w:val="16"/>
              </w:rPr>
              <w:t>147,632</w:t>
            </w:r>
          </w:p>
        </w:tc>
        <w:tc>
          <w:tcPr>
            <w:tcW w:w="460" w:type="pct"/>
            <w:tcBorders>
              <w:top w:val="nil"/>
              <w:left w:val="nil"/>
              <w:bottom w:val="single" w:sz="4" w:space="0" w:color="293F5B"/>
              <w:right w:val="nil"/>
            </w:tcBorders>
            <w:shd w:val="clear" w:color="000000" w:fill="E6F2FF"/>
            <w:noWrap/>
            <w:vAlign w:val="center"/>
            <w:hideMark/>
          </w:tcPr>
          <w:p w14:paraId="25D0C673" w14:textId="77777777" w:rsidR="00AC4FFA" w:rsidRPr="00EC4BA6" w:rsidRDefault="00AC4FFA" w:rsidP="008F032C">
            <w:pPr>
              <w:spacing w:before="0" w:after="0" w:line="240" w:lineRule="auto"/>
              <w:jc w:val="right"/>
              <w:rPr>
                <w:rFonts w:ascii="Arial" w:hAnsi="Arial" w:cs="Arial"/>
                <w:b/>
                <w:sz w:val="16"/>
                <w:szCs w:val="16"/>
              </w:rPr>
            </w:pPr>
            <w:r w:rsidRPr="00EC4BA6">
              <w:rPr>
                <w:rFonts w:ascii="Arial" w:hAnsi="Arial" w:cs="Arial"/>
                <w:b/>
                <w:sz w:val="16"/>
                <w:szCs w:val="16"/>
              </w:rPr>
              <w:t>153,396</w:t>
            </w:r>
          </w:p>
        </w:tc>
        <w:tc>
          <w:tcPr>
            <w:tcW w:w="526" w:type="pct"/>
            <w:tcBorders>
              <w:top w:val="nil"/>
              <w:left w:val="nil"/>
              <w:bottom w:val="single" w:sz="4" w:space="0" w:color="293F5B"/>
              <w:right w:val="nil"/>
            </w:tcBorders>
            <w:shd w:val="clear" w:color="000000" w:fill="FFFFFF"/>
            <w:noWrap/>
            <w:vAlign w:val="center"/>
            <w:hideMark/>
          </w:tcPr>
          <w:p w14:paraId="5559F48E" w14:textId="77777777" w:rsidR="00AC4FFA" w:rsidRPr="00EC4BA6" w:rsidRDefault="00AC4FFA" w:rsidP="008F032C">
            <w:pPr>
              <w:spacing w:before="0" w:after="0" w:line="240" w:lineRule="auto"/>
              <w:jc w:val="right"/>
              <w:rPr>
                <w:rFonts w:ascii="Arial" w:hAnsi="Arial" w:cs="Arial"/>
                <w:b/>
                <w:sz w:val="16"/>
                <w:szCs w:val="16"/>
              </w:rPr>
            </w:pPr>
            <w:r w:rsidRPr="00EC4BA6">
              <w:rPr>
                <w:rFonts w:ascii="Arial" w:hAnsi="Arial" w:cs="Arial"/>
                <w:b/>
                <w:sz w:val="16"/>
                <w:szCs w:val="16"/>
              </w:rPr>
              <w:t>160,036</w:t>
            </w:r>
          </w:p>
        </w:tc>
        <w:tc>
          <w:tcPr>
            <w:tcW w:w="526" w:type="pct"/>
            <w:tcBorders>
              <w:top w:val="nil"/>
              <w:left w:val="nil"/>
              <w:bottom w:val="single" w:sz="4" w:space="0" w:color="293F5B"/>
              <w:right w:val="nil"/>
            </w:tcBorders>
            <w:shd w:val="clear" w:color="000000" w:fill="FFFFFF"/>
            <w:noWrap/>
            <w:vAlign w:val="center"/>
            <w:hideMark/>
          </w:tcPr>
          <w:p w14:paraId="7707D010" w14:textId="77777777" w:rsidR="00AC4FFA" w:rsidRPr="00EC4BA6" w:rsidRDefault="00AC4FFA" w:rsidP="008F032C">
            <w:pPr>
              <w:spacing w:before="0" w:after="0" w:line="240" w:lineRule="auto"/>
              <w:jc w:val="right"/>
              <w:rPr>
                <w:rFonts w:ascii="Arial" w:hAnsi="Arial" w:cs="Arial"/>
                <w:b/>
                <w:sz w:val="16"/>
                <w:szCs w:val="16"/>
              </w:rPr>
            </w:pPr>
            <w:r w:rsidRPr="00EC4BA6">
              <w:rPr>
                <w:rFonts w:ascii="Arial" w:hAnsi="Arial" w:cs="Arial"/>
                <w:b/>
                <w:sz w:val="16"/>
                <w:szCs w:val="16"/>
              </w:rPr>
              <w:t>165,859</w:t>
            </w:r>
          </w:p>
        </w:tc>
        <w:tc>
          <w:tcPr>
            <w:tcW w:w="526" w:type="pct"/>
            <w:tcBorders>
              <w:top w:val="nil"/>
              <w:left w:val="nil"/>
              <w:bottom w:val="single" w:sz="4" w:space="0" w:color="293F5B"/>
              <w:right w:val="nil"/>
            </w:tcBorders>
            <w:shd w:val="clear" w:color="000000" w:fill="FFFFFF"/>
            <w:noWrap/>
            <w:vAlign w:val="center"/>
            <w:hideMark/>
          </w:tcPr>
          <w:p w14:paraId="01C5E5E9" w14:textId="77777777" w:rsidR="00AC4FFA" w:rsidRPr="00EC4BA6" w:rsidRDefault="00AC4FFA" w:rsidP="008F032C">
            <w:pPr>
              <w:spacing w:before="0" w:after="0" w:line="240" w:lineRule="auto"/>
              <w:jc w:val="right"/>
              <w:rPr>
                <w:rFonts w:ascii="Arial" w:hAnsi="Arial" w:cs="Arial"/>
                <w:b/>
                <w:sz w:val="16"/>
                <w:szCs w:val="16"/>
              </w:rPr>
            </w:pPr>
            <w:r w:rsidRPr="00EC4BA6">
              <w:rPr>
                <w:rFonts w:ascii="Arial" w:hAnsi="Arial" w:cs="Arial"/>
                <w:b/>
                <w:sz w:val="16"/>
                <w:szCs w:val="16"/>
              </w:rPr>
              <w:t>172,916</w:t>
            </w:r>
          </w:p>
        </w:tc>
      </w:tr>
      <w:tr w:rsidR="00EB4FEA" w:rsidRPr="00EC4BA6" w14:paraId="05679DB4" w14:textId="77777777" w:rsidTr="008F032C">
        <w:trPr>
          <w:trHeight w:hRule="exact" w:val="225"/>
        </w:trPr>
        <w:tc>
          <w:tcPr>
            <w:tcW w:w="1947" w:type="pct"/>
            <w:tcBorders>
              <w:top w:val="nil"/>
              <w:left w:val="nil"/>
              <w:bottom w:val="nil"/>
              <w:right w:val="nil"/>
            </w:tcBorders>
            <w:shd w:val="clear" w:color="000000" w:fill="FFFFFF"/>
            <w:noWrap/>
            <w:vAlign w:val="center"/>
            <w:hideMark/>
          </w:tcPr>
          <w:p w14:paraId="64BCBB86" w14:textId="77777777" w:rsidR="00AC4FFA" w:rsidRPr="00EC4BA6" w:rsidRDefault="00AC4FFA" w:rsidP="008F032C">
            <w:pPr>
              <w:spacing w:before="0" w:after="0" w:line="240" w:lineRule="auto"/>
              <w:rPr>
                <w:rFonts w:ascii="Arial" w:hAnsi="Arial" w:cs="Arial"/>
                <w:b/>
                <w:sz w:val="16"/>
                <w:szCs w:val="16"/>
              </w:rPr>
            </w:pPr>
            <w:r w:rsidRPr="00EC4BA6">
              <w:rPr>
                <w:rFonts w:ascii="Arial" w:hAnsi="Arial" w:cs="Arial"/>
                <w:b/>
                <w:sz w:val="16"/>
                <w:szCs w:val="16"/>
              </w:rPr>
              <w:t>Taxation receipts</w:t>
            </w:r>
          </w:p>
        </w:tc>
        <w:tc>
          <w:tcPr>
            <w:tcW w:w="500" w:type="pct"/>
            <w:tcBorders>
              <w:top w:val="nil"/>
              <w:left w:val="nil"/>
              <w:bottom w:val="single" w:sz="4" w:space="0" w:color="293F5B"/>
              <w:right w:val="nil"/>
            </w:tcBorders>
            <w:shd w:val="clear" w:color="000000" w:fill="FFFFFF"/>
            <w:noWrap/>
            <w:vAlign w:val="center"/>
            <w:hideMark/>
          </w:tcPr>
          <w:p w14:paraId="3772E516" w14:textId="77777777" w:rsidR="00AC4FFA" w:rsidRPr="00EC4BA6" w:rsidRDefault="00AC4FFA" w:rsidP="008F032C">
            <w:pPr>
              <w:spacing w:before="0" w:after="0" w:line="240" w:lineRule="auto"/>
              <w:jc w:val="right"/>
              <w:rPr>
                <w:rFonts w:ascii="Arial" w:hAnsi="Arial" w:cs="Arial"/>
                <w:b/>
                <w:sz w:val="16"/>
                <w:szCs w:val="16"/>
              </w:rPr>
            </w:pPr>
            <w:r w:rsidRPr="00EC4BA6">
              <w:rPr>
                <w:rFonts w:ascii="Arial" w:hAnsi="Arial" w:cs="Arial"/>
                <w:b/>
                <w:sz w:val="16"/>
                <w:szCs w:val="16"/>
              </w:rPr>
              <w:t>633,400</w:t>
            </w:r>
          </w:p>
        </w:tc>
        <w:tc>
          <w:tcPr>
            <w:tcW w:w="54" w:type="pct"/>
            <w:tcBorders>
              <w:top w:val="nil"/>
              <w:left w:val="nil"/>
              <w:bottom w:val="nil"/>
              <w:right w:val="nil"/>
            </w:tcBorders>
            <w:shd w:val="clear" w:color="000000" w:fill="FFFFFF"/>
            <w:noWrap/>
            <w:vAlign w:val="center"/>
            <w:hideMark/>
          </w:tcPr>
          <w:p w14:paraId="4DCB5BED" w14:textId="77777777" w:rsidR="00AC4FFA" w:rsidRPr="00EC4BA6" w:rsidRDefault="00AC4FFA" w:rsidP="008F032C">
            <w:pPr>
              <w:spacing w:before="0" w:after="0" w:line="240" w:lineRule="auto"/>
              <w:jc w:val="right"/>
              <w:rPr>
                <w:rFonts w:ascii="Arial" w:hAnsi="Arial" w:cs="Arial"/>
                <w:b/>
                <w:sz w:val="16"/>
                <w:szCs w:val="16"/>
              </w:rPr>
            </w:pPr>
            <w:r w:rsidRPr="00EC4BA6">
              <w:rPr>
                <w:rFonts w:ascii="Arial" w:hAnsi="Arial" w:cs="Arial"/>
                <w:b/>
                <w:sz w:val="16"/>
                <w:szCs w:val="16"/>
              </w:rPr>
              <w:t> </w:t>
            </w:r>
          </w:p>
        </w:tc>
        <w:tc>
          <w:tcPr>
            <w:tcW w:w="460" w:type="pct"/>
            <w:tcBorders>
              <w:top w:val="nil"/>
              <w:left w:val="nil"/>
              <w:bottom w:val="single" w:sz="4" w:space="0" w:color="293F5B"/>
              <w:right w:val="nil"/>
            </w:tcBorders>
            <w:shd w:val="clear" w:color="000000" w:fill="FFFFFF"/>
            <w:noWrap/>
            <w:vAlign w:val="center"/>
            <w:hideMark/>
          </w:tcPr>
          <w:p w14:paraId="0D927243" w14:textId="77777777" w:rsidR="00AC4FFA" w:rsidRPr="00EC4BA6" w:rsidRDefault="00AC4FFA" w:rsidP="008F032C">
            <w:pPr>
              <w:spacing w:before="0" w:after="0" w:line="240" w:lineRule="auto"/>
              <w:jc w:val="right"/>
              <w:rPr>
                <w:rFonts w:ascii="Arial" w:hAnsi="Arial" w:cs="Arial"/>
                <w:b/>
                <w:sz w:val="16"/>
                <w:szCs w:val="16"/>
              </w:rPr>
            </w:pPr>
            <w:r w:rsidRPr="00EC4BA6">
              <w:rPr>
                <w:rFonts w:ascii="Arial" w:hAnsi="Arial" w:cs="Arial"/>
                <w:b/>
                <w:sz w:val="16"/>
                <w:szCs w:val="16"/>
              </w:rPr>
              <w:t>645,242</w:t>
            </w:r>
          </w:p>
        </w:tc>
        <w:tc>
          <w:tcPr>
            <w:tcW w:w="460" w:type="pct"/>
            <w:tcBorders>
              <w:top w:val="nil"/>
              <w:left w:val="nil"/>
              <w:bottom w:val="single" w:sz="4" w:space="0" w:color="293F5B"/>
              <w:right w:val="nil"/>
            </w:tcBorders>
            <w:shd w:val="clear" w:color="000000" w:fill="E6F2FF"/>
            <w:noWrap/>
            <w:vAlign w:val="center"/>
            <w:hideMark/>
          </w:tcPr>
          <w:p w14:paraId="46361BAD" w14:textId="77777777" w:rsidR="00AC4FFA" w:rsidRPr="00EC4BA6" w:rsidRDefault="00AC4FFA" w:rsidP="008F032C">
            <w:pPr>
              <w:spacing w:before="0" w:after="0" w:line="240" w:lineRule="auto"/>
              <w:jc w:val="right"/>
              <w:rPr>
                <w:rFonts w:ascii="Arial" w:hAnsi="Arial" w:cs="Arial"/>
                <w:b/>
                <w:sz w:val="16"/>
                <w:szCs w:val="16"/>
              </w:rPr>
            </w:pPr>
            <w:r w:rsidRPr="00EC4BA6">
              <w:rPr>
                <w:rFonts w:ascii="Arial" w:hAnsi="Arial" w:cs="Arial"/>
                <w:b/>
                <w:sz w:val="16"/>
                <w:szCs w:val="16"/>
              </w:rPr>
              <w:t>676,086</w:t>
            </w:r>
          </w:p>
        </w:tc>
        <w:tc>
          <w:tcPr>
            <w:tcW w:w="526" w:type="pct"/>
            <w:tcBorders>
              <w:top w:val="nil"/>
              <w:left w:val="nil"/>
              <w:bottom w:val="single" w:sz="4" w:space="0" w:color="293F5B"/>
              <w:right w:val="nil"/>
            </w:tcBorders>
            <w:shd w:val="clear" w:color="000000" w:fill="FFFFFF"/>
            <w:noWrap/>
            <w:vAlign w:val="center"/>
            <w:hideMark/>
          </w:tcPr>
          <w:p w14:paraId="24D0A38D" w14:textId="77777777" w:rsidR="00AC4FFA" w:rsidRPr="00EC4BA6" w:rsidRDefault="00AC4FFA" w:rsidP="008F032C">
            <w:pPr>
              <w:spacing w:before="0" w:after="0" w:line="240" w:lineRule="auto"/>
              <w:jc w:val="right"/>
              <w:rPr>
                <w:rFonts w:ascii="Arial" w:hAnsi="Arial" w:cs="Arial"/>
                <w:b/>
                <w:sz w:val="16"/>
                <w:szCs w:val="16"/>
              </w:rPr>
            </w:pPr>
            <w:r w:rsidRPr="00EC4BA6">
              <w:rPr>
                <w:rFonts w:ascii="Arial" w:hAnsi="Arial" w:cs="Arial"/>
                <w:b/>
                <w:sz w:val="16"/>
                <w:szCs w:val="16"/>
              </w:rPr>
              <w:t>707,556</w:t>
            </w:r>
          </w:p>
        </w:tc>
        <w:tc>
          <w:tcPr>
            <w:tcW w:w="526" w:type="pct"/>
            <w:tcBorders>
              <w:top w:val="nil"/>
              <w:left w:val="nil"/>
              <w:bottom w:val="single" w:sz="4" w:space="0" w:color="293F5B"/>
              <w:right w:val="nil"/>
            </w:tcBorders>
            <w:shd w:val="clear" w:color="000000" w:fill="FFFFFF"/>
            <w:noWrap/>
            <w:vAlign w:val="center"/>
            <w:hideMark/>
          </w:tcPr>
          <w:p w14:paraId="731F1AAE" w14:textId="77777777" w:rsidR="00AC4FFA" w:rsidRPr="00EC4BA6" w:rsidRDefault="00AC4FFA" w:rsidP="008F032C">
            <w:pPr>
              <w:spacing w:before="0" w:after="0" w:line="240" w:lineRule="auto"/>
              <w:jc w:val="right"/>
              <w:rPr>
                <w:rFonts w:ascii="Arial" w:hAnsi="Arial" w:cs="Arial"/>
                <w:b/>
                <w:sz w:val="16"/>
                <w:szCs w:val="16"/>
              </w:rPr>
            </w:pPr>
            <w:r w:rsidRPr="00EC4BA6">
              <w:rPr>
                <w:rFonts w:ascii="Arial" w:hAnsi="Arial" w:cs="Arial"/>
                <w:b/>
                <w:sz w:val="16"/>
                <w:szCs w:val="16"/>
              </w:rPr>
              <w:t>735,939</w:t>
            </w:r>
          </w:p>
        </w:tc>
        <w:tc>
          <w:tcPr>
            <w:tcW w:w="526" w:type="pct"/>
            <w:tcBorders>
              <w:top w:val="nil"/>
              <w:left w:val="nil"/>
              <w:bottom w:val="single" w:sz="4" w:space="0" w:color="293F5B"/>
              <w:right w:val="nil"/>
            </w:tcBorders>
            <w:shd w:val="clear" w:color="000000" w:fill="FFFFFF"/>
            <w:noWrap/>
            <w:vAlign w:val="center"/>
            <w:hideMark/>
          </w:tcPr>
          <w:p w14:paraId="0B4F89D6" w14:textId="77777777" w:rsidR="00AC4FFA" w:rsidRPr="00EC4BA6" w:rsidRDefault="00AC4FFA" w:rsidP="008F032C">
            <w:pPr>
              <w:spacing w:before="0" w:after="0" w:line="240" w:lineRule="auto"/>
              <w:jc w:val="right"/>
              <w:rPr>
                <w:rFonts w:ascii="Arial" w:hAnsi="Arial" w:cs="Arial"/>
                <w:b/>
                <w:sz w:val="16"/>
                <w:szCs w:val="16"/>
              </w:rPr>
            </w:pPr>
            <w:r w:rsidRPr="00EC4BA6">
              <w:rPr>
                <w:rFonts w:ascii="Arial" w:hAnsi="Arial" w:cs="Arial"/>
                <w:b/>
                <w:sz w:val="16"/>
                <w:szCs w:val="16"/>
              </w:rPr>
              <w:t>778,266</w:t>
            </w:r>
          </w:p>
        </w:tc>
      </w:tr>
      <w:tr w:rsidR="00EB4FEA" w:rsidRPr="00EC4BA6" w14:paraId="44767DC8" w14:textId="77777777" w:rsidTr="008F032C">
        <w:trPr>
          <w:trHeight w:hRule="exact" w:val="60"/>
        </w:trPr>
        <w:tc>
          <w:tcPr>
            <w:tcW w:w="1947" w:type="pct"/>
            <w:tcBorders>
              <w:top w:val="nil"/>
              <w:left w:val="nil"/>
              <w:bottom w:val="nil"/>
              <w:right w:val="nil"/>
            </w:tcBorders>
            <w:shd w:val="clear" w:color="000000" w:fill="FFFFFF"/>
            <w:noWrap/>
            <w:vAlign w:val="center"/>
            <w:hideMark/>
          </w:tcPr>
          <w:p w14:paraId="7319B663" w14:textId="77777777" w:rsidR="00AC4FFA" w:rsidRPr="00EC4BA6" w:rsidRDefault="00AC4FFA" w:rsidP="008F032C">
            <w:pPr>
              <w:spacing w:before="0" w:after="0" w:line="240" w:lineRule="auto"/>
              <w:rPr>
                <w:rFonts w:ascii="Arial" w:hAnsi="Arial" w:cs="Arial"/>
                <w:b/>
                <w:sz w:val="16"/>
                <w:szCs w:val="16"/>
              </w:rPr>
            </w:pPr>
            <w:r w:rsidRPr="00EC4BA6">
              <w:rPr>
                <w:rFonts w:ascii="Arial" w:hAnsi="Arial" w:cs="Arial"/>
                <w:b/>
                <w:sz w:val="16"/>
                <w:szCs w:val="16"/>
              </w:rPr>
              <w:t> </w:t>
            </w:r>
          </w:p>
        </w:tc>
        <w:tc>
          <w:tcPr>
            <w:tcW w:w="500" w:type="pct"/>
            <w:tcBorders>
              <w:top w:val="nil"/>
              <w:left w:val="nil"/>
              <w:bottom w:val="nil"/>
              <w:right w:val="nil"/>
            </w:tcBorders>
            <w:shd w:val="clear" w:color="000000" w:fill="FFFFFF"/>
            <w:noWrap/>
            <w:vAlign w:val="center"/>
            <w:hideMark/>
          </w:tcPr>
          <w:p w14:paraId="3C76F66A" w14:textId="77777777" w:rsidR="00AC4FFA" w:rsidRPr="00EC4BA6" w:rsidRDefault="00AC4FFA" w:rsidP="008F032C">
            <w:pPr>
              <w:spacing w:before="0" w:after="0" w:line="240" w:lineRule="auto"/>
              <w:jc w:val="right"/>
              <w:rPr>
                <w:rFonts w:ascii="Arial" w:hAnsi="Arial" w:cs="Arial"/>
                <w:b/>
                <w:sz w:val="16"/>
                <w:szCs w:val="16"/>
              </w:rPr>
            </w:pPr>
            <w:r w:rsidRPr="00EC4BA6">
              <w:rPr>
                <w:rFonts w:ascii="Arial" w:hAnsi="Arial" w:cs="Arial"/>
                <w:b/>
                <w:sz w:val="16"/>
                <w:szCs w:val="16"/>
              </w:rPr>
              <w:t> </w:t>
            </w:r>
          </w:p>
        </w:tc>
        <w:tc>
          <w:tcPr>
            <w:tcW w:w="54" w:type="pct"/>
            <w:tcBorders>
              <w:top w:val="nil"/>
              <w:left w:val="nil"/>
              <w:bottom w:val="nil"/>
              <w:right w:val="nil"/>
            </w:tcBorders>
            <w:shd w:val="clear" w:color="000000" w:fill="FFFFFF"/>
            <w:noWrap/>
            <w:vAlign w:val="center"/>
            <w:hideMark/>
          </w:tcPr>
          <w:p w14:paraId="3AD8237D" w14:textId="77777777" w:rsidR="00AC4FFA" w:rsidRPr="00EC4BA6" w:rsidRDefault="00AC4FFA" w:rsidP="008F032C">
            <w:pPr>
              <w:spacing w:before="0" w:after="0" w:line="240" w:lineRule="auto"/>
              <w:jc w:val="right"/>
              <w:rPr>
                <w:rFonts w:ascii="Arial" w:hAnsi="Arial" w:cs="Arial"/>
                <w:b/>
                <w:sz w:val="16"/>
                <w:szCs w:val="16"/>
              </w:rPr>
            </w:pPr>
            <w:r w:rsidRPr="00EC4BA6">
              <w:rPr>
                <w:rFonts w:ascii="Arial" w:hAnsi="Arial" w:cs="Arial"/>
                <w:b/>
                <w:sz w:val="16"/>
                <w:szCs w:val="16"/>
              </w:rPr>
              <w:t> </w:t>
            </w:r>
          </w:p>
        </w:tc>
        <w:tc>
          <w:tcPr>
            <w:tcW w:w="460" w:type="pct"/>
            <w:tcBorders>
              <w:top w:val="nil"/>
              <w:left w:val="nil"/>
              <w:bottom w:val="nil"/>
              <w:right w:val="nil"/>
            </w:tcBorders>
            <w:shd w:val="clear" w:color="000000" w:fill="FFFFFF"/>
            <w:noWrap/>
            <w:vAlign w:val="center"/>
            <w:hideMark/>
          </w:tcPr>
          <w:p w14:paraId="10D64A3B" w14:textId="77777777" w:rsidR="00AC4FFA" w:rsidRPr="00EC4BA6" w:rsidRDefault="00AC4FFA" w:rsidP="008F032C">
            <w:pPr>
              <w:spacing w:before="0" w:after="0" w:line="240" w:lineRule="auto"/>
              <w:rPr>
                <w:rFonts w:ascii="Arial" w:hAnsi="Arial" w:cs="Arial"/>
                <w:b/>
                <w:sz w:val="16"/>
                <w:szCs w:val="16"/>
              </w:rPr>
            </w:pPr>
            <w:r w:rsidRPr="00EC4BA6">
              <w:rPr>
                <w:rFonts w:ascii="Arial" w:hAnsi="Arial" w:cs="Arial"/>
                <w:b/>
                <w:sz w:val="16"/>
                <w:szCs w:val="16"/>
              </w:rPr>
              <w:t> </w:t>
            </w:r>
          </w:p>
        </w:tc>
        <w:tc>
          <w:tcPr>
            <w:tcW w:w="460" w:type="pct"/>
            <w:tcBorders>
              <w:top w:val="nil"/>
              <w:left w:val="nil"/>
              <w:bottom w:val="nil"/>
              <w:right w:val="nil"/>
            </w:tcBorders>
            <w:shd w:val="clear" w:color="000000" w:fill="E6F2FF"/>
            <w:noWrap/>
            <w:vAlign w:val="center"/>
            <w:hideMark/>
          </w:tcPr>
          <w:p w14:paraId="07EA686B" w14:textId="77777777" w:rsidR="00AC4FFA" w:rsidRPr="00EC4BA6" w:rsidRDefault="00AC4FFA" w:rsidP="008F032C">
            <w:pPr>
              <w:spacing w:before="0" w:after="0" w:line="240" w:lineRule="auto"/>
              <w:rPr>
                <w:rFonts w:ascii="Arial" w:hAnsi="Arial" w:cs="Arial"/>
                <w:b/>
                <w:sz w:val="16"/>
                <w:szCs w:val="16"/>
              </w:rPr>
            </w:pPr>
            <w:r w:rsidRPr="00EC4BA6">
              <w:rPr>
                <w:rFonts w:ascii="Arial" w:hAnsi="Arial" w:cs="Arial"/>
                <w:b/>
                <w:sz w:val="16"/>
                <w:szCs w:val="16"/>
              </w:rPr>
              <w:t> </w:t>
            </w:r>
          </w:p>
        </w:tc>
        <w:tc>
          <w:tcPr>
            <w:tcW w:w="526" w:type="pct"/>
            <w:tcBorders>
              <w:top w:val="nil"/>
              <w:left w:val="nil"/>
              <w:bottom w:val="nil"/>
              <w:right w:val="nil"/>
            </w:tcBorders>
            <w:shd w:val="clear" w:color="000000" w:fill="FFFFFF"/>
            <w:noWrap/>
            <w:vAlign w:val="center"/>
            <w:hideMark/>
          </w:tcPr>
          <w:p w14:paraId="46B48013" w14:textId="77777777" w:rsidR="00AC4FFA" w:rsidRPr="00EC4BA6" w:rsidRDefault="00AC4FFA" w:rsidP="008F032C">
            <w:pPr>
              <w:spacing w:before="0" w:after="0" w:line="240" w:lineRule="auto"/>
              <w:jc w:val="right"/>
              <w:rPr>
                <w:rFonts w:ascii="Arial" w:hAnsi="Arial" w:cs="Arial"/>
                <w:b/>
                <w:sz w:val="16"/>
                <w:szCs w:val="16"/>
              </w:rPr>
            </w:pPr>
            <w:r w:rsidRPr="00EC4BA6">
              <w:rPr>
                <w:rFonts w:ascii="Arial" w:hAnsi="Arial" w:cs="Arial"/>
                <w:b/>
                <w:sz w:val="16"/>
                <w:szCs w:val="16"/>
              </w:rPr>
              <w:t> </w:t>
            </w:r>
          </w:p>
        </w:tc>
        <w:tc>
          <w:tcPr>
            <w:tcW w:w="526" w:type="pct"/>
            <w:tcBorders>
              <w:top w:val="nil"/>
              <w:left w:val="nil"/>
              <w:bottom w:val="nil"/>
              <w:right w:val="nil"/>
            </w:tcBorders>
            <w:shd w:val="clear" w:color="000000" w:fill="FFFFFF"/>
            <w:noWrap/>
            <w:vAlign w:val="center"/>
            <w:hideMark/>
          </w:tcPr>
          <w:p w14:paraId="15A24361" w14:textId="77777777" w:rsidR="00AC4FFA" w:rsidRPr="00EC4BA6" w:rsidRDefault="00AC4FFA" w:rsidP="008F032C">
            <w:pPr>
              <w:spacing w:before="0" w:after="0" w:line="240" w:lineRule="auto"/>
              <w:jc w:val="right"/>
              <w:rPr>
                <w:rFonts w:ascii="Arial" w:hAnsi="Arial" w:cs="Arial"/>
                <w:b/>
                <w:sz w:val="16"/>
                <w:szCs w:val="16"/>
              </w:rPr>
            </w:pPr>
            <w:r w:rsidRPr="00EC4BA6">
              <w:rPr>
                <w:rFonts w:ascii="Arial" w:hAnsi="Arial" w:cs="Arial"/>
                <w:b/>
                <w:sz w:val="16"/>
                <w:szCs w:val="16"/>
              </w:rPr>
              <w:t> </w:t>
            </w:r>
          </w:p>
        </w:tc>
        <w:tc>
          <w:tcPr>
            <w:tcW w:w="526" w:type="pct"/>
            <w:tcBorders>
              <w:top w:val="nil"/>
              <w:left w:val="nil"/>
              <w:bottom w:val="nil"/>
              <w:right w:val="nil"/>
            </w:tcBorders>
            <w:shd w:val="clear" w:color="000000" w:fill="FFFFFF"/>
            <w:noWrap/>
            <w:vAlign w:val="center"/>
            <w:hideMark/>
          </w:tcPr>
          <w:p w14:paraId="0CFF97FD" w14:textId="77777777" w:rsidR="00AC4FFA" w:rsidRPr="00EC4BA6" w:rsidRDefault="00AC4FFA" w:rsidP="008F032C">
            <w:pPr>
              <w:spacing w:before="0" w:after="0" w:line="240" w:lineRule="auto"/>
              <w:jc w:val="right"/>
              <w:rPr>
                <w:rFonts w:ascii="Arial" w:hAnsi="Arial" w:cs="Arial"/>
                <w:b/>
                <w:sz w:val="16"/>
                <w:szCs w:val="16"/>
              </w:rPr>
            </w:pPr>
            <w:r w:rsidRPr="00EC4BA6">
              <w:rPr>
                <w:rFonts w:ascii="Arial" w:hAnsi="Arial" w:cs="Arial"/>
                <w:b/>
                <w:sz w:val="16"/>
                <w:szCs w:val="16"/>
              </w:rPr>
              <w:t> </w:t>
            </w:r>
          </w:p>
        </w:tc>
      </w:tr>
      <w:tr w:rsidR="00EB4FEA" w:rsidRPr="00EC4BA6" w14:paraId="0AC46740" w14:textId="77777777" w:rsidTr="008F032C">
        <w:trPr>
          <w:trHeight w:hRule="exact" w:val="225"/>
        </w:trPr>
        <w:tc>
          <w:tcPr>
            <w:tcW w:w="1947" w:type="pct"/>
            <w:tcBorders>
              <w:top w:val="nil"/>
              <w:left w:val="nil"/>
              <w:bottom w:val="nil"/>
              <w:right w:val="nil"/>
            </w:tcBorders>
            <w:shd w:val="clear" w:color="000000" w:fill="FFFFFF"/>
            <w:noWrap/>
            <w:vAlign w:val="center"/>
            <w:hideMark/>
          </w:tcPr>
          <w:p w14:paraId="10C43654" w14:textId="77777777" w:rsidR="00AC4FFA" w:rsidRPr="00EC4BA6" w:rsidRDefault="00AC4FFA" w:rsidP="008F032C">
            <w:pPr>
              <w:spacing w:before="0" w:after="0" w:line="240" w:lineRule="auto"/>
              <w:rPr>
                <w:rFonts w:ascii="Arial" w:hAnsi="Arial" w:cs="Arial"/>
                <w:sz w:val="16"/>
                <w:szCs w:val="16"/>
              </w:rPr>
            </w:pPr>
            <w:r w:rsidRPr="00EC4BA6">
              <w:rPr>
                <w:rFonts w:ascii="Arial" w:hAnsi="Arial" w:cs="Arial"/>
                <w:sz w:val="16"/>
                <w:szCs w:val="16"/>
              </w:rPr>
              <w:t>Sales of goods and services</w:t>
            </w:r>
          </w:p>
        </w:tc>
        <w:tc>
          <w:tcPr>
            <w:tcW w:w="500" w:type="pct"/>
            <w:tcBorders>
              <w:top w:val="nil"/>
              <w:left w:val="nil"/>
              <w:bottom w:val="nil"/>
              <w:right w:val="nil"/>
            </w:tcBorders>
            <w:shd w:val="clear" w:color="000000" w:fill="FFFFFF"/>
            <w:noWrap/>
            <w:vAlign w:val="center"/>
            <w:hideMark/>
          </w:tcPr>
          <w:p w14:paraId="5264F1BB"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19,867</w:t>
            </w:r>
          </w:p>
        </w:tc>
        <w:tc>
          <w:tcPr>
            <w:tcW w:w="54" w:type="pct"/>
            <w:tcBorders>
              <w:top w:val="nil"/>
              <w:left w:val="nil"/>
              <w:bottom w:val="nil"/>
              <w:right w:val="nil"/>
            </w:tcBorders>
            <w:shd w:val="clear" w:color="000000" w:fill="FFFFFF"/>
            <w:noWrap/>
            <w:vAlign w:val="center"/>
            <w:hideMark/>
          </w:tcPr>
          <w:p w14:paraId="059A7C23"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 </w:t>
            </w:r>
          </w:p>
        </w:tc>
        <w:tc>
          <w:tcPr>
            <w:tcW w:w="460" w:type="pct"/>
            <w:tcBorders>
              <w:top w:val="nil"/>
              <w:left w:val="nil"/>
              <w:bottom w:val="nil"/>
              <w:right w:val="nil"/>
            </w:tcBorders>
            <w:shd w:val="clear" w:color="000000" w:fill="FFFFFF"/>
            <w:noWrap/>
            <w:vAlign w:val="center"/>
            <w:hideMark/>
          </w:tcPr>
          <w:p w14:paraId="1298FF18"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21,796</w:t>
            </w:r>
          </w:p>
        </w:tc>
        <w:tc>
          <w:tcPr>
            <w:tcW w:w="460" w:type="pct"/>
            <w:tcBorders>
              <w:top w:val="nil"/>
              <w:left w:val="nil"/>
              <w:bottom w:val="nil"/>
              <w:right w:val="nil"/>
            </w:tcBorders>
            <w:shd w:val="clear" w:color="000000" w:fill="E6F2FF"/>
            <w:noWrap/>
            <w:vAlign w:val="center"/>
            <w:hideMark/>
          </w:tcPr>
          <w:p w14:paraId="127EEDEC"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21,921</w:t>
            </w:r>
          </w:p>
        </w:tc>
        <w:tc>
          <w:tcPr>
            <w:tcW w:w="526" w:type="pct"/>
            <w:tcBorders>
              <w:top w:val="nil"/>
              <w:left w:val="nil"/>
              <w:bottom w:val="nil"/>
              <w:right w:val="nil"/>
            </w:tcBorders>
            <w:shd w:val="clear" w:color="000000" w:fill="FFFFFF"/>
            <w:noWrap/>
            <w:vAlign w:val="center"/>
            <w:hideMark/>
          </w:tcPr>
          <w:p w14:paraId="2A7A4509"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22,974</w:t>
            </w:r>
          </w:p>
        </w:tc>
        <w:tc>
          <w:tcPr>
            <w:tcW w:w="526" w:type="pct"/>
            <w:tcBorders>
              <w:top w:val="nil"/>
              <w:left w:val="nil"/>
              <w:bottom w:val="nil"/>
              <w:right w:val="nil"/>
            </w:tcBorders>
            <w:shd w:val="clear" w:color="000000" w:fill="FFFFFF"/>
            <w:noWrap/>
            <w:vAlign w:val="center"/>
            <w:hideMark/>
          </w:tcPr>
          <w:p w14:paraId="2FB73CFE"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24,192</w:t>
            </w:r>
          </w:p>
        </w:tc>
        <w:tc>
          <w:tcPr>
            <w:tcW w:w="526" w:type="pct"/>
            <w:tcBorders>
              <w:top w:val="nil"/>
              <w:left w:val="nil"/>
              <w:bottom w:val="nil"/>
              <w:right w:val="nil"/>
            </w:tcBorders>
            <w:shd w:val="clear" w:color="000000" w:fill="FFFFFF"/>
            <w:noWrap/>
            <w:vAlign w:val="center"/>
            <w:hideMark/>
          </w:tcPr>
          <w:p w14:paraId="23ABA422"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25,304</w:t>
            </w:r>
          </w:p>
        </w:tc>
      </w:tr>
      <w:tr w:rsidR="00EB4FEA" w:rsidRPr="00EC4BA6" w14:paraId="19BC4E5F" w14:textId="77777777" w:rsidTr="008F032C">
        <w:trPr>
          <w:trHeight w:hRule="exact" w:val="225"/>
        </w:trPr>
        <w:tc>
          <w:tcPr>
            <w:tcW w:w="1947" w:type="pct"/>
            <w:tcBorders>
              <w:top w:val="nil"/>
              <w:left w:val="nil"/>
              <w:bottom w:val="nil"/>
              <w:right w:val="nil"/>
            </w:tcBorders>
            <w:shd w:val="clear" w:color="000000" w:fill="FFFFFF"/>
            <w:noWrap/>
            <w:vAlign w:val="center"/>
            <w:hideMark/>
          </w:tcPr>
          <w:p w14:paraId="2BB9ACE3" w14:textId="77777777" w:rsidR="00AC4FFA" w:rsidRPr="00EC4BA6" w:rsidRDefault="00AC4FFA" w:rsidP="008F032C">
            <w:pPr>
              <w:spacing w:before="0" w:after="0" w:line="240" w:lineRule="auto"/>
              <w:rPr>
                <w:rFonts w:ascii="Arial" w:hAnsi="Arial" w:cs="Arial"/>
                <w:sz w:val="16"/>
                <w:szCs w:val="16"/>
              </w:rPr>
            </w:pPr>
            <w:r w:rsidRPr="00EC4BA6">
              <w:rPr>
                <w:rFonts w:ascii="Arial" w:hAnsi="Arial" w:cs="Arial"/>
                <w:sz w:val="16"/>
                <w:szCs w:val="16"/>
              </w:rPr>
              <w:t>Interest received</w:t>
            </w:r>
          </w:p>
        </w:tc>
        <w:tc>
          <w:tcPr>
            <w:tcW w:w="500" w:type="pct"/>
            <w:tcBorders>
              <w:top w:val="nil"/>
              <w:left w:val="nil"/>
              <w:bottom w:val="nil"/>
              <w:right w:val="nil"/>
            </w:tcBorders>
            <w:shd w:val="clear" w:color="000000" w:fill="FFFFFF"/>
            <w:noWrap/>
            <w:vAlign w:val="center"/>
            <w:hideMark/>
          </w:tcPr>
          <w:p w14:paraId="0D2A4182"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10,509</w:t>
            </w:r>
          </w:p>
        </w:tc>
        <w:tc>
          <w:tcPr>
            <w:tcW w:w="54" w:type="pct"/>
            <w:tcBorders>
              <w:top w:val="nil"/>
              <w:left w:val="nil"/>
              <w:bottom w:val="nil"/>
              <w:right w:val="nil"/>
            </w:tcBorders>
            <w:shd w:val="clear" w:color="000000" w:fill="FFFFFF"/>
            <w:noWrap/>
            <w:vAlign w:val="center"/>
            <w:hideMark/>
          </w:tcPr>
          <w:p w14:paraId="291FBED1"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 </w:t>
            </w:r>
          </w:p>
        </w:tc>
        <w:tc>
          <w:tcPr>
            <w:tcW w:w="460" w:type="pct"/>
            <w:tcBorders>
              <w:top w:val="nil"/>
              <w:left w:val="nil"/>
              <w:bottom w:val="nil"/>
              <w:right w:val="nil"/>
            </w:tcBorders>
            <w:shd w:val="clear" w:color="000000" w:fill="FFFFFF"/>
            <w:noWrap/>
            <w:vAlign w:val="center"/>
            <w:hideMark/>
          </w:tcPr>
          <w:p w14:paraId="41E8204F"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9,520</w:t>
            </w:r>
          </w:p>
        </w:tc>
        <w:tc>
          <w:tcPr>
            <w:tcW w:w="460" w:type="pct"/>
            <w:tcBorders>
              <w:top w:val="nil"/>
              <w:left w:val="nil"/>
              <w:bottom w:val="nil"/>
              <w:right w:val="nil"/>
            </w:tcBorders>
            <w:shd w:val="clear" w:color="000000" w:fill="E6F2FF"/>
            <w:noWrap/>
            <w:vAlign w:val="center"/>
            <w:hideMark/>
          </w:tcPr>
          <w:p w14:paraId="012C3C03"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9,389</w:t>
            </w:r>
          </w:p>
        </w:tc>
        <w:tc>
          <w:tcPr>
            <w:tcW w:w="526" w:type="pct"/>
            <w:tcBorders>
              <w:top w:val="nil"/>
              <w:left w:val="nil"/>
              <w:bottom w:val="nil"/>
              <w:right w:val="nil"/>
            </w:tcBorders>
            <w:shd w:val="clear" w:color="000000" w:fill="FFFFFF"/>
            <w:noWrap/>
            <w:vAlign w:val="center"/>
            <w:hideMark/>
          </w:tcPr>
          <w:p w14:paraId="1906F33E"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8,939</w:t>
            </w:r>
          </w:p>
        </w:tc>
        <w:tc>
          <w:tcPr>
            <w:tcW w:w="526" w:type="pct"/>
            <w:tcBorders>
              <w:top w:val="nil"/>
              <w:left w:val="nil"/>
              <w:bottom w:val="nil"/>
              <w:right w:val="nil"/>
            </w:tcBorders>
            <w:shd w:val="clear" w:color="000000" w:fill="FFFFFF"/>
            <w:noWrap/>
            <w:vAlign w:val="center"/>
            <w:hideMark/>
          </w:tcPr>
          <w:p w14:paraId="3AAE552F"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9,798</w:t>
            </w:r>
          </w:p>
        </w:tc>
        <w:tc>
          <w:tcPr>
            <w:tcW w:w="526" w:type="pct"/>
            <w:tcBorders>
              <w:top w:val="nil"/>
              <w:left w:val="nil"/>
              <w:bottom w:val="nil"/>
              <w:right w:val="nil"/>
            </w:tcBorders>
            <w:shd w:val="clear" w:color="000000" w:fill="FFFFFF"/>
            <w:noWrap/>
            <w:vAlign w:val="center"/>
            <w:hideMark/>
          </w:tcPr>
          <w:p w14:paraId="4D06D23D"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10,109</w:t>
            </w:r>
          </w:p>
        </w:tc>
      </w:tr>
      <w:tr w:rsidR="00EB4FEA" w:rsidRPr="00EC4BA6" w14:paraId="665814D0" w14:textId="77777777" w:rsidTr="008F032C">
        <w:trPr>
          <w:trHeight w:hRule="exact" w:val="225"/>
        </w:trPr>
        <w:tc>
          <w:tcPr>
            <w:tcW w:w="1947" w:type="pct"/>
            <w:tcBorders>
              <w:top w:val="nil"/>
              <w:left w:val="nil"/>
              <w:bottom w:val="nil"/>
              <w:right w:val="nil"/>
            </w:tcBorders>
            <w:shd w:val="clear" w:color="000000" w:fill="FFFFFF"/>
            <w:noWrap/>
            <w:vAlign w:val="center"/>
            <w:hideMark/>
          </w:tcPr>
          <w:p w14:paraId="68174EAD" w14:textId="77777777" w:rsidR="00AC4FFA" w:rsidRPr="00EC4BA6" w:rsidRDefault="00AC4FFA" w:rsidP="008F032C">
            <w:pPr>
              <w:spacing w:before="0" w:after="0" w:line="240" w:lineRule="auto"/>
              <w:rPr>
                <w:rFonts w:ascii="Arial" w:hAnsi="Arial" w:cs="Arial"/>
                <w:sz w:val="16"/>
                <w:szCs w:val="16"/>
              </w:rPr>
            </w:pPr>
            <w:r w:rsidRPr="00EC4BA6">
              <w:rPr>
                <w:rFonts w:ascii="Arial" w:hAnsi="Arial" w:cs="Arial"/>
                <w:sz w:val="16"/>
                <w:szCs w:val="16"/>
              </w:rPr>
              <w:t>Dividends and distributions</w:t>
            </w:r>
          </w:p>
        </w:tc>
        <w:tc>
          <w:tcPr>
            <w:tcW w:w="500" w:type="pct"/>
            <w:tcBorders>
              <w:top w:val="nil"/>
              <w:left w:val="nil"/>
              <w:bottom w:val="nil"/>
              <w:right w:val="nil"/>
            </w:tcBorders>
            <w:shd w:val="clear" w:color="000000" w:fill="FFFFFF"/>
            <w:noWrap/>
            <w:vAlign w:val="center"/>
            <w:hideMark/>
          </w:tcPr>
          <w:p w14:paraId="61323D94"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6,412</w:t>
            </w:r>
          </w:p>
        </w:tc>
        <w:tc>
          <w:tcPr>
            <w:tcW w:w="54" w:type="pct"/>
            <w:tcBorders>
              <w:top w:val="nil"/>
              <w:left w:val="nil"/>
              <w:bottom w:val="nil"/>
              <w:right w:val="nil"/>
            </w:tcBorders>
            <w:shd w:val="clear" w:color="000000" w:fill="FFFFFF"/>
            <w:noWrap/>
            <w:vAlign w:val="center"/>
            <w:hideMark/>
          </w:tcPr>
          <w:p w14:paraId="5F7144D5"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 </w:t>
            </w:r>
          </w:p>
        </w:tc>
        <w:tc>
          <w:tcPr>
            <w:tcW w:w="460" w:type="pct"/>
            <w:tcBorders>
              <w:top w:val="nil"/>
              <w:left w:val="nil"/>
              <w:bottom w:val="nil"/>
              <w:right w:val="nil"/>
            </w:tcBorders>
            <w:shd w:val="clear" w:color="000000" w:fill="FFFFFF"/>
            <w:noWrap/>
            <w:vAlign w:val="center"/>
            <w:hideMark/>
          </w:tcPr>
          <w:p w14:paraId="176A9911"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7,380</w:t>
            </w:r>
          </w:p>
        </w:tc>
        <w:tc>
          <w:tcPr>
            <w:tcW w:w="460" w:type="pct"/>
            <w:tcBorders>
              <w:top w:val="nil"/>
              <w:left w:val="nil"/>
              <w:bottom w:val="nil"/>
              <w:right w:val="nil"/>
            </w:tcBorders>
            <w:shd w:val="clear" w:color="000000" w:fill="E6F2FF"/>
            <w:noWrap/>
            <w:vAlign w:val="center"/>
            <w:hideMark/>
          </w:tcPr>
          <w:p w14:paraId="6F7ED40D"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7,416</w:t>
            </w:r>
          </w:p>
        </w:tc>
        <w:tc>
          <w:tcPr>
            <w:tcW w:w="526" w:type="pct"/>
            <w:tcBorders>
              <w:top w:val="nil"/>
              <w:left w:val="nil"/>
              <w:bottom w:val="nil"/>
              <w:right w:val="nil"/>
            </w:tcBorders>
            <w:shd w:val="clear" w:color="000000" w:fill="FFFFFF"/>
            <w:noWrap/>
            <w:vAlign w:val="center"/>
            <w:hideMark/>
          </w:tcPr>
          <w:p w14:paraId="6F99DD5F"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7,766</w:t>
            </w:r>
          </w:p>
        </w:tc>
        <w:tc>
          <w:tcPr>
            <w:tcW w:w="526" w:type="pct"/>
            <w:tcBorders>
              <w:top w:val="nil"/>
              <w:left w:val="nil"/>
              <w:bottom w:val="nil"/>
              <w:right w:val="nil"/>
            </w:tcBorders>
            <w:shd w:val="clear" w:color="000000" w:fill="FFFFFF"/>
            <w:noWrap/>
            <w:vAlign w:val="center"/>
            <w:hideMark/>
          </w:tcPr>
          <w:p w14:paraId="7CCE8004"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8,212</w:t>
            </w:r>
          </w:p>
        </w:tc>
        <w:tc>
          <w:tcPr>
            <w:tcW w:w="526" w:type="pct"/>
            <w:tcBorders>
              <w:top w:val="nil"/>
              <w:left w:val="nil"/>
              <w:bottom w:val="nil"/>
              <w:right w:val="nil"/>
            </w:tcBorders>
            <w:shd w:val="clear" w:color="000000" w:fill="FFFFFF"/>
            <w:noWrap/>
            <w:vAlign w:val="center"/>
            <w:hideMark/>
          </w:tcPr>
          <w:p w14:paraId="1912190F"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8,946</w:t>
            </w:r>
          </w:p>
        </w:tc>
      </w:tr>
      <w:tr w:rsidR="00EB4FEA" w:rsidRPr="00EC4BA6" w14:paraId="7498F851" w14:textId="77777777" w:rsidTr="008F032C">
        <w:trPr>
          <w:trHeight w:hRule="exact" w:val="225"/>
        </w:trPr>
        <w:tc>
          <w:tcPr>
            <w:tcW w:w="1947" w:type="pct"/>
            <w:tcBorders>
              <w:top w:val="nil"/>
              <w:left w:val="nil"/>
              <w:bottom w:val="nil"/>
              <w:right w:val="nil"/>
            </w:tcBorders>
            <w:shd w:val="clear" w:color="000000" w:fill="FFFFFF"/>
            <w:noWrap/>
            <w:vAlign w:val="center"/>
            <w:hideMark/>
          </w:tcPr>
          <w:p w14:paraId="5C234A86" w14:textId="5BFEB0F0" w:rsidR="00AC4FFA" w:rsidRPr="00EC4BA6" w:rsidRDefault="00AC4FFA" w:rsidP="008F032C">
            <w:pPr>
              <w:spacing w:before="0" w:after="0" w:line="240" w:lineRule="auto"/>
              <w:rPr>
                <w:rFonts w:ascii="Arial" w:hAnsi="Arial" w:cs="Arial"/>
                <w:sz w:val="16"/>
                <w:szCs w:val="16"/>
              </w:rPr>
            </w:pPr>
            <w:r w:rsidRPr="00EC4BA6">
              <w:rPr>
                <w:rFonts w:ascii="Arial" w:hAnsi="Arial" w:cs="Arial"/>
                <w:sz w:val="16"/>
                <w:szCs w:val="16"/>
              </w:rPr>
              <w:t>Other non</w:t>
            </w:r>
            <w:r w:rsidR="001A3DD6">
              <w:rPr>
                <w:rFonts w:ascii="Arial" w:hAnsi="Arial" w:cs="Arial"/>
                <w:sz w:val="16"/>
                <w:szCs w:val="16"/>
              </w:rPr>
              <w:noBreakHyphen/>
            </w:r>
            <w:r w:rsidRPr="00EC4BA6">
              <w:rPr>
                <w:rFonts w:ascii="Arial" w:hAnsi="Arial" w:cs="Arial"/>
                <w:sz w:val="16"/>
                <w:szCs w:val="16"/>
              </w:rPr>
              <w:t>taxation receipts</w:t>
            </w:r>
          </w:p>
        </w:tc>
        <w:tc>
          <w:tcPr>
            <w:tcW w:w="500" w:type="pct"/>
            <w:tcBorders>
              <w:top w:val="nil"/>
              <w:left w:val="nil"/>
              <w:bottom w:val="nil"/>
              <w:right w:val="nil"/>
            </w:tcBorders>
            <w:shd w:val="clear" w:color="000000" w:fill="FFFFFF"/>
            <w:noWrap/>
            <w:vAlign w:val="center"/>
            <w:hideMark/>
          </w:tcPr>
          <w:p w14:paraId="50EEE426"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18,397</w:t>
            </w:r>
          </w:p>
        </w:tc>
        <w:tc>
          <w:tcPr>
            <w:tcW w:w="54" w:type="pct"/>
            <w:tcBorders>
              <w:top w:val="nil"/>
              <w:left w:val="nil"/>
              <w:bottom w:val="nil"/>
              <w:right w:val="nil"/>
            </w:tcBorders>
            <w:shd w:val="clear" w:color="000000" w:fill="FFFFFF"/>
            <w:noWrap/>
            <w:vAlign w:val="center"/>
            <w:hideMark/>
          </w:tcPr>
          <w:p w14:paraId="77B36E1A"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 </w:t>
            </w:r>
          </w:p>
        </w:tc>
        <w:tc>
          <w:tcPr>
            <w:tcW w:w="460" w:type="pct"/>
            <w:tcBorders>
              <w:top w:val="nil"/>
              <w:left w:val="nil"/>
              <w:bottom w:val="nil"/>
              <w:right w:val="nil"/>
            </w:tcBorders>
            <w:shd w:val="clear" w:color="000000" w:fill="FFFFFF"/>
            <w:noWrap/>
            <w:vAlign w:val="center"/>
            <w:hideMark/>
          </w:tcPr>
          <w:p w14:paraId="3993D5A7"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19,984</w:t>
            </w:r>
          </w:p>
        </w:tc>
        <w:tc>
          <w:tcPr>
            <w:tcW w:w="460" w:type="pct"/>
            <w:tcBorders>
              <w:top w:val="nil"/>
              <w:left w:val="nil"/>
              <w:bottom w:val="nil"/>
              <w:right w:val="nil"/>
            </w:tcBorders>
            <w:shd w:val="clear" w:color="000000" w:fill="E6F2FF"/>
            <w:noWrap/>
            <w:vAlign w:val="center"/>
            <w:hideMark/>
          </w:tcPr>
          <w:p w14:paraId="77784B65"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20,540</w:t>
            </w:r>
          </w:p>
        </w:tc>
        <w:tc>
          <w:tcPr>
            <w:tcW w:w="526" w:type="pct"/>
            <w:tcBorders>
              <w:top w:val="nil"/>
              <w:left w:val="nil"/>
              <w:bottom w:val="nil"/>
              <w:right w:val="nil"/>
            </w:tcBorders>
            <w:shd w:val="clear" w:color="000000" w:fill="FFFFFF"/>
            <w:noWrap/>
            <w:vAlign w:val="center"/>
            <w:hideMark/>
          </w:tcPr>
          <w:p w14:paraId="5CF158D3"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18,736</w:t>
            </w:r>
          </w:p>
        </w:tc>
        <w:tc>
          <w:tcPr>
            <w:tcW w:w="526" w:type="pct"/>
            <w:tcBorders>
              <w:top w:val="nil"/>
              <w:left w:val="nil"/>
              <w:bottom w:val="nil"/>
              <w:right w:val="nil"/>
            </w:tcBorders>
            <w:shd w:val="clear" w:color="000000" w:fill="FFFFFF"/>
            <w:noWrap/>
            <w:vAlign w:val="center"/>
            <w:hideMark/>
          </w:tcPr>
          <w:p w14:paraId="31E98FAA"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19,238</w:t>
            </w:r>
          </w:p>
        </w:tc>
        <w:tc>
          <w:tcPr>
            <w:tcW w:w="526" w:type="pct"/>
            <w:tcBorders>
              <w:top w:val="nil"/>
              <w:left w:val="nil"/>
              <w:bottom w:val="nil"/>
              <w:right w:val="nil"/>
            </w:tcBorders>
            <w:shd w:val="clear" w:color="000000" w:fill="FFFFFF"/>
            <w:noWrap/>
            <w:vAlign w:val="center"/>
            <w:hideMark/>
          </w:tcPr>
          <w:p w14:paraId="68392DA5" w14:textId="77777777" w:rsidR="00AC4FFA" w:rsidRPr="00EC4BA6" w:rsidRDefault="00AC4FFA" w:rsidP="008F032C">
            <w:pPr>
              <w:spacing w:before="0" w:after="0" w:line="240" w:lineRule="auto"/>
              <w:jc w:val="right"/>
              <w:rPr>
                <w:rFonts w:ascii="Arial" w:hAnsi="Arial" w:cs="Arial"/>
                <w:sz w:val="16"/>
                <w:szCs w:val="16"/>
              </w:rPr>
            </w:pPr>
            <w:r w:rsidRPr="00EC4BA6">
              <w:rPr>
                <w:rFonts w:ascii="Arial" w:hAnsi="Arial" w:cs="Arial"/>
                <w:sz w:val="16"/>
                <w:szCs w:val="16"/>
              </w:rPr>
              <w:t>18,214</w:t>
            </w:r>
          </w:p>
        </w:tc>
      </w:tr>
      <w:tr w:rsidR="00EB4FEA" w:rsidRPr="00EC4BA6" w14:paraId="4631B38C" w14:textId="77777777" w:rsidTr="008F032C">
        <w:trPr>
          <w:trHeight w:hRule="exact" w:val="225"/>
        </w:trPr>
        <w:tc>
          <w:tcPr>
            <w:tcW w:w="1947" w:type="pct"/>
            <w:tcBorders>
              <w:top w:val="nil"/>
              <w:left w:val="nil"/>
              <w:bottom w:val="nil"/>
              <w:right w:val="nil"/>
            </w:tcBorders>
            <w:shd w:val="clear" w:color="000000" w:fill="FFFFFF"/>
            <w:noWrap/>
            <w:vAlign w:val="center"/>
            <w:hideMark/>
          </w:tcPr>
          <w:p w14:paraId="2B7B326A" w14:textId="4F5308B8" w:rsidR="00AC4FFA" w:rsidRPr="00EC4BA6" w:rsidRDefault="00AC4FFA" w:rsidP="008F032C">
            <w:pPr>
              <w:spacing w:before="0" w:after="0" w:line="240" w:lineRule="auto"/>
              <w:rPr>
                <w:rFonts w:ascii="Arial" w:hAnsi="Arial" w:cs="Arial"/>
                <w:b/>
                <w:sz w:val="16"/>
                <w:szCs w:val="16"/>
              </w:rPr>
            </w:pPr>
            <w:r w:rsidRPr="00EC4BA6">
              <w:rPr>
                <w:rFonts w:ascii="Arial" w:hAnsi="Arial" w:cs="Arial"/>
                <w:b/>
                <w:sz w:val="16"/>
                <w:szCs w:val="16"/>
              </w:rPr>
              <w:t>Non</w:t>
            </w:r>
            <w:r w:rsidR="001A3DD6">
              <w:rPr>
                <w:rFonts w:ascii="Arial" w:hAnsi="Arial" w:cs="Arial"/>
                <w:b/>
                <w:sz w:val="16"/>
                <w:szCs w:val="16"/>
              </w:rPr>
              <w:noBreakHyphen/>
            </w:r>
            <w:r w:rsidRPr="00EC4BA6">
              <w:rPr>
                <w:rFonts w:ascii="Arial" w:hAnsi="Arial" w:cs="Arial"/>
                <w:b/>
                <w:sz w:val="16"/>
                <w:szCs w:val="16"/>
              </w:rPr>
              <w:t>taxation receipts</w:t>
            </w:r>
          </w:p>
        </w:tc>
        <w:tc>
          <w:tcPr>
            <w:tcW w:w="500" w:type="pct"/>
            <w:tcBorders>
              <w:top w:val="single" w:sz="4" w:space="0" w:color="293F5B"/>
              <w:left w:val="nil"/>
              <w:bottom w:val="single" w:sz="4" w:space="0" w:color="293F5B"/>
              <w:right w:val="nil"/>
            </w:tcBorders>
            <w:shd w:val="clear" w:color="000000" w:fill="FFFFFF"/>
            <w:noWrap/>
            <w:vAlign w:val="center"/>
            <w:hideMark/>
          </w:tcPr>
          <w:p w14:paraId="3049D112" w14:textId="77777777" w:rsidR="00AC4FFA" w:rsidRPr="00EC4BA6" w:rsidRDefault="00AC4FFA" w:rsidP="008F032C">
            <w:pPr>
              <w:spacing w:before="0" w:after="0" w:line="240" w:lineRule="auto"/>
              <w:jc w:val="right"/>
              <w:rPr>
                <w:rFonts w:ascii="Arial" w:hAnsi="Arial" w:cs="Arial"/>
                <w:b/>
                <w:sz w:val="16"/>
                <w:szCs w:val="16"/>
              </w:rPr>
            </w:pPr>
            <w:r w:rsidRPr="00EC4BA6">
              <w:rPr>
                <w:rFonts w:ascii="Arial" w:hAnsi="Arial" w:cs="Arial"/>
                <w:b/>
                <w:sz w:val="16"/>
                <w:szCs w:val="16"/>
              </w:rPr>
              <w:t>55,185</w:t>
            </w:r>
          </w:p>
        </w:tc>
        <w:tc>
          <w:tcPr>
            <w:tcW w:w="54" w:type="pct"/>
            <w:tcBorders>
              <w:top w:val="nil"/>
              <w:left w:val="nil"/>
              <w:bottom w:val="nil"/>
              <w:right w:val="nil"/>
            </w:tcBorders>
            <w:shd w:val="clear" w:color="000000" w:fill="FFFFFF"/>
            <w:noWrap/>
            <w:vAlign w:val="center"/>
            <w:hideMark/>
          </w:tcPr>
          <w:p w14:paraId="1AE65ABC" w14:textId="77777777" w:rsidR="00AC4FFA" w:rsidRPr="00EC4BA6" w:rsidRDefault="00AC4FFA" w:rsidP="008F032C">
            <w:pPr>
              <w:spacing w:before="0" w:after="0" w:line="240" w:lineRule="auto"/>
              <w:jc w:val="right"/>
              <w:rPr>
                <w:rFonts w:ascii="Arial" w:hAnsi="Arial" w:cs="Arial"/>
                <w:b/>
                <w:sz w:val="16"/>
                <w:szCs w:val="16"/>
              </w:rPr>
            </w:pPr>
            <w:r w:rsidRPr="00EC4BA6">
              <w:rPr>
                <w:rFonts w:ascii="Arial" w:hAnsi="Arial" w:cs="Arial"/>
                <w:b/>
                <w:sz w:val="16"/>
                <w:szCs w:val="16"/>
              </w:rPr>
              <w:t> </w:t>
            </w:r>
          </w:p>
        </w:tc>
        <w:tc>
          <w:tcPr>
            <w:tcW w:w="460" w:type="pct"/>
            <w:tcBorders>
              <w:top w:val="single" w:sz="4" w:space="0" w:color="293F5B"/>
              <w:left w:val="nil"/>
              <w:bottom w:val="single" w:sz="4" w:space="0" w:color="293F5B"/>
              <w:right w:val="nil"/>
            </w:tcBorders>
            <w:shd w:val="clear" w:color="000000" w:fill="FFFFFF"/>
            <w:noWrap/>
            <w:vAlign w:val="center"/>
            <w:hideMark/>
          </w:tcPr>
          <w:p w14:paraId="1233A4CF" w14:textId="77777777" w:rsidR="00AC4FFA" w:rsidRPr="00EC4BA6" w:rsidRDefault="00AC4FFA" w:rsidP="008F032C">
            <w:pPr>
              <w:spacing w:before="0" w:after="0" w:line="240" w:lineRule="auto"/>
              <w:jc w:val="right"/>
              <w:rPr>
                <w:rFonts w:ascii="Arial" w:hAnsi="Arial" w:cs="Arial"/>
                <w:b/>
                <w:sz w:val="16"/>
                <w:szCs w:val="16"/>
              </w:rPr>
            </w:pPr>
            <w:r w:rsidRPr="00EC4BA6">
              <w:rPr>
                <w:rFonts w:ascii="Arial" w:hAnsi="Arial" w:cs="Arial"/>
                <w:b/>
                <w:sz w:val="16"/>
                <w:szCs w:val="16"/>
              </w:rPr>
              <w:t>58,680</w:t>
            </w:r>
          </w:p>
        </w:tc>
        <w:tc>
          <w:tcPr>
            <w:tcW w:w="460" w:type="pct"/>
            <w:tcBorders>
              <w:top w:val="single" w:sz="4" w:space="0" w:color="293F5B"/>
              <w:left w:val="nil"/>
              <w:bottom w:val="single" w:sz="4" w:space="0" w:color="293F5B"/>
              <w:right w:val="nil"/>
            </w:tcBorders>
            <w:shd w:val="clear" w:color="000000" w:fill="E6F2FF"/>
            <w:noWrap/>
            <w:vAlign w:val="center"/>
            <w:hideMark/>
          </w:tcPr>
          <w:p w14:paraId="624649C0" w14:textId="77777777" w:rsidR="00AC4FFA" w:rsidRPr="00EC4BA6" w:rsidRDefault="00AC4FFA" w:rsidP="008F032C">
            <w:pPr>
              <w:spacing w:before="0" w:after="0" w:line="240" w:lineRule="auto"/>
              <w:jc w:val="right"/>
              <w:rPr>
                <w:rFonts w:ascii="Arial" w:hAnsi="Arial" w:cs="Arial"/>
                <w:b/>
                <w:sz w:val="16"/>
                <w:szCs w:val="16"/>
              </w:rPr>
            </w:pPr>
            <w:r w:rsidRPr="00EC4BA6">
              <w:rPr>
                <w:rFonts w:ascii="Arial" w:hAnsi="Arial" w:cs="Arial"/>
                <w:b/>
                <w:sz w:val="16"/>
                <w:szCs w:val="16"/>
              </w:rPr>
              <w:t>59,266</w:t>
            </w:r>
          </w:p>
        </w:tc>
        <w:tc>
          <w:tcPr>
            <w:tcW w:w="526" w:type="pct"/>
            <w:tcBorders>
              <w:top w:val="single" w:sz="4" w:space="0" w:color="293F5B"/>
              <w:left w:val="nil"/>
              <w:bottom w:val="single" w:sz="4" w:space="0" w:color="293F5B"/>
              <w:right w:val="nil"/>
            </w:tcBorders>
            <w:shd w:val="clear" w:color="000000" w:fill="FFFFFF"/>
            <w:noWrap/>
            <w:vAlign w:val="center"/>
            <w:hideMark/>
          </w:tcPr>
          <w:p w14:paraId="3D883F90" w14:textId="77777777" w:rsidR="00AC4FFA" w:rsidRPr="00EC4BA6" w:rsidRDefault="00AC4FFA" w:rsidP="008F032C">
            <w:pPr>
              <w:spacing w:before="0" w:after="0" w:line="240" w:lineRule="auto"/>
              <w:jc w:val="right"/>
              <w:rPr>
                <w:rFonts w:ascii="Arial" w:hAnsi="Arial" w:cs="Arial"/>
                <w:b/>
                <w:sz w:val="16"/>
                <w:szCs w:val="16"/>
              </w:rPr>
            </w:pPr>
            <w:r w:rsidRPr="00EC4BA6">
              <w:rPr>
                <w:rFonts w:ascii="Arial" w:hAnsi="Arial" w:cs="Arial"/>
                <w:b/>
                <w:sz w:val="16"/>
                <w:szCs w:val="16"/>
              </w:rPr>
              <w:t>58,414</w:t>
            </w:r>
          </w:p>
        </w:tc>
        <w:tc>
          <w:tcPr>
            <w:tcW w:w="526" w:type="pct"/>
            <w:tcBorders>
              <w:top w:val="single" w:sz="4" w:space="0" w:color="293F5B"/>
              <w:left w:val="nil"/>
              <w:bottom w:val="single" w:sz="4" w:space="0" w:color="293F5B"/>
              <w:right w:val="nil"/>
            </w:tcBorders>
            <w:shd w:val="clear" w:color="000000" w:fill="FFFFFF"/>
            <w:noWrap/>
            <w:vAlign w:val="center"/>
            <w:hideMark/>
          </w:tcPr>
          <w:p w14:paraId="2EFB57F9" w14:textId="77777777" w:rsidR="00AC4FFA" w:rsidRPr="00EC4BA6" w:rsidRDefault="00AC4FFA" w:rsidP="008F032C">
            <w:pPr>
              <w:spacing w:before="0" w:after="0" w:line="240" w:lineRule="auto"/>
              <w:jc w:val="right"/>
              <w:rPr>
                <w:rFonts w:ascii="Arial" w:hAnsi="Arial" w:cs="Arial"/>
                <w:b/>
                <w:sz w:val="16"/>
                <w:szCs w:val="16"/>
              </w:rPr>
            </w:pPr>
            <w:r w:rsidRPr="00EC4BA6">
              <w:rPr>
                <w:rFonts w:ascii="Arial" w:hAnsi="Arial" w:cs="Arial"/>
                <w:b/>
                <w:sz w:val="16"/>
                <w:szCs w:val="16"/>
              </w:rPr>
              <w:t>61,440</w:t>
            </w:r>
          </w:p>
        </w:tc>
        <w:tc>
          <w:tcPr>
            <w:tcW w:w="526" w:type="pct"/>
            <w:tcBorders>
              <w:top w:val="single" w:sz="4" w:space="0" w:color="293F5B"/>
              <w:left w:val="nil"/>
              <w:bottom w:val="single" w:sz="4" w:space="0" w:color="293F5B"/>
              <w:right w:val="nil"/>
            </w:tcBorders>
            <w:shd w:val="clear" w:color="000000" w:fill="FFFFFF"/>
            <w:noWrap/>
            <w:vAlign w:val="center"/>
            <w:hideMark/>
          </w:tcPr>
          <w:p w14:paraId="7B6AAB11" w14:textId="77777777" w:rsidR="00AC4FFA" w:rsidRPr="00EC4BA6" w:rsidRDefault="00AC4FFA" w:rsidP="008F032C">
            <w:pPr>
              <w:spacing w:before="0" w:after="0" w:line="240" w:lineRule="auto"/>
              <w:jc w:val="right"/>
              <w:rPr>
                <w:rFonts w:ascii="Arial" w:hAnsi="Arial" w:cs="Arial"/>
                <w:b/>
                <w:sz w:val="16"/>
                <w:szCs w:val="16"/>
              </w:rPr>
            </w:pPr>
            <w:r w:rsidRPr="00EC4BA6">
              <w:rPr>
                <w:rFonts w:ascii="Arial" w:hAnsi="Arial" w:cs="Arial"/>
                <w:b/>
                <w:sz w:val="16"/>
                <w:szCs w:val="16"/>
              </w:rPr>
              <w:t>62,573</w:t>
            </w:r>
          </w:p>
        </w:tc>
      </w:tr>
      <w:tr w:rsidR="00EB4FEA" w:rsidRPr="00EC4BA6" w14:paraId="2F177B5F" w14:textId="77777777" w:rsidTr="008F032C">
        <w:trPr>
          <w:trHeight w:hRule="exact" w:val="225"/>
        </w:trPr>
        <w:tc>
          <w:tcPr>
            <w:tcW w:w="1947" w:type="pct"/>
            <w:tcBorders>
              <w:top w:val="nil"/>
              <w:left w:val="nil"/>
              <w:bottom w:val="nil"/>
              <w:right w:val="nil"/>
            </w:tcBorders>
            <w:shd w:val="clear" w:color="000000" w:fill="FFFFFF"/>
            <w:noWrap/>
            <w:vAlign w:val="center"/>
            <w:hideMark/>
          </w:tcPr>
          <w:p w14:paraId="7BC1CBCF" w14:textId="77777777" w:rsidR="00AC4FFA" w:rsidRPr="00EC4BA6" w:rsidRDefault="00AC4FFA" w:rsidP="008F032C">
            <w:pPr>
              <w:spacing w:before="0" w:after="0" w:line="240" w:lineRule="auto"/>
              <w:rPr>
                <w:rFonts w:ascii="Arial" w:hAnsi="Arial" w:cs="Arial"/>
                <w:b/>
                <w:sz w:val="16"/>
                <w:szCs w:val="16"/>
              </w:rPr>
            </w:pPr>
            <w:r w:rsidRPr="00EC4BA6">
              <w:rPr>
                <w:rFonts w:ascii="Arial" w:hAnsi="Arial" w:cs="Arial"/>
                <w:b/>
                <w:sz w:val="16"/>
                <w:szCs w:val="16"/>
              </w:rPr>
              <w:t>Total receipts</w:t>
            </w:r>
          </w:p>
        </w:tc>
        <w:tc>
          <w:tcPr>
            <w:tcW w:w="500" w:type="pct"/>
            <w:tcBorders>
              <w:top w:val="nil"/>
              <w:left w:val="nil"/>
              <w:bottom w:val="nil"/>
              <w:right w:val="nil"/>
            </w:tcBorders>
            <w:shd w:val="clear" w:color="000000" w:fill="FFFFFF"/>
            <w:noWrap/>
            <w:vAlign w:val="center"/>
            <w:hideMark/>
          </w:tcPr>
          <w:p w14:paraId="54B4CF1E" w14:textId="77777777" w:rsidR="00AC4FFA" w:rsidRPr="00EC4BA6" w:rsidRDefault="00AC4FFA" w:rsidP="008F032C">
            <w:pPr>
              <w:spacing w:before="0" w:after="0" w:line="240" w:lineRule="auto"/>
              <w:jc w:val="right"/>
              <w:rPr>
                <w:rFonts w:ascii="Arial" w:hAnsi="Arial" w:cs="Arial"/>
                <w:b/>
                <w:sz w:val="16"/>
                <w:szCs w:val="16"/>
              </w:rPr>
            </w:pPr>
            <w:r w:rsidRPr="00EC4BA6">
              <w:rPr>
                <w:rFonts w:ascii="Arial" w:hAnsi="Arial" w:cs="Arial"/>
                <w:b/>
                <w:sz w:val="16"/>
                <w:szCs w:val="16"/>
              </w:rPr>
              <w:t>688,585</w:t>
            </w:r>
          </w:p>
        </w:tc>
        <w:tc>
          <w:tcPr>
            <w:tcW w:w="54" w:type="pct"/>
            <w:tcBorders>
              <w:top w:val="nil"/>
              <w:left w:val="nil"/>
              <w:bottom w:val="nil"/>
              <w:right w:val="nil"/>
            </w:tcBorders>
            <w:shd w:val="clear" w:color="000000" w:fill="FFFFFF"/>
            <w:noWrap/>
            <w:vAlign w:val="center"/>
            <w:hideMark/>
          </w:tcPr>
          <w:p w14:paraId="377A82BF" w14:textId="77777777" w:rsidR="00AC4FFA" w:rsidRPr="00EC4BA6" w:rsidRDefault="00AC4FFA" w:rsidP="008F032C">
            <w:pPr>
              <w:spacing w:before="0" w:after="0" w:line="240" w:lineRule="auto"/>
              <w:jc w:val="right"/>
              <w:rPr>
                <w:rFonts w:ascii="Arial" w:hAnsi="Arial" w:cs="Arial"/>
                <w:b/>
                <w:sz w:val="16"/>
                <w:szCs w:val="16"/>
              </w:rPr>
            </w:pPr>
            <w:r w:rsidRPr="00EC4BA6">
              <w:rPr>
                <w:rFonts w:ascii="Arial" w:hAnsi="Arial" w:cs="Arial"/>
                <w:b/>
                <w:sz w:val="16"/>
                <w:szCs w:val="16"/>
              </w:rPr>
              <w:t> </w:t>
            </w:r>
          </w:p>
        </w:tc>
        <w:tc>
          <w:tcPr>
            <w:tcW w:w="460" w:type="pct"/>
            <w:tcBorders>
              <w:top w:val="nil"/>
              <w:left w:val="nil"/>
              <w:bottom w:val="nil"/>
              <w:right w:val="nil"/>
            </w:tcBorders>
            <w:shd w:val="clear" w:color="000000" w:fill="FFFFFF"/>
            <w:noWrap/>
            <w:vAlign w:val="center"/>
            <w:hideMark/>
          </w:tcPr>
          <w:p w14:paraId="71F6B2D9" w14:textId="77777777" w:rsidR="00AC4FFA" w:rsidRPr="00EC4BA6" w:rsidRDefault="00AC4FFA" w:rsidP="008F032C">
            <w:pPr>
              <w:spacing w:before="0" w:after="0" w:line="240" w:lineRule="auto"/>
              <w:jc w:val="right"/>
              <w:rPr>
                <w:rFonts w:ascii="Arial" w:hAnsi="Arial" w:cs="Arial"/>
                <w:b/>
                <w:sz w:val="16"/>
                <w:szCs w:val="16"/>
              </w:rPr>
            </w:pPr>
            <w:r w:rsidRPr="00EC4BA6">
              <w:rPr>
                <w:rFonts w:ascii="Arial" w:hAnsi="Arial" w:cs="Arial"/>
                <w:b/>
                <w:sz w:val="16"/>
                <w:szCs w:val="16"/>
              </w:rPr>
              <w:t>703,922</w:t>
            </w:r>
          </w:p>
        </w:tc>
        <w:tc>
          <w:tcPr>
            <w:tcW w:w="460" w:type="pct"/>
            <w:tcBorders>
              <w:top w:val="nil"/>
              <w:left w:val="nil"/>
              <w:bottom w:val="nil"/>
              <w:right w:val="nil"/>
            </w:tcBorders>
            <w:shd w:val="clear" w:color="000000" w:fill="E6F2FF"/>
            <w:noWrap/>
            <w:vAlign w:val="center"/>
            <w:hideMark/>
          </w:tcPr>
          <w:p w14:paraId="20382A64" w14:textId="77777777" w:rsidR="00AC4FFA" w:rsidRPr="00EC4BA6" w:rsidRDefault="00AC4FFA" w:rsidP="008F032C">
            <w:pPr>
              <w:spacing w:before="0" w:after="0" w:line="240" w:lineRule="auto"/>
              <w:jc w:val="right"/>
              <w:rPr>
                <w:rFonts w:ascii="Arial" w:hAnsi="Arial" w:cs="Arial"/>
                <w:b/>
                <w:sz w:val="16"/>
                <w:szCs w:val="16"/>
              </w:rPr>
            </w:pPr>
            <w:r w:rsidRPr="00EC4BA6">
              <w:rPr>
                <w:rFonts w:ascii="Arial" w:hAnsi="Arial" w:cs="Arial"/>
                <w:b/>
                <w:sz w:val="16"/>
                <w:szCs w:val="16"/>
              </w:rPr>
              <w:t>735,353</w:t>
            </w:r>
          </w:p>
        </w:tc>
        <w:tc>
          <w:tcPr>
            <w:tcW w:w="526" w:type="pct"/>
            <w:tcBorders>
              <w:top w:val="nil"/>
              <w:left w:val="nil"/>
              <w:bottom w:val="nil"/>
              <w:right w:val="nil"/>
            </w:tcBorders>
            <w:shd w:val="clear" w:color="000000" w:fill="FFFFFF"/>
            <w:noWrap/>
            <w:vAlign w:val="center"/>
            <w:hideMark/>
          </w:tcPr>
          <w:p w14:paraId="25BF0609" w14:textId="77777777" w:rsidR="00AC4FFA" w:rsidRPr="00EC4BA6" w:rsidRDefault="00AC4FFA" w:rsidP="008F032C">
            <w:pPr>
              <w:spacing w:before="0" w:after="0" w:line="240" w:lineRule="auto"/>
              <w:jc w:val="right"/>
              <w:rPr>
                <w:rFonts w:ascii="Arial" w:hAnsi="Arial" w:cs="Arial"/>
                <w:b/>
                <w:sz w:val="16"/>
                <w:szCs w:val="16"/>
              </w:rPr>
            </w:pPr>
            <w:r w:rsidRPr="00EC4BA6">
              <w:rPr>
                <w:rFonts w:ascii="Arial" w:hAnsi="Arial" w:cs="Arial"/>
                <w:b/>
                <w:sz w:val="16"/>
                <w:szCs w:val="16"/>
              </w:rPr>
              <w:t>765,970</w:t>
            </w:r>
          </w:p>
        </w:tc>
        <w:tc>
          <w:tcPr>
            <w:tcW w:w="526" w:type="pct"/>
            <w:tcBorders>
              <w:top w:val="nil"/>
              <w:left w:val="nil"/>
              <w:bottom w:val="nil"/>
              <w:right w:val="nil"/>
            </w:tcBorders>
            <w:shd w:val="clear" w:color="000000" w:fill="FFFFFF"/>
            <w:noWrap/>
            <w:vAlign w:val="center"/>
            <w:hideMark/>
          </w:tcPr>
          <w:p w14:paraId="2C575A97" w14:textId="77777777" w:rsidR="00AC4FFA" w:rsidRPr="00EC4BA6" w:rsidRDefault="00AC4FFA" w:rsidP="008F032C">
            <w:pPr>
              <w:spacing w:before="0" w:after="0" w:line="240" w:lineRule="auto"/>
              <w:jc w:val="right"/>
              <w:rPr>
                <w:rFonts w:ascii="Arial" w:hAnsi="Arial" w:cs="Arial"/>
                <w:b/>
                <w:sz w:val="16"/>
                <w:szCs w:val="16"/>
              </w:rPr>
            </w:pPr>
            <w:r w:rsidRPr="00EC4BA6">
              <w:rPr>
                <w:rFonts w:ascii="Arial" w:hAnsi="Arial" w:cs="Arial"/>
                <w:b/>
                <w:sz w:val="16"/>
                <w:szCs w:val="16"/>
              </w:rPr>
              <w:t>797,379</w:t>
            </w:r>
          </w:p>
        </w:tc>
        <w:tc>
          <w:tcPr>
            <w:tcW w:w="526" w:type="pct"/>
            <w:tcBorders>
              <w:top w:val="nil"/>
              <w:left w:val="nil"/>
              <w:bottom w:val="nil"/>
              <w:right w:val="nil"/>
            </w:tcBorders>
            <w:shd w:val="clear" w:color="000000" w:fill="FFFFFF"/>
            <w:noWrap/>
            <w:vAlign w:val="center"/>
            <w:hideMark/>
          </w:tcPr>
          <w:p w14:paraId="2E3B2C19" w14:textId="77777777" w:rsidR="00AC4FFA" w:rsidRPr="00EC4BA6" w:rsidRDefault="00AC4FFA" w:rsidP="008F032C">
            <w:pPr>
              <w:spacing w:before="0" w:after="0" w:line="240" w:lineRule="auto"/>
              <w:jc w:val="right"/>
              <w:rPr>
                <w:rFonts w:ascii="Arial" w:hAnsi="Arial" w:cs="Arial"/>
                <w:b/>
                <w:sz w:val="16"/>
                <w:szCs w:val="16"/>
              </w:rPr>
            </w:pPr>
            <w:r w:rsidRPr="00EC4BA6">
              <w:rPr>
                <w:rFonts w:ascii="Arial" w:hAnsi="Arial" w:cs="Arial"/>
                <w:b/>
                <w:sz w:val="16"/>
                <w:szCs w:val="16"/>
              </w:rPr>
              <w:t>840,840</w:t>
            </w:r>
          </w:p>
        </w:tc>
      </w:tr>
      <w:tr w:rsidR="00EB4FEA" w:rsidRPr="00EC4BA6" w14:paraId="7DFD87E3" w14:textId="77777777" w:rsidTr="008F032C">
        <w:trPr>
          <w:trHeight w:hRule="exact" w:val="225"/>
        </w:trPr>
        <w:tc>
          <w:tcPr>
            <w:tcW w:w="1947" w:type="pct"/>
            <w:tcBorders>
              <w:top w:val="single" w:sz="4" w:space="0" w:color="293F5B"/>
              <w:left w:val="nil"/>
              <w:bottom w:val="nil"/>
              <w:right w:val="nil"/>
            </w:tcBorders>
            <w:shd w:val="clear" w:color="000000" w:fill="FFFFFF"/>
            <w:noWrap/>
            <w:vAlign w:val="center"/>
            <w:hideMark/>
          </w:tcPr>
          <w:p w14:paraId="32E4BF82" w14:textId="77777777" w:rsidR="00AC4FFA" w:rsidRPr="00EC4BA6" w:rsidRDefault="00AC4FFA" w:rsidP="008F032C">
            <w:pPr>
              <w:spacing w:before="0" w:after="0" w:line="240" w:lineRule="auto"/>
              <w:rPr>
                <w:rFonts w:ascii="Arial" w:hAnsi="Arial" w:cs="Arial"/>
                <w:i/>
                <w:sz w:val="16"/>
                <w:szCs w:val="16"/>
              </w:rPr>
            </w:pPr>
            <w:r w:rsidRPr="00EC4BA6">
              <w:rPr>
                <w:rFonts w:ascii="Arial" w:hAnsi="Arial" w:cs="Arial"/>
                <w:i/>
                <w:sz w:val="16"/>
                <w:szCs w:val="16"/>
              </w:rPr>
              <w:t>Memorandum:</w:t>
            </w:r>
          </w:p>
        </w:tc>
        <w:tc>
          <w:tcPr>
            <w:tcW w:w="500" w:type="pct"/>
            <w:tcBorders>
              <w:top w:val="single" w:sz="4" w:space="0" w:color="293F5B"/>
              <w:left w:val="nil"/>
              <w:bottom w:val="nil"/>
              <w:right w:val="nil"/>
            </w:tcBorders>
            <w:shd w:val="clear" w:color="000000" w:fill="FFFFFF"/>
            <w:noWrap/>
            <w:vAlign w:val="center"/>
            <w:hideMark/>
          </w:tcPr>
          <w:p w14:paraId="0C93A975" w14:textId="77777777" w:rsidR="00AC4FFA" w:rsidRPr="00EC4BA6" w:rsidRDefault="00AC4FFA" w:rsidP="008F032C">
            <w:pPr>
              <w:spacing w:before="0" w:after="0" w:line="240" w:lineRule="auto"/>
              <w:jc w:val="right"/>
              <w:rPr>
                <w:rFonts w:ascii="Arial" w:hAnsi="Arial" w:cs="Arial"/>
                <w:b/>
                <w:sz w:val="16"/>
                <w:szCs w:val="16"/>
              </w:rPr>
            </w:pPr>
            <w:r w:rsidRPr="00EC4BA6">
              <w:rPr>
                <w:rFonts w:ascii="Arial" w:hAnsi="Arial" w:cs="Arial"/>
                <w:b/>
                <w:sz w:val="16"/>
                <w:szCs w:val="16"/>
              </w:rPr>
              <w:t> </w:t>
            </w:r>
          </w:p>
        </w:tc>
        <w:tc>
          <w:tcPr>
            <w:tcW w:w="54" w:type="pct"/>
            <w:tcBorders>
              <w:top w:val="single" w:sz="4" w:space="0" w:color="293F5B"/>
              <w:left w:val="nil"/>
              <w:bottom w:val="nil"/>
              <w:right w:val="nil"/>
            </w:tcBorders>
            <w:shd w:val="clear" w:color="000000" w:fill="FFFFFF"/>
            <w:noWrap/>
            <w:vAlign w:val="center"/>
            <w:hideMark/>
          </w:tcPr>
          <w:p w14:paraId="17D8AF12" w14:textId="77777777" w:rsidR="00AC4FFA" w:rsidRPr="00EC4BA6" w:rsidRDefault="00AC4FFA" w:rsidP="008F032C">
            <w:pPr>
              <w:spacing w:before="0" w:after="0" w:line="240" w:lineRule="auto"/>
              <w:jc w:val="right"/>
              <w:rPr>
                <w:rFonts w:ascii="Arial" w:hAnsi="Arial" w:cs="Arial"/>
                <w:b/>
                <w:sz w:val="16"/>
                <w:szCs w:val="16"/>
              </w:rPr>
            </w:pPr>
            <w:r w:rsidRPr="00EC4BA6">
              <w:rPr>
                <w:rFonts w:ascii="Arial" w:hAnsi="Arial" w:cs="Arial"/>
                <w:b/>
                <w:sz w:val="16"/>
                <w:szCs w:val="16"/>
              </w:rPr>
              <w:t> </w:t>
            </w:r>
          </w:p>
        </w:tc>
        <w:tc>
          <w:tcPr>
            <w:tcW w:w="460" w:type="pct"/>
            <w:tcBorders>
              <w:top w:val="single" w:sz="4" w:space="0" w:color="293F5B"/>
              <w:left w:val="nil"/>
              <w:bottom w:val="nil"/>
              <w:right w:val="nil"/>
            </w:tcBorders>
            <w:shd w:val="clear" w:color="000000" w:fill="FFFFFF"/>
            <w:noWrap/>
            <w:vAlign w:val="center"/>
            <w:hideMark/>
          </w:tcPr>
          <w:p w14:paraId="6EC0F68A" w14:textId="77777777" w:rsidR="00AC4FFA" w:rsidRPr="00EC4BA6" w:rsidRDefault="00AC4FFA" w:rsidP="008F032C">
            <w:pPr>
              <w:spacing w:before="0" w:after="0" w:line="240" w:lineRule="auto"/>
              <w:rPr>
                <w:rFonts w:ascii="Arial" w:hAnsi="Arial" w:cs="Arial"/>
                <w:b/>
                <w:sz w:val="16"/>
                <w:szCs w:val="16"/>
              </w:rPr>
            </w:pPr>
            <w:r w:rsidRPr="00EC4BA6">
              <w:rPr>
                <w:rFonts w:ascii="Arial" w:hAnsi="Arial" w:cs="Arial"/>
                <w:b/>
                <w:sz w:val="16"/>
                <w:szCs w:val="16"/>
              </w:rPr>
              <w:t> </w:t>
            </w:r>
          </w:p>
        </w:tc>
        <w:tc>
          <w:tcPr>
            <w:tcW w:w="460" w:type="pct"/>
            <w:tcBorders>
              <w:top w:val="single" w:sz="4" w:space="0" w:color="293F5B"/>
              <w:left w:val="nil"/>
              <w:bottom w:val="nil"/>
              <w:right w:val="nil"/>
            </w:tcBorders>
            <w:shd w:val="clear" w:color="000000" w:fill="E6F2FF"/>
            <w:noWrap/>
            <w:vAlign w:val="center"/>
            <w:hideMark/>
          </w:tcPr>
          <w:p w14:paraId="7BBF0464" w14:textId="77777777" w:rsidR="00AC4FFA" w:rsidRPr="00EC4BA6" w:rsidRDefault="00AC4FFA" w:rsidP="008F032C">
            <w:pPr>
              <w:spacing w:before="0" w:after="0" w:line="240" w:lineRule="auto"/>
              <w:rPr>
                <w:rFonts w:ascii="Arial" w:hAnsi="Arial" w:cs="Arial"/>
                <w:b/>
                <w:sz w:val="16"/>
                <w:szCs w:val="16"/>
              </w:rPr>
            </w:pPr>
            <w:r w:rsidRPr="00EC4BA6">
              <w:rPr>
                <w:rFonts w:ascii="Arial" w:hAnsi="Arial" w:cs="Arial"/>
                <w:b/>
                <w:sz w:val="16"/>
                <w:szCs w:val="16"/>
              </w:rPr>
              <w:t> </w:t>
            </w:r>
          </w:p>
        </w:tc>
        <w:tc>
          <w:tcPr>
            <w:tcW w:w="526" w:type="pct"/>
            <w:tcBorders>
              <w:top w:val="single" w:sz="4" w:space="0" w:color="293F5B"/>
              <w:left w:val="nil"/>
              <w:bottom w:val="nil"/>
              <w:right w:val="nil"/>
            </w:tcBorders>
            <w:shd w:val="clear" w:color="000000" w:fill="FFFFFF"/>
            <w:noWrap/>
            <w:vAlign w:val="center"/>
            <w:hideMark/>
          </w:tcPr>
          <w:p w14:paraId="6A185EB2" w14:textId="77777777" w:rsidR="00AC4FFA" w:rsidRPr="00EC4BA6" w:rsidRDefault="00AC4FFA" w:rsidP="008F032C">
            <w:pPr>
              <w:spacing w:before="0" w:after="0" w:line="240" w:lineRule="auto"/>
              <w:jc w:val="right"/>
              <w:rPr>
                <w:rFonts w:ascii="Arial" w:hAnsi="Arial" w:cs="Arial"/>
                <w:b/>
                <w:sz w:val="16"/>
                <w:szCs w:val="16"/>
              </w:rPr>
            </w:pPr>
            <w:r w:rsidRPr="00EC4BA6">
              <w:rPr>
                <w:rFonts w:ascii="Arial" w:hAnsi="Arial" w:cs="Arial"/>
                <w:b/>
                <w:sz w:val="16"/>
                <w:szCs w:val="16"/>
              </w:rPr>
              <w:t> </w:t>
            </w:r>
          </w:p>
        </w:tc>
        <w:tc>
          <w:tcPr>
            <w:tcW w:w="526" w:type="pct"/>
            <w:tcBorders>
              <w:top w:val="single" w:sz="4" w:space="0" w:color="293F5B"/>
              <w:left w:val="nil"/>
              <w:bottom w:val="nil"/>
              <w:right w:val="nil"/>
            </w:tcBorders>
            <w:shd w:val="clear" w:color="000000" w:fill="FFFFFF"/>
            <w:noWrap/>
            <w:vAlign w:val="center"/>
            <w:hideMark/>
          </w:tcPr>
          <w:p w14:paraId="43F5C1EF" w14:textId="77777777" w:rsidR="00AC4FFA" w:rsidRPr="00EC4BA6" w:rsidRDefault="00AC4FFA" w:rsidP="008F032C">
            <w:pPr>
              <w:spacing w:before="0" w:after="0" w:line="240" w:lineRule="auto"/>
              <w:jc w:val="right"/>
              <w:rPr>
                <w:rFonts w:ascii="Arial" w:hAnsi="Arial" w:cs="Arial"/>
                <w:b/>
                <w:sz w:val="16"/>
                <w:szCs w:val="16"/>
              </w:rPr>
            </w:pPr>
            <w:r w:rsidRPr="00EC4BA6">
              <w:rPr>
                <w:rFonts w:ascii="Arial" w:hAnsi="Arial" w:cs="Arial"/>
                <w:b/>
                <w:sz w:val="16"/>
                <w:szCs w:val="16"/>
              </w:rPr>
              <w:t> </w:t>
            </w:r>
          </w:p>
        </w:tc>
        <w:tc>
          <w:tcPr>
            <w:tcW w:w="526" w:type="pct"/>
            <w:tcBorders>
              <w:top w:val="single" w:sz="4" w:space="0" w:color="293F5B"/>
              <w:left w:val="nil"/>
              <w:bottom w:val="nil"/>
              <w:right w:val="nil"/>
            </w:tcBorders>
            <w:shd w:val="clear" w:color="000000" w:fill="FFFFFF"/>
            <w:noWrap/>
            <w:vAlign w:val="center"/>
            <w:hideMark/>
          </w:tcPr>
          <w:p w14:paraId="461DBD8C" w14:textId="77777777" w:rsidR="00AC4FFA" w:rsidRPr="00EC4BA6" w:rsidRDefault="00AC4FFA" w:rsidP="008F032C">
            <w:pPr>
              <w:spacing w:before="0" w:after="0" w:line="240" w:lineRule="auto"/>
              <w:jc w:val="right"/>
              <w:rPr>
                <w:rFonts w:ascii="Arial" w:hAnsi="Arial" w:cs="Arial"/>
                <w:b/>
                <w:sz w:val="16"/>
                <w:szCs w:val="16"/>
              </w:rPr>
            </w:pPr>
            <w:r w:rsidRPr="00EC4BA6">
              <w:rPr>
                <w:rFonts w:ascii="Arial" w:hAnsi="Arial" w:cs="Arial"/>
                <w:b/>
                <w:sz w:val="16"/>
                <w:szCs w:val="16"/>
              </w:rPr>
              <w:t> </w:t>
            </w:r>
          </w:p>
        </w:tc>
      </w:tr>
      <w:tr w:rsidR="00EB4FEA" w:rsidRPr="00EC4BA6" w14:paraId="32FE33DC" w14:textId="77777777" w:rsidTr="008F032C">
        <w:trPr>
          <w:trHeight w:hRule="exact" w:val="225"/>
        </w:trPr>
        <w:tc>
          <w:tcPr>
            <w:tcW w:w="1947" w:type="pct"/>
            <w:tcBorders>
              <w:top w:val="nil"/>
              <w:left w:val="nil"/>
              <w:bottom w:val="nil"/>
              <w:right w:val="nil"/>
            </w:tcBorders>
            <w:shd w:val="clear" w:color="000000" w:fill="FFFFFF"/>
            <w:noWrap/>
            <w:vAlign w:val="center"/>
            <w:hideMark/>
          </w:tcPr>
          <w:p w14:paraId="0252FC1D" w14:textId="77777777" w:rsidR="00AC4FFA" w:rsidRPr="00EC4BA6" w:rsidRDefault="00AC4FFA" w:rsidP="008F032C">
            <w:pPr>
              <w:spacing w:before="0" w:after="0" w:line="240" w:lineRule="auto"/>
              <w:ind w:left="170"/>
              <w:rPr>
                <w:rFonts w:ascii="Arial" w:hAnsi="Arial" w:cs="Arial"/>
                <w:i/>
                <w:sz w:val="16"/>
                <w:szCs w:val="16"/>
              </w:rPr>
            </w:pPr>
            <w:r w:rsidRPr="00EC4BA6">
              <w:rPr>
                <w:rFonts w:ascii="Arial" w:hAnsi="Arial" w:cs="Arial"/>
                <w:i/>
                <w:sz w:val="16"/>
                <w:szCs w:val="16"/>
              </w:rPr>
              <w:t xml:space="preserve">Total excise </w:t>
            </w:r>
          </w:p>
        </w:tc>
        <w:tc>
          <w:tcPr>
            <w:tcW w:w="500" w:type="pct"/>
            <w:tcBorders>
              <w:top w:val="nil"/>
              <w:left w:val="nil"/>
              <w:bottom w:val="nil"/>
              <w:right w:val="nil"/>
            </w:tcBorders>
            <w:shd w:val="clear" w:color="000000" w:fill="FFFFFF"/>
            <w:noWrap/>
            <w:vAlign w:val="center"/>
            <w:hideMark/>
          </w:tcPr>
          <w:p w14:paraId="449EA6B2" w14:textId="77777777" w:rsidR="00AC4FFA" w:rsidRPr="00EC4BA6" w:rsidRDefault="00AC4FFA" w:rsidP="008F032C">
            <w:pPr>
              <w:spacing w:before="0" w:after="0" w:line="240" w:lineRule="auto"/>
              <w:jc w:val="right"/>
              <w:rPr>
                <w:rFonts w:ascii="Arial" w:hAnsi="Arial" w:cs="Arial"/>
                <w:i/>
                <w:sz w:val="16"/>
                <w:szCs w:val="16"/>
              </w:rPr>
            </w:pPr>
            <w:r w:rsidRPr="00EC4BA6">
              <w:rPr>
                <w:rFonts w:ascii="Arial" w:hAnsi="Arial" w:cs="Arial"/>
                <w:i/>
                <w:sz w:val="16"/>
                <w:szCs w:val="16"/>
              </w:rPr>
              <w:t>29,761</w:t>
            </w:r>
          </w:p>
        </w:tc>
        <w:tc>
          <w:tcPr>
            <w:tcW w:w="54" w:type="pct"/>
            <w:tcBorders>
              <w:top w:val="nil"/>
              <w:left w:val="nil"/>
              <w:bottom w:val="nil"/>
              <w:right w:val="nil"/>
            </w:tcBorders>
            <w:shd w:val="clear" w:color="000000" w:fill="FFFFFF"/>
            <w:noWrap/>
            <w:vAlign w:val="center"/>
            <w:hideMark/>
          </w:tcPr>
          <w:p w14:paraId="156DE36B" w14:textId="77777777" w:rsidR="00AC4FFA" w:rsidRPr="00EC4BA6" w:rsidRDefault="00AC4FFA" w:rsidP="008F032C">
            <w:pPr>
              <w:spacing w:before="0" w:after="0" w:line="240" w:lineRule="auto"/>
              <w:jc w:val="right"/>
              <w:rPr>
                <w:rFonts w:ascii="Arial" w:hAnsi="Arial" w:cs="Arial"/>
                <w:i/>
                <w:sz w:val="16"/>
                <w:szCs w:val="16"/>
              </w:rPr>
            </w:pPr>
            <w:r w:rsidRPr="00EC4BA6">
              <w:rPr>
                <w:rFonts w:ascii="Arial" w:hAnsi="Arial" w:cs="Arial"/>
                <w:i/>
                <w:sz w:val="16"/>
                <w:szCs w:val="16"/>
              </w:rPr>
              <w:t> </w:t>
            </w:r>
          </w:p>
        </w:tc>
        <w:tc>
          <w:tcPr>
            <w:tcW w:w="460" w:type="pct"/>
            <w:tcBorders>
              <w:top w:val="nil"/>
              <w:left w:val="nil"/>
              <w:bottom w:val="nil"/>
              <w:right w:val="nil"/>
            </w:tcBorders>
            <w:shd w:val="clear" w:color="000000" w:fill="FFFFFF"/>
            <w:noWrap/>
            <w:vAlign w:val="center"/>
            <w:hideMark/>
          </w:tcPr>
          <w:p w14:paraId="33BA47CE" w14:textId="77777777" w:rsidR="00AC4FFA" w:rsidRPr="00EC4BA6" w:rsidRDefault="00AC4FFA" w:rsidP="008F032C">
            <w:pPr>
              <w:spacing w:before="0" w:after="0" w:line="240" w:lineRule="auto"/>
              <w:jc w:val="right"/>
              <w:rPr>
                <w:rFonts w:ascii="Arial" w:hAnsi="Arial" w:cs="Arial"/>
                <w:i/>
                <w:sz w:val="16"/>
                <w:szCs w:val="16"/>
              </w:rPr>
            </w:pPr>
            <w:r w:rsidRPr="00EC4BA6">
              <w:rPr>
                <w:rFonts w:ascii="Arial" w:hAnsi="Arial" w:cs="Arial"/>
                <w:i/>
                <w:sz w:val="16"/>
                <w:szCs w:val="16"/>
              </w:rPr>
              <w:t>31,680</w:t>
            </w:r>
          </w:p>
        </w:tc>
        <w:tc>
          <w:tcPr>
            <w:tcW w:w="460" w:type="pct"/>
            <w:tcBorders>
              <w:top w:val="nil"/>
              <w:left w:val="nil"/>
              <w:bottom w:val="nil"/>
              <w:right w:val="nil"/>
            </w:tcBorders>
            <w:shd w:val="clear" w:color="000000" w:fill="E6F2FF"/>
            <w:noWrap/>
            <w:vAlign w:val="center"/>
            <w:hideMark/>
          </w:tcPr>
          <w:p w14:paraId="0C616BB4" w14:textId="77777777" w:rsidR="00AC4FFA" w:rsidRPr="00EC4BA6" w:rsidRDefault="00AC4FFA" w:rsidP="008F032C">
            <w:pPr>
              <w:spacing w:before="0" w:after="0" w:line="240" w:lineRule="auto"/>
              <w:jc w:val="right"/>
              <w:rPr>
                <w:rFonts w:ascii="Arial" w:hAnsi="Arial" w:cs="Arial"/>
                <w:i/>
                <w:sz w:val="16"/>
                <w:szCs w:val="16"/>
              </w:rPr>
            </w:pPr>
            <w:r w:rsidRPr="00EC4BA6">
              <w:rPr>
                <w:rFonts w:ascii="Arial" w:hAnsi="Arial" w:cs="Arial"/>
                <w:i/>
                <w:sz w:val="16"/>
                <w:szCs w:val="16"/>
              </w:rPr>
              <w:t>32,450</w:t>
            </w:r>
          </w:p>
        </w:tc>
        <w:tc>
          <w:tcPr>
            <w:tcW w:w="526" w:type="pct"/>
            <w:tcBorders>
              <w:top w:val="nil"/>
              <w:left w:val="nil"/>
              <w:bottom w:val="nil"/>
              <w:right w:val="nil"/>
            </w:tcBorders>
            <w:shd w:val="clear" w:color="000000" w:fill="FFFFFF"/>
            <w:noWrap/>
            <w:vAlign w:val="center"/>
            <w:hideMark/>
          </w:tcPr>
          <w:p w14:paraId="106D7EE8" w14:textId="77777777" w:rsidR="00AC4FFA" w:rsidRPr="00EC4BA6" w:rsidRDefault="00AC4FFA" w:rsidP="008F032C">
            <w:pPr>
              <w:spacing w:before="0" w:after="0" w:line="240" w:lineRule="auto"/>
              <w:jc w:val="right"/>
              <w:rPr>
                <w:rFonts w:ascii="Arial" w:hAnsi="Arial" w:cs="Arial"/>
                <w:i/>
                <w:sz w:val="16"/>
                <w:szCs w:val="16"/>
              </w:rPr>
            </w:pPr>
            <w:r w:rsidRPr="00EC4BA6">
              <w:rPr>
                <w:rFonts w:ascii="Arial" w:hAnsi="Arial" w:cs="Arial"/>
                <w:i/>
                <w:sz w:val="16"/>
                <w:szCs w:val="16"/>
              </w:rPr>
              <w:t>33,810</w:t>
            </w:r>
          </w:p>
        </w:tc>
        <w:tc>
          <w:tcPr>
            <w:tcW w:w="526" w:type="pct"/>
            <w:tcBorders>
              <w:top w:val="nil"/>
              <w:left w:val="nil"/>
              <w:bottom w:val="nil"/>
              <w:right w:val="nil"/>
            </w:tcBorders>
            <w:shd w:val="clear" w:color="000000" w:fill="FFFFFF"/>
            <w:noWrap/>
            <w:vAlign w:val="center"/>
            <w:hideMark/>
          </w:tcPr>
          <w:p w14:paraId="53AA4BB1" w14:textId="77777777" w:rsidR="00AC4FFA" w:rsidRPr="00EC4BA6" w:rsidRDefault="00AC4FFA" w:rsidP="008F032C">
            <w:pPr>
              <w:spacing w:before="0" w:after="0" w:line="240" w:lineRule="auto"/>
              <w:jc w:val="right"/>
              <w:rPr>
                <w:rFonts w:ascii="Arial" w:hAnsi="Arial" w:cs="Arial"/>
                <w:i/>
                <w:sz w:val="16"/>
                <w:szCs w:val="16"/>
              </w:rPr>
            </w:pPr>
            <w:r w:rsidRPr="00EC4BA6">
              <w:rPr>
                <w:rFonts w:ascii="Arial" w:hAnsi="Arial" w:cs="Arial"/>
                <w:i/>
                <w:sz w:val="16"/>
                <w:szCs w:val="16"/>
              </w:rPr>
              <w:t>34,860</w:t>
            </w:r>
          </w:p>
        </w:tc>
        <w:tc>
          <w:tcPr>
            <w:tcW w:w="526" w:type="pct"/>
            <w:tcBorders>
              <w:top w:val="nil"/>
              <w:left w:val="nil"/>
              <w:bottom w:val="nil"/>
              <w:right w:val="nil"/>
            </w:tcBorders>
            <w:shd w:val="clear" w:color="000000" w:fill="FFFFFF"/>
            <w:noWrap/>
            <w:vAlign w:val="center"/>
            <w:hideMark/>
          </w:tcPr>
          <w:p w14:paraId="4726B518" w14:textId="77777777" w:rsidR="00AC4FFA" w:rsidRPr="00EC4BA6" w:rsidRDefault="00AC4FFA" w:rsidP="008F032C">
            <w:pPr>
              <w:spacing w:before="0" w:after="0" w:line="240" w:lineRule="auto"/>
              <w:jc w:val="right"/>
              <w:rPr>
                <w:rFonts w:ascii="Arial" w:hAnsi="Arial" w:cs="Arial"/>
                <w:i/>
                <w:sz w:val="16"/>
                <w:szCs w:val="16"/>
              </w:rPr>
            </w:pPr>
            <w:r w:rsidRPr="00EC4BA6">
              <w:rPr>
                <w:rFonts w:ascii="Arial" w:hAnsi="Arial" w:cs="Arial"/>
                <w:i/>
                <w:sz w:val="16"/>
                <w:szCs w:val="16"/>
              </w:rPr>
              <w:t>35,900</w:t>
            </w:r>
          </w:p>
        </w:tc>
      </w:tr>
      <w:tr w:rsidR="00EB4FEA" w:rsidRPr="00EC4BA6" w14:paraId="4BAE9B67" w14:textId="77777777" w:rsidTr="008F032C">
        <w:trPr>
          <w:trHeight w:hRule="exact" w:val="225"/>
        </w:trPr>
        <w:tc>
          <w:tcPr>
            <w:tcW w:w="1947" w:type="pct"/>
            <w:tcBorders>
              <w:top w:val="nil"/>
              <w:left w:val="nil"/>
              <w:bottom w:val="nil"/>
              <w:right w:val="nil"/>
            </w:tcBorders>
            <w:shd w:val="clear" w:color="000000" w:fill="FFFFFF"/>
            <w:noWrap/>
            <w:vAlign w:val="center"/>
            <w:hideMark/>
          </w:tcPr>
          <w:p w14:paraId="5D18461A" w14:textId="77777777" w:rsidR="00AC4FFA" w:rsidRPr="00EC4BA6" w:rsidRDefault="00AC4FFA" w:rsidP="008F032C">
            <w:pPr>
              <w:spacing w:before="0" w:after="0" w:line="240" w:lineRule="auto"/>
              <w:ind w:left="170"/>
              <w:rPr>
                <w:rFonts w:ascii="Arial" w:hAnsi="Arial" w:cs="Arial"/>
                <w:i/>
                <w:sz w:val="16"/>
                <w:szCs w:val="16"/>
              </w:rPr>
            </w:pPr>
            <w:r w:rsidRPr="00EC4BA6">
              <w:rPr>
                <w:rFonts w:ascii="Arial" w:hAnsi="Arial" w:cs="Arial"/>
                <w:i/>
                <w:sz w:val="16"/>
                <w:szCs w:val="16"/>
              </w:rPr>
              <w:t xml:space="preserve">Total customs duty </w:t>
            </w:r>
          </w:p>
        </w:tc>
        <w:tc>
          <w:tcPr>
            <w:tcW w:w="500" w:type="pct"/>
            <w:tcBorders>
              <w:top w:val="nil"/>
              <w:left w:val="nil"/>
              <w:bottom w:val="nil"/>
              <w:right w:val="nil"/>
            </w:tcBorders>
            <w:shd w:val="clear" w:color="000000" w:fill="FFFFFF"/>
            <w:noWrap/>
            <w:vAlign w:val="center"/>
            <w:hideMark/>
          </w:tcPr>
          <w:p w14:paraId="074642B8" w14:textId="77777777" w:rsidR="00AC4FFA" w:rsidRPr="00EC4BA6" w:rsidRDefault="00AC4FFA" w:rsidP="008F032C">
            <w:pPr>
              <w:spacing w:before="0" w:after="0" w:line="240" w:lineRule="auto"/>
              <w:jc w:val="right"/>
              <w:rPr>
                <w:rFonts w:ascii="Arial" w:hAnsi="Arial" w:cs="Arial"/>
                <w:i/>
                <w:sz w:val="16"/>
                <w:szCs w:val="16"/>
              </w:rPr>
            </w:pPr>
            <w:r w:rsidRPr="00EC4BA6">
              <w:rPr>
                <w:rFonts w:ascii="Arial" w:hAnsi="Arial" w:cs="Arial"/>
                <w:i/>
                <w:sz w:val="16"/>
                <w:szCs w:val="16"/>
              </w:rPr>
              <w:t>13,753</w:t>
            </w:r>
          </w:p>
        </w:tc>
        <w:tc>
          <w:tcPr>
            <w:tcW w:w="54" w:type="pct"/>
            <w:tcBorders>
              <w:top w:val="nil"/>
              <w:left w:val="nil"/>
              <w:bottom w:val="nil"/>
              <w:right w:val="nil"/>
            </w:tcBorders>
            <w:shd w:val="clear" w:color="000000" w:fill="FFFFFF"/>
            <w:noWrap/>
            <w:vAlign w:val="center"/>
            <w:hideMark/>
          </w:tcPr>
          <w:p w14:paraId="2D7A3635" w14:textId="77777777" w:rsidR="00AC4FFA" w:rsidRPr="00EC4BA6" w:rsidRDefault="00AC4FFA" w:rsidP="008F032C">
            <w:pPr>
              <w:spacing w:before="0" w:after="0" w:line="240" w:lineRule="auto"/>
              <w:jc w:val="right"/>
              <w:rPr>
                <w:rFonts w:ascii="Arial" w:hAnsi="Arial" w:cs="Arial"/>
                <w:i/>
                <w:sz w:val="16"/>
                <w:szCs w:val="16"/>
              </w:rPr>
            </w:pPr>
            <w:r w:rsidRPr="00EC4BA6">
              <w:rPr>
                <w:rFonts w:ascii="Arial" w:hAnsi="Arial" w:cs="Arial"/>
                <w:i/>
                <w:sz w:val="16"/>
                <w:szCs w:val="16"/>
              </w:rPr>
              <w:t> </w:t>
            </w:r>
          </w:p>
        </w:tc>
        <w:tc>
          <w:tcPr>
            <w:tcW w:w="460" w:type="pct"/>
            <w:tcBorders>
              <w:top w:val="nil"/>
              <w:left w:val="nil"/>
              <w:bottom w:val="nil"/>
              <w:right w:val="nil"/>
            </w:tcBorders>
            <w:shd w:val="clear" w:color="000000" w:fill="FFFFFF"/>
            <w:noWrap/>
            <w:vAlign w:val="center"/>
            <w:hideMark/>
          </w:tcPr>
          <w:p w14:paraId="447E4CEC" w14:textId="77777777" w:rsidR="00AC4FFA" w:rsidRPr="00EC4BA6" w:rsidRDefault="00AC4FFA" w:rsidP="008F032C">
            <w:pPr>
              <w:spacing w:before="0" w:after="0" w:line="240" w:lineRule="auto"/>
              <w:jc w:val="right"/>
              <w:rPr>
                <w:rFonts w:ascii="Arial" w:hAnsi="Arial" w:cs="Arial"/>
                <w:i/>
                <w:sz w:val="16"/>
                <w:szCs w:val="16"/>
              </w:rPr>
            </w:pPr>
            <w:r w:rsidRPr="00EC4BA6">
              <w:rPr>
                <w:rFonts w:ascii="Arial" w:hAnsi="Arial" w:cs="Arial"/>
                <w:i/>
                <w:sz w:val="16"/>
                <w:szCs w:val="16"/>
              </w:rPr>
              <w:t>11,430</w:t>
            </w:r>
          </w:p>
        </w:tc>
        <w:tc>
          <w:tcPr>
            <w:tcW w:w="460" w:type="pct"/>
            <w:tcBorders>
              <w:top w:val="nil"/>
              <w:left w:val="nil"/>
              <w:bottom w:val="nil"/>
              <w:right w:val="nil"/>
            </w:tcBorders>
            <w:shd w:val="clear" w:color="000000" w:fill="E6F2FF"/>
            <w:noWrap/>
            <w:vAlign w:val="center"/>
            <w:hideMark/>
          </w:tcPr>
          <w:p w14:paraId="3C59C005" w14:textId="77777777" w:rsidR="00AC4FFA" w:rsidRPr="00EC4BA6" w:rsidRDefault="00AC4FFA" w:rsidP="008F032C">
            <w:pPr>
              <w:spacing w:before="0" w:after="0" w:line="240" w:lineRule="auto"/>
              <w:jc w:val="right"/>
              <w:rPr>
                <w:rFonts w:ascii="Arial" w:hAnsi="Arial" w:cs="Arial"/>
                <w:i/>
                <w:sz w:val="16"/>
                <w:szCs w:val="16"/>
              </w:rPr>
            </w:pPr>
            <w:r w:rsidRPr="00EC4BA6">
              <w:rPr>
                <w:rFonts w:ascii="Arial" w:hAnsi="Arial" w:cs="Arial"/>
                <w:i/>
                <w:sz w:val="16"/>
                <w:szCs w:val="16"/>
              </w:rPr>
              <w:t>11,350</w:t>
            </w:r>
          </w:p>
        </w:tc>
        <w:tc>
          <w:tcPr>
            <w:tcW w:w="526" w:type="pct"/>
            <w:tcBorders>
              <w:top w:val="nil"/>
              <w:left w:val="nil"/>
              <w:bottom w:val="nil"/>
              <w:right w:val="nil"/>
            </w:tcBorders>
            <w:shd w:val="clear" w:color="000000" w:fill="FFFFFF"/>
            <w:noWrap/>
            <w:vAlign w:val="center"/>
            <w:hideMark/>
          </w:tcPr>
          <w:p w14:paraId="5A2841D4" w14:textId="77777777" w:rsidR="00AC4FFA" w:rsidRPr="00EC4BA6" w:rsidRDefault="00AC4FFA" w:rsidP="008F032C">
            <w:pPr>
              <w:spacing w:before="0" w:after="0" w:line="240" w:lineRule="auto"/>
              <w:jc w:val="right"/>
              <w:rPr>
                <w:rFonts w:ascii="Arial" w:hAnsi="Arial" w:cs="Arial"/>
                <w:i/>
                <w:sz w:val="16"/>
                <w:szCs w:val="16"/>
              </w:rPr>
            </w:pPr>
            <w:r w:rsidRPr="00EC4BA6">
              <w:rPr>
                <w:rFonts w:ascii="Arial" w:hAnsi="Arial" w:cs="Arial"/>
                <w:i/>
                <w:sz w:val="16"/>
                <w:szCs w:val="16"/>
              </w:rPr>
              <w:t>11,180</w:t>
            </w:r>
          </w:p>
        </w:tc>
        <w:tc>
          <w:tcPr>
            <w:tcW w:w="526" w:type="pct"/>
            <w:tcBorders>
              <w:top w:val="nil"/>
              <w:left w:val="nil"/>
              <w:bottom w:val="nil"/>
              <w:right w:val="nil"/>
            </w:tcBorders>
            <w:shd w:val="clear" w:color="000000" w:fill="FFFFFF"/>
            <w:noWrap/>
            <w:vAlign w:val="center"/>
            <w:hideMark/>
          </w:tcPr>
          <w:p w14:paraId="55723CD4" w14:textId="77777777" w:rsidR="00AC4FFA" w:rsidRPr="00EC4BA6" w:rsidRDefault="00AC4FFA" w:rsidP="008F032C">
            <w:pPr>
              <w:spacing w:before="0" w:after="0" w:line="240" w:lineRule="auto"/>
              <w:jc w:val="right"/>
              <w:rPr>
                <w:rFonts w:ascii="Arial" w:hAnsi="Arial" w:cs="Arial"/>
                <w:i/>
                <w:sz w:val="16"/>
                <w:szCs w:val="16"/>
              </w:rPr>
            </w:pPr>
            <w:r w:rsidRPr="00EC4BA6">
              <w:rPr>
                <w:rFonts w:ascii="Arial" w:hAnsi="Arial" w:cs="Arial"/>
                <w:i/>
                <w:sz w:val="16"/>
                <w:szCs w:val="16"/>
              </w:rPr>
              <w:t>10,080</w:t>
            </w:r>
          </w:p>
        </w:tc>
        <w:tc>
          <w:tcPr>
            <w:tcW w:w="526" w:type="pct"/>
            <w:tcBorders>
              <w:top w:val="nil"/>
              <w:left w:val="nil"/>
              <w:bottom w:val="nil"/>
              <w:right w:val="nil"/>
            </w:tcBorders>
            <w:shd w:val="clear" w:color="000000" w:fill="FFFFFF"/>
            <w:noWrap/>
            <w:vAlign w:val="center"/>
            <w:hideMark/>
          </w:tcPr>
          <w:p w14:paraId="1A94708D" w14:textId="77777777" w:rsidR="00AC4FFA" w:rsidRPr="00EC4BA6" w:rsidRDefault="00AC4FFA" w:rsidP="008F032C">
            <w:pPr>
              <w:spacing w:before="0" w:after="0" w:line="240" w:lineRule="auto"/>
              <w:jc w:val="right"/>
              <w:rPr>
                <w:rFonts w:ascii="Arial" w:hAnsi="Arial" w:cs="Arial"/>
                <w:i/>
                <w:sz w:val="16"/>
                <w:szCs w:val="16"/>
              </w:rPr>
            </w:pPr>
            <w:r w:rsidRPr="00EC4BA6">
              <w:rPr>
                <w:rFonts w:ascii="Arial" w:hAnsi="Arial" w:cs="Arial"/>
                <w:i/>
                <w:sz w:val="16"/>
                <w:szCs w:val="16"/>
              </w:rPr>
              <w:t>10,030</w:t>
            </w:r>
          </w:p>
        </w:tc>
      </w:tr>
      <w:tr w:rsidR="00EB4FEA" w:rsidRPr="00EC4BA6" w14:paraId="47376C21" w14:textId="77777777" w:rsidTr="008F032C">
        <w:trPr>
          <w:trHeight w:hRule="exact" w:val="225"/>
        </w:trPr>
        <w:tc>
          <w:tcPr>
            <w:tcW w:w="1947" w:type="pct"/>
            <w:tcBorders>
              <w:top w:val="nil"/>
              <w:left w:val="nil"/>
              <w:bottom w:val="single" w:sz="4" w:space="0" w:color="293F5B"/>
              <w:right w:val="nil"/>
            </w:tcBorders>
            <w:shd w:val="clear" w:color="000000" w:fill="FFFFFF"/>
            <w:noWrap/>
            <w:vAlign w:val="center"/>
            <w:hideMark/>
          </w:tcPr>
          <w:p w14:paraId="048C9184" w14:textId="77777777" w:rsidR="00AC4FFA" w:rsidRPr="00EC4BA6" w:rsidRDefault="00AC4FFA" w:rsidP="008F032C">
            <w:pPr>
              <w:spacing w:before="0" w:after="0" w:line="240" w:lineRule="auto"/>
              <w:ind w:left="170"/>
              <w:rPr>
                <w:rFonts w:ascii="Arial" w:hAnsi="Arial" w:cs="Arial"/>
                <w:i/>
                <w:sz w:val="16"/>
                <w:szCs w:val="16"/>
              </w:rPr>
            </w:pPr>
            <w:r w:rsidRPr="00EC4BA6">
              <w:rPr>
                <w:rFonts w:ascii="Arial" w:hAnsi="Arial" w:cs="Arial"/>
                <w:i/>
                <w:sz w:val="16"/>
                <w:szCs w:val="16"/>
              </w:rPr>
              <w:t>Capital gains tax(b)</w:t>
            </w:r>
          </w:p>
        </w:tc>
        <w:tc>
          <w:tcPr>
            <w:tcW w:w="500" w:type="pct"/>
            <w:tcBorders>
              <w:top w:val="nil"/>
              <w:left w:val="nil"/>
              <w:bottom w:val="single" w:sz="4" w:space="0" w:color="293F5B"/>
              <w:right w:val="nil"/>
            </w:tcBorders>
            <w:shd w:val="clear" w:color="000000" w:fill="FFFFFF"/>
            <w:noWrap/>
            <w:vAlign w:val="center"/>
            <w:hideMark/>
          </w:tcPr>
          <w:p w14:paraId="1FB7394A" w14:textId="77777777" w:rsidR="00AC4FFA" w:rsidRPr="00EC4BA6" w:rsidRDefault="00AC4FFA" w:rsidP="008F032C">
            <w:pPr>
              <w:spacing w:before="0" w:after="0" w:line="240" w:lineRule="auto"/>
              <w:jc w:val="right"/>
              <w:rPr>
                <w:rFonts w:ascii="Arial" w:hAnsi="Arial" w:cs="Arial"/>
                <w:i/>
                <w:sz w:val="16"/>
                <w:szCs w:val="16"/>
              </w:rPr>
            </w:pPr>
            <w:r w:rsidRPr="00EC4BA6">
              <w:rPr>
                <w:rFonts w:ascii="Arial" w:hAnsi="Arial" w:cs="Arial"/>
                <w:i/>
                <w:sz w:val="16"/>
                <w:szCs w:val="16"/>
              </w:rPr>
              <w:t>26,400</w:t>
            </w:r>
          </w:p>
        </w:tc>
        <w:tc>
          <w:tcPr>
            <w:tcW w:w="54" w:type="pct"/>
            <w:tcBorders>
              <w:top w:val="nil"/>
              <w:left w:val="nil"/>
              <w:bottom w:val="single" w:sz="4" w:space="0" w:color="293F5B"/>
              <w:right w:val="nil"/>
            </w:tcBorders>
            <w:shd w:val="clear" w:color="000000" w:fill="FFFFFF"/>
            <w:noWrap/>
            <w:vAlign w:val="center"/>
            <w:hideMark/>
          </w:tcPr>
          <w:p w14:paraId="531D9889" w14:textId="77777777" w:rsidR="00AC4FFA" w:rsidRPr="00EC4BA6" w:rsidRDefault="00AC4FFA" w:rsidP="008F032C">
            <w:pPr>
              <w:spacing w:before="0" w:after="0" w:line="240" w:lineRule="auto"/>
              <w:jc w:val="right"/>
              <w:rPr>
                <w:rFonts w:ascii="Arial" w:hAnsi="Arial" w:cs="Arial"/>
                <w:i/>
                <w:sz w:val="16"/>
                <w:szCs w:val="16"/>
              </w:rPr>
            </w:pPr>
            <w:r w:rsidRPr="00EC4BA6">
              <w:rPr>
                <w:rFonts w:ascii="Arial" w:hAnsi="Arial" w:cs="Arial"/>
                <w:i/>
                <w:sz w:val="16"/>
                <w:szCs w:val="16"/>
              </w:rPr>
              <w:t> </w:t>
            </w:r>
          </w:p>
        </w:tc>
        <w:tc>
          <w:tcPr>
            <w:tcW w:w="460" w:type="pct"/>
            <w:tcBorders>
              <w:top w:val="nil"/>
              <w:left w:val="nil"/>
              <w:bottom w:val="single" w:sz="4" w:space="0" w:color="293F5B"/>
              <w:right w:val="nil"/>
            </w:tcBorders>
            <w:shd w:val="clear" w:color="000000" w:fill="FFFFFF"/>
            <w:noWrap/>
            <w:vAlign w:val="center"/>
            <w:hideMark/>
          </w:tcPr>
          <w:p w14:paraId="317192A4" w14:textId="77777777" w:rsidR="00AC4FFA" w:rsidRPr="00EC4BA6" w:rsidRDefault="00AC4FFA" w:rsidP="008F032C">
            <w:pPr>
              <w:spacing w:before="0" w:after="0" w:line="240" w:lineRule="auto"/>
              <w:jc w:val="right"/>
              <w:rPr>
                <w:rFonts w:ascii="Arial" w:hAnsi="Arial" w:cs="Arial"/>
                <w:i/>
                <w:sz w:val="16"/>
                <w:szCs w:val="16"/>
              </w:rPr>
            </w:pPr>
            <w:r w:rsidRPr="00EC4BA6">
              <w:rPr>
                <w:rFonts w:ascii="Arial" w:hAnsi="Arial" w:cs="Arial"/>
                <w:i/>
                <w:sz w:val="16"/>
                <w:szCs w:val="16"/>
              </w:rPr>
              <w:t>30,700</w:t>
            </w:r>
          </w:p>
        </w:tc>
        <w:tc>
          <w:tcPr>
            <w:tcW w:w="460" w:type="pct"/>
            <w:tcBorders>
              <w:top w:val="nil"/>
              <w:left w:val="nil"/>
              <w:bottom w:val="single" w:sz="4" w:space="0" w:color="293F5B"/>
              <w:right w:val="nil"/>
            </w:tcBorders>
            <w:shd w:val="clear" w:color="000000" w:fill="E6F2FF"/>
            <w:noWrap/>
            <w:vAlign w:val="center"/>
            <w:hideMark/>
          </w:tcPr>
          <w:p w14:paraId="6D13735E" w14:textId="77777777" w:rsidR="00AC4FFA" w:rsidRPr="00EC4BA6" w:rsidRDefault="00AC4FFA" w:rsidP="008F032C">
            <w:pPr>
              <w:spacing w:before="0" w:after="0" w:line="240" w:lineRule="auto"/>
              <w:jc w:val="right"/>
              <w:rPr>
                <w:rFonts w:ascii="Arial" w:hAnsi="Arial" w:cs="Arial"/>
                <w:i/>
                <w:sz w:val="16"/>
                <w:szCs w:val="16"/>
              </w:rPr>
            </w:pPr>
            <w:r w:rsidRPr="00EC4BA6">
              <w:rPr>
                <w:rFonts w:ascii="Arial" w:hAnsi="Arial" w:cs="Arial"/>
                <w:i/>
                <w:sz w:val="16"/>
                <w:szCs w:val="16"/>
              </w:rPr>
              <w:t>27,600</w:t>
            </w:r>
          </w:p>
        </w:tc>
        <w:tc>
          <w:tcPr>
            <w:tcW w:w="526" w:type="pct"/>
            <w:tcBorders>
              <w:top w:val="nil"/>
              <w:left w:val="nil"/>
              <w:bottom w:val="single" w:sz="4" w:space="0" w:color="293F5B"/>
              <w:right w:val="nil"/>
            </w:tcBorders>
            <w:shd w:val="clear" w:color="000000" w:fill="FFFFFF"/>
            <w:noWrap/>
            <w:vAlign w:val="center"/>
            <w:hideMark/>
          </w:tcPr>
          <w:p w14:paraId="1E3DDC87" w14:textId="77777777" w:rsidR="00AC4FFA" w:rsidRPr="00EC4BA6" w:rsidRDefault="00AC4FFA" w:rsidP="008F032C">
            <w:pPr>
              <w:spacing w:before="0" w:after="0" w:line="240" w:lineRule="auto"/>
              <w:jc w:val="right"/>
              <w:rPr>
                <w:rFonts w:ascii="Arial" w:hAnsi="Arial" w:cs="Arial"/>
                <w:i/>
                <w:sz w:val="16"/>
                <w:szCs w:val="16"/>
              </w:rPr>
            </w:pPr>
            <w:r w:rsidRPr="00EC4BA6">
              <w:rPr>
                <w:rFonts w:ascii="Arial" w:hAnsi="Arial" w:cs="Arial"/>
                <w:i/>
                <w:sz w:val="16"/>
                <w:szCs w:val="16"/>
              </w:rPr>
              <w:t>27,600</w:t>
            </w:r>
          </w:p>
        </w:tc>
        <w:tc>
          <w:tcPr>
            <w:tcW w:w="526" w:type="pct"/>
            <w:tcBorders>
              <w:top w:val="nil"/>
              <w:left w:val="nil"/>
              <w:bottom w:val="single" w:sz="4" w:space="0" w:color="293F5B"/>
              <w:right w:val="nil"/>
            </w:tcBorders>
            <w:shd w:val="clear" w:color="000000" w:fill="FFFFFF"/>
            <w:noWrap/>
            <w:vAlign w:val="center"/>
            <w:hideMark/>
          </w:tcPr>
          <w:p w14:paraId="4641F8CA" w14:textId="77777777" w:rsidR="00AC4FFA" w:rsidRPr="00EC4BA6" w:rsidRDefault="00AC4FFA" w:rsidP="008F032C">
            <w:pPr>
              <w:spacing w:before="0" w:after="0" w:line="240" w:lineRule="auto"/>
              <w:jc w:val="right"/>
              <w:rPr>
                <w:rFonts w:ascii="Arial" w:hAnsi="Arial" w:cs="Arial"/>
                <w:i/>
                <w:sz w:val="16"/>
                <w:szCs w:val="16"/>
              </w:rPr>
            </w:pPr>
            <w:r w:rsidRPr="00EC4BA6">
              <w:rPr>
                <w:rFonts w:ascii="Arial" w:hAnsi="Arial" w:cs="Arial"/>
                <w:i/>
                <w:sz w:val="16"/>
                <w:szCs w:val="16"/>
              </w:rPr>
              <w:t>28,900</w:t>
            </w:r>
          </w:p>
        </w:tc>
        <w:tc>
          <w:tcPr>
            <w:tcW w:w="526" w:type="pct"/>
            <w:tcBorders>
              <w:top w:val="nil"/>
              <w:left w:val="nil"/>
              <w:bottom w:val="single" w:sz="4" w:space="0" w:color="293F5B"/>
              <w:right w:val="nil"/>
            </w:tcBorders>
            <w:shd w:val="clear" w:color="000000" w:fill="FFFFFF"/>
            <w:noWrap/>
            <w:vAlign w:val="center"/>
            <w:hideMark/>
          </w:tcPr>
          <w:p w14:paraId="6BF23DBD" w14:textId="77777777" w:rsidR="00AC4FFA" w:rsidRPr="00EC4BA6" w:rsidRDefault="00AC4FFA" w:rsidP="008F032C">
            <w:pPr>
              <w:spacing w:before="0" w:after="0" w:line="240" w:lineRule="auto"/>
              <w:jc w:val="right"/>
              <w:rPr>
                <w:rFonts w:ascii="Arial" w:hAnsi="Arial" w:cs="Arial"/>
                <w:i/>
                <w:sz w:val="16"/>
                <w:szCs w:val="16"/>
              </w:rPr>
            </w:pPr>
            <w:r w:rsidRPr="00EC4BA6">
              <w:rPr>
                <w:rFonts w:ascii="Arial" w:hAnsi="Arial" w:cs="Arial"/>
                <w:i/>
                <w:sz w:val="16"/>
                <w:szCs w:val="16"/>
              </w:rPr>
              <w:t>30,200</w:t>
            </w:r>
          </w:p>
        </w:tc>
      </w:tr>
    </w:tbl>
    <w:p w14:paraId="1062A4C9" w14:textId="7B076305" w:rsidR="00267BDF" w:rsidRPr="00EC4BA6" w:rsidRDefault="001A3DD6" w:rsidP="00C7718D">
      <w:pPr>
        <w:pStyle w:val="ChartandTableFootnoteAlpha"/>
        <w:numPr>
          <w:ilvl w:val="0"/>
          <w:numId w:val="57"/>
        </w:numPr>
        <w:rPr>
          <w:color w:val="auto"/>
        </w:rPr>
      </w:pPr>
      <w:r>
        <w:rPr>
          <w:color w:val="auto"/>
        </w:rPr>
        <w:t>‘</w:t>
      </w:r>
      <w:r w:rsidR="00DF4D4F" w:rsidRPr="00EC4BA6">
        <w:rPr>
          <w:color w:val="auto"/>
        </w:rPr>
        <w:t>Other alcoholic beverages</w:t>
      </w:r>
      <w:r>
        <w:rPr>
          <w:color w:val="auto"/>
        </w:rPr>
        <w:t>’</w:t>
      </w:r>
      <w:r w:rsidR="00DF4D4F" w:rsidRPr="00EC4BA6">
        <w:rPr>
          <w:color w:val="auto"/>
        </w:rPr>
        <w:t xml:space="preserve"> are those not exceeding 10 per cent by volume of alcohol (excluding beer, brandy and wine). </w:t>
      </w:r>
    </w:p>
    <w:p w14:paraId="33587183" w14:textId="3AFED9F8" w:rsidR="00DF4D4F" w:rsidRPr="00EC4BA6" w:rsidRDefault="001A3DD6" w:rsidP="00DF4D4F">
      <w:pPr>
        <w:pStyle w:val="ChartandTableFootnoteAlpha"/>
        <w:rPr>
          <w:color w:val="auto"/>
        </w:rPr>
      </w:pPr>
      <w:r>
        <w:rPr>
          <w:color w:val="auto"/>
        </w:rPr>
        <w:t>‘</w:t>
      </w:r>
      <w:r w:rsidR="00DF4D4F" w:rsidRPr="00EC4BA6">
        <w:rPr>
          <w:color w:val="auto"/>
        </w:rPr>
        <w:t>Capital gains tax</w:t>
      </w:r>
      <w:r>
        <w:rPr>
          <w:color w:val="auto"/>
        </w:rPr>
        <w:t>’</w:t>
      </w:r>
      <w:r w:rsidR="00DF4D4F" w:rsidRPr="00EC4BA6">
        <w:rPr>
          <w:color w:val="auto"/>
        </w:rPr>
        <w:t xml:space="preserve"> is part of gross other individuals, company tax and superannuation fund taxes.</w:t>
      </w:r>
    </w:p>
    <w:p w14:paraId="630774CC" w14:textId="77777777" w:rsidR="00DF4D4F" w:rsidRPr="00EC4BA6" w:rsidRDefault="00DF4D4F" w:rsidP="00485C87">
      <w:pPr>
        <w:pStyle w:val="TableLine"/>
      </w:pPr>
    </w:p>
    <w:p w14:paraId="30189784" w14:textId="77777777" w:rsidR="00DF4D4F" w:rsidRPr="00EC4BA6" w:rsidRDefault="00DF4D4F" w:rsidP="00DF4D4F">
      <w:pPr>
        <w:pStyle w:val="Heading2"/>
      </w:pPr>
      <w:bookmarkStart w:id="52" w:name="_Toc193528307"/>
      <w:r w:rsidRPr="00EC4BA6">
        <w:lastRenderedPageBreak/>
        <w:t>Variations in revenue estimates</w:t>
      </w:r>
      <w:bookmarkEnd w:id="52"/>
    </w:p>
    <w:p w14:paraId="3A7981E3" w14:textId="099245BC" w:rsidR="00DF4D4F" w:rsidRPr="00EC4BA6" w:rsidRDefault="00DF4D4F" w:rsidP="00DF4D4F">
      <w:r w:rsidRPr="00EC4BA6">
        <w:t>The revenue estimates are the accrual accounting equivalent of the cash</w:t>
      </w:r>
      <w:r w:rsidR="001A3DD6">
        <w:noBreakHyphen/>
      </w:r>
      <w:r w:rsidRPr="00EC4BA6">
        <w:t xml:space="preserve">based receipts estimates. Changes in revenue are generally driven by the same factors as receipts. </w:t>
      </w:r>
    </w:p>
    <w:p w14:paraId="6278C09F" w14:textId="37EA3CCC" w:rsidR="00DF4D4F" w:rsidRPr="00EC4BA6" w:rsidRDefault="00DF4D4F" w:rsidP="00DF4D4F">
      <w:r w:rsidRPr="00EC4BA6">
        <w:t>Revenues are usually higher than the cash equivalents because the amounts are generally recognised when they are owed rather than when they are paid. The differences between the accrual and cash amounts therefore generally reflect payment timing differences. Table </w:t>
      </w:r>
      <w:r w:rsidR="003F3357" w:rsidRPr="00EC4BA6">
        <w:t>4</w:t>
      </w:r>
      <w:r w:rsidRPr="00EC4BA6">
        <w:t>.8 provides a reconciliation of the 202</w:t>
      </w:r>
      <w:r w:rsidR="00142572" w:rsidRPr="00EC4BA6">
        <w:t>5</w:t>
      </w:r>
      <w:r w:rsidRPr="00EC4BA6">
        <w:t>–2</w:t>
      </w:r>
      <w:r w:rsidR="00E740DF" w:rsidRPr="00EC4BA6">
        <w:t>6</w:t>
      </w:r>
      <w:r w:rsidR="001A3DD6">
        <w:t> </w:t>
      </w:r>
      <w:r w:rsidRPr="00EC4BA6">
        <w:t>Budget revenue estimates with those at the 202</w:t>
      </w:r>
      <w:r w:rsidR="00142572" w:rsidRPr="00EC4BA6">
        <w:t>4</w:t>
      </w:r>
      <w:r w:rsidRPr="00EC4BA6">
        <w:t>–2</w:t>
      </w:r>
      <w:r w:rsidR="00142572" w:rsidRPr="00EC4BA6">
        <w:t>5</w:t>
      </w:r>
      <w:r w:rsidRPr="00EC4BA6">
        <w:t xml:space="preserve"> Budget and MYEFO. </w:t>
      </w:r>
    </w:p>
    <w:p w14:paraId="1E66A6AF" w14:textId="140ABD28" w:rsidR="008719E0" w:rsidRPr="00EC4BA6" w:rsidRDefault="00DF4D4F" w:rsidP="00E565C3">
      <w:pPr>
        <w:pStyle w:val="TableHeading"/>
        <w:rPr>
          <w:rFonts w:asciiTheme="minorHAnsi" w:eastAsiaTheme="minorHAnsi" w:hAnsiTheme="minorHAnsi" w:cstheme="minorBidi"/>
          <w:sz w:val="22"/>
          <w:szCs w:val="22"/>
          <w:lang w:eastAsia="en-US"/>
        </w:rPr>
      </w:pPr>
      <w:r w:rsidRPr="00EC4BA6">
        <w:t xml:space="preserve">Table </w:t>
      </w:r>
      <w:r w:rsidR="008F3AA1" w:rsidRPr="00EC4BA6">
        <w:t>4</w:t>
      </w:r>
      <w:r w:rsidRPr="00EC4BA6">
        <w:t>.8: Reconciliation of Australian Government general government revenue estimates from the 202</w:t>
      </w:r>
      <w:r w:rsidR="00142572" w:rsidRPr="00EC4BA6">
        <w:t>4</w:t>
      </w:r>
      <w:r w:rsidRPr="00EC4BA6">
        <w:t>–2</w:t>
      </w:r>
      <w:r w:rsidR="00142572" w:rsidRPr="00EC4BA6">
        <w:t>5</w:t>
      </w:r>
      <w:r w:rsidRPr="00EC4BA6">
        <w:t xml:space="preserve"> MYEFO and the 202</w:t>
      </w:r>
      <w:r w:rsidR="00142572" w:rsidRPr="00EC4BA6">
        <w:t>4</w:t>
      </w:r>
      <w:r w:rsidRPr="00EC4BA6">
        <w:t>–2</w:t>
      </w:r>
      <w:r w:rsidR="00142572" w:rsidRPr="00EC4BA6">
        <w:t>5</w:t>
      </w:r>
      <w:r w:rsidRPr="00EC4BA6">
        <w:t xml:space="preserve"> Budget</w:t>
      </w:r>
    </w:p>
    <w:tbl>
      <w:tblPr>
        <w:tblW w:w="5000" w:type="pct"/>
        <w:tblCellMar>
          <w:left w:w="0" w:type="dxa"/>
          <w:right w:w="28" w:type="dxa"/>
        </w:tblCellMar>
        <w:tblLook w:val="04A0" w:firstRow="1" w:lastRow="0" w:firstColumn="1" w:lastColumn="0" w:noHBand="0" w:noVBand="1"/>
      </w:tblPr>
      <w:tblGrid>
        <w:gridCol w:w="2998"/>
        <w:gridCol w:w="772"/>
        <w:gridCol w:w="773"/>
        <w:gridCol w:w="773"/>
        <w:gridCol w:w="773"/>
        <w:gridCol w:w="773"/>
        <w:gridCol w:w="77"/>
        <w:gridCol w:w="771"/>
      </w:tblGrid>
      <w:tr w:rsidR="008719E0" w:rsidRPr="00EC4BA6" w14:paraId="4939DD57" w14:textId="77777777" w:rsidTr="00E565C3">
        <w:trPr>
          <w:trHeight w:hRule="exact" w:val="225"/>
        </w:trPr>
        <w:tc>
          <w:tcPr>
            <w:tcW w:w="1945" w:type="pct"/>
            <w:tcBorders>
              <w:top w:val="single" w:sz="4" w:space="0" w:color="293F5B"/>
              <w:left w:val="nil"/>
              <w:bottom w:val="nil"/>
              <w:right w:val="nil"/>
            </w:tcBorders>
            <w:shd w:val="clear" w:color="000000" w:fill="FFFFFF"/>
            <w:noWrap/>
            <w:vAlign w:val="center"/>
            <w:hideMark/>
          </w:tcPr>
          <w:p w14:paraId="3C6583BD" w14:textId="71993A83" w:rsidR="008719E0" w:rsidRPr="00EC4BA6" w:rsidRDefault="008719E0">
            <w:pPr>
              <w:rPr>
                <w:rFonts w:ascii="Arial" w:hAnsi="Arial" w:cs="Arial"/>
                <w:sz w:val="16"/>
                <w:szCs w:val="16"/>
              </w:rPr>
            </w:pPr>
            <w:r w:rsidRPr="00EC4BA6">
              <w:rPr>
                <w:rFonts w:ascii="Arial" w:hAnsi="Arial" w:cs="Arial"/>
                <w:sz w:val="16"/>
                <w:szCs w:val="16"/>
              </w:rPr>
              <w:t> </w:t>
            </w:r>
          </w:p>
        </w:tc>
        <w:tc>
          <w:tcPr>
            <w:tcW w:w="2505" w:type="pct"/>
            <w:gridSpan w:val="5"/>
            <w:tcBorders>
              <w:top w:val="single" w:sz="4" w:space="0" w:color="293F5B"/>
              <w:left w:val="nil"/>
              <w:bottom w:val="nil"/>
              <w:right w:val="nil"/>
            </w:tcBorders>
            <w:shd w:val="clear" w:color="000000" w:fill="FFFFFF"/>
            <w:noWrap/>
            <w:vAlign w:val="center"/>
            <w:hideMark/>
          </w:tcPr>
          <w:p w14:paraId="1D7BCF6A" w14:textId="77777777" w:rsidR="008719E0" w:rsidRPr="00EC4BA6" w:rsidRDefault="008719E0" w:rsidP="008719E0">
            <w:pPr>
              <w:spacing w:before="0" w:after="0" w:line="240" w:lineRule="auto"/>
              <w:jc w:val="center"/>
              <w:rPr>
                <w:rFonts w:ascii="Arial" w:hAnsi="Arial" w:cs="Arial"/>
                <w:sz w:val="16"/>
                <w:szCs w:val="16"/>
              </w:rPr>
            </w:pPr>
            <w:r w:rsidRPr="00EC4BA6">
              <w:rPr>
                <w:rFonts w:ascii="Arial" w:hAnsi="Arial" w:cs="Arial"/>
                <w:sz w:val="16"/>
                <w:szCs w:val="16"/>
              </w:rPr>
              <w:t>Estimates</w:t>
            </w:r>
          </w:p>
        </w:tc>
        <w:tc>
          <w:tcPr>
            <w:tcW w:w="50" w:type="pct"/>
            <w:tcBorders>
              <w:top w:val="single" w:sz="4" w:space="0" w:color="293F5B"/>
              <w:left w:val="nil"/>
              <w:bottom w:val="nil"/>
              <w:right w:val="nil"/>
            </w:tcBorders>
            <w:shd w:val="clear" w:color="000000" w:fill="FFFFFF"/>
            <w:noWrap/>
            <w:vAlign w:val="center"/>
            <w:hideMark/>
          </w:tcPr>
          <w:p w14:paraId="31D0E29C" w14:textId="77777777" w:rsidR="008719E0" w:rsidRPr="00EC4BA6" w:rsidRDefault="008719E0" w:rsidP="008719E0">
            <w:pPr>
              <w:spacing w:before="0" w:after="0" w:line="240" w:lineRule="auto"/>
              <w:rPr>
                <w:rFonts w:ascii="Arial" w:hAnsi="Arial" w:cs="Arial"/>
                <w:sz w:val="16"/>
                <w:szCs w:val="16"/>
              </w:rPr>
            </w:pPr>
            <w:r w:rsidRPr="00EC4BA6">
              <w:rPr>
                <w:rFonts w:ascii="Arial" w:hAnsi="Arial" w:cs="Arial"/>
                <w:sz w:val="16"/>
                <w:szCs w:val="16"/>
              </w:rPr>
              <w:t> </w:t>
            </w:r>
          </w:p>
        </w:tc>
        <w:tc>
          <w:tcPr>
            <w:tcW w:w="501" w:type="pct"/>
            <w:tcBorders>
              <w:top w:val="single" w:sz="4" w:space="0" w:color="293F5B"/>
              <w:left w:val="nil"/>
              <w:bottom w:val="single" w:sz="4" w:space="0" w:color="293F5B"/>
              <w:right w:val="nil"/>
            </w:tcBorders>
            <w:shd w:val="clear" w:color="000000" w:fill="FFFFFF"/>
            <w:noWrap/>
            <w:vAlign w:val="center"/>
            <w:hideMark/>
          </w:tcPr>
          <w:p w14:paraId="359250FD" w14:textId="77777777" w:rsidR="008719E0" w:rsidRPr="00EC4BA6" w:rsidRDefault="008719E0" w:rsidP="008719E0">
            <w:pPr>
              <w:spacing w:before="0" w:after="0" w:line="240" w:lineRule="auto"/>
              <w:rPr>
                <w:rFonts w:ascii="Arial" w:hAnsi="Arial" w:cs="Arial"/>
                <w:sz w:val="16"/>
                <w:szCs w:val="16"/>
              </w:rPr>
            </w:pPr>
            <w:r w:rsidRPr="00EC4BA6">
              <w:rPr>
                <w:rFonts w:ascii="Arial" w:hAnsi="Arial" w:cs="Arial"/>
                <w:sz w:val="16"/>
                <w:szCs w:val="16"/>
              </w:rPr>
              <w:t> </w:t>
            </w:r>
          </w:p>
        </w:tc>
      </w:tr>
      <w:tr w:rsidR="008719E0" w:rsidRPr="00EC4BA6" w14:paraId="4A81602B" w14:textId="77777777" w:rsidTr="00E565C3">
        <w:trPr>
          <w:trHeight w:hRule="exact" w:val="225"/>
        </w:trPr>
        <w:tc>
          <w:tcPr>
            <w:tcW w:w="1945" w:type="pct"/>
            <w:tcBorders>
              <w:top w:val="nil"/>
              <w:left w:val="nil"/>
              <w:bottom w:val="nil"/>
              <w:right w:val="nil"/>
            </w:tcBorders>
            <w:shd w:val="clear" w:color="000000" w:fill="FFFFFF"/>
            <w:noWrap/>
            <w:vAlign w:val="bottom"/>
            <w:hideMark/>
          </w:tcPr>
          <w:p w14:paraId="4BED2DDE" w14:textId="77777777" w:rsidR="008719E0" w:rsidRPr="00EC4BA6" w:rsidRDefault="008719E0" w:rsidP="008719E0">
            <w:pPr>
              <w:spacing w:before="0" w:after="0" w:line="240" w:lineRule="auto"/>
              <w:rPr>
                <w:rFonts w:ascii="Arial" w:hAnsi="Arial" w:cs="Arial"/>
                <w:sz w:val="16"/>
                <w:szCs w:val="16"/>
              </w:rPr>
            </w:pPr>
            <w:r w:rsidRPr="00EC4BA6">
              <w:rPr>
                <w:rFonts w:ascii="Arial" w:hAnsi="Arial" w:cs="Arial"/>
                <w:sz w:val="16"/>
                <w:szCs w:val="16"/>
              </w:rPr>
              <w:t> </w:t>
            </w:r>
          </w:p>
        </w:tc>
        <w:tc>
          <w:tcPr>
            <w:tcW w:w="501" w:type="pct"/>
            <w:tcBorders>
              <w:top w:val="single" w:sz="4" w:space="0" w:color="293F5B"/>
              <w:left w:val="nil"/>
              <w:bottom w:val="nil"/>
              <w:right w:val="nil"/>
            </w:tcBorders>
            <w:shd w:val="clear" w:color="000000" w:fill="FFFFFF"/>
            <w:noWrap/>
            <w:vAlign w:val="center"/>
            <w:hideMark/>
          </w:tcPr>
          <w:p w14:paraId="650580A0" w14:textId="08CF2C1C" w:rsidR="008719E0" w:rsidRPr="00EC4BA6" w:rsidRDefault="008719E0" w:rsidP="008719E0">
            <w:pPr>
              <w:spacing w:before="0" w:after="0" w:line="240" w:lineRule="auto"/>
              <w:jc w:val="right"/>
              <w:rPr>
                <w:rFonts w:ascii="Arial" w:hAnsi="Arial" w:cs="Arial"/>
                <w:sz w:val="16"/>
                <w:szCs w:val="16"/>
              </w:rPr>
            </w:pPr>
            <w:r w:rsidRPr="00EC4BA6">
              <w:rPr>
                <w:rFonts w:ascii="Arial" w:hAnsi="Arial" w:cs="Arial"/>
                <w:sz w:val="16"/>
                <w:szCs w:val="16"/>
              </w:rPr>
              <w:t>2024</w:t>
            </w:r>
            <w:r w:rsidR="001A3DD6">
              <w:rPr>
                <w:rFonts w:ascii="Arial" w:hAnsi="Arial" w:cs="Arial"/>
                <w:sz w:val="16"/>
                <w:szCs w:val="16"/>
              </w:rPr>
              <w:noBreakHyphen/>
            </w:r>
            <w:r w:rsidRPr="00EC4BA6">
              <w:rPr>
                <w:rFonts w:ascii="Arial" w:hAnsi="Arial" w:cs="Arial"/>
                <w:sz w:val="16"/>
                <w:szCs w:val="16"/>
              </w:rPr>
              <w:t>25</w:t>
            </w:r>
          </w:p>
        </w:tc>
        <w:tc>
          <w:tcPr>
            <w:tcW w:w="501" w:type="pct"/>
            <w:tcBorders>
              <w:top w:val="single" w:sz="4" w:space="0" w:color="293F5B"/>
              <w:left w:val="nil"/>
              <w:bottom w:val="nil"/>
              <w:right w:val="nil"/>
            </w:tcBorders>
            <w:shd w:val="clear" w:color="000000" w:fill="E6F2FF"/>
            <w:noWrap/>
            <w:vAlign w:val="center"/>
            <w:hideMark/>
          </w:tcPr>
          <w:p w14:paraId="1F24784E" w14:textId="2560C3FC" w:rsidR="008719E0" w:rsidRPr="00EC4BA6" w:rsidRDefault="008719E0" w:rsidP="008719E0">
            <w:pPr>
              <w:spacing w:before="0" w:after="0" w:line="240" w:lineRule="auto"/>
              <w:jc w:val="right"/>
              <w:rPr>
                <w:rFonts w:ascii="Arial" w:hAnsi="Arial" w:cs="Arial"/>
                <w:sz w:val="16"/>
                <w:szCs w:val="16"/>
              </w:rPr>
            </w:pPr>
            <w:r w:rsidRPr="00EC4BA6">
              <w:rPr>
                <w:rFonts w:ascii="Arial" w:hAnsi="Arial" w:cs="Arial"/>
                <w:sz w:val="16"/>
                <w:szCs w:val="16"/>
              </w:rPr>
              <w:t>2025</w:t>
            </w:r>
            <w:r w:rsidR="001A3DD6">
              <w:rPr>
                <w:rFonts w:ascii="Arial" w:hAnsi="Arial" w:cs="Arial"/>
                <w:sz w:val="16"/>
                <w:szCs w:val="16"/>
              </w:rPr>
              <w:noBreakHyphen/>
            </w:r>
            <w:r w:rsidRPr="00EC4BA6">
              <w:rPr>
                <w:rFonts w:ascii="Arial" w:hAnsi="Arial" w:cs="Arial"/>
                <w:sz w:val="16"/>
                <w:szCs w:val="16"/>
              </w:rPr>
              <w:t>26</w:t>
            </w:r>
          </w:p>
        </w:tc>
        <w:tc>
          <w:tcPr>
            <w:tcW w:w="501" w:type="pct"/>
            <w:tcBorders>
              <w:top w:val="single" w:sz="4" w:space="0" w:color="293F5B"/>
              <w:left w:val="nil"/>
              <w:bottom w:val="nil"/>
              <w:right w:val="nil"/>
            </w:tcBorders>
            <w:shd w:val="clear" w:color="000000" w:fill="FFFFFF"/>
            <w:noWrap/>
            <w:vAlign w:val="center"/>
            <w:hideMark/>
          </w:tcPr>
          <w:p w14:paraId="55281DAE" w14:textId="44EAF514" w:rsidR="008719E0" w:rsidRPr="00EC4BA6" w:rsidRDefault="008719E0" w:rsidP="008719E0">
            <w:pPr>
              <w:spacing w:before="0" w:after="0" w:line="240" w:lineRule="auto"/>
              <w:jc w:val="right"/>
              <w:rPr>
                <w:rFonts w:ascii="Arial" w:hAnsi="Arial" w:cs="Arial"/>
                <w:sz w:val="16"/>
                <w:szCs w:val="16"/>
              </w:rPr>
            </w:pPr>
            <w:r w:rsidRPr="00EC4BA6">
              <w:rPr>
                <w:rFonts w:ascii="Arial" w:hAnsi="Arial" w:cs="Arial"/>
                <w:sz w:val="16"/>
                <w:szCs w:val="16"/>
              </w:rPr>
              <w:t>2026</w:t>
            </w:r>
            <w:r w:rsidR="001A3DD6">
              <w:rPr>
                <w:rFonts w:ascii="Arial" w:hAnsi="Arial" w:cs="Arial"/>
                <w:sz w:val="16"/>
                <w:szCs w:val="16"/>
              </w:rPr>
              <w:noBreakHyphen/>
            </w:r>
            <w:r w:rsidRPr="00EC4BA6">
              <w:rPr>
                <w:rFonts w:ascii="Arial" w:hAnsi="Arial" w:cs="Arial"/>
                <w:sz w:val="16"/>
                <w:szCs w:val="16"/>
              </w:rPr>
              <w:t>27</w:t>
            </w:r>
          </w:p>
        </w:tc>
        <w:tc>
          <w:tcPr>
            <w:tcW w:w="501" w:type="pct"/>
            <w:tcBorders>
              <w:top w:val="single" w:sz="4" w:space="0" w:color="293F5B"/>
              <w:left w:val="nil"/>
              <w:bottom w:val="nil"/>
              <w:right w:val="nil"/>
            </w:tcBorders>
            <w:shd w:val="clear" w:color="000000" w:fill="FFFFFF"/>
            <w:noWrap/>
            <w:vAlign w:val="center"/>
            <w:hideMark/>
          </w:tcPr>
          <w:p w14:paraId="7F0771C7" w14:textId="2769FABC" w:rsidR="008719E0" w:rsidRPr="00EC4BA6" w:rsidRDefault="008719E0" w:rsidP="008719E0">
            <w:pPr>
              <w:spacing w:before="0" w:after="0" w:line="240" w:lineRule="auto"/>
              <w:jc w:val="right"/>
              <w:rPr>
                <w:rFonts w:ascii="Arial" w:hAnsi="Arial" w:cs="Arial"/>
                <w:sz w:val="16"/>
                <w:szCs w:val="16"/>
              </w:rPr>
            </w:pPr>
            <w:r w:rsidRPr="00EC4BA6">
              <w:rPr>
                <w:rFonts w:ascii="Arial" w:hAnsi="Arial" w:cs="Arial"/>
                <w:sz w:val="16"/>
                <w:szCs w:val="16"/>
              </w:rPr>
              <w:t>2027</w:t>
            </w:r>
            <w:r w:rsidR="001A3DD6">
              <w:rPr>
                <w:rFonts w:ascii="Arial" w:hAnsi="Arial" w:cs="Arial"/>
                <w:sz w:val="16"/>
                <w:szCs w:val="16"/>
              </w:rPr>
              <w:noBreakHyphen/>
            </w:r>
            <w:r w:rsidRPr="00EC4BA6">
              <w:rPr>
                <w:rFonts w:ascii="Arial" w:hAnsi="Arial" w:cs="Arial"/>
                <w:sz w:val="16"/>
                <w:szCs w:val="16"/>
              </w:rPr>
              <w:t>28</w:t>
            </w:r>
          </w:p>
        </w:tc>
        <w:tc>
          <w:tcPr>
            <w:tcW w:w="501" w:type="pct"/>
            <w:tcBorders>
              <w:top w:val="single" w:sz="4" w:space="0" w:color="293F5B"/>
              <w:left w:val="nil"/>
              <w:bottom w:val="nil"/>
              <w:right w:val="nil"/>
            </w:tcBorders>
            <w:shd w:val="clear" w:color="000000" w:fill="FFFFFF"/>
            <w:noWrap/>
            <w:vAlign w:val="center"/>
            <w:hideMark/>
          </w:tcPr>
          <w:p w14:paraId="5BA4C9C4" w14:textId="41D0547D" w:rsidR="008719E0" w:rsidRPr="00EC4BA6" w:rsidRDefault="008719E0" w:rsidP="008719E0">
            <w:pPr>
              <w:spacing w:before="0" w:after="0" w:line="240" w:lineRule="auto"/>
              <w:jc w:val="right"/>
              <w:rPr>
                <w:rFonts w:ascii="Arial" w:hAnsi="Arial" w:cs="Arial"/>
                <w:sz w:val="16"/>
                <w:szCs w:val="16"/>
              </w:rPr>
            </w:pPr>
            <w:r w:rsidRPr="00EC4BA6">
              <w:rPr>
                <w:rFonts w:ascii="Arial" w:hAnsi="Arial" w:cs="Arial"/>
                <w:sz w:val="16"/>
                <w:szCs w:val="16"/>
              </w:rPr>
              <w:t>2028</w:t>
            </w:r>
            <w:r w:rsidR="001A3DD6">
              <w:rPr>
                <w:rFonts w:ascii="Arial" w:hAnsi="Arial" w:cs="Arial"/>
                <w:sz w:val="16"/>
                <w:szCs w:val="16"/>
              </w:rPr>
              <w:noBreakHyphen/>
            </w:r>
            <w:r w:rsidRPr="00EC4BA6">
              <w:rPr>
                <w:rFonts w:ascii="Arial" w:hAnsi="Arial" w:cs="Arial"/>
                <w:sz w:val="16"/>
                <w:szCs w:val="16"/>
              </w:rPr>
              <w:t>29</w:t>
            </w:r>
          </w:p>
        </w:tc>
        <w:tc>
          <w:tcPr>
            <w:tcW w:w="50" w:type="pct"/>
            <w:tcBorders>
              <w:top w:val="nil"/>
              <w:left w:val="nil"/>
              <w:bottom w:val="nil"/>
              <w:right w:val="nil"/>
            </w:tcBorders>
            <w:shd w:val="clear" w:color="000000" w:fill="FFFFFF"/>
            <w:noWrap/>
            <w:vAlign w:val="center"/>
            <w:hideMark/>
          </w:tcPr>
          <w:p w14:paraId="5BDD4263" w14:textId="77777777" w:rsidR="008719E0" w:rsidRPr="00EC4BA6" w:rsidRDefault="008719E0" w:rsidP="008719E0">
            <w:pPr>
              <w:spacing w:before="0" w:after="0" w:line="240" w:lineRule="auto"/>
              <w:jc w:val="right"/>
              <w:rPr>
                <w:rFonts w:ascii="Arial" w:hAnsi="Arial" w:cs="Arial"/>
                <w:sz w:val="16"/>
                <w:szCs w:val="16"/>
              </w:rPr>
            </w:pPr>
            <w:r w:rsidRPr="00EC4BA6">
              <w:rPr>
                <w:rFonts w:ascii="Arial" w:hAnsi="Arial" w:cs="Arial"/>
                <w:sz w:val="16"/>
                <w:szCs w:val="16"/>
              </w:rPr>
              <w:t> </w:t>
            </w:r>
          </w:p>
        </w:tc>
        <w:tc>
          <w:tcPr>
            <w:tcW w:w="501" w:type="pct"/>
            <w:tcBorders>
              <w:top w:val="nil"/>
              <w:left w:val="nil"/>
              <w:bottom w:val="nil"/>
              <w:right w:val="nil"/>
            </w:tcBorders>
            <w:shd w:val="clear" w:color="000000" w:fill="FFFFFF"/>
            <w:noWrap/>
            <w:vAlign w:val="center"/>
            <w:hideMark/>
          </w:tcPr>
          <w:p w14:paraId="5248B62B" w14:textId="77777777" w:rsidR="008719E0" w:rsidRPr="00EC4BA6" w:rsidRDefault="008719E0" w:rsidP="008719E0">
            <w:pPr>
              <w:spacing w:before="0" w:after="0" w:line="240" w:lineRule="auto"/>
              <w:jc w:val="right"/>
              <w:rPr>
                <w:rFonts w:ascii="Arial" w:hAnsi="Arial" w:cs="Arial"/>
                <w:sz w:val="16"/>
                <w:szCs w:val="16"/>
              </w:rPr>
            </w:pPr>
            <w:r w:rsidRPr="00EC4BA6">
              <w:rPr>
                <w:rFonts w:ascii="Arial" w:hAnsi="Arial" w:cs="Arial"/>
                <w:sz w:val="16"/>
                <w:szCs w:val="16"/>
              </w:rPr>
              <w:t>Total</w:t>
            </w:r>
          </w:p>
        </w:tc>
      </w:tr>
      <w:tr w:rsidR="008719E0" w:rsidRPr="00EC4BA6" w14:paraId="5C4E423B" w14:textId="77777777" w:rsidTr="00E565C3">
        <w:trPr>
          <w:trHeight w:hRule="exact" w:val="225"/>
        </w:trPr>
        <w:tc>
          <w:tcPr>
            <w:tcW w:w="1945" w:type="pct"/>
            <w:tcBorders>
              <w:top w:val="nil"/>
              <w:left w:val="nil"/>
              <w:bottom w:val="nil"/>
              <w:right w:val="nil"/>
            </w:tcBorders>
            <w:shd w:val="clear" w:color="000000" w:fill="FFFFFF"/>
            <w:noWrap/>
            <w:vAlign w:val="center"/>
            <w:hideMark/>
          </w:tcPr>
          <w:p w14:paraId="60533593" w14:textId="77777777" w:rsidR="008719E0" w:rsidRPr="00EC4BA6" w:rsidRDefault="008719E0" w:rsidP="008719E0">
            <w:pPr>
              <w:spacing w:before="0" w:after="0" w:line="240" w:lineRule="auto"/>
              <w:rPr>
                <w:rFonts w:ascii="Arial" w:hAnsi="Arial" w:cs="Arial"/>
                <w:sz w:val="16"/>
                <w:szCs w:val="16"/>
              </w:rPr>
            </w:pPr>
            <w:r w:rsidRPr="00EC4BA6">
              <w:rPr>
                <w:rFonts w:ascii="Arial" w:hAnsi="Arial" w:cs="Arial"/>
                <w:sz w:val="16"/>
                <w:szCs w:val="16"/>
              </w:rPr>
              <w:t> </w:t>
            </w:r>
          </w:p>
        </w:tc>
        <w:tc>
          <w:tcPr>
            <w:tcW w:w="501" w:type="pct"/>
            <w:tcBorders>
              <w:top w:val="nil"/>
              <w:left w:val="nil"/>
              <w:bottom w:val="single" w:sz="4" w:space="0" w:color="293F5B"/>
              <w:right w:val="nil"/>
            </w:tcBorders>
            <w:shd w:val="clear" w:color="000000" w:fill="FFFFFF"/>
            <w:noWrap/>
            <w:vAlign w:val="center"/>
            <w:hideMark/>
          </w:tcPr>
          <w:p w14:paraId="733B2E14" w14:textId="77777777" w:rsidR="008719E0" w:rsidRPr="00EC4BA6" w:rsidRDefault="008719E0" w:rsidP="008719E0">
            <w:pPr>
              <w:spacing w:before="0" w:after="0" w:line="240" w:lineRule="auto"/>
              <w:jc w:val="right"/>
              <w:rPr>
                <w:rFonts w:ascii="Arial" w:hAnsi="Arial" w:cs="Arial"/>
                <w:sz w:val="16"/>
                <w:szCs w:val="16"/>
              </w:rPr>
            </w:pPr>
            <w:r w:rsidRPr="00EC4BA6">
              <w:rPr>
                <w:rFonts w:ascii="Arial" w:hAnsi="Arial" w:cs="Arial"/>
                <w:sz w:val="16"/>
                <w:szCs w:val="16"/>
              </w:rPr>
              <w:t>$m</w:t>
            </w:r>
          </w:p>
        </w:tc>
        <w:tc>
          <w:tcPr>
            <w:tcW w:w="501" w:type="pct"/>
            <w:tcBorders>
              <w:top w:val="nil"/>
              <w:left w:val="nil"/>
              <w:bottom w:val="single" w:sz="4" w:space="0" w:color="293F5B"/>
              <w:right w:val="nil"/>
            </w:tcBorders>
            <w:shd w:val="clear" w:color="000000" w:fill="E6F2FF"/>
            <w:noWrap/>
            <w:vAlign w:val="center"/>
            <w:hideMark/>
          </w:tcPr>
          <w:p w14:paraId="4063A1C3" w14:textId="77777777" w:rsidR="008719E0" w:rsidRPr="00EC4BA6" w:rsidRDefault="008719E0" w:rsidP="008719E0">
            <w:pPr>
              <w:spacing w:before="0" w:after="0" w:line="240" w:lineRule="auto"/>
              <w:jc w:val="right"/>
              <w:rPr>
                <w:rFonts w:ascii="Arial" w:hAnsi="Arial" w:cs="Arial"/>
                <w:sz w:val="16"/>
                <w:szCs w:val="16"/>
              </w:rPr>
            </w:pPr>
            <w:r w:rsidRPr="00EC4BA6">
              <w:rPr>
                <w:rFonts w:ascii="Arial" w:hAnsi="Arial" w:cs="Arial"/>
                <w:sz w:val="16"/>
                <w:szCs w:val="16"/>
              </w:rPr>
              <w:t>$m</w:t>
            </w:r>
          </w:p>
        </w:tc>
        <w:tc>
          <w:tcPr>
            <w:tcW w:w="501" w:type="pct"/>
            <w:tcBorders>
              <w:top w:val="nil"/>
              <w:left w:val="nil"/>
              <w:bottom w:val="single" w:sz="4" w:space="0" w:color="293F5B"/>
              <w:right w:val="nil"/>
            </w:tcBorders>
            <w:shd w:val="clear" w:color="000000" w:fill="FFFFFF"/>
            <w:noWrap/>
            <w:vAlign w:val="center"/>
            <w:hideMark/>
          </w:tcPr>
          <w:p w14:paraId="49419047" w14:textId="77777777" w:rsidR="008719E0" w:rsidRPr="00EC4BA6" w:rsidRDefault="008719E0" w:rsidP="008719E0">
            <w:pPr>
              <w:spacing w:before="0" w:after="0" w:line="240" w:lineRule="auto"/>
              <w:jc w:val="right"/>
              <w:rPr>
                <w:rFonts w:ascii="Arial" w:hAnsi="Arial" w:cs="Arial"/>
                <w:sz w:val="16"/>
                <w:szCs w:val="16"/>
              </w:rPr>
            </w:pPr>
            <w:r w:rsidRPr="00EC4BA6">
              <w:rPr>
                <w:rFonts w:ascii="Arial" w:hAnsi="Arial" w:cs="Arial"/>
                <w:sz w:val="16"/>
                <w:szCs w:val="16"/>
              </w:rPr>
              <w:t>$m</w:t>
            </w:r>
          </w:p>
        </w:tc>
        <w:tc>
          <w:tcPr>
            <w:tcW w:w="501" w:type="pct"/>
            <w:tcBorders>
              <w:top w:val="nil"/>
              <w:left w:val="nil"/>
              <w:bottom w:val="single" w:sz="4" w:space="0" w:color="293F5B"/>
              <w:right w:val="nil"/>
            </w:tcBorders>
            <w:shd w:val="clear" w:color="000000" w:fill="FFFFFF"/>
            <w:noWrap/>
            <w:vAlign w:val="center"/>
            <w:hideMark/>
          </w:tcPr>
          <w:p w14:paraId="7348D6D8" w14:textId="77777777" w:rsidR="008719E0" w:rsidRPr="00EC4BA6" w:rsidRDefault="008719E0" w:rsidP="008719E0">
            <w:pPr>
              <w:spacing w:before="0" w:after="0" w:line="240" w:lineRule="auto"/>
              <w:jc w:val="right"/>
              <w:rPr>
                <w:rFonts w:ascii="Arial" w:hAnsi="Arial" w:cs="Arial"/>
                <w:sz w:val="16"/>
                <w:szCs w:val="16"/>
              </w:rPr>
            </w:pPr>
            <w:r w:rsidRPr="00EC4BA6">
              <w:rPr>
                <w:rFonts w:ascii="Arial" w:hAnsi="Arial" w:cs="Arial"/>
                <w:sz w:val="16"/>
                <w:szCs w:val="16"/>
              </w:rPr>
              <w:t>$m</w:t>
            </w:r>
          </w:p>
        </w:tc>
        <w:tc>
          <w:tcPr>
            <w:tcW w:w="501" w:type="pct"/>
            <w:tcBorders>
              <w:top w:val="nil"/>
              <w:left w:val="nil"/>
              <w:bottom w:val="single" w:sz="4" w:space="0" w:color="293F5B"/>
              <w:right w:val="nil"/>
            </w:tcBorders>
            <w:shd w:val="clear" w:color="000000" w:fill="FFFFFF"/>
            <w:noWrap/>
            <w:vAlign w:val="center"/>
            <w:hideMark/>
          </w:tcPr>
          <w:p w14:paraId="4C67219E" w14:textId="77777777" w:rsidR="008719E0" w:rsidRPr="00EC4BA6" w:rsidRDefault="008719E0" w:rsidP="008719E0">
            <w:pPr>
              <w:spacing w:before="0" w:after="0" w:line="240" w:lineRule="auto"/>
              <w:jc w:val="right"/>
              <w:rPr>
                <w:rFonts w:ascii="Arial" w:hAnsi="Arial" w:cs="Arial"/>
                <w:sz w:val="16"/>
                <w:szCs w:val="16"/>
              </w:rPr>
            </w:pPr>
            <w:r w:rsidRPr="00EC4BA6">
              <w:rPr>
                <w:rFonts w:ascii="Arial" w:hAnsi="Arial" w:cs="Arial"/>
                <w:sz w:val="16"/>
                <w:szCs w:val="16"/>
              </w:rPr>
              <w:t>$m</w:t>
            </w:r>
          </w:p>
        </w:tc>
        <w:tc>
          <w:tcPr>
            <w:tcW w:w="50" w:type="pct"/>
            <w:tcBorders>
              <w:top w:val="nil"/>
              <w:left w:val="nil"/>
              <w:bottom w:val="nil"/>
              <w:right w:val="nil"/>
            </w:tcBorders>
            <w:shd w:val="clear" w:color="000000" w:fill="FFFFFF"/>
            <w:noWrap/>
            <w:vAlign w:val="center"/>
            <w:hideMark/>
          </w:tcPr>
          <w:p w14:paraId="2B817BB2" w14:textId="77777777" w:rsidR="008719E0" w:rsidRPr="00EC4BA6" w:rsidRDefault="008719E0" w:rsidP="008719E0">
            <w:pPr>
              <w:spacing w:before="0" w:after="0" w:line="240" w:lineRule="auto"/>
              <w:jc w:val="right"/>
              <w:rPr>
                <w:rFonts w:ascii="Arial" w:hAnsi="Arial" w:cs="Arial"/>
                <w:sz w:val="16"/>
                <w:szCs w:val="16"/>
              </w:rPr>
            </w:pPr>
            <w:r w:rsidRPr="00EC4BA6">
              <w:rPr>
                <w:rFonts w:ascii="Arial" w:hAnsi="Arial" w:cs="Arial"/>
                <w:sz w:val="16"/>
                <w:szCs w:val="16"/>
              </w:rPr>
              <w:t> </w:t>
            </w:r>
          </w:p>
        </w:tc>
        <w:tc>
          <w:tcPr>
            <w:tcW w:w="501" w:type="pct"/>
            <w:tcBorders>
              <w:top w:val="nil"/>
              <w:left w:val="nil"/>
              <w:bottom w:val="single" w:sz="4" w:space="0" w:color="293F5B"/>
              <w:right w:val="nil"/>
            </w:tcBorders>
            <w:shd w:val="clear" w:color="000000" w:fill="FFFFFF"/>
            <w:noWrap/>
            <w:vAlign w:val="center"/>
            <w:hideMark/>
          </w:tcPr>
          <w:p w14:paraId="21733894" w14:textId="77777777" w:rsidR="008719E0" w:rsidRPr="00EC4BA6" w:rsidRDefault="008719E0" w:rsidP="008719E0">
            <w:pPr>
              <w:spacing w:before="0" w:after="0" w:line="240" w:lineRule="auto"/>
              <w:jc w:val="right"/>
              <w:rPr>
                <w:rFonts w:ascii="Arial" w:hAnsi="Arial" w:cs="Arial"/>
                <w:sz w:val="16"/>
                <w:szCs w:val="16"/>
              </w:rPr>
            </w:pPr>
            <w:r w:rsidRPr="00EC4BA6">
              <w:rPr>
                <w:rFonts w:ascii="Arial" w:hAnsi="Arial" w:cs="Arial"/>
                <w:sz w:val="16"/>
                <w:szCs w:val="16"/>
              </w:rPr>
              <w:t>$m</w:t>
            </w:r>
          </w:p>
        </w:tc>
      </w:tr>
      <w:tr w:rsidR="008719E0" w:rsidRPr="00EC4BA6" w14:paraId="337EF100" w14:textId="77777777" w:rsidTr="00E565C3">
        <w:trPr>
          <w:trHeight w:hRule="exact" w:val="225"/>
        </w:trPr>
        <w:tc>
          <w:tcPr>
            <w:tcW w:w="1945" w:type="pct"/>
            <w:tcBorders>
              <w:top w:val="nil"/>
              <w:left w:val="nil"/>
              <w:bottom w:val="nil"/>
              <w:right w:val="nil"/>
            </w:tcBorders>
            <w:shd w:val="clear" w:color="000000" w:fill="FFFFFF"/>
            <w:noWrap/>
            <w:vAlign w:val="center"/>
            <w:hideMark/>
          </w:tcPr>
          <w:p w14:paraId="414FC1AD" w14:textId="4A12F724" w:rsidR="008719E0" w:rsidRPr="00EC4BA6" w:rsidRDefault="008719E0" w:rsidP="008719E0">
            <w:pPr>
              <w:spacing w:before="0" w:after="0" w:line="240" w:lineRule="auto"/>
              <w:rPr>
                <w:rFonts w:ascii="Arial" w:hAnsi="Arial" w:cs="Arial"/>
                <w:b/>
                <w:sz w:val="16"/>
                <w:szCs w:val="16"/>
              </w:rPr>
            </w:pPr>
            <w:r w:rsidRPr="00EC4BA6">
              <w:rPr>
                <w:rFonts w:ascii="Arial" w:hAnsi="Arial" w:cs="Arial"/>
                <w:b/>
                <w:sz w:val="16"/>
                <w:szCs w:val="16"/>
              </w:rPr>
              <w:t xml:space="preserve">Revenue </w:t>
            </w:r>
            <w:proofErr w:type="gramStart"/>
            <w:r w:rsidRPr="00EC4BA6">
              <w:rPr>
                <w:rFonts w:ascii="Arial" w:hAnsi="Arial" w:cs="Arial"/>
                <w:b/>
                <w:sz w:val="16"/>
                <w:szCs w:val="16"/>
              </w:rPr>
              <w:t>at</w:t>
            </w:r>
            <w:proofErr w:type="gramEnd"/>
            <w:r w:rsidRPr="00EC4BA6">
              <w:rPr>
                <w:rFonts w:ascii="Arial" w:hAnsi="Arial" w:cs="Arial"/>
                <w:b/>
                <w:sz w:val="16"/>
                <w:szCs w:val="16"/>
              </w:rPr>
              <w:t xml:space="preserve"> 2024</w:t>
            </w:r>
            <w:r w:rsidR="001A3DD6">
              <w:rPr>
                <w:rFonts w:ascii="Arial" w:hAnsi="Arial" w:cs="Arial"/>
                <w:b/>
                <w:sz w:val="16"/>
                <w:szCs w:val="16"/>
              </w:rPr>
              <w:noBreakHyphen/>
            </w:r>
            <w:r w:rsidRPr="00EC4BA6">
              <w:rPr>
                <w:rFonts w:ascii="Arial" w:hAnsi="Arial" w:cs="Arial"/>
                <w:b/>
                <w:sz w:val="16"/>
                <w:szCs w:val="16"/>
              </w:rPr>
              <w:t>25 Budget</w:t>
            </w:r>
          </w:p>
        </w:tc>
        <w:tc>
          <w:tcPr>
            <w:tcW w:w="501" w:type="pct"/>
            <w:tcBorders>
              <w:top w:val="nil"/>
              <w:left w:val="nil"/>
              <w:bottom w:val="nil"/>
              <w:right w:val="nil"/>
            </w:tcBorders>
            <w:shd w:val="clear" w:color="000000" w:fill="FFFFFF"/>
            <w:noWrap/>
            <w:vAlign w:val="center"/>
            <w:hideMark/>
          </w:tcPr>
          <w:p w14:paraId="2BC5E76F" w14:textId="77777777" w:rsidR="008719E0" w:rsidRPr="00EC4BA6" w:rsidRDefault="008719E0" w:rsidP="008719E0">
            <w:pPr>
              <w:spacing w:before="0" w:after="0" w:line="240" w:lineRule="auto"/>
              <w:jc w:val="right"/>
              <w:rPr>
                <w:rFonts w:ascii="Arial" w:hAnsi="Arial" w:cs="Arial"/>
                <w:b/>
                <w:sz w:val="16"/>
                <w:szCs w:val="16"/>
              </w:rPr>
            </w:pPr>
            <w:r w:rsidRPr="00EC4BA6">
              <w:rPr>
                <w:rFonts w:ascii="Arial" w:hAnsi="Arial" w:cs="Arial"/>
                <w:b/>
                <w:sz w:val="16"/>
                <w:szCs w:val="16"/>
              </w:rPr>
              <w:t>711,505</w:t>
            </w:r>
          </w:p>
        </w:tc>
        <w:tc>
          <w:tcPr>
            <w:tcW w:w="501" w:type="pct"/>
            <w:tcBorders>
              <w:top w:val="nil"/>
              <w:left w:val="nil"/>
              <w:bottom w:val="nil"/>
              <w:right w:val="nil"/>
            </w:tcBorders>
            <w:shd w:val="clear" w:color="000000" w:fill="E6F2FF"/>
            <w:noWrap/>
            <w:vAlign w:val="center"/>
            <w:hideMark/>
          </w:tcPr>
          <w:p w14:paraId="624C6224" w14:textId="77777777" w:rsidR="008719E0" w:rsidRPr="00EC4BA6" w:rsidRDefault="008719E0" w:rsidP="008719E0">
            <w:pPr>
              <w:spacing w:before="0" w:after="0" w:line="240" w:lineRule="auto"/>
              <w:jc w:val="right"/>
              <w:rPr>
                <w:rFonts w:ascii="Arial" w:hAnsi="Arial" w:cs="Arial"/>
                <w:b/>
                <w:sz w:val="16"/>
                <w:szCs w:val="16"/>
              </w:rPr>
            </w:pPr>
            <w:r w:rsidRPr="00EC4BA6">
              <w:rPr>
                <w:rFonts w:ascii="Arial" w:hAnsi="Arial" w:cs="Arial"/>
                <w:b/>
                <w:sz w:val="16"/>
                <w:szCs w:val="16"/>
              </w:rPr>
              <w:t>732,740</w:t>
            </w:r>
          </w:p>
        </w:tc>
        <w:tc>
          <w:tcPr>
            <w:tcW w:w="501" w:type="pct"/>
            <w:tcBorders>
              <w:top w:val="nil"/>
              <w:left w:val="nil"/>
              <w:bottom w:val="nil"/>
              <w:right w:val="nil"/>
            </w:tcBorders>
            <w:shd w:val="clear" w:color="000000" w:fill="FFFFFF"/>
            <w:noWrap/>
            <w:vAlign w:val="center"/>
            <w:hideMark/>
          </w:tcPr>
          <w:p w14:paraId="275DF099" w14:textId="77777777" w:rsidR="008719E0" w:rsidRPr="00EC4BA6" w:rsidRDefault="008719E0" w:rsidP="008719E0">
            <w:pPr>
              <w:spacing w:before="0" w:after="0" w:line="240" w:lineRule="auto"/>
              <w:jc w:val="right"/>
              <w:rPr>
                <w:rFonts w:ascii="Arial" w:hAnsi="Arial" w:cs="Arial"/>
                <w:b/>
                <w:sz w:val="16"/>
                <w:szCs w:val="16"/>
              </w:rPr>
            </w:pPr>
            <w:r w:rsidRPr="00EC4BA6">
              <w:rPr>
                <w:rFonts w:ascii="Arial" w:hAnsi="Arial" w:cs="Arial"/>
                <w:b/>
                <w:sz w:val="16"/>
                <w:szCs w:val="16"/>
              </w:rPr>
              <w:t>776,239</w:t>
            </w:r>
          </w:p>
        </w:tc>
        <w:tc>
          <w:tcPr>
            <w:tcW w:w="501" w:type="pct"/>
            <w:tcBorders>
              <w:top w:val="nil"/>
              <w:left w:val="nil"/>
              <w:bottom w:val="nil"/>
              <w:right w:val="nil"/>
            </w:tcBorders>
            <w:shd w:val="clear" w:color="000000" w:fill="FFFFFF"/>
            <w:noWrap/>
            <w:vAlign w:val="center"/>
            <w:hideMark/>
          </w:tcPr>
          <w:p w14:paraId="59E3D82D" w14:textId="77777777" w:rsidR="008719E0" w:rsidRPr="00EC4BA6" w:rsidRDefault="008719E0" w:rsidP="008719E0">
            <w:pPr>
              <w:spacing w:before="0" w:after="0" w:line="240" w:lineRule="auto"/>
              <w:jc w:val="right"/>
              <w:rPr>
                <w:rFonts w:ascii="Arial" w:hAnsi="Arial" w:cs="Arial"/>
                <w:b/>
                <w:sz w:val="16"/>
                <w:szCs w:val="16"/>
              </w:rPr>
            </w:pPr>
            <w:r w:rsidRPr="00EC4BA6">
              <w:rPr>
                <w:rFonts w:ascii="Arial" w:hAnsi="Arial" w:cs="Arial"/>
                <w:b/>
                <w:sz w:val="16"/>
                <w:szCs w:val="16"/>
              </w:rPr>
              <w:t>819,628</w:t>
            </w:r>
          </w:p>
        </w:tc>
        <w:tc>
          <w:tcPr>
            <w:tcW w:w="501" w:type="pct"/>
            <w:tcBorders>
              <w:top w:val="nil"/>
              <w:left w:val="nil"/>
              <w:bottom w:val="nil"/>
              <w:right w:val="nil"/>
            </w:tcBorders>
            <w:shd w:val="clear" w:color="000000" w:fill="FFFFFF"/>
            <w:noWrap/>
            <w:vAlign w:val="center"/>
            <w:hideMark/>
          </w:tcPr>
          <w:p w14:paraId="14E911D7" w14:textId="77777777" w:rsidR="008719E0" w:rsidRPr="00EC4BA6" w:rsidRDefault="008719E0" w:rsidP="008719E0">
            <w:pPr>
              <w:spacing w:before="0" w:after="0" w:line="240" w:lineRule="auto"/>
              <w:jc w:val="right"/>
              <w:rPr>
                <w:rFonts w:ascii="Arial" w:hAnsi="Arial" w:cs="Arial"/>
                <w:b/>
                <w:sz w:val="16"/>
                <w:szCs w:val="16"/>
              </w:rPr>
            </w:pPr>
            <w:r w:rsidRPr="00EC4BA6">
              <w:rPr>
                <w:rFonts w:ascii="Arial" w:hAnsi="Arial" w:cs="Arial"/>
                <w:b/>
                <w:sz w:val="16"/>
                <w:szCs w:val="16"/>
              </w:rPr>
              <w:t>*</w:t>
            </w:r>
          </w:p>
        </w:tc>
        <w:tc>
          <w:tcPr>
            <w:tcW w:w="50" w:type="pct"/>
            <w:tcBorders>
              <w:top w:val="nil"/>
              <w:left w:val="nil"/>
              <w:bottom w:val="nil"/>
              <w:right w:val="nil"/>
            </w:tcBorders>
            <w:shd w:val="clear" w:color="000000" w:fill="FFFFFF"/>
            <w:noWrap/>
            <w:vAlign w:val="center"/>
            <w:hideMark/>
          </w:tcPr>
          <w:p w14:paraId="4C5E1044" w14:textId="77777777" w:rsidR="008719E0" w:rsidRPr="00EC4BA6" w:rsidRDefault="008719E0" w:rsidP="008719E0">
            <w:pPr>
              <w:spacing w:before="0" w:after="0" w:line="240" w:lineRule="auto"/>
              <w:jc w:val="right"/>
              <w:rPr>
                <w:rFonts w:ascii="Arial" w:hAnsi="Arial" w:cs="Arial"/>
                <w:b/>
                <w:sz w:val="16"/>
                <w:szCs w:val="16"/>
              </w:rPr>
            </w:pPr>
            <w:r w:rsidRPr="00EC4BA6">
              <w:rPr>
                <w:rFonts w:ascii="Arial" w:hAnsi="Arial" w:cs="Arial"/>
                <w:b/>
                <w:sz w:val="16"/>
                <w:szCs w:val="16"/>
              </w:rPr>
              <w:t> </w:t>
            </w:r>
          </w:p>
        </w:tc>
        <w:tc>
          <w:tcPr>
            <w:tcW w:w="501" w:type="pct"/>
            <w:tcBorders>
              <w:top w:val="nil"/>
              <w:left w:val="nil"/>
              <w:bottom w:val="nil"/>
              <w:right w:val="nil"/>
            </w:tcBorders>
            <w:shd w:val="clear" w:color="000000" w:fill="FFFFFF"/>
            <w:noWrap/>
            <w:vAlign w:val="center"/>
            <w:hideMark/>
          </w:tcPr>
          <w:p w14:paraId="4FA2CC28" w14:textId="77777777" w:rsidR="008719E0" w:rsidRPr="00EC4BA6" w:rsidRDefault="008719E0" w:rsidP="008719E0">
            <w:pPr>
              <w:spacing w:before="0" w:after="0" w:line="240" w:lineRule="auto"/>
              <w:jc w:val="right"/>
              <w:rPr>
                <w:rFonts w:ascii="Arial" w:hAnsi="Arial" w:cs="Arial"/>
                <w:b/>
                <w:sz w:val="16"/>
                <w:szCs w:val="16"/>
              </w:rPr>
            </w:pPr>
            <w:r w:rsidRPr="00EC4BA6">
              <w:rPr>
                <w:rFonts w:ascii="Arial" w:hAnsi="Arial" w:cs="Arial"/>
                <w:b/>
                <w:sz w:val="16"/>
                <w:szCs w:val="16"/>
              </w:rPr>
              <w:t>*</w:t>
            </w:r>
          </w:p>
        </w:tc>
      </w:tr>
      <w:tr w:rsidR="008719E0" w:rsidRPr="00EC4BA6" w14:paraId="54E61DD1" w14:textId="77777777" w:rsidTr="00E565C3">
        <w:trPr>
          <w:trHeight w:hRule="exact" w:val="60"/>
        </w:trPr>
        <w:tc>
          <w:tcPr>
            <w:tcW w:w="1945" w:type="pct"/>
            <w:tcBorders>
              <w:top w:val="nil"/>
              <w:left w:val="nil"/>
              <w:bottom w:val="nil"/>
              <w:right w:val="nil"/>
            </w:tcBorders>
            <w:shd w:val="clear" w:color="000000" w:fill="FFFFFF"/>
            <w:noWrap/>
            <w:vAlign w:val="center"/>
            <w:hideMark/>
          </w:tcPr>
          <w:p w14:paraId="27F05801" w14:textId="77777777" w:rsidR="008719E0" w:rsidRPr="00EC4BA6" w:rsidRDefault="008719E0" w:rsidP="008719E0">
            <w:pPr>
              <w:spacing w:before="0" w:after="0" w:line="240" w:lineRule="auto"/>
              <w:rPr>
                <w:rFonts w:ascii="Arial" w:hAnsi="Arial" w:cs="Arial"/>
                <w:b/>
                <w:sz w:val="16"/>
                <w:szCs w:val="16"/>
              </w:rPr>
            </w:pPr>
            <w:r w:rsidRPr="00EC4BA6">
              <w:rPr>
                <w:rFonts w:ascii="Arial" w:hAnsi="Arial" w:cs="Arial"/>
                <w:b/>
                <w:sz w:val="16"/>
                <w:szCs w:val="16"/>
              </w:rPr>
              <w:t> </w:t>
            </w:r>
          </w:p>
        </w:tc>
        <w:tc>
          <w:tcPr>
            <w:tcW w:w="501" w:type="pct"/>
            <w:tcBorders>
              <w:top w:val="nil"/>
              <w:left w:val="nil"/>
              <w:bottom w:val="nil"/>
              <w:right w:val="nil"/>
            </w:tcBorders>
            <w:shd w:val="clear" w:color="000000" w:fill="FFFFFF"/>
            <w:noWrap/>
            <w:vAlign w:val="center"/>
            <w:hideMark/>
          </w:tcPr>
          <w:p w14:paraId="4A6CF162" w14:textId="77777777" w:rsidR="008719E0" w:rsidRPr="00EC4BA6" w:rsidRDefault="008719E0" w:rsidP="008719E0">
            <w:pPr>
              <w:spacing w:before="0" w:after="0" w:line="240" w:lineRule="auto"/>
              <w:rPr>
                <w:rFonts w:ascii="Arial" w:hAnsi="Arial" w:cs="Arial"/>
                <w:sz w:val="16"/>
                <w:szCs w:val="16"/>
              </w:rPr>
            </w:pPr>
            <w:r w:rsidRPr="00EC4BA6">
              <w:rPr>
                <w:rFonts w:ascii="Arial" w:hAnsi="Arial" w:cs="Arial"/>
                <w:sz w:val="16"/>
                <w:szCs w:val="16"/>
              </w:rPr>
              <w:t> </w:t>
            </w:r>
          </w:p>
        </w:tc>
        <w:tc>
          <w:tcPr>
            <w:tcW w:w="501" w:type="pct"/>
            <w:tcBorders>
              <w:top w:val="nil"/>
              <w:left w:val="nil"/>
              <w:bottom w:val="nil"/>
              <w:right w:val="nil"/>
            </w:tcBorders>
            <w:shd w:val="clear" w:color="000000" w:fill="E6F2FF"/>
            <w:noWrap/>
            <w:vAlign w:val="center"/>
            <w:hideMark/>
          </w:tcPr>
          <w:p w14:paraId="50752055" w14:textId="77777777" w:rsidR="008719E0" w:rsidRPr="00EC4BA6" w:rsidRDefault="008719E0" w:rsidP="008719E0">
            <w:pPr>
              <w:spacing w:before="0" w:after="0" w:line="240" w:lineRule="auto"/>
              <w:rPr>
                <w:rFonts w:ascii="Arial" w:hAnsi="Arial" w:cs="Arial"/>
                <w:sz w:val="16"/>
                <w:szCs w:val="16"/>
              </w:rPr>
            </w:pPr>
            <w:r w:rsidRPr="00EC4BA6">
              <w:rPr>
                <w:rFonts w:ascii="Arial" w:hAnsi="Arial" w:cs="Arial"/>
                <w:sz w:val="16"/>
                <w:szCs w:val="16"/>
              </w:rPr>
              <w:t> </w:t>
            </w:r>
          </w:p>
        </w:tc>
        <w:tc>
          <w:tcPr>
            <w:tcW w:w="501" w:type="pct"/>
            <w:tcBorders>
              <w:top w:val="nil"/>
              <w:left w:val="nil"/>
              <w:bottom w:val="nil"/>
              <w:right w:val="nil"/>
            </w:tcBorders>
            <w:shd w:val="clear" w:color="000000" w:fill="FFFFFF"/>
            <w:noWrap/>
            <w:vAlign w:val="center"/>
            <w:hideMark/>
          </w:tcPr>
          <w:p w14:paraId="38662DA7" w14:textId="77777777" w:rsidR="008719E0" w:rsidRPr="00EC4BA6" w:rsidRDefault="008719E0" w:rsidP="008719E0">
            <w:pPr>
              <w:spacing w:before="0" w:after="0" w:line="240" w:lineRule="auto"/>
              <w:rPr>
                <w:rFonts w:ascii="Arial" w:hAnsi="Arial" w:cs="Arial"/>
                <w:sz w:val="16"/>
                <w:szCs w:val="16"/>
              </w:rPr>
            </w:pPr>
            <w:r w:rsidRPr="00EC4BA6">
              <w:rPr>
                <w:rFonts w:ascii="Arial" w:hAnsi="Arial" w:cs="Arial"/>
                <w:sz w:val="16"/>
                <w:szCs w:val="16"/>
              </w:rPr>
              <w:t> </w:t>
            </w:r>
          </w:p>
        </w:tc>
        <w:tc>
          <w:tcPr>
            <w:tcW w:w="501" w:type="pct"/>
            <w:tcBorders>
              <w:top w:val="nil"/>
              <w:left w:val="nil"/>
              <w:bottom w:val="nil"/>
              <w:right w:val="nil"/>
            </w:tcBorders>
            <w:shd w:val="clear" w:color="000000" w:fill="FFFFFF"/>
            <w:noWrap/>
            <w:vAlign w:val="center"/>
            <w:hideMark/>
          </w:tcPr>
          <w:p w14:paraId="42F2322A" w14:textId="77777777" w:rsidR="008719E0" w:rsidRPr="00EC4BA6" w:rsidRDefault="008719E0" w:rsidP="008719E0">
            <w:pPr>
              <w:spacing w:before="0" w:after="0" w:line="240" w:lineRule="auto"/>
              <w:rPr>
                <w:rFonts w:ascii="Arial" w:hAnsi="Arial" w:cs="Arial"/>
                <w:sz w:val="16"/>
                <w:szCs w:val="16"/>
              </w:rPr>
            </w:pPr>
            <w:r w:rsidRPr="00EC4BA6">
              <w:rPr>
                <w:rFonts w:ascii="Arial" w:hAnsi="Arial" w:cs="Arial"/>
                <w:sz w:val="16"/>
                <w:szCs w:val="16"/>
              </w:rPr>
              <w:t> </w:t>
            </w:r>
          </w:p>
        </w:tc>
        <w:tc>
          <w:tcPr>
            <w:tcW w:w="501" w:type="pct"/>
            <w:tcBorders>
              <w:top w:val="nil"/>
              <w:left w:val="nil"/>
              <w:bottom w:val="nil"/>
              <w:right w:val="nil"/>
            </w:tcBorders>
            <w:shd w:val="clear" w:color="000000" w:fill="FFFFFF"/>
            <w:noWrap/>
            <w:vAlign w:val="center"/>
            <w:hideMark/>
          </w:tcPr>
          <w:p w14:paraId="607B4E92" w14:textId="77777777" w:rsidR="008719E0" w:rsidRPr="00EC4BA6" w:rsidRDefault="008719E0" w:rsidP="008719E0">
            <w:pPr>
              <w:spacing w:before="0" w:after="0" w:line="240" w:lineRule="auto"/>
              <w:rPr>
                <w:rFonts w:ascii="Arial" w:hAnsi="Arial" w:cs="Arial"/>
                <w:sz w:val="16"/>
                <w:szCs w:val="16"/>
              </w:rPr>
            </w:pPr>
            <w:r w:rsidRPr="00EC4BA6">
              <w:rPr>
                <w:rFonts w:ascii="Arial" w:hAnsi="Arial" w:cs="Arial"/>
                <w:sz w:val="16"/>
                <w:szCs w:val="16"/>
              </w:rPr>
              <w:t> </w:t>
            </w:r>
          </w:p>
        </w:tc>
        <w:tc>
          <w:tcPr>
            <w:tcW w:w="50" w:type="pct"/>
            <w:tcBorders>
              <w:top w:val="nil"/>
              <w:left w:val="nil"/>
              <w:bottom w:val="nil"/>
              <w:right w:val="nil"/>
            </w:tcBorders>
            <w:shd w:val="clear" w:color="000000" w:fill="FFFFFF"/>
            <w:noWrap/>
            <w:vAlign w:val="center"/>
            <w:hideMark/>
          </w:tcPr>
          <w:p w14:paraId="758224A8" w14:textId="77777777" w:rsidR="008719E0" w:rsidRPr="00EC4BA6" w:rsidRDefault="008719E0" w:rsidP="008719E0">
            <w:pPr>
              <w:spacing w:before="0" w:after="0" w:line="240" w:lineRule="auto"/>
              <w:rPr>
                <w:rFonts w:ascii="Arial" w:hAnsi="Arial" w:cs="Arial"/>
                <w:sz w:val="16"/>
                <w:szCs w:val="16"/>
              </w:rPr>
            </w:pPr>
            <w:r w:rsidRPr="00EC4BA6">
              <w:rPr>
                <w:rFonts w:ascii="Arial" w:hAnsi="Arial" w:cs="Arial"/>
                <w:sz w:val="16"/>
                <w:szCs w:val="16"/>
              </w:rPr>
              <w:t> </w:t>
            </w:r>
          </w:p>
        </w:tc>
        <w:tc>
          <w:tcPr>
            <w:tcW w:w="501" w:type="pct"/>
            <w:tcBorders>
              <w:top w:val="nil"/>
              <w:left w:val="nil"/>
              <w:bottom w:val="nil"/>
              <w:right w:val="nil"/>
            </w:tcBorders>
            <w:shd w:val="clear" w:color="000000" w:fill="FFFFFF"/>
            <w:noWrap/>
            <w:vAlign w:val="center"/>
            <w:hideMark/>
          </w:tcPr>
          <w:p w14:paraId="1CC53745" w14:textId="77777777" w:rsidR="008719E0" w:rsidRPr="00EC4BA6" w:rsidRDefault="008719E0" w:rsidP="008719E0">
            <w:pPr>
              <w:spacing w:before="0" w:after="0" w:line="240" w:lineRule="auto"/>
              <w:rPr>
                <w:rFonts w:ascii="Arial" w:hAnsi="Arial" w:cs="Arial"/>
                <w:sz w:val="16"/>
                <w:szCs w:val="16"/>
              </w:rPr>
            </w:pPr>
            <w:r w:rsidRPr="00EC4BA6">
              <w:rPr>
                <w:rFonts w:ascii="Arial" w:hAnsi="Arial" w:cs="Arial"/>
                <w:sz w:val="16"/>
                <w:szCs w:val="16"/>
              </w:rPr>
              <w:t> </w:t>
            </w:r>
          </w:p>
        </w:tc>
      </w:tr>
      <w:tr w:rsidR="008719E0" w:rsidRPr="00EC4BA6" w14:paraId="76C232F2" w14:textId="77777777" w:rsidTr="00E565C3">
        <w:trPr>
          <w:trHeight w:hRule="exact" w:val="225"/>
        </w:trPr>
        <w:tc>
          <w:tcPr>
            <w:tcW w:w="1945" w:type="pct"/>
            <w:tcBorders>
              <w:top w:val="nil"/>
              <w:left w:val="nil"/>
              <w:bottom w:val="nil"/>
              <w:right w:val="nil"/>
            </w:tcBorders>
            <w:shd w:val="clear" w:color="000000" w:fill="FFFFFF"/>
            <w:noWrap/>
            <w:vAlign w:val="center"/>
            <w:hideMark/>
          </w:tcPr>
          <w:p w14:paraId="1B12CD45" w14:textId="17E7822F" w:rsidR="008719E0" w:rsidRPr="00EC4BA6" w:rsidRDefault="008719E0" w:rsidP="008719E0">
            <w:pPr>
              <w:spacing w:before="0" w:after="0" w:line="240" w:lineRule="auto"/>
              <w:rPr>
                <w:rFonts w:ascii="Arial" w:hAnsi="Arial" w:cs="Arial"/>
                <w:b/>
                <w:sz w:val="16"/>
                <w:szCs w:val="16"/>
              </w:rPr>
            </w:pPr>
            <w:r w:rsidRPr="00EC4BA6">
              <w:rPr>
                <w:rFonts w:ascii="Arial" w:hAnsi="Arial" w:cs="Arial"/>
                <w:b/>
                <w:sz w:val="16"/>
                <w:szCs w:val="16"/>
              </w:rPr>
              <w:t>Changes from 2024</w:t>
            </w:r>
            <w:r w:rsidR="001A3DD6">
              <w:rPr>
                <w:rFonts w:ascii="Arial" w:hAnsi="Arial" w:cs="Arial"/>
                <w:b/>
                <w:sz w:val="16"/>
                <w:szCs w:val="16"/>
              </w:rPr>
              <w:noBreakHyphen/>
            </w:r>
            <w:r w:rsidRPr="00EC4BA6">
              <w:rPr>
                <w:rFonts w:ascii="Arial" w:hAnsi="Arial" w:cs="Arial"/>
                <w:b/>
                <w:sz w:val="16"/>
                <w:szCs w:val="16"/>
              </w:rPr>
              <w:t xml:space="preserve">25 Budget to </w:t>
            </w:r>
          </w:p>
        </w:tc>
        <w:tc>
          <w:tcPr>
            <w:tcW w:w="501" w:type="pct"/>
            <w:tcBorders>
              <w:top w:val="nil"/>
              <w:left w:val="nil"/>
              <w:bottom w:val="nil"/>
              <w:right w:val="nil"/>
            </w:tcBorders>
            <w:shd w:val="clear" w:color="000000" w:fill="FFFFFF"/>
            <w:noWrap/>
            <w:vAlign w:val="center"/>
            <w:hideMark/>
          </w:tcPr>
          <w:p w14:paraId="3B598A96" w14:textId="77777777" w:rsidR="008719E0" w:rsidRPr="00EC4BA6" w:rsidRDefault="008719E0" w:rsidP="008719E0">
            <w:pPr>
              <w:spacing w:before="0" w:after="0" w:line="240" w:lineRule="auto"/>
              <w:rPr>
                <w:rFonts w:ascii="Arial" w:hAnsi="Arial" w:cs="Arial"/>
                <w:sz w:val="16"/>
                <w:szCs w:val="16"/>
              </w:rPr>
            </w:pPr>
            <w:r w:rsidRPr="00EC4BA6">
              <w:rPr>
                <w:rFonts w:ascii="Arial" w:hAnsi="Arial" w:cs="Arial"/>
                <w:sz w:val="16"/>
                <w:szCs w:val="16"/>
              </w:rPr>
              <w:t> </w:t>
            </w:r>
          </w:p>
        </w:tc>
        <w:tc>
          <w:tcPr>
            <w:tcW w:w="501" w:type="pct"/>
            <w:tcBorders>
              <w:top w:val="nil"/>
              <w:left w:val="nil"/>
              <w:bottom w:val="nil"/>
              <w:right w:val="nil"/>
            </w:tcBorders>
            <w:shd w:val="clear" w:color="000000" w:fill="E6F2FF"/>
            <w:noWrap/>
            <w:vAlign w:val="center"/>
            <w:hideMark/>
          </w:tcPr>
          <w:p w14:paraId="75267102" w14:textId="77777777" w:rsidR="008719E0" w:rsidRPr="00EC4BA6" w:rsidRDefault="008719E0" w:rsidP="008719E0">
            <w:pPr>
              <w:spacing w:before="0" w:after="0" w:line="240" w:lineRule="auto"/>
              <w:rPr>
                <w:rFonts w:ascii="Arial" w:hAnsi="Arial" w:cs="Arial"/>
                <w:sz w:val="16"/>
                <w:szCs w:val="16"/>
              </w:rPr>
            </w:pPr>
            <w:r w:rsidRPr="00EC4BA6">
              <w:rPr>
                <w:rFonts w:ascii="Arial" w:hAnsi="Arial" w:cs="Arial"/>
                <w:sz w:val="16"/>
                <w:szCs w:val="16"/>
              </w:rPr>
              <w:t> </w:t>
            </w:r>
          </w:p>
        </w:tc>
        <w:tc>
          <w:tcPr>
            <w:tcW w:w="501" w:type="pct"/>
            <w:tcBorders>
              <w:top w:val="nil"/>
              <w:left w:val="nil"/>
              <w:bottom w:val="nil"/>
              <w:right w:val="nil"/>
            </w:tcBorders>
            <w:shd w:val="clear" w:color="000000" w:fill="FFFFFF"/>
            <w:noWrap/>
            <w:vAlign w:val="center"/>
            <w:hideMark/>
          </w:tcPr>
          <w:p w14:paraId="5ECA55BB" w14:textId="77777777" w:rsidR="008719E0" w:rsidRPr="00EC4BA6" w:rsidRDefault="008719E0" w:rsidP="008719E0">
            <w:pPr>
              <w:spacing w:before="0" w:after="0" w:line="240" w:lineRule="auto"/>
              <w:rPr>
                <w:rFonts w:ascii="Arial" w:hAnsi="Arial" w:cs="Arial"/>
                <w:sz w:val="16"/>
                <w:szCs w:val="16"/>
              </w:rPr>
            </w:pPr>
            <w:r w:rsidRPr="00EC4BA6">
              <w:rPr>
                <w:rFonts w:ascii="Arial" w:hAnsi="Arial" w:cs="Arial"/>
                <w:sz w:val="16"/>
                <w:szCs w:val="16"/>
              </w:rPr>
              <w:t> </w:t>
            </w:r>
          </w:p>
        </w:tc>
        <w:tc>
          <w:tcPr>
            <w:tcW w:w="501" w:type="pct"/>
            <w:tcBorders>
              <w:top w:val="nil"/>
              <w:left w:val="nil"/>
              <w:bottom w:val="nil"/>
              <w:right w:val="nil"/>
            </w:tcBorders>
            <w:shd w:val="clear" w:color="000000" w:fill="FFFFFF"/>
            <w:noWrap/>
            <w:vAlign w:val="center"/>
            <w:hideMark/>
          </w:tcPr>
          <w:p w14:paraId="1347D874" w14:textId="77777777" w:rsidR="008719E0" w:rsidRPr="00EC4BA6" w:rsidRDefault="008719E0" w:rsidP="008719E0">
            <w:pPr>
              <w:spacing w:before="0" w:after="0" w:line="240" w:lineRule="auto"/>
              <w:rPr>
                <w:rFonts w:ascii="Arial" w:hAnsi="Arial" w:cs="Arial"/>
                <w:sz w:val="16"/>
                <w:szCs w:val="16"/>
              </w:rPr>
            </w:pPr>
            <w:r w:rsidRPr="00EC4BA6">
              <w:rPr>
                <w:rFonts w:ascii="Arial" w:hAnsi="Arial" w:cs="Arial"/>
                <w:sz w:val="16"/>
                <w:szCs w:val="16"/>
              </w:rPr>
              <w:t> </w:t>
            </w:r>
          </w:p>
        </w:tc>
        <w:tc>
          <w:tcPr>
            <w:tcW w:w="501" w:type="pct"/>
            <w:tcBorders>
              <w:top w:val="nil"/>
              <w:left w:val="nil"/>
              <w:bottom w:val="nil"/>
              <w:right w:val="nil"/>
            </w:tcBorders>
            <w:shd w:val="clear" w:color="000000" w:fill="FFFFFF"/>
            <w:noWrap/>
            <w:vAlign w:val="center"/>
            <w:hideMark/>
          </w:tcPr>
          <w:p w14:paraId="464794BC" w14:textId="77777777" w:rsidR="008719E0" w:rsidRPr="00EC4BA6" w:rsidRDefault="008719E0" w:rsidP="008719E0">
            <w:pPr>
              <w:spacing w:before="0" w:after="0" w:line="240" w:lineRule="auto"/>
              <w:rPr>
                <w:rFonts w:ascii="Arial" w:hAnsi="Arial" w:cs="Arial"/>
                <w:sz w:val="16"/>
                <w:szCs w:val="16"/>
              </w:rPr>
            </w:pPr>
            <w:r w:rsidRPr="00EC4BA6">
              <w:rPr>
                <w:rFonts w:ascii="Arial" w:hAnsi="Arial" w:cs="Arial"/>
                <w:sz w:val="16"/>
                <w:szCs w:val="16"/>
              </w:rPr>
              <w:t> </w:t>
            </w:r>
          </w:p>
        </w:tc>
        <w:tc>
          <w:tcPr>
            <w:tcW w:w="50" w:type="pct"/>
            <w:tcBorders>
              <w:top w:val="nil"/>
              <w:left w:val="nil"/>
              <w:bottom w:val="nil"/>
              <w:right w:val="nil"/>
            </w:tcBorders>
            <w:shd w:val="clear" w:color="000000" w:fill="FFFFFF"/>
            <w:noWrap/>
            <w:vAlign w:val="center"/>
            <w:hideMark/>
          </w:tcPr>
          <w:p w14:paraId="4321CBC9" w14:textId="77777777" w:rsidR="008719E0" w:rsidRPr="00EC4BA6" w:rsidRDefault="008719E0" w:rsidP="008719E0">
            <w:pPr>
              <w:spacing w:before="0" w:after="0" w:line="240" w:lineRule="auto"/>
              <w:rPr>
                <w:rFonts w:ascii="Arial" w:hAnsi="Arial" w:cs="Arial"/>
                <w:sz w:val="16"/>
                <w:szCs w:val="16"/>
              </w:rPr>
            </w:pPr>
            <w:r w:rsidRPr="00EC4BA6">
              <w:rPr>
                <w:rFonts w:ascii="Arial" w:hAnsi="Arial" w:cs="Arial"/>
                <w:sz w:val="16"/>
                <w:szCs w:val="16"/>
              </w:rPr>
              <w:t> </w:t>
            </w:r>
          </w:p>
        </w:tc>
        <w:tc>
          <w:tcPr>
            <w:tcW w:w="501" w:type="pct"/>
            <w:tcBorders>
              <w:top w:val="nil"/>
              <w:left w:val="nil"/>
              <w:bottom w:val="nil"/>
              <w:right w:val="nil"/>
            </w:tcBorders>
            <w:shd w:val="clear" w:color="000000" w:fill="FFFFFF"/>
            <w:noWrap/>
            <w:vAlign w:val="center"/>
            <w:hideMark/>
          </w:tcPr>
          <w:p w14:paraId="0293AF8C" w14:textId="77777777" w:rsidR="008719E0" w:rsidRPr="00EC4BA6" w:rsidRDefault="008719E0" w:rsidP="008719E0">
            <w:pPr>
              <w:spacing w:before="0" w:after="0" w:line="240" w:lineRule="auto"/>
              <w:rPr>
                <w:rFonts w:ascii="Arial" w:hAnsi="Arial" w:cs="Arial"/>
                <w:sz w:val="16"/>
                <w:szCs w:val="16"/>
              </w:rPr>
            </w:pPr>
            <w:r w:rsidRPr="00EC4BA6">
              <w:rPr>
                <w:rFonts w:ascii="Arial" w:hAnsi="Arial" w:cs="Arial"/>
                <w:sz w:val="16"/>
                <w:szCs w:val="16"/>
              </w:rPr>
              <w:t> </w:t>
            </w:r>
          </w:p>
        </w:tc>
      </w:tr>
      <w:tr w:rsidR="008719E0" w:rsidRPr="00EC4BA6" w14:paraId="60F7FCB4" w14:textId="77777777" w:rsidTr="00E565C3">
        <w:trPr>
          <w:trHeight w:hRule="exact" w:val="225"/>
        </w:trPr>
        <w:tc>
          <w:tcPr>
            <w:tcW w:w="1945" w:type="pct"/>
            <w:tcBorders>
              <w:top w:val="nil"/>
              <w:left w:val="nil"/>
              <w:bottom w:val="nil"/>
              <w:right w:val="nil"/>
            </w:tcBorders>
            <w:shd w:val="clear" w:color="000000" w:fill="FFFFFF"/>
            <w:noWrap/>
            <w:vAlign w:val="center"/>
            <w:hideMark/>
          </w:tcPr>
          <w:p w14:paraId="13296AC0" w14:textId="0FB3AEB4" w:rsidR="008719E0" w:rsidRPr="00EC4BA6" w:rsidRDefault="008719E0" w:rsidP="00E565C3">
            <w:pPr>
              <w:spacing w:before="0" w:after="0" w:line="240" w:lineRule="auto"/>
              <w:ind w:left="170"/>
              <w:rPr>
                <w:rFonts w:ascii="Arial" w:hAnsi="Arial" w:cs="Arial"/>
                <w:b/>
                <w:sz w:val="16"/>
                <w:szCs w:val="16"/>
              </w:rPr>
            </w:pPr>
            <w:r w:rsidRPr="00EC4BA6">
              <w:rPr>
                <w:rFonts w:ascii="Arial" w:hAnsi="Arial" w:cs="Arial"/>
                <w:b/>
                <w:sz w:val="16"/>
                <w:szCs w:val="16"/>
              </w:rPr>
              <w:t>2024</w:t>
            </w:r>
            <w:r w:rsidR="001A3DD6">
              <w:rPr>
                <w:rFonts w:ascii="Arial" w:hAnsi="Arial" w:cs="Arial"/>
                <w:b/>
                <w:sz w:val="16"/>
                <w:szCs w:val="16"/>
              </w:rPr>
              <w:noBreakHyphen/>
            </w:r>
            <w:r w:rsidRPr="00EC4BA6">
              <w:rPr>
                <w:rFonts w:ascii="Arial" w:hAnsi="Arial" w:cs="Arial"/>
                <w:b/>
                <w:sz w:val="16"/>
                <w:szCs w:val="16"/>
              </w:rPr>
              <w:t>25 MYEFO</w:t>
            </w:r>
          </w:p>
        </w:tc>
        <w:tc>
          <w:tcPr>
            <w:tcW w:w="501" w:type="pct"/>
            <w:tcBorders>
              <w:top w:val="nil"/>
              <w:left w:val="nil"/>
              <w:bottom w:val="nil"/>
              <w:right w:val="nil"/>
            </w:tcBorders>
            <w:shd w:val="clear" w:color="000000" w:fill="FFFFFF"/>
            <w:noWrap/>
            <w:vAlign w:val="center"/>
            <w:hideMark/>
          </w:tcPr>
          <w:p w14:paraId="36F10378" w14:textId="77777777" w:rsidR="008719E0" w:rsidRPr="00EC4BA6" w:rsidRDefault="008719E0" w:rsidP="008719E0">
            <w:pPr>
              <w:spacing w:before="0" w:after="0" w:line="240" w:lineRule="auto"/>
              <w:rPr>
                <w:rFonts w:ascii="Arial" w:hAnsi="Arial" w:cs="Arial"/>
                <w:i/>
                <w:sz w:val="16"/>
                <w:szCs w:val="16"/>
              </w:rPr>
            </w:pPr>
            <w:r w:rsidRPr="00EC4BA6">
              <w:rPr>
                <w:rFonts w:ascii="Arial" w:hAnsi="Arial" w:cs="Arial"/>
                <w:i/>
                <w:sz w:val="16"/>
                <w:szCs w:val="16"/>
              </w:rPr>
              <w:t> </w:t>
            </w:r>
          </w:p>
        </w:tc>
        <w:tc>
          <w:tcPr>
            <w:tcW w:w="501" w:type="pct"/>
            <w:tcBorders>
              <w:top w:val="nil"/>
              <w:left w:val="nil"/>
              <w:bottom w:val="nil"/>
              <w:right w:val="nil"/>
            </w:tcBorders>
            <w:shd w:val="clear" w:color="000000" w:fill="E6F2FF"/>
            <w:noWrap/>
            <w:vAlign w:val="center"/>
            <w:hideMark/>
          </w:tcPr>
          <w:p w14:paraId="571EE384" w14:textId="77777777" w:rsidR="008719E0" w:rsidRPr="00EC4BA6" w:rsidRDefault="008719E0" w:rsidP="008719E0">
            <w:pPr>
              <w:spacing w:before="0" w:after="0" w:line="240" w:lineRule="auto"/>
              <w:rPr>
                <w:rFonts w:ascii="Arial" w:hAnsi="Arial" w:cs="Arial"/>
                <w:i/>
                <w:sz w:val="16"/>
                <w:szCs w:val="16"/>
              </w:rPr>
            </w:pPr>
            <w:r w:rsidRPr="00EC4BA6">
              <w:rPr>
                <w:rFonts w:ascii="Arial" w:hAnsi="Arial" w:cs="Arial"/>
                <w:i/>
                <w:sz w:val="16"/>
                <w:szCs w:val="16"/>
              </w:rPr>
              <w:t> </w:t>
            </w:r>
          </w:p>
        </w:tc>
        <w:tc>
          <w:tcPr>
            <w:tcW w:w="501" w:type="pct"/>
            <w:tcBorders>
              <w:top w:val="nil"/>
              <w:left w:val="nil"/>
              <w:bottom w:val="nil"/>
              <w:right w:val="nil"/>
            </w:tcBorders>
            <w:shd w:val="clear" w:color="000000" w:fill="FFFFFF"/>
            <w:noWrap/>
            <w:vAlign w:val="center"/>
            <w:hideMark/>
          </w:tcPr>
          <w:p w14:paraId="570B1F62" w14:textId="77777777" w:rsidR="008719E0" w:rsidRPr="00EC4BA6" w:rsidRDefault="008719E0" w:rsidP="008719E0">
            <w:pPr>
              <w:spacing w:before="0" w:after="0" w:line="240" w:lineRule="auto"/>
              <w:rPr>
                <w:rFonts w:ascii="Arial" w:hAnsi="Arial" w:cs="Arial"/>
                <w:i/>
                <w:sz w:val="16"/>
                <w:szCs w:val="16"/>
              </w:rPr>
            </w:pPr>
            <w:r w:rsidRPr="00EC4BA6">
              <w:rPr>
                <w:rFonts w:ascii="Arial" w:hAnsi="Arial" w:cs="Arial"/>
                <w:i/>
                <w:sz w:val="16"/>
                <w:szCs w:val="16"/>
              </w:rPr>
              <w:t> </w:t>
            </w:r>
          </w:p>
        </w:tc>
        <w:tc>
          <w:tcPr>
            <w:tcW w:w="501" w:type="pct"/>
            <w:tcBorders>
              <w:top w:val="nil"/>
              <w:left w:val="nil"/>
              <w:bottom w:val="nil"/>
              <w:right w:val="nil"/>
            </w:tcBorders>
            <w:shd w:val="clear" w:color="000000" w:fill="FFFFFF"/>
            <w:noWrap/>
            <w:vAlign w:val="center"/>
            <w:hideMark/>
          </w:tcPr>
          <w:p w14:paraId="60BFEA09" w14:textId="77777777" w:rsidR="008719E0" w:rsidRPr="00EC4BA6" w:rsidRDefault="008719E0" w:rsidP="008719E0">
            <w:pPr>
              <w:spacing w:before="0" w:after="0" w:line="240" w:lineRule="auto"/>
              <w:rPr>
                <w:rFonts w:ascii="Arial" w:hAnsi="Arial" w:cs="Arial"/>
                <w:i/>
                <w:sz w:val="16"/>
                <w:szCs w:val="16"/>
              </w:rPr>
            </w:pPr>
            <w:r w:rsidRPr="00EC4BA6">
              <w:rPr>
                <w:rFonts w:ascii="Arial" w:hAnsi="Arial" w:cs="Arial"/>
                <w:i/>
                <w:sz w:val="16"/>
                <w:szCs w:val="16"/>
              </w:rPr>
              <w:t> </w:t>
            </w:r>
          </w:p>
        </w:tc>
        <w:tc>
          <w:tcPr>
            <w:tcW w:w="501" w:type="pct"/>
            <w:tcBorders>
              <w:top w:val="nil"/>
              <w:left w:val="nil"/>
              <w:bottom w:val="nil"/>
              <w:right w:val="nil"/>
            </w:tcBorders>
            <w:shd w:val="clear" w:color="000000" w:fill="FFFFFF"/>
            <w:noWrap/>
            <w:vAlign w:val="center"/>
            <w:hideMark/>
          </w:tcPr>
          <w:p w14:paraId="3D8249A4" w14:textId="77777777" w:rsidR="008719E0" w:rsidRPr="00EC4BA6" w:rsidRDefault="008719E0" w:rsidP="008719E0">
            <w:pPr>
              <w:spacing w:before="0" w:after="0" w:line="240" w:lineRule="auto"/>
              <w:rPr>
                <w:rFonts w:ascii="Arial" w:hAnsi="Arial" w:cs="Arial"/>
                <w:i/>
                <w:sz w:val="16"/>
                <w:szCs w:val="16"/>
              </w:rPr>
            </w:pPr>
            <w:r w:rsidRPr="00EC4BA6">
              <w:rPr>
                <w:rFonts w:ascii="Arial" w:hAnsi="Arial" w:cs="Arial"/>
                <w:i/>
                <w:sz w:val="16"/>
                <w:szCs w:val="16"/>
              </w:rPr>
              <w:t> </w:t>
            </w:r>
          </w:p>
        </w:tc>
        <w:tc>
          <w:tcPr>
            <w:tcW w:w="50" w:type="pct"/>
            <w:tcBorders>
              <w:top w:val="nil"/>
              <w:left w:val="nil"/>
              <w:bottom w:val="nil"/>
              <w:right w:val="nil"/>
            </w:tcBorders>
            <w:shd w:val="clear" w:color="000000" w:fill="FFFFFF"/>
            <w:noWrap/>
            <w:vAlign w:val="center"/>
            <w:hideMark/>
          </w:tcPr>
          <w:p w14:paraId="4A4FE168" w14:textId="77777777" w:rsidR="008719E0" w:rsidRPr="00EC4BA6" w:rsidRDefault="008719E0" w:rsidP="008719E0">
            <w:pPr>
              <w:spacing w:before="0" w:after="0" w:line="240" w:lineRule="auto"/>
              <w:rPr>
                <w:rFonts w:ascii="Arial" w:hAnsi="Arial" w:cs="Arial"/>
                <w:i/>
                <w:sz w:val="16"/>
                <w:szCs w:val="16"/>
              </w:rPr>
            </w:pPr>
            <w:r w:rsidRPr="00EC4BA6">
              <w:rPr>
                <w:rFonts w:ascii="Arial" w:hAnsi="Arial" w:cs="Arial"/>
                <w:i/>
                <w:sz w:val="16"/>
                <w:szCs w:val="16"/>
              </w:rPr>
              <w:t> </w:t>
            </w:r>
          </w:p>
        </w:tc>
        <w:tc>
          <w:tcPr>
            <w:tcW w:w="501" w:type="pct"/>
            <w:tcBorders>
              <w:top w:val="nil"/>
              <w:left w:val="nil"/>
              <w:bottom w:val="nil"/>
              <w:right w:val="nil"/>
            </w:tcBorders>
            <w:shd w:val="clear" w:color="000000" w:fill="FFFFFF"/>
            <w:noWrap/>
            <w:vAlign w:val="center"/>
            <w:hideMark/>
          </w:tcPr>
          <w:p w14:paraId="758741E6" w14:textId="77777777" w:rsidR="008719E0" w:rsidRPr="00EC4BA6" w:rsidRDefault="008719E0" w:rsidP="008719E0">
            <w:pPr>
              <w:spacing w:before="0" w:after="0" w:line="240" w:lineRule="auto"/>
              <w:rPr>
                <w:rFonts w:ascii="Arial" w:hAnsi="Arial" w:cs="Arial"/>
                <w:sz w:val="16"/>
                <w:szCs w:val="16"/>
              </w:rPr>
            </w:pPr>
            <w:r w:rsidRPr="00EC4BA6">
              <w:rPr>
                <w:rFonts w:ascii="Arial" w:hAnsi="Arial" w:cs="Arial"/>
                <w:sz w:val="16"/>
                <w:szCs w:val="16"/>
              </w:rPr>
              <w:t> </w:t>
            </w:r>
          </w:p>
        </w:tc>
      </w:tr>
      <w:tr w:rsidR="008719E0" w:rsidRPr="00EC4BA6" w14:paraId="271AC87D" w14:textId="77777777" w:rsidTr="00E565C3">
        <w:trPr>
          <w:trHeight w:hRule="exact" w:val="225"/>
        </w:trPr>
        <w:tc>
          <w:tcPr>
            <w:tcW w:w="1945" w:type="pct"/>
            <w:tcBorders>
              <w:top w:val="nil"/>
              <w:left w:val="nil"/>
              <w:bottom w:val="nil"/>
              <w:right w:val="nil"/>
            </w:tcBorders>
            <w:shd w:val="clear" w:color="000000" w:fill="FFFFFF"/>
            <w:noWrap/>
            <w:vAlign w:val="center"/>
            <w:hideMark/>
          </w:tcPr>
          <w:p w14:paraId="24A671D0" w14:textId="77777777" w:rsidR="008719E0" w:rsidRPr="00EC4BA6" w:rsidRDefault="008719E0" w:rsidP="008719E0">
            <w:pPr>
              <w:spacing w:before="0" w:after="0" w:line="240" w:lineRule="auto"/>
              <w:rPr>
                <w:rFonts w:ascii="Arial" w:hAnsi="Arial" w:cs="Arial"/>
                <w:sz w:val="16"/>
                <w:szCs w:val="16"/>
              </w:rPr>
            </w:pPr>
            <w:r w:rsidRPr="00EC4BA6">
              <w:rPr>
                <w:rFonts w:ascii="Arial" w:hAnsi="Arial" w:cs="Arial"/>
                <w:sz w:val="16"/>
                <w:szCs w:val="16"/>
              </w:rPr>
              <w:t>Effect of policy decisions(a)</w:t>
            </w:r>
          </w:p>
        </w:tc>
        <w:tc>
          <w:tcPr>
            <w:tcW w:w="501" w:type="pct"/>
            <w:tcBorders>
              <w:top w:val="nil"/>
              <w:left w:val="nil"/>
              <w:bottom w:val="nil"/>
              <w:right w:val="nil"/>
            </w:tcBorders>
            <w:shd w:val="clear" w:color="000000" w:fill="FFFFFF"/>
            <w:noWrap/>
            <w:vAlign w:val="center"/>
            <w:hideMark/>
          </w:tcPr>
          <w:p w14:paraId="20690C09" w14:textId="77777777" w:rsidR="008719E0" w:rsidRPr="00EC4BA6" w:rsidRDefault="008719E0" w:rsidP="008719E0">
            <w:pPr>
              <w:spacing w:before="0" w:after="0" w:line="240" w:lineRule="auto"/>
              <w:jc w:val="right"/>
              <w:rPr>
                <w:rFonts w:ascii="Arial" w:hAnsi="Arial" w:cs="Arial"/>
                <w:sz w:val="16"/>
                <w:szCs w:val="16"/>
              </w:rPr>
            </w:pPr>
            <w:r w:rsidRPr="00EC4BA6">
              <w:rPr>
                <w:rFonts w:ascii="Arial" w:hAnsi="Arial" w:cs="Arial"/>
                <w:sz w:val="16"/>
                <w:szCs w:val="16"/>
              </w:rPr>
              <w:t>118</w:t>
            </w:r>
          </w:p>
        </w:tc>
        <w:tc>
          <w:tcPr>
            <w:tcW w:w="501" w:type="pct"/>
            <w:tcBorders>
              <w:top w:val="nil"/>
              <w:left w:val="nil"/>
              <w:bottom w:val="nil"/>
              <w:right w:val="nil"/>
            </w:tcBorders>
            <w:shd w:val="clear" w:color="000000" w:fill="E6F2FF"/>
            <w:noWrap/>
            <w:vAlign w:val="center"/>
            <w:hideMark/>
          </w:tcPr>
          <w:p w14:paraId="78FF7614" w14:textId="77777777" w:rsidR="008719E0" w:rsidRPr="00EC4BA6" w:rsidRDefault="008719E0" w:rsidP="008719E0">
            <w:pPr>
              <w:spacing w:before="0" w:after="0" w:line="240" w:lineRule="auto"/>
              <w:jc w:val="right"/>
              <w:rPr>
                <w:rFonts w:ascii="Arial" w:hAnsi="Arial" w:cs="Arial"/>
                <w:sz w:val="16"/>
                <w:szCs w:val="16"/>
              </w:rPr>
            </w:pPr>
            <w:r w:rsidRPr="00EC4BA6">
              <w:rPr>
                <w:rFonts w:ascii="Arial" w:hAnsi="Arial" w:cs="Arial"/>
                <w:sz w:val="16"/>
                <w:szCs w:val="16"/>
              </w:rPr>
              <w:t>225</w:t>
            </w:r>
          </w:p>
        </w:tc>
        <w:tc>
          <w:tcPr>
            <w:tcW w:w="501" w:type="pct"/>
            <w:tcBorders>
              <w:top w:val="nil"/>
              <w:left w:val="nil"/>
              <w:bottom w:val="nil"/>
              <w:right w:val="nil"/>
            </w:tcBorders>
            <w:shd w:val="clear" w:color="000000" w:fill="FFFFFF"/>
            <w:noWrap/>
            <w:vAlign w:val="center"/>
            <w:hideMark/>
          </w:tcPr>
          <w:p w14:paraId="7B61E209" w14:textId="77777777" w:rsidR="008719E0" w:rsidRPr="00EC4BA6" w:rsidRDefault="008719E0" w:rsidP="008719E0">
            <w:pPr>
              <w:spacing w:before="0" w:after="0" w:line="240" w:lineRule="auto"/>
              <w:jc w:val="right"/>
              <w:rPr>
                <w:rFonts w:ascii="Arial" w:hAnsi="Arial" w:cs="Arial"/>
                <w:sz w:val="16"/>
                <w:szCs w:val="16"/>
              </w:rPr>
            </w:pPr>
            <w:r w:rsidRPr="00EC4BA6">
              <w:rPr>
                <w:rFonts w:ascii="Arial" w:hAnsi="Arial" w:cs="Arial"/>
                <w:sz w:val="16"/>
                <w:szCs w:val="16"/>
              </w:rPr>
              <w:t>429</w:t>
            </w:r>
          </w:p>
        </w:tc>
        <w:tc>
          <w:tcPr>
            <w:tcW w:w="501" w:type="pct"/>
            <w:tcBorders>
              <w:top w:val="nil"/>
              <w:left w:val="nil"/>
              <w:bottom w:val="nil"/>
              <w:right w:val="nil"/>
            </w:tcBorders>
            <w:shd w:val="clear" w:color="000000" w:fill="FFFFFF"/>
            <w:noWrap/>
            <w:vAlign w:val="center"/>
            <w:hideMark/>
          </w:tcPr>
          <w:p w14:paraId="75296E60" w14:textId="77777777" w:rsidR="008719E0" w:rsidRPr="00EC4BA6" w:rsidRDefault="008719E0" w:rsidP="008719E0">
            <w:pPr>
              <w:spacing w:before="0" w:after="0" w:line="240" w:lineRule="auto"/>
              <w:jc w:val="right"/>
              <w:rPr>
                <w:rFonts w:ascii="Arial" w:hAnsi="Arial" w:cs="Arial"/>
                <w:sz w:val="16"/>
                <w:szCs w:val="16"/>
              </w:rPr>
            </w:pPr>
            <w:r w:rsidRPr="00EC4BA6">
              <w:rPr>
                <w:rFonts w:ascii="Arial" w:hAnsi="Arial" w:cs="Arial"/>
                <w:sz w:val="16"/>
                <w:szCs w:val="16"/>
              </w:rPr>
              <w:t>405</w:t>
            </w:r>
          </w:p>
        </w:tc>
        <w:tc>
          <w:tcPr>
            <w:tcW w:w="501" w:type="pct"/>
            <w:tcBorders>
              <w:top w:val="nil"/>
              <w:left w:val="nil"/>
              <w:bottom w:val="nil"/>
              <w:right w:val="nil"/>
            </w:tcBorders>
            <w:shd w:val="clear" w:color="000000" w:fill="FFFFFF"/>
            <w:noWrap/>
            <w:vAlign w:val="center"/>
            <w:hideMark/>
          </w:tcPr>
          <w:p w14:paraId="517C437F" w14:textId="77777777" w:rsidR="008719E0" w:rsidRPr="00EC4BA6" w:rsidRDefault="008719E0" w:rsidP="008719E0">
            <w:pPr>
              <w:spacing w:before="0" w:after="0" w:line="240" w:lineRule="auto"/>
              <w:jc w:val="right"/>
              <w:rPr>
                <w:rFonts w:ascii="Arial" w:hAnsi="Arial" w:cs="Arial"/>
                <w:sz w:val="16"/>
                <w:szCs w:val="16"/>
              </w:rPr>
            </w:pPr>
            <w:r w:rsidRPr="00EC4BA6">
              <w:rPr>
                <w:rFonts w:ascii="Arial" w:hAnsi="Arial" w:cs="Arial"/>
                <w:sz w:val="16"/>
                <w:szCs w:val="16"/>
              </w:rPr>
              <w:t>*</w:t>
            </w:r>
          </w:p>
        </w:tc>
        <w:tc>
          <w:tcPr>
            <w:tcW w:w="50" w:type="pct"/>
            <w:tcBorders>
              <w:top w:val="nil"/>
              <w:left w:val="nil"/>
              <w:bottom w:val="nil"/>
              <w:right w:val="nil"/>
            </w:tcBorders>
            <w:shd w:val="clear" w:color="000000" w:fill="FFFFFF"/>
            <w:noWrap/>
            <w:vAlign w:val="center"/>
            <w:hideMark/>
          </w:tcPr>
          <w:p w14:paraId="27364B43" w14:textId="77777777" w:rsidR="008719E0" w:rsidRPr="00EC4BA6" w:rsidRDefault="008719E0" w:rsidP="008719E0">
            <w:pPr>
              <w:spacing w:before="0" w:after="0" w:line="240" w:lineRule="auto"/>
              <w:jc w:val="right"/>
              <w:rPr>
                <w:rFonts w:ascii="Arial" w:hAnsi="Arial" w:cs="Arial"/>
                <w:sz w:val="16"/>
                <w:szCs w:val="16"/>
              </w:rPr>
            </w:pPr>
            <w:r w:rsidRPr="00EC4BA6">
              <w:rPr>
                <w:rFonts w:ascii="Arial" w:hAnsi="Arial" w:cs="Arial"/>
                <w:sz w:val="16"/>
                <w:szCs w:val="16"/>
              </w:rPr>
              <w:t> </w:t>
            </w:r>
          </w:p>
        </w:tc>
        <w:tc>
          <w:tcPr>
            <w:tcW w:w="501" w:type="pct"/>
            <w:tcBorders>
              <w:top w:val="nil"/>
              <w:left w:val="nil"/>
              <w:bottom w:val="nil"/>
              <w:right w:val="nil"/>
            </w:tcBorders>
            <w:shd w:val="clear" w:color="000000" w:fill="FFFFFF"/>
            <w:noWrap/>
            <w:vAlign w:val="center"/>
            <w:hideMark/>
          </w:tcPr>
          <w:p w14:paraId="68F200EF" w14:textId="77777777" w:rsidR="008719E0" w:rsidRPr="00EC4BA6" w:rsidRDefault="008719E0" w:rsidP="008719E0">
            <w:pPr>
              <w:spacing w:before="0" w:after="0" w:line="240" w:lineRule="auto"/>
              <w:jc w:val="right"/>
              <w:rPr>
                <w:rFonts w:ascii="Arial" w:hAnsi="Arial" w:cs="Arial"/>
                <w:sz w:val="16"/>
                <w:szCs w:val="16"/>
              </w:rPr>
            </w:pPr>
            <w:r w:rsidRPr="00EC4BA6">
              <w:rPr>
                <w:rFonts w:ascii="Arial" w:hAnsi="Arial" w:cs="Arial"/>
                <w:sz w:val="16"/>
                <w:szCs w:val="16"/>
              </w:rPr>
              <w:t>*</w:t>
            </w:r>
          </w:p>
        </w:tc>
      </w:tr>
      <w:tr w:rsidR="008719E0" w:rsidRPr="00EC4BA6" w14:paraId="09FE7EE7" w14:textId="77777777" w:rsidTr="00E565C3">
        <w:trPr>
          <w:trHeight w:hRule="exact" w:val="225"/>
        </w:trPr>
        <w:tc>
          <w:tcPr>
            <w:tcW w:w="1945" w:type="pct"/>
            <w:tcBorders>
              <w:top w:val="nil"/>
              <w:left w:val="nil"/>
              <w:bottom w:val="nil"/>
              <w:right w:val="nil"/>
            </w:tcBorders>
            <w:shd w:val="clear" w:color="000000" w:fill="FFFFFF"/>
            <w:noWrap/>
            <w:vAlign w:val="center"/>
            <w:hideMark/>
          </w:tcPr>
          <w:p w14:paraId="498A19F5" w14:textId="77777777" w:rsidR="008719E0" w:rsidRPr="00EC4BA6" w:rsidRDefault="008719E0" w:rsidP="008719E0">
            <w:pPr>
              <w:spacing w:before="0" w:after="0" w:line="240" w:lineRule="auto"/>
              <w:rPr>
                <w:rFonts w:ascii="Arial" w:hAnsi="Arial" w:cs="Arial"/>
                <w:sz w:val="16"/>
                <w:szCs w:val="16"/>
              </w:rPr>
            </w:pPr>
            <w:r w:rsidRPr="00EC4BA6">
              <w:rPr>
                <w:rFonts w:ascii="Arial" w:hAnsi="Arial" w:cs="Arial"/>
                <w:sz w:val="16"/>
                <w:szCs w:val="16"/>
              </w:rPr>
              <w:t>Effect of parameter and other variations</w:t>
            </w:r>
          </w:p>
        </w:tc>
        <w:tc>
          <w:tcPr>
            <w:tcW w:w="501" w:type="pct"/>
            <w:tcBorders>
              <w:top w:val="nil"/>
              <w:left w:val="nil"/>
              <w:bottom w:val="single" w:sz="4" w:space="0" w:color="293F5B"/>
              <w:right w:val="nil"/>
            </w:tcBorders>
            <w:shd w:val="clear" w:color="000000" w:fill="FFFFFF"/>
            <w:noWrap/>
            <w:vAlign w:val="center"/>
            <w:hideMark/>
          </w:tcPr>
          <w:p w14:paraId="5212AED5" w14:textId="77777777" w:rsidR="008719E0" w:rsidRPr="00EC4BA6" w:rsidRDefault="008719E0" w:rsidP="008719E0">
            <w:pPr>
              <w:spacing w:before="0" w:after="0" w:line="240" w:lineRule="auto"/>
              <w:jc w:val="right"/>
              <w:rPr>
                <w:rFonts w:ascii="Arial" w:hAnsi="Arial" w:cs="Arial"/>
                <w:sz w:val="16"/>
                <w:szCs w:val="16"/>
              </w:rPr>
            </w:pPr>
            <w:r w:rsidRPr="00EC4BA6">
              <w:rPr>
                <w:rFonts w:ascii="Arial" w:hAnsi="Arial" w:cs="Arial"/>
                <w:sz w:val="16"/>
                <w:szCs w:val="16"/>
              </w:rPr>
              <w:t>6,631</w:t>
            </w:r>
          </w:p>
        </w:tc>
        <w:tc>
          <w:tcPr>
            <w:tcW w:w="501" w:type="pct"/>
            <w:tcBorders>
              <w:top w:val="nil"/>
              <w:left w:val="nil"/>
              <w:bottom w:val="single" w:sz="4" w:space="0" w:color="293F5B"/>
              <w:right w:val="nil"/>
            </w:tcBorders>
            <w:shd w:val="clear" w:color="000000" w:fill="E6F2FF"/>
            <w:noWrap/>
            <w:vAlign w:val="center"/>
            <w:hideMark/>
          </w:tcPr>
          <w:p w14:paraId="31CA119F" w14:textId="77777777" w:rsidR="008719E0" w:rsidRPr="00EC4BA6" w:rsidRDefault="008719E0" w:rsidP="008719E0">
            <w:pPr>
              <w:spacing w:before="0" w:after="0" w:line="240" w:lineRule="auto"/>
              <w:jc w:val="right"/>
              <w:rPr>
                <w:rFonts w:ascii="Arial" w:hAnsi="Arial" w:cs="Arial"/>
                <w:sz w:val="16"/>
                <w:szCs w:val="16"/>
              </w:rPr>
            </w:pPr>
            <w:r w:rsidRPr="00EC4BA6">
              <w:rPr>
                <w:rFonts w:ascii="Arial" w:hAnsi="Arial" w:cs="Arial"/>
                <w:sz w:val="16"/>
                <w:szCs w:val="16"/>
              </w:rPr>
              <w:t>10,245</w:t>
            </w:r>
          </w:p>
        </w:tc>
        <w:tc>
          <w:tcPr>
            <w:tcW w:w="501" w:type="pct"/>
            <w:tcBorders>
              <w:top w:val="nil"/>
              <w:left w:val="nil"/>
              <w:bottom w:val="single" w:sz="4" w:space="0" w:color="293F5B"/>
              <w:right w:val="nil"/>
            </w:tcBorders>
            <w:shd w:val="clear" w:color="000000" w:fill="FFFFFF"/>
            <w:noWrap/>
            <w:vAlign w:val="center"/>
            <w:hideMark/>
          </w:tcPr>
          <w:p w14:paraId="3012DE59" w14:textId="77777777" w:rsidR="008719E0" w:rsidRPr="00EC4BA6" w:rsidRDefault="008719E0" w:rsidP="008719E0">
            <w:pPr>
              <w:spacing w:before="0" w:after="0" w:line="240" w:lineRule="auto"/>
              <w:jc w:val="right"/>
              <w:rPr>
                <w:rFonts w:ascii="Arial" w:hAnsi="Arial" w:cs="Arial"/>
                <w:sz w:val="16"/>
                <w:szCs w:val="16"/>
              </w:rPr>
            </w:pPr>
            <w:r w:rsidRPr="00EC4BA6">
              <w:rPr>
                <w:rFonts w:ascii="Arial" w:hAnsi="Arial" w:cs="Arial"/>
                <w:sz w:val="16"/>
                <w:szCs w:val="16"/>
              </w:rPr>
              <w:t>4,361</w:t>
            </w:r>
          </w:p>
        </w:tc>
        <w:tc>
          <w:tcPr>
            <w:tcW w:w="501" w:type="pct"/>
            <w:tcBorders>
              <w:top w:val="nil"/>
              <w:left w:val="nil"/>
              <w:bottom w:val="single" w:sz="4" w:space="0" w:color="293F5B"/>
              <w:right w:val="nil"/>
            </w:tcBorders>
            <w:shd w:val="clear" w:color="000000" w:fill="FFFFFF"/>
            <w:noWrap/>
            <w:vAlign w:val="center"/>
            <w:hideMark/>
          </w:tcPr>
          <w:p w14:paraId="5EE8D126" w14:textId="77777777" w:rsidR="008719E0" w:rsidRPr="00EC4BA6" w:rsidRDefault="008719E0" w:rsidP="008719E0">
            <w:pPr>
              <w:spacing w:before="0" w:after="0" w:line="240" w:lineRule="auto"/>
              <w:jc w:val="right"/>
              <w:rPr>
                <w:rFonts w:ascii="Arial" w:hAnsi="Arial" w:cs="Arial"/>
                <w:sz w:val="16"/>
                <w:szCs w:val="16"/>
              </w:rPr>
            </w:pPr>
            <w:r w:rsidRPr="00EC4BA6">
              <w:rPr>
                <w:rFonts w:ascii="Arial" w:hAnsi="Arial" w:cs="Arial"/>
                <w:sz w:val="16"/>
                <w:szCs w:val="16"/>
              </w:rPr>
              <w:t>2,406</w:t>
            </w:r>
          </w:p>
        </w:tc>
        <w:tc>
          <w:tcPr>
            <w:tcW w:w="501" w:type="pct"/>
            <w:tcBorders>
              <w:top w:val="nil"/>
              <w:left w:val="nil"/>
              <w:bottom w:val="single" w:sz="4" w:space="0" w:color="293F5B"/>
              <w:right w:val="nil"/>
            </w:tcBorders>
            <w:shd w:val="clear" w:color="000000" w:fill="FFFFFF"/>
            <w:noWrap/>
            <w:vAlign w:val="center"/>
            <w:hideMark/>
          </w:tcPr>
          <w:p w14:paraId="24AC9053" w14:textId="77777777" w:rsidR="008719E0" w:rsidRPr="00EC4BA6" w:rsidRDefault="008719E0" w:rsidP="008719E0">
            <w:pPr>
              <w:spacing w:before="0" w:after="0" w:line="240" w:lineRule="auto"/>
              <w:jc w:val="right"/>
              <w:rPr>
                <w:rFonts w:ascii="Arial" w:hAnsi="Arial" w:cs="Arial"/>
                <w:sz w:val="16"/>
                <w:szCs w:val="16"/>
              </w:rPr>
            </w:pPr>
            <w:r w:rsidRPr="00EC4BA6">
              <w:rPr>
                <w:rFonts w:ascii="Arial" w:hAnsi="Arial" w:cs="Arial"/>
                <w:sz w:val="16"/>
                <w:szCs w:val="16"/>
              </w:rPr>
              <w:t>*</w:t>
            </w:r>
          </w:p>
        </w:tc>
        <w:tc>
          <w:tcPr>
            <w:tcW w:w="50" w:type="pct"/>
            <w:tcBorders>
              <w:top w:val="nil"/>
              <w:left w:val="nil"/>
              <w:bottom w:val="nil"/>
              <w:right w:val="nil"/>
            </w:tcBorders>
            <w:shd w:val="clear" w:color="000000" w:fill="FFFFFF"/>
            <w:noWrap/>
            <w:vAlign w:val="center"/>
            <w:hideMark/>
          </w:tcPr>
          <w:p w14:paraId="0B297AC0" w14:textId="77777777" w:rsidR="008719E0" w:rsidRPr="00EC4BA6" w:rsidRDefault="008719E0" w:rsidP="008719E0">
            <w:pPr>
              <w:spacing w:before="0" w:after="0" w:line="240" w:lineRule="auto"/>
              <w:jc w:val="right"/>
              <w:rPr>
                <w:rFonts w:ascii="Arial" w:hAnsi="Arial" w:cs="Arial"/>
                <w:sz w:val="16"/>
                <w:szCs w:val="16"/>
              </w:rPr>
            </w:pPr>
            <w:r w:rsidRPr="00EC4BA6">
              <w:rPr>
                <w:rFonts w:ascii="Arial" w:hAnsi="Arial" w:cs="Arial"/>
                <w:sz w:val="16"/>
                <w:szCs w:val="16"/>
              </w:rPr>
              <w:t> </w:t>
            </w:r>
          </w:p>
        </w:tc>
        <w:tc>
          <w:tcPr>
            <w:tcW w:w="501" w:type="pct"/>
            <w:tcBorders>
              <w:top w:val="nil"/>
              <w:left w:val="nil"/>
              <w:bottom w:val="nil"/>
              <w:right w:val="nil"/>
            </w:tcBorders>
            <w:shd w:val="clear" w:color="000000" w:fill="FFFFFF"/>
            <w:noWrap/>
            <w:vAlign w:val="center"/>
            <w:hideMark/>
          </w:tcPr>
          <w:p w14:paraId="5156CCE0" w14:textId="77777777" w:rsidR="008719E0" w:rsidRPr="00EC4BA6" w:rsidRDefault="008719E0" w:rsidP="008719E0">
            <w:pPr>
              <w:spacing w:before="0" w:after="0" w:line="240" w:lineRule="auto"/>
              <w:jc w:val="right"/>
              <w:rPr>
                <w:rFonts w:ascii="Arial" w:hAnsi="Arial" w:cs="Arial"/>
                <w:sz w:val="16"/>
                <w:szCs w:val="16"/>
              </w:rPr>
            </w:pPr>
            <w:r w:rsidRPr="00EC4BA6">
              <w:rPr>
                <w:rFonts w:ascii="Arial" w:hAnsi="Arial" w:cs="Arial"/>
                <w:sz w:val="16"/>
                <w:szCs w:val="16"/>
              </w:rPr>
              <w:t>*</w:t>
            </w:r>
          </w:p>
        </w:tc>
      </w:tr>
      <w:tr w:rsidR="008719E0" w:rsidRPr="00EC4BA6" w14:paraId="1E4AA9F7" w14:textId="77777777" w:rsidTr="00E565C3">
        <w:trPr>
          <w:trHeight w:hRule="exact" w:val="225"/>
        </w:trPr>
        <w:tc>
          <w:tcPr>
            <w:tcW w:w="1945" w:type="pct"/>
            <w:tcBorders>
              <w:top w:val="nil"/>
              <w:left w:val="nil"/>
              <w:bottom w:val="nil"/>
              <w:right w:val="nil"/>
            </w:tcBorders>
            <w:shd w:val="clear" w:color="000000" w:fill="FFFFFF"/>
            <w:noWrap/>
            <w:vAlign w:val="center"/>
            <w:hideMark/>
          </w:tcPr>
          <w:p w14:paraId="03570903" w14:textId="77777777" w:rsidR="008719E0" w:rsidRPr="00EC4BA6" w:rsidRDefault="008719E0" w:rsidP="008719E0">
            <w:pPr>
              <w:spacing w:before="0" w:after="0" w:line="240" w:lineRule="auto"/>
              <w:rPr>
                <w:rFonts w:ascii="Arial" w:hAnsi="Arial" w:cs="Arial"/>
                <w:b/>
                <w:sz w:val="16"/>
                <w:szCs w:val="16"/>
              </w:rPr>
            </w:pPr>
            <w:r w:rsidRPr="00EC4BA6">
              <w:rPr>
                <w:rFonts w:ascii="Arial" w:hAnsi="Arial" w:cs="Arial"/>
                <w:b/>
                <w:sz w:val="16"/>
                <w:szCs w:val="16"/>
              </w:rPr>
              <w:t>Total variations</w:t>
            </w:r>
          </w:p>
        </w:tc>
        <w:tc>
          <w:tcPr>
            <w:tcW w:w="501" w:type="pct"/>
            <w:tcBorders>
              <w:top w:val="nil"/>
              <w:left w:val="nil"/>
              <w:bottom w:val="single" w:sz="4" w:space="0" w:color="000000"/>
              <w:right w:val="nil"/>
            </w:tcBorders>
            <w:shd w:val="clear" w:color="000000" w:fill="FFFFFF"/>
            <w:noWrap/>
            <w:vAlign w:val="center"/>
            <w:hideMark/>
          </w:tcPr>
          <w:p w14:paraId="3D016832" w14:textId="77777777" w:rsidR="008719E0" w:rsidRPr="00EC4BA6" w:rsidRDefault="008719E0" w:rsidP="008719E0">
            <w:pPr>
              <w:spacing w:before="0" w:after="0" w:line="240" w:lineRule="auto"/>
              <w:jc w:val="right"/>
              <w:rPr>
                <w:rFonts w:ascii="Arial" w:hAnsi="Arial" w:cs="Arial"/>
                <w:b/>
                <w:sz w:val="16"/>
                <w:szCs w:val="16"/>
              </w:rPr>
            </w:pPr>
            <w:r w:rsidRPr="00EC4BA6">
              <w:rPr>
                <w:rFonts w:ascii="Arial" w:hAnsi="Arial" w:cs="Arial"/>
                <w:b/>
                <w:sz w:val="16"/>
                <w:szCs w:val="16"/>
              </w:rPr>
              <w:t>6,749</w:t>
            </w:r>
          </w:p>
        </w:tc>
        <w:tc>
          <w:tcPr>
            <w:tcW w:w="501" w:type="pct"/>
            <w:tcBorders>
              <w:top w:val="nil"/>
              <w:left w:val="nil"/>
              <w:bottom w:val="single" w:sz="4" w:space="0" w:color="000000"/>
              <w:right w:val="nil"/>
            </w:tcBorders>
            <w:shd w:val="clear" w:color="000000" w:fill="E6F2FF"/>
            <w:noWrap/>
            <w:vAlign w:val="center"/>
            <w:hideMark/>
          </w:tcPr>
          <w:p w14:paraId="7A07112A" w14:textId="77777777" w:rsidR="008719E0" w:rsidRPr="00EC4BA6" w:rsidRDefault="008719E0" w:rsidP="008719E0">
            <w:pPr>
              <w:spacing w:before="0" w:after="0" w:line="240" w:lineRule="auto"/>
              <w:jc w:val="right"/>
              <w:rPr>
                <w:rFonts w:ascii="Arial" w:hAnsi="Arial" w:cs="Arial"/>
                <w:b/>
                <w:sz w:val="16"/>
                <w:szCs w:val="16"/>
              </w:rPr>
            </w:pPr>
            <w:r w:rsidRPr="00EC4BA6">
              <w:rPr>
                <w:rFonts w:ascii="Arial" w:hAnsi="Arial" w:cs="Arial"/>
                <w:b/>
                <w:sz w:val="16"/>
                <w:szCs w:val="16"/>
              </w:rPr>
              <w:t>10,470</w:t>
            </w:r>
          </w:p>
        </w:tc>
        <w:tc>
          <w:tcPr>
            <w:tcW w:w="501" w:type="pct"/>
            <w:tcBorders>
              <w:top w:val="nil"/>
              <w:left w:val="nil"/>
              <w:bottom w:val="single" w:sz="4" w:space="0" w:color="000000"/>
              <w:right w:val="nil"/>
            </w:tcBorders>
            <w:shd w:val="clear" w:color="000000" w:fill="FFFFFF"/>
            <w:noWrap/>
            <w:vAlign w:val="center"/>
            <w:hideMark/>
          </w:tcPr>
          <w:p w14:paraId="7C2A71A3" w14:textId="77777777" w:rsidR="008719E0" w:rsidRPr="00EC4BA6" w:rsidRDefault="008719E0" w:rsidP="008719E0">
            <w:pPr>
              <w:spacing w:before="0" w:after="0" w:line="240" w:lineRule="auto"/>
              <w:jc w:val="right"/>
              <w:rPr>
                <w:rFonts w:ascii="Arial" w:hAnsi="Arial" w:cs="Arial"/>
                <w:b/>
                <w:sz w:val="16"/>
                <w:szCs w:val="16"/>
              </w:rPr>
            </w:pPr>
            <w:r w:rsidRPr="00EC4BA6">
              <w:rPr>
                <w:rFonts w:ascii="Arial" w:hAnsi="Arial" w:cs="Arial"/>
                <w:b/>
                <w:sz w:val="16"/>
                <w:szCs w:val="16"/>
              </w:rPr>
              <w:t>4,790</w:t>
            </w:r>
          </w:p>
        </w:tc>
        <w:tc>
          <w:tcPr>
            <w:tcW w:w="501" w:type="pct"/>
            <w:tcBorders>
              <w:top w:val="nil"/>
              <w:left w:val="nil"/>
              <w:bottom w:val="single" w:sz="4" w:space="0" w:color="000000"/>
              <w:right w:val="nil"/>
            </w:tcBorders>
            <w:shd w:val="clear" w:color="000000" w:fill="FFFFFF"/>
            <w:noWrap/>
            <w:vAlign w:val="center"/>
            <w:hideMark/>
          </w:tcPr>
          <w:p w14:paraId="03568450" w14:textId="77777777" w:rsidR="008719E0" w:rsidRPr="00EC4BA6" w:rsidRDefault="008719E0" w:rsidP="008719E0">
            <w:pPr>
              <w:spacing w:before="0" w:after="0" w:line="240" w:lineRule="auto"/>
              <w:jc w:val="right"/>
              <w:rPr>
                <w:rFonts w:ascii="Arial" w:hAnsi="Arial" w:cs="Arial"/>
                <w:b/>
                <w:sz w:val="16"/>
                <w:szCs w:val="16"/>
              </w:rPr>
            </w:pPr>
            <w:r w:rsidRPr="00EC4BA6">
              <w:rPr>
                <w:rFonts w:ascii="Arial" w:hAnsi="Arial" w:cs="Arial"/>
                <w:b/>
                <w:sz w:val="16"/>
                <w:szCs w:val="16"/>
              </w:rPr>
              <w:t>2,810</w:t>
            </w:r>
          </w:p>
        </w:tc>
        <w:tc>
          <w:tcPr>
            <w:tcW w:w="501" w:type="pct"/>
            <w:tcBorders>
              <w:top w:val="nil"/>
              <w:left w:val="nil"/>
              <w:bottom w:val="single" w:sz="4" w:space="0" w:color="000000"/>
              <w:right w:val="nil"/>
            </w:tcBorders>
            <w:shd w:val="clear" w:color="000000" w:fill="FFFFFF"/>
            <w:noWrap/>
            <w:vAlign w:val="center"/>
            <w:hideMark/>
          </w:tcPr>
          <w:p w14:paraId="291E9B8C" w14:textId="77777777" w:rsidR="008719E0" w:rsidRPr="00EC4BA6" w:rsidRDefault="008719E0" w:rsidP="008719E0">
            <w:pPr>
              <w:spacing w:before="0" w:after="0" w:line="240" w:lineRule="auto"/>
              <w:jc w:val="right"/>
              <w:rPr>
                <w:rFonts w:ascii="Arial" w:hAnsi="Arial" w:cs="Arial"/>
                <w:b/>
                <w:sz w:val="16"/>
                <w:szCs w:val="16"/>
              </w:rPr>
            </w:pPr>
            <w:r w:rsidRPr="00EC4BA6">
              <w:rPr>
                <w:rFonts w:ascii="Arial" w:hAnsi="Arial" w:cs="Arial"/>
                <w:b/>
                <w:sz w:val="16"/>
                <w:szCs w:val="16"/>
              </w:rPr>
              <w:t>*</w:t>
            </w:r>
          </w:p>
        </w:tc>
        <w:tc>
          <w:tcPr>
            <w:tcW w:w="50" w:type="pct"/>
            <w:tcBorders>
              <w:top w:val="nil"/>
              <w:left w:val="nil"/>
              <w:bottom w:val="nil"/>
              <w:right w:val="nil"/>
            </w:tcBorders>
            <w:shd w:val="clear" w:color="000000" w:fill="FFFFFF"/>
            <w:noWrap/>
            <w:vAlign w:val="center"/>
            <w:hideMark/>
          </w:tcPr>
          <w:p w14:paraId="16422354" w14:textId="77777777" w:rsidR="008719E0" w:rsidRPr="00EC4BA6" w:rsidRDefault="008719E0" w:rsidP="008719E0">
            <w:pPr>
              <w:spacing w:before="0" w:after="0" w:line="240" w:lineRule="auto"/>
              <w:jc w:val="right"/>
              <w:rPr>
                <w:rFonts w:ascii="Arial" w:hAnsi="Arial" w:cs="Arial"/>
                <w:b/>
                <w:sz w:val="16"/>
                <w:szCs w:val="16"/>
              </w:rPr>
            </w:pPr>
            <w:r w:rsidRPr="00EC4BA6">
              <w:rPr>
                <w:rFonts w:ascii="Arial" w:hAnsi="Arial" w:cs="Arial"/>
                <w:b/>
                <w:sz w:val="16"/>
                <w:szCs w:val="16"/>
              </w:rPr>
              <w:t> </w:t>
            </w:r>
          </w:p>
        </w:tc>
        <w:tc>
          <w:tcPr>
            <w:tcW w:w="501" w:type="pct"/>
            <w:tcBorders>
              <w:top w:val="single" w:sz="4" w:space="0" w:color="293F5B"/>
              <w:left w:val="nil"/>
              <w:bottom w:val="single" w:sz="4" w:space="0" w:color="auto"/>
              <w:right w:val="nil"/>
            </w:tcBorders>
            <w:shd w:val="clear" w:color="000000" w:fill="FFFFFF"/>
            <w:noWrap/>
            <w:vAlign w:val="center"/>
            <w:hideMark/>
          </w:tcPr>
          <w:p w14:paraId="0251FC5A" w14:textId="77777777" w:rsidR="008719E0" w:rsidRPr="00EC4BA6" w:rsidRDefault="008719E0" w:rsidP="008719E0">
            <w:pPr>
              <w:spacing w:before="0" w:after="0" w:line="240" w:lineRule="auto"/>
              <w:jc w:val="right"/>
              <w:rPr>
                <w:rFonts w:ascii="Arial" w:hAnsi="Arial" w:cs="Arial"/>
                <w:b/>
                <w:sz w:val="16"/>
                <w:szCs w:val="16"/>
              </w:rPr>
            </w:pPr>
            <w:r w:rsidRPr="00EC4BA6">
              <w:rPr>
                <w:rFonts w:ascii="Arial" w:hAnsi="Arial" w:cs="Arial"/>
                <w:b/>
                <w:sz w:val="16"/>
                <w:szCs w:val="16"/>
              </w:rPr>
              <w:t>*</w:t>
            </w:r>
          </w:p>
        </w:tc>
      </w:tr>
      <w:tr w:rsidR="008719E0" w:rsidRPr="00EC4BA6" w14:paraId="55639E07" w14:textId="77777777" w:rsidTr="00E565C3">
        <w:trPr>
          <w:trHeight w:hRule="exact" w:val="225"/>
        </w:trPr>
        <w:tc>
          <w:tcPr>
            <w:tcW w:w="1945" w:type="pct"/>
            <w:tcBorders>
              <w:top w:val="nil"/>
              <w:left w:val="nil"/>
              <w:bottom w:val="nil"/>
              <w:right w:val="nil"/>
            </w:tcBorders>
            <w:shd w:val="clear" w:color="000000" w:fill="FFFFFF"/>
            <w:noWrap/>
            <w:vAlign w:val="center"/>
            <w:hideMark/>
          </w:tcPr>
          <w:p w14:paraId="31673516" w14:textId="2CF08A8F" w:rsidR="008719E0" w:rsidRPr="00EC4BA6" w:rsidRDefault="008719E0" w:rsidP="008719E0">
            <w:pPr>
              <w:spacing w:before="0" w:after="0" w:line="240" w:lineRule="auto"/>
              <w:rPr>
                <w:rFonts w:ascii="Arial" w:hAnsi="Arial" w:cs="Arial"/>
                <w:b/>
                <w:sz w:val="16"/>
                <w:szCs w:val="16"/>
              </w:rPr>
            </w:pPr>
            <w:r w:rsidRPr="00EC4BA6">
              <w:rPr>
                <w:rFonts w:ascii="Arial" w:hAnsi="Arial" w:cs="Arial"/>
                <w:b/>
                <w:sz w:val="16"/>
                <w:szCs w:val="16"/>
              </w:rPr>
              <w:t xml:space="preserve">Revenue </w:t>
            </w:r>
            <w:proofErr w:type="gramStart"/>
            <w:r w:rsidRPr="00EC4BA6">
              <w:rPr>
                <w:rFonts w:ascii="Arial" w:hAnsi="Arial" w:cs="Arial"/>
                <w:b/>
                <w:sz w:val="16"/>
                <w:szCs w:val="16"/>
              </w:rPr>
              <w:t>at</w:t>
            </w:r>
            <w:proofErr w:type="gramEnd"/>
            <w:r w:rsidRPr="00EC4BA6">
              <w:rPr>
                <w:rFonts w:ascii="Arial" w:hAnsi="Arial" w:cs="Arial"/>
                <w:b/>
                <w:sz w:val="16"/>
                <w:szCs w:val="16"/>
              </w:rPr>
              <w:t xml:space="preserve"> 2024</w:t>
            </w:r>
            <w:r w:rsidR="001A3DD6">
              <w:rPr>
                <w:rFonts w:ascii="Arial" w:hAnsi="Arial" w:cs="Arial"/>
                <w:b/>
                <w:sz w:val="16"/>
                <w:szCs w:val="16"/>
              </w:rPr>
              <w:noBreakHyphen/>
            </w:r>
            <w:r w:rsidRPr="00EC4BA6">
              <w:rPr>
                <w:rFonts w:ascii="Arial" w:hAnsi="Arial" w:cs="Arial"/>
                <w:b/>
                <w:sz w:val="16"/>
                <w:szCs w:val="16"/>
              </w:rPr>
              <w:t>25 MYEFO</w:t>
            </w:r>
          </w:p>
        </w:tc>
        <w:tc>
          <w:tcPr>
            <w:tcW w:w="501" w:type="pct"/>
            <w:tcBorders>
              <w:top w:val="single" w:sz="4" w:space="0" w:color="293F5B"/>
              <w:left w:val="nil"/>
              <w:bottom w:val="nil"/>
              <w:right w:val="nil"/>
            </w:tcBorders>
            <w:shd w:val="clear" w:color="000000" w:fill="FFFFFF"/>
            <w:noWrap/>
            <w:vAlign w:val="center"/>
            <w:hideMark/>
          </w:tcPr>
          <w:p w14:paraId="5F6C5AFE" w14:textId="77777777" w:rsidR="008719E0" w:rsidRPr="00EC4BA6" w:rsidRDefault="008719E0" w:rsidP="008719E0">
            <w:pPr>
              <w:spacing w:before="0" w:after="0" w:line="240" w:lineRule="auto"/>
              <w:jc w:val="right"/>
              <w:rPr>
                <w:rFonts w:ascii="Arial" w:hAnsi="Arial" w:cs="Arial"/>
                <w:b/>
                <w:sz w:val="16"/>
                <w:szCs w:val="16"/>
              </w:rPr>
            </w:pPr>
            <w:r w:rsidRPr="00EC4BA6">
              <w:rPr>
                <w:rFonts w:ascii="Arial" w:hAnsi="Arial" w:cs="Arial"/>
                <w:b/>
                <w:sz w:val="16"/>
                <w:szCs w:val="16"/>
              </w:rPr>
              <w:t>718,253</w:t>
            </w:r>
          </w:p>
        </w:tc>
        <w:tc>
          <w:tcPr>
            <w:tcW w:w="501" w:type="pct"/>
            <w:tcBorders>
              <w:top w:val="single" w:sz="4" w:space="0" w:color="293F5B"/>
              <w:left w:val="nil"/>
              <w:bottom w:val="nil"/>
              <w:right w:val="nil"/>
            </w:tcBorders>
            <w:shd w:val="clear" w:color="000000" w:fill="E6F2FF"/>
            <w:noWrap/>
            <w:vAlign w:val="center"/>
            <w:hideMark/>
          </w:tcPr>
          <w:p w14:paraId="5AEB9F7C" w14:textId="77777777" w:rsidR="008719E0" w:rsidRPr="00EC4BA6" w:rsidRDefault="008719E0" w:rsidP="008719E0">
            <w:pPr>
              <w:spacing w:before="0" w:after="0" w:line="240" w:lineRule="auto"/>
              <w:jc w:val="right"/>
              <w:rPr>
                <w:rFonts w:ascii="Arial" w:hAnsi="Arial" w:cs="Arial"/>
                <w:b/>
                <w:sz w:val="16"/>
                <w:szCs w:val="16"/>
              </w:rPr>
            </w:pPr>
            <w:r w:rsidRPr="00EC4BA6">
              <w:rPr>
                <w:rFonts w:ascii="Arial" w:hAnsi="Arial" w:cs="Arial"/>
                <w:b/>
                <w:sz w:val="16"/>
                <w:szCs w:val="16"/>
              </w:rPr>
              <w:t>743,211</w:t>
            </w:r>
          </w:p>
        </w:tc>
        <w:tc>
          <w:tcPr>
            <w:tcW w:w="501" w:type="pct"/>
            <w:tcBorders>
              <w:top w:val="single" w:sz="4" w:space="0" w:color="293F5B"/>
              <w:left w:val="nil"/>
              <w:bottom w:val="nil"/>
              <w:right w:val="nil"/>
            </w:tcBorders>
            <w:shd w:val="clear" w:color="000000" w:fill="FFFFFF"/>
            <w:noWrap/>
            <w:vAlign w:val="center"/>
            <w:hideMark/>
          </w:tcPr>
          <w:p w14:paraId="1C523064" w14:textId="77777777" w:rsidR="008719E0" w:rsidRPr="00EC4BA6" w:rsidRDefault="008719E0" w:rsidP="008719E0">
            <w:pPr>
              <w:spacing w:before="0" w:after="0" w:line="240" w:lineRule="auto"/>
              <w:jc w:val="right"/>
              <w:rPr>
                <w:rFonts w:ascii="Arial" w:hAnsi="Arial" w:cs="Arial"/>
                <w:b/>
                <w:sz w:val="16"/>
                <w:szCs w:val="16"/>
              </w:rPr>
            </w:pPr>
            <w:r w:rsidRPr="00EC4BA6">
              <w:rPr>
                <w:rFonts w:ascii="Arial" w:hAnsi="Arial" w:cs="Arial"/>
                <w:b/>
                <w:sz w:val="16"/>
                <w:szCs w:val="16"/>
              </w:rPr>
              <w:t>781,029</w:t>
            </w:r>
          </w:p>
        </w:tc>
        <w:tc>
          <w:tcPr>
            <w:tcW w:w="501" w:type="pct"/>
            <w:tcBorders>
              <w:top w:val="single" w:sz="4" w:space="0" w:color="293F5B"/>
              <w:left w:val="nil"/>
              <w:bottom w:val="nil"/>
              <w:right w:val="nil"/>
            </w:tcBorders>
            <w:shd w:val="clear" w:color="000000" w:fill="FFFFFF"/>
            <w:noWrap/>
            <w:vAlign w:val="center"/>
            <w:hideMark/>
          </w:tcPr>
          <w:p w14:paraId="181725BA" w14:textId="77777777" w:rsidR="008719E0" w:rsidRPr="00EC4BA6" w:rsidRDefault="008719E0" w:rsidP="008719E0">
            <w:pPr>
              <w:spacing w:before="0" w:after="0" w:line="240" w:lineRule="auto"/>
              <w:jc w:val="right"/>
              <w:rPr>
                <w:rFonts w:ascii="Arial" w:hAnsi="Arial" w:cs="Arial"/>
                <w:b/>
                <w:sz w:val="16"/>
                <w:szCs w:val="16"/>
              </w:rPr>
            </w:pPr>
            <w:r w:rsidRPr="00EC4BA6">
              <w:rPr>
                <w:rFonts w:ascii="Arial" w:hAnsi="Arial" w:cs="Arial"/>
                <w:b/>
                <w:sz w:val="16"/>
                <w:szCs w:val="16"/>
              </w:rPr>
              <w:t>822,438</w:t>
            </w:r>
          </w:p>
        </w:tc>
        <w:tc>
          <w:tcPr>
            <w:tcW w:w="501" w:type="pct"/>
            <w:tcBorders>
              <w:top w:val="single" w:sz="4" w:space="0" w:color="293F5B"/>
              <w:left w:val="nil"/>
              <w:bottom w:val="nil"/>
              <w:right w:val="nil"/>
            </w:tcBorders>
            <w:shd w:val="clear" w:color="000000" w:fill="FFFFFF"/>
            <w:noWrap/>
            <w:vAlign w:val="center"/>
            <w:hideMark/>
          </w:tcPr>
          <w:p w14:paraId="4B0F094A" w14:textId="77777777" w:rsidR="008719E0" w:rsidRPr="00EC4BA6" w:rsidRDefault="008719E0" w:rsidP="008719E0">
            <w:pPr>
              <w:spacing w:before="0" w:after="0" w:line="240" w:lineRule="auto"/>
              <w:jc w:val="right"/>
              <w:rPr>
                <w:rFonts w:ascii="Arial" w:hAnsi="Arial" w:cs="Arial"/>
                <w:b/>
                <w:sz w:val="16"/>
                <w:szCs w:val="16"/>
              </w:rPr>
            </w:pPr>
            <w:r w:rsidRPr="00EC4BA6">
              <w:rPr>
                <w:rFonts w:ascii="Arial" w:hAnsi="Arial" w:cs="Arial"/>
                <w:b/>
                <w:sz w:val="16"/>
                <w:szCs w:val="16"/>
              </w:rPr>
              <w:t>*</w:t>
            </w:r>
          </w:p>
        </w:tc>
        <w:tc>
          <w:tcPr>
            <w:tcW w:w="50" w:type="pct"/>
            <w:tcBorders>
              <w:top w:val="nil"/>
              <w:left w:val="nil"/>
              <w:bottom w:val="nil"/>
              <w:right w:val="nil"/>
            </w:tcBorders>
            <w:shd w:val="clear" w:color="000000" w:fill="FFFFFF"/>
            <w:noWrap/>
            <w:vAlign w:val="center"/>
            <w:hideMark/>
          </w:tcPr>
          <w:p w14:paraId="1AE448FB" w14:textId="77777777" w:rsidR="008719E0" w:rsidRPr="00EC4BA6" w:rsidRDefault="008719E0" w:rsidP="008719E0">
            <w:pPr>
              <w:spacing w:before="0" w:after="0" w:line="240" w:lineRule="auto"/>
              <w:jc w:val="right"/>
              <w:rPr>
                <w:rFonts w:ascii="Arial" w:hAnsi="Arial" w:cs="Arial"/>
                <w:b/>
                <w:sz w:val="16"/>
                <w:szCs w:val="16"/>
              </w:rPr>
            </w:pPr>
            <w:r w:rsidRPr="00EC4BA6">
              <w:rPr>
                <w:rFonts w:ascii="Arial" w:hAnsi="Arial" w:cs="Arial"/>
                <w:b/>
                <w:sz w:val="16"/>
                <w:szCs w:val="16"/>
              </w:rPr>
              <w:t> </w:t>
            </w:r>
          </w:p>
        </w:tc>
        <w:tc>
          <w:tcPr>
            <w:tcW w:w="501" w:type="pct"/>
            <w:tcBorders>
              <w:top w:val="single" w:sz="4" w:space="0" w:color="293F5B"/>
              <w:left w:val="nil"/>
              <w:bottom w:val="nil"/>
              <w:right w:val="nil"/>
            </w:tcBorders>
            <w:shd w:val="clear" w:color="000000" w:fill="FFFFFF"/>
            <w:noWrap/>
            <w:vAlign w:val="center"/>
            <w:hideMark/>
          </w:tcPr>
          <w:p w14:paraId="42D08AA4" w14:textId="77777777" w:rsidR="008719E0" w:rsidRPr="00EC4BA6" w:rsidRDefault="008719E0" w:rsidP="008719E0">
            <w:pPr>
              <w:spacing w:before="0" w:after="0" w:line="240" w:lineRule="auto"/>
              <w:jc w:val="right"/>
              <w:rPr>
                <w:rFonts w:ascii="Arial" w:hAnsi="Arial" w:cs="Arial"/>
                <w:b/>
                <w:sz w:val="16"/>
                <w:szCs w:val="16"/>
              </w:rPr>
            </w:pPr>
            <w:r w:rsidRPr="00EC4BA6">
              <w:rPr>
                <w:rFonts w:ascii="Arial" w:hAnsi="Arial" w:cs="Arial"/>
                <w:b/>
                <w:sz w:val="16"/>
                <w:szCs w:val="16"/>
              </w:rPr>
              <w:t>*</w:t>
            </w:r>
          </w:p>
        </w:tc>
      </w:tr>
      <w:tr w:rsidR="008719E0" w:rsidRPr="00EC4BA6" w14:paraId="228EE789" w14:textId="77777777" w:rsidTr="00E565C3">
        <w:trPr>
          <w:trHeight w:hRule="exact" w:val="60"/>
        </w:trPr>
        <w:tc>
          <w:tcPr>
            <w:tcW w:w="1945" w:type="pct"/>
            <w:tcBorders>
              <w:top w:val="nil"/>
              <w:left w:val="nil"/>
              <w:bottom w:val="nil"/>
              <w:right w:val="nil"/>
            </w:tcBorders>
            <w:shd w:val="clear" w:color="000000" w:fill="FFFFFF"/>
            <w:noWrap/>
            <w:vAlign w:val="center"/>
            <w:hideMark/>
          </w:tcPr>
          <w:p w14:paraId="69B25452" w14:textId="77777777" w:rsidR="008719E0" w:rsidRPr="00EC4BA6" w:rsidRDefault="008719E0" w:rsidP="008719E0">
            <w:pPr>
              <w:spacing w:before="0" w:after="0" w:line="240" w:lineRule="auto"/>
              <w:rPr>
                <w:rFonts w:ascii="Arial" w:hAnsi="Arial" w:cs="Arial"/>
                <w:b/>
                <w:sz w:val="16"/>
                <w:szCs w:val="16"/>
              </w:rPr>
            </w:pPr>
            <w:r w:rsidRPr="00EC4BA6">
              <w:rPr>
                <w:rFonts w:ascii="Arial" w:hAnsi="Arial" w:cs="Arial"/>
                <w:b/>
                <w:sz w:val="16"/>
                <w:szCs w:val="16"/>
              </w:rPr>
              <w:t> </w:t>
            </w:r>
          </w:p>
        </w:tc>
        <w:tc>
          <w:tcPr>
            <w:tcW w:w="501" w:type="pct"/>
            <w:tcBorders>
              <w:top w:val="nil"/>
              <w:left w:val="nil"/>
              <w:bottom w:val="nil"/>
              <w:right w:val="nil"/>
            </w:tcBorders>
            <w:shd w:val="clear" w:color="000000" w:fill="FFFFFF"/>
            <w:noWrap/>
            <w:vAlign w:val="center"/>
            <w:hideMark/>
          </w:tcPr>
          <w:p w14:paraId="7959CF90" w14:textId="77777777" w:rsidR="008719E0" w:rsidRPr="00EC4BA6" w:rsidRDefault="008719E0" w:rsidP="008719E0">
            <w:pPr>
              <w:spacing w:before="0" w:after="0" w:line="240" w:lineRule="auto"/>
              <w:rPr>
                <w:rFonts w:ascii="Arial" w:hAnsi="Arial" w:cs="Arial"/>
                <w:sz w:val="16"/>
                <w:szCs w:val="16"/>
              </w:rPr>
            </w:pPr>
            <w:r w:rsidRPr="00EC4BA6">
              <w:rPr>
                <w:rFonts w:ascii="Arial" w:hAnsi="Arial" w:cs="Arial"/>
                <w:sz w:val="16"/>
                <w:szCs w:val="16"/>
              </w:rPr>
              <w:t> </w:t>
            </w:r>
          </w:p>
        </w:tc>
        <w:tc>
          <w:tcPr>
            <w:tcW w:w="501" w:type="pct"/>
            <w:tcBorders>
              <w:top w:val="nil"/>
              <w:left w:val="nil"/>
              <w:bottom w:val="nil"/>
              <w:right w:val="nil"/>
            </w:tcBorders>
            <w:shd w:val="clear" w:color="000000" w:fill="E6F2FF"/>
            <w:noWrap/>
            <w:vAlign w:val="center"/>
            <w:hideMark/>
          </w:tcPr>
          <w:p w14:paraId="057CB83C" w14:textId="77777777" w:rsidR="008719E0" w:rsidRPr="00EC4BA6" w:rsidRDefault="008719E0" w:rsidP="008719E0">
            <w:pPr>
              <w:spacing w:before="0" w:after="0" w:line="240" w:lineRule="auto"/>
              <w:rPr>
                <w:rFonts w:ascii="Arial" w:hAnsi="Arial" w:cs="Arial"/>
                <w:sz w:val="16"/>
                <w:szCs w:val="16"/>
              </w:rPr>
            </w:pPr>
            <w:r w:rsidRPr="00EC4BA6">
              <w:rPr>
                <w:rFonts w:ascii="Arial" w:hAnsi="Arial" w:cs="Arial"/>
                <w:sz w:val="16"/>
                <w:szCs w:val="16"/>
              </w:rPr>
              <w:t> </w:t>
            </w:r>
          </w:p>
        </w:tc>
        <w:tc>
          <w:tcPr>
            <w:tcW w:w="501" w:type="pct"/>
            <w:tcBorders>
              <w:top w:val="nil"/>
              <w:left w:val="nil"/>
              <w:bottom w:val="nil"/>
              <w:right w:val="nil"/>
            </w:tcBorders>
            <w:shd w:val="clear" w:color="000000" w:fill="FFFFFF"/>
            <w:noWrap/>
            <w:vAlign w:val="center"/>
            <w:hideMark/>
          </w:tcPr>
          <w:p w14:paraId="1CB47F16" w14:textId="77777777" w:rsidR="008719E0" w:rsidRPr="00EC4BA6" w:rsidRDefault="008719E0" w:rsidP="008719E0">
            <w:pPr>
              <w:spacing w:before="0" w:after="0" w:line="240" w:lineRule="auto"/>
              <w:rPr>
                <w:rFonts w:ascii="Arial" w:hAnsi="Arial" w:cs="Arial"/>
                <w:sz w:val="16"/>
                <w:szCs w:val="16"/>
              </w:rPr>
            </w:pPr>
            <w:r w:rsidRPr="00EC4BA6">
              <w:rPr>
                <w:rFonts w:ascii="Arial" w:hAnsi="Arial" w:cs="Arial"/>
                <w:sz w:val="16"/>
                <w:szCs w:val="16"/>
              </w:rPr>
              <w:t> </w:t>
            </w:r>
          </w:p>
        </w:tc>
        <w:tc>
          <w:tcPr>
            <w:tcW w:w="501" w:type="pct"/>
            <w:tcBorders>
              <w:top w:val="nil"/>
              <w:left w:val="nil"/>
              <w:bottom w:val="nil"/>
              <w:right w:val="nil"/>
            </w:tcBorders>
            <w:shd w:val="clear" w:color="000000" w:fill="FFFFFF"/>
            <w:noWrap/>
            <w:vAlign w:val="center"/>
            <w:hideMark/>
          </w:tcPr>
          <w:p w14:paraId="537C25B0" w14:textId="77777777" w:rsidR="008719E0" w:rsidRPr="00EC4BA6" w:rsidRDefault="008719E0" w:rsidP="008719E0">
            <w:pPr>
              <w:spacing w:before="0" w:after="0" w:line="240" w:lineRule="auto"/>
              <w:rPr>
                <w:rFonts w:ascii="Arial" w:hAnsi="Arial" w:cs="Arial"/>
                <w:sz w:val="16"/>
                <w:szCs w:val="16"/>
              </w:rPr>
            </w:pPr>
            <w:r w:rsidRPr="00EC4BA6">
              <w:rPr>
                <w:rFonts w:ascii="Arial" w:hAnsi="Arial" w:cs="Arial"/>
                <w:sz w:val="16"/>
                <w:szCs w:val="16"/>
              </w:rPr>
              <w:t> </w:t>
            </w:r>
          </w:p>
        </w:tc>
        <w:tc>
          <w:tcPr>
            <w:tcW w:w="501" w:type="pct"/>
            <w:tcBorders>
              <w:top w:val="nil"/>
              <w:left w:val="nil"/>
              <w:bottom w:val="nil"/>
              <w:right w:val="nil"/>
            </w:tcBorders>
            <w:shd w:val="clear" w:color="000000" w:fill="FFFFFF"/>
            <w:noWrap/>
            <w:vAlign w:val="center"/>
            <w:hideMark/>
          </w:tcPr>
          <w:p w14:paraId="5CBEC1B4" w14:textId="77777777" w:rsidR="008719E0" w:rsidRPr="00EC4BA6" w:rsidRDefault="008719E0" w:rsidP="008719E0">
            <w:pPr>
              <w:spacing w:before="0" w:after="0" w:line="240" w:lineRule="auto"/>
              <w:rPr>
                <w:rFonts w:ascii="Arial" w:hAnsi="Arial" w:cs="Arial"/>
                <w:sz w:val="16"/>
                <w:szCs w:val="16"/>
              </w:rPr>
            </w:pPr>
            <w:r w:rsidRPr="00EC4BA6">
              <w:rPr>
                <w:rFonts w:ascii="Arial" w:hAnsi="Arial" w:cs="Arial"/>
                <w:sz w:val="16"/>
                <w:szCs w:val="16"/>
              </w:rPr>
              <w:t> </w:t>
            </w:r>
          </w:p>
        </w:tc>
        <w:tc>
          <w:tcPr>
            <w:tcW w:w="50" w:type="pct"/>
            <w:tcBorders>
              <w:top w:val="nil"/>
              <w:left w:val="nil"/>
              <w:bottom w:val="nil"/>
              <w:right w:val="nil"/>
            </w:tcBorders>
            <w:shd w:val="clear" w:color="000000" w:fill="FFFFFF"/>
            <w:noWrap/>
            <w:vAlign w:val="center"/>
            <w:hideMark/>
          </w:tcPr>
          <w:p w14:paraId="1D19FE65" w14:textId="77777777" w:rsidR="008719E0" w:rsidRPr="00EC4BA6" w:rsidRDefault="008719E0" w:rsidP="008719E0">
            <w:pPr>
              <w:spacing w:before="0" w:after="0" w:line="240" w:lineRule="auto"/>
              <w:rPr>
                <w:rFonts w:ascii="Arial" w:hAnsi="Arial" w:cs="Arial"/>
                <w:sz w:val="16"/>
                <w:szCs w:val="16"/>
              </w:rPr>
            </w:pPr>
            <w:r w:rsidRPr="00EC4BA6">
              <w:rPr>
                <w:rFonts w:ascii="Arial" w:hAnsi="Arial" w:cs="Arial"/>
                <w:sz w:val="16"/>
                <w:szCs w:val="16"/>
              </w:rPr>
              <w:t> </w:t>
            </w:r>
          </w:p>
        </w:tc>
        <w:tc>
          <w:tcPr>
            <w:tcW w:w="501" w:type="pct"/>
            <w:tcBorders>
              <w:top w:val="nil"/>
              <w:left w:val="nil"/>
              <w:bottom w:val="nil"/>
              <w:right w:val="nil"/>
            </w:tcBorders>
            <w:shd w:val="clear" w:color="000000" w:fill="FFFFFF"/>
            <w:noWrap/>
            <w:vAlign w:val="center"/>
            <w:hideMark/>
          </w:tcPr>
          <w:p w14:paraId="094120AB" w14:textId="77777777" w:rsidR="008719E0" w:rsidRPr="00EC4BA6" w:rsidRDefault="008719E0" w:rsidP="008719E0">
            <w:pPr>
              <w:spacing w:before="0" w:after="0" w:line="240" w:lineRule="auto"/>
              <w:rPr>
                <w:rFonts w:ascii="Arial" w:hAnsi="Arial" w:cs="Arial"/>
                <w:sz w:val="16"/>
                <w:szCs w:val="16"/>
              </w:rPr>
            </w:pPr>
            <w:r w:rsidRPr="00EC4BA6">
              <w:rPr>
                <w:rFonts w:ascii="Arial" w:hAnsi="Arial" w:cs="Arial"/>
                <w:sz w:val="16"/>
                <w:szCs w:val="16"/>
              </w:rPr>
              <w:t> </w:t>
            </w:r>
          </w:p>
        </w:tc>
      </w:tr>
      <w:tr w:rsidR="008719E0" w:rsidRPr="00EC4BA6" w14:paraId="1CA585D8" w14:textId="77777777" w:rsidTr="00E565C3">
        <w:trPr>
          <w:trHeight w:hRule="exact" w:val="225"/>
        </w:trPr>
        <w:tc>
          <w:tcPr>
            <w:tcW w:w="1945" w:type="pct"/>
            <w:tcBorders>
              <w:top w:val="nil"/>
              <w:left w:val="nil"/>
              <w:bottom w:val="nil"/>
              <w:right w:val="nil"/>
            </w:tcBorders>
            <w:shd w:val="clear" w:color="000000" w:fill="FFFFFF"/>
            <w:noWrap/>
            <w:vAlign w:val="center"/>
            <w:hideMark/>
          </w:tcPr>
          <w:p w14:paraId="5F553B13" w14:textId="5FBF54E2" w:rsidR="008719E0" w:rsidRPr="00EC4BA6" w:rsidRDefault="008719E0" w:rsidP="008719E0">
            <w:pPr>
              <w:spacing w:before="0" w:after="0" w:line="240" w:lineRule="auto"/>
              <w:rPr>
                <w:rFonts w:ascii="Arial" w:hAnsi="Arial" w:cs="Arial"/>
                <w:b/>
                <w:sz w:val="16"/>
                <w:szCs w:val="16"/>
              </w:rPr>
            </w:pPr>
            <w:r w:rsidRPr="00EC4BA6">
              <w:rPr>
                <w:rFonts w:ascii="Arial" w:hAnsi="Arial" w:cs="Arial"/>
                <w:b/>
                <w:sz w:val="16"/>
                <w:szCs w:val="16"/>
              </w:rPr>
              <w:t>Changes from 2024</w:t>
            </w:r>
            <w:r w:rsidR="001A3DD6">
              <w:rPr>
                <w:rFonts w:ascii="Arial" w:hAnsi="Arial" w:cs="Arial"/>
                <w:b/>
                <w:sz w:val="16"/>
                <w:szCs w:val="16"/>
              </w:rPr>
              <w:noBreakHyphen/>
            </w:r>
            <w:r w:rsidRPr="00EC4BA6">
              <w:rPr>
                <w:rFonts w:ascii="Arial" w:hAnsi="Arial" w:cs="Arial"/>
                <w:b/>
                <w:sz w:val="16"/>
                <w:szCs w:val="16"/>
              </w:rPr>
              <w:t>25 MYEFO</w:t>
            </w:r>
          </w:p>
        </w:tc>
        <w:tc>
          <w:tcPr>
            <w:tcW w:w="501" w:type="pct"/>
            <w:tcBorders>
              <w:top w:val="nil"/>
              <w:left w:val="nil"/>
              <w:bottom w:val="nil"/>
              <w:right w:val="nil"/>
            </w:tcBorders>
            <w:shd w:val="clear" w:color="000000" w:fill="FFFFFF"/>
            <w:noWrap/>
            <w:vAlign w:val="center"/>
            <w:hideMark/>
          </w:tcPr>
          <w:p w14:paraId="63C82C9B" w14:textId="77777777" w:rsidR="008719E0" w:rsidRPr="00EC4BA6" w:rsidRDefault="008719E0" w:rsidP="008719E0">
            <w:pPr>
              <w:spacing w:before="0" w:after="0" w:line="240" w:lineRule="auto"/>
              <w:rPr>
                <w:rFonts w:ascii="Arial" w:hAnsi="Arial" w:cs="Arial"/>
                <w:sz w:val="16"/>
                <w:szCs w:val="16"/>
              </w:rPr>
            </w:pPr>
            <w:r w:rsidRPr="00EC4BA6">
              <w:rPr>
                <w:rFonts w:ascii="Arial" w:hAnsi="Arial" w:cs="Arial"/>
                <w:sz w:val="16"/>
                <w:szCs w:val="16"/>
              </w:rPr>
              <w:t> </w:t>
            </w:r>
          </w:p>
        </w:tc>
        <w:tc>
          <w:tcPr>
            <w:tcW w:w="501" w:type="pct"/>
            <w:tcBorders>
              <w:top w:val="nil"/>
              <w:left w:val="nil"/>
              <w:bottom w:val="nil"/>
              <w:right w:val="nil"/>
            </w:tcBorders>
            <w:shd w:val="clear" w:color="000000" w:fill="E6F2FF"/>
            <w:noWrap/>
            <w:vAlign w:val="center"/>
            <w:hideMark/>
          </w:tcPr>
          <w:p w14:paraId="116414F2" w14:textId="77777777" w:rsidR="008719E0" w:rsidRPr="00EC4BA6" w:rsidRDefault="008719E0" w:rsidP="008719E0">
            <w:pPr>
              <w:spacing w:before="0" w:after="0" w:line="240" w:lineRule="auto"/>
              <w:rPr>
                <w:rFonts w:ascii="Arial" w:hAnsi="Arial" w:cs="Arial"/>
                <w:sz w:val="16"/>
                <w:szCs w:val="16"/>
              </w:rPr>
            </w:pPr>
            <w:r w:rsidRPr="00EC4BA6">
              <w:rPr>
                <w:rFonts w:ascii="Arial" w:hAnsi="Arial" w:cs="Arial"/>
                <w:sz w:val="16"/>
                <w:szCs w:val="16"/>
              </w:rPr>
              <w:t> </w:t>
            </w:r>
          </w:p>
        </w:tc>
        <w:tc>
          <w:tcPr>
            <w:tcW w:w="501" w:type="pct"/>
            <w:tcBorders>
              <w:top w:val="nil"/>
              <w:left w:val="nil"/>
              <w:bottom w:val="nil"/>
              <w:right w:val="nil"/>
            </w:tcBorders>
            <w:shd w:val="clear" w:color="000000" w:fill="FFFFFF"/>
            <w:noWrap/>
            <w:vAlign w:val="center"/>
            <w:hideMark/>
          </w:tcPr>
          <w:p w14:paraId="47844B33" w14:textId="77777777" w:rsidR="008719E0" w:rsidRPr="00EC4BA6" w:rsidRDefault="008719E0" w:rsidP="008719E0">
            <w:pPr>
              <w:spacing w:before="0" w:after="0" w:line="240" w:lineRule="auto"/>
              <w:rPr>
                <w:rFonts w:ascii="Arial" w:hAnsi="Arial" w:cs="Arial"/>
                <w:sz w:val="16"/>
                <w:szCs w:val="16"/>
              </w:rPr>
            </w:pPr>
            <w:r w:rsidRPr="00EC4BA6">
              <w:rPr>
                <w:rFonts w:ascii="Arial" w:hAnsi="Arial" w:cs="Arial"/>
                <w:sz w:val="16"/>
                <w:szCs w:val="16"/>
              </w:rPr>
              <w:t> </w:t>
            </w:r>
          </w:p>
        </w:tc>
        <w:tc>
          <w:tcPr>
            <w:tcW w:w="501" w:type="pct"/>
            <w:tcBorders>
              <w:top w:val="nil"/>
              <w:left w:val="nil"/>
              <w:bottom w:val="nil"/>
              <w:right w:val="nil"/>
            </w:tcBorders>
            <w:shd w:val="clear" w:color="000000" w:fill="FFFFFF"/>
            <w:noWrap/>
            <w:vAlign w:val="center"/>
            <w:hideMark/>
          </w:tcPr>
          <w:p w14:paraId="3945C1B7" w14:textId="77777777" w:rsidR="008719E0" w:rsidRPr="00EC4BA6" w:rsidRDefault="008719E0" w:rsidP="008719E0">
            <w:pPr>
              <w:spacing w:before="0" w:after="0" w:line="240" w:lineRule="auto"/>
              <w:rPr>
                <w:rFonts w:ascii="Arial" w:hAnsi="Arial" w:cs="Arial"/>
                <w:sz w:val="16"/>
                <w:szCs w:val="16"/>
              </w:rPr>
            </w:pPr>
            <w:r w:rsidRPr="00EC4BA6">
              <w:rPr>
                <w:rFonts w:ascii="Arial" w:hAnsi="Arial" w:cs="Arial"/>
                <w:sz w:val="16"/>
                <w:szCs w:val="16"/>
              </w:rPr>
              <w:t> </w:t>
            </w:r>
          </w:p>
        </w:tc>
        <w:tc>
          <w:tcPr>
            <w:tcW w:w="501" w:type="pct"/>
            <w:tcBorders>
              <w:top w:val="nil"/>
              <w:left w:val="nil"/>
              <w:bottom w:val="nil"/>
              <w:right w:val="nil"/>
            </w:tcBorders>
            <w:shd w:val="clear" w:color="000000" w:fill="FFFFFF"/>
            <w:noWrap/>
            <w:vAlign w:val="center"/>
            <w:hideMark/>
          </w:tcPr>
          <w:p w14:paraId="44254952" w14:textId="77777777" w:rsidR="008719E0" w:rsidRPr="00EC4BA6" w:rsidRDefault="008719E0" w:rsidP="008719E0">
            <w:pPr>
              <w:spacing w:before="0" w:after="0" w:line="240" w:lineRule="auto"/>
              <w:rPr>
                <w:rFonts w:ascii="Arial" w:hAnsi="Arial" w:cs="Arial"/>
                <w:sz w:val="16"/>
                <w:szCs w:val="16"/>
              </w:rPr>
            </w:pPr>
            <w:r w:rsidRPr="00EC4BA6">
              <w:rPr>
                <w:rFonts w:ascii="Arial" w:hAnsi="Arial" w:cs="Arial"/>
                <w:sz w:val="16"/>
                <w:szCs w:val="16"/>
              </w:rPr>
              <w:t> </w:t>
            </w:r>
          </w:p>
        </w:tc>
        <w:tc>
          <w:tcPr>
            <w:tcW w:w="50" w:type="pct"/>
            <w:tcBorders>
              <w:top w:val="nil"/>
              <w:left w:val="nil"/>
              <w:bottom w:val="nil"/>
              <w:right w:val="nil"/>
            </w:tcBorders>
            <w:shd w:val="clear" w:color="000000" w:fill="FFFFFF"/>
            <w:noWrap/>
            <w:vAlign w:val="center"/>
            <w:hideMark/>
          </w:tcPr>
          <w:p w14:paraId="657A9F56" w14:textId="77777777" w:rsidR="008719E0" w:rsidRPr="00EC4BA6" w:rsidRDefault="008719E0" w:rsidP="008719E0">
            <w:pPr>
              <w:spacing w:before="0" w:after="0" w:line="240" w:lineRule="auto"/>
              <w:rPr>
                <w:rFonts w:ascii="Arial" w:hAnsi="Arial" w:cs="Arial"/>
                <w:sz w:val="16"/>
                <w:szCs w:val="16"/>
              </w:rPr>
            </w:pPr>
            <w:r w:rsidRPr="00EC4BA6">
              <w:rPr>
                <w:rFonts w:ascii="Arial" w:hAnsi="Arial" w:cs="Arial"/>
                <w:sz w:val="16"/>
                <w:szCs w:val="16"/>
              </w:rPr>
              <w:t> </w:t>
            </w:r>
          </w:p>
        </w:tc>
        <w:tc>
          <w:tcPr>
            <w:tcW w:w="501" w:type="pct"/>
            <w:tcBorders>
              <w:top w:val="nil"/>
              <w:left w:val="nil"/>
              <w:bottom w:val="nil"/>
              <w:right w:val="nil"/>
            </w:tcBorders>
            <w:shd w:val="clear" w:color="000000" w:fill="FFFFFF"/>
            <w:noWrap/>
            <w:vAlign w:val="center"/>
            <w:hideMark/>
          </w:tcPr>
          <w:p w14:paraId="2C3F8A33" w14:textId="77777777" w:rsidR="008719E0" w:rsidRPr="00EC4BA6" w:rsidRDefault="008719E0" w:rsidP="008719E0">
            <w:pPr>
              <w:spacing w:before="0" w:after="0" w:line="240" w:lineRule="auto"/>
              <w:rPr>
                <w:rFonts w:ascii="Arial" w:hAnsi="Arial" w:cs="Arial"/>
                <w:sz w:val="16"/>
                <w:szCs w:val="16"/>
              </w:rPr>
            </w:pPr>
            <w:r w:rsidRPr="00EC4BA6">
              <w:rPr>
                <w:rFonts w:ascii="Arial" w:hAnsi="Arial" w:cs="Arial"/>
                <w:sz w:val="16"/>
                <w:szCs w:val="16"/>
              </w:rPr>
              <w:t> </w:t>
            </w:r>
          </w:p>
        </w:tc>
      </w:tr>
      <w:tr w:rsidR="008719E0" w:rsidRPr="00EC4BA6" w14:paraId="04CEB248" w14:textId="77777777" w:rsidTr="00E565C3">
        <w:trPr>
          <w:trHeight w:hRule="exact" w:val="225"/>
        </w:trPr>
        <w:tc>
          <w:tcPr>
            <w:tcW w:w="1945" w:type="pct"/>
            <w:tcBorders>
              <w:top w:val="nil"/>
              <w:left w:val="nil"/>
              <w:bottom w:val="nil"/>
              <w:right w:val="nil"/>
            </w:tcBorders>
            <w:shd w:val="clear" w:color="000000" w:fill="FFFFFF"/>
            <w:noWrap/>
            <w:vAlign w:val="center"/>
            <w:hideMark/>
          </w:tcPr>
          <w:p w14:paraId="150C759B" w14:textId="0816F59E" w:rsidR="008719E0" w:rsidRPr="00EC4BA6" w:rsidRDefault="008719E0" w:rsidP="00E565C3">
            <w:pPr>
              <w:spacing w:before="0" w:after="0" w:line="240" w:lineRule="auto"/>
              <w:ind w:left="170"/>
              <w:rPr>
                <w:rFonts w:ascii="Arial" w:hAnsi="Arial" w:cs="Arial"/>
                <w:b/>
                <w:sz w:val="16"/>
                <w:szCs w:val="16"/>
              </w:rPr>
            </w:pPr>
            <w:r w:rsidRPr="00EC4BA6">
              <w:rPr>
                <w:rFonts w:ascii="Arial" w:hAnsi="Arial" w:cs="Arial"/>
                <w:b/>
                <w:sz w:val="16"/>
                <w:szCs w:val="16"/>
              </w:rPr>
              <w:t>to 2025</w:t>
            </w:r>
            <w:r w:rsidR="001A3DD6">
              <w:rPr>
                <w:rFonts w:ascii="Arial" w:hAnsi="Arial" w:cs="Arial"/>
                <w:b/>
                <w:sz w:val="16"/>
                <w:szCs w:val="16"/>
              </w:rPr>
              <w:noBreakHyphen/>
            </w:r>
            <w:r w:rsidRPr="00EC4BA6">
              <w:rPr>
                <w:rFonts w:ascii="Arial" w:hAnsi="Arial" w:cs="Arial"/>
                <w:b/>
                <w:sz w:val="16"/>
                <w:szCs w:val="16"/>
              </w:rPr>
              <w:t>26 Budget</w:t>
            </w:r>
          </w:p>
        </w:tc>
        <w:tc>
          <w:tcPr>
            <w:tcW w:w="501" w:type="pct"/>
            <w:tcBorders>
              <w:top w:val="nil"/>
              <w:left w:val="nil"/>
              <w:bottom w:val="nil"/>
              <w:right w:val="nil"/>
            </w:tcBorders>
            <w:shd w:val="clear" w:color="000000" w:fill="FFFFFF"/>
            <w:noWrap/>
            <w:vAlign w:val="center"/>
            <w:hideMark/>
          </w:tcPr>
          <w:p w14:paraId="1A086F63" w14:textId="77777777" w:rsidR="008719E0" w:rsidRPr="00EC4BA6" w:rsidRDefault="008719E0" w:rsidP="008719E0">
            <w:pPr>
              <w:spacing w:before="0" w:after="0" w:line="240" w:lineRule="auto"/>
              <w:rPr>
                <w:rFonts w:ascii="Arial" w:hAnsi="Arial" w:cs="Arial"/>
                <w:i/>
                <w:sz w:val="16"/>
                <w:szCs w:val="16"/>
              </w:rPr>
            </w:pPr>
            <w:r w:rsidRPr="00EC4BA6">
              <w:rPr>
                <w:rFonts w:ascii="Arial" w:hAnsi="Arial" w:cs="Arial"/>
                <w:i/>
                <w:sz w:val="16"/>
                <w:szCs w:val="16"/>
              </w:rPr>
              <w:t> </w:t>
            </w:r>
          </w:p>
        </w:tc>
        <w:tc>
          <w:tcPr>
            <w:tcW w:w="501" w:type="pct"/>
            <w:tcBorders>
              <w:top w:val="nil"/>
              <w:left w:val="nil"/>
              <w:bottom w:val="nil"/>
              <w:right w:val="nil"/>
            </w:tcBorders>
            <w:shd w:val="clear" w:color="000000" w:fill="E6F2FF"/>
            <w:noWrap/>
            <w:vAlign w:val="center"/>
            <w:hideMark/>
          </w:tcPr>
          <w:p w14:paraId="50A5E5A8" w14:textId="77777777" w:rsidR="008719E0" w:rsidRPr="00EC4BA6" w:rsidRDefault="008719E0" w:rsidP="008719E0">
            <w:pPr>
              <w:spacing w:before="0" w:after="0" w:line="240" w:lineRule="auto"/>
              <w:rPr>
                <w:rFonts w:ascii="Arial" w:hAnsi="Arial" w:cs="Arial"/>
                <w:i/>
                <w:sz w:val="16"/>
                <w:szCs w:val="16"/>
              </w:rPr>
            </w:pPr>
            <w:r w:rsidRPr="00EC4BA6">
              <w:rPr>
                <w:rFonts w:ascii="Arial" w:hAnsi="Arial" w:cs="Arial"/>
                <w:i/>
                <w:sz w:val="16"/>
                <w:szCs w:val="16"/>
              </w:rPr>
              <w:t> </w:t>
            </w:r>
          </w:p>
        </w:tc>
        <w:tc>
          <w:tcPr>
            <w:tcW w:w="501" w:type="pct"/>
            <w:tcBorders>
              <w:top w:val="nil"/>
              <w:left w:val="nil"/>
              <w:bottom w:val="nil"/>
              <w:right w:val="nil"/>
            </w:tcBorders>
            <w:shd w:val="clear" w:color="000000" w:fill="FFFFFF"/>
            <w:noWrap/>
            <w:vAlign w:val="center"/>
            <w:hideMark/>
          </w:tcPr>
          <w:p w14:paraId="07683CD2" w14:textId="77777777" w:rsidR="008719E0" w:rsidRPr="00EC4BA6" w:rsidRDefault="008719E0" w:rsidP="008719E0">
            <w:pPr>
              <w:spacing w:before="0" w:after="0" w:line="240" w:lineRule="auto"/>
              <w:rPr>
                <w:rFonts w:ascii="Arial" w:hAnsi="Arial" w:cs="Arial"/>
                <w:i/>
                <w:sz w:val="16"/>
                <w:szCs w:val="16"/>
              </w:rPr>
            </w:pPr>
            <w:r w:rsidRPr="00EC4BA6">
              <w:rPr>
                <w:rFonts w:ascii="Arial" w:hAnsi="Arial" w:cs="Arial"/>
                <w:i/>
                <w:sz w:val="16"/>
                <w:szCs w:val="16"/>
              </w:rPr>
              <w:t> </w:t>
            </w:r>
          </w:p>
        </w:tc>
        <w:tc>
          <w:tcPr>
            <w:tcW w:w="501" w:type="pct"/>
            <w:tcBorders>
              <w:top w:val="nil"/>
              <w:left w:val="nil"/>
              <w:bottom w:val="nil"/>
              <w:right w:val="nil"/>
            </w:tcBorders>
            <w:shd w:val="clear" w:color="000000" w:fill="FFFFFF"/>
            <w:noWrap/>
            <w:vAlign w:val="center"/>
            <w:hideMark/>
          </w:tcPr>
          <w:p w14:paraId="44F1EF26" w14:textId="77777777" w:rsidR="008719E0" w:rsidRPr="00EC4BA6" w:rsidRDefault="008719E0" w:rsidP="008719E0">
            <w:pPr>
              <w:spacing w:before="0" w:after="0" w:line="240" w:lineRule="auto"/>
              <w:rPr>
                <w:rFonts w:ascii="Arial" w:hAnsi="Arial" w:cs="Arial"/>
                <w:i/>
                <w:sz w:val="16"/>
                <w:szCs w:val="16"/>
              </w:rPr>
            </w:pPr>
            <w:r w:rsidRPr="00EC4BA6">
              <w:rPr>
                <w:rFonts w:ascii="Arial" w:hAnsi="Arial" w:cs="Arial"/>
                <w:i/>
                <w:sz w:val="16"/>
                <w:szCs w:val="16"/>
              </w:rPr>
              <w:t> </w:t>
            </w:r>
          </w:p>
        </w:tc>
        <w:tc>
          <w:tcPr>
            <w:tcW w:w="501" w:type="pct"/>
            <w:tcBorders>
              <w:top w:val="nil"/>
              <w:left w:val="nil"/>
              <w:bottom w:val="nil"/>
              <w:right w:val="nil"/>
            </w:tcBorders>
            <w:shd w:val="clear" w:color="000000" w:fill="FFFFFF"/>
            <w:noWrap/>
            <w:vAlign w:val="center"/>
            <w:hideMark/>
          </w:tcPr>
          <w:p w14:paraId="10705AC0" w14:textId="77777777" w:rsidR="008719E0" w:rsidRPr="00EC4BA6" w:rsidRDefault="008719E0" w:rsidP="008719E0">
            <w:pPr>
              <w:spacing w:before="0" w:after="0" w:line="240" w:lineRule="auto"/>
              <w:rPr>
                <w:rFonts w:ascii="Arial" w:hAnsi="Arial" w:cs="Arial"/>
                <w:i/>
                <w:sz w:val="16"/>
                <w:szCs w:val="16"/>
              </w:rPr>
            </w:pPr>
            <w:r w:rsidRPr="00EC4BA6">
              <w:rPr>
                <w:rFonts w:ascii="Arial" w:hAnsi="Arial" w:cs="Arial"/>
                <w:i/>
                <w:sz w:val="16"/>
                <w:szCs w:val="16"/>
              </w:rPr>
              <w:t> </w:t>
            </w:r>
          </w:p>
        </w:tc>
        <w:tc>
          <w:tcPr>
            <w:tcW w:w="50" w:type="pct"/>
            <w:tcBorders>
              <w:top w:val="nil"/>
              <w:left w:val="nil"/>
              <w:bottom w:val="nil"/>
              <w:right w:val="nil"/>
            </w:tcBorders>
            <w:shd w:val="clear" w:color="000000" w:fill="FFFFFF"/>
            <w:noWrap/>
            <w:vAlign w:val="center"/>
            <w:hideMark/>
          </w:tcPr>
          <w:p w14:paraId="41563857" w14:textId="77777777" w:rsidR="008719E0" w:rsidRPr="00EC4BA6" w:rsidRDefault="008719E0" w:rsidP="008719E0">
            <w:pPr>
              <w:spacing w:before="0" w:after="0" w:line="240" w:lineRule="auto"/>
              <w:rPr>
                <w:rFonts w:ascii="Arial" w:hAnsi="Arial" w:cs="Arial"/>
                <w:i/>
                <w:sz w:val="16"/>
                <w:szCs w:val="16"/>
              </w:rPr>
            </w:pPr>
            <w:r w:rsidRPr="00EC4BA6">
              <w:rPr>
                <w:rFonts w:ascii="Arial" w:hAnsi="Arial" w:cs="Arial"/>
                <w:i/>
                <w:sz w:val="16"/>
                <w:szCs w:val="16"/>
              </w:rPr>
              <w:t> </w:t>
            </w:r>
          </w:p>
        </w:tc>
        <w:tc>
          <w:tcPr>
            <w:tcW w:w="501" w:type="pct"/>
            <w:tcBorders>
              <w:top w:val="nil"/>
              <w:left w:val="nil"/>
              <w:bottom w:val="nil"/>
              <w:right w:val="nil"/>
            </w:tcBorders>
            <w:shd w:val="clear" w:color="000000" w:fill="FFFFFF"/>
            <w:noWrap/>
            <w:vAlign w:val="center"/>
            <w:hideMark/>
          </w:tcPr>
          <w:p w14:paraId="23BC2B1D" w14:textId="77777777" w:rsidR="008719E0" w:rsidRPr="00EC4BA6" w:rsidRDefault="008719E0" w:rsidP="008719E0">
            <w:pPr>
              <w:spacing w:before="0" w:after="0" w:line="240" w:lineRule="auto"/>
              <w:rPr>
                <w:rFonts w:ascii="Arial" w:hAnsi="Arial" w:cs="Arial"/>
                <w:sz w:val="16"/>
                <w:szCs w:val="16"/>
              </w:rPr>
            </w:pPr>
            <w:r w:rsidRPr="00EC4BA6">
              <w:rPr>
                <w:rFonts w:ascii="Arial" w:hAnsi="Arial" w:cs="Arial"/>
                <w:sz w:val="16"/>
                <w:szCs w:val="16"/>
              </w:rPr>
              <w:t> </w:t>
            </w:r>
          </w:p>
        </w:tc>
      </w:tr>
      <w:tr w:rsidR="008719E0" w:rsidRPr="00EC4BA6" w14:paraId="193DF734" w14:textId="77777777" w:rsidTr="00E565C3">
        <w:trPr>
          <w:trHeight w:hRule="exact" w:val="225"/>
        </w:trPr>
        <w:tc>
          <w:tcPr>
            <w:tcW w:w="1945" w:type="pct"/>
            <w:tcBorders>
              <w:top w:val="nil"/>
              <w:left w:val="nil"/>
              <w:bottom w:val="nil"/>
              <w:right w:val="nil"/>
            </w:tcBorders>
            <w:shd w:val="clear" w:color="000000" w:fill="FFFFFF"/>
            <w:noWrap/>
            <w:vAlign w:val="center"/>
            <w:hideMark/>
          </w:tcPr>
          <w:p w14:paraId="089A3739" w14:textId="77777777" w:rsidR="008719E0" w:rsidRPr="00EC4BA6" w:rsidRDefault="008719E0" w:rsidP="008719E0">
            <w:pPr>
              <w:spacing w:before="0" w:after="0" w:line="240" w:lineRule="auto"/>
              <w:rPr>
                <w:rFonts w:ascii="Arial" w:hAnsi="Arial" w:cs="Arial"/>
                <w:sz w:val="16"/>
                <w:szCs w:val="16"/>
              </w:rPr>
            </w:pPr>
            <w:r w:rsidRPr="00EC4BA6">
              <w:rPr>
                <w:rFonts w:ascii="Arial" w:hAnsi="Arial" w:cs="Arial"/>
                <w:sz w:val="16"/>
                <w:szCs w:val="16"/>
              </w:rPr>
              <w:t>Effect of policy decisions(a)</w:t>
            </w:r>
          </w:p>
        </w:tc>
        <w:tc>
          <w:tcPr>
            <w:tcW w:w="501" w:type="pct"/>
            <w:tcBorders>
              <w:top w:val="nil"/>
              <w:left w:val="nil"/>
              <w:bottom w:val="nil"/>
              <w:right w:val="nil"/>
            </w:tcBorders>
            <w:shd w:val="clear" w:color="000000" w:fill="FFFFFF"/>
            <w:noWrap/>
            <w:vAlign w:val="center"/>
            <w:hideMark/>
          </w:tcPr>
          <w:p w14:paraId="1F4528A0" w14:textId="77777777" w:rsidR="008719E0" w:rsidRPr="00EC4BA6" w:rsidRDefault="008719E0" w:rsidP="008719E0">
            <w:pPr>
              <w:spacing w:before="0" w:after="0" w:line="240" w:lineRule="auto"/>
              <w:jc w:val="right"/>
              <w:rPr>
                <w:rFonts w:ascii="Arial" w:hAnsi="Arial" w:cs="Arial"/>
                <w:sz w:val="16"/>
                <w:szCs w:val="16"/>
              </w:rPr>
            </w:pPr>
            <w:r w:rsidRPr="00EC4BA6">
              <w:rPr>
                <w:rFonts w:ascii="Arial" w:hAnsi="Arial" w:cs="Arial"/>
                <w:sz w:val="16"/>
                <w:szCs w:val="16"/>
              </w:rPr>
              <w:t>21</w:t>
            </w:r>
          </w:p>
        </w:tc>
        <w:tc>
          <w:tcPr>
            <w:tcW w:w="501" w:type="pct"/>
            <w:tcBorders>
              <w:top w:val="nil"/>
              <w:left w:val="nil"/>
              <w:bottom w:val="nil"/>
              <w:right w:val="nil"/>
            </w:tcBorders>
            <w:shd w:val="clear" w:color="000000" w:fill="E6F2FF"/>
            <w:noWrap/>
            <w:vAlign w:val="center"/>
            <w:hideMark/>
          </w:tcPr>
          <w:p w14:paraId="3B344E54" w14:textId="77080EF9" w:rsidR="008719E0" w:rsidRPr="00EC4BA6" w:rsidRDefault="001A3DD6" w:rsidP="008719E0">
            <w:pPr>
              <w:spacing w:before="0" w:after="0" w:line="240" w:lineRule="auto"/>
              <w:jc w:val="right"/>
              <w:rPr>
                <w:rFonts w:ascii="Arial" w:hAnsi="Arial" w:cs="Arial"/>
                <w:sz w:val="16"/>
                <w:szCs w:val="16"/>
              </w:rPr>
            </w:pPr>
            <w:r>
              <w:rPr>
                <w:rFonts w:ascii="Arial" w:hAnsi="Arial" w:cs="Arial"/>
                <w:sz w:val="16"/>
                <w:szCs w:val="16"/>
              </w:rPr>
              <w:noBreakHyphen/>
            </w:r>
            <w:r w:rsidR="008719E0" w:rsidRPr="00EC4BA6">
              <w:rPr>
                <w:rFonts w:ascii="Arial" w:hAnsi="Arial" w:cs="Arial"/>
                <w:sz w:val="16"/>
                <w:szCs w:val="16"/>
              </w:rPr>
              <w:t>49</w:t>
            </w:r>
          </w:p>
        </w:tc>
        <w:tc>
          <w:tcPr>
            <w:tcW w:w="501" w:type="pct"/>
            <w:tcBorders>
              <w:top w:val="nil"/>
              <w:left w:val="nil"/>
              <w:bottom w:val="nil"/>
              <w:right w:val="nil"/>
            </w:tcBorders>
            <w:shd w:val="clear" w:color="000000" w:fill="FFFFFF"/>
            <w:noWrap/>
            <w:vAlign w:val="center"/>
            <w:hideMark/>
          </w:tcPr>
          <w:p w14:paraId="60ADBBF0" w14:textId="4CE23F8E" w:rsidR="008719E0" w:rsidRPr="00EC4BA6" w:rsidRDefault="001A3DD6" w:rsidP="008719E0">
            <w:pPr>
              <w:spacing w:before="0" w:after="0" w:line="240" w:lineRule="auto"/>
              <w:jc w:val="right"/>
              <w:rPr>
                <w:rFonts w:ascii="Arial" w:hAnsi="Arial" w:cs="Arial"/>
                <w:sz w:val="16"/>
                <w:szCs w:val="16"/>
              </w:rPr>
            </w:pPr>
            <w:r>
              <w:rPr>
                <w:rFonts w:ascii="Arial" w:hAnsi="Arial" w:cs="Arial"/>
                <w:sz w:val="16"/>
                <w:szCs w:val="16"/>
              </w:rPr>
              <w:noBreakHyphen/>
            </w:r>
            <w:r w:rsidR="008719E0" w:rsidRPr="00EC4BA6">
              <w:rPr>
                <w:rFonts w:ascii="Arial" w:hAnsi="Arial" w:cs="Arial"/>
                <w:sz w:val="16"/>
                <w:szCs w:val="16"/>
              </w:rPr>
              <w:t>3,419</w:t>
            </w:r>
          </w:p>
        </w:tc>
        <w:tc>
          <w:tcPr>
            <w:tcW w:w="501" w:type="pct"/>
            <w:tcBorders>
              <w:top w:val="nil"/>
              <w:left w:val="nil"/>
              <w:bottom w:val="nil"/>
              <w:right w:val="nil"/>
            </w:tcBorders>
            <w:shd w:val="clear" w:color="000000" w:fill="FFFFFF"/>
            <w:noWrap/>
            <w:vAlign w:val="center"/>
            <w:hideMark/>
          </w:tcPr>
          <w:p w14:paraId="040FD4B6" w14:textId="71559B53" w:rsidR="008719E0" w:rsidRPr="00EC4BA6" w:rsidRDefault="001A3DD6" w:rsidP="008719E0">
            <w:pPr>
              <w:spacing w:before="0" w:after="0" w:line="240" w:lineRule="auto"/>
              <w:jc w:val="right"/>
              <w:rPr>
                <w:rFonts w:ascii="Arial" w:hAnsi="Arial" w:cs="Arial"/>
                <w:sz w:val="16"/>
                <w:szCs w:val="16"/>
              </w:rPr>
            </w:pPr>
            <w:r>
              <w:rPr>
                <w:rFonts w:ascii="Arial" w:hAnsi="Arial" w:cs="Arial"/>
                <w:sz w:val="16"/>
                <w:szCs w:val="16"/>
              </w:rPr>
              <w:noBreakHyphen/>
            </w:r>
            <w:r w:rsidR="008719E0" w:rsidRPr="00EC4BA6">
              <w:rPr>
                <w:rFonts w:ascii="Arial" w:hAnsi="Arial" w:cs="Arial"/>
                <w:sz w:val="16"/>
                <w:szCs w:val="16"/>
              </w:rPr>
              <w:t>6,292</w:t>
            </w:r>
          </w:p>
        </w:tc>
        <w:tc>
          <w:tcPr>
            <w:tcW w:w="501" w:type="pct"/>
            <w:tcBorders>
              <w:top w:val="nil"/>
              <w:left w:val="nil"/>
              <w:bottom w:val="nil"/>
              <w:right w:val="nil"/>
            </w:tcBorders>
            <w:shd w:val="clear" w:color="000000" w:fill="FFFFFF"/>
            <w:noWrap/>
            <w:vAlign w:val="center"/>
            <w:hideMark/>
          </w:tcPr>
          <w:p w14:paraId="6E5FFA85" w14:textId="0B7BDBD1" w:rsidR="008719E0" w:rsidRPr="00EC4BA6" w:rsidRDefault="001A3DD6" w:rsidP="008719E0">
            <w:pPr>
              <w:spacing w:before="0" w:after="0" w:line="240" w:lineRule="auto"/>
              <w:jc w:val="right"/>
              <w:rPr>
                <w:rFonts w:ascii="Arial" w:hAnsi="Arial" w:cs="Arial"/>
                <w:sz w:val="16"/>
                <w:szCs w:val="16"/>
              </w:rPr>
            </w:pPr>
            <w:r>
              <w:rPr>
                <w:rFonts w:ascii="Arial" w:hAnsi="Arial" w:cs="Arial"/>
                <w:sz w:val="16"/>
                <w:szCs w:val="16"/>
              </w:rPr>
              <w:noBreakHyphen/>
            </w:r>
            <w:r w:rsidR="008719E0" w:rsidRPr="00EC4BA6">
              <w:rPr>
                <w:rFonts w:ascii="Arial" w:hAnsi="Arial" w:cs="Arial"/>
                <w:sz w:val="16"/>
                <w:szCs w:val="16"/>
              </w:rPr>
              <w:t>2,874</w:t>
            </w:r>
          </w:p>
        </w:tc>
        <w:tc>
          <w:tcPr>
            <w:tcW w:w="50" w:type="pct"/>
            <w:tcBorders>
              <w:top w:val="nil"/>
              <w:left w:val="nil"/>
              <w:bottom w:val="nil"/>
              <w:right w:val="nil"/>
            </w:tcBorders>
            <w:shd w:val="clear" w:color="000000" w:fill="FFFFFF"/>
            <w:noWrap/>
            <w:vAlign w:val="center"/>
            <w:hideMark/>
          </w:tcPr>
          <w:p w14:paraId="731AA731" w14:textId="77777777" w:rsidR="008719E0" w:rsidRPr="00EC4BA6" w:rsidRDefault="008719E0" w:rsidP="008719E0">
            <w:pPr>
              <w:spacing w:before="0" w:after="0" w:line="240" w:lineRule="auto"/>
              <w:jc w:val="right"/>
              <w:rPr>
                <w:rFonts w:ascii="Arial" w:hAnsi="Arial" w:cs="Arial"/>
                <w:sz w:val="16"/>
                <w:szCs w:val="16"/>
              </w:rPr>
            </w:pPr>
            <w:r w:rsidRPr="00EC4BA6">
              <w:rPr>
                <w:rFonts w:ascii="Arial" w:hAnsi="Arial" w:cs="Arial"/>
                <w:sz w:val="16"/>
                <w:szCs w:val="16"/>
              </w:rPr>
              <w:t> </w:t>
            </w:r>
          </w:p>
        </w:tc>
        <w:tc>
          <w:tcPr>
            <w:tcW w:w="501" w:type="pct"/>
            <w:tcBorders>
              <w:top w:val="nil"/>
              <w:left w:val="nil"/>
              <w:bottom w:val="nil"/>
              <w:right w:val="nil"/>
            </w:tcBorders>
            <w:shd w:val="clear" w:color="000000" w:fill="FFFFFF"/>
            <w:noWrap/>
            <w:vAlign w:val="center"/>
            <w:hideMark/>
          </w:tcPr>
          <w:p w14:paraId="608CEBC6" w14:textId="5C8C87AD" w:rsidR="008719E0" w:rsidRPr="00EC4BA6" w:rsidRDefault="001A3DD6" w:rsidP="008719E0">
            <w:pPr>
              <w:spacing w:before="0" w:after="0" w:line="240" w:lineRule="auto"/>
              <w:jc w:val="right"/>
              <w:rPr>
                <w:rFonts w:ascii="Arial" w:hAnsi="Arial" w:cs="Arial"/>
                <w:sz w:val="16"/>
                <w:szCs w:val="16"/>
              </w:rPr>
            </w:pPr>
            <w:r>
              <w:rPr>
                <w:rFonts w:ascii="Arial" w:hAnsi="Arial" w:cs="Arial"/>
                <w:sz w:val="16"/>
                <w:szCs w:val="16"/>
              </w:rPr>
              <w:noBreakHyphen/>
            </w:r>
            <w:r w:rsidR="008719E0" w:rsidRPr="00EC4BA6">
              <w:rPr>
                <w:rFonts w:ascii="Arial" w:hAnsi="Arial" w:cs="Arial"/>
                <w:sz w:val="16"/>
                <w:szCs w:val="16"/>
              </w:rPr>
              <w:t>12,613</w:t>
            </w:r>
          </w:p>
        </w:tc>
      </w:tr>
      <w:tr w:rsidR="008719E0" w:rsidRPr="00EC4BA6" w14:paraId="79FA8E2C" w14:textId="77777777" w:rsidTr="00E565C3">
        <w:trPr>
          <w:trHeight w:hRule="exact" w:val="225"/>
        </w:trPr>
        <w:tc>
          <w:tcPr>
            <w:tcW w:w="1945" w:type="pct"/>
            <w:tcBorders>
              <w:top w:val="nil"/>
              <w:left w:val="nil"/>
              <w:bottom w:val="nil"/>
              <w:right w:val="nil"/>
            </w:tcBorders>
            <w:shd w:val="clear" w:color="000000" w:fill="FFFFFF"/>
            <w:noWrap/>
            <w:vAlign w:val="center"/>
            <w:hideMark/>
          </w:tcPr>
          <w:p w14:paraId="79414B6C" w14:textId="77777777" w:rsidR="008719E0" w:rsidRPr="00EC4BA6" w:rsidRDefault="008719E0" w:rsidP="008719E0">
            <w:pPr>
              <w:spacing w:before="0" w:after="0" w:line="240" w:lineRule="auto"/>
              <w:rPr>
                <w:rFonts w:ascii="Arial" w:hAnsi="Arial" w:cs="Arial"/>
                <w:sz w:val="16"/>
                <w:szCs w:val="16"/>
              </w:rPr>
            </w:pPr>
            <w:r w:rsidRPr="00EC4BA6">
              <w:rPr>
                <w:rFonts w:ascii="Arial" w:hAnsi="Arial" w:cs="Arial"/>
                <w:sz w:val="16"/>
                <w:szCs w:val="16"/>
              </w:rPr>
              <w:t>Effect of parameter and other variations</w:t>
            </w:r>
          </w:p>
        </w:tc>
        <w:tc>
          <w:tcPr>
            <w:tcW w:w="501" w:type="pct"/>
            <w:tcBorders>
              <w:top w:val="nil"/>
              <w:left w:val="nil"/>
              <w:bottom w:val="single" w:sz="4" w:space="0" w:color="293F5B"/>
              <w:right w:val="nil"/>
            </w:tcBorders>
            <w:shd w:val="clear" w:color="000000" w:fill="FFFFFF"/>
            <w:noWrap/>
            <w:vAlign w:val="center"/>
            <w:hideMark/>
          </w:tcPr>
          <w:p w14:paraId="58F75DA7" w14:textId="5D6B558E" w:rsidR="008719E0" w:rsidRPr="00EC4BA6" w:rsidRDefault="001A3DD6" w:rsidP="008719E0">
            <w:pPr>
              <w:spacing w:before="0" w:after="0" w:line="240" w:lineRule="auto"/>
              <w:jc w:val="right"/>
              <w:rPr>
                <w:rFonts w:ascii="Arial" w:hAnsi="Arial" w:cs="Arial"/>
                <w:sz w:val="16"/>
                <w:szCs w:val="16"/>
              </w:rPr>
            </w:pPr>
            <w:r>
              <w:rPr>
                <w:rFonts w:ascii="Arial" w:hAnsi="Arial" w:cs="Arial"/>
                <w:sz w:val="16"/>
                <w:szCs w:val="16"/>
              </w:rPr>
              <w:noBreakHyphen/>
            </w:r>
            <w:r w:rsidR="008719E0" w:rsidRPr="00EC4BA6">
              <w:rPr>
                <w:rFonts w:ascii="Arial" w:hAnsi="Arial" w:cs="Arial"/>
                <w:sz w:val="16"/>
                <w:szCs w:val="16"/>
              </w:rPr>
              <w:t>706</w:t>
            </w:r>
          </w:p>
        </w:tc>
        <w:tc>
          <w:tcPr>
            <w:tcW w:w="501" w:type="pct"/>
            <w:tcBorders>
              <w:top w:val="nil"/>
              <w:left w:val="nil"/>
              <w:bottom w:val="single" w:sz="4" w:space="0" w:color="293F5B"/>
              <w:right w:val="nil"/>
            </w:tcBorders>
            <w:shd w:val="clear" w:color="000000" w:fill="E6F2FF"/>
            <w:noWrap/>
            <w:vAlign w:val="center"/>
            <w:hideMark/>
          </w:tcPr>
          <w:p w14:paraId="24D0AD68" w14:textId="77777777" w:rsidR="008719E0" w:rsidRPr="00EC4BA6" w:rsidRDefault="008719E0" w:rsidP="008719E0">
            <w:pPr>
              <w:spacing w:before="0" w:after="0" w:line="240" w:lineRule="auto"/>
              <w:jc w:val="right"/>
              <w:rPr>
                <w:rFonts w:ascii="Arial" w:hAnsi="Arial" w:cs="Arial"/>
                <w:sz w:val="16"/>
                <w:szCs w:val="16"/>
              </w:rPr>
            </w:pPr>
            <w:r w:rsidRPr="00EC4BA6">
              <w:rPr>
                <w:rFonts w:ascii="Arial" w:hAnsi="Arial" w:cs="Arial"/>
                <w:sz w:val="16"/>
                <w:szCs w:val="16"/>
              </w:rPr>
              <w:t>7,100</w:t>
            </w:r>
          </w:p>
        </w:tc>
        <w:tc>
          <w:tcPr>
            <w:tcW w:w="501" w:type="pct"/>
            <w:tcBorders>
              <w:top w:val="nil"/>
              <w:left w:val="nil"/>
              <w:bottom w:val="single" w:sz="4" w:space="0" w:color="293F5B"/>
              <w:right w:val="nil"/>
            </w:tcBorders>
            <w:shd w:val="clear" w:color="000000" w:fill="FFFFFF"/>
            <w:noWrap/>
            <w:vAlign w:val="center"/>
            <w:hideMark/>
          </w:tcPr>
          <w:p w14:paraId="74992B2C" w14:textId="77777777" w:rsidR="008719E0" w:rsidRPr="00EC4BA6" w:rsidRDefault="008719E0" w:rsidP="008719E0">
            <w:pPr>
              <w:spacing w:before="0" w:after="0" w:line="240" w:lineRule="auto"/>
              <w:jc w:val="right"/>
              <w:rPr>
                <w:rFonts w:ascii="Arial" w:hAnsi="Arial" w:cs="Arial"/>
                <w:sz w:val="16"/>
                <w:szCs w:val="16"/>
              </w:rPr>
            </w:pPr>
            <w:r w:rsidRPr="00EC4BA6">
              <w:rPr>
                <w:rFonts w:ascii="Arial" w:hAnsi="Arial" w:cs="Arial"/>
                <w:sz w:val="16"/>
                <w:szCs w:val="16"/>
              </w:rPr>
              <w:t>5,949</w:t>
            </w:r>
          </w:p>
        </w:tc>
        <w:tc>
          <w:tcPr>
            <w:tcW w:w="501" w:type="pct"/>
            <w:tcBorders>
              <w:top w:val="nil"/>
              <w:left w:val="nil"/>
              <w:bottom w:val="single" w:sz="4" w:space="0" w:color="293F5B"/>
              <w:right w:val="nil"/>
            </w:tcBorders>
            <w:shd w:val="clear" w:color="000000" w:fill="FFFFFF"/>
            <w:noWrap/>
            <w:vAlign w:val="center"/>
            <w:hideMark/>
          </w:tcPr>
          <w:p w14:paraId="331A2042" w14:textId="0C21C23C" w:rsidR="008719E0" w:rsidRPr="00EC4BA6" w:rsidRDefault="001A3DD6" w:rsidP="008719E0">
            <w:pPr>
              <w:spacing w:before="0" w:after="0" w:line="240" w:lineRule="auto"/>
              <w:jc w:val="right"/>
              <w:rPr>
                <w:rFonts w:ascii="Arial" w:hAnsi="Arial" w:cs="Arial"/>
                <w:sz w:val="16"/>
                <w:szCs w:val="16"/>
              </w:rPr>
            </w:pPr>
            <w:r>
              <w:rPr>
                <w:rFonts w:ascii="Arial" w:hAnsi="Arial" w:cs="Arial"/>
                <w:sz w:val="16"/>
                <w:szCs w:val="16"/>
              </w:rPr>
              <w:noBreakHyphen/>
            </w:r>
            <w:r w:rsidR="008719E0" w:rsidRPr="00EC4BA6">
              <w:rPr>
                <w:rFonts w:ascii="Arial" w:hAnsi="Arial" w:cs="Arial"/>
                <w:sz w:val="16"/>
                <w:szCs w:val="16"/>
              </w:rPr>
              <w:t>717</w:t>
            </w:r>
          </w:p>
        </w:tc>
        <w:tc>
          <w:tcPr>
            <w:tcW w:w="501" w:type="pct"/>
            <w:tcBorders>
              <w:top w:val="nil"/>
              <w:left w:val="nil"/>
              <w:bottom w:val="single" w:sz="4" w:space="0" w:color="293F5B"/>
              <w:right w:val="nil"/>
            </w:tcBorders>
            <w:shd w:val="clear" w:color="000000" w:fill="FFFFFF"/>
            <w:noWrap/>
            <w:vAlign w:val="center"/>
            <w:hideMark/>
          </w:tcPr>
          <w:p w14:paraId="0C5465C3" w14:textId="77777777" w:rsidR="008719E0" w:rsidRPr="00EC4BA6" w:rsidRDefault="008719E0" w:rsidP="008719E0">
            <w:pPr>
              <w:spacing w:before="0" w:after="0" w:line="240" w:lineRule="auto"/>
              <w:jc w:val="right"/>
              <w:rPr>
                <w:rFonts w:ascii="Arial" w:hAnsi="Arial" w:cs="Arial"/>
                <w:sz w:val="16"/>
                <w:szCs w:val="16"/>
              </w:rPr>
            </w:pPr>
            <w:r w:rsidRPr="00EC4BA6">
              <w:rPr>
                <w:rFonts w:ascii="Arial" w:hAnsi="Arial" w:cs="Arial"/>
                <w:sz w:val="16"/>
                <w:szCs w:val="16"/>
              </w:rPr>
              <w:t>*</w:t>
            </w:r>
          </w:p>
        </w:tc>
        <w:tc>
          <w:tcPr>
            <w:tcW w:w="50" w:type="pct"/>
            <w:tcBorders>
              <w:top w:val="nil"/>
              <w:left w:val="nil"/>
              <w:bottom w:val="nil"/>
              <w:right w:val="nil"/>
            </w:tcBorders>
            <w:shd w:val="clear" w:color="000000" w:fill="FFFFFF"/>
            <w:noWrap/>
            <w:vAlign w:val="center"/>
            <w:hideMark/>
          </w:tcPr>
          <w:p w14:paraId="1CD09EE4" w14:textId="77777777" w:rsidR="008719E0" w:rsidRPr="00EC4BA6" w:rsidRDefault="008719E0" w:rsidP="008719E0">
            <w:pPr>
              <w:spacing w:before="0" w:after="0" w:line="240" w:lineRule="auto"/>
              <w:jc w:val="right"/>
              <w:rPr>
                <w:rFonts w:ascii="Arial" w:hAnsi="Arial" w:cs="Arial"/>
                <w:sz w:val="16"/>
                <w:szCs w:val="16"/>
              </w:rPr>
            </w:pPr>
            <w:r w:rsidRPr="00EC4BA6">
              <w:rPr>
                <w:rFonts w:ascii="Arial" w:hAnsi="Arial" w:cs="Arial"/>
                <w:sz w:val="16"/>
                <w:szCs w:val="16"/>
              </w:rPr>
              <w:t> </w:t>
            </w:r>
          </w:p>
        </w:tc>
        <w:tc>
          <w:tcPr>
            <w:tcW w:w="501" w:type="pct"/>
            <w:tcBorders>
              <w:top w:val="nil"/>
              <w:left w:val="nil"/>
              <w:bottom w:val="single" w:sz="4" w:space="0" w:color="293F5B"/>
              <w:right w:val="nil"/>
            </w:tcBorders>
            <w:shd w:val="clear" w:color="000000" w:fill="FFFFFF"/>
            <w:noWrap/>
            <w:vAlign w:val="center"/>
            <w:hideMark/>
          </w:tcPr>
          <w:p w14:paraId="0A6C5B63" w14:textId="77777777" w:rsidR="008719E0" w:rsidRPr="00EC4BA6" w:rsidRDefault="008719E0" w:rsidP="008719E0">
            <w:pPr>
              <w:spacing w:before="0" w:after="0" w:line="240" w:lineRule="auto"/>
              <w:jc w:val="right"/>
              <w:rPr>
                <w:rFonts w:ascii="Arial" w:hAnsi="Arial" w:cs="Arial"/>
                <w:sz w:val="16"/>
                <w:szCs w:val="16"/>
              </w:rPr>
            </w:pPr>
            <w:r w:rsidRPr="00EC4BA6">
              <w:rPr>
                <w:rFonts w:ascii="Arial" w:hAnsi="Arial" w:cs="Arial"/>
                <w:sz w:val="16"/>
                <w:szCs w:val="16"/>
              </w:rPr>
              <w:t>*</w:t>
            </w:r>
          </w:p>
        </w:tc>
      </w:tr>
      <w:tr w:rsidR="008719E0" w:rsidRPr="00EC4BA6" w14:paraId="2D081BA5" w14:textId="77777777" w:rsidTr="00E565C3">
        <w:trPr>
          <w:trHeight w:hRule="exact" w:val="225"/>
        </w:trPr>
        <w:tc>
          <w:tcPr>
            <w:tcW w:w="1945" w:type="pct"/>
            <w:tcBorders>
              <w:top w:val="nil"/>
              <w:left w:val="nil"/>
              <w:bottom w:val="nil"/>
              <w:right w:val="nil"/>
            </w:tcBorders>
            <w:shd w:val="clear" w:color="000000" w:fill="FFFFFF"/>
            <w:noWrap/>
            <w:vAlign w:val="center"/>
            <w:hideMark/>
          </w:tcPr>
          <w:p w14:paraId="1C2D2A71" w14:textId="77777777" w:rsidR="008719E0" w:rsidRPr="00EC4BA6" w:rsidRDefault="008719E0" w:rsidP="008719E0">
            <w:pPr>
              <w:spacing w:before="0" w:after="0" w:line="240" w:lineRule="auto"/>
              <w:rPr>
                <w:rFonts w:ascii="Arial" w:hAnsi="Arial" w:cs="Arial"/>
                <w:b/>
                <w:sz w:val="16"/>
                <w:szCs w:val="16"/>
              </w:rPr>
            </w:pPr>
            <w:r w:rsidRPr="00EC4BA6">
              <w:rPr>
                <w:rFonts w:ascii="Arial" w:hAnsi="Arial" w:cs="Arial"/>
                <w:b/>
                <w:sz w:val="16"/>
                <w:szCs w:val="16"/>
              </w:rPr>
              <w:t>Total variations</w:t>
            </w:r>
          </w:p>
        </w:tc>
        <w:tc>
          <w:tcPr>
            <w:tcW w:w="501" w:type="pct"/>
            <w:tcBorders>
              <w:top w:val="nil"/>
              <w:left w:val="nil"/>
              <w:bottom w:val="single" w:sz="4" w:space="0" w:color="293F5B"/>
              <w:right w:val="nil"/>
            </w:tcBorders>
            <w:shd w:val="clear" w:color="000000" w:fill="FFFFFF"/>
            <w:noWrap/>
            <w:vAlign w:val="center"/>
            <w:hideMark/>
          </w:tcPr>
          <w:p w14:paraId="0BC1FFA7" w14:textId="5C306022" w:rsidR="008719E0" w:rsidRPr="00EC4BA6" w:rsidRDefault="001A3DD6" w:rsidP="008719E0">
            <w:pPr>
              <w:spacing w:before="0" w:after="0" w:line="240" w:lineRule="auto"/>
              <w:jc w:val="right"/>
              <w:rPr>
                <w:rFonts w:ascii="Arial" w:hAnsi="Arial" w:cs="Arial"/>
                <w:b/>
                <w:sz w:val="16"/>
                <w:szCs w:val="16"/>
              </w:rPr>
            </w:pPr>
            <w:r>
              <w:rPr>
                <w:rFonts w:ascii="Arial" w:hAnsi="Arial" w:cs="Arial"/>
                <w:b/>
                <w:sz w:val="16"/>
                <w:szCs w:val="16"/>
              </w:rPr>
              <w:noBreakHyphen/>
            </w:r>
            <w:r w:rsidR="008719E0" w:rsidRPr="00EC4BA6">
              <w:rPr>
                <w:rFonts w:ascii="Arial" w:hAnsi="Arial" w:cs="Arial"/>
                <w:b/>
                <w:sz w:val="16"/>
                <w:szCs w:val="16"/>
              </w:rPr>
              <w:t>685</w:t>
            </w:r>
          </w:p>
        </w:tc>
        <w:tc>
          <w:tcPr>
            <w:tcW w:w="501" w:type="pct"/>
            <w:tcBorders>
              <w:top w:val="nil"/>
              <w:left w:val="nil"/>
              <w:bottom w:val="single" w:sz="4" w:space="0" w:color="293F5B"/>
              <w:right w:val="nil"/>
            </w:tcBorders>
            <w:shd w:val="clear" w:color="000000" w:fill="E6F2FF"/>
            <w:noWrap/>
            <w:vAlign w:val="center"/>
            <w:hideMark/>
          </w:tcPr>
          <w:p w14:paraId="2C7971E6" w14:textId="77777777" w:rsidR="008719E0" w:rsidRPr="00EC4BA6" w:rsidRDefault="008719E0" w:rsidP="008719E0">
            <w:pPr>
              <w:spacing w:before="0" w:after="0" w:line="240" w:lineRule="auto"/>
              <w:jc w:val="right"/>
              <w:rPr>
                <w:rFonts w:ascii="Arial" w:hAnsi="Arial" w:cs="Arial"/>
                <w:b/>
                <w:sz w:val="16"/>
                <w:szCs w:val="16"/>
              </w:rPr>
            </w:pPr>
            <w:r w:rsidRPr="00EC4BA6">
              <w:rPr>
                <w:rFonts w:ascii="Arial" w:hAnsi="Arial" w:cs="Arial"/>
                <w:b/>
                <w:sz w:val="16"/>
                <w:szCs w:val="16"/>
              </w:rPr>
              <w:t>7,052</w:t>
            </w:r>
          </w:p>
        </w:tc>
        <w:tc>
          <w:tcPr>
            <w:tcW w:w="501" w:type="pct"/>
            <w:tcBorders>
              <w:top w:val="nil"/>
              <w:left w:val="nil"/>
              <w:bottom w:val="single" w:sz="4" w:space="0" w:color="293F5B"/>
              <w:right w:val="nil"/>
            </w:tcBorders>
            <w:shd w:val="clear" w:color="000000" w:fill="FFFFFF"/>
            <w:noWrap/>
            <w:vAlign w:val="center"/>
            <w:hideMark/>
          </w:tcPr>
          <w:p w14:paraId="4A13624A" w14:textId="77777777" w:rsidR="008719E0" w:rsidRPr="00EC4BA6" w:rsidRDefault="008719E0" w:rsidP="008719E0">
            <w:pPr>
              <w:spacing w:before="0" w:after="0" w:line="240" w:lineRule="auto"/>
              <w:jc w:val="right"/>
              <w:rPr>
                <w:rFonts w:ascii="Arial" w:hAnsi="Arial" w:cs="Arial"/>
                <w:b/>
                <w:sz w:val="16"/>
                <w:szCs w:val="16"/>
              </w:rPr>
            </w:pPr>
            <w:r w:rsidRPr="00EC4BA6">
              <w:rPr>
                <w:rFonts w:ascii="Arial" w:hAnsi="Arial" w:cs="Arial"/>
                <w:b/>
                <w:sz w:val="16"/>
                <w:szCs w:val="16"/>
              </w:rPr>
              <w:t>2,530</w:t>
            </w:r>
          </w:p>
        </w:tc>
        <w:tc>
          <w:tcPr>
            <w:tcW w:w="501" w:type="pct"/>
            <w:tcBorders>
              <w:top w:val="nil"/>
              <w:left w:val="nil"/>
              <w:bottom w:val="single" w:sz="4" w:space="0" w:color="293F5B"/>
              <w:right w:val="nil"/>
            </w:tcBorders>
            <w:shd w:val="clear" w:color="000000" w:fill="FFFFFF"/>
            <w:noWrap/>
            <w:vAlign w:val="center"/>
            <w:hideMark/>
          </w:tcPr>
          <w:p w14:paraId="64AE93A3" w14:textId="559999DD" w:rsidR="008719E0" w:rsidRPr="00EC4BA6" w:rsidRDefault="001A3DD6" w:rsidP="008719E0">
            <w:pPr>
              <w:spacing w:before="0" w:after="0" w:line="240" w:lineRule="auto"/>
              <w:jc w:val="right"/>
              <w:rPr>
                <w:rFonts w:ascii="Arial" w:hAnsi="Arial" w:cs="Arial"/>
                <w:b/>
                <w:sz w:val="16"/>
                <w:szCs w:val="16"/>
              </w:rPr>
            </w:pPr>
            <w:r>
              <w:rPr>
                <w:rFonts w:ascii="Arial" w:hAnsi="Arial" w:cs="Arial"/>
                <w:b/>
                <w:sz w:val="16"/>
                <w:szCs w:val="16"/>
              </w:rPr>
              <w:noBreakHyphen/>
            </w:r>
            <w:r w:rsidR="008719E0" w:rsidRPr="00EC4BA6">
              <w:rPr>
                <w:rFonts w:ascii="Arial" w:hAnsi="Arial" w:cs="Arial"/>
                <w:b/>
                <w:sz w:val="16"/>
                <w:szCs w:val="16"/>
              </w:rPr>
              <w:t>7,009</w:t>
            </w:r>
          </w:p>
        </w:tc>
        <w:tc>
          <w:tcPr>
            <w:tcW w:w="501" w:type="pct"/>
            <w:tcBorders>
              <w:top w:val="nil"/>
              <w:left w:val="nil"/>
              <w:bottom w:val="single" w:sz="4" w:space="0" w:color="293F5B"/>
              <w:right w:val="nil"/>
            </w:tcBorders>
            <w:shd w:val="clear" w:color="000000" w:fill="FFFFFF"/>
            <w:noWrap/>
            <w:vAlign w:val="center"/>
            <w:hideMark/>
          </w:tcPr>
          <w:p w14:paraId="1862BD7E" w14:textId="77777777" w:rsidR="008719E0" w:rsidRPr="00EC4BA6" w:rsidRDefault="008719E0" w:rsidP="008719E0">
            <w:pPr>
              <w:spacing w:before="0" w:after="0" w:line="240" w:lineRule="auto"/>
              <w:jc w:val="right"/>
              <w:rPr>
                <w:rFonts w:ascii="Arial" w:hAnsi="Arial" w:cs="Arial"/>
                <w:b/>
                <w:sz w:val="16"/>
                <w:szCs w:val="16"/>
              </w:rPr>
            </w:pPr>
            <w:r w:rsidRPr="00EC4BA6">
              <w:rPr>
                <w:rFonts w:ascii="Arial" w:hAnsi="Arial" w:cs="Arial"/>
                <w:b/>
                <w:sz w:val="16"/>
                <w:szCs w:val="16"/>
              </w:rPr>
              <w:t>*</w:t>
            </w:r>
          </w:p>
        </w:tc>
        <w:tc>
          <w:tcPr>
            <w:tcW w:w="50" w:type="pct"/>
            <w:tcBorders>
              <w:top w:val="nil"/>
              <w:left w:val="nil"/>
              <w:bottom w:val="nil"/>
              <w:right w:val="nil"/>
            </w:tcBorders>
            <w:shd w:val="clear" w:color="000000" w:fill="FFFFFF"/>
            <w:noWrap/>
            <w:vAlign w:val="center"/>
            <w:hideMark/>
          </w:tcPr>
          <w:p w14:paraId="1F0C461E" w14:textId="77777777" w:rsidR="008719E0" w:rsidRPr="00EC4BA6" w:rsidRDefault="008719E0" w:rsidP="008719E0">
            <w:pPr>
              <w:spacing w:before="0" w:after="0" w:line="240" w:lineRule="auto"/>
              <w:jc w:val="right"/>
              <w:rPr>
                <w:rFonts w:ascii="Arial" w:hAnsi="Arial" w:cs="Arial"/>
                <w:b/>
                <w:sz w:val="16"/>
                <w:szCs w:val="16"/>
              </w:rPr>
            </w:pPr>
            <w:r w:rsidRPr="00EC4BA6">
              <w:rPr>
                <w:rFonts w:ascii="Arial" w:hAnsi="Arial" w:cs="Arial"/>
                <w:b/>
                <w:sz w:val="16"/>
                <w:szCs w:val="16"/>
              </w:rPr>
              <w:t> </w:t>
            </w:r>
          </w:p>
        </w:tc>
        <w:tc>
          <w:tcPr>
            <w:tcW w:w="501" w:type="pct"/>
            <w:tcBorders>
              <w:top w:val="nil"/>
              <w:left w:val="nil"/>
              <w:bottom w:val="single" w:sz="4" w:space="0" w:color="293F5B"/>
              <w:right w:val="nil"/>
            </w:tcBorders>
            <w:shd w:val="clear" w:color="000000" w:fill="FFFFFF"/>
            <w:noWrap/>
            <w:vAlign w:val="center"/>
            <w:hideMark/>
          </w:tcPr>
          <w:p w14:paraId="34EAC158" w14:textId="77777777" w:rsidR="008719E0" w:rsidRPr="00EC4BA6" w:rsidRDefault="008719E0" w:rsidP="008719E0">
            <w:pPr>
              <w:spacing w:before="0" w:after="0" w:line="240" w:lineRule="auto"/>
              <w:jc w:val="right"/>
              <w:rPr>
                <w:rFonts w:ascii="Arial" w:hAnsi="Arial" w:cs="Arial"/>
                <w:b/>
                <w:sz w:val="16"/>
                <w:szCs w:val="16"/>
              </w:rPr>
            </w:pPr>
            <w:r w:rsidRPr="00EC4BA6">
              <w:rPr>
                <w:rFonts w:ascii="Arial" w:hAnsi="Arial" w:cs="Arial"/>
                <w:b/>
                <w:sz w:val="16"/>
                <w:szCs w:val="16"/>
              </w:rPr>
              <w:t>*</w:t>
            </w:r>
          </w:p>
        </w:tc>
      </w:tr>
      <w:tr w:rsidR="008719E0" w:rsidRPr="00EC4BA6" w14:paraId="03A77D32" w14:textId="77777777" w:rsidTr="00E565C3">
        <w:trPr>
          <w:trHeight w:hRule="exact" w:val="60"/>
        </w:trPr>
        <w:tc>
          <w:tcPr>
            <w:tcW w:w="1945" w:type="pct"/>
            <w:tcBorders>
              <w:top w:val="nil"/>
              <w:left w:val="nil"/>
              <w:bottom w:val="nil"/>
              <w:right w:val="nil"/>
            </w:tcBorders>
            <w:shd w:val="clear" w:color="000000" w:fill="FFFFFF"/>
            <w:noWrap/>
            <w:vAlign w:val="center"/>
            <w:hideMark/>
          </w:tcPr>
          <w:p w14:paraId="2B195824" w14:textId="77777777" w:rsidR="008719E0" w:rsidRPr="00EC4BA6" w:rsidRDefault="008719E0" w:rsidP="008719E0">
            <w:pPr>
              <w:spacing w:before="0" w:after="0" w:line="240" w:lineRule="auto"/>
              <w:rPr>
                <w:rFonts w:ascii="Arial" w:hAnsi="Arial" w:cs="Arial"/>
                <w:b/>
                <w:sz w:val="16"/>
                <w:szCs w:val="16"/>
              </w:rPr>
            </w:pPr>
            <w:r w:rsidRPr="00EC4BA6">
              <w:rPr>
                <w:rFonts w:ascii="Arial" w:hAnsi="Arial" w:cs="Arial"/>
                <w:b/>
                <w:sz w:val="16"/>
                <w:szCs w:val="16"/>
              </w:rPr>
              <w:t> </w:t>
            </w:r>
          </w:p>
        </w:tc>
        <w:tc>
          <w:tcPr>
            <w:tcW w:w="501" w:type="pct"/>
            <w:tcBorders>
              <w:top w:val="nil"/>
              <w:left w:val="nil"/>
              <w:bottom w:val="nil"/>
              <w:right w:val="nil"/>
            </w:tcBorders>
            <w:shd w:val="clear" w:color="000000" w:fill="FFFFFF"/>
            <w:noWrap/>
            <w:vAlign w:val="center"/>
            <w:hideMark/>
          </w:tcPr>
          <w:p w14:paraId="065736B2" w14:textId="77777777" w:rsidR="008719E0" w:rsidRPr="00EC4BA6" w:rsidRDefault="008719E0" w:rsidP="008719E0">
            <w:pPr>
              <w:spacing w:before="0" w:after="0" w:line="240" w:lineRule="auto"/>
              <w:rPr>
                <w:rFonts w:ascii="Arial" w:hAnsi="Arial" w:cs="Arial"/>
                <w:sz w:val="16"/>
                <w:szCs w:val="16"/>
              </w:rPr>
            </w:pPr>
            <w:r w:rsidRPr="00EC4BA6">
              <w:rPr>
                <w:rFonts w:ascii="Arial" w:hAnsi="Arial" w:cs="Arial"/>
                <w:sz w:val="16"/>
                <w:szCs w:val="16"/>
              </w:rPr>
              <w:t> </w:t>
            </w:r>
          </w:p>
        </w:tc>
        <w:tc>
          <w:tcPr>
            <w:tcW w:w="501" w:type="pct"/>
            <w:tcBorders>
              <w:top w:val="nil"/>
              <w:left w:val="nil"/>
              <w:bottom w:val="nil"/>
              <w:right w:val="nil"/>
            </w:tcBorders>
            <w:shd w:val="clear" w:color="000000" w:fill="E6F2FF"/>
            <w:noWrap/>
            <w:vAlign w:val="center"/>
            <w:hideMark/>
          </w:tcPr>
          <w:p w14:paraId="5ADA076E" w14:textId="77777777" w:rsidR="008719E0" w:rsidRPr="00EC4BA6" w:rsidRDefault="008719E0" w:rsidP="008719E0">
            <w:pPr>
              <w:spacing w:before="0" w:after="0" w:line="240" w:lineRule="auto"/>
              <w:rPr>
                <w:rFonts w:ascii="Arial" w:hAnsi="Arial" w:cs="Arial"/>
                <w:sz w:val="16"/>
                <w:szCs w:val="16"/>
              </w:rPr>
            </w:pPr>
            <w:r w:rsidRPr="00EC4BA6">
              <w:rPr>
                <w:rFonts w:ascii="Arial" w:hAnsi="Arial" w:cs="Arial"/>
                <w:sz w:val="16"/>
                <w:szCs w:val="16"/>
              </w:rPr>
              <w:t> </w:t>
            </w:r>
          </w:p>
        </w:tc>
        <w:tc>
          <w:tcPr>
            <w:tcW w:w="501" w:type="pct"/>
            <w:tcBorders>
              <w:top w:val="nil"/>
              <w:left w:val="nil"/>
              <w:bottom w:val="nil"/>
              <w:right w:val="nil"/>
            </w:tcBorders>
            <w:shd w:val="clear" w:color="000000" w:fill="FFFFFF"/>
            <w:noWrap/>
            <w:vAlign w:val="center"/>
            <w:hideMark/>
          </w:tcPr>
          <w:p w14:paraId="795BECB6" w14:textId="77777777" w:rsidR="008719E0" w:rsidRPr="00EC4BA6" w:rsidRDefault="008719E0" w:rsidP="008719E0">
            <w:pPr>
              <w:spacing w:before="0" w:after="0" w:line="240" w:lineRule="auto"/>
              <w:rPr>
                <w:rFonts w:ascii="Arial" w:hAnsi="Arial" w:cs="Arial"/>
                <w:sz w:val="16"/>
                <w:szCs w:val="16"/>
              </w:rPr>
            </w:pPr>
            <w:r w:rsidRPr="00EC4BA6">
              <w:rPr>
                <w:rFonts w:ascii="Arial" w:hAnsi="Arial" w:cs="Arial"/>
                <w:sz w:val="16"/>
                <w:szCs w:val="16"/>
              </w:rPr>
              <w:t> </w:t>
            </w:r>
          </w:p>
        </w:tc>
        <w:tc>
          <w:tcPr>
            <w:tcW w:w="501" w:type="pct"/>
            <w:tcBorders>
              <w:top w:val="nil"/>
              <w:left w:val="nil"/>
              <w:bottom w:val="nil"/>
              <w:right w:val="nil"/>
            </w:tcBorders>
            <w:shd w:val="clear" w:color="000000" w:fill="FFFFFF"/>
            <w:noWrap/>
            <w:vAlign w:val="center"/>
            <w:hideMark/>
          </w:tcPr>
          <w:p w14:paraId="5694F595" w14:textId="77777777" w:rsidR="008719E0" w:rsidRPr="00EC4BA6" w:rsidRDefault="008719E0" w:rsidP="008719E0">
            <w:pPr>
              <w:spacing w:before="0" w:after="0" w:line="240" w:lineRule="auto"/>
              <w:rPr>
                <w:rFonts w:ascii="Arial" w:hAnsi="Arial" w:cs="Arial"/>
                <w:sz w:val="16"/>
                <w:szCs w:val="16"/>
              </w:rPr>
            </w:pPr>
            <w:r w:rsidRPr="00EC4BA6">
              <w:rPr>
                <w:rFonts w:ascii="Arial" w:hAnsi="Arial" w:cs="Arial"/>
                <w:sz w:val="16"/>
                <w:szCs w:val="16"/>
              </w:rPr>
              <w:t> </w:t>
            </w:r>
          </w:p>
        </w:tc>
        <w:tc>
          <w:tcPr>
            <w:tcW w:w="501" w:type="pct"/>
            <w:tcBorders>
              <w:top w:val="nil"/>
              <w:left w:val="nil"/>
              <w:bottom w:val="nil"/>
              <w:right w:val="nil"/>
            </w:tcBorders>
            <w:shd w:val="clear" w:color="000000" w:fill="FFFFFF"/>
            <w:noWrap/>
            <w:vAlign w:val="center"/>
            <w:hideMark/>
          </w:tcPr>
          <w:p w14:paraId="2B9E2B86" w14:textId="77777777" w:rsidR="008719E0" w:rsidRPr="00EC4BA6" w:rsidRDefault="008719E0" w:rsidP="008719E0">
            <w:pPr>
              <w:spacing w:before="0" w:after="0" w:line="240" w:lineRule="auto"/>
              <w:rPr>
                <w:rFonts w:ascii="Arial" w:hAnsi="Arial" w:cs="Arial"/>
                <w:sz w:val="16"/>
                <w:szCs w:val="16"/>
              </w:rPr>
            </w:pPr>
            <w:r w:rsidRPr="00EC4BA6">
              <w:rPr>
                <w:rFonts w:ascii="Arial" w:hAnsi="Arial" w:cs="Arial"/>
                <w:sz w:val="16"/>
                <w:szCs w:val="16"/>
              </w:rPr>
              <w:t> </w:t>
            </w:r>
          </w:p>
        </w:tc>
        <w:tc>
          <w:tcPr>
            <w:tcW w:w="50" w:type="pct"/>
            <w:tcBorders>
              <w:top w:val="nil"/>
              <w:left w:val="nil"/>
              <w:bottom w:val="nil"/>
              <w:right w:val="nil"/>
            </w:tcBorders>
            <w:shd w:val="clear" w:color="000000" w:fill="FFFFFF"/>
            <w:noWrap/>
            <w:vAlign w:val="center"/>
            <w:hideMark/>
          </w:tcPr>
          <w:p w14:paraId="6DF877B6" w14:textId="77777777" w:rsidR="008719E0" w:rsidRPr="00EC4BA6" w:rsidRDefault="008719E0" w:rsidP="008719E0">
            <w:pPr>
              <w:spacing w:before="0" w:after="0" w:line="240" w:lineRule="auto"/>
              <w:rPr>
                <w:rFonts w:ascii="Arial" w:hAnsi="Arial" w:cs="Arial"/>
                <w:sz w:val="16"/>
                <w:szCs w:val="16"/>
              </w:rPr>
            </w:pPr>
            <w:r w:rsidRPr="00EC4BA6">
              <w:rPr>
                <w:rFonts w:ascii="Arial" w:hAnsi="Arial" w:cs="Arial"/>
                <w:sz w:val="16"/>
                <w:szCs w:val="16"/>
              </w:rPr>
              <w:t> </w:t>
            </w:r>
          </w:p>
        </w:tc>
        <w:tc>
          <w:tcPr>
            <w:tcW w:w="501" w:type="pct"/>
            <w:tcBorders>
              <w:top w:val="nil"/>
              <w:left w:val="nil"/>
              <w:bottom w:val="nil"/>
              <w:right w:val="nil"/>
            </w:tcBorders>
            <w:shd w:val="clear" w:color="000000" w:fill="FFFFFF"/>
            <w:noWrap/>
            <w:vAlign w:val="center"/>
            <w:hideMark/>
          </w:tcPr>
          <w:p w14:paraId="70157E9F" w14:textId="77777777" w:rsidR="008719E0" w:rsidRPr="00EC4BA6" w:rsidRDefault="008719E0" w:rsidP="008719E0">
            <w:pPr>
              <w:spacing w:before="0" w:after="0" w:line="240" w:lineRule="auto"/>
              <w:rPr>
                <w:rFonts w:ascii="Arial" w:hAnsi="Arial" w:cs="Arial"/>
                <w:sz w:val="16"/>
                <w:szCs w:val="16"/>
              </w:rPr>
            </w:pPr>
            <w:r w:rsidRPr="00EC4BA6">
              <w:rPr>
                <w:rFonts w:ascii="Arial" w:hAnsi="Arial" w:cs="Arial"/>
                <w:sz w:val="16"/>
                <w:szCs w:val="16"/>
              </w:rPr>
              <w:t> </w:t>
            </w:r>
          </w:p>
        </w:tc>
      </w:tr>
      <w:tr w:rsidR="008719E0" w:rsidRPr="00EC4BA6" w14:paraId="6232A9B9" w14:textId="77777777" w:rsidTr="00E565C3">
        <w:trPr>
          <w:trHeight w:hRule="exact" w:val="225"/>
        </w:trPr>
        <w:tc>
          <w:tcPr>
            <w:tcW w:w="1945" w:type="pct"/>
            <w:tcBorders>
              <w:top w:val="nil"/>
              <w:left w:val="nil"/>
              <w:bottom w:val="single" w:sz="4" w:space="0" w:color="293F5B"/>
              <w:right w:val="nil"/>
            </w:tcBorders>
            <w:shd w:val="clear" w:color="000000" w:fill="FFFFFF"/>
            <w:noWrap/>
            <w:vAlign w:val="center"/>
            <w:hideMark/>
          </w:tcPr>
          <w:p w14:paraId="4B7A9C23" w14:textId="1444A6B5" w:rsidR="008719E0" w:rsidRPr="00EC4BA6" w:rsidRDefault="008719E0" w:rsidP="008719E0">
            <w:pPr>
              <w:spacing w:before="0" w:after="0" w:line="240" w:lineRule="auto"/>
              <w:rPr>
                <w:rFonts w:ascii="Arial" w:hAnsi="Arial" w:cs="Arial"/>
                <w:b/>
                <w:sz w:val="16"/>
                <w:szCs w:val="16"/>
              </w:rPr>
            </w:pPr>
            <w:r w:rsidRPr="00EC4BA6">
              <w:rPr>
                <w:rFonts w:ascii="Arial" w:hAnsi="Arial" w:cs="Arial"/>
                <w:b/>
                <w:sz w:val="16"/>
                <w:szCs w:val="16"/>
              </w:rPr>
              <w:t xml:space="preserve">Revenue </w:t>
            </w:r>
            <w:proofErr w:type="gramStart"/>
            <w:r w:rsidRPr="00EC4BA6">
              <w:rPr>
                <w:rFonts w:ascii="Arial" w:hAnsi="Arial" w:cs="Arial"/>
                <w:b/>
                <w:sz w:val="16"/>
                <w:szCs w:val="16"/>
              </w:rPr>
              <w:t>at</w:t>
            </w:r>
            <w:proofErr w:type="gramEnd"/>
            <w:r w:rsidRPr="00EC4BA6">
              <w:rPr>
                <w:rFonts w:ascii="Arial" w:hAnsi="Arial" w:cs="Arial"/>
                <w:b/>
                <w:sz w:val="16"/>
                <w:szCs w:val="16"/>
              </w:rPr>
              <w:t xml:space="preserve"> 2025</w:t>
            </w:r>
            <w:r w:rsidR="001A3DD6">
              <w:rPr>
                <w:rFonts w:ascii="Arial" w:hAnsi="Arial" w:cs="Arial"/>
                <w:b/>
                <w:sz w:val="16"/>
                <w:szCs w:val="16"/>
              </w:rPr>
              <w:noBreakHyphen/>
            </w:r>
            <w:r w:rsidRPr="00EC4BA6">
              <w:rPr>
                <w:rFonts w:ascii="Arial" w:hAnsi="Arial" w:cs="Arial"/>
                <w:b/>
                <w:sz w:val="16"/>
                <w:szCs w:val="16"/>
              </w:rPr>
              <w:t>26 Budget</w:t>
            </w:r>
          </w:p>
        </w:tc>
        <w:tc>
          <w:tcPr>
            <w:tcW w:w="501" w:type="pct"/>
            <w:tcBorders>
              <w:top w:val="nil"/>
              <w:left w:val="nil"/>
              <w:bottom w:val="single" w:sz="4" w:space="0" w:color="293F5B"/>
              <w:right w:val="nil"/>
            </w:tcBorders>
            <w:shd w:val="clear" w:color="000000" w:fill="FFFFFF"/>
            <w:noWrap/>
            <w:vAlign w:val="center"/>
            <w:hideMark/>
          </w:tcPr>
          <w:p w14:paraId="39C4D4AA" w14:textId="77777777" w:rsidR="008719E0" w:rsidRPr="00EC4BA6" w:rsidRDefault="008719E0" w:rsidP="008719E0">
            <w:pPr>
              <w:spacing w:before="0" w:after="0" w:line="240" w:lineRule="auto"/>
              <w:jc w:val="right"/>
              <w:rPr>
                <w:rFonts w:ascii="Arial" w:hAnsi="Arial" w:cs="Arial"/>
                <w:b/>
                <w:sz w:val="16"/>
                <w:szCs w:val="16"/>
              </w:rPr>
            </w:pPr>
            <w:r w:rsidRPr="00EC4BA6">
              <w:rPr>
                <w:rFonts w:ascii="Arial" w:hAnsi="Arial" w:cs="Arial"/>
                <w:b/>
                <w:sz w:val="16"/>
                <w:szCs w:val="16"/>
              </w:rPr>
              <w:t>717,568</w:t>
            </w:r>
          </w:p>
        </w:tc>
        <w:tc>
          <w:tcPr>
            <w:tcW w:w="501" w:type="pct"/>
            <w:tcBorders>
              <w:top w:val="nil"/>
              <w:left w:val="nil"/>
              <w:bottom w:val="single" w:sz="4" w:space="0" w:color="293F5B"/>
              <w:right w:val="nil"/>
            </w:tcBorders>
            <w:shd w:val="clear" w:color="000000" w:fill="E6F2FF"/>
            <w:noWrap/>
            <w:vAlign w:val="center"/>
            <w:hideMark/>
          </w:tcPr>
          <w:p w14:paraId="4F1F5174" w14:textId="77777777" w:rsidR="008719E0" w:rsidRPr="00EC4BA6" w:rsidRDefault="008719E0" w:rsidP="008719E0">
            <w:pPr>
              <w:spacing w:before="0" w:after="0" w:line="240" w:lineRule="auto"/>
              <w:jc w:val="right"/>
              <w:rPr>
                <w:rFonts w:ascii="Arial" w:hAnsi="Arial" w:cs="Arial"/>
                <w:b/>
                <w:sz w:val="16"/>
                <w:szCs w:val="16"/>
              </w:rPr>
            </w:pPr>
            <w:r w:rsidRPr="00EC4BA6">
              <w:rPr>
                <w:rFonts w:ascii="Arial" w:hAnsi="Arial" w:cs="Arial"/>
                <w:b/>
                <w:sz w:val="16"/>
                <w:szCs w:val="16"/>
              </w:rPr>
              <w:t>750,262</w:t>
            </w:r>
          </w:p>
        </w:tc>
        <w:tc>
          <w:tcPr>
            <w:tcW w:w="501" w:type="pct"/>
            <w:tcBorders>
              <w:top w:val="nil"/>
              <w:left w:val="nil"/>
              <w:bottom w:val="single" w:sz="4" w:space="0" w:color="293F5B"/>
              <w:right w:val="nil"/>
            </w:tcBorders>
            <w:shd w:val="clear" w:color="000000" w:fill="FFFFFF"/>
            <w:noWrap/>
            <w:vAlign w:val="center"/>
            <w:hideMark/>
          </w:tcPr>
          <w:p w14:paraId="7F84A4DB" w14:textId="77777777" w:rsidR="008719E0" w:rsidRPr="00EC4BA6" w:rsidRDefault="008719E0" w:rsidP="008719E0">
            <w:pPr>
              <w:spacing w:before="0" w:after="0" w:line="240" w:lineRule="auto"/>
              <w:jc w:val="right"/>
              <w:rPr>
                <w:rFonts w:ascii="Arial" w:hAnsi="Arial" w:cs="Arial"/>
                <w:b/>
                <w:sz w:val="16"/>
                <w:szCs w:val="16"/>
              </w:rPr>
            </w:pPr>
            <w:r w:rsidRPr="00EC4BA6">
              <w:rPr>
                <w:rFonts w:ascii="Arial" w:hAnsi="Arial" w:cs="Arial"/>
                <w:b/>
                <w:sz w:val="16"/>
                <w:szCs w:val="16"/>
              </w:rPr>
              <w:t>783,559</w:t>
            </w:r>
          </w:p>
        </w:tc>
        <w:tc>
          <w:tcPr>
            <w:tcW w:w="501" w:type="pct"/>
            <w:tcBorders>
              <w:top w:val="nil"/>
              <w:left w:val="nil"/>
              <w:bottom w:val="single" w:sz="4" w:space="0" w:color="293F5B"/>
              <w:right w:val="nil"/>
            </w:tcBorders>
            <w:shd w:val="clear" w:color="000000" w:fill="FFFFFF"/>
            <w:noWrap/>
            <w:vAlign w:val="center"/>
            <w:hideMark/>
          </w:tcPr>
          <w:p w14:paraId="1EB55DF9" w14:textId="77777777" w:rsidR="008719E0" w:rsidRPr="00EC4BA6" w:rsidRDefault="008719E0" w:rsidP="008719E0">
            <w:pPr>
              <w:spacing w:before="0" w:after="0" w:line="240" w:lineRule="auto"/>
              <w:jc w:val="right"/>
              <w:rPr>
                <w:rFonts w:ascii="Arial" w:hAnsi="Arial" w:cs="Arial"/>
                <w:b/>
                <w:sz w:val="16"/>
                <w:szCs w:val="16"/>
              </w:rPr>
            </w:pPr>
            <w:r w:rsidRPr="00EC4BA6">
              <w:rPr>
                <w:rFonts w:ascii="Arial" w:hAnsi="Arial" w:cs="Arial"/>
                <w:b/>
                <w:sz w:val="16"/>
                <w:szCs w:val="16"/>
              </w:rPr>
              <w:t>815,429</w:t>
            </w:r>
          </w:p>
        </w:tc>
        <w:tc>
          <w:tcPr>
            <w:tcW w:w="501" w:type="pct"/>
            <w:tcBorders>
              <w:top w:val="nil"/>
              <w:left w:val="nil"/>
              <w:bottom w:val="single" w:sz="4" w:space="0" w:color="293F5B"/>
              <w:right w:val="nil"/>
            </w:tcBorders>
            <w:shd w:val="clear" w:color="000000" w:fill="FFFFFF"/>
            <w:noWrap/>
            <w:vAlign w:val="center"/>
            <w:hideMark/>
          </w:tcPr>
          <w:p w14:paraId="2EE2C90A" w14:textId="77777777" w:rsidR="008719E0" w:rsidRPr="00EC4BA6" w:rsidRDefault="008719E0" w:rsidP="008719E0">
            <w:pPr>
              <w:spacing w:before="0" w:after="0" w:line="240" w:lineRule="auto"/>
              <w:jc w:val="right"/>
              <w:rPr>
                <w:rFonts w:ascii="Arial" w:hAnsi="Arial" w:cs="Arial"/>
                <w:b/>
                <w:sz w:val="16"/>
                <w:szCs w:val="16"/>
              </w:rPr>
            </w:pPr>
            <w:r w:rsidRPr="00EC4BA6">
              <w:rPr>
                <w:rFonts w:ascii="Arial" w:hAnsi="Arial" w:cs="Arial"/>
                <w:b/>
                <w:sz w:val="16"/>
                <w:szCs w:val="16"/>
              </w:rPr>
              <w:t>862,506</w:t>
            </w:r>
          </w:p>
        </w:tc>
        <w:tc>
          <w:tcPr>
            <w:tcW w:w="50" w:type="pct"/>
            <w:tcBorders>
              <w:top w:val="nil"/>
              <w:left w:val="nil"/>
              <w:bottom w:val="single" w:sz="4" w:space="0" w:color="293F5B"/>
              <w:right w:val="nil"/>
            </w:tcBorders>
            <w:shd w:val="clear" w:color="000000" w:fill="FFFFFF"/>
            <w:noWrap/>
            <w:vAlign w:val="center"/>
            <w:hideMark/>
          </w:tcPr>
          <w:p w14:paraId="4D474538" w14:textId="77777777" w:rsidR="008719E0" w:rsidRPr="00EC4BA6" w:rsidRDefault="008719E0" w:rsidP="008719E0">
            <w:pPr>
              <w:spacing w:before="0" w:after="0" w:line="240" w:lineRule="auto"/>
              <w:rPr>
                <w:rFonts w:ascii="Arial" w:hAnsi="Arial" w:cs="Arial"/>
                <w:b/>
                <w:sz w:val="16"/>
                <w:szCs w:val="16"/>
              </w:rPr>
            </w:pPr>
            <w:r w:rsidRPr="00EC4BA6">
              <w:rPr>
                <w:rFonts w:ascii="Arial" w:hAnsi="Arial" w:cs="Arial"/>
                <w:b/>
                <w:sz w:val="16"/>
                <w:szCs w:val="16"/>
              </w:rPr>
              <w:t> </w:t>
            </w:r>
          </w:p>
        </w:tc>
        <w:tc>
          <w:tcPr>
            <w:tcW w:w="501" w:type="pct"/>
            <w:tcBorders>
              <w:top w:val="nil"/>
              <w:left w:val="nil"/>
              <w:bottom w:val="single" w:sz="4" w:space="0" w:color="293F5B"/>
              <w:right w:val="nil"/>
            </w:tcBorders>
            <w:shd w:val="clear" w:color="000000" w:fill="FFFFFF"/>
            <w:noWrap/>
            <w:vAlign w:val="center"/>
            <w:hideMark/>
          </w:tcPr>
          <w:p w14:paraId="42376536" w14:textId="77777777" w:rsidR="008719E0" w:rsidRPr="00EC4BA6" w:rsidRDefault="008719E0" w:rsidP="008719E0">
            <w:pPr>
              <w:spacing w:before="0" w:after="0" w:line="240" w:lineRule="auto"/>
              <w:jc w:val="right"/>
              <w:rPr>
                <w:rFonts w:ascii="Arial" w:hAnsi="Arial" w:cs="Arial"/>
                <w:b/>
                <w:sz w:val="16"/>
                <w:szCs w:val="16"/>
              </w:rPr>
            </w:pPr>
            <w:r w:rsidRPr="00EC4BA6">
              <w:rPr>
                <w:rFonts w:ascii="Arial" w:hAnsi="Arial" w:cs="Arial"/>
                <w:b/>
                <w:sz w:val="16"/>
                <w:szCs w:val="16"/>
              </w:rPr>
              <w:t>3,929,325</w:t>
            </w:r>
          </w:p>
        </w:tc>
      </w:tr>
    </w:tbl>
    <w:p w14:paraId="39B49B05" w14:textId="5CE9E533" w:rsidR="00DF4D4F" w:rsidRPr="00EC4BA6" w:rsidRDefault="00DF4D4F" w:rsidP="00DF4D4F">
      <w:pPr>
        <w:pStyle w:val="ChartandTableFootnote"/>
        <w:rPr>
          <w:color w:val="auto"/>
        </w:rPr>
      </w:pPr>
      <w:r w:rsidRPr="00EC4BA6">
        <w:rPr>
          <w:color w:val="auto"/>
        </w:rPr>
        <w:t>* Data is not available.</w:t>
      </w:r>
    </w:p>
    <w:p w14:paraId="60ABD40C" w14:textId="77777777" w:rsidR="00DF4D4F" w:rsidRPr="00EC4BA6" w:rsidRDefault="00DF4D4F" w:rsidP="00DF4D4F">
      <w:pPr>
        <w:pStyle w:val="ChartandTableFootnoteAlpha"/>
        <w:numPr>
          <w:ilvl w:val="0"/>
          <w:numId w:val="24"/>
        </w:numPr>
        <w:rPr>
          <w:color w:val="auto"/>
        </w:rPr>
      </w:pPr>
      <w:r w:rsidRPr="00EC4BA6">
        <w:rPr>
          <w:color w:val="auto"/>
        </w:rPr>
        <w:t>Excludes secondary impacts on public debt interest of policy decisions and offsets from the Contingency Reserve for decisions taken.</w:t>
      </w:r>
    </w:p>
    <w:p w14:paraId="3AF2CA45" w14:textId="77777777" w:rsidR="00DF4D4F" w:rsidRPr="00EC4BA6" w:rsidRDefault="00DF4D4F" w:rsidP="00DF4D4F">
      <w:pPr>
        <w:pStyle w:val="TableLine"/>
      </w:pPr>
    </w:p>
    <w:p w14:paraId="0F4680DA" w14:textId="170C1E01" w:rsidR="00DF4D4F" w:rsidRPr="00EC4BA6" w:rsidRDefault="00DF4D4F" w:rsidP="00DF4D4F">
      <w:r w:rsidRPr="00EC4BA6">
        <w:t>Since MYEFO, total revenue has been revised up by $</w:t>
      </w:r>
      <w:r w:rsidR="001053E1" w:rsidRPr="00EC4BA6">
        <w:t>7.1</w:t>
      </w:r>
      <w:r w:rsidR="007278EC" w:rsidRPr="00EC4BA6">
        <w:t> </w:t>
      </w:r>
      <w:r w:rsidRPr="00EC4BA6">
        <w:t>billion in 202</w:t>
      </w:r>
      <w:r w:rsidR="00673BFC" w:rsidRPr="00EC4BA6">
        <w:t>5</w:t>
      </w:r>
      <w:r w:rsidRPr="00EC4BA6">
        <w:t>–2</w:t>
      </w:r>
      <w:r w:rsidR="00673BFC" w:rsidRPr="00EC4BA6">
        <w:t>6</w:t>
      </w:r>
      <w:r w:rsidRPr="00EC4BA6">
        <w:t xml:space="preserve"> and </w:t>
      </w:r>
      <w:r w:rsidR="0022727D" w:rsidRPr="00EC4BA6">
        <w:t xml:space="preserve">down </w:t>
      </w:r>
      <w:r w:rsidRPr="00EC4BA6">
        <w:t>by $</w:t>
      </w:r>
      <w:r w:rsidR="00BF36F0" w:rsidRPr="00EC4BA6">
        <w:t>5</w:t>
      </w:r>
      <w:r w:rsidR="00BC12EB" w:rsidRPr="00EC4BA6">
        <w:t>.</w:t>
      </w:r>
      <w:r w:rsidR="00BF36F0" w:rsidRPr="00EC4BA6">
        <w:t>2</w:t>
      </w:r>
      <w:r w:rsidR="007278EC" w:rsidRPr="00EC4BA6">
        <w:t> </w:t>
      </w:r>
      <w:r w:rsidRPr="00EC4BA6">
        <w:t>billion over the five years from 202</w:t>
      </w:r>
      <w:r w:rsidR="00673BFC" w:rsidRPr="00EC4BA6">
        <w:t>4</w:t>
      </w:r>
      <w:r w:rsidRPr="00EC4BA6">
        <w:t>–2</w:t>
      </w:r>
      <w:r w:rsidR="00673BFC" w:rsidRPr="00EC4BA6">
        <w:t>5</w:t>
      </w:r>
      <w:r w:rsidRPr="00EC4BA6">
        <w:t xml:space="preserve"> to 202</w:t>
      </w:r>
      <w:r w:rsidR="00673BFC" w:rsidRPr="00EC4BA6">
        <w:t>8</w:t>
      </w:r>
      <w:r w:rsidRPr="00EC4BA6">
        <w:t>–2</w:t>
      </w:r>
      <w:r w:rsidR="00673BFC" w:rsidRPr="00EC4BA6">
        <w:t>9</w:t>
      </w:r>
      <w:r w:rsidRPr="00EC4BA6">
        <w:t xml:space="preserve">. </w:t>
      </w:r>
    </w:p>
    <w:p w14:paraId="1EC9DF1F" w14:textId="56F45358" w:rsidR="00DF4D4F" w:rsidRPr="00EC4BA6" w:rsidRDefault="00DF4D4F" w:rsidP="00DF4D4F">
      <w:r w:rsidRPr="00EC4BA6">
        <w:t>The changes in the individual heads of revenue accrual estimates relative to MYEFO are shown in Tables </w:t>
      </w:r>
      <w:r w:rsidR="00B921A1" w:rsidRPr="00EC4BA6">
        <w:t>4</w:t>
      </w:r>
      <w:r w:rsidRPr="00EC4BA6">
        <w:t xml:space="preserve">.9 and </w:t>
      </w:r>
      <w:r w:rsidR="00B921A1" w:rsidRPr="00EC4BA6">
        <w:t>4</w:t>
      </w:r>
      <w:r w:rsidRPr="00EC4BA6">
        <w:t>.10, for 202</w:t>
      </w:r>
      <w:r w:rsidR="001867B9" w:rsidRPr="00EC4BA6">
        <w:t>4</w:t>
      </w:r>
      <w:r w:rsidRPr="00EC4BA6">
        <w:t>–2</w:t>
      </w:r>
      <w:r w:rsidR="001867B9" w:rsidRPr="00EC4BA6">
        <w:t>5</w:t>
      </w:r>
      <w:r w:rsidRPr="00EC4BA6">
        <w:t xml:space="preserve"> and 202</w:t>
      </w:r>
      <w:r w:rsidR="001867B9" w:rsidRPr="00EC4BA6">
        <w:t>5</w:t>
      </w:r>
      <w:r w:rsidRPr="00EC4BA6">
        <w:t>–2</w:t>
      </w:r>
      <w:r w:rsidR="001867B9" w:rsidRPr="00EC4BA6">
        <w:t>6</w:t>
      </w:r>
      <w:r w:rsidRPr="00EC4BA6">
        <w:t>, respectively. For the 5</w:t>
      </w:r>
      <w:r w:rsidR="001A3DD6">
        <w:noBreakHyphen/>
      </w:r>
      <w:r w:rsidRPr="00EC4BA6">
        <w:t>year accrual table, the accrual equivalent of Table </w:t>
      </w:r>
      <w:r w:rsidR="00B921A1" w:rsidRPr="00EC4BA6">
        <w:t>4</w:t>
      </w:r>
      <w:r w:rsidRPr="00EC4BA6">
        <w:t>.7, see Budget Statement </w:t>
      </w:r>
      <w:r w:rsidR="00B921A1" w:rsidRPr="00EC4BA6">
        <w:t>9</w:t>
      </w:r>
      <w:r w:rsidRPr="00EC4BA6">
        <w:t>, Note 3.</w:t>
      </w:r>
    </w:p>
    <w:p w14:paraId="1FB3D944" w14:textId="5A4C61F1" w:rsidR="00DF4D4F" w:rsidRPr="00EC4BA6" w:rsidRDefault="00DF4D4F" w:rsidP="00DF4D4F">
      <w:r w:rsidRPr="00EC4BA6">
        <w:t xml:space="preserve">Additional revenue and receipts historical tables are available online and can be accessed at </w:t>
      </w:r>
      <w:hyperlink r:id="rId19">
        <w:r w:rsidRPr="00EC4BA6">
          <w:rPr>
            <w:rStyle w:val="Hyperlink"/>
          </w:rPr>
          <w:t>www.budget.gov.au</w:t>
        </w:r>
      </w:hyperlink>
      <w:r w:rsidRPr="00EC4BA6">
        <w:t xml:space="preserve">. </w:t>
      </w:r>
      <w:r w:rsidRPr="00EC4BA6">
        <w:br w:type="page"/>
      </w:r>
    </w:p>
    <w:p w14:paraId="15E5F795" w14:textId="6A370C90" w:rsidR="00E565C3" w:rsidRPr="00EC4BA6" w:rsidRDefault="00DF4D4F" w:rsidP="004D0B46">
      <w:pPr>
        <w:pStyle w:val="TableHeading"/>
        <w:rPr>
          <w:rFonts w:asciiTheme="minorHAnsi" w:eastAsiaTheme="minorHAnsi" w:hAnsiTheme="minorHAnsi" w:cstheme="minorBidi"/>
          <w:sz w:val="22"/>
          <w:szCs w:val="22"/>
          <w:lang w:eastAsia="en-US"/>
        </w:rPr>
      </w:pPr>
      <w:r w:rsidRPr="00EC4BA6">
        <w:lastRenderedPageBreak/>
        <w:t xml:space="preserve">Table </w:t>
      </w:r>
      <w:r w:rsidR="008F3AA1" w:rsidRPr="00EC4BA6">
        <w:t>4</w:t>
      </w:r>
      <w:r w:rsidRPr="00EC4BA6">
        <w:t>.9: Reconciliation of 202</w:t>
      </w:r>
      <w:r w:rsidR="001C2B89" w:rsidRPr="00EC4BA6">
        <w:t>4</w:t>
      </w:r>
      <w:r w:rsidRPr="00EC4BA6">
        <w:t>–2</w:t>
      </w:r>
      <w:r w:rsidR="001C2B89" w:rsidRPr="00EC4BA6">
        <w:t>5</w:t>
      </w:r>
      <w:r w:rsidRPr="00EC4BA6">
        <w:t xml:space="preserve"> general government (accrual) revenue</w:t>
      </w:r>
      <w:bookmarkStart w:id="53" w:name="_1803969323"/>
      <w:bookmarkStart w:id="54" w:name="_1803804982"/>
      <w:bookmarkEnd w:id="53"/>
      <w:bookmarkEnd w:id="54"/>
    </w:p>
    <w:tbl>
      <w:tblPr>
        <w:tblW w:w="5000" w:type="pct"/>
        <w:tblCellMar>
          <w:left w:w="0" w:type="dxa"/>
          <w:right w:w="28" w:type="dxa"/>
        </w:tblCellMar>
        <w:tblLook w:val="04A0" w:firstRow="1" w:lastRow="0" w:firstColumn="1" w:lastColumn="0" w:noHBand="0" w:noVBand="1"/>
      </w:tblPr>
      <w:tblGrid>
        <w:gridCol w:w="3074"/>
        <w:gridCol w:w="1137"/>
        <w:gridCol w:w="1138"/>
        <w:gridCol w:w="89"/>
        <w:gridCol w:w="1136"/>
        <w:gridCol w:w="1136"/>
      </w:tblGrid>
      <w:tr w:rsidR="00E565C3" w:rsidRPr="00EC4BA6" w14:paraId="1F0FF9E5" w14:textId="77777777" w:rsidTr="004D0B46">
        <w:trPr>
          <w:trHeight w:hRule="exact" w:val="225"/>
        </w:trPr>
        <w:tc>
          <w:tcPr>
            <w:tcW w:w="1993" w:type="pct"/>
            <w:tcBorders>
              <w:top w:val="single" w:sz="4" w:space="0" w:color="293F5B"/>
              <w:left w:val="nil"/>
              <w:bottom w:val="nil"/>
              <w:right w:val="nil"/>
            </w:tcBorders>
            <w:shd w:val="clear" w:color="000000" w:fill="FFFFFF"/>
            <w:noWrap/>
            <w:vAlign w:val="center"/>
            <w:hideMark/>
          </w:tcPr>
          <w:p w14:paraId="432D183A" w14:textId="0D767EAA" w:rsidR="00E565C3" w:rsidRPr="00EC4BA6" w:rsidRDefault="00E565C3">
            <w:pPr>
              <w:rPr>
                <w:rFonts w:ascii="Arial" w:hAnsi="Arial" w:cs="Arial"/>
                <w:sz w:val="16"/>
                <w:szCs w:val="16"/>
              </w:rPr>
            </w:pPr>
            <w:r w:rsidRPr="00EC4BA6">
              <w:rPr>
                <w:rFonts w:ascii="Arial" w:hAnsi="Arial" w:cs="Arial"/>
                <w:sz w:val="16"/>
                <w:szCs w:val="16"/>
              </w:rPr>
              <w:t> </w:t>
            </w:r>
          </w:p>
        </w:tc>
        <w:tc>
          <w:tcPr>
            <w:tcW w:w="1475" w:type="pct"/>
            <w:gridSpan w:val="2"/>
            <w:tcBorders>
              <w:top w:val="single" w:sz="4" w:space="0" w:color="293F5B"/>
              <w:left w:val="nil"/>
              <w:bottom w:val="single" w:sz="4" w:space="0" w:color="293F5B"/>
              <w:right w:val="nil"/>
            </w:tcBorders>
            <w:shd w:val="clear" w:color="000000" w:fill="FFFFFF"/>
            <w:noWrap/>
            <w:vAlign w:val="center"/>
            <w:hideMark/>
          </w:tcPr>
          <w:p w14:paraId="34075199" w14:textId="77777777" w:rsidR="00E565C3" w:rsidRPr="00EC4BA6" w:rsidRDefault="00E565C3" w:rsidP="00E565C3">
            <w:pPr>
              <w:spacing w:before="0" w:after="0" w:line="240" w:lineRule="auto"/>
              <w:jc w:val="center"/>
              <w:rPr>
                <w:rFonts w:ascii="Arial" w:hAnsi="Arial" w:cs="Arial"/>
                <w:sz w:val="16"/>
                <w:szCs w:val="16"/>
              </w:rPr>
            </w:pPr>
            <w:r w:rsidRPr="00EC4BA6">
              <w:rPr>
                <w:rFonts w:ascii="Arial" w:hAnsi="Arial" w:cs="Arial"/>
                <w:sz w:val="16"/>
                <w:szCs w:val="16"/>
              </w:rPr>
              <w:t>Estimates</w:t>
            </w:r>
          </w:p>
        </w:tc>
        <w:tc>
          <w:tcPr>
            <w:tcW w:w="58" w:type="pct"/>
            <w:tcBorders>
              <w:top w:val="single" w:sz="4" w:space="0" w:color="293F5B"/>
              <w:left w:val="nil"/>
              <w:bottom w:val="nil"/>
              <w:right w:val="nil"/>
            </w:tcBorders>
            <w:shd w:val="clear" w:color="000000" w:fill="FFFFFF"/>
            <w:noWrap/>
            <w:vAlign w:val="center"/>
            <w:hideMark/>
          </w:tcPr>
          <w:p w14:paraId="17D21CF9"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 </w:t>
            </w:r>
          </w:p>
        </w:tc>
        <w:tc>
          <w:tcPr>
            <w:tcW w:w="1475" w:type="pct"/>
            <w:gridSpan w:val="2"/>
            <w:tcBorders>
              <w:top w:val="single" w:sz="4" w:space="0" w:color="293F5B"/>
              <w:left w:val="nil"/>
              <w:bottom w:val="single" w:sz="4" w:space="0" w:color="293F5B"/>
              <w:right w:val="nil"/>
            </w:tcBorders>
            <w:shd w:val="clear" w:color="000000" w:fill="FFFFFF"/>
            <w:noWrap/>
            <w:vAlign w:val="center"/>
            <w:hideMark/>
          </w:tcPr>
          <w:p w14:paraId="72AE2D62" w14:textId="77777777" w:rsidR="00E565C3" w:rsidRPr="00EC4BA6" w:rsidRDefault="00E565C3" w:rsidP="00E565C3">
            <w:pPr>
              <w:spacing w:before="0" w:after="0" w:line="240" w:lineRule="auto"/>
              <w:jc w:val="center"/>
              <w:rPr>
                <w:rFonts w:ascii="Arial" w:hAnsi="Arial" w:cs="Arial"/>
                <w:sz w:val="16"/>
                <w:szCs w:val="16"/>
              </w:rPr>
            </w:pPr>
            <w:r w:rsidRPr="00EC4BA6">
              <w:rPr>
                <w:rFonts w:ascii="Arial" w:hAnsi="Arial" w:cs="Arial"/>
                <w:sz w:val="16"/>
                <w:szCs w:val="16"/>
              </w:rPr>
              <w:t>Change on MYEFO</w:t>
            </w:r>
          </w:p>
        </w:tc>
      </w:tr>
      <w:tr w:rsidR="00E565C3" w:rsidRPr="00EC4BA6" w14:paraId="37B64F84" w14:textId="77777777" w:rsidTr="004D0B46">
        <w:trPr>
          <w:trHeight w:hRule="exact" w:val="225"/>
        </w:trPr>
        <w:tc>
          <w:tcPr>
            <w:tcW w:w="1993" w:type="pct"/>
            <w:tcBorders>
              <w:top w:val="nil"/>
              <w:left w:val="nil"/>
              <w:bottom w:val="nil"/>
              <w:right w:val="nil"/>
            </w:tcBorders>
            <w:shd w:val="clear" w:color="000000" w:fill="FFFFFF"/>
            <w:noWrap/>
            <w:vAlign w:val="center"/>
            <w:hideMark/>
          </w:tcPr>
          <w:p w14:paraId="42F2923E" w14:textId="77777777" w:rsidR="00E565C3" w:rsidRPr="00EC4BA6" w:rsidRDefault="00E565C3" w:rsidP="00E565C3">
            <w:pPr>
              <w:spacing w:before="0" w:after="0" w:line="240" w:lineRule="auto"/>
              <w:rPr>
                <w:rFonts w:ascii="Arial" w:hAnsi="Arial" w:cs="Arial"/>
                <w:sz w:val="16"/>
                <w:szCs w:val="16"/>
              </w:rPr>
            </w:pPr>
            <w:r w:rsidRPr="00EC4BA6">
              <w:rPr>
                <w:rFonts w:ascii="Arial" w:hAnsi="Arial" w:cs="Arial"/>
                <w:sz w:val="16"/>
                <w:szCs w:val="16"/>
              </w:rPr>
              <w:t> </w:t>
            </w:r>
          </w:p>
        </w:tc>
        <w:tc>
          <w:tcPr>
            <w:tcW w:w="737" w:type="pct"/>
            <w:tcBorders>
              <w:top w:val="nil"/>
              <w:left w:val="nil"/>
              <w:bottom w:val="nil"/>
              <w:right w:val="nil"/>
            </w:tcBorders>
            <w:shd w:val="clear" w:color="000000" w:fill="FFFFFF"/>
            <w:noWrap/>
            <w:vAlign w:val="center"/>
            <w:hideMark/>
          </w:tcPr>
          <w:p w14:paraId="6EE13C5F"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MYEFO</w:t>
            </w:r>
          </w:p>
        </w:tc>
        <w:tc>
          <w:tcPr>
            <w:tcW w:w="737" w:type="pct"/>
            <w:tcBorders>
              <w:top w:val="nil"/>
              <w:left w:val="nil"/>
              <w:bottom w:val="nil"/>
              <w:right w:val="nil"/>
            </w:tcBorders>
            <w:shd w:val="clear" w:color="000000" w:fill="E6F2FF"/>
            <w:noWrap/>
            <w:vAlign w:val="center"/>
            <w:hideMark/>
          </w:tcPr>
          <w:p w14:paraId="51D5FF46"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Budget</w:t>
            </w:r>
          </w:p>
        </w:tc>
        <w:tc>
          <w:tcPr>
            <w:tcW w:w="58" w:type="pct"/>
            <w:tcBorders>
              <w:top w:val="nil"/>
              <w:left w:val="nil"/>
              <w:bottom w:val="nil"/>
              <w:right w:val="nil"/>
            </w:tcBorders>
            <w:shd w:val="clear" w:color="000000" w:fill="FFFFFF"/>
            <w:noWrap/>
            <w:vAlign w:val="center"/>
            <w:hideMark/>
          </w:tcPr>
          <w:p w14:paraId="19AEF686"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 </w:t>
            </w:r>
          </w:p>
        </w:tc>
        <w:tc>
          <w:tcPr>
            <w:tcW w:w="1475" w:type="pct"/>
            <w:gridSpan w:val="2"/>
            <w:tcBorders>
              <w:top w:val="single" w:sz="4" w:space="0" w:color="293F5B"/>
              <w:left w:val="nil"/>
              <w:bottom w:val="nil"/>
              <w:right w:val="nil"/>
            </w:tcBorders>
            <w:shd w:val="clear" w:color="000000" w:fill="FFFFFF"/>
            <w:noWrap/>
            <w:vAlign w:val="center"/>
            <w:hideMark/>
          </w:tcPr>
          <w:p w14:paraId="68344134" w14:textId="77777777" w:rsidR="00E565C3" w:rsidRPr="00EC4BA6" w:rsidRDefault="00E565C3" w:rsidP="00E565C3">
            <w:pPr>
              <w:spacing w:before="0" w:after="0" w:line="240" w:lineRule="auto"/>
              <w:jc w:val="center"/>
              <w:rPr>
                <w:rFonts w:ascii="Arial" w:hAnsi="Arial" w:cs="Arial"/>
                <w:sz w:val="16"/>
                <w:szCs w:val="16"/>
              </w:rPr>
            </w:pPr>
            <w:r w:rsidRPr="00EC4BA6">
              <w:rPr>
                <w:rFonts w:ascii="Arial" w:hAnsi="Arial" w:cs="Arial"/>
                <w:sz w:val="16"/>
                <w:szCs w:val="16"/>
              </w:rPr>
              <w:t xml:space="preserve"> </w:t>
            </w:r>
          </w:p>
        </w:tc>
      </w:tr>
      <w:tr w:rsidR="00E565C3" w:rsidRPr="00EC4BA6" w14:paraId="6DF090AB" w14:textId="77777777" w:rsidTr="004D0B46">
        <w:trPr>
          <w:trHeight w:hRule="exact" w:val="225"/>
        </w:trPr>
        <w:tc>
          <w:tcPr>
            <w:tcW w:w="1993" w:type="pct"/>
            <w:tcBorders>
              <w:top w:val="nil"/>
              <w:left w:val="nil"/>
              <w:bottom w:val="nil"/>
              <w:right w:val="nil"/>
            </w:tcBorders>
            <w:shd w:val="clear" w:color="000000" w:fill="FFFFFF"/>
            <w:vAlign w:val="center"/>
            <w:hideMark/>
          </w:tcPr>
          <w:p w14:paraId="68155CCF" w14:textId="77777777" w:rsidR="00E565C3" w:rsidRPr="00EC4BA6" w:rsidRDefault="00E565C3" w:rsidP="00E565C3">
            <w:pPr>
              <w:spacing w:before="0" w:after="0" w:line="240" w:lineRule="auto"/>
              <w:rPr>
                <w:rFonts w:ascii="Arial" w:hAnsi="Arial" w:cs="Arial"/>
                <w:sz w:val="16"/>
                <w:szCs w:val="16"/>
              </w:rPr>
            </w:pPr>
            <w:r w:rsidRPr="00EC4BA6">
              <w:rPr>
                <w:rFonts w:ascii="Arial" w:hAnsi="Arial" w:cs="Arial"/>
                <w:sz w:val="16"/>
                <w:szCs w:val="16"/>
              </w:rPr>
              <w:t> </w:t>
            </w:r>
          </w:p>
        </w:tc>
        <w:tc>
          <w:tcPr>
            <w:tcW w:w="737" w:type="pct"/>
            <w:tcBorders>
              <w:top w:val="nil"/>
              <w:left w:val="nil"/>
              <w:bottom w:val="single" w:sz="4" w:space="0" w:color="293F5B"/>
              <w:right w:val="nil"/>
            </w:tcBorders>
            <w:shd w:val="clear" w:color="000000" w:fill="FFFFFF"/>
            <w:vAlign w:val="center"/>
            <w:hideMark/>
          </w:tcPr>
          <w:p w14:paraId="16965395"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$m</w:t>
            </w:r>
          </w:p>
        </w:tc>
        <w:tc>
          <w:tcPr>
            <w:tcW w:w="737" w:type="pct"/>
            <w:tcBorders>
              <w:top w:val="nil"/>
              <w:left w:val="nil"/>
              <w:bottom w:val="single" w:sz="4" w:space="0" w:color="293F5B"/>
              <w:right w:val="nil"/>
            </w:tcBorders>
            <w:shd w:val="clear" w:color="000000" w:fill="E6F2FF"/>
            <w:vAlign w:val="center"/>
            <w:hideMark/>
          </w:tcPr>
          <w:p w14:paraId="20114190"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$m</w:t>
            </w:r>
          </w:p>
        </w:tc>
        <w:tc>
          <w:tcPr>
            <w:tcW w:w="58" w:type="pct"/>
            <w:tcBorders>
              <w:top w:val="nil"/>
              <w:left w:val="nil"/>
              <w:bottom w:val="nil"/>
              <w:right w:val="nil"/>
            </w:tcBorders>
            <w:shd w:val="clear" w:color="000000" w:fill="FFFFFF"/>
            <w:vAlign w:val="center"/>
            <w:hideMark/>
          </w:tcPr>
          <w:p w14:paraId="510D0143"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 </w:t>
            </w:r>
          </w:p>
        </w:tc>
        <w:tc>
          <w:tcPr>
            <w:tcW w:w="737" w:type="pct"/>
            <w:tcBorders>
              <w:top w:val="nil"/>
              <w:left w:val="nil"/>
              <w:bottom w:val="single" w:sz="4" w:space="0" w:color="293F5B"/>
              <w:right w:val="nil"/>
            </w:tcBorders>
            <w:shd w:val="clear" w:color="000000" w:fill="FFFFFF"/>
            <w:vAlign w:val="center"/>
            <w:hideMark/>
          </w:tcPr>
          <w:p w14:paraId="7AF639E8"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$m</w:t>
            </w:r>
          </w:p>
        </w:tc>
        <w:tc>
          <w:tcPr>
            <w:tcW w:w="737" w:type="pct"/>
            <w:tcBorders>
              <w:top w:val="nil"/>
              <w:left w:val="nil"/>
              <w:bottom w:val="single" w:sz="4" w:space="0" w:color="293F5B"/>
              <w:right w:val="nil"/>
            </w:tcBorders>
            <w:shd w:val="clear" w:color="000000" w:fill="FFFFFF"/>
            <w:vAlign w:val="center"/>
            <w:hideMark/>
          </w:tcPr>
          <w:p w14:paraId="53187FED"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w:t>
            </w:r>
          </w:p>
        </w:tc>
      </w:tr>
      <w:tr w:rsidR="00E565C3" w:rsidRPr="00EC4BA6" w14:paraId="1150AAF3" w14:textId="77777777" w:rsidTr="004D0B46">
        <w:trPr>
          <w:trHeight w:hRule="exact" w:val="225"/>
        </w:trPr>
        <w:tc>
          <w:tcPr>
            <w:tcW w:w="1993" w:type="pct"/>
            <w:tcBorders>
              <w:top w:val="nil"/>
              <w:left w:val="nil"/>
              <w:bottom w:val="nil"/>
              <w:right w:val="nil"/>
            </w:tcBorders>
            <w:shd w:val="clear" w:color="000000" w:fill="FFFFFF"/>
            <w:noWrap/>
            <w:vAlign w:val="center"/>
            <w:hideMark/>
          </w:tcPr>
          <w:p w14:paraId="40EAEDB4" w14:textId="77777777" w:rsidR="00E565C3" w:rsidRPr="00EC4BA6" w:rsidRDefault="00E565C3" w:rsidP="00E565C3">
            <w:pPr>
              <w:spacing w:before="0" w:after="0" w:line="240" w:lineRule="auto"/>
              <w:rPr>
                <w:rFonts w:ascii="Arial" w:hAnsi="Arial" w:cs="Arial"/>
                <w:sz w:val="16"/>
                <w:szCs w:val="16"/>
              </w:rPr>
            </w:pPr>
            <w:r w:rsidRPr="00EC4BA6">
              <w:rPr>
                <w:rFonts w:ascii="Arial" w:hAnsi="Arial" w:cs="Arial"/>
                <w:sz w:val="16"/>
                <w:szCs w:val="16"/>
              </w:rPr>
              <w:t>Individuals and other withholding taxes</w:t>
            </w:r>
          </w:p>
        </w:tc>
        <w:tc>
          <w:tcPr>
            <w:tcW w:w="737" w:type="pct"/>
            <w:tcBorders>
              <w:top w:val="nil"/>
              <w:left w:val="nil"/>
              <w:bottom w:val="nil"/>
              <w:right w:val="nil"/>
            </w:tcBorders>
            <w:shd w:val="clear" w:color="000000" w:fill="FFFFFF"/>
            <w:noWrap/>
            <w:vAlign w:val="center"/>
            <w:hideMark/>
          </w:tcPr>
          <w:p w14:paraId="0FADD65B"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 </w:t>
            </w:r>
          </w:p>
        </w:tc>
        <w:tc>
          <w:tcPr>
            <w:tcW w:w="737" w:type="pct"/>
            <w:tcBorders>
              <w:top w:val="nil"/>
              <w:left w:val="nil"/>
              <w:bottom w:val="nil"/>
              <w:right w:val="nil"/>
            </w:tcBorders>
            <w:shd w:val="clear" w:color="000000" w:fill="E6F2FF"/>
            <w:noWrap/>
            <w:vAlign w:val="center"/>
            <w:hideMark/>
          </w:tcPr>
          <w:p w14:paraId="1B050ADF"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 </w:t>
            </w:r>
          </w:p>
        </w:tc>
        <w:tc>
          <w:tcPr>
            <w:tcW w:w="58" w:type="pct"/>
            <w:tcBorders>
              <w:top w:val="nil"/>
              <w:left w:val="nil"/>
              <w:bottom w:val="nil"/>
              <w:right w:val="nil"/>
            </w:tcBorders>
            <w:shd w:val="clear" w:color="000000" w:fill="FFFFFF"/>
            <w:noWrap/>
            <w:vAlign w:val="center"/>
            <w:hideMark/>
          </w:tcPr>
          <w:p w14:paraId="2B7ECE20"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 </w:t>
            </w:r>
          </w:p>
        </w:tc>
        <w:tc>
          <w:tcPr>
            <w:tcW w:w="737" w:type="pct"/>
            <w:tcBorders>
              <w:top w:val="nil"/>
              <w:left w:val="nil"/>
              <w:bottom w:val="nil"/>
              <w:right w:val="nil"/>
            </w:tcBorders>
            <w:shd w:val="clear" w:color="000000" w:fill="FFFFFF"/>
            <w:noWrap/>
            <w:vAlign w:val="center"/>
            <w:hideMark/>
          </w:tcPr>
          <w:p w14:paraId="3AB6758C"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 </w:t>
            </w:r>
          </w:p>
        </w:tc>
        <w:tc>
          <w:tcPr>
            <w:tcW w:w="737" w:type="pct"/>
            <w:tcBorders>
              <w:top w:val="nil"/>
              <w:left w:val="nil"/>
              <w:bottom w:val="nil"/>
              <w:right w:val="nil"/>
            </w:tcBorders>
            <w:shd w:val="clear" w:color="000000" w:fill="FFFFFF"/>
            <w:noWrap/>
            <w:vAlign w:val="center"/>
            <w:hideMark/>
          </w:tcPr>
          <w:p w14:paraId="04C8401F"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 </w:t>
            </w:r>
          </w:p>
        </w:tc>
      </w:tr>
      <w:tr w:rsidR="00E565C3" w:rsidRPr="00EC4BA6" w14:paraId="08102C3A" w14:textId="77777777" w:rsidTr="004D0B46">
        <w:trPr>
          <w:trHeight w:hRule="exact" w:val="225"/>
        </w:trPr>
        <w:tc>
          <w:tcPr>
            <w:tcW w:w="1993" w:type="pct"/>
            <w:tcBorders>
              <w:top w:val="nil"/>
              <w:left w:val="nil"/>
              <w:bottom w:val="nil"/>
              <w:right w:val="nil"/>
            </w:tcBorders>
            <w:shd w:val="clear" w:color="000000" w:fill="FFFFFF"/>
            <w:noWrap/>
            <w:vAlign w:val="center"/>
            <w:hideMark/>
          </w:tcPr>
          <w:p w14:paraId="5EBADCE7" w14:textId="77777777" w:rsidR="00E565C3" w:rsidRPr="00EC4BA6" w:rsidRDefault="00E565C3" w:rsidP="004D0B46">
            <w:pPr>
              <w:spacing w:before="0" w:after="0" w:line="240" w:lineRule="auto"/>
              <w:ind w:left="170"/>
              <w:rPr>
                <w:rFonts w:ascii="Arial" w:hAnsi="Arial" w:cs="Arial"/>
                <w:sz w:val="16"/>
                <w:szCs w:val="16"/>
              </w:rPr>
            </w:pPr>
            <w:r w:rsidRPr="00EC4BA6">
              <w:rPr>
                <w:rFonts w:ascii="Arial" w:hAnsi="Arial" w:cs="Arial"/>
                <w:sz w:val="16"/>
                <w:szCs w:val="16"/>
              </w:rPr>
              <w:t>Gross income tax withholding</w:t>
            </w:r>
          </w:p>
        </w:tc>
        <w:tc>
          <w:tcPr>
            <w:tcW w:w="737" w:type="pct"/>
            <w:tcBorders>
              <w:top w:val="nil"/>
              <w:left w:val="nil"/>
              <w:bottom w:val="nil"/>
              <w:right w:val="nil"/>
            </w:tcBorders>
            <w:shd w:val="clear" w:color="000000" w:fill="FFFFFF"/>
            <w:noWrap/>
            <w:vAlign w:val="center"/>
            <w:hideMark/>
          </w:tcPr>
          <w:p w14:paraId="41B985B3"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296,800</w:t>
            </w:r>
          </w:p>
        </w:tc>
        <w:tc>
          <w:tcPr>
            <w:tcW w:w="737" w:type="pct"/>
            <w:tcBorders>
              <w:top w:val="nil"/>
              <w:left w:val="nil"/>
              <w:bottom w:val="nil"/>
              <w:right w:val="nil"/>
            </w:tcBorders>
            <w:shd w:val="clear" w:color="000000" w:fill="E6F2FF"/>
            <w:noWrap/>
            <w:vAlign w:val="center"/>
            <w:hideMark/>
          </w:tcPr>
          <w:p w14:paraId="054B0091"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296,800</w:t>
            </w:r>
          </w:p>
        </w:tc>
        <w:tc>
          <w:tcPr>
            <w:tcW w:w="58" w:type="pct"/>
            <w:tcBorders>
              <w:top w:val="nil"/>
              <w:left w:val="nil"/>
              <w:bottom w:val="nil"/>
              <w:right w:val="nil"/>
            </w:tcBorders>
            <w:shd w:val="clear" w:color="000000" w:fill="FFFFFF"/>
            <w:noWrap/>
            <w:vAlign w:val="center"/>
            <w:hideMark/>
          </w:tcPr>
          <w:p w14:paraId="29617AAB"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 </w:t>
            </w:r>
          </w:p>
        </w:tc>
        <w:tc>
          <w:tcPr>
            <w:tcW w:w="737" w:type="pct"/>
            <w:tcBorders>
              <w:top w:val="nil"/>
              <w:left w:val="nil"/>
              <w:bottom w:val="nil"/>
              <w:right w:val="nil"/>
            </w:tcBorders>
            <w:shd w:val="clear" w:color="000000" w:fill="FFFFFF"/>
            <w:noWrap/>
            <w:vAlign w:val="center"/>
            <w:hideMark/>
          </w:tcPr>
          <w:p w14:paraId="1BABAA3F"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0</w:t>
            </w:r>
          </w:p>
        </w:tc>
        <w:tc>
          <w:tcPr>
            <w:tcW w:w="737" w:type="pct"/>
            <w:tcBorders>
              <w:top w:val="nil"/>
              <w:left w:val="nil"/>
              <w:bottom w:val="nil"/>
              <w:right w:val="nil"/>
            </w:tcBorders>
            <w:shd w:val="clear" w:color="000000" w:fill="FFFFFF"/>
            <w:noWrap/>
            <w:vAlign w:val="center"/>
            <w:hideMark/>
          </w:tcPr>
          <w:p w14:paraId="23AEE83D"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0.0</w:t>
            </w:r>
          </w:p>
        </w:tc>
      </w:tr>
      <w:tr w:rsidR="00E565C3" w:rsidRPr="00EC4BA6" w14:paraId="3270653B" w14:textId="77777777" w:rsidTr="004D0B46">
        <w:trPr>
          <w:trHeight w:hRule="exact" w:val="225"/>
        </w:trPr>
        <w:tc>
          <w:tcPr>
            <w:tcW w:w="1993" w:type="pct"/>
            <w:tcBorders>
              <w:top w:val="nil"/>
              <w:left w:val="nil"/>
              <w:bottom w:val="nil"/>
              <w:right w:val="nil"/>
            </w:tcBorders>
            <w:shd w:val="clear" w:color="000000" w:fill="FFFFFF"/>
            <w:noWrap/>
            <w:vAlign w:val="center"/>
            <w:hideMark/>
          </w:tcPr>
          <w:p w14:paraId="6F7D6C28" w14:textId="77777777" w:rsidR="00E565C3" w:rsidRPr="00EC4BA6" w:rsidRDefault="00E565C3" w:rsidP="004D0B46">
            <w:pPr>
              <w:spacing w:before="0" w:after="0" w:line="240" w:lineRule="auto"/>
              <w:ind w:left="170"/>
              <w:rPr>
                <w:rFonts w:ascii="Arial" w:hAnsi="Arial" w:cs="Arial"/>
                <w:sz w:val="16"/>
                <w:szCs w:val="16"/>
              </w:rPr>
            </w:pPr>
            <w:r w:rsidRPr="00EC4BA6">
              <w:rPr>
                <w:rFonts w:ascii="Arial" w:hAnsi="Arial" w:cs="Arial"/>
                <w:sz w:val="16"/>
                <w:szCs w:val="16"/>
              </w:rPr>
              <w:t>Gross other individuals</w:t>
            </w:r>
          </w:p>
        </w:tc>
        <w:tc>
          <w:tcPr>
            <w:tcW w:w="737" w:type="pct"/>
            <w:tcBorders>
              <w:top w:val="nil"/>
              <w:left w:val="nil"/>
              <w:bottom w:val="nil"/>
              <w:right w:val="nil"/>
            </w:tcBorders>
            <w:shd w:val="clear" w:color="000000" w:fill="FFFFFF"/>
            <w:noWrap/>
            <w:vAlign w:val="center"/>
            <w:hideMark/>
          </w:tcPr>
          <w:p w14:paraId="39AB387D"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87,400</w:t>
            </w:r>
          </w:p>
        </w:tc>
        <w:tc>
          <w:tcPr>
            <w:tcW w:w="737" w:type="pct"/>
            <w:tcBorders>
              <w:top w:val="nil"/>
              <w:left w:val="nil"/>
              <w:bottom w:val="nil"/>
              <w:right w:val="nil"/>
            </w:tcBorders>
            <w:shd w:val="clear" w:color="000000" w:fill="E6F2FF"/>
            <w:noWrap/>
            <w:vAlign w:val="center"/>
            <w:hideMark/>
          </w:tcPr>
          <w:p w14:paraId="78A2D3EC"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86,200</w:t>
            </w:r>
          </w:p>
        </w:tc>
        <w:tc>
          <w:tcPr>
            <w:tcW w:w="58" w:type="pct"/>
            <w:tcBorders>
              <w:top w:val="nil"/>
              <w:left w:val="nil"/>
              <w:bottom w:val="nil"/>
              <w:right w:val="nil"/>
            </w:tcBorders>
            <w:shd w:val="clear" w:color="000000" w:fill="FFFFFF"/>
            <w:noWrap/>
            <w:vAlign w:val="center"/>
            <w:hideMark/>
          </w:tcPr>
          <w:p w14:paraId="19A8EDA3"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 </w:t>
            </w:r>
          </w:p>
        </w:tc>
        <w:tc>
          <w:tcPr>
            <w:tcW w:w="737" w:type="pct"/>
            <w:tcBorders>
              <w:top w:val="nil"/>
              <w:left w:val="nil"/>
              <w:bottom w:val="nil"/>
              <w:right w:val="nil"/>
            </w:tcBorders>
            <w:shd w:val="clear" w:color="000000" w:fill="FFFFFF"/>
            <w:noWrap/>
            <w:vAlign w:val="center"/>
            <w:hideMark/>
          </w:tcPr>
          <w:p w14:paraId="00B14515" w14:textId="666AC774" w:rsidR="00E565C3" w:rsidRPr="00EC4BA6" w:rsidRDefault="001A3DD6" w:rsidP="00E565C3">
            <w:pPr>
              <w:spacing w:before="0" w:after="0" w:line="240" w:lineRule="auto"/>
              <w:jc w:val="right"/>
              <w:rPr>
                <w:rFonts w:ascii="Arial" w:hAnsi="Arial" w:cs="Arial"/>
                <w:sz w:val="16"/>
                <w:szCs w:val="16"/>
              </w:rPr>
            </w:pPr>
            <w:r>
              <w:rPr>
                <w:rFonts w:ascii="Arial" w:hAnsi="Arial" w:cs="Arial"/>
                <w:sz w:val="16"/>
                <w:szCs w:val="16"/>
              </w:rPr>
              <w:noBreakHyphen/>
            </w:r>
            <w:r w:rsidR="00E565C3" w:rsidRPr="00EC4BA6">
              <w:rPr>
                <w:rFonts w:ascii="Arial" w:hAnsi="Arial" w:cs="Arial"/>
                <w:sz w:val="16"/>
                <w:szCs w:val="16"/>
              </w:rPr>
              <w:t>1,200</w:t>
            </w:r>
          </w:p>
        </w:tc>
        <w:tc>
          <w:tcPr>
            <w:tcW w:w="737" w:type="pct"/>
            <w:tcBorders>
              <w:top w:val="nil"/>
              <w:left w:val="nil"/>
              <w:bottom w:val="nil"/>
              <w:right w:val="nil"/>
            </w:tcBorders>
            <w:shd w:val="clear" w:color="000000" w:fill="FFFFFF"/>
            <w:noWrap/>
            <w:vAlign w:val="center"/>
            <w:hideMark/>
          </w:tcPr>
          <w:p w14:paraId="2BB3F951" w14:textId="2B158CD2" w:rsidR="00E565C3" w:rsidRPr="00EC4BA6" w:rsidRDefault="001A3DD6" w:rsidP="00E565C3">
            <w:pPr>
              <w:spacing w:before="0" w:after="0" w:line="240" w:lineRule="auto"/>
              <w:jc w:val="right"/>
              <w:rPr>
                <w:rFonts w:ascii="Arial" w:hAnsi="Arial" w:cs="Arial"/>
                <w:sz w:val="16"/>
                <w:szCs w:val="16"/>
              </w:rPr>
            </w:pPr>
            <w:r>
              <w:rPr>
                <w:rFonts w:ascii="Arial" w:hAnsi="Arial" w:cs="Arial"/>
                <w:sz w:val="16"/>
                <w:szCs w:val="16"/>
              </w:rPr>
              <w:noBreakHyphen/>
            </w:r>
            <w:r w:rsidR="00E565C3" w:rsidRPr="00EC4BA6">
              <w:rPr>
                <w:rFonts w:ascii="Arial" w:hAnsi="Arial" w:cs="Arial"/>
                <w:sz w:val="16"/>
                <w:szCs w:val="16"/>
              </w:rPr>
              <w:t>1.4</w:t>
            </w:r>
          </w:p>
        </w:tc>
      </w:tr>
      <w:tr w:rsidR="00E565C3" w:rsidRPr="00EC4BA6" w14:paraId="241FD6E9" w14:textId="77777777" w:rsidTr="004D0B46">
        <w:trPr>
          <w:trHeight w:hRule="exact" w:val="225"/>
        </w:trPr>
        <w:tc>
          <w:tcPr>
            <w:tcW w:w="1993" w:type="pct"/>
            <w:tcBorders>
              <w:top w:val="nil"/>
              <w:left w:val="nil"/>
              <w:bottom w:val="nil"/>
              <w:right w:val="nil"/>
            </w:tcBorders>
            <w:shd w:val="clear" w:color="000000" w:fill="FFFFFF"/>
            <w:noWrap/>
            <w:vAlign w:val="center"/>
            <w:hideMark/>
          </w:tcPr>
          <w:p w14:paraId="1CE84E62" w14:textId="77777777" w:rsidR="00E565C3" w:rsidRPr="00EC4BA6" w:rsidRDefault="00E565C3" w:rsidP="004D0B46">
            <w:pPr>
              <w:spacing w:before="0" w:after="0" w:line="240" w:lineRule="auto"/>
              <w:ind w:left="170"/>
              <w:rPr>
                <w:rFonts w:ascii="Arial" w:hAnsi="Arial" w:cs="Arial"/>
                <w:i/>
                <w:sz w:val="16"/>
                <w:szCs w:val="16"/>
              </w:rPr>
            </w:pPr>
            <w:r w:rsidRPr="00EC4BA6">
              <w:rPr>
                <w:rFonts w:ascii="Arial" w:hAnsi="Arial" w:cs="Arial"/>
                <w:i/>
                <w:sz w:val="16"/>
                <w:szCs w:val="16"/>
              </w:rPr>
              <w:t>less:</w:t>
            </w:r>
            <w:r w:rsidRPr="00EC4BA6">
              <w:rPr>
                <w:rFonts w:ascii="Arial" w:hAnsi="Arial" w:cs="Arial"/>
                <w:sz w:val="16"/>
                <w:szCs w:val="16"/>
              </w:rPr>
              <w:t xml:space="preserve"> Refunds</w:t>
            </w:r>
          </w:p>
        </w:tc>
        <w:tc>
          <w:tcPr>
            <w:tcW w:w="737" w:type="pct"/>
            <w:tcBorders>
              <w:top w:val="nil"/>
              <w:left w:val="nil"/>
              <w:bottom w:val="single" w:sz="4" w:space="0" w:color="293F5B"/>
              <w:right w:val="nil"/>
            </w:tcBorders>
            <w:shd w:val="clear" w:color="000000" w:fill="FFFFFF"/>
            <w:noWrap/>
            <w:vAlign w:val="center"/>
            <w:hideMark/>
          </w:tcPr>
          <w:p w14:paraId="1713BB71"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39,900</w:t>
            </w:r>
          </w:p>
        </w:tc>
        <w:tc>
          <w:tcPr>
            <w:tcW w:w="737" w:type="pct"/>
            <w:tcBorders>
              <w:top w:val="nil"/>
              <w:left w:val="nil"/>
              <w:bottom w:val="single" w:sz="4" w:space="0" w:color="293F5B"/>
              <w:right w:val="nil"/>
            </w:tcBorders>
            <w:shd w:val="clear" w:color="000000" w:fill="E6F2FF"/>
            <w:noWrap/>
            <w:vAlign w:val="center"/>
            <w:hideMark/>
          </w:tcPr>
          <w:p w14:paraId="6B0A91DD"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39,200</w:t>
            </w:r>
          </w:p>
        </w:tc>
        <w:tc>
          <w:tcPr>
            <w:tcW w:w="58" w:type="pct"/>
            <w:tcBorders>
              <w:top w:val="nil"/>
              <w:left w:val="nil"/>
              <w:bottom w:val="nil"/>
              <w:right w:val="nil"/>
            </w:tcBorders>
            <w:shd w:val="clear" w:color="000000" w:fill="FFFFFF"/>
            <w:noWrap/>
            <w:vAlign w:val="center"/>
            <w:hideMark/>
          </w:tcPr>
          <w:p w14:paraId="0F8AA923"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 </w:t>
            </w:r>
          </w:p>
        </w:tc>
        <w:tc>
          <w:tcPr>
            <w:tcW w:w="737" w:type="pct"/>
            <w:tcBorders>
              <w:top w:val="nil"/>
              <w:left w:val="nil"/>
              <w:bottom w:val="single" w:sz="4" w:space="0" w:color="293F5B"/>
              <w:right w:val="nil"/>
            </w:tcBorders>
            <w:shd w:val="clear" w:color="000000" w:fill="FFFFFF"/>
            <w:noWrap/>
            <w:vAlign w:val="center"/>
            <w:hideMark/>
          </w:tcPr>
          <w:p w14:paraId="5587577D" w14:textId="3CB5CFA5" w:rsidR="00E565C3" w:rsidRPr="00EC4BA6" w:rsidRDefault="001A3DD6" w:rsidP="00E565C3">
            <w:pPr>
              <w:spacing w:before="0" w:after="0" w:line="240" w:lineRule="auto"/>
              <w:jc w:val="right"/>
              <w:rPr>
                <w:rFonts w:ascii="Arial" w:hAnsi="Arial" w:cs="Arial"/>
                <w:sz w:val="16"/>
                <w:szCs w:val="16"/>
              </w:rPr>
            </w:pPr>
            <w:r>
              <w:rPr>
                <w:rFonts w:ascii="Arial" w:hAnsi="Arial" w:cs="Arial"/>
                <w:sz w:val="16"/>
                <w:szCs w:val="16"/>
              </w:rPr>
              <w:noBreakHyphen/>
            </w:r>
            <w:r w:rsidR="00E565C3" w:rsidRPr="00EC4BA6">
              <w:rPr>
                <w:rFonts w:ascii="Arial" w:hAnsi="Arial" w:cs="Arial"/>
                <w:sz w:val="16"/>
                <w:szCs w:val="16"/>
              </w:rPr>
              <w:t>700</w:t>
            </w:r>
          </w:p>
        </w:tc>
        <w:tc>
          <w:tcPr>
            <w:tcW w:w="737" w:type="pct"/>
            <w:tcBorders>
              <w:top w:val="nil"/>
              <w:left w:val="nil"/>
              <w:bottom w:val="single" w:sz="4" w:space="0" w:color="293F5B"/>
              <w:right w:val="nil"/>
            </w:tcBorders>
            <w:shd w:val="clear" w:color="000000" w:fill="FFFFFF"/>
            <w:noWrap/>
            <w:vAlign w:val="center"/>
            <w:hideMark/>
          </w:tcPr>
          <w:p w14:paraId="443443F5" w14:textId="62A5A7C6" w:rsidR="00E565C3" w:rsidRPr="00EC4BA6" w:rsidRDefault="001A3DD6" w:rsidP="00E565C3">
            <w:pPr>
              <w:spacing w:before="0" w:after="0" w:line="240" w:lineRule="auto"/>
              <w:jc w:val="right"/>
              <w:rPr>
                <w:rFonts w:ascii="Arial" w:hAnsi="Arial" w:cs="Arial"/>
                <w:sz w:val="16"/>
                <w:szCs w:val="16"/>
              </w:rPr>
            </w:pPr>
            <w:r>
              <w:rPr>
                <w:rFonts w:ascii="Arial" w:hAnsi="Arial" w:cs="Arial"/>
                <w:sz w:val="16"/>
                <w:szCs w:val="16"/>
              </w:rPr>
              <w:noBreakHyphen/>
            </w:r>
            <w:r w:rsidR="00E565C3" w:rsidRPr="00EC4BA6">
              <w:rPr>
                <w:rFonts w:ascii="Arial" w:hAnsi="Arial" w:cs="Arial"/>
                <w:sz w:val="16"/>
                <w:szCs w:val="16"/>
              </w:rPr>
              <w:t>1.8</w:t>
            </w:r>
          </w:p>
        </w:tc>
      </w:tr>
      <w:tr w:rsidR="00E565C3" w:rsidRPr="00EC4BA6" w14:paraId="6FE408DF" w14:textId="77777777" w:rsidTr="004D0B46">
        <w:trPr>
          <w:trHeight w:hRule="exact" w:val="225"/>
        </w:trPr>
        <w:tc>
          <w:tcPr>
            <w:tcW w:w="1993" w:type="pct"/>
            <w:tcBorders>
              <w:top w:val="nil"/>
              <w:left w:val="nil"/>
              <w:bottom w:val="nil"/>
              <w:right w:val="nil"/>
            </w:tcBorders>
            <w:shd w:val="clear" w:color="000000" w:fill="FFFFFF"/>
            <w:noWrap/>
            <w:vAlign w:val="center"/>
            <w:hideMark/>
          </w:tcPr>
          <w:p w14:paraId="7484785E" w14:textId="77777777" w:rsidR="00E565C3" w:rsidRPr="00EC4BA6" w:rsidRDefault="00E565C3" w:rsidP="00E565C3">
            <w:pPr>
              <w:spacing w:before="0" w:after="0" w:line="240" w:lineRule="auto"/>
              <w:rPr>
                <w:rFonts w:ascii="Arial" w:hAnsi="Arial" w:cs="Arial"/>
                <w:sz w:val="16"/>
                <w:szCs w:val="16"/>
              </w:rPr>
            </w:pPr>
            <w:r w:rsidRPr="00EC4BA6">
              <w:rPr>
                <w:rFonts w:ascii="Arial" w:hAnsi="Arial" w:cs="Arial"/>
                <w:sz w:val="16"/>
                <w:szCs w:val="16"/>
              </w:rPr>
              <w:t>Total individuals and other withholding tax</w:t>
            </w:r>
          </w:p>
        </w:tc>
        <w:tc>
          <w:tcPr>
            <w:tcW w:w="737" w:type="pct"/>
            <w:tcBorders>
              <w:top w:val="nil"/>
              <w:left w:val="nil"/>
              <w:bottom w:val="nil"/>
              <w:right w:val="nil"/>
            </w:tcBorders>
            <w:shd w:val="clear" w:color="000000" w:fill="FFFFFF"/>
            <w:noWrap/>
            <w:vAlign w:val="center"/>
            <w:hideMark/>
          </w:tcPr>
          <w:p w14:paraId="190A922E"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344,300</w:t>
            </w:r>
          </w:p>
        </w:tc>
        <w:tc>
          <w:tcPr>
            <w:tcW w:w="737" w:type="pct"/>
            <w:tcBorders>
              <w:top w:val="nil"/>
              <w:left w:val="nil"/>
              <w:bottom w:val="nil"/>
              <w:right w:val="nil"/>
            </w:tcBorders>
            <w:shd w:val="clear" w:color="000000" w:fill="E6F2FF"/>
            <w:noWrap/>
            <w:vAlign w:val="center"/>
            <w:hideMark/>
          </w:tcPr>
          <w:p w14:paraId="4596B512"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343,800</w:t>
            </w:r>
          </w:p>
        </w:tc>
        <w:tc>
          <w:tcPr>
            <w:tcW w:w="58" w:type="pct"/>
            <w:tcBorders>
              <w:top w:val="nil"/>
              <w:left w:val="nil"/>
              <w:bottom w:val="nil"/>
              <w:right w:val="nil"/>
            </w:tcBorders>
            <w:shd w:val="clear" w:color="000000" w:fill="FFFFFF"/>
            <w:noWrap/>
            <w:vAlign w:val="center"/>
            <w:hideMark/>
          </w:tcPr>
          <w:p w14:paraId="41AD3C85"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 </w:t>
            </w:r>
          </w:p>
        </w:tc>
        <w:tc>
          <w:tcPr>
            <w:tcW w:w="737" w:type="pct"/>
            <w:tcBorders>
              <w:top w:val="nil"/>
              <w:left w:val="nil"/>
              <w:bottom w:val="nil"/>
              <w:right w:val="nil"/>
            </w:tcBorders>
            <w:shd w:val="clear" w:color="000000" w:fill="FFFFFF"/>
            <w:noWrap/>
            <w:vAlign w:val="center"/>
            <w:hideMark/>
          </w:tcPr>
          <w:p w14:paraId="2DF79103" w14:textId="24147776" w:rsidR="00E565C3" w:rsidRPr="00EC4BA6" w:rsidRDefault="001A3DD6" w:rsidP="00E565C3">
            <w:pPr>
              <w:spacing w:before="0" w:after="0" w:line="240" w:lineRule="auto"/>
              <w:jc w:val="right"/>
              <w:rPr>
                <w:rFonts w:ascii="Arial" w:hAnsi="Arial" w:cs="Arial"/>
                <w:sz w:val="16"/>
                <w:szCs w:val="16"/>
              </w:rPr>
            </w:pPr>
            <w:r>
              <w:rPr>
                <w:rFonts w:ascii="Arial" w:hAnsi="Arial" w:cs="Arial"/>
                <w:sz w:val="16"/>
                <w:szCs w:val="16"/>
              </w:rPr>
              <w:noBreakHyphen/>
            </w:r>
            <w:r w:rsidR="00E565C3" w:rsidRPr="00EC4BA6">
              <w:rPr>
                <w:rFonts w:ascii="Arial" w:hAnsi="Arial" w:cs="Arial"/>
                <w:sz w:val="16"/>
                <w:szCs w:val="16"/>
              </w:rPr>
              <w:t>500</w:t>
            </w:r>
          </w:p>
        </w:tc>
        <w:tc>
          <w:tcPr>
            <w:tcW w:w="737" w:type="pct"/>
            <w:tcBorders>
              <w:top w:val="nil"/>
              <w:left w:val="nil"/>
              <w:bottom w:val="nil"/>
              <w:right w:val="nil"/>
            </w:tcBorders>
            <w:shd w:val="clear" w:color="000000" w:fill="FFFFFF"/>
            <w:noWrap/>
            <w:vAlign w:val="center"/>
            <w:hideMark/>
          </w:tcPr>
          <w:p w14:paraId="0D82D9A3" w14:textId="35AF5030" w:rsidR="00E565C3" w:rsidRPr="00EC4BA6" w:rsidRDefault="001A3DD6" w:rsidP="00E565C3">
            <w:pPr>
              <w:spacing w:before="0" w:after="0" w:line="240" w:lineRule="auto"/>
              <w:jc w:val="right"/>
              <w:rPr>
                <w:rFonts w:ascii="Arial" w:hAnsi="Arial" w:cs="Arial"/>
                <w:sz w:val="16"/>
                <w:szCs w:val="16"/>
              </w:rPr>
            </w:pPr>
            <w:r>
              <w:rPr>
                <w:rFonts w:ascii="Arial" w:hAnsi="Arial" w:cs="Arial"/>
                <w:sz w:val="16"/>
                <w:szCs w:val="16"/>
              </w:rPr>
              <w:noBreakHyphen/>
            </w:r>
            <w:r w:rsidR="00E565C3" w:rsidRPr="00EC4BA6">
              <w:rPr>
                <w:rFonts w:ascii="Arial" w:hAnsi="Arial" w:cs="Arial"/>
                <w:sz w:val="16"/>
                <w:szCs w:val="16"/>
              </w:rPr>
              <w:t>0.1</w:t>
            </w:r>
          </w:p>
        </w:tc>
      </w:tr>
      <w:tr w:rsidR="00E565C3" w:rsidRPr="00EC4BA6" w14:paraId="326E660E" w14:textId="77777777" w:rsidTr="004D0B46">
        <w:trPr>
          <w:trHeight w:hRule="exact" w:val="225"/>
        </w:trPr>
        <w:tc>
          <w:tcPr>
            <w:tcW w:w="1993" w:type="pct"/>
            <w:tcBorders>
              <w:top w:val="nil"/>
              <w:left w:val="nil"/>
              <w:bottom w:val="nil"/>
              <w:right w:val="nil"/>
            </w:tcBorders>
            <w:shd w:val="clear" w:color="000000" w:fill="FFFFFF"/>
            <w:noWrap/>
            <w:vAlign w:val="center"/>
            <w:hideMark/>
          </w:tcPr>
          <w:p w14:paraId="1A3537DE" w14:textId="77777777" w:rsidR="00E565C3" w:rsidRPr="00EC4BA6" w:rsidRDefault="00E565C3" w:rsidP="00E565C3">
            <w:pPr>
              <w:spacing w:before="0" w:after="0" w:line="240" w:lineRule="auto"/>
              <w:rPr>
                <w:rFonts w:ascii="Arial" w:hAnsi="Arial" w:cs="Arial"/>
                <w:sz w:val="16"/>
                <w:szCs w:val="16"/>
              </w:rPr>
            </w:pPr>
            <w:r w:rsidRPr="00EC4BA6">
              <w:rPr>
                <w:rFonts w:ascii="Arial" w:hAnsi="Arial" w:cs="Arial"/>
                <w:sz w:val="16"/>
                <w:szCs w:val="16"/>
              </w:rPr>
              <w:t>Fringe benefits tax</w:t>
            </w:r>
          </w:p>
        </w:tc>
        <w:tc>
          <w:tcPr>
            <w:tcW w:w="737" w:type="pct"/>
            <w:tcBorders>
              <w:top w:val="nil"/>
              <w:left w:val="nil"/>
              <w:bottom w:val="nil"/>
              <w:right w:val="nil"/>
            </w:tcBorders>
            <w:shd w:val="clear" w:color="000000" w:fill="FFFFFF"/>
            <w:noWrap/>
            <w:vAlign w:val="center"/>
            <w:hideMark/>
          </w:tcPr>
          <w:p w14:paraId="06AD0603"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5,030</w:t>
            </w:r>
          </w:p>
        </w:tc>
        <w:tc>
          <w:tcPr>
            <w:tcW w:w="737" w:type="pct"/>
            <w:tcBorders>
              <w:top w:val="nil"/>
              <w:left w:val="nil"/>
              <w:bottom w:val="nil"/>
              <w:right w:val="nil"/>
            </w:tcBorders>
            <w:shd w:val="clear" w:color="000000" w:fill="E6F2FF"/>
            <w:noWrap/>
            <w:vAlign w:val="center"/>
            <w:hideMark/>
          </w:tcPr>
          <w:p w14:paraId="36CC43B5"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5,070</w:t>
            </w:r>
          </w:p>
        </w:tc>
        <w:tc>
          <w:tcPr>
            <w:tcW w:w="58" w:type="pct"/>
            <w:tcBorders>
              <w:top w:val="nil"/>
              <w:left w:val="nil"/>
              <w:bottom w:val="nil"/>
              <w:right w:val="nil"/>
            </w:tcBorders>
            <w:shd w:val="clear" w:color="000000" w:fill="FFFFFF"/>
            <w:noWrap/>
            <w:vAlign w:val="center"/>
            <w:hideMark/>
          </w:tcPr>
          <w:p w14:paraId="554E4D72"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 </w:t>
            </w:r>
          </w:p>
        </w:tc>
        <w:tc>
          <w:tcPr>
            <w:tcW w:w="737" w:type="pct"/>
            <w:tcBorders>
              <w:top w:val="nil"/>
              <w:left w:val="nil"/>
              <w:bottom w:val="nil"/>
              <w:right w:val="nil"/>
            </w:tcBorders>
            <w:shd w:val="clear" w:color="000000" w:fill="FFFFFF"/>
            <w:noWrap/>
            <w:vAlign w:val="center"/>
            <w:hideMark/>
          </w:tcPr>
          <w:p w14:paraId="37FDEE53"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40</w:t>
            </w:r>
          </w:p>
        </w:tc>
        <w:tc>
          <w:tcPr>
            <w:tcW w:w="737" w:type="pct"/>
            <w:tcBorders>
              <w:top w:val="nil"/>
              <w:left w:val="nil"/>
              <w:bottom w:val="nil"/>
              <w:right w:val="nil"/>
            </w:tcBorders>
            <w:shd w:val="clear" w:color="000000" w:fill="FFFFFF"/>
            <w:noWrap/>
            <w:vAlign w:val="center"/>
            <w:hideMark/>
          </w:tcPr>
          <w:p w14:paraId="23ACACD0"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0.8</w:t>
            </w:r>
          </w:p>
        </w:tc>
      </w:tr>
      <w:tr w:rsidR="00E565C3" w:rsidRPr="00EC4BA6" w14:paraId="20A2DAB5" w14:textId="77777777" w:rsidTr="004D0B46">
        <w:trPr>
          <w:trHeight w:hRule="exact" w:val="225"/>
        </w:trPr>
        <w:tc>
          <w:tcPr>
            <w:tcW w:w="1993" w:type="pct"/>
            <w:tcBorders>
              <w:top w:val="nil"/>
              <w:left w:val="nil"/>
              <w:bottom w:val="nil"/>
              <w:right w:val="nil"/>
            </w:tcBorders>
            <w:shd w:val="clear" w:color="000000" w:fill="FFFFFF"/>
            <w:noWrap/>
            <w:vAlign w:val="center"/>
            <w:hideMark/>
          </w:tcPr>
          <w:p w14:paraId="504DED4B" w14:textId="77777777" w:rsidR="00E565C3" w:rsidRPr="00EC4BA6" w:rsidRDefault="00E565C3" w:rsidP="00E565C3">
            <w:pPr>
              <w:spacing w:before="0" w:after="0" w:line="240" w:lineRule="auto"/>
              <w:rPr>
                <w:rFonts w:ascii="Arial" w:hAnsi="Arial" w:cs="Arial"/>
                <w:sz w:val="16"/>
                <w:szCs w:val="16"/>
              </w:rPr>
            </w:pPr>
            <w:r w:rsidRPr="00EC4BA6">
              <w:rPr>
                <w:rFonts w:ascii="Arial" w:hAnsi="Arial" w:cs="Arial"/>
                <w:sz w:val="16"/>
                <w:szCs w:val="16"/>
              </w:rPr>
              <w:t>Company tax</w:t>
            </w:r>
          </w:p>
        </w:tc>
        <w:tc>
          <w:tcPr>
            <w:tcW w:w="737" w:type="pct"/>
            <w:tcBorders>
              <w:top w:val="nil"/>
              <w:left w:val="nil"/>
              <w:bottom w:val="nil"/>
              <w:right w:val="nil"/>
            </w:tcBorders>
            <w:shd w:val="clear" w:color="000000" w:fill="FFFFFF"/>
            <w:noWrap/>
            <w:vAlign w:val="center"/>
            <w:hideMark/>
          </w:tcPr>
          <w:p w14:paraId="589537A7"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135,500</w:t>
            </w:r>
          </w:p>
        </w:tc>
        <w:tc>
          <w:tcPr>
            <w:tcW w:w="737" w:type="pct"/>
            <w:tcBorders>
              <w:top w:val="nil"/>
              <w:left w:val="nil"/>
              <w:bottom w:val="nil"/>
              <w:right w:val="nil"/>
            </w:tcBorders>
            <w:shd w:val="clear" w:color="000000" w:fill="E6F2FF"/>
            <w:noWrap/>
            <w:vAlign w:val="center"/>
            <w:hideMark/>
          </w:tcPr>
          <w:p w14:paraId="6F84E099"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136,500</w:t>
            </w:r>
          </w:p>
        </w:tc>
        <w:tc>
          <w:tcPr>
            <w:tcW w:w="58" w:type="pct"/>
            <w:tcBorders>
              <w:top w:val="nil"/>
              <w:left w:val="nil"/>
              <w:bottom w:val="nil"/>
              <w:right w:val="nil"/>
            </w:tcBorders>
            <w:shd w:val="clear" w:color="000000" w:fill="FFFFFF"/>
            <w:noWrap/>
            <w:vAlign w:val="center"/>
            <w:hideMark/>
          </w:tcPr>
          <w:p w14:paraId="57A9531A"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 </w:t>
            </w:r>
          </w:p>
        </w:tc>
        <w:tc>
          <w:tcPr>
            <w:tcW w:w="737" w:type="pct"/>
            <w:tcBorders>
              <w:top w:val="nil"/>
              <w:left w:val="nil"/>
              <w:bottom w:val="nil"/>
              <w:right w:val="nil"/>
            </w:tcBorders>
            <w:shd w:val="clear" w:color="000000" w:fill="FFFFFF"/>
            <w:noWrap/>
            <w:vAlign w:val="center"/>
            <w:hideMark/>
          </w:tcPr>
          <w:p w14:paraId="15E600A9"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1,000</w:t>
            </w:r>
          </w:p>
        </w:tc>
        <w:tc>
          <w:tcPr>
            <w:tcW w:w="737" w:type="pct"/>
            <w:tcBorders>
              <w:top w:val="nil"/>
              <w:left w:val="nil"/>
              <w:bottom w:val="nil"/>
              <w:right w:val="nil"/>
            </w:tcBorders>
            <w:shd w:val="clear" w:color="000000" w:fill="FFFFFF"/>
            <w:noWrap/>
            <w:vAlign w:val="center"/>
            <w:hideMark/>
          </w:tcPr>
          <w:p w14:paraId="33B422AB"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0.7</w:t>
            </w:r>
          </w:p>
        </w:tc>
      </w:tr>
      <w:tr w:rsidR="00E565C3" w:rsidRPr="00EC4BA6" w14:paraId="0B3745AB" w14:textId="77777777" w:rsidTr="004D0B46">
        <w:trPr>
          <w:trHeight w:hRule="exact" w:val="225"/>
        </w:trPr>
        <w:tc>
          <w:tcPr>
            <w:tcW w:w="1993" w:type="pct"/>
            <w:tcBorders>
              <w:top w:val="nil"/>
              <w:left w:val="nil"/>
              <w:bottom w:val="nil"/>
              <w:right w:val="nil"/>
            </w:tcBorders>
            <w:shd w:val="clear" w:color="000000" w:fill="FFFFFF"/>
            <w:noWrap/>
            <w:vAlign w:val="center"/>
            <w:hideMark/>
          </w:tcPr>
          <w:p w14:paraId="22AD0A67" w14:textId="77777777" w:rsidR="00E565C3" w:rsidRPr="00EC4BA6" w:rsidRDefault="00E565C3" w:rsidP="00E565C3">
            <w:pPr>
              <w:spacing w:before="0" w:after="0" w:line="240" w:lineRule="auto"/>
              <w:rPr>
                <w:rFonts w:ascii="Arial" w:hAnsi="Arial" w:cs="Arial"/>
                <w:sz w:val="16"/>
                <w:szCs w:val="16"/>
              </w:rPr>
            </w:pPr>
            <w:r w:rsidRPr="00EC4BA6">
              <w:rPr>
                <w:rFonts w:ascii="Arial" w:hAnsi="Arial" w:cs="Arial"/>
                <w:sz w:val="16"/>
                <w:szCs w:val="16"/>
              </w:rPr>
              <w:t>Superannuation fund taxes</w:t>
            </w:r>
          </w:p>
        </w:tc>
        <w:tc>
          <w:tcPr>
            <w:tcW w:w="737" w:type="pct"/>
            <w:tcBorders>
              <w:top w:val="nil"/>
              <w:left w:val="nil"/>
              <w:bottom w:val="nil"/>
              <w:right w:val="nil"/>
            </w:tcBorders>
            <w:shd w:val="clear" w:color="000000" w:fill="FFFFFF"/>
            <w:noWrap/>
            <w:vAlign w:val="center"/>
            <w:hideMark/>
          </w:tcPr>
          <w:p w14:paraId="6374D12E"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21,930</w:t>
            </w:r>
          </w:p>
        </w:tc>
        <w:tc>
          <w:tcPr>
            <w:tcW w:w="737" w:type="pct"/>
            <w:tcBorders>
              <w:top w:val="nil"/>
              <w:left w:val="nil"/>
              <w:bottom w:val="nil"/>
              <w:right w:val="nil"/>
            </w:tcBorders>
            <w:shd w:val="clear" w:color="000000" w:fill="E6F2FF"/>
            <w:noWrap/>
            <w:vAlign w:val="center"/>
            <w:hideMark/>
          </w:tcPr>
          <w:p w14:paraId="1389C1A8"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22,830</w:t>
            </w:r>
          </w:p>
        </w:tc>
        <w:tc>
          <w:tcPr>
            <w:tcW w:w="58" w:type="pct"/>
            <w:tcBorders>
              <w:top w:val="nil"/>
              <w:left w:val="nil"/>
              <w:bottom w:val="nil"/>
              <w:right w:val="nil"/>
            </w:tcBorders>
            <w:shd w:val="clear" w:color="000000" w:fill="FFFFFF"/>
            <w:noWrap/>
            <w:vAlign w:val="center"/>
            <w:hideMark/>
          </w:tcPr>
          <w:p w14:paraId="26D70BBF"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 </w:t>
            </w:r>
          </w:p>
        </w:tc>
        <w:tc>
          <w:tcPr>
            <w:tcW w:w="737" w:type="pct"/>
            <w:tcBorders>
              <w:top w:val="nil"/>
              <w:left w:val="nil"/>
              <w:bottom w:val="nil"/>
              <w:right w:val="nil"/>
            </w:tcBorders>
            <w:shd w:val="clear" w:color="000000" w:fill="FFFFFF"/>
            <w:noWrap/>
            <w:vAlign w:val="center"/>
            <w:hideMark/>
          </w:tcPr>
          <w:p w14:paraId="22EA5D54"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900</w:t>
            </w:r>
          </w:p>
        </w:tc>
        <w:tc>
          <w:tcPr>
            <w:tcW w:w="737" w:type="pct"/>
            <w:tcBorders>
              <w:top w:val="nil"/>
              <w:left w:val="nil"/>
              <w:bottom w:val="nil"/>
              <w:right w:val="nil"/>
            </w:tcBorders>
            <w:shd w:val="clear" w:color="000000" w:fill="FFFFFF"/>
            <w:noWrap/>
            <w:vAlign w:val="center"/>
            <w:hideMark/>
          </w:tcPr>
          <w:p w14:paraId="140B292C"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4.1</w:t>
            </w:r>
          </w:p>
        </w:tc>
      </w:tr>
      <w:tr w:rsidR="00E565C3" w:rsidRPr="00EC4BA6" w14:paraId="68BFBA52" w14:textId="77777777" w:rsidTr="004D0B46">
        <w:trPr>
          <w:trHeight w:hRule="exact" w:val="225"/>
        </w:trPr>
        <w:tc>
          <w:tcPr>
            <w:tcW w:w="1993" w:type="pct"/>
            <w:tcBorders>
              <w:top w:val="nil"/>
              <w:left w:val="nil"/>
              <w:bottom w:val="nil"/>
              <w:right w:val="nil"/>
            </w:tcBorders>
            <w:shd w:val="clear" w:color="000000" w:fill="FFFFFF"/>
            <w:noWrap/>
            <w:vAlign w:val="center"/>
            <w:hideMark/>
          </w:tcPr>
          <w:p w14:paraId="62786BF0" w14:textId="77777777" w:rsidR="00E565C3" w:rsidRPr="00EC4BA6" w:rsidRDefault="00E565C3" w:rsidP="00E565C3">
            <w:pPr>
              <w:spacing w:before="0" w:after="0" w:line="240" w:lineRule="auto"/>
              <w:rPr>
                <w:rFonts w:ascii="Arial" w:hAnsi="Arial" w:cs="Arial"/>
                <w:sz w:val="16"/>
                <w:szCs w:val="16"/>
              </w:rPr>
            </w:pPr>
            <w:r w:rsidRPr="00EC4BA6">
              <w:rPr>
                <w:rFonts w:ascii="Arial" w:hAnsi="Arial" w:cs="Arial"/>
                <w:sz w:val="16"/>
                <w:szCs w:val="16"/>
              </w:rPr>
              <w:t>Petroleum resource rent tax</w:t>
            </w:r>
          </w:p>
        </w:tc>
        <w:tc>
          <w:tcPr>
            <w:tcW w:w="737" w:type="pct"/>
            <w:tcBorders>
              <w:top w:val="nil"/>
              <w:left w:val="nil"/>
              <w:bottom w:val="single" w:sz="4" w:space="0" w:color="293F5B"/>
              <w:right w:val="nil"/>
            </w:tcBorders>
            <w:shd w:val="clear" w:color="000000" w:fill="FFFFFF"/>
            <w:noWrap/>
            <w:vAlign w:val="center"/>
            <w:hideMark/>
          </w:tcPr>
          <w:p w14:paraId="40D1C695"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1,400</w:t>
            </w:r>
          </w:p>
        </w:tc>
        <w:tc>
          <w:tcPr>
            <w:tcW w:w="737" w:type="pct"/>
            <w:tcBorders>
              <w:top w:val="nil"/>
              <w:left w:val="nil"/>
              <w:bottom w:val="single" w:sz="4" w:space="0" w:color="293F5B"/>
              <w:right w:val="nil"/>
            </w:tcBorders>
            <w:shd w:val="clear" w:color="000000" w:fill="E6F2FF"/>
            <w:noWrap/>
            <w:vAlign w:val="center"/>
            <w:hideMark/>
          </w:tcPr>
          <w:p w14:paraId="4ABC074A"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1,500</w:t>
            </w:r>
          </w:p>
        </w:tc>
        <w:tc>
          <w:tcPr>
            <w:tcW w:w="58" w:type="pct"/>
            <w:tcBorders>
              <w:top w:val="nil"/>
              <w:left w:val="nil"/>
              <w:bottom w:val="nil"/>
              <w:right w:val="nil"/>
            </w:tcBorders>
            <w:shd w:val="clear" w:color="000000" w:fill="FFFFFF"/>
            <w:noWrap/>
            <w:vAlign w:val="center"/>
            <w:hideMark/>
          </w:tcPr>
          <w:p w14:paraId="2A706E76"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 </w:t>
            </w:r>
          </w:p>
        </w:tc>
        <w:tc>
          <w:tcPr>
            <w:tcW w:w="737" w:type="pct"/>
            <w:tcBorders>
              <w:top w:val="nil"/>
              <w:left w:val="nil"/>
              <w:bottom w:val="single" w:sz="4" w:space="0" w:color="293F5B"/>
              <w:right w:val="nil"/>
            </w:tcBorders>
            <w:shd w:val="clear" w:color="000000" w:fill="FFFFFF"/>
            <w:noWrap/>
            <w:vAlign w:val="center"/>
            <w:hideMark/>
          </w:tcPr>
          <w:p w14:paraId="364A70C5"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100</w:t>
            </w:r>
          </w:p>
        </w:tc>
        <w:tc>
          <w:tcPr>
            <w:tcW w:w="737" w:type="pct"/>
            <w:tcBorders>
              <w:top w:val="nil"/>
              <w:left w:val="nil"/>
              <w:bottom w:val="single" w:sz="4" w:space="0" w:color="293F5B"/>
              <w:right w:val="nil"/>
            </w:tcBorders>
            <w:shd w:val="clear" w:color="000000" w:fill="FFFFFF"/>
            <w:noWrap/>
            <w:vAlign w:val="center"/>
            <w:hideMark/>
          </w:tcPr>
          <w:p w14:paraId="60D50F7B"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7.1</w:t>
            </w:r>
          </w:p>
        </w:tc>
      </w:tr>
      <w:tr w:rsidR="00E565C3" w:rsidRPr="00EC4BA6" w14:paraId="248E1AA1" w14:textId="77777777" w:rsidTr="004D0B46">
        <w:trPr>
          <w:trHeight w:hRule="exact" w:val="225"/>
        </w:trPr>
        <w:tc>
          <w:tcPr>
            <w:tcW w:w="1993" w:type="pct"/>
            <w:tcBorders>
              <w:top w:val="nil"/>
              <w:left w:val="nil"/>
              <w:bottom w:val="nil"/>
              <w:right w:val="nil"/>
            </w:tcBorders>
            <w:shd w:val="clear" w:color="000000" w:fill="FFFFFF"/>
            <w:noWrap/>
            <w:vAlign w:val="center"/>
            <w:hideMark/>
          </w:tcPr>
          <w:p w14:paraId="1E5BD76C" w14:textId="77777777" w:rsidR="00E565C3" w:rsidRPr="00EC4BA6" w:rsidRDefault="00E565C3" w:rsidP="00E565C3">
            <w:pPr>
              <w:spacing w:before="0" w:after="0" w:line="240" w:lineRule="auto"/>
              <w:rPr>
                <w:rFonts w:ascii="Arial" w:hAnsi="Arial" w:cs="Arial"/>
                <w:b/>
                <w:sz w:val="16"/>
                <w:szCs w:val="16"/>
              </w:rPr>
            </w:pPr>
            <w:r w:rsidRPr="00EC4BA6">
              <w:rPr>
                <w:rFonts w:ascii="Arial" w:hAnsi="Arial" w:cs="Arial"/>
                <w:b/>
                <w:sz w:val="16"/>
                <w:szCs w:val="16"/>
              </w:rPr>
              <w:t>Income taxation revenue</w:t>
            </w:r>
          </w:p>
        </w:tc>
        <w:tc>
          <w:tcPr>
            <w:tcW w:w="737" w:type="pct"/>
            <w:tcBorders>
              <w:top w:val="nil"/>
              <w:left w:val="nil"/>
              <w:bottom w:val="single" w:sz="4" w:space="0" w:color="293F5B"/>
              <w:right w:val="nil"/>
            </w:tcBorders>
            <w:shd w:val="clear" w:color="000000" w:fill="FFFFFF"/>
            <w:noWrap/>
            <w:vAlign w:val="center"/>
            <w:hideMark/>
          </w:tcPr>
          <w:p w14:paraId="446418D6" w14:textId="77777777" w:rsidR="00E565C3" w:rsidRPr="00EC4BA6" w:rsidRDefault="00E565C3" w:rsidP="00E565C3">
            <w:pPr>
              <w:spacing w:before="0" w:after="0" w:line="240" w:lineRule="auto"/>
              <w:jc w:val="right"/>
              <w:rPr>
                <w:rFonts w:ascii="Arial" w:hAnsi="Arial" w:cs="Arial"/>
                <w:b/>
                <w:sz w:val="16"/>
                <w:szCs w:val="16"/>
              </w:rPr>
            </w:pPr>
            <w:r w:rsidRPr="00EC4BA6">
              <w:rPr>
                <w:rFonts w:ascii="Arial" w:hAnsi="Arial" w:cs="Arial"/>
                <w:b/>
                <w:sz w:val="16"/>
                <w:szCs w:val="16"/>
              </w:rPr>
              <w:t>508,160</w:t>
            </w:r>
          </w:p>
        </w:tc>
        <w:tc>
          <w:tcPr>
            <w:tcW w:w="737" w:type="pct"/>
            <w:tcBorders>
              <w:top w:val="nil"/>
              <w:left w:val="nil"/>
              <w:bottom w:val="single" w:sz="4" w:space="0" w:color="293F5B"/>
              <w:right w:val="nil"/>
            </w:tcBorders>
            <w:shd w:val="clear" w:color="000000" w:fill="E6F2FF"/>
            <w:noWrap/>
            <w:vAlign w:val="center"/>
            <w:hideMark/>
          </w:tcPr>
          <w:p w14:paraId="4F1991F9" w14:textId="77777777" w:rsidR="00E565C3" w:rsidRPr="00EC4BA6" w:rsidRDefault="00E565C3" w:rsidP="00E565C3">
            <w:pPr>
              <w:spacing w:before="0" w:after="0" w:line="240" w:lineRule="auto"/>
              <w:jc w:val="right"/>
              <w:rPr>
                <w:rFonts w:ascii="Arial" w:hAnsi="Arial" w:cs="Arial"/>
                <w:b/>
                <w:sz w:val="16"/>
                <w:szCs w:val="16"/>
              </w:rPr>
            </w:pPr>
            <w:r w:rsidRPr="00EC4BA6">
              <w:rPr>
                <w:rFonts w:ascii="Arial" w:hAnsi="Arial" w:cs="Arial"/>
                <w:b/>
                <w:sz w:val="16"/>
                <w:szCs w:val="16"/>
              </w:rPr>
              <w:t>509,700</w:t>
            </w:r>
          </w:p>
        </w:tc>
        <w:tc>
          <w:tcPr>
            <w:tcW w:w="58" w:type="pct"/>
            <w:tcBorders>
              <w:top w:val="nil"/>
              <w:left w:val="nil"/>
              <w:bottom w:val="nil"/>
              <w:right w:val="nil"/>
            </w:tcBorders>
            <w:shd w:val="clear" w:color="000000" w:fill="FFFFFF"/>
            <w:noWrap/>
            <w:vAlign w:val="center"/>
            <w:hideMark/>
          </w:tcPr>
          <w:p w14:paraId="2301DB32" w14:textId="77777777" w:rsidR="00E565C3" w:rsidRPr="00EC4BA6" w:rsidRDefault="00E565C3" w:rsidP="00E565C3">
            <w:pPr>
              <w:spacing w:before="0" w:after="0" w:line="240" w:lineRule="auto"/>
              <w:jc w:val="right"/>
              <w:rPr>
                <w:rFonts w:ascii="Arial" w:hAnsi="Arial" w:cs="Arial"/>
                <w:b/>
                <w:sz w:val="16"/>
                <w:szCs w:val="16"/>
              </w:rPr>
            </w:pPr>
            <w:r w:rsidRPr="00EC4BA6">
              <w:rPr>
                <w:rFonts w:ascii="Arial" w:hAnsi="Arial" w:cs="Arial"/>
                <w:b/>
                <w:sz w:val="16"/>
                <w:szCs w:val="16"/>
              </w:rPr>
              <w:t> </w:t>
            </w:r>
          </w:p>
        </w:tc>
        <w:tc>
          <w:tcPr>
            <w:tcW w:w="737" w:type="pct"/>
            <w:tcBorders>
              <w:top w:val="single" w:sz="4" w:space="0" w:color="000000"/>
              <w:left w:val="nil"/>
              <w:bottom w:val="single" w:sz="4" w:space="0" w:color="293F5B"/>
              <w:right w:val="nil"/>
            </w:tcBorders>
            <w:shd w:val="clear" w:color="000000" w:fill="FFFFFF"/>
            <w:noWrap/>
            <w:vAlign w:val="center"/>
            <w:hideMark/>
          </w:tcPr>
          <w:p w14:paraId="1942C98F" w14:textId="77777777" w:rsidR="00E565C3" w:rsidRPr="00EC4BA6" w:rsidRDefault="00E565C3" w:rsidP="00E565C3">
            <w:pPr>
              <w:spacing w:before="0" w:after="0" w:line="240" w:lineRule="auto"/>
              <w:jc w:val="right"/>
              <w:rPr>
                <w:rFonts w:ascii="Arial" w:hAnsi="Arial" w:cs="Arial"/>
                <w:b/>
                <w:sz w:val="16"/>
                <w:szCs w:val="16"/>
              </w:rPr>
            </w:pPr>
            <w:r w:rsidRPr="00EC4BA6">
              <w:rPr>
                <w:rFonts w:ascii="Arial" w:hAnsi="Arial" w:cs="Arial"/>
                <w:b/>
                <w:sz w:val="16"/>
                <w:szCs w:val="16"/>
              </w:rPr>
              <w:t>1,540</w:t>
            </w:r>
          </w:p>
        </w:tc>
        <w:tc>
          <w:tcPr>
            <w:tcW w:w="737" w:type="pct"/>
            <w:tcBorders>
              <w:top w:val="single" w:sz="4" w:space="0" w:color="000000"/>
              <w:left w:val="nil"/>
              <w:bottom w:val="single" w:sz="4" w:space="0" w:color="293F5B"/>
              <w:right w:val="nil"/>
            </w:tcBorders>
            <w:shd w:val="clear" w:color="000000" w:fill="FFFFFF"/>
            <w:noWrap/>
            <w:vAlign w:val="center"/>
            <w:hideMark/>
          </w:tcPr>
          <w:p w14:paraId="323B35DD" w14:textId="77777777" w:rsidR="00E565C3" w:rsidRPr="00EC4BA6" w:rsidRDefault="00E565C3" w:rsidP="00E565C3">
            <w:pPr>
              <w:spacing w:before="0" w:after="0" w:line="240" w:lineRule="auto"/>
              <w:jc w:val="right"/>
              <w:rPr>
                <w:rFonts w:ascii="Arial" w:hAnsi="Arial" w:cs="Arial"/>
                <w:b/>
                <w:sz w:val="16"/>
                <w:szCs w:val="16"/>
              </w:rPr>
            </w:pPr>
            <w:r w:rsidRPr="00EC4BA6">
              <w:rPr>
                <w:rFonts w:ascii="Arial" w:hAnsi="Arial" w:cs="Arial"/>
                <w:b/>
                <w:sz w:val="16"/>
                <w:szCs w:val="16"/>
              </w:rPr>
              <w:t>0.3</w:t>
            </w:r>
          </w:p>
        </w:tc>
      </w:tr>
      <w:tr w:rsidR="00E565C3" w:rsidRPr="00EC4BA6" w14:paraId="29959C7C" w14:textId="77777777" w:rsidTr="004D0B46">
        <w:trPr>
          <w:trHeight w:hRule="exact" w:val="225"/>
        </w:trPr>
        <w:tc>
          <w:tcPr>
            <w:tcW w:w="1993" w:type="pct"/>
            <w:tcBorders>
              <w:top w:val="nil"/>
              <w:left w:val="nil"/>
              <w:bottom w:val="nil"/>
              <w:right w:val="nil"/>
            </w:tcBorders>
            <w:shd w:val="clear" w:color="000000" w:fill="FFFFFF"/>
            <w:noWrap/>
            <w:vAlign w:val="center"/>
            <w:hideMark/>
          </w:tcPr>
          <w:p w14:paraId="7AA066EE" w14:textId="77777777" w:rsidR="00E565C3" w:rsidRPr="00EC4BA6" w:rsidRDefault="00E565C3" w:rsidP="00E565C3">
            <w:pPr>
              <w:spacing w:before="0" w:after="0" w:line="240" w:lineRule="auto"/>
              <w:rPr>
                <w:rFonts w:ascii="Arial" w:hAnsi="Arial" w:cs="Arial"/>
                <w:sz w:val="16"/>
                <w:szCs w:val="16"/>
              </w:rPr>
            </w:pPr>
            <w:r w:rsidRPr="00EC4BA6">
              <w:rPr>
                <w:rFonts w:ascii="Arial" w:hAnsi="Arial" w:cs="Arial"/>
                <w:sz w:val="16"/>
                <w:szCs w:val="16"/>
              </w:rPr>
              <w:t>Goods and services tax</w:t>
            </w:r>
          </w:p>
        </w:tc>
        <w:tc>
          <w:tcPr>
            <w:tcW w:w="737" w:type="pct"/>
            <w:tcBorders>
              <w:top w:val="nil"/>
              <w:left w:val="nil"/>
              <w:bottom w:val="nil"/>
              <w:right w:val="nil"/>
            </w:tcBorders>
            <w:shd w:val="clear" w:color="000000" w:fill="FFFFFF"/>
            <w:noWrap/>
            <w:vAlign w:val="center"/>
            <w:hideMark/>
          </w:tcPr>
          <w:p w14:paraId="7699AD7F"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94,770</w:t>
            </w:r>
          </w:p>
        </w:tc>
        <w:tc>
          <w:tcPr>
            <w:tcW w:w="737" w:type="pct"/>
            <w:tcBorders>
              <w:top w:val="nil"/>
              <w:left w:val="nil"/>
              <w:bottom w:val="nil"/>
              <w:right w:val="nil"/>
            </w:tcBorders>
            <w:shd w:val="clear" w:color="000000" w:fill="E6F2FF"/>
            <w:noWrap/>
            <w:vAlign w:val="center"/>
            <w:hideMark/>
          </w:tcPr>
          <w:p w14:paraId="00A1D6DA"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94,420</w:t>
            </w:r>
          </w:p>
        </w:tc>
        <w:tc>
          <w:tcPr>
            <w:tcW w:w="58" w:type="pct"/>
            <w:tcBorders>
              <w:top w:val="nil"/>
              <w:left w:val="nil"/>
              <w:bottom w:val="nil"/>
              <w:right w:val="nil"/>
            </w:tcBorders>
            <w:shd w:val="clear" w:color="000000" w:fill="FFFFFF"/>
            <w:noWrap/>
            <w:vAlign w:val="center"/>
            <w:hideMark/>
          </w:tcPr>
          <w:p w14:paraId="5BBC2A75" w14:textId="77777777" w:rsidR="00E565C3" w:rsidRPr="00EC4BA6" w:rsidRDefault="00E565C3" w:rsidP="00E565C3">
            <w:pPr>
              <w:spacing w:before="0" w:after="0" w:line="240" w:lineRule="auto"/>
              <w:jc w:val="right"/>
              <w:rPr>
                <w:rFonts w:ascii="Arial" w:hAnsi="Arial" w:cs="Arial"/>
                <w:b/>
                <w:sz w:val="16"/>
                <w:szCs w:val="16"/>
              </w:rPr>
            </w:pPr>
            <w:r w:rsidRPr="00EC4BA6">
              <w:rPr>
                <w:rFonts w:ascii="Arial" w:hAnsi="Arial" w:cs="Arial"/>
                <w:b/>
                <w:sz w:val="16"/>
                <w:szCs w:val="16"/>
              </w:rPr>
              <w:t> </w:t>
            </w:r>
          </w:p>
        </w:tc>
        <w:tc>
          <w:tcPr>
            <w:tcW w:w="737" w:type="pct"/>
            <w:tcBorders>
              <w:top w:val="nil"/>
              <w:left w:val="nil"/>
              <w:bottom w:val="nil"/>
              <w:right w:val="nil"/>
            </w:tcBorders>
            <w:shd w:val="clear" w:color="000000" w:fill="FFFFFF"/>
            <w:noWrap/>
            <w:vAlign w:val="center"/>
            <w:hideMark/>
          </w:tcPr>
          <w:p w14:paraId="5CB5AC5C" w14:textId="2C75A9F9" w:rsidR="00E565C3" w:rsidRPr="00EC4BA6" w:rsidRDefault="001A3DD6" w:rsidP="00E565C3">
            <w:pPr>
              <w:spacing w:before="0" w:after="0" w:line="240" w:lineRule="auto"/>
              <w:jc w:val="right"/>
              <w:rPr>
                <w:rFonts w:ascii="Arial" w:hAnsi="Arial" w:cs="Arial"/>
                <w:sz w:val="16"/>
                <w:szCs w:val="16"/>
              </w:rPr>
            </w:pPr>
            <w:r>
              <w:rPr>
                <w:rFonts w:ascii="Arial" w:hAnsi="Arial" w:cs="Arial"/>
                <w:sz w:val="16"/>
                <w:szCs w:val="16"/>
              </w:rPr>
              <w:noBreakHyphen/>
            </w:r>
            <w:r w:rsidR="00E565C3" w:rsidRPr="00EC4BA6">
              <w:rPr>
                <w:rFonts w:ascii="Arial" w:hAnsi="Arial" w:cs="Arial"/>
                <w:sz w:val="16"/>
                <w:szCs w:val="16"/>
              </w:rPr>
              <w:t>350</w:t>
            </w:r>
          </w:p>
        </w:tc>
        <w:tc>
          <w:tcPr>
            <w:tcW w:w="737" w:type="pct"/>
            <w:tcBorders>
              <w:top w:val="nil"/>
              <w:left w:val="nil"/>
              <w:bottom w:val="nil"/>
              <w:right w:val="nil"/>
            </w:tcBorders>
            <w:shd w:val="clear" w:color="000000" w:fill="FFFFFF"/>
            <w:noWrap/>
            <w:vAlign w:val="center"/>
            <w:hideMark/>
          </w:tcPr>
          <w:p w14:paraId="40A23344" w14:textId="46C3612F" w:rsidR="00E565C3" w:rsidRPr="00EC4BA6" w:rsidRDefault="001A3DD6" w:rsidP="00E565C3">
            <w:pPr>
              <w:spacing w:before="0" w:after="0" w:line="240" w:lineRule="auto"/>
              <w:jc w:val="right"/>
              <w:rPr>
                <w:rFonts w:ascii="Arial" w:hAnsi="Arial" w:cs="Arial"/>
                <w:sz w:val="16"/>
                <w:szCs w:val="16"/>
              </w:rPr>
            </w:pPr>
            <w:r>
              <w:rPr>
                <w:rFonts w:ascii="Arial" w:hAnsi="Arial" w:cs="Arial"/>
                <w:sz w:val="16"/>
                <w:szCs w:val="16"/>
              </w:rPr>
              <w:noBreakHyphen/>
            </w:r>
            <w:r w:rsidR="00E565C3" w:rsidRPr="00EC4BA6">
              <w:rPr>
                <w:rFonts w:ascii="Arial" w:hAnsi="Arial" w:cs="Arial"/>
                <w:sz w:val="16"/>
                <w:szCs w:val="16"/>
              </w:rPr>
              <w:t>0.4</w:t>
            </w:r>
          </w:p>
        </w:tc>
      </w:tr>
      <w:tr w:rsidR="00E565C3" w:rsidRPr="00EC4BA6" w14:paraId="493078F3" w14:textId="77777777" w:rsidTr="004D0B46">
        <w:trPr>
          <w:trHeight w:hRule="exact" w:val="225"/>
        </w:trPr>
        <w:tc>
          <w:tcPr>
            <w:tcW w:w="1993" w:type="pct"/>
            <w:tcBorders>
              <w:top w:val="nil"/>
              <w:left w:val="nil"/>
              <w:bottom w:val="nil"/>
              <w:right w:val="nil"/>
            </w:tcBorders>
            <w:shd w:val="clear" w:color="000000" w:fill="FFFFFF"/>
            <w:noWrap/>
            <w:vAlign w:val="center"/>
            <w:hideMark/>
          </w:tcPr>
          <w:p w14:paraId="6BA10049" w14:textId="77777777" w:rsidR="00E565C3" w:rsidRPr="00EC4BA6" w:rsidRDefault="00E565C3" w:rsidP="00E565C3">
            <w:pPr>
              <w:spacing w:before="0" w:after="0" w:line="240" w:lineRule="auto"/>
              <w:rPr>
                <w:rFonts w:ascii="Arial" w:hAnsi="Arial" w:cs="Arial"/>
                <w:sz w:val="16"/>
                <w:szCs w:val="16"/>
              </w:rPr>
            </w:pPr>
            <w:r w:rsidRPr="00EC4BA6">
              <w:rPr>
                <w:rFonts w:ascii="Arial" w:hAnsi="Arial" w:cs="Arial"/>
                <w:sz w:val="16"/>
                <w:szCs w:val="16"/>
              </w:rPr>
              <w:t>Wine equalisation tax</w:t>
            </w:r>
          </w:p>
        </w:tc>
        <w:tc>
          <w:tcPr>
            <w:tcW w:w="737" w:type="pct"/>
            <w:tcBorders>
              <w:top w:val="nil"/>
              <w:left w:val="nil"/>
              <w:bottom w:val="nil"/>
              <w:right w:val="nil"/>
            </w:tcBorders>
            <w:shd w:val="clear" w:color="000000" w:fill="FFFFFF"/>
            <w:noWrap/>
            <w:vAlign w:val="center"/>
            <w:hideMark/>
          </w:tcPr>
          <w:p w14:paraId="1A94D60D"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1,130</w:t>
            </w:r>
          </w:p>
        </w:tc>
        <w:tc>
          <w:tcPr>
            <w:tcW w:w="737" w:type="pct"/>
            <w:tcBorders>
              <w:top w:val="nil"/>
              <w:left w:val="nil"/>
              <w:bottom w:val="nil"/>
              <w:right w:val="nil"/>
            </w:tcBorders>
            <w:shd w:val="clear" w:color="000000" w:fill="E6F2FF"/>
            <w:noWrap/>
            <w:vAlign w:val="center"/>
            <w:hideMark/>
          </w:tcPr>
          <w:p w14:paraId="5AE468FE"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1,120</w:t>
            </w:r>
          </w:p>
        </w:tc>
        <w:tc>
          <w:tcPr>
            <w:tcW w:w="58" w:type="pct"/>
            <w:tcBorders>
              <w:top w:val="nil"/>
              <w:left w:val="nil"/>
              <w:bottom w:val="nil"/>
              <w:right w:val="nil"/>
            </w:tcBorders>
            <w:shd w:val="clear" w:color="000000" w:fill="FFFFFF"/>
            <w:noWrap/>
            <w:vAlign w:val="center"/>
            <w:hideMark/>
          </w:tcPr>
          <w:p w14:paraId="079CC1ED" w14:textId="77777777" w:rsidR="00E565C3" w:rsidRPr="00EC4BA6" w:rsidRDefault="00E565C3" w:rsidP="00E565C3">
            <w:pPr>
              <w:spacing w:before="0" w:after="0" w:line="240" w:lineRule="auto"/>
              <w:jc w:val="right"/>
              <w:rPr>
                <w:rFonts w:ascii="Arial" w:hAnsi="Arial" w:cs="Arial"/>
                <w:b/>
                <w:sz w:val="16"/>
                <w:szCs w:val="16"/>
              </w:rPr>
            </w:pPr>
            <w:r w:rsidRPr="00EC4BA6">
              <w:rPr>
                <w:rFonts w:ascii="Arial" w:hAnsi="Arial" w:cs="Arial"/>
                <w:b/>
                <w:sz w:val="16"/>
                <w:szCs w:val="16"/>
              </w:rPr>
              <w:t> </w:t>
            </w:r>
          </w:p>
        </w:tc>
        <w:tc>
          <w:tcPr>
            <w:tcW w:w="737" w:type="pct"/>
            <w:tcBorders>
              <w:top w:val="nil"/>
              <w:left w:val="nil"/>
              <w:bottom w:val="nil"/>
              <w:right w:val="nil"/>
            </w:tcBorders>
            <w:shd w:val="clear" w:color="000000" w:fill="FFFFFF"/>
            <w:noWrap/>
            <w:vAlign w:val="center"/>
            <w:hideMark/>
          </w:tcPr>
          <w:p w14:paraId="23C858EC" w14:textId="13BB8EDF" w:rsidR="00E565C3" w:rsidRPr="00EC4BA6" w:rsidRDefault="001A3DD6" w:rsidP="00E565C3">
            <w:pPr>
              <w:spacing w:before="0" w:after="0" w:line="240" w:lineRule="auto"/>
              <w:jc w:val="right"/>
              <w:rPr>
                <w:rFonts w:ascii="Arial" w:hAnsi="Arial" w:cs="Arial"/>
                <w:sz w:val="16"/>
                <w:szCs w:val="16"/>
              </w:rPr>
            </w:pPr>
            <w:r>
              <w:rPr>
                <w:rFonts w:ascii="Arial" w:hAnsi="Arial" w:cs="Arial"/>
                <w:sz w:val="16"/>
                <w:szCs w:val="16"/>
              </w:rPr>
              <w:noBreakHyphen/>
            </w:r>
            <w:r w:rsidR="00E565C3" w:rsidRPr="00EC4BA6">
              <w:rPr>
                <w:rFonts w:ascii="Arial" w:hAnsi="Arial" w:cs="Arial"/>
                <w:sz w:val="16"/>
                <w:szCs w:val="16"/>
              </w:rPr>
              <w:t>10</w:t>
            </w:r>
          </w:p>
        </w:tc>
        <w:tc>
          <w:tcPr>
            <w:tcW w:w="737" w:type="pct"/>
            <w:tcBorders>
              <w:top w:val="nil"/>
              <w:left w:val="nil"/>
              <w:bottom w:val="nil"/>
              <w:right w:val="nil"/>
            </w:tcBorders>
            <w:shd w:val="clear" w:color="000000" w:fill="FFFFFF"/>
            <w:noWrap/>
            <w:vAlign w:val="center"/>
            <w:hideMark/>
          </w:tcPr>
          <w:p w14:paraId="58081592" w14:textId="3B8F6F88" w:rsidR="00E565C3" w:rsidRPr="00EC4BA6" w:rsidRDefault="001A3DD6" w:rsidP="00E565C3">
            <w:pPr>
              <w:spacing w:before="0" w:after="0" w:line="240" w:lineRule="auto"/>
              <w:jc w:val="right"/>
              <w:rPr>
                <w:rFonts w:ascii="Arial" w:hAnsi="Arial" w:cs="Arial"/>
                <w:sz w:val="16"/>
                <w:szCs w:val="16"/>
              </w:rPr>
            </w:pPr>
            <w:r>
              <w:rPr>
                <w:rFonts w:ascii="Arial" w:hAnsi="Arial" w:cs="Arial"/>
                <w:sz w:val="16"/>
                <w:szCs w:val="16"/>
              </w:rPr>
              <w:noBreakHyphen/>
            </w:r>
            <w:r w:rsidR="00E565C3" w:rsidRPr="00EC4BA6">
              <w:rPr>
                <w:rFonts w:ascii="Arial" w:hAnsi="Arial" w:cs="Arial"/>
                <w:sz w:val="16"/>
                <w:szCs w:val="16"/>
              </w:rPr>
              <w:t>0.9</w:t>
            </w:r>
          </w:p>
        </w:tc>
      </w:tr>
      <w:tr w:rsidR="00E565C3" w:rsidRPr="00EC4BA6" w14:paraId="04843C1B" w14:textId="77777777" w:rsidTr="004D0B46">
        <w:trPr>
          <w:trHeight w:hRule="exact" w:val="225"/>
        </w:trPr>
        <w:tc>
          <w:tcPr>
            <w:tcW w:w="1993" w:type="pct"/>
            <w:tcBorders>
              <w:top w:val="nil"/>
              <w:left w:val="nil"/>
              <w:bottom w:val="nil"/>
              <w:right w:val="nil"/>
            </w:tcBorders>
            <w:shd w:val="clear" w:color="000000" w:fill="FFFFFF"/>
            <w:noWrap/>
            <w:vAlign w:val="center"/>
            <w:hideMark/>
          </w:tcPr>
          <w:p w14:paraId="639CE63B" w14:textId="77777777" w:rsidR="00E565C3" w:rsidRPr="00EC4BA6" w:rsidRDefault="00E565C3" w:rsidP="00E565C3">
            <w:pPr>
              <w:spacing w:before="0" w:after="0" w:line="240" w:lineRule="auto"/>
              <w:rPr>
                <w:rFonts w:ascii="Arial" w:hAnsi="Arial" w:cs="Arial"/>
                <w:sz w:val="16"/>
                <w:szCs w:val="16"/>
              </w:rPr>
            </w:pPr>
            <w:r w:rsidRPr="00EC4BA6">
              <w:rPr>
                <w:rFonts w:ascii="Arial" w:hAnsi="Arial" w:cs="Arial"/>
                <w:sz w:val="16"/>
                <w:szCs w:val="16"/>
              </w:rPr>
              <w:t>Luxury car tax</w:t>
            </w:r>
          </w:p>
        </w:tc>
        <w:tc>
          <w:tcPr>
            <w:tcW w:w="737" w:type="pct"/>
            <w:tcBorders>
              <w:top w:val="nil"/>
              <w:left w:val="nil"/>
              <w:bottom w:val="nil"/>
              <w:right w:val="nil"/>
            </w:tcBorders>
            <w:shd w:val="clear" w:color="000000" w:fill="FFFFFF"/>
            <w:noWrap/>
            <w:vAlign w:val="center"/>
            <w:hideMark/>
          </w:tcPr>
          <w:p w14:paraId="15394B1D"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1,170</w:t>
            </w:r>
          </w:p>
        </w:tc>
        <w:tc>
          <w:tcPr>
            <w:tcW w:w="737" w:type="pct"/>
            <w:tcBorders>
              <w:top w:val="nil"/>
              <w:left w:val="nil"/>
              <w:bottom w:val="nil"/>
              <w:right w:val="nil"/>
            </w:tcBorders>
            <w:shd w:val="clear" w:color="000000" w:fill="E6F2FF"/>
            <w:noWrap/>
            <w:vAlign w:val="center"/>
            <w:hideMark/>
          </w:tcPr>
          <w:p w14:paraId="52035DAB"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1,170</w:t>
            </w:r>
          </w:p>
        </w:tc>
        <w:tc>
          <w:tcPr>
            <w:tcW w:w="58" w:type="pct"/>
            <w:tcBorders>
              <w:top w:val="nil"/>
              <w:left w:val="nil"/>
              <w:bottom w:val="nil"/>
              <w:right w:val="nil"/>
            </w:tcBorders>
            <w:shd w:val="clear" w:color="000000" w:fill="FFFFFF"/>
            <w:noWrap/>
            <w:vAlign w:val="center"/>
            <w:hideMark/>
          </w:tcPr>
          <w:p w14:paraId="662D438F" w14:textId="77777777" w:rsidR="00E565C3" w:rsidRPr="00EC4BA6" w:rsidRDefault="00E565C3" w:rsidP="00E565C3">
            <w:pPr>
              <w:spacing w:before="0" w:after="0" w:line="240" w:lineRule="auto"/>
              <w:jc w:val="right"/>
              <w:rPr>
                <w:rFonts w:ascii="Arial" w:hAnsi="Arial" w:cs="Arial"/>
                <w:b/>
                <w:sz w:val="16"/>
                <w:szCs w:val="16"/>
              </w:rPr>
            </w:pPr>
            <w:r w:rsidRPr="00EC4BA6">
              <w:rPr>
                <w:rFonts w:ascii="Arial" w:hAnsi="Arial" w:cs="Arial"/>
                <w:b/>
                <w:sz w:val="16"/>
                <w:szCs w:val="16"/>
              </w:rPr>
              <w:t> </w:t>
            </w:r>
          </w:p>
        </w:tc>
        <w:tc>
          <w:tcPr>
            <w:tcW w:w="737" w:type="pct"/>
            <w:tcBorders>
              <w:top w:val="nil"/>
              <w:left w:val="nil"/>
              <w:bottom w:val="nil"/>
              <w:right w:val="nil"/>
            </w:tcBorders>
            <w:shd w:val="clear" w:color="000000" w:fill="FFFFFF"/>
            <w:noWrap/>
            <w:vAlign w:val="center"/>
            <w:hideMark/>
          </w:tcPr>
          <w:p w14:paraId="7185A800"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0</w:t>
            </w:r>
          </w:p>
        </w:tc>
        <w:tc>
          <w:tcPr>
            <w:tcW w:w="737" w:type="pct"/>
            <w:tcBorders>
              <w:top w:val="nil"/>
              <w:left w:val="nil"/>
              <w:bottom w:val="nil"/>
              <w:right w:val="nil"/>
            </w:tcBorders>
            <w:shd w:val="clear" w:color="000000" w:fill="FFFFFF"/>
            <w:noWrap/>
            <w:vAlign w:val="center"/>
            <w:hideMark/>
          </w:tcPr>
          <w:p w14:paraId="2F8B0D26"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0.0</w:t>
            </w:r>
          </w:p>
        </w:tc>
      </w:tr>
      <w:tr w:rsidR="00E565C3" w:rsidRPr="00EC4BA6" w14:paraId="5C7DB8C8" w14:textId="77777777" w:rsidTr="004D0B46">
        <w:trPr>
          <w:trHeight w:hRule="exact" w:val="225"/>
        </w:trPr>
        <w:tc>
          <w:tcPr>
            <w:tcW w:w="1993" w:type="pct"/>
            <w:tcBorders>
              <w:top w:val="nil"/>
              <w:left w:val="nil"/>
              <w:bottom w:val="nil"/>
              <w:right w:val="nil"/>
            </w:tcBorders>
            <w:shd w:val="clear" w:color="000000" w:fill="FFFFFF"/>
            <w:noWrap/>
            <w:vAlign w:val="center"/>
            <w:hideMark/>
          </w:tcPr>
          <w:p w14:paraId="60028E5B" w14:textId="77777777" w:rsidR="00E565C3" w:rsidRPr="00EC4BA6" w:rsidRDefault="00E565C3" w:rsidP="00E565C3">
            <w:pPr>
              <w:spacing w:before="0" w:after="0" w:line="240" w:lineRule="auto"/>
              <w:rPr>
                <w:rFonts w:ascii="Arial" w:hAnsi="Arial" w:cs="Arial"/>
                <w:sz w:val="16"/>
                <w:szCs w:val="16"/>
              </w:rPr>
            </w:pPr>
            <w:r w:rsidRPr="00EC4BA6">
              <w:rPr>
                <w:rFonts w:ascii="Arial" w:hAnsi="Arial" w:cs="Arial"/>
                <w:sz w:val="16"/>
                <w:szCs w:val="16"/>
              </w:rPr>
              <w:t xml:space="preserve">Excise and customs duty  </w:t>
            </w:r>
          </w:p>
        </w:tc>
        <w:tc>
          <w:tcPr>
            <w:tcW w:w="737" w:type="pct"/>
            <w:tcBorders>
              <w:top w:val="nil"/>
              <w:left w:val="nil"/>
              <w:bottom w:val="nil"/>
              <w:right w:val="nil"/>
            </w:tcBorders>
            <w:shd w:val="clear" w:color="000000" w:fill="FFFFFF"/>
            <w:noWrap/>
            <w:vAlign w:val="center"/>
            <w:hideMark/>
          </w:tcPr>
          <w:p w14:paraId="5D1C1BE3"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 </w:t>
            </w:r>
          </w:p>
        </w:tc>
        <w:tc>
          <w:tcPr>
            <w:tcW w:w="737" w:type="pct"/>
            <w:tcBorders>
              <w:top w:val="nil"/>
              <w:left w:val="nil"/>
              <w:bottom w:val="nil"/>
              <w:right w:val="nil"/>
            </w:tcBorders>
            <w:shd w:val="clear" w:color="000000" w:fill="E6F2FF"/>
            <w:noWrap/>
            <w:vAlign w:val="center"/>
            <w:hideMark/>
          </w:tcPr>
          <w:p w14:paraId="1A66C3B6"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 </w:t>
            </w:r>
          </w:p>
        </w:tc>
        <w:tc>
          <w:tcPr>
            <w:tcW w:w="58" w:type="pct"/>
            <w:tcBorders>
              <w:top w:val="nil"/>
              <w:left w:val="nil"/>
              <w:bottom w:val="nil"/>
              <w:right w:val="nil"/>
            </w:tcBorders>
            <w:shd w:val="clear" w:color="000000" w:fill="FFFFFF"/>
            <w:noWrap/>
            <w:vAlign w:val="center"/>
            <w:hideMark/>
          </w:tcPr>
          <w:p w14:paraId="736ED456"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 </w:t>
            </w:r>
          </w:p>
        </w:tc>
        <w:tc>
          <w:tcPr>
            <w:tcW w:w="737" w:type="pct"/>
            <w:tcBorders>
              <w:top w:val="nil"/>
              <w:left w:val="nil"/>
              <w:bottom w:val="nil"/>
              <w:right w:val="nil"/>
            </w:tcBorders>
            <w:shd w:val="clear" w:color="000000" w:fill="FFFFFF"/>
            <w:noWrap/>
            <w:vAlign w:val="center"/>
            <w:hideMark/>
          </w:tcPr>
          <w:p w14:paraId="7DD4E26C"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 </w:t>
            </w:r>
          </w:p>
        </w:tc>
        <w:tc>
          <w:tcPr>
            <w:tcW w:w="737" w:type="pct"/>
            <w:tcBorders>
              <w:top w:val="nil"/>
              <w:left w:val="nil"/>
              <w:bottom w:val="nil"/>
              <w:right w:val="nil"/>
            </w:tcBorders>
            <w:shd w:val="clear" w:color="000000" w:fill="FFFFFF"/>
            <w:noWrap/>
            <w:vAlign w:val="center"/>
            <w:hideMark/>
          </w:tcPr>
          <w:p w14:paraId="6AFF3AC0"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 </w:t>
            </w:r>
          </w:p>
        </w:tc>
      </w:tr>
      <w:tr w:rsidR="00E565C3" w:rsidRPr="00EC4BA6" w14:paraId="5582F090" w14:textId="77777777" w:rsidTr="004D0B46">
        <w:trPr>
          <w:trHeight w:hRule="exact" w:val="225"/>
        </w:trPr>
        <w:tc>
          <w:tcPr>
            <w:tcW w:w="1993" w:type="pct"/>
            <w:tcBorders>
              <w:top w:val="nil"/>
              <w:left w:val="nil"/>
              <w:bottom w:val="nil"/>
              <w:right w:val="nil"/>
            </w:tcBorders>
            <w:shd w:val="clear" w:color="000000" w:fill="FFFFFF"/>
            <w:noWrap/>
            <w:vAlign w:val="center"/>
            <w:hideMark/>
          </w:tcPr>
          <w:p w14:paraId="5E26B32F" w14:textId="77777777" w:rsidR="00E565C3" w:rsidRPr="00EC4BA6" w:rsidRDefault="00E565C3" w:rsidP="004D0B46">
            <w:pPr>
              <w:spacing w:before="0" w:after="0" w:line="240" w:lineRule="auto"/>
              <w:ind w:left="170"/>
              <w:rPr>
                <w:rFonts w:ascii="Arial" w:hAnsi="Arial" w:cs="Arial"/>
                <w:sz w:val="16"/>
                <w:szCs w:val="16"/>
              </w:rPr>
            </w:pPr>
            <w:r w:rsidRPr="00EC4BA6">
              <w:rPr>
                <w:rFonts w:ascii="Arial" w:hAnsi="Arial" w:cs="Arial"/>
                <w:sz w:val="16"/>
                <w:szCs w:val="16"/>
              </w:rPr>
              <w:t>Petrol</w:t>
            </w:r>
          </w:p>
        </w:tc>
        <w:tc>
          <w:tcPr>
            <w:tcW w:w="737" w:type="pct"/>
            <w:tcBorders>
              <w:top w:val="nil"/>
              <w:left w:val="nil"/>
              <w:bottom w:val="nil"/>
              <w:right w:val="nil"/>
            </w:tcBorders>
            <w:shd w:val="clear" w:color="000000" w:fill="FFFFFF"/>
            <w:noWrap/>
            <w:vAlign w:val="center"/>
            <w:hideMark/>
          </w:tcPr>
          <w:p w14:paraId="0DB50CCF"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7,050</w:t>
            </w:r>
          </w:p>
        </w:tc>
        <w:tc>
          <w:tcPr>
            <w:tcW w:w="737" w:type="pct"/>
            <w:tcBorders>
              <w:top w:val="nil"/>
              <w:left w:val="nil"/>
              <w:bottom w:val="nil"/>
              <w:right w:val="nil"/>
            </w:tcBorders>
            <w:shd w:val="clear" w:color="000000" w:fill="E6F2FF"/>
            <w:noWrap/>
            <w:vAlign w:val="center"/>
            <w:hideMark/>
          </w:tcPr>
          <w:p w14:paraId="75B928E7"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7,100</w:t>
            </w:r>
          </w:p>
        </w:tc>
        <w:tc>
          <w:tcPr>
            <w:tcW w:w="58" w:type="pct"/>
            <w:tcBorders>
              <w:top w:val="nil"/>
              <w:left w:val="nil"/>
              <w:bottom w:val="nil"/>
              <w:right w:val="nil"/>
            </w:tcBorders>
            <w:shd w:val="clear" w:color="000000" w:fill="FFFFFF"/>
            <w:noWrap/>
            <w:vAlign w:val="center"/>
            <w:hideMark/>
          </w:tcPr>
          <w:p w14:paraId="5B631F9A"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 </w:t>
            </w:r>
          </w:p>
        </w:tc>
        <w:tc>
          <w:tcPr>
            <w:tcW w:w="737" w:type="pct"/>
            <w:tcBorders>
              <w:top w:val="nil"/>
              <w:left w:val="nil"/>
              <w:bottom w:val="nil"/>
              <w:right w:val="nil"/>
            </w:tcBorders>
            <w:shd w:val="clear" w:color="000000" w:fill="FFFFFF"/>
            <w:noWrap/>
            <w:vAlign w:val="center"/>
            <w:hideMark/>
          </w:tcPr>
          <w:p w14:paraId="04C03030"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50</w:t>
            </w:r>
          </w:p>
        </w:tc>
        <w:tc>
          <w:tcPr>
            <w:tcW w:w="737" w:type="pct"/>
            <w:tcBorders>
              <w:top w:val="nil"/>
              <w:left w:val="nil"/>
              <w:bottom w:val="nil"/>
              <w:right w:val="nil"/>
            </w:tcBorders>
            <w:shd w:val="clear" w:color="000000" w:fill="FFFFFF"/>
            <w:noWrap/>
            <w:vAlign w:val="center"/>
            <w:hideMark/>
          </w:tcPr>
          <w:p w14:paraId="5C0561B9"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0.7</w:t>
            </w:r>
          </w:p>
        </w:tc>
      </w:tr>
      <w:tr w:rsidR="00E565C3" w:rsidRPr="00EC4BA6" w14:paraId="75107B29" w14:textId="77777777" w:rsidTr="004D0B46">
        <w:trPr>
          <w:trHeight w:hRule="exact" w:val="225"/>
        </w:trPr>
        <w:tc>
          <w:tcPr>
            <w:tcW w:w="1993" w:type="pct"/>
            <w:tcBorders>
              <w:top w:val="nil"/>
              <w:left w:val="nil"/>
              <w:bottom w:val="nil"/>
              <w:right w:val="nil"/>
            </w:tcBorders>
            <w:shd w:val="clear" w:color="000000" w:fill="FFFFFF"/>
            <w:noWrap/>
            <w:vAlign w:val="center"/>
            <w:hideMark/>
          </w:tcPr>
          <w:p w14:paraId="1B53B5E8" w14:textId="77777777" w:rsidR="00E565C3" w:rsidRPr="00EC4BA6" w:rsidRDefault="00E565C3" w:rsidP="004D0B46">
            <w:pPr>
              <w:spacing w:before="0" w:after="0" w:line="240" w:lineRule="auto"/>
              <w:ind w:left="170"/>
              <w:rPr>
                <w:rFonts w:ascii="Arial" w:hAnsi="Arial" w:cs="Arial"/>
                <w:sz w:val="16"/>
                <w:szCs w:val="16"/>
              </w:rPr>
            </w:pPr>
            <w:r w:rsidRPr="00EC4BA6">
              <w:rPr>
                <w:rFonts w:ascii="Arial" w:hAnsi="Arial" w:cs="Arial"/>
                <w:sz w:val="16"/>
                <w:szCs w:val="16"/>
              </w:rPr>
              <w:t>Diesel</w:t>
            </w:r>
          </w:p>
        </w:tc>
        <w:tc>
          <w:tcPr>
            <w:tcW w:w="737" w:type="pct"/>
            <w:tcBorders>
              <w:top w:val="nil"/>
              <w:left w:val="nil"/>
              <w:bottom w:val="nil"/>
              <w:right w:val="nil"/>
            </w:tcBorders>
            <w:shd w:val="clear" w:color="000000" w:fill="FFFFFF"/>
            <w:noWrap/>
            <w:vAlign w:val="center"/>
            <w:hideMark/>
          </w:tcPr>
          <w:p w14:paraId="757646D7"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17,040</w:t>
            </w:r>
          </w:p>
        </w:tc>
        <w:tc>
          <w:tcPr>
            <w:tcW w:w="737" w:type="pct"/>
            <w:tcBorders>
              <w:top w:val="nil"/>
              <w:left w:val="nil"/>
              <w:bottom w:val="nil"/>
              <w:right w:val="nil"/>
            </w:tcBorders>
            <w:shd w:val="clear" w:color="000000" w:fill="E6F2FF"/>
            <w:noWrap/>
            <w:vAlign w:val="center"/>
            <w:hideMark/>
          </w:tcPr>
          <w:p w14:paraId="5588A3D6"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16,990</w:t>
            </w:r>
          </w:p>
        </w:tc>
        <w:tc>
          <w:tcPr>
            <w:tcW w:w="58" w:type="pct"/>
            <w:tcBorders>
              <w:top w:val="nil"/>
              <w:left w:val="nil"/>
              <w:bottom w:val="nil"/>
              <w:right w:val="nil"/>
            </w:tcBorders>
            <w:shd w:val="clear" w:color="000000" w:fill="FFFFFF"/>
            <w:noWrap/>
            <w:vAlign w:val="center"/>
            <w:hideMark/>
          </w:tcPr>
          <w:p w14:paraId="76021AC9"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 </w:t>
            </w:r>
          </w:p>
        </w:tc>
        <w:tc>
          <w:tcPr>
            <w:tcW w:w="737" w:type="pct"/>
            <w:tcBorders>
              <w:top w:val="nil"/>
              <w:left w:val="nil"/>
              <w:bottom w:val="nil"/>
              <w:right w:val="nil"/>
            </w:tcBorders>
            <w:shd w:val="clear" w:color="000000" w:fill="FFFFFF"/>
            <w:noWrap/>
            <w:vAlign w:val="center"/>
            <w:hideMark/>
          </w:tcPr>
          <w:p w14:paraId="49CA8D40" w14:textId="5CC12C79" w:rsidR="00E565C3" w:rsidRPr="00EC4BA6" w:rsidRDefault="001A3DD6" w:rsidP="00E565C3">
            <w:pPr>
              <w:spacing w:before="0" w:after="0" w:line="240" w:lineRule="auto"/>
              <w:jc w:val="right"/>
              <w:rPr>
                <w:rFonts w:ascii="Arial" w:hAnsi="Arial" w:cs="Arial"/>
                <w:sz w:val="16"/>
                <w:szCs w:val="16"/>
              </w:rPr>
            </w:pPr>
            <w:r>
              <w:rPr>
                <w:rFonts w:ascii="Arial" w:hAnsi="Arial" w:cs="Arial"/>
                <w:sz w:val="16"/>
                <w:szCs w:val="16"/>
              </w:rPr>
              <w:noBreakHyphen/>
            </w:r>
            <w:r w:rsidR="00E565C3" w:rsidRPr="00EC4BA6">
              <w:rPr>
                <w:rFonts w:ascii="Arial" w:hAnsi="Arial" w:cs="Arial"/>
                <w:sz w:val="16"/>
                <w:szCs w:val="16"/>
              </w:rPr>
              <w:t>50</w:t>
            </w:r>
          </w:p>
        </w:tc>
        <w:tc>
          <w:tcPr>
            <w:tcW w:w="737" w:type="pct"/>
            <w:tcBorders>
              <w:top w:val="nil"/>
              <w:left w:val="nil"/>
              <w:bottom w:val="nil"/>
              <w:right w:val="nil"/>
            </w:tcBorders>
            <w:shd w:val="clear" w:color="000000" w:fill="FFFFFF"/>
            <w:noWrap/>
            <w:vAlign w:val="center"/>
            <w:hideMark/>
          </w:tcPr>
          <w:p w14:paraId="7A99B061" w14:textId="56E3FB9B" w:rsidR="00E565C3" w:rsidRPr="00EC4BA6" w:rsidRDefault="001A3DD6" w:rsidP="00E565C3">
            <w:pPr>
              <w:spacing w:before="0" w:after="0" w:line="240" w:lineRule="auto"/>
              <w:jc w:val="right"/>
              <w:rPr>
                <w:rFonts w:ascii="Arial" w:hAnsi="Arial" w:cs="Arial"/>
                <w:sz w:val="16"/>
                <w:szCs w:val="16"/>
              </w:rPr>
            </w:pPr>
            <w:r>
              <w:rPr>
                <w:rFonts w:ascii="Arial" w:hAnsi="Arial" w:cs="Arial"/>
                <w:sz w:val="16"/>
                <w:szCs w:val="16"/>
              </w:rPr>
              <w:noBreakHyphen/>
            </w:r>
            <w:r w:rsidR="00E565C3" w:rsidRPr="00EC4BA6">
              <w:rPr>
                <w:rFonts w:ascii="Arial" w:hAnsi="Arial" w:cs="Arial"/>
                <w:sz w:val="16"/>
                <w:szCs w:val="16"/>
              </w:rPr>
              <w:t>0.3</w:t>
            </w:r>
          </w:p>
        </w:tc>
      </w:tr>
      <w:tr w:rsidR="00E565C3" w:rsidRPr="00EC4BA6" w14:paraId="583C4F1F" w14:textId="77777777" w:rsidTr="004D0B46">
        <w:trPr>
          <w:trHeight w:hRule="exact" w:val="225"/>
        </w:trPr>
        <w:tc>
          <w:tcPr>
            <w:tcW w:w="1993" w:type="pct"/>
            <w:tcBorders>
              <w:top w:val="nil"/>
              <w:left w:val="nil"/>
              <w:bottom w:val="nil"/>
              <w:right w:val="nil"/>
            </w:tcBorders>
            <w:shd w:val="clear" w:color="000000" w:fill="FFFFFF"/>
            <w:noWrap/>
            <w:vAlign w:val="center"/>
            <w:hideMark/>
          </w:tcPr>
          <w:p w14:paraId="1451D2E7" w14:textId="77777777" w:rsidR="00E565C3" w:rsidRPr="00EC4BA6" w:rsidRDefault="00E565C3" w:rsidP="004D0B46">
            <w:pPr>
              <w:spacing w:before="0" w:after="0" w:line="240" w:lineRule="auto"/>
              <w:ind w:left="170"/>
              <w:rPr>
                <w:rFonts w:ascii="Arial" w:hAnsi="Arial" w:cs="Arial"/>
                <w:sz w:val="16"/>
                <w:szCs w:val="16"/>
              </w:rPr>
            </w:pPr>
            <w:r w:rsidRPr="00EC4BA6">
              <w:rPr>
                <w:rFonts w:ascii="Arial" w:hAnsi="Arial" w:cs="Arial"/>
                <w:sz w:val="16"/>
                <w:szCs w:val="16"/>
              </w:rPr>
              <w:t>Other fuel products</w:t>
            </w:r>
          </w:p>
        </w:tc>
        <w:tc>
          <w:tcPr>
            <w:tcW w:w="737" w:type="pct"/>
            <w:tcBorders>
              <w:top w:val="nil"/>
              <w:left w:val="nil"/>
              <w:bottom w:val="nil"/>
              <w:right w:val="nil"/>
            </w:tcBorders>
            <w:shd w:val="clear" w:color="000000" w:fill="FFFFFF"/>
            <w:noWrap/>
            <w:vAlign w:val="center"/>
            <w:hideMark/>
          </w:tcPr>
          <w:p w14:paraId="221496E6"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2,040</w:t>
            </w:r>
          </w:p>
        </w:tc>
        <w:tc>
          <w:tcPr>
            <w:tcW w:w="737" w:type="pct"/>
            <w:tcBorders>
              <w:top w:val="nil"/>
              <w:left w:val="nil"/>
              <w:bottom w:val="nil"/>
              <w:right w:val="nil"/>
            </w:tcBorders>
            <w:shd w:val="clear" w:color="000000" w:fill="E6F2FF"/>
            <w:noWrap/>
            <w:vAlign w:val="center"/>
            <w:hideMark/>
          </w:tcPr>
          <w:p w14:paraId="0AEDCB20"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2,010</w:t>
            </w:r>
          </w:p>
        </w:tc>
        <w:tc>
          <w:tcPr>
            <w:tcW w:w="58" w:type="pct"/>
            <w:tcBorders>
              <w:top w:val="nil"/>
              <w:left w:val="nil"/>
              <w:bottom w:val="nil"/>
              <w:right w:val="nil"/>
            </w:tcBorders>
            <w:shd w:val="clear" w:color="000000" w:fill="FFFFFF"/>
            <w:noWrap/>
            <w:vAlign w:val="center"/>
            <w:hideMark/>
          </w:tcPr>
          <w:p w14:paraId="5F964EBC"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 </w:t>
            </w:r>
          </w:p>
        </w:tc>
        <w:tc>
          <w:tcPr>
            <w:tcW w:w="737" w:type="pct"/>
            <w:tcBorders>
              <w:top w:val="nil"/>
              <w:left w:val="nil"/>
              <w:bottom w:val="nil"/>
              <w:right w:val="nil"/>
            </w:tcBorders>
            <w:shd w:val="clear" w:color="000000" w:fill="FFFFFF"/>
            <w:noWrap/>
            <w:vAlign w:val="center"/>
            <w:hideMark/>
          </w:tcPr>
          <w:p w14:paraId="24576069" w14:textId="1F27697B" w:rsidR="00E565C3" w:rsidRPr="00EC4BA6" w:rsidRDefault="001A3DD6" w:rsidP="00E565C3">
            <w:pPr>
              <w:spacing w:before="0" w:after="0" w:line="240" w:lineRule="auto"/>
              <w:jc w:val="right"/>
              <w:rPr>
                <w:rFonts w:ascii="Arial" w:hAnsi="Arial" w:cs="Arial"/>
                <w:sz w:val="16"/>
                <w:szCs w:val="16"/>
              </w:rPr>
            </w:pPr>
            <w:r>
              <w:rPr>
                <w:rFonts w:ascii="Arial" w:hAnsi="Arial" w:cs="Arial"/>
                <w:sz w:val="16"/>
                <w:szCs w:val="16"/>
              </w:rPr>
              <w:noBreakHyphen/>
            </w:r>
            <w:r w:rsidR="00E565C3" w:rsidRPr="00EC4BA6">
              <w:rPr>
                <w:rFonts w:ascii="Arial" w:hAnsi="Arial" w:cs="Arial"/>
                <w:sz w:val="16"/>
                <w:szCs w:val="16"/>
              </w:rPr>
              <w:t>30</w:t>
            </w:r>
          </w:p>
        </w:tc>
        <w:tc>
          <w:tcPr>
            <w:tcW w:w="737" w:type="pct"/>
            <w:tcBorders>
              <w:top w:val="nil"/>
              <w:left w:val="nil"/>
              <w:bottom w:val="nil"/>
              <w:right w:val="nil"/>
            </w:tcBorders>
            <w:shd w:val="clear" w:color="000000" w:fill="FFFFFF"/>
            <w:noWrap/>
            <w:vAlign w:val="center"/>
            <w:hideMark/>
          </w:tcPr>
          <w:p w14:paraId="471A5504" w14:textId="7C79FAD2" w:rsidR="00E565C3" w:rsidRPr="00EC4BA6" w:rsidRDefault="001A3DD6" w:rsidP="00E565C3">
            <w:pPr>
              <w:spacing w:before="0" w:after="0" w:line="240" w:lineRule="auto"/>
              <w:jc w:val="right"/>
              <w:rPr>
                <w:rFonts w:ascii="Arial" w:hAnsi="Arial" w:cs="Arial"/>
                <w:sz w:val="16"/>
                <w:szCs w:val="16"/>
              </w:rPr>
            </w:pPr>
            <w:r>
              <w:rPr>
                <w:rFonts w:ascii="Arial" w:hAnsi="Arial" w:cs="Arial"/>
                <w:sz w:val="16"/>
                <w:szCs w:val="16"/>
              </w:rPr>
              <w:noBreakHyphen/>
            </w:r>
            <w:r w:rsidR="00E565C3" w:rsidRPr="00EC4BA6">
              <w:rPr>
                <w:rFonts w:ascii="Arial" w:hAnsi="Arial" w:cs="Arial"/>
                <w:sz w:val="16"/>
                <w:szCs w:val="16"/>
              </w:rPr>
              <w:t>1.5</w:t>
            </w:r>
          </w:p>
        </w:tc>
      </w:tr>
      <w:tr w:rsidR="00E565C3" w:rsidRPr="00EC4BA6" w14:paraId="222CA0DE" w14:textId="77777777" w:rsidTr="004D0B46">
        <w:trPr>
          <w:trHeight w:hRule="exact" w:val="225"/>
        </w:trPr>
        <w:tc>
          <w:tcPr>
            <w:tcW w:w="1993" w:type="pct"/>
            <w:tcBorders>
              <w:top w:val="nil"/>
              <w:left w:val="nil"/>
              <w:bottom w:val="nil"/>
              <w:right w:val="nil"/>
            </w:tcBorders>
            <w:shd w:val="clear" w:color="000000" w:fill="FFFFFF"/>
            <w:noWrap/>
            <w:vAlign w:val="center"/>
            <w:hideMark/>
          </w:tcPr>
          <w:p w14:paraId="1CB43BD8" w14:textId="77777777" w:rsidR="00E565C3" w:rsidRPr="00EC4BA6" w:rsidRDefault="00E565C3" w:rsidP="004D0B46">
            <w:pPr>
              <w:spacing w:before="0" w:after="0" w:line="240" w:lineRule="auto"/>
              <w:ind w:left="170"/>
              <w:rPr>
                <w:rFonts w:ascii="Arial" w:hAnsi="Arial" w:cs="Arial"/>
                <w:sz w:val="16"/>
                <w:szCs w:val="16"/>
              </w:rPr>
            </w:pPr>
            <w:r w:rsidRPr="00EC4BA6">
              <w:rPr>
                <w:rFonts w:ascii="Arial" w:hAnsi="Arial" w:cs="Arial"/>
                <w:sz w:val="16"/>
                <w:szCs w:val="16"/>
              </w:rPr>
              <w:t>Tobacco</w:t>
            </w:r>
          </w:p>
        </w:tc>
        <w:tc>
          <w:tcPr>
            <w:tcW w:w="737" w:type="pct"/>
            <w:tcBorders>
              <w:top w:val="nil"/>
              <w:left w:val="nil"/>
              <w:bottom w:val="nil"/>
              <w:right w:val="nil"/>
            </w:tcBorders>
            <w:shd w:val="clear" w:color="000000" w:fill="FFFFFF"/>
            <w:noWrap/>
            <w:vAlign w:val="center"/>
            <w:hideMark/>
          </w:tcPr>
          <w:p w14:paraId="4968904E"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8,750</w:t>
            </w:r>
          </w:p>
        </w:tc>
        <w:tc>
          <w:tcPr>
            <w:tcW w:w="737" w:type="pct"/>
            <w:tcBorders>
              <w:top w:val="nil"/>
              <w:left w:val="nil"/>
              <w:bottom w:val="nil"/>
              <w:right w:val="nil"/>
            </w:tcBorders>
            <w:shd w:val="clear" w:color="000000" w:fill="E6F2FF"/>
            <w:noWrap/>
            <w:vAlign w:val="center"/>
            <w:hideMark/>
          </w:tcPr>
          <w:p w14:paraId="4B74DB13"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7,400</w:t>
            </w:r>
          </w:p>
        </w:tc>
        <w:tc>
          <w:tcPr>
            <w:tcW w:w="58" w:type="pct"/>
            <w:tcBorders>
              <w:top w:val="nil"/>
              <w:left w:val="nil"/>
              <w:bottom w:val="nil"/>
              <w:right w:val="nil"/>
            </w:tcBorders>
            <w:shd w:val="clear" w:color="000000" w:fill="FFFFFF"/>
            <w:noWrap/>
            <w:vAlign w:val="center"/>
            <w:hideMark/>
          </w:tcPr>
          <w:p w14:paraId="5D054077"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 </w:t>
            </w:r>
          </w:p>
        </w:tc>
        <w:tc>
          <w:tcPr>
            <w:tcW w:w="737" w:type="pct"/>
            <w:tcBorders>
              <w:top w:val="nil"/>
              <w:left w:val="nil"/>
              <w:bottom w:val="nil"/>
              <w:right w:val="nil"/>
            </w:tcBorders>
            <w:shd w:val="clear" w:color="000000" w:fill="FFFFFF"/>
            <w:noWrap/>
            <w:vAlign w:val="center"/>
            <w:hideMark/>
          </w:tcPr>
          <w:p w14:paraId="2D8709E5" w14:textId="63B0B29E" w:rsidR="00E565C3" w:rsidRPr="00EC4BA6" w:rsidRDefault="001A3DD6" w:rsidP="00E565C3">
            <w:pPr>
              <w:spacing w:before="0" w:after="0" w:line="240" w:lineRule="auto"/>
              <w:jc w:val="right"/>
              <w:rPr>
                <w:rFonts w:ascii="Arial" w:hAnsi="Arial" w:cs="Arial"/>
                <w:sz w:val="16"/>
                <w:szCs w:val="16"/>
              </w:rPr>
            </w:pPr>
            <w:r>
              <w:rPr>
                <w:rFonts w:ascii="Arial" w:hAnsi="Arial" w:cs="Arial"/>
                <w:sz w:val="16"/>
                <w:szCs w:val="16"/>
              </w:rPr>
              <w:noBreakHyphen/>
            </w:r>
            <w:r w:rsidR="00E565C3" w:rsidRPr="00EC4BA6">
              <w:rPr>
                <w:rFonts w:ascii="Arial" w:hAnsi="Arial" w:cs="Arial"/>
                <w:sz w:val="16"/>
                <w:szCs w:val="16"/>
              </w:rPr>
              <w:t>1,350</w:t>
            </w:r>
          </w:p>
        </w:tc>
        <w:tc>
          <w:tcPr>
            <w:tcW w:w="737" w:type="pct"/>
            <w:tcBorders>
              <w:top w:val="nil"/>
              <w:left w:val="nil"/>
              <w:bottom w:val="nil"/>
              <w:right w:val="nil"/>
            </w:tcBorders>
            <w:shd w:val="clear" w:color="000000" w:fill="FFFFFF"/>
            <w:noWrap/>
            <w:vAlign w:val="center"/>
            <w:hideMark/>
          </w:tcPr>
          <w:p w14:paraId="309368EA" w14:textId="6F9E0860" w:rsidR="00E565C3" w:rsidRPr="00EC4BA6" w:rsidRDefault="001A3DD6" w:rsidP="00E565C3">
            <w:pPr>
              <w:spacing w:before="0" w:after="0" w:line="240" w:lineRule="auto"/>
              <w:jc w:val="right"/>
              <w:rPr>
                <w:rFonts w:ascii="Arial" w:hAnsi="Arial" w:cs="Arial"/>
                <w:sz w:val="16"/>
                <w:szCs w:val="16"/>
              </w:rPr>
            </w:pPr>
            <w:r>
              <w:rPr>
                <w:rFonts w:ascii="Arial" w:hAnsi="Arial" w:cs="Arial"/>
                <w:sz w:val="16"/>
                <w:szCs w:val="16"/>
              </w:rPr>
              <w:noBreakHyphen/>
            </w:r>
            <w:r w:rsidR="00E565C3" w:rsidRPr="00EC4BA6">
              <w:rPr>
                <w:rFonts w:ascii="Arial" w:hAnsi="Arial" w:cs="Arial"/>
                <w:sz w:val="16"/>
                <w:szCs w:val="16"/>
              </w:rPr>
              <w:t>15.4</w:t>
            </w:r>
          </w:p>
        </w:tc>
      </w:tr>
      <w:tr w:rsidR="00E565C3" w:rsidRPr="00EC4BA6" w14:paraId="419F7267" w14:textId="77777777" w:rsidTr="004D0B46">
        <w:trPr>
          <w:trHeight w:hRule="exact" w:val="225"/>
        </w:trPr>
        <w:tc>
          <w:tcPr>
            <w:tcW w:w="1993" w:type="pct"/>
            <w:tcBorders>
              <w:top w:val="nil"/>
              <w:left w:val="nil"/>
              <w:bottom w:val="nil"/>
              <w:right w:val="nil"/>
            </w:tcBorders>
            <w:shd w:val="clear" w:color="000000" w:fill="FFFFFF"/>
            <w:noWrap/>
            <w:vAlign w:val="center"/>
            <w:hideMark/>
          </w:tcPr>
          <w:p w14:paraId="25241F8B" w14:textId="77777777" w:rsidR="00E565C3" w:rsidRPr="00EC4BA6" w:rsidRDefault="00E565C3" w:rsidP="004D0B46">
            <w:pPr>
              <w:spacing w:before="0" w:after="0" w:line="240" w:lineRule="auto"/>
              <w:ind w:left="170"/>
              <w:rPr>
                <w:rFonts w:ascii="Arial" w:hAnsi="Arial" w:cs="Arial"/>
                <w:sz w:val="16"/>
                <w:szCs w:val="16"/>
              </w:rPr>
            </w:pPr>
            <w:r w:rsidRPr="00EC4BA6">
              <w:rPr>
                <w:rFonts w:ascii="Arial" w:hAnsi="Arial" w:cs="Arial"/>
                <w:sz w:val="16"/>
                <w:szCs w:val="16"/>
              </w:rPr>
              <w:t>Beer</w:t>
            </w:r>
          </w:p>
        </w:tc>
        <w:tc>
          <w:tcPr>
            <w:tcW w:w="737" w:type="pct"/>
            <w:tcBorders>
              <w:top w:val="nil"/>
              <w:left w:val="nil"/>
              <w:bottom w:val="nil"/>
              <w:right w:val="nil"/>
            </w:tcBorders>
            <w:shd w:val="clear" w:color="000000" w:fill="FFFFFF"/>
            <w:noWrap/>
            <w:vAlign w:val="center"/>
            <w:hideMark/>
          </w:tcPr>
          <w:p w14:paraId="75DAE87E"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2,620</w:t>
            </w:r>
          </w:p>
        </w:tc>
        <w:tc>
          <w:tcPr>
            <w:tcW w:w="737" w:type="pct"/>
            <w:tcBorders>
              <w:top w:val="nil"/>
              <w:left w:val="nil"/>
              <w:bottom w:val="nil"/>
              <w:right w:val="nil"/>
            </w:tcBorders>
            <w:shd w:val="clear" w:color="000000" w:fill="E6F2FF"/>
            <w:noWrap/>
            <w:vAlign w:val="center"/>
            <w:hideMark/>
          </w:tcPr>
          <w:p w14:paraId="6A16112C"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2,650</w:t>
            </w:r>
          </w:p>
        </w:tc>
        <w:tc>
          <w:tcPr>
            <w:tcW w:w="58" w:type="pct"/>
            <w:tcBorders>
              <w:top w:val="nil"/>
              <w:left w:val="nil"/>
              <w:bottom w:val="nil"/>
              <w:right w:val="nil"/>
            </w:tcBorders>
            <w:shd w:val="clear" w:color="000000" w:fill="FFFFFF"/>
            <w:noWrap/>
            <w:vAlign w:val="center"/>
            <w:hideMark/>
          </w:tcPr>
          <w:p w14:paraId="6B9DB84C"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 </w:t>
            </w:r>
          </w:p>
        </w:tc>
        <w:tc>
          <w:tcPr>
            <w:tcW w:w="737" w:type="pct"/>
            <w:tcBorders>
              <w:top w:val="nil"/>
              <w:left w:val="nil"/>
              <w:bottom w:val="nil"/>
              <w:right w:val="nil"/>
            </w:tcBorders>
            <w:shd w:val="clear" w:color="000000" w:fill="FFFFFF"/>
            <w:noWrap/>
            <w:vAlign w:val="center"/>
            <w:hideMark/>
          </w:tcPr>
          <w:p w14:paraId="1CB42A5B"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30</w:t>
            </w:r>
          </w:p>
        </w:tc>
        <w:tc>
          <w:tcPr>
            <w:tcW w:w="737" w:type="pct"/>
            <w:tcBorders>
              <w:top w:val="nil"/>
              <w:left w:val="nil"/>
              <w:bottom w:val="nil"/>
              <w:right w:val="nil"/>
            </w:tcBorders>
            <w:shd w:val="clear" w:color="000000" w:fill="FFFFFF"/>
            <w:noWrap/>
            <w:vAlign w:val="center"/>
            <w:hideMark/>
          </w:tcPr>
          <w:p w14:paraId="46C9AA84"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1.1</w:t>
            </w:r>
          </w:p>
        </w:tc>
      </w:tr>
      <w:tr w:rsidR="00E565C3" w:rsidRPr="00EC4BA6" w14:paraId="72D27427" w14:textId="77777777" w:rsidTr="004D0B46">
        <w:trPr>
          <w:trHeight w:hRule="exact" w:val="225"/>
        </w:trPr>
        <w:tc>
          <w:tcPr>
            <w:tcW w:w="1993" w:type="pct"/>
            <w:tcBorders>
              <w:top w:val="nil"/>
              <w:left w:val="nil"/>
              <w:bottom w:val="nil"/>
              <w:right w:val="nil"/>
            </w:tcBorders>
            <w:shd w:val="clear" w:color="000000" w:fill="FFFFFF"/>
            <w:noWrap/>
            <w:vAlign w:val="center"/>
            <w:hideMark/>
          </w:tcPr>
          <w:p w14:paraId="1CF4BB34" w14:textId="77777777" w:rsidR="00E565C3" w:rsidRPr="00EC4BA6" w:rsidRDefault="00E565C3" w:rsidP="004D0B46">
            <w:pPr>
              <w:spacing w:before="0" w:after="0" w:line="240" w:lineRule="auto"/>
              <w:ind w:left="170"/>
              <w:rPr>
                <w:rFonts w:ascii="Arial" w:hAnsi="Arial" w:cs="Arial"/>
                <w:sz w:val="16"/>
                <w:szCs w:val="16"/>
              </w:rPr>
            </w:pPr>
            <w:r w:rsidRPr="00EC4BA6">
              <w:rPr>
                <w:rFonts w:ascii="Arial" w:hAnsi="Arial" w:cs="Arial"/>
                <w:sz w:val="16"/>
                <w:szCs w:val="16"/>
              </w:rPr>
              <w:t>Spirits</w:t>
            </w:r>
          </w:p>
        </w:tc>
        <w:tc>
          <w:tcPr>
            <w:tcW w:w="737" w:type="pct"/>
            <w:tcBorders>
              <w:top w:val="nil"/>
              <w:left w:val="nil"/>
              <w:bottom w:val="nil"/>
              <w:right w:val="nil"/>
            </w:tcBorders>
            <w:shd w:val="clear" w:color="000000" w:fill="FFFFFF"/>
            <w:noWrap/>
            <w:vAlign w:val="center"/>
            <w:hideMark/>
          </w:tcPr>
          <w:p w14:paraId="73BE6EF0"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3,310</w:t>
            </w:r>
          </w:p>
        </w:tc>
        <w:tc>
          <w:tcPr>
            <w:tcW w:w="737" w:type="pct"/>
            <w:tcBorders>
              <w:top w:val="nil"/>
              <w:left w:val="nil"/>
              <w:bottom w:val="nil"/>
              <w:right w:val="nil"/>
            </w:tcBorders>
            <w:shd w:val="clear" w:color="000000" w:fill="E6F2FF"/>
            <w:noWrap/>
            <w:vAlign w:val="center"/>
            <w:hideMark/>
          </w:tcPr>
          <w:p w14:paraId="6BB2DE1A"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3,280</w:t>
            </w:r>
          </w:p>
        </w:tc>
        <w:tc>
          <w:tcPr>
            <w:tcW w:w="58" w:type="pct"/>
            <w:tcBorders>
              <w:top w:val="nil"/>
              <w:left w:val="nil"/>
              <w:bottom w:val="nil"/>
              <w:right w:val="nil"/>
            </w:tcBorders>
            <w:shd w:val="clear" w:color="000000" w:fill="FFFFFF"/>
            <w:noWrap/>
            <w:vAlign w:val="center"/>
            <w:hideMark/>
          </w:tcPr>
          <w:p w14:paraId="47FF8175"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 </w:t>
            </w:r>
          </w:p>
        </w:tc>
        <w:tc>
          <w:tcPr>
            <w:tcW w:w="737" w:type="pct"/>
            <w:tcBorders>
              <w:top w:val="nil"/>
              <w:left w:val="nil"/>
              <w:bottom w:val="nil"/>
              <w:right w:val="nil"/>
            </w:tcBorders>
            <w:shd w:val="clear" w:color="000000" w:fill="FFFFFF"/>
            <w:noWrap/>
            <w:vAlign w:val="center"/>
            <w:hideMark/>
          </w:tcPr>
          <w:p w14:paraId="301642A4" w14:textId="486F7584" w:rsidR="00E565C3" w:rsidRPr="00EC4BA6" w:rsidRDefault="001A3DD6" w:rsidP="00E565C3">
            <w:pPr>
              <w:spacing w:before="0" w:after="0" w:line="240" w:lineRule="auto"/>
              <w:jc w:val="right"/>
              <w:rPr>
                <w:rFonts w:ascii="Arial" w:hAnsi="Arial" w:cs="Arial"/>
                <w:sz w:val="16"/>
                <w:szCs w:val="16"/>
              </w:rPr>
            </w:pPr>
            <w:r>
              <w:rPr>
                <w:rFonts w:ascii="Arial" w:hAnsi="Arial" w:cs="Arial"/>
                <w:sz w:val="16"/>
                <w:szCs w:val="16"/>
              </w:rPr>
              <w:noBreakHyphen/>
            </w:r>
            <w:r w:rsidR="00E565C3" w:rsidRPr="00EC4BA6">
              <w:rPr>
                <w:rFonts w:ascii="Arial" w:hAnsi="Arial" w:cs="Arial"/>
                <w:sz w:val="16"/>
                <w:szCs w:val="16"/>
              </w:rPr>
              <w:t>30</w:t>
            </w:r>
          </w:p>
        </w:tc>
        <w:tc>
          <w:tcPr>
            <w:tcW w:w="737" w:type="pct"/>
            <w:tcBorders>
              <w:top w:val="nil"/>
              <w:left w:val="nil"/>
              <w:bottom w:val="nil"/>
              <w:right w:val="nil"/>
            </w:tcBorders>
            <w:shd w:val="clear" w:color="000000" w:fill="FFFFFF"/>
            <w:noWrap/>
            <w:vAlign w:val="center"/>
            <w:hideMark/>
          </w:tcPr>
          <w:p w14:paraId="61075EF3" w14:textId="43A9E214" w:rsidR="00E565C3" w:rsidRPr="00EC4BA6" w:rsidRDefault="001A3DD6" w:rsidP="00E565C3">
            <w:pPr>
              <w:spacing w:before="0" w:after="0" w:line="240" w:lineRule="auto"/>
              <w:jc w:val="right"/>
              <w:rPr>
                <w:rFonts w:ascii="Arial" w:hAnsi="Arial" w:cs="Arial"/>
                <w:sz w:val="16"/>
                <w:szCs w:val="16"/>
              </w:rPr>
            </w:pPr>
            <w:r>
              <w:rPr>
                <w:rFonts w:ascii="Arial" w:hAnsi="Arial" w:cs="Arial"/>
                <w:sz w:val="16"/>
                <w:szCs w:val="16"/>
              </w:rPr>
              <w:noBreakHyphen/>
            </w:r>
            <w:r w:rsidR="00E565C3" w:rsidRPr="00EC4BA6">
              <w:rPr>
                <w:rFonts w:ascii="Arial" w:hAnsi="Arial" w:cs="Arial"/>
                <w:sz w:val="16"/>
                <w:szCs w:val="16"/>
              </w:rPr>
              <w:t>0.9</w:t>
            </w:r>
          </w:p>
        </w:tc>
      </w:tr>
      <w:tr w:rsidR="00E565C3" w:rsidRPr="00EC4BA6" w14:paraId="5B26A790" w14:textId="77777777" w:rsidTr="004D0B46">
        <w:trPr>
          <w:trHeight w:hRule="exact" w:val="225"/>
        </w:trPr>
        <w:tc>
          <w:tcPr>
            <w:tcW w:w="1993" w:type="pct"/>
            <w:tcBorders>
              <w:top w:val="nil"/>
              <w:left w:val="nil"/>
              <w:bottom w:val="nil"/>
              <w:right w:val="nil"/>
            </w:tcBorders>
            <w:shd w:val="clear" w:color="000000" w:fill="FFFFFF"/>
            <w:noWrap/>
            <w:vAlign w:val="center"/>
            <w:hideMark/>
          </w:tcPr>
          <w:p w14:paraId="0EBF013E" w14:textId="77777777" w:rsidR="00E565C3" w:rsidRPr="00EC4BA6" w:rsidRDefault="00E565C3" w:rsidP="004D0B46">
            <w:pPr>
              <w:spacing w:before="0" w:after="0" w:line="240" w:lineRule="auto"/>
              <w:ind w:left="170"/>
              <w:rPr>
                <w:rFonts w:ascii="Arial" w:hAnsi="Arial" w:cs="Arial"/>
                <w:sz w:val="16"/>
                <w:szCs w:val="16"/>
              </w:rPr>
            </w:pPr>
            <w:r w:rsidRPr="00EC4BA6">
              <w:rPr>
                <w:rFonts w:ascii="Arial" w:hAnsi="Arial" w:cs="Arial"/>
                <w:sz w:val="16"/>
                <w:szCs w:val="16"/>
              </w:rPr>
              <w:t>Other alcoholic beverages(a)</w:t>
            </w:r>
          </w:p>
        </w:tc>
        <w:tc>
          <w:tcPr>
            <w:tcW w:w="737" w:type="pct"/>
            <w:tcBorders>
              <w:top w:val="nil"/>
              <w:left w:val="nil"/>
              <w:bottom w:val="nil"/>
              <w:right w:val="nil"/>
            </w:tcBorders>
            <w:shd w:val="clear" w:color="000000" w:fill="FFFFFF"/>
            <w:noWrap/>
            <w:vAlign w:val="center"/>
            <w:hideMark/>
          </w:tcPr>
          <w:p w14:paraId="509F71C7"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1,760</w:t>
            </w:r>
          </w:p>
        </w:tc>
        <w:tc>
          <w:tcPr>
            <w:tcW w:w="737" w:type="pct"/>
            <w:tcBorders>
              <w:top w:val="nil"/>
              <w:left w:val="nil"/>
              <w:bottom w:val="nil"/>
              <w:right w:val="nil"/>
            </w:tcBorders>
            <w:shd w:val="clear" w:color="000000" w:fill="E6F2FF"/>
            <w:noWrap/>
            <w:vAlign w:val="center"/>
            <w:hideMark/>
          </w:tcPr>
          <w:p w14:paraId="0FDCB95C"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1,770</w:t>
            </w:r>
          </w:p>
        </w:tc>
        <w:tc>
          <w:tcPr>
            <w:tcW w:w="58" w:type="pct"/>
            <w:tcBorders>
              <w:top w:val="nil"/>
              <w:left w:val="nil"/>
              <w:bottom w:val="nil"/>
              <w:right w:val="nil"/>
            </w:tcBorders>
            <w:shd w:val="clear" w:color="000000" w:fill="FFFFFF"/>
            <w:noWrap/>
            <w:vAlign w:val="center"/>
            <w:hideMark/>
          </w:tcPr>
          <w:p w14:paraId="21BFBEA3"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 </w:t>
            </w:r>
          </w:p>
        </w:tc>
        <w:tc>
          <w:tcPr>
            <w:tcW w:w="737" w:type="pct"/>
            <w:tcBorders>
              <w:top w:val="nil"/>
              <w:left w:val="nil"/>
              <w:bottom w:val="nil"/>
              <w:right w:val="nil"/>
            </w:tcBorders>
            <w:shd w:val="clear" w:color="000000" w:fill="FFFFFF"/>
            <w:noWrap/>
            <w:vAlign w:val="center"/>
            <w:hideMark/>
          </w:tcPr>
          <w:p w14:paraId="5401403D"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10</w:t>
            </w:r>
          </w:p>
        </w:tc>
        <w:tc>
          <w:tcPr>
            <w:tcW w:w="737" w:type="pct"/>
            <w:tcBorders>
              <w:top w:val="nil"/>
              <w:left w:val="nil"/>
              <w:bottom w:val="nil"/>
              <w:right w:val="nil"/>
            </w:tcBorders>
            <w:shd w:val="clear" w:color="000000" w:fill="FFFFFF"/>
            <w:noWrap/>
            <w:vAlign w:val="center"/>
            <w:hideMark/>
          </w:tcPr>
          <w:p w14:paraId="4F0A59DF"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0.6</w:t>
            </w:r>
          </w:p>
        </w:tc>
      </w:tr>
      <w:tr w:rsidR="00E565C3" w:rsidRPr="00EC4BA6" w14:paraId="3CC9AF38" w14:textId="77777777" w:rsidTr="004D0B46">
        <w:trPr>
          <w:trHeight w:hRule="exact" w:val="225"/>
        </w:trPr>
        <w:tc>
          <w:tcPr>
            <w:tcW w:w="1993" w:type="pct"/>
            <w:tcBorders>
              <w:top w:val="nil"/>
              <w:left w:val="nil"/>
              <w:bottom w:val="nil"/>
              <w:right w:val="nil"/>
            </w:tcBorders>
            <w:shd w:val="clear" w:color="000000" w:fill="FFFFFF"/>
            <w:noWrap/>
            <w:vAlign w:val="center"/>
            <w:hideMark/>
          </w:tcPr>
          <w:p w14:paraId="74F71A33" w14:textId="77777777" w:rsidR="00E565C3" w:rsidRPr="00EC4BA6" w:rsidRDefault="00E565C3" w:rsidP="004D0B46">
            <w:pPr>
              <w:spacing w:before="0" w:after="0" w:line="240" w:lineRule="auto"/>
              <w:ind w:left="170"/>
              <w:rPr>
                <w:rFonts w:ascii="Arial" w:hAnsi="Arial" w:cs="Arial"/>
                <w:sz w:val="16"/>
                <w:szCs w:val="16"/>
              </w:rPr>
            </w:pPr>
            <w:r w:rsidRPr="00EC4BA6">
              <w:rPr>
                <w:rFonts w:ascii="Arial" w:hAnsi="Arial" w:cs="Arial"/>
                <w:sz w:val="16"/>
                <w:szCs w:val="16"/>
              </w:rPr>
              <w:t>Other customs duty</w:t>
            </w:r>
          </w:p>
        </w:tc>
        <w:tc>
          <w:tcPr>
            <w:tcW w:w="737" w:type="pct"/>
            <w:tcBorders>
              <w:top w:val="nil"/>
              <w:left w:val="nil"/>
              <w:bottom w:val="nil"/>
              <w:right w:val="nil"/>
            </w:tcBorders>
            <w:shd w:val="clear" w:color="000000" w:fill="FFFFFF"/>
            <w:noWrap/>
            <w:vAlign w:val="center"/>
            <w:hideMark/>
          </w:tcPr>
          <w:p w14:paraId="46B4FD07"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 </w:t>
            </w:r>
          </w:p>
        </w:tc>
        <w:tc>
          <w:tcPr>
            <w:tcW w:w="737" w:type="pct"/>
            <w:tcBorders>
              <w:top w:val="nil"/>
              <w:left w:val="nil"/>
              <w:bottom w:val="nil"/>
              <w:right w:val="nil"/>
            </w:tcBorders>
            <w:shd w:val="clear" w:color="000000" w:fill="E6F2FF"/>
            <w:noWrap/>
            <w:vAlign w:val="center"/>
            <w:hideMark/>
          </w:tcPr>
          <w:p w14:paraId="285BE1F7"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 </w:t>
            </w:r>
          </w:p>
        </w:tc>
        <w:tc>
          <w:tcPr>
            <w:tcW w:w="58" w:type="pct"/>
            <w:tcBorders>
              <w:top w:val="nil"/>
              <w:left w:val="nil"/>
              <w:bottom w:val="nil"/>
              <w:right w:val="nil"/>
            </w:tcBorders>
            <w:shd w:val="clear" w:color="000000" w:fill="FFFFFF"/>
            <w:noWrap/>
            <w:vAlign w:val="center"/>
            <w:hideMark/>
          </w:tcPr>
          <w:p w14:paraId="67F89433"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 </w:t>
            </w:r>
          </w:p>
        </w:tc>
        <w:tc>
          <w:tcPr>
            <w:tcW w:w="737" w:type="pct"/>
            <w:tcBorders>
              <w:top w:val="nil"/>
              <w:left w:val="nil"/>
              <w:bottom w:val="nil"/>
              <w:right w:val="nil"/>
            </w:tcBorders>
            <w:shd w:val="clear" w:color="000000" w:fill="FFFFFF"/>
            <w:noWrap/>
            <w:vAlign w:val="center"/>
            <w:hideMark/>
          </w:tcPr>
          <w:p w14:paraId="465A4FB4"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 </w:t>
            </w:r>
          </w:p>
        </w:tc>
        <w:tc>
          <w:tcPr>
            <w:tcW w:w="737" w:type="pct"/>
            <w:tcBorders>
              <w:top w:val="nil"/>
              <w:left w:val="nil"/>
              <w:bottom w:val="nil"/>
              <w:right w:val="nil"/>
            </w:tcBorders>
            <w:shd w:val="clear" w:color="000000" w:fill="FFFFFF"/>
            <w:noWrap/>
            <w:vAlign w:val="center"/>
            <w:hideMark/>
          </w:tcPr>
          <w:p w14:paraId="11B08ACE"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 </w:t>
            </w:r>
          </w:p>
        </w:tc>
      </w:tr>
      <w:tr w:rsidR="00E565C3" w:rsidRPr="00EC4BA6" w14:paraId="1CF6B933" w14:textId="77777777" w:rsidTr="004D0B46">
        <w:trPr>
          <w:trHeight w:hRule="exact" w:val="225"/>
        </w:trPr>
        <w:tc>
          <w:tcPr>
            <w:tcW w:w="1993" w:type="pct"/>
            <w:tcBorders>
              <w:top w:val="nil"/>
              <w:left w:val="nil"/>
              <w:bottom w:val="nil"/>
              <w:right w:val="nil"/>
            </w:tcBorders>
            <w:shd w:val="clear" w:color="000000" w:fill="FFFFFF"/>
            <w:noWrap/>
            <w:vAlign w:val="bottom"/>
            <w:hideMark/>
          </w:tcPr>
          <w:p w14:paraId="2053BB88" w14:textId="77777777" w:rsidR="00E565C3" w:rsidRPr="00EC4BA6" w:rsidRDefault="00E565C3" w:rsidP="004D0B46">
            <w:pPr>
              <w:spacing w:before="0" w:after="0" w:line="240" w:lineRule="auto"/>
              <w:ind w:left="340"/>
              <w:rPr>
                <w:rFonts w:ascii="Arial" w:hAnsi="Arial" w:cs="Arial"/>
                <w:sz w:val="16"/>
                <w:szCs w:val="16"/>
              </w:rPr>
            </w:pPr>
            <w:r w:rsidRPr="00EC4BA6">
              <w:rPr>
                <w:rFonts w:ascii="Arial" w:hAnsi="Arial" w:cs="Arial"/>
                <w:sz w:val="16"/>
                <w:szCs w:val="16"/>
              </w:rPr>
              <w:t>Textiles, clothing and footwear</w:t>
            </w:r>
          </w:p>
        </w:tc>
        <w:tc>
          <w:tcPr>
            <w:tcW w:w="737" w:type="pct"/>
            <w:tcBorders>
              <w:top w:val="nil"/>
              <w:left w:val="nil"/>
              <w:bottom w:val="nil"/>
              <w:right w:val="nil"/>
            </w:tcBorders>
            <w:shd w:val="clear" w:color="000000" w:fill="FFFFFF"/>
            <w:noWrap/>
            <w:vAlign w:val="center"/>
            <w:hideMark/>
          </w:tcPr>
          <w:p w14:paraId="474E0F1F"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170</w:t>
            </w:r>
          </w:p>
        </w:tc>
        <w:tc>
          <w:tcPr>
            <w:tcW w:w="737" w:type="pct"/>
            <w:tcBorders>
              <w:top w:val="nil"/>
              <w:left w:val="nil"/>
              <w:bottom w:val="nil"/>
              <w:right w:val="nil"/>
            </w:tcBorders>
            <w:shd w:val="clear" w:color="000000" w:fill="E6F2FF"/>
            <w:noWrap/>
            <w:vAlign w:val="center"/>
            <w:hideMark/>
          </w:tcPr>
          <w:p w14:paraId="18A6F361"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160</w:t>
            </w:r>
          </w:p>
        </w:tc>
        <w:tc>
          <w:tcPr>
            <w:tcW w:w="58" w:type="pct"/>
            <w:tcBorders>
              <w:top w:val="nil"/>
              <w:left w:val="nil"/>
              <w:bottom w:val="nil"/>
              <w:right w:val="nil"/>
            </w:tcBorders>
            <w:shd w:val="clear" w:color="000000" w:fill="FFFFFF"/>
            <w:noWrap/>
            <w:vAlign w:val="center"/>
            <w:hideMark/>
          </w:tcPr>
          <w:p w14:paraId="57D37EEB"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 </w:t>
            </w:r>
          </w:p>
        </w:tc>
        <w:tc>
          <w:tcPr>
            <w:tcW w:w="737" w:type="pct"/>
            <w:tcBorders>
              <w:top w:val="nil"/>
              <w:left w:val="nil"/>
              <w:bottom w:val="nil"/>
              <w:right w:val="nil"/>
            </w:tcBorders>
            <w:shd w:val="clear" w:color="000000" w:fill="FFFFFF"/>
            <w:noWrap/>
            <w:vAlign w:val="center"/>
            <w:hideMark/>
          </w:tcPr>
          <w:p w14:paraId="67B8DD6D" w14:textId="75CC12E4" w:rsidR="00E565C3" w:rsidRPr="00EC4BA6" w:rsidRDefault="001A3DD6" w:rsidP="00E565C3">
            <w:pPr>
              <w:spacing w:before="0" w:after="0" w:line="240" w:lineRule="auto"/>
              <w:jc w:val="right"/>
              <w:rPr>
                <w:rFonts w:ascii="Arial" w:hAnsi="Arial" w:cs="Arial"/>
                <w:sz w:val="16"/>
                <w:szCs w:val="16"/>
              </w:rPr>
            </w:pPr>
            <w:r>
              <w:rPr>
                <w:rFonts w:ascii="Arial" w:hAnsi="Arial" w:cs="Arial"/>
                <w:sz w:val="16"/>
                <w:szCs w:val="16"/>
              </w:rPr>
              <w:noBreakHyphen/>
            </w:r>
            <w:r w:rsidR="00E565C3" w:rsidRPr="00EC4BA6">
              <w:rPr>
                <w:rFonts w:ascii="Arial" w:hAnsi="Arial" w:cs="Arial"/>
                <w:sz w:val="16"/>
                <w:szCs w:val="16"/>
              </w:rPr>
              <w:t>10</w:t>
            </w:r>
          </w:p>
        </w:tc>
        <w:tc>
          <w:tcPr>
            <w:tcW w:w="737" w:type="pct"/>
            <w:tcBorders>
              <w:top w:val="nil"/>
              <w:left w:val="nil"/>
              <w:bottom w:val="nil"/>
              <w:right w:val="nil"/>
            </w:tcBorders>
            <w:shd w:val="clear" w:color="000000" w:fill="FFFFFF"/>
            <w:noWrap/>
            <w:vAlign w:val="center"/>
            <w:hideMark/>
          </w:tcPr>
          <w:p w14:paraId="3A13998E" w14:textId="0C84AEC8" w:rsidR="00E565C3" w:rsidRPr="00EC4BA6" w:rsidRDefault="001A3DD6" w:rsidP="00E565C3">
            <w:pPr>
              <w:spacing w:before="0" w:after="0" w:line="240" w:lineRule="auto"/>
              <w:jc w:val="right"/>
              <w:rPr>
                <w:rFonts w:ascii="Arial" w:hAnsi="Arial" w:cs="Arial"/>
                <w:sz w:val="16"/>
                <w:szCs w:val="16"/>
              </w:rPr>
            </w:pPr>
            <w:r>
              <w:rPr>
                <w:rFonts w:ascii="Arial" w:hAnsi="Arial" w:cs="Arial"/>
                <w:sz w:val="16"/>
                <w:szCs w:val="16"/>
              </w:rPr>
              <w:noBreakHyphen/>
            </w:r>
            <w:r w:rsidR="00E565C3" w:rsidRPr="00EC4BA6">
              <w:rPr>
                <w:rFonts w:ascii="Arial" w:hAnsi="Arial" w:cs="Arial"/>
                <w:sz w:val="16"/>
                <w:szCs w:val="16"/>
              </w:rPr>
              <w:t>5.9</w:t>
            </w:r>
          </w:p>
        </w:tc>
      </w:tr>
      <w:tr w:rsidR="00E565C3" w:rsidRPr="00EC4BA6" w14:paraId="613CC5A6" w14:textId="77777777" w:rsidTr="004D0B46">
        <w:trPr>
          <w:trHeight w:hRule="exact" w:val="225"/>
        </w:trPr>
        <w:tc>
          <w:tcPr>
            <w:tcW w:w="1993" w:type="pct"/>
            <w:tcBorders>
              <w:top w:val="nil"/>
              <w:left w:val="nil"/>
              <w:bottom w:val="nil"/>
              <w:right w:val="nil"/>
            </w:tcBorders>
            <w:shd w:val="clear" w:color="000000" w:fill="FFFFFF"/>
            <w:noWrap/>
            <w:vAlign w:val="bottom"/>
            <w:hideMark/>
          </w:tcPr>
          <w:p w14:paraId="402BA07C" w14:textId="77777777" w:rsidR="00E565C3" w:rsidRPr="00EC4BA6" w:rsidRDefault="00E565C3" w:rsidP="004D0B46">
            <w:pPr>
              <w:spacing w:before="0" w:after="0" w:line="240" w:lineRule="auto"/>
              <w:ind w:left="340"/>
              <w:rPr>
                <w:rFonts w:ascii="Arial" w:hAnsi="Arial" w:cs="Arial"/>
                <w:sz w:val="16"/>
                <w:szCs w:val="16"/>
              </w:rPr>
            </w:pPr>
            <w:r w:rsidRPr="00EC4BA6">
              <w:rPr>
                <w:rFonts w:ascii="Arial" w:hAnsi="Arial" w:cs="Arial"/>
                <w:sz w:val="16"/>
                <w:szCs w:val="16"/>
              </w:rPr>
              <w:t>Passenger motor vehicles</w:t>
            </w:r>
          </w:p>
        </w:tc>
        <w:tc>
          <w:tcPr>
            <w:tcW w:w="737" w:type="pct"/>
            <w:tcBorders>
              <w:top w:val="nil"/>
              <w:left w:val="nil"/>
              <w:bottom w:val="nil"/>
              <w:right w:val="nil"/>
            </w:tcBorders>
            <w:shd w:val="clear" w:color="000000" w:fill="FFFFFF"/>
            <w:noWrap/>
            <w:vAlign w:val="center"/>
            <w:hideMark/>
          </w:tcPr>
          <w:p w14:paraId="64B88F69"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380</w:t>
            </w:r>
          </w:p>
        </w:tc>
        <w:tc>
          <w:tcPr>
            <w:tcW w:w="737" w:type="pct"/>
            <w:tcBorders>
              <w:top w:val="nil"/>
              <w:left w:val="nil"/>
              <w:bottom w:val="nil"/>
              <w:right w:val="nil"/>
            </w:tcBorders>
            <w:shd w:val="clear" w:color="000000" w:fill="E6F2FF"/>
            <w:noWrap/>
            <w:vAlign w:val="center"/>
            <w:hideMark/>
          </w:tcPr>
          <w:p w14:paraId="17628B3C"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380</w:t>
            </w:r>
          </w:p>
        </w:tc>
        <w:tc>
          <w:tcPr>
            <w:tcW w:w="58" w:type="pct"/>
            <w:tcBorders>
              <w:top w:val="nil"/>
              <w:left w:val="nil"/>
              <w:bottom w:val="nil"/>
              <w:right w:val="nil"/>
            </w:tcBorders>
            <w:shd w:val="clear" w:color="000000" w:fill="FFFFFF"/>
            <w:noWrap/>
            <w:vAlign w:val="center"/>
            <w:hideMark/>
          </w:tcPr>
          <w:p w14:paraId="3A843957"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 </w:t>
            </w:r>
          </w:p>
        </w:tc>
        <w:tc>
          <w:tcPr>
            <w:tcW w:w="737" w:type="pct"/>
            <w:tcBorders>
              <w:top w:val="nil"/>
              <w:left w:val="nil"/>
              <w:bottom w:val="nil"/>
              <w:right w:val="nil"/>
            </w:tcBorders>
            <w:shd w:val="clear" w:color="000000" w:fill="FFFFFF"/>
            <w:noWrap/>
            <w:vAlign w:val="center"/>
            <w:hideMark/>
          </w:tcPr>
          <w:p w14:paraId="7D988F73"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0</w:t>
            </w:r>
          </w:p>
        </w:tc>
        <w:tc>
          <w:tcPr>
            <w:tcW w:w="737" w:type="pct"/>
            <w:tcBorders>
              <w:top w:val="nil"/>
              <w:left w:val="nil"/>
              <w:bottom w:val="nil"/>
              <w:right w:val="nil"/>
            </w:tcBorders>
            <w:shd w:val="clear" w:color="000000" w:fill="FFFFFF"/>
            <w:noWrap/>
            <w:vAlign w:val="center"/>
            <w:hideMark/>
          </w:tcPr>
          <w:p w14:paraId="60C42E9A"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0.0</w:t>
            </w:r>
          </w:p>
        </w:tc>
      </w:tr>
      <w:tr w:rsidR="00E565C3" w:rsidRPr="00EC4BA6" w14:paraId="2E42CC82" w14:textId="77777777" w:rsidTr="004D0B46">
        <w:trPr>
          <w:trHeight w:hRule="exact" w:val="225"/>
        </w:trPr>
        <w:tc>
          <w:tcPr>
            <w:tcW w:w="1993" w:type="pct"/>
            <w:tcBorders>
              <w:top w:val="nil"/>
              <w:left w:val="nil"/>
              <w:bottom w:val="nil"/>
              <w:right w:val="nil"/>
            </w:tcBorders>
            <w:shd w:val="clear" w:color="000000" w:fill="FFFFFF"/>
            <w:noWrap/>
            <w:vAlign w:val="center"/>
            <w:hideMark/>
          </w:tcPr>
          <w:p w14:paraId="73776D3C" w14:textId="77777777" w:rsidR="00E565C3" w:rsidRPr="00EC4BA6" w:rsidRDefault="00E565C3" w:rsidP="004D0B46">
            <w:pPr>
              <w:spacing w:before="0" w:after="0" w:line="240" w:lineRule="auto"/>
              <w:ind w:left="340"/>
              <w:rPr>
                <w:rFonts w:ascii="Arial" w:hAnsi="Arial" w:cs="Arial"/>
                <w:sz w:val="16"/>
                <w:szCs w:val="16"/>
              </w:rPr>
            </w:pPr>
            <w:r w:rsidRPr="00EC4BA6">
              <w:rPr>
                <w:rFonts w:ascii="Arial" w:hAnsi="Arial" w:cs="Arial"/>
                <w:sz w:val="16"/>
                <w:szCs w:val="16"/>
              </w:rPr>
              <w:t>Other imports</w:t>
            </w:r>
          </w:p>
        </w:tc>
        <w:tc>
          <w:tcPr>
            <w:tcW w:w="737" w:type="pct"/>
            <w:tcBorders>
              <w:top w:val="nil"/>
              <w:left w:val="nil"/>
              <w:bottom w:val="nil"/>
              <w:right w:val="nil"/>
            </w:tcBorders>
            <w:shd w:val="clear" w:color="000000" w:fill="FFFFFF"/>
            <w:noWrap/>
            <w:vAlign w:val="center"/>
            <w:hideMark/>
          </w:tcPr>
          <w:p w14:paraId="47A68145"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1,560</w:t>
            </w:r>
          </w:p>
        </w:tc>
        <w:tc>
          <w:tcPr>
            <w:tcW w:w="737" w:type="pct"/>
            <w:tcBorders>
              <w:top w:val="nil"/>
              <w:left w:val="nil"/>
              <w:bottom w:val="nil"/>
              <w:right w:val="nil"/>
            </w:tcBorders>
            <w:shd w:val="clear" w:color="000000" w:fill="E6F2FF"/>
            <w:noWrap/>
            <w:vAlign w:val="center"/>
            <w:hideMark/>
          </w:tcPr>
          <w:p w14:paraId="59BA1240"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1,560</w:t>
            </w:r>
          </w:p>
        </w:tc>
        <w:tc>
          <w:tcPr>
            <w:tcW w:w="58" w:type="pct"/>
            <w:tcBorders>
              <w:top w:val="nil"/>
              <w:left w:val="nil"/>
              <w:bottom w:val="nil"/>
              <w:right w:val="nil"/>
            </w:tcBorders>
            <w:shd w:val="clear" w:color="000000" w:fill="FFFFFF"/>
            <w:noWrap/>
            <w:vAlign w:val="center"/>
            <w:hideMark/>
          </w:tcPr>
          <w:p w14:paraId="525B0774"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 </w:t>
            </w:r>
          </w:p>
        </w:tc>
        <w:tc>
          <w:tcPr>
            <w:tcW w:w="737" w:type="pct"/>
            <w:tcBorders>
              <w:top w:val="nil"/>
              <w:left w:val="nil"/>
              <w:bottom w:val="nil"/>
              <w:right w:val="nil"/>
            </w:tcBorders>
            <w:shd w:val="clear" w:color="000000" w:fill="FFFFFF"/>
            <w:noWrap/>
            <w:vAlign w:val="center"/>
            <w:hideMark/>
          </w:tcPr>
          <w:p w14:paraId="0939BDB1"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0</w:t>
            </w:r>
          </w:p>
        </w:tc>
        <w:tc>
          <w:tcPr>
            <w:tcW w:w="737" w:type="pct"/>
            <w:tcBorders>
              <w:top w:val="nil"/>
              <w:left w:val="nil"/>
              <w:bottom w:val="nil"/>
              <w:right w:val="nil"/>
            </w:tcBorders>
            <w:shd w:val="clear" w:color="000000" w:fill="FFFFFF"/>
            <w:noWrap/>
            <w:vAlign w:val="center"/>
            <w:hideMark/>
          </w:tcPr>
          <w:p w14:paraId="072EECE5"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0.0</w:t>
            </w:r>
          </w:p>
        </w:tc>
      </w:tr>
      <w:tr w:rsidR="00E565C3" w:rsidRPr="00EC4BA6" w14:paraId="4B0B7A48" w14:textId="77777777" w:rsidTr="004D0B46">
        <w:trPr>
          <w:trHeight w:hRule="exact" w:val="225"/>
        </w:trPr>
        <w:tc>
          <w:tcPr>
            <w:tcW w:w="1993" w:type="pct"/>
            <w:tcBorders>
              <w:top w:val="nil"/>
              <w:left w:val="nil"/>
              <w:bottom w:val="nil"/>
              <w:right w:val="nil"/>
            </w:tcBorders>
            <w:shd w:val="clear" w:color="000000" w:fill="FFFFFF"/>
            <w:noWrap/>
            <w:vAlign w:val="bottom"/>
            <w:hideMark/>
          </w:tcPr>
          <w:p w14:paraId="53AC5D5C" w14:textId="77777777" w:rsidR="00E565C3" w:rsidRPr="00EC4BA6" w:rsidRDefault="00E565C3" w:rsidP="004D0B46">
            <w:pPr>
              <w:spacing w:before="0" w:after="0" w:line="240" w:lineRule="auto"/>
              <w:ind w:left="170"/>
              <w:rPr>
                <w:rFonts w:ascii="Arial" w:hAnsi="Arial" w:cs="Arial"/>
                <w:i/>
                <w:sz w:val="16"/>
                <w:szCs w:val="16"/>
              </w:rPr>
            </w:pPr>
            <w:r w:rsidRPr="00EC4BA6">
              <w:rPr>
                <w:rFonts w:ascii="Arial" w:hAnsi="Arial" w:cs="Arial"/>
                <w:i/>
                <w:sz w:val="16"/>
                <w:szCs w:val="16"/>
              </w:rPr>
              <w:t>less:</w:t>
            </w:r>
            <w:r w:rsidRPr="00EC4BA6">
              <w:rPr>
                <w:rFonts w:ascii="Arial" w:hAnsi="Arial" w:cs="Arial"/>
                <w:sz w:val="16"/>
                <w:szCs w:val="16"/>
              </w:rPr>
              <w:t xml:space="preserve"> Refunds and drawbacks</w:t>
            </w:r>
          </w:p>
        </w:tc>
        <w:tc>
          <w:tcPr>
            <w:tcW w:w="737" w:type="pct"/>
            <w:tcBorders>
              <w:top w:val="nil"/>
              <w:left w:val="nil"/>
              <w:bottom w:val="single" w:sz="4" w:space="0" w:color="293F5B"/>
              <w:right w:val="nil"/>
            </w:tcBorders>
            <w:shd w:val="clear" w:color="000000" w:fill="FFFFFF"/>
            <w:noWrap/>
            <w:vAlign w:val="center"/>
            <w:hideMark/>
          </w:tcPr>
          <w:p w14:paraId="16866CDD"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730</w:t>
            </w:r>
          </w:p>
        </w:tc>
        <w:tc>
          <w:tcPr>
            <w:tcW w:w="737" w:type="pct"/>
            <w:tcBorders>
              <w:top w:val="nil"/>
              <w:left w:val="nil"/>
              <w:bottom w:val="single" w:sz="4" w:space="0" w:color="293F5B"/>
              <w:right w:val="nil"/>
            </w:tcBorders>
            <w:shd w:val="clear" w:color="000000" w:fill="E6F2FF"/>
            <w:noWrap/>
            <w:vAlign w:val="center"/>
            <w:hideMark/>
          </w:tcPr>
          <w:p w14:paraId="3E0B16FA"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870</w:t>
            </w:r>
          </w:p>
        </w:tc>
        <w:tc>
          <w:tcPr>
            <w:tcW w:w="58" w:type="pct"/>
            <w:tcBorders>
              <w:top w:val="nil"/>
              <w:left w:val="nil"/>
              <w:bottom w:val="nil"/>
              <w:right w:val="nil"/>
            </w:tcBorders>
            <w:shd w:val="clear" w:color="000000" w:fill="FFFFFF"/>
            <w:noWrap/>
            <w:vAlign w:val="center"/>
            <w:hideMark/>
          </w:tcPr>
          <w:p w14:paraId="4A7D539B"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 </w:t>
            </w:r>
          </w:p>
        </w:tc>
        <w:tc>
          <w:tcPr>
            <w:tcW w:w="737" w:type="pct"/>
            <w:tcBorders>
              <w:top w:val="nil"/>
              <w:left w:val="nil"/>
              <w:bottom w:val="single" w:sz="4" w:space="0" w:color="293F5B"/>
              <w:right w:val="nil"/>
            </w:tcBorders>
            <w:shd w:val="clear" w:color="000000" w:fill="FFFFFF"/>
            <w:noWrap/>
            <w:vAlign w:val="center"/>
            <w:hideMark/>
          </w:tcPr>
          <w:p w14:paraId="44FD3288"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140</w:t>
            </w:r>
          </w:p>
        </w:tc>
        <w:tc>
          <w:tcPr>
            <w:tcW w:w="737" w:type="pct"/>
            <w:tcBorders>
              <w:top w:val="nil"/>
              <w:left w:val="nil"/>
              <w:bottom w:val="single" w:sz="4" w:space="0" w:color="293F5B"/>
              <w:right w:val="nil"/>
            </w:tcBorders>
            <w:shd w:val="clear" w:color="000000" w:fill="FFFFFF"/>
            <w:noWrap/>
            <w:vAlign w:val="center"/>
            <w:hideMark/>
          </w:tcPr>
          <w:p w14:paraId="40886159"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19.2</w:t>
            </w:r>
          </w:p>
        </w:tc>
      </w:tr>
      <w:tr w:rsidR="00E565C3" w:rsidRPr="00EC4BA6" w14:paraId="7A47EB8E" w14:textId="77777777" w:rsidTr="004D0B46">
        <w:trPr>
          <w:trHeight w:hRule="exact" w:val="225"/>
        </w:trPr>
        <w:tc>
          <w:tcPr>
            <w:tcW w:w="1993" w:type="pct"/>
            <w:tcBorders>
              <w:top w:val="nil"/>
              <w:left w:val="nil"/>
              <w:bottom w:val="nil"/>
              <w:right w:val="nil"/>
            </w:tcBorders>
            <w:shd w:val="clear" w:color="000000" w:fill="FFFFFF"/>
            <w:noWrap/>
            <w:vAlign w:val="center"/>
            <w:hideMark/>
          </w:tcPr>
          <w:p w14:paraId="125F0C07" w14:textId="77777777" w:rsidR="00E565C3" w:rsidRPr="00EC4BA6" w:rsidRDefault="00E565C3" w:rsidP="00E565C3">
            <w:pPr>
              <w:spacing w:before="0" w:after="0" w:line="240" w:lineRule="auto"/>
              <w:rPr>
                <w:rFonts w:ascii="Arial" w:hAnsi="Arial" w:cs="Arial"/>
                <w:sz w:val="16"/>
                <w:szCs w:val="16"/>
              </w:rPr>
            </w:pPr>
            <w:r w:rsidRPr="00EC4BA6">
              <w:rPr>
                <w:rFonts w:ascii="Arial" w:hAnsi="Arial" w:cs="Arial"/>
                <w:sz w:val="16"/>
                <w:szCs w:val="16"/>
              </w:rPr>
              <w:t>Total excise and customs duty</w:t>
            </w:r>
          </w:p>
        </w:tc>
        <w:tc>
          <w:tcPr>
            <w:tcW w:w="737" w:type="pct"/>
            <w:tcBorders>
              <w:top w:val="nil"/>
              <w:left w:val="nil"/>
              <w:bottom w:val="nil"/>
              <w:right w:val="nil"/>
            </w:tcBorders>
            <w:shd w:val="clear" w:color="000000" w:fill="FFFFFF"/>
            <w:noWrap/>
            <w:vAlign w:val="center"/>
            <w:hideMark/>
          </w:tcPr>
          <w:p w14:paraId="635D2349"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43,950</w:t>
            </w:r>
          </w:p>
        </w:tc>
        <w:tc>
          <w:tcPr>
            <w:tcW w:w="737" w:type="pct"/>
            <w:tcBorders>
              <w:top w:val="nil"/>
              <w:left w:val="nil"/>
              <w:bottom w:val="nil"/>
              <w:right w:val="nil"/>
            </w:tcBorders>
            <w:shd w:val="clear" w:color="000000" w:fill="E6F2FF"/>
            <w:noWrap/>
            <w:vAlign w:val="center"/>
            <w:hideMark/>
          </w:tcPr>
          <w:p w14:paraId="071F90F3"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42,430</w:t>
            </w:r>
          </w:p>
        </w:tc>
        <w:tc>
          <w:tcPr>
            <w:tcW w:w="58" w:type="pct"/>
            <w:tcBorders>
              <w:top w:val="nil"/>
              <w:left w:val="nil"/>
              <w:bottom w:val="nil"/>
              <w:right w:val="nil"/>
            </w:tcBorders>
            <w:shd w:val="clear" w:color="000000" w:fill="FFFFFF"/>
            <w:noWrap/>
            <w:vAlign w:val="center"/>
            <w:hideMark/>
          </w:tcPr>
          <w:p w14:paraId="61085D31"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 </w:t>
            </w:r>
          </w:p>
        </w:tc>
        <w:tc>
          <w:tcPr>
            <w:tcW w:w="737" w:type="pct"/>
            <w:tcBorders>
              <w:top w:val="nil"/>
              <w:left w:val="nil"/>
              <w:bottom w:val="nil"/>
              <w:right w:val="nil"/>
            </w:tcBorders>
            <w:shd w:val="clear" w:color="000000" w:fill="FFFFFF"/>
            <w:noWrap/>
            <w:vAlign w:val="center"/>
            <w:hideMark/>
          </w:tcPr>
          <w:p w14:paraId="18EC135E" w14:textId="6BA2CE2A" w:rsidR="00E565C3" w:rsidRPr="00EC4BA6" w:rsidRDefault="001A3DD6" w:rsidP="00E565C3">
            <w:pPr>
              <w:spacing w:before="0" w:after="0" w:line="240" w:lineRule="auto"/>
              <w:jc w:val="right"/>
              <w:rPr>
                <w:rFonts w:ascii="Arial" w:hAnsi="Arial" w:cs="Arial"/>
                <w:sz w:val="16"/>
                <w:szCs w:val="16"/>
              </w:rPr>
            </w:pPr>
            <w:r>
              <w:rPr>
                <w:rFonts w:ascii="Arial" w:hAnsi="Arial" w:cs="Arial"/>
                <w:sz w:val="16"/>
                <w:szCs w:val="16"/>
              </w:rPr>
              <w:noBreakHyphen/>
            </w:r>
            <w:r w:rsidR="00E565C3" w:rsidRPr="00EC4BA6">
              <w:rPr>
                <w:rFonts w:ascii="Arial" w:hAnsi="Arial" w:cs="Arial"/>
                <w:sz w:val="16"/>
                <w:szCs w:val="16"/>
              </w:rPr>
              <w:t>1,520</w:t>
            </w:r>
          </w:p>
        </w:tc>
        <w:tc>
          <w:tcPr>
            <w:tcW w:w="737" w:type="pct"/>
            <w:tcBorders>
              <w:top w:val="nil"/>
              <w:left w:val="nil"/>
              <w:bottom w:val="nil"/>
              <w:right w:val="nil"/>
            </w:tcBorders>
            <w:shd w:val="clear" w:color="000000" w:fill="FFFFFF"/>
            <w:noWrap/>
            <w:vAlign w:val="center"/>
            <w:hideMark/>
          </w:tcPr>
          <w:p w14:paraId="33AFCC93" w14:textId="343828AF" w:rsidR="00E565C3" w:rsidRPr="00EC4BA6" w:rsidRDefault="001A3DD6" w:rsidP="00E565C3">
            <w:pPr>
              <w:spacing w:before="0" w:after="0" w:line="240" w:lineRule="auto"/>
              <w:jc w:val="right"/>
              <w:rPr>
                <w:rFonts w:ascii="Arial" w:hAnsi="Arial" w:cs="Arial"/>
                <w:sz w:val="16"/>
                <w:szCs w:val="16"/>
              </w:rPr>
            </w:pPr>
            <w:r>
              <w:rPr>
                <w:rFonts w:ascii="Arial" w:hAnsi="Arial" w:cs="Arial"/>
                <w:sz w:val="16"/>
                <w:szCs w:val="16"/>
              </w:rPr>
              <w:noBreakHyphen/>
            </w:r>
            <w:r w:rsidR="00E565C3" w:rsidRPr="00EC4BA6">
              <w:rPr>
                <w:rFonts w:ascii="Arial" w:hAnsi="Arial" w:cs="Arial"/>
                <w:sz w:val="16"/>
                <w:szCs w:val="16"/>
              </w:rPr>
              <w:t>3.5</w:t>
            </w:r>
          </w:p>
        </w:tc>
      </w:tr>
      <w:tr w:rsidR="00E565C3" w:rsidRPr="00EC4BA6" w14:paraId="0AEFD1DD" w14:textId="77777777" w:rsidTr="004D0B46">
        <w:trPr>
          <w:trHeight w:hRule="exact" w:val="225"/>
        </w:trPr>
        <w:tc>
          <w:tcPr>
            <w:tcW w:w="1993" w:type="pct"/>
            <w:tcBorders>
              <w:top w:val="nil"/>
              <w:left w:val="nil"/>
              <w:bottom w:val="nil"/>
              <w:right w:val="nil"/>
            </w:tcBorders>
            <w:shd w:val="clear" w:color="000000" w:fill="FFFFFF"/>
            <w:noWrap/>
            <w:vAlign w:val="center"/>
            <w:hideMark/>
          </w:tcPr>
          <w:p w14:paraId="3424A3B8" w14:textId="77777777" w:rsidR="00E565C3" w:rsidRPr="00EC4BA6" w:rsidRDefault="00E565C3" w:rsidP="00E565C3">
            <w:pPr>
              <w:spacing w:before="0" w:after="0" w:line="240" w:lineRule="auto"/>
              <w:rPr>
                <w:rFonts w:ascii="Arial" w:hAnsi="Arial" w:cs="Arial"/>
                <w:sz w:val="16"/>
                <w:szCs w:val="16"/>
              </w:rPr>
            </w:pPr>
            <w:r w:rsidRPr="00EC4BA6">
              <w:rPr>
                <w:rFonts w:ascii="Arial" w:hAnsi="Arial" w:cs="Arial"/>
                <w:sz w:val="16"/>
                <w:szCs w:val="16"/>
              </w:rPr>
              <w:t>Major bank levy</w:t>
            </w:r>
          </w:p>
        </w:tc>
        <w:tc>
          <w:tcPr>
            <w:tcW w:w="737" w:type="pct"/>
            <w:tcBorders>
              <w:top w:val="nil"/>
              <w:left w:val="nil"/>
              <w:bottom w:val="nil"/>
              <w:right w:val="nil"/>
            </w:tcBorders>
            <w:shd w:val="clear" w:color="000000" w:fill="FFFFFF"/>
            <w:noWrap/>
            <w:vAlign w:val="center"/>
            <w:hideMark/>
          </w:tcPr>
          <w:p w14:paraId="7CA98A81"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1,750</w:t>
            </w:r>
          </w:p>
        </w:tc>
        <w:tc>
          <w:tcPr>
            <w:tcW w:w="737" w:type="pct"/>
            <w:tcBorders>
              <w:top w:val="nil"/>
              <w:left w:val="nil"/>
              <w:bottom w:val="nil"/>
              <w:right w:val="nil"/>
            </w:tcBorders>
            <w:shd w:val="clear" w:color="000000" w:fill="E6F2FF"/>
            <w:noWrap/>
            <w:vAlign w:val="center"/>
            <w:hideMark/>
          </w:tcPr>
          <w:p w14:paraId="0F336DB4"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1,790</w:t>
            </w:r>
          </w:p>
        </w:tc>
        <w:tc>
          <w:tcPr>
            <w:tcW w:w="58" w:type="pct"/>
            <w:tcBorders>
              <w:top w:val="nil"/>
              <w:left w:val="nil"/>
              <w:bottom w:val="nil"/>
              <w:right w:val="nil"/>
            </w:tcBorders>
            <w:shd w:val="clear" w:color="000000" w:fill="FFFFFF"/>
            <w:noWrap/>
            <w:vAlign w:val="center"/>
            <w:hideMark/>
          </w:tcPr>
          <w:p w14:paraId="4304492A" w14:textId="77777777" w:rsidR="00E565C3" w:rsidRPr="00EC4BA6" w:rsidRDefault="00E565C3" w:rsidP="00E565C3">
            <w:pPr>
              <w:spacing w:before="0" w:after="0" w:line="240" w:lineRule="auto"/>
              <w:jc w:val="right"/>
              <w:rPr>
                <w:rFonts w:ascii="Arial" w:hAnsi="Arial" w:cs="Arial"/>
                <w:b/>
                <w:sz w:val="16"/>
                <w:szCs w:val="16"/>
              </w:rPr>
            </w:pPr>
            <w:r w:rsidRPr="00EC4BA6">
              <w:rPr>
                <w:rFonts w:ascii="Arial" w:hAnsi="Arial" w:cs="Arial"/>
                <w:b/>
                <w:sz w:val="16"/>
                <w:szCs w:val="16"/>
              </w:rPr>
              <w:t> </w:t>
            </w:r>
          </w:p>
        </w:tc>
        <w:tc>
          <w:tcPr>
            <w:tcW w:w="737" w:type="pct"/>
            <w:tcBorders>
              <w:top w:val="nil"/>
              <w:left w:val="nil"/>
              <w:bottom w:val="nil"/>
              <w:right w:val="nil"/>
            </w:tcBorders>
            <w:shd w:val="clear" w:color="000000" w:fill="FFFFFF"/>
            <w:noWrap/>
            <w:vAlign w:val="center"/>
            <w:hideMark/>
          </w:tcPr>
          <w:p w14:paraId="1677A1A2"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40</w:t>
            </w:r>
          </w:p>
        </w:tc>
        <w:tc>
          <w:tcPr>
            <w:tcW w:w="737" w:type="pct"/>
            <w:tcBorders>
              <w:top w:val="nil"/>
              <w:left w:val="nil"/>
              <w:bottom w:val="nil"/>
              <w:right w:val="nil"/>
            </w:tcBorders>
            <w:shd w:val="clear" w:color="000000" w:fill="FFFFFF"/>
            <w:noWrap/>
            <w:vAlign w:val="center"/>
            <w:hideMark/>
          </w:tcPr>
          <w:p w14:paraId="0680815F"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2.3</w:t>
            </w:r>
          </w:p>
        </w:tc>
      </w:tr>
      <w:tr w:rsidR="00E565C3" w:rsidRPr="00EC4BA6" w14:paraId="5258F929" w14:textId="77777777" w:rsidTr="004D0B46">
        <w:trPr>
          <w:trHeight w:hRule="exact" w:val="225"/>
        </w:trPr>
        <w:tc>
          <w:tcPr>
            <w:tcW w:w="1993" w:type="pct"/>
            <w:tcBorders>
              <w:top w:val="nil"/>
              <w:left w:val="nil"/>
              <w:bottom w:val="nil"/>
              <w:right w:val="nil"/>
            </w:tcBorders>
            <w:shd w:val="clear" w:color="000000" w:fill="FFFFFF"/>
            <w:noWrap/>
            <w:vAlign w:val="center"/>
            <w:hideMark/>
          </w:tcPr>
          <w:p w14:paraId="2D52AF2D" w14:textId="77777777" w:rsidR="00E565C3" w:rsidRPr="00EC4BA6" w:rsidRDefault="00E565C3" w:rsidP="00E565C3">
            <w:pPr>
              <w:spacing w:before="0" w:after="0" w:line="240" w:lineRule="auto"/>
              <w:rPr>
                <w:rFonts w:ascii="Arial" w:hAnsi="Arial" w:cs="Arial"/>
                <w:sz w:val="16"/>
                <w:szCs w:val="16"/>
              </w:rPr>
            </w:pPr>
            <w:r w:rsidRPr="00EC4BA6">
              <w:rPr>
                <w:rFonts w:ascii="Arial" w:hAnsi="Arial" w:cs="Arial"/>
                <w:sz w:val="16"/>
                <w:szCs w:val="16"/>
              </w:rPr>
              <w:t>Agricultural levies</w:t>
            </w:r>
          </w:p>
        </w:tc>
        <w:tc>
          <w:tcPr>
            <w:tcW w:w="737" w:type="pct"/>
            <w:tcBorders>
              <w:top w:val="nil"/>
              <w:left w:val="nil"/>
              <w:bottom w:val="nil"/>
              <w:right w:val="nil"/>
            </w:tcBorders>
            <w:shd w:val="clear" w:color="000000" w:fill="FFFFFF"/>
            <w:noWrap/>
            <w:vAlign w:val="center"/>
            <w:hideMark/>
          </w:tcPr>
          <w:p w14:paraId="58172B69"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682</w:t>
            </w:r>
          </w:p>
        </w:tc>
        <w:tc>
          <w:tcPr>
            <w:tcW w:w="737" w:type="pct"/>
            <w:tcBorders>
              <w:top w:val="nil"/>
              <w:left w:val="nil"/>
              <w:bottom w:val="nil"/>
              <w:right w:val="nil"/>
            </w:tcBorders>
            <w:shd w:val="clear" w:color="000000" w:fill="E6F2FF"/>
            <w:noWrap/>
            <w:vAlign w:val="center"/>
            <w:hideMark/>
          </w:tcPr>
          <w:p w14:paraId="0BE941BA"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739</w:t>
            </w:r>
          </w:p>
        </w:tc>
        <w:tc>
          <w:tcPr>
            <w:tcW w:w="58" w:type="pct"/>
            <w:tcBorders>
              <w:top w:val="nil"/>
              <w:left w:val="nil"/>
              <w:bottom w:val="nil"/>
              <w:right w:val="nil"/>
            </w:tcBorders>
            <w:shd w:val="clear" w:color="000000" w:fill="FFFFFF"/>
            <w:noWrap/>
            <w:vAlign w:val="center"/>
            <w:hideMark/>
          </w:tcPr>
          <w:p w14:paraId="0E8B233D"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 </w:t>
            </w:r>
          </w:p>
        </w:tc>
        <w:tc>
          <w:tcPr>
            <w:tcW w:w="737" w:type="pct"/>
            <w:tcBorders>
              <w:top w:val="nil"/>
              <w:left w:val="nil"/>
              <w:bottom w:val="nil"/>
              <w:right w:val="nil"/>
            </w:tcBorders>
            <w:shd w:val="clear" w:color="000000" w:fill="FFFFFF"/>
            <w:noWrap/>
            <w:vAlign w:val="center"/>
            <w:hideMark/>
          </w:tcPr>
          <w:p w14:paraId="0AD38426"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57</w:t>
            </w:r>
          </w:p>
        </w:tc>
        <w:tc>
          <w:tcPr>
            <w:tcW w:w="737" w:type="pct"/>
            <w:tcBorders>
              <w:top w:val="nil"/>
              <w:left w:val="nil"/>
              <w:bottom w:val="nil"/>
              <w:right w:val="nil"/>
            </w:tcBorders>
            <w:shd w:val="clear" w:color="000000" w:fill="FFFFFF"/>
            <w:noWrap/>
            <w:vAlign w:val="center"/>
            <w:hideMark/>
          </w:tcPr>
          <w:p w14:paraId="6F8166FD"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8.3</w:t>
            </w:r>
          </w:p>
        </w:tc>
      </w:tr>
      <w:tr w:rsidR="00E565C3" w:rsidRPr="00EC4BA6" w14:paraId="35CA83CB" w14:textId="77777777" w:rsidTr="004D0B46">
        <w:trPr>
          <w:trHeight w:hRule="exact" w:val="225"/>
        </w:trPr>
        <w:tc>
          <w:tcPr>
            <w:tcW w:w="1993" w:type="pct"/>
            <w:tcBorders>
              <w:top w:val="nil"/>
              <w:left w:val="nil"/>
              <w:bottom w:val="nil"/>
              <w:right w:val="nil"/>
            </w:tcBorders>
            <w:shd w:val="clear" w:color="000000" w:fill="FFFFFF"/>
            <w:noWrap/>
            <w:vAlign w:val="center"/>
            <w:hideMark/>
          </w:tcPr>
          <w:p w14:paraId="3A5B8079" w14:textId="77777777" w:rsidR="00E565C3" w:rsidRPr="00EC4BA6" w:rsidRDefault="00E565C3" w:rsidP="00E565C3">
            <w:pPr>
              <w:spacing w:before="0" w:after="0" w:line="240" w:lineRule="auto"/>
              <w:rPr>
                <w:rFonts w:ascii="Arial" w:hAnsi="Arial" w:cs="Arial"/>
                <w:sz w:val="16"/>
                <w:szCs w:val="16"/>
              </w:rPr>
            </w:pPr>
            <w:r w:rsidRPr="00EC4BA6">
              <w:rPr>
                <w:rFonts w:ascii="Arial" w:hAnsi="Arial" w:cs="Arial"/>
                <w:sz w:val="16"/>
                <w:szCs w:val="16"/>
              </w:rPr>
              <w:t>Visa application charges</w:t>
            </w:r>
          </w:p>
        </w:tc>
        <w:tc>
          <w:tcPr>
            <w:tcW w:w="737" w:type="pct"/>
            <w:tcBorders>
              <w:top w:val="nil"/>
              <w:left w:val="nil"/>
              <w:bottom w:val="nil"/>
              <w:right w:val="nil"/>
            </w:tcBorders>
            <w:shd w:val="clear" w:color="000000" w:fill="FFFFFF"/>
            <w:noWrap/>
            <w:vAlign w:val="center"/>
            <w:hideMark/>
          </w:tcPr>
          <w:p w14:paraId="635C6EFB"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4,147</w:t>
            </w:r>
          </w:p>
        </w:tc>
        <w:tc>
          <w:tcPr>
            <w:tcW w:w="737" w:type="pct"/>
            <w:tcBorders>
              <w:top w:val="nil"/>
              <w:left w:val="nil"/>
              <w:bottom w:val="nil"/>
              <w:right w:val="nil"/>
            </w:tcBorders>
            <w:shd w:val="clear" w:color="000000" w:fill="E6F2FF"/>
            <w:noWrap/>
            <w:vAlign w:val="center"/>
            <w:hideMark/>
          </w:tcPr>
          <w:p w14:paraId="6C1A88E5"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4,129</w:t>
            </w:r>
          </w:p>
        </w:tc>
        <w:tc>
          <w:tcPr>
            <w:tcW w:w="58" w:type="pct"/>
            <w:tcBorders>
              <w:top w:val="nil"/>
              <w:left w:val="nil"/>
              <w:bottom w:val="nil"/>
              <w:right w:val="nil"/>
            </w:tcBorders>
            <w:shd w:val="clear" w:color="000000" w:fill="FFFFFF"/>
            <w:noWrap/>
            <w:vAlign w:val="center"/>
            <w:hideMark/>
          </w:tcPr>
          <w:p w14:paraId="5102A0BE" w14:textId="77777777" w:rsidR="00E565C3" w:rsidRPr="00EC4BA6" w:rsidRDefault="00E565C3" w:rsidP="00E565C3">
            <w:pPr>
              <w:spacing w:before="0" w:after="0" w:line="240" w:lineRule="auto"/>
              <w:jc w:val="right"/>
              <w:rPr>
                <w:rFonts w:ascii="Arial" w:hAnsi="Arial" w:cs="Arial"/>
                <w:i/>
                <w:sz w:val="16"/>
                <w:szCs w:val="16"/>
              </w:rPr>
            </w:pPr>
            <w:r w:rsidRPr="00EC4BA6">
              <w:rPr>
                <w:rFonts w:ascii="Arial" w:hAnsi="Arial" w:cs="Arial"/>
                <w:i/>
                <w:sz w:val="16"/>
                <w:szCs w:val="16"/>
              </w:rPr>
              <w:t> </w:t>
            </w:r>
          </w:p>
        </w:tc>
        <w:tc>
          <w:tcPr>
            <w:tcW w:w="737" w:type="pct"/>
            <w:tcBorders>
              <w:top w:val="nil"/>
              <w:left w:val="nil"/>
              <w:bottom w:val="nil"/>
              <w:right w:val="nil"/>
            </w:tcBorders>
            <w:shd w:val="clear" w:color="000000" w:fill="FFFFFF"/>
            <w:noWrap/>
            <w:vAlign w:val="center"/>
            <w:hideMark/>
          </w:tcPr>
          <w:p w14:paraId="6CDD740F" w14:textId="0FC64574" w:rsidR="00E565C3" w:rsidRPr="00EC4BA6" w:rsidRDefault="001A3DD6" w:rsidP="00E565C3">
            <w:pPr>
              <w:spacing w:before="0" w:after="0" w:line="240" w:lineRule="auto"/>
              <w:jc w:val="right"/>
              <w:rPr>
                <w:rFonts w:ascii="Arial" w:hAnsi="Arial" w:cs="Arial"/>
                <w:sz w:val="16"/>
                <w:szCs w:val="16"/>
              </w:rPr>
            </w:pPr>
            <w:r>
              <w:rPr>
                <w:rFonts w:ascii="Arial" w:hAnsi="Arial" w:cs="Arial"/>
                <w:sz w:val="16"/>
                <w:szCs w:val="16"/>
              </w:rPr>
              <w:noBreakHyphen/>
            </w:r>
            <w:r w:rsidR="00E565C3" w:rsidRPr="00EC4BA6">
              <w:rPr>
                <w:rFonts w:ascii="Arial" w:hAnsi="Arial" w:cs="Arial"/>
                <w:sz w:val="16"/>
                <w:szCs w:val="16"/>
              </w:rPr>
              <w:t>18</w:t>
            </w:r>
          </w:p>
        </w:tc>
        <w:tc>
          <w:tcPr>
            <w:tcW w:w="737" w:type="pct"/>
            <w:tcBorders>
              <w:top w:val="nil"/>
              <w:left w:val="nil"/>
              <w:bottom w:val="nil"/>
              <w:right w:val="nil"/>
            </w:tcBorders>
            <w:shd w:val="clear" w:color="000000" w:fill="FFFFFF"/>
            <w:noWrap/>
            <w:vAlign w:val="center"/>
            <w:hideMark/>
          </w:tcPr>
          <w:p w14:paraId="06BA57E4" w14:textId="2D6B0EF0" w:rsidR="00E565C3" w:rsidRPr="00EC4BA6" w:rsidRDefault="001A3DD6" w:rsidP="00E565C3">
            <w:pPr>
              <w:spacing w:before="0" w:after="0" w:line="240" w:lineRule="auto"/>
              <w:jc w:val="right"/>
              <w:rPr>
                <w:rFonts w:ascii="Arial" w:hAnsi="Arial" w:cs="Arial"/>
                <w:sz w:val="16"/>
                <w:szCs w:val="16"/>
              </w:rPr>
            </w:pPr>
            <w:r>
              <w:rPr>
                <w:rFonts w:ascii="Arial" w:hAnsi="Arial" w:cs="Arial"/>
                <w:sz w:val="16"/>
                <w:szCs w:val="16"/>
              </w:rPr>
              <w:noBreakHyphen/>
            </w:r>
            <w:r w:rsidR="00E565C3" w:rsidRPr="00EC4BA6">
              <w:rPr>
                <w:rFonts w:ascii="Arial" w:hAnsi="Arial" w:cs="Arial"/>
                <w:sz w:val="16"/>
                <w:szCs w:val="16"/>
              </w:rPr>
              <w:t>0.4</w:t>
            </w:r>
          </w:p>
        </w:tc>
      </w:tr>
      <w:tr w:rsidR="00E565C3" w:rsidRPr="00EC4BA6" w14:paraId="74003C55" w14:textId="77777777" w:rsidTr="004D0B46">
        <w:trPr>
          <w:trHeight w:hRule="exact" w:val="225"/>
        </w:trPr>
        <w:tc>
          <w:tcPr>
            <w:tcW w:w="1993" w:type="pct"/>
            <w:tcBorders>
              <w:top w:val="nil"/>
              <w:left w:val="nil"/>
              <w:bottom w:val="nil"/>
              <w:right w:val="nil"/>
            </w:tcBorders>
            <w:shd w:val="clear" w:color="000000" w:fill="FFFFFF"/>
            <w:noWrap/>
            <w:vAlign w:val="center"/>
            <w:hideMark/>
          </w:tcPr>
          <w:p w14:paraId="352EE4E7" w14:textId="77777777" w:rsidR="00E565C3" w:rsidRPr="00EC4BA6" w:rsidRDefault="00E565C3" w:rsidP="00E565C3">
            <w:pPr>
              <w:spacing w:before="0" w:after="0" w:line="240" w:lineRule="auto"/>
              <w:rPr>
                <w:rFonts w:ascii="Arial" w:hAnsi="Arial" w:cs="Arial"/>
                <w:sz w:val="16"/>
                <w:szCs w:val="16"/>
              </w:rPr>
            </w:pPr>
            <w:r w:rsidRPr="00EC4BA6">
              <w:rPr>
                <w:rFonts w:ascii="Arial" w:hAnsi="Arial" w:cs="Arial"/>
                <w:sz w:val="16"/>
                <w:szCs w:val="16"/>
              </w:rPr>
              <w:t>Other taxes</w:t>
            </w:r>
          </w:p>
        </w:tc>
        <w:tc>
          <w:tcPr>
            <w:tcW w:w="737" w:type="pct"/>
            <w:tcBorders>
              <w:top w:val="nil"/>
              <w:left w:val="nil"/>
              <w:bottom w:val="single" w:sz="4" w:space="0" w:color="auto"/>
              <w:right w:val="nil"/>
            </w:tcBorders>
            <w:shd w:val="clear" w:color="000000" w:fill="FFFFFF"/>
            <w:noWrap/>
            <w:vAlign w:val="center"/>
            <w:hideMark/>
          </w:tcPr>
          <w:p w14:paraId="631049CF"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7,850</w:t>
            </w:r>
          </w:p>
        </w:tc>
        <w:tc>
          <w:tcPr>
            <w:tcW w:w="737" w:type="pct"/>
            <w:tcBorders>
              <w:top w:val="nil"/>
              <w:left w:val="nil"/>
              <w:bottom w:val="single" w:sz="4" w:space="0" w:color="auto"/>
              <w:right w:val="nil"/>
            </w:tcBorders>
            <w:shd w:val="clear" w:color="000000" w:fill="E6F2FF"/>
            <w:noWrap/>
            <w:vAlign w:val="center"/>
            <w:hideMark/>
          </w:tcPr>
          <w:p w14:paraId="02EC6684"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7,710</w:t>
            </w:r>
          </w:p>
        </w:tc>
        <w:tc>
          <w:tcPr>
            <w:tcW w:w="58" w:type="pct"/>
            <w:tcBorders>
              <w:top w:val="nil"/>
              <w:left w:val="nil"/>
              <w:bottom w:val="nil"/>
              <w:right w:val="nil"/>
            </w:tcBorders>
            <w:shd w:val="clear" w:color="000000" w:fill="FFFFFF"/>
            <w:noWrap/>
            <w:vAlign w:val="center"/>
            <w:hideMark/>
          </w:tcPr>
          <w:p w14:paraId="42258109"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 </w:t>
            </w:r>
          </w:p>
        </w:tc>
        <w:tc>
          <w:tcPr>
            <w:tcW w:w="737" w:type="pct"/>
            <w:tcBorders>
              <w:top w:val="nil"/>
              <w:left w:val="nil"/>
              <w:bottom w:val="single" w:sz="4" w:space="0" w:color="auto"/>
              <w:right w:val="nil"/>
            </w:tcBorders>
            <w:shd w:val="clear" w:color="000000" w:fill="FFFFFF"/>
            <w:noWrap/>
            <w:vAlign w:val="center"/>
            <w:hideMark/>
          </w:tcPr>
          <w:p w14:paraId="33D4211F" w14:textId="5EF76BEE" w:rsidR="00E565C3" w:rsidRPr="00EC4BA6" w:rsidRDefault="001A3DD6" w:rsidP="00E565C3">
            <w:pPr>
              <w:spacing w:before="0" w:after="0" w:line="240" w:lineRule="auto"/>
              <w:jc w:val="right"/>
              <w:rPr>
                <w:rFonts w:ascii="Arial" w:hAnsi="Arial" w:cs="Arial"/>
                <w:sz w:val="16"/>
                <w:szCs w:val="16"/>
              </w:rPr>
            </w:pPr>
            <w:r>
              <w:rPr>
                <w:rFonts w:ascii="Arial" w:hAnsi="Arial" w:cs="Arial"/>
                <w:sz w:val="16"/>
                <w:szCs w:val="16"/>
              </w:rPr>
              <w:noBreakHyphen/>
            </w:r>
            <w:r w:rsidR="00E565C3" w:rsidRPr="00EC4BA6">
              <w:rPr>
                <w:rFonts w:ascii="Arial" w:hAnsi="Arial" w:cs="Arial"/>
                <w:sz w:val="16"/>
                <w:szCs w:val="16"/>
              </w:rPr>
              <w:t>140</w:t>
            </w:r>
          </w:p>
        </w:tc>
        <w:tc>
          <w:tcPr>
            <w:tcW w:w="737" w:type="pct"/>
            <w:tcBorders>
              <w:top w:val="nil"/>
              <w:left w:val="nil"/>
              <w:bottom w:val="single" w:sz="4" w:space="0" w:color="auto"/>
              <w:right w:val="nil"/>
            </w:tcBorders>
            <w:shd w:val="clear" w:color="000000" w:fill="FFFFFF"/>
            <w:noWrap/>
            <w:vAlign w:val="center"/>
            <w:hideMark/>
          </w:tcPr>
          <w:p w14:paraId="6C076D7D" w14:textId="3FFC825A" w:rsidR="00E565C3" w:rsidRPr="00EC4BA6" w:rsidRDefault="001A3DD6" w:rsidP="00E565C3">
            <w:pPr>
              <w:spacing w:before="0" w:after="0" w:line="240" w:lineRule="auto"/>
              <w:jc w:val="right"/>
              <w:rPr>
                <w:rFonts w:ascii="Arial" w:hAnsi="Arial" w:cs="Arial"/>
                <w:sz w:val="16"/>
                <w:szCs w:val="16"/>
              </w:rPr>
            </w:pPr>
            <w:r>
              <w:rPr>
                <w:rFonts w:ascii="Arial" w:hAnsi="Arial" w:cs="Arial"/>
                <w:sz w:val="16"/>
                <w:szCs w:val="16"/>
              </w:rPr>
              <w:noBreakHyphen/>
            </w:r>
            <w:r w:rsidR="00E565C3" w:rsidRPr="00EC4BA6">
              <w:rPr>
                <w:rFonts w:ascii="Arial" w:hAnsi="Arial" w:cs="Arial"/>
                <w:sz w:val="16"/>
                <w:szCs w:val="16"/>
              </w:rPr>
              <w:t>1.8</w:t>
            </w:r>
          </w:p>
        </w:tc>
      </w:tr>
      <w:tr w:rsidR="00E565C3" w:rsidRPr="00EC4BA6" w14:paraId="2F37B943" w14:textId="77777777" w:rsidTr="004D0B46">
        <w:trPr>
          <w:trHeight w:hRule="exact" w:val="225"/>
        </w:trPr>
        <w:tc>
          <w:tcPr>
            <w:tcW w:w="1993" w:type="pct"/>
            <w:tcBorders>
              <w:top w:val="nil"/>
              <w:left w:val="nil"/>
              <w:bottom w:val="nil"/>
              <w:right w:val="nil"/>
            </w:tcBorders>
            <w:shd w:val="clear" w:color="000000" w:fill="FFFFFF"/>
            <w:noWrap/>
            <w:vAlign w:val="center"/>
            <w:hideMark/>
          </w:tcPr>
          <w:p w14:paraId="481786AF" w14:textId="77777777" w:rsidR="00E565C3" w:rsidRPr="00EC4BA6" w:rsidRDefault="00E565C3" w:rsidP="00E565C3">
            <w:pPr>
              <w:spacing w:before="0" w:after="0" w:line="240" w:lineRule="auto"/>
              <w:rPr>
                <w:rFonts w:ascii="Arial" w:hAnsi="Arial" w:cs="Arial"/>
                <w:b/>
                <w:sz w:val="16"/>
                <w:szCs w:val="16"/>
              </w:rPr>
            </w:pPr>
            <w:r w:rsidRPr="00EC4BA6">
              <w:rPr>
                <w:rFonts w:ascii="Arial" w:hAnsi="Arial" w:cs="Arial"/>
                <w:b/>
                <w:sz w:val="16"/>
                <w:szCs w:val="16"/>
              </w:rPr>
              <w:t>Indirect taxation revenue</w:t>
            </w:r>
          </w:p>
        </w:tc>
        <w:tc>
          <w:tcPr>
            <w:tcW w:w="737" w:type="pct"/>
            <w:tcBorders>
              <w:top w:val="single" w:sz="4" w:space="0" w:color="293F5B"/>
              <w:left w:val="nil"/>
              <w:bottom w:val="single" w:sz="4" w:space="0" w:color="293F5B"/>
              <w:right w:val="nil"/>
            </w:tcBorders>
            <w:shd w:val="clear" w:color="000000" w:fill="FFFFFF"/>
            <w:noWrap/>
            <w:vAlign w:val="center"/>
            <w:hideMark/>
          </w:tcPr>
          <w:p w14:paraId="4996C084" w14:textId="77777777" w:rsidR="00E565C3" w:rsidRPr="00EC4BA6" w:rsidRDefault="00E565C3" w:rsidP="00E565C3">
            <w:pPr>
              <w:spacing w:before="0" w:after="0" w:line="240" w:lineRule="auto"/>
              <w:jc w:val="right"/>
              <w:rPr>
                <w:rFonts w:ascii="Arial" w:hAnsi="Arial" w:cs="Arial"/>
                <w:b/>
                <w:sz w:val="16"/>
                <w:szCs w:val="16"/>
              </w:rPr>
            </w:pPr>
            <w:r w:rsidRPr="00EC4BA6">
              <w:rPr>
                <w:rFonts w:ascii="Arial" w:hAnsi="Arial" w:cs="Arial"/>
                <w:b/>
                <w:sz w:val="16"/>
                <w:szCs w:val="16"/>
              </w:rPr>
              <w:t>155,449</w:t>
            </w:r>
          </w:p>
        </w:tc>
        <w:tc>
          <w:tcPr>
            <w:tcW w:w="737" w:type="pct"/>
            <w:tcBorders>
              <w:top w:val="single" w:sz="4" w:space="0" w:color="293F5B"/>
              <w:left w:val="nil"/>
              <w:bottom w:val="single" w:sz="4" w:space="0" w:color="293F5B"/>
              <w:right w:val="nil"/>
            </w:tcBorders>
            <w:shd w:val="clear" w:color="000000" w:fill="E6F2FF"/>
            <w:noWrap/>
            <w:vAlign w:val="center"/>
            <w:hideMark/>
          </w:tcPr>
          <w:p w14:paraId="376452BB" w14:textId="77777777" w:rsidR="00E565C3" w:rsidRPr="00EC4BA6" w:rsidRDefault="00E565C3" w:rsidP="00E565C3">
            <w:pPr>
              <w:spacing w:before="0" w:after="0" w:line="240" w:lineRule="auto"/>
              <w:jc w:val="right"/>
              <w:rPr>
                <w:rFonts w:ascii="Arial" w:hAnsi="Arial" w:cs="Arial"/>
                <w:b/>
                <w:sz w:val="16"/>
                <w:szCs w:val="16"/>
              </w:rPr>
            </w:pPr>
            <w:r w:rsidRPr="00EC4BA6">
              <w:rPr>
                <w:rFonts w:ascii="Arial" w:hAnsi="Arial" w:cs="Arial"/>
                <w:b/>
                <w:sz w:val="16"/>
                <w:szCs w:val="16"/>
              </w:rPr>
              <w:t>153,508</w:t>
            </w:r>
          </w:p>
        </w:tc>
        <w:tc>
          <w:tcPr>
            <w:tcW w:w="58" w:type="pct"/>
            <w:tcBorders>
              <w:top w:val="nil"/>
              <w:left w:val="nil"/>
              <w:bottom w:val="nil"/>
              <w:right w:val="nil"/>
            </w:tcBorders>
            <w:shd w:val="clear" w:color="000000" w:fill="FFFFFF"/>
            <w:noWrap/>
            <w:vAlign w:val="center"/>
            <w:hideMark/>
          </w:tcPr>
          <w:p w14:paraId="1EC6B46A" w14:textId="77777777" w:rsidR="00E565C3" w:rsidRPr="00EC4BA6" w:rsidRDefault="00E565C3" w:rsidP="00E565C3">
            <w:pPr>
              <w:spacing w:before="0" w:after="0" w:line="240" w:lineRule="auto"/>
              <w:jc w:val="right"/>
              <w:rPr>
                <w:rFonts w:ascii="Arial" w:hAnsi="Arial" w:cs="Arial"/>
                <w:b/>
                <w:sz w:val="16"/>
                <w:szCs w:val="16"/>
              </w:rPr>
            </w:pPr>
            <w:r w:rsidRPr="00EC4BA6">
              <w:rPr>
                <w:rFonts w:ascii="Arial" w:hAnsi="Arial" w:cs="Arial"/>
                <w:b/>
                <w:sz w:val="16"/>
                <w:szCs w:val="16"/>
              </w:rPr>
              <w:t> </w:t>
            </w:r>
          </w:p>
        </w:tc>
        <w:tc>
          <w:tcPr>
            <w:tcW w:w="737" w:type="pct"/>
            <w:tcBorders>
              <w:top w:val="single" w:sz="4" w:space="0" w:color="293F5B"/>
              <w:left w:val="nil"/>
              <w:bottom w:val="single" w:sz="4" w:space="0" w:color="293F5B"/>
              <w:right w:val="nil"/>
            </w:tcBorders>
            <w:shd w:val="clear" w:color="000000" w:fill="FFFFFF"/>
            <w:noWrap/>
            <w:vAlign w:val="center"/>
            <w:hideMark/>
          </w:tcPr>
          <w:p w14:paraId="4804103D" w14:textId="008DCDA8" w:rsidR="00E565C3" w:rsidRPr="00EC4BA6" w:rsidRDefault="001A3DD6" w:rsidP="00E565C3">
            <w:pPr>
              <w:spacing w:before="0" w:after="0" w:line="240" w:lineRule="auto"/>
              <w:jc w:val="right"/>
              <w:rPr>
                <w:rFonts w:ascii="Arial" w:hAnsi="Arial" w:cs="Arial"/>
                <w:b/>
                <w:sz w:val="16"/>
                <w:szCs w:val="16"/>
              </w:rPr>
            </w:pPr>
            <w:r>
              <w:rPr>
                <w:rFonts w:ascii="Arial" w:hAnsi="Arial" w:cs="Arial"/>
                <w:b/>
                <w:sz w:val="16"/>
                <w:szCs w:val="16"/>
              </w:rPr>
              <w:noBreakHyphen/>
            </w:r>
            <w:r w:rsidR="00E565C3" w:rsidRPr="00EC4BA6">
              <w:rPr>
                <w:rFonts w:ascii="Arial" w:hAnsi="Arial" w:cs="Arial"/>
                <w:b/>
                <w:sz w:val="16"/>
                <w:szCs w:val="16"/>
              </w:rPr>
              <w:t>1,941</w:t>
            </w:r>
          </w:p>
        </w:tc>
        <w:tc>
          <w:tcPr>
            <w:tcW w:w="737" w:type="pct"/>
            <w:tcBorders>
              <w:top w:val="single" w:sz="4" w:space="0" w:color="293F5B"/>
              <w:left w:val="nil"/>
              <w:bottom w:val="single" w:sz="4" w:space="0" w:color="293F5B"/>
              <w:right w:val="nil"/>
            </w:tcBorders>
            <w:shd w:val="clear" w:color="000000" w:fill="FFFFFF"/>
            <w:noWrap/>
            <w:vAlign w:val="center"/>
            <w:hideMark/>
          </w:tcPr>
          <w:p w14:paraId="5EEFC3CF" w14:textId="2A335D81" w:rsidR="00E565C3" w:rsidRPr="00EC4BA6" w:rsidRDefault="001A3DD6" w:rsidP="00E565C3">
            <w:pPr>
              <w:spacing w:before="0" w:after="0" w:line="240" w:lineRule="auto"/>
              <w:jc w:val="right"/>
              <w:rPr>
                <w:rFonts w:ascii="Arial" w:hAnsi="Arial" w:cs="Arial"/>
                <w:b/>
                <w:sz w:val="16"/>
                <w:szCs w:val="16"/>
              </w:rPr>
            </w:pPr>
            <w:r>
              <w:rPr>
                <w:rFonts w:ascii="Arial" w:hAnsi="Arial" w:cs="Arial"/>
                <w:b/>
                <w:sz w:val="16"/>
                <w:szCs w:val="16"/>
              </w:rPr>
              <w:noBreakHyphen/>
            </w:r>
            <w:r w:rsidR="00E565C3" w:rsidRPr="00EC4BA6">
              <w:rPr>
                <w:rFonts w:ascii="Arial" w:hAnsi="Arial" w:cs="Arial"/>
                <w:b/>
                <w:sz w:val="16"/>
                <w:szCs w:val="16"/>
              </w:rPr>
              <w:t>1.2</w:t>
            </w:r>
          </w:p>
        </w:tc>
      </w:tr>
      <w:tr w:rsidR="00E565C3" w:rsidRPr="00EC4BA6" w14:paraId="25513DEC" w14:textId="77777777" w:rsidTr="004D0B46">
        <w:trPr>
          <w:trHeight w:hRule="exact" w:val="225"/>
        </w:trPr>
        <w:tc>
          <w:tcPr>
            <w:tcW w:w="1993" w:type="pct"/>
            <w:tcBorders>
              <w:top w:val="nil"/>
              <w:left w:val="nil"/>
              <w:bottom w:val="nil"/>
              <w:right w:val="nil"/>
            </w:tcBorders>
            <w:shd w:val="clear" w:color="000000" w:fill="FFFFFF"/>
            <w:noWrap/>
            <w:vAlign w:val="center"/>
            <w:hideMark/>
          </w:tcPr>
          <w:p w14:paraId="07CB09BF" w14:textId="77777777" w:rsidR="00E565C3" w:rsidRPr="00EC4BA6" w:rsidRDefault="00E565C3" w:rsidP="00E565C3">
            <w:pPr>
              <w:spacing w:before="0" w:after="0" w:line="240" w:lineRule="auto"/>
              <w:rPr>
                <w:rFonts w:ascii="Arial" w:hAnsi="Arial" w:cs="Arial"/>
                <w:b/>
                <w:sz w:val="16"/>
                <w:szCs w:val="16"/>
              </w:rPr>
            </w:pPr>
            <w:r w:rsidRPr="00EC4BA6">
              <w:rPr>
                <w:rFonts w:ascii="Arial" w:hAnsi="Arial" w:cs="Arial"/>
                <w:b/>
                <w:sz w:val="16"/>
                <w:szCs w:val="16"/>
              </w:rPr>
              <w:t>Taxation revenue</w:t>
            </w:r>
          </w:p>
        </w:tc>
        <w:tc>
          <w:tcPr>
            <w:tcW w:w="737" w:type="pct"/>
            <w:tcBorders>
              <w:top w:val="nil"/>
              <w:left w:val="nil"/>
              <w:bottom w:val="single" w:sz="4" w:space="0" w:color="293F5B"/>
              <w:right w:val="nil"/>
            </w:tcBorders>
            <w:shd w:val="clear" w:color="000000" w:fill="FFFFFF"/>
            <w:noWrap/>
            <w:vAlign w:val="center"/>
            <w:hideMark/>
          </w:tcPr>
          <w:p w14:paraId="1341A607" w14:textId="77777777" w:rsidR="00E565C3" w:rsidRPr="00EC4BA6" w:rsidRDefault="00E565C3" w:rsidP="00E565C3">
            <w:pPr>
              <w:spacing w:before="0" w:after="0" w:line="240" w:lineRule="auto"/>
              <w:jc w:val="right"/>
              <w:rPr>
                <w:rFonts w:ascii="Arial" w:hAnsi="Arial" w:cs="Arial"/>
                <w:b/>
                <w:sz w:val="16"/>
                <w:szCs w:val="16"/>
              </w:rPr>
            </w:pPr>
            <w:r w:rsidRPr="00EC4BA6">
              <w:rPr>
                <w:rFonts w:ascii="Arial" w:hAnsi="Arial" w:cs="Arial"/>
                <w:b/>
                <w:sz w:val="16"/>
                <w:szCs w:val="16"/>
              </w:rPr>
              <w:t>663,609</w:t>
            </w:r>
          </w:p>
        </w:tc>
        <w:tc>
          <w:tcPr>
            <w:tcW w:w="737" w:type="pct"/>
            <w:tcBorders>
              <w:top w:val="nil"/>
              <w:left w:val="nil"/>
              <w:bottom w:val="single" w:sz="4" w:space="0" w:color="293F5B"/>
              <w:right w:val="nil"/>
            </w:tcBorders>
            <w:shd w:val="clear" w:color="000000" w:fill="E6F2FF"/>
            <w:noWrap/>
            <w:vAlign w:val="center"/>
            <w:hideMark/>
          </w:tcPr>
          <w:p w14:paraId="588B1283" w14:textId="77777777" w:rsidR="00E565C3" w:rsidRPr="00EC4BA6" w:rsidRDefault="00E565C3" w:rsidP="00E565C3">
            <w:pPr>
              <w:spacing w:before="0" w:after="0" w:line="240" w:lineRule="auto"/>
              <w:jc w:val="right"/>
              <w:rPr>
                <w:rFonts w:ascii="Arial" w:hAnsi="Arial" w:cs="Arial"/>
                <w:b/>
                <w:sz w:val="16"/>
                <w:szCs w:val="16"/>
              </w:rPr>
            </w:pPr>
            <w:r w:rsidRPr="00EC4BA6">
              <w:rPr>
                <w:rFonts w:ascii="Arial" w:hAnsi="Arial" w:cs="Arial"/>
                <w:b/>
                <w:sz w:val="16"/>
                <w:szCs w:val="16"/>
              </w:rPr>
              <w:t>663,208</w:t>
            </w:r>
          </w:p>
        </w:tc>
        <w:tc>
          <w:tcPr>
            <w:tcW w:w="58" w:type="pct"/>
            <w:tcBorders>
              <w:top w:val="nil"/>
              <w:left w:val="nil"/>
              <w:bottom w:val="nil"/>
              <w:right w:val="nil"/>
            </w:tcBorders>
            <w:shd w:val="clear" w:color="000000" w:fill="FFFFFF"/>
            <w:noWrap/>
            <w:vAlign w:val="center"/>
            <w:hideMark/>
          </w:tcPr>
          <w:p w14:paraId="6A521FBA" w14:textId="77777777" w:rsidR="00E565C3" w:rsidRPr="00EC4BA6" w:rsidRDefault="00E565C3" w:rsidP="00E565C3">
            <w:pPr>
              <w:spacing w:before="0" w:after="0" w:line="240" w:lineRule="auto"/>
              <w:jc w:val="right"/>
              <w:rPr>
                <w:rFonts w:ascii="Arial" w:hAnsi="Arial" w:cs="Arial"/>
                <w:b/>
                <w:sz w:val="16"/>
                <w:szCs w:val="16"/>
              </w:rPr>
            </w:pPr>
            <w:r w:rsidRPr="00EC4BA6">
              <w:rPr>
                <w:rFonts w:ascii="Arial" w:hAnsi="Arial" w:cs="Arial"/>
                <w:b/>
                <w:sz w:val="16"/>
                <w:szCs w:val="16"/>
              </w:rPr>
              <w:t> </w:t>
            </w:r>
          </w:p>
        </w:tc>
        <w:tc>
          <w:tcPr>
            <w:tcW w:w="737" w:type="pct"/>
            <w:tcBorders>
              <w:top w:val="nil"/>
              <w:left w:val="nil"/>
              <w:bottom w:val="single" w:sz="4" w:space="0" w:color="293F5B"/>
              <w:right w:val="nil"/>
            </w:tcBorders>
            <w:shd w:val="clear" w:color="000000" w:fill="FFFFFF"/>
            <w:noWrap/>
            <w:vAlign w:val="center"/>
            <w:hideMark/>
          </w:tcPr>
          <w:p w14:paraId="6B98113D" w14:textId="2B8FFE3F" w:rsidR="00E565C3" w:rsidRPr="00EC4BA6" w:rsidRDefault="001A3DD6" w:rsidP="00E565C3">
            <w:pPr>
              <w:spacing w:before="0" w:after="0" w:line="240" w:lineRule="auto"/>
              <w:jc w:val="right"/>
              <w:rPr>
                <w:rFonts w:ascii="Arial" w:hAnsi="Arial" w:cs="Arial"/>
                <w:b/>
                <w:sz w:val="16"/>
                <w:szCs w:val="16"/>
              </w:rPr>
            </w:pPr>
            <w:r>
              <w:rPr>
                <w:rFonts w:ascii="Arial" w:hAnsi="Arial" w:cs="Arial"/>
                <w:b/>
                <w:sz w:val="16"/>
                <w:szCs w:val="16"/>
              </w:rPr>
              <w:noBreakHyphen/>
            </w:r>
            <w:r w:rsidR="00E565C3" w:rsidRPr="00EC4BA6">
              <w:rPr>
                <w:rFonts w:ascii="Arial" w:hAnsi="Arial" w:cs="Arial"/>
                <w:b/>
                <w:sz w:val="16"/>
                <w:szCs w:val="16"/>
              </w:rPr>
              <w:t>401</w:t>
            </w:r>
          </w:p>
        </w:tc>
        <w:tc>
          <w:tcPr>
            <w:tcW w:w="737" w:type="pct"/>
            <w:tcBorders>
              <w:top w:val="nil"/>
              <w:left w:val="nil"/>
              <w:bottom w:val="single" w:sz="4" w:space="0" w:color="293F5B"/>
              <w:right w:val="nil"/>
            </w:tcBorders>
            <w:shd w:val="clear" w:color="000000" w:fill="FFFFFF"/>
            <w:noWrap/>
            <w:vAlign w:val="center"/>
            <w:hideMark/>
          </w:tcPr>
          <w:p w14:paraId="43DA35DD" w14:textId="46421C33" w:rsidR="00E565C3" w:rsidRPr="00EC4BA6" w:rsidRDefault="001A3DD6" w:rsidP="00E565C3">
            <w:pPr>
              <w:spacing w:before="0" w:after="0" w:line="240" w:lineRule="auto"/>
              <w:jc w:val="right"/>
              <w:rPr>
                <w:rFonts w:ascii="Arial" w:hAnsi="Arial" w:cs="Arial"/>
                <w:b/>
                <w:sz w:val="16"/>
                <w:szCs w:val="16"/>
              </w:rPr>
            </w:pPr>
            <w:r>
              <w:rPr>
                <w:rFonts w:ascii="Arial" w:hAnsi="Arial" w:cs="Arial"/>
                <w:b/>
                <w:sz w:val="16"/>
                <w:szCs w:val="16"/>
              </w:rPr>
              <w:noBreakHyphen/>
            </w:r>
            <w:r w:rsidR="00E565C3" w:rsidRPr="00EC4BA6">
              <w:rPr>
                <w:rFonts w:ascii="Arial" w:hAnsi="Arial" w:cs="Arial"/>
                <w:b/>
                <w:sz w:val="16"/>
                <w:szCs w:val="16"/>
              </w:rPr>
              <w:t>0.1</w:t>
            </w:r>
          </w:p>
        </w:tc>
      </w:tr>
      <w:tr w:rsidR="00E565C3" w:rsidRPr="00EC4BA6" w14:paraId="5C6C6200" w14:textId="77777777" w:rsidTr="004D0B46">
        <w:trPr>
          <w:trHeight w:hRule="exact" w:val="60"/>
        </w:trPr>
        <w:tc>
          <w:tcPr>
            <w:tcW w:w="1993" w:type="pct"/>
            <w:tcBorders>
              <w:top w:val="nil"/>
              <w:left w:val="nil"/>
              <w:bottom w:val="nil"/>
              <w:right w:val="nil"/>
            </w:tcBorders>
            <w:shd w:val="clear" w:color="000000" w:fill="FFFFFF"/>
            <w:noWrap/>
            <w:vAlign w:val="center"/>
            <w:hideMark/>
          </w:tcPr>
          <w:p w14:paraId="38C14A05" w14:textId="77777777" w:rsidR="00E565C3" w:rsidRPr="00EC4BA6" w:rsidRDefault="00E565C3" w:rsidP="00E565C3">
            <w:pPr>
              <w:spacing w:before="0" w:after="0" w:line="240" w:lineRule="auto"/>
              <w:rPr>
                <w:rFonts w:ascii="Arial" w:hAnsi="Arial" w:cs="Arial"/>
                <w:b/>
                <w:sz w:val="16"/>
                <w:szCs w:val="16"/>
              </w:rPr>
            </w:pPr>
            <w:r w:rsidRPr="00EC4BA6">
              <w:rPr>
                <w:rFonts w:ascii="Arial" w:hAnsi="Arial" w:cs="Arial"/>
                <w:b/>
                <w:sz w:val="16"/>
                <w:szCs w:val="16"/>
              </w:rPr>
              <w:t> </w:t>
            </w:r>
          </w:p>
        </w:tc>
        <w:tc>
          <w:tcPr>
            <w:tcW w:w="737" w:type="pct"/>
            <w:tcBorders>
              <w:top w:val="nil"/>
              <w:left w:val="nil"/>
              <w:bottom w:val="nil"/>
              <w:right w:val="nil"/>
            </w:tcBorders>
            <w:shd w:val="clear" w:color="000000" w:fill="FFFFFF"/>
            <w:noWrap/>
            <w:vAlign w:val="center"/>
            <w:hideMark/>
          </w:tcPr>
          <w:p w14:paraId="6A418000" w14:textId="77777777" w:rsidR="00E565C3" w:rsidRPr="00EC4BA6" w:rsidRDefault="00E565C3" w:rsidP="00E565C3">
            <w:pPr>
              <w:spacing w:before="0" w:after="0" w:line="240" w:lineRule="auto"/>
              <w:jc w:val="right"/>
              <w:rPr>
                <w:rFonts w:ascii="Arial" w:hAnsi="Arial" w:cs="Arial"/>
                <w:b/>
                <w:sz w:val="16"/>
                <w:szCs w:val="16"/>
              </w:rPr>
            </w:pPr>
            <w:r w:rsidRPr="00EC4BA6">
              <w:rPr>
                <w:rFonts w:ascii="Arial" w:hAnsi="Arial" w:cs="Arial"/>
                <w:b/>
                <w:sz w:val="16"/>
                <w:szCs w:val="16"/>
              </w:rPr>
              <w:t> </w:t>
            </w:r>
          </w:p>
        </w:tc>
        <w:tc>
          <w:tcPr>
            <w:tcW w:w="737" w:type="pct"/>
            <w:tcBorders>
              <w:top w:val="nil"/>
              <w:left w:val="nil"/>
              <w:bottom w:val="nil"/>
              <w:right w:val="nil"/>
            </w:tcBorders>
            <w:shd w:val="clear" w:color="000000" w:fill="E6F2FF"/>
            <w:noWrap/>
            <w:vAlign w:val="center"/>
            <w:hideMark/>
          </w:tcPr>
          <w:p w14:paraId="6DD86633" w14:textId="77777777" w:rsidR="00E565C3" w:rsidRPr="00EC4BA6" w:rsidRDefault="00E565C3" w:rsidP="00E565C3">
            <w:pPr>
              <w:spacing w:before="0" w:after="0" w:line="240" w:lineRule="auto"/>
              <w:jc w:val="right"/>
              <w:rPr>
                <w:rFonts w:ascii="Arial" w:hAnsi="Arial" w:cs="Arial"/>
                <w:b/>
                <w:sz w:val="16"/>
                <w:szCs w:val="16"/>
              </w:rPr>
            </w:pPr>
            <w:r w:rsidRPr="00EC4BA6">
              <w:rPr>
                <w:rFonts w:ascii="Arial" w:hAnsi="Arial" w:cs="Arial"/>
                <w:b/>
                <w:sz w:val="16"/>
                <w:szCs w:val="16"/>
              </w:rPr>
              <w:t> </w:t>
            </w:r>
          </w:p>
        </w:tc>
        <w:tc>
          <w:tcPr>
            <w:tcW w:w="58" w:type="pct"/>
            <w:tcBorders>
              <w:top w:val="nil"/>
              <w:left w:val="nil"/>
              <w:bottom w:val="nil"/>
              <w:right w:val="nil"/>
            </w:tcBorders>
            <w:shd w:val="clear" w:color="000000" w:fill="FFFFFF"/>
            <w:noWrap/>
            <w:vAlign w:val="center"/>
            <w:hideMark/>
          </w:tcPr>
          <w:p w14:paraId="21D5A971" w14:textId="77777777" w:rsidR="00E565C3" w:rsidRPr="00EC4BA6" w:rsidRDefault="00E565C3" w:rsidP="00E565C3">
            <w:pPr>
              <w:spacing w:before="0" w:after="0" w:line="240" w:lineRule="auto"/>
              <w:jc w:val="right"/>
              <w:rPr>
                <w:rFonts w:ascii="Arial" w:hAnsi="Arial" w:cs="Arial"/>
                <w:b/>
                <w:sz w:val="16"/>
                <w:szCs w:val="16"/>
              </w:rPr>
            </w:pPr>
            <w:r w:rsidRPr="00EC4BA6">
              <w:rPr>
                <w:rFonts w:ascii="Arial" w:hAnsi="Arial" w:cs="Arial"/>
                <w:b/>
                <w:sz w:val="16"/>
                <w:szCs w:val="16"/>
              </w:rPr>
              <w:t> </w:t>
            </w:r>
          </w:p>
        </w:tc>
        <w:tc>
          <w:tcPr>
            <w:tcW w:w="737" w:type="pct"/>
            <w:tcBorders>
              <w:top w:val="nil"/>
              <w:left w:val="nil"/>
              <w:bottom w:val="nil"/>
              <w:right w:val="nil"/>
            </w:tcBorders>
            <w:shd w:val="clear" w:color="000000" w:fill="FFFFFF"/>
            <w:noWrap/>
            <w:vAlign w:val="center"/>
            <w:hideMark/>
          </w:tcPr>
          <w:p w14:paraId="1CD211B8" w14:textId="77777777" w:rsidR="00E565C3" w:rsidRPr="00EC4BA6" w:rsidRDefault="00E565C3" w:rsidP="00E565C3">
            <w:pPr>
              <w:spacing w:before="0" w:after="0" w:line="240" w:lineRule="auto"/>
              <w:jc w:val="right"/>
              <w:rPr>
                <w:rFonts w:ascii="Arial" w:hAnsi="Arial" w:cs="Arial"/>
                <w:b/>
                <w:sz w:val="16"/>
                <w:szCs w:val="16"/>
              </w:rPr>
            </w:pPr>
            <w:r w:rsidRPr="00EC4BA6">
              <w:rPr>
                <w:rFonts w:ascii="Arial" w:hAnsi="Arial" w:cs="Arial"/>
                <w:b/>
                <w:sz w:val="16"/>
                <w:szCs w:val="16"/>
              </w:rPr>
              <w:t> </w:t>
            </w:r>
          </w:p>
        </w:tc>
        <w:tc>
          <w:tcPr>
            <w:tcW w:w="737" w:type="pct"/>
            <w:tcBorders>
              <w:top w:val="nil"/>
              <w:left w:val="nil"/>
              <w:bottom w:val="nil"/>
              <w:right w:val="nil"/>
            </w:tcBorders>
            <w:shd w:val="clear" w:color="000000" w:fill="FFFFFF"/>
            <w:noWrap/>
            <w:vAlign w:val="center"/>
            <w:hideMark/>
          </w:tcPr>
          <w:p w14:paraId="41FE8620" w14:textId="77777777" w:rsidR="00E565C3" w:rsidRPr="00EC4BA6" w:rsidRDefault="00E565C3" w:rsidP="00E565C3">
            <w:pPr>
              <w:spacing w:before="0" w:after="0" w:line="240" w:lineRule="auto"/>
              <w:jc w:val="right"/>
              <w:rPr>
                <w:rFonts w:ascii="Arial" w:hAnsi="Arial" w:cs="Arial"/>
                <w:b/>
                <w:sz w:val="16"/>
                <w:szCs w:val="16"/>
              </w:rPr>
            </w:pPr>
            <w:r w:rsidRPr="00EC4BA6">
              <w:rPr>
                <w:rFonts w:ascii="Arial" w:hAnsi="Arial" w:cs="Arial"/>
                <w:b/>
                <w:sz w:val="16"/>
                <w:szCs w:val="16"/>
              </w:rPr>
              <w:t> </w:t>
            </w:r>
          </w:p>
        </w:tc>
      </w:tr>
      <w:tr w:rsidR="00E565C3" w:rsidRPr="00EC4BA6" w14:paraId="08F5E142" w14:textId="77777777" w:rsidTr="004D0B46">
        <w:trPr>
          <w:trHeight w:hRule="exact" w:val="225"/>
        </w:trPr>
        <w:tc>
          <w:tcPr>
            <w:tcW w:w="1993" w:type="pct"/>
            <w:tcBorders>
              <w:top w:val="nil"/>
              <w:left w:val="nil"/>
              <w:bottom w:val="nil"/>
              <w:right w:val="nil"/>
            </w:tcBorders>
            <w:shd w:val="clear" w:color="000000" w:fill="FFFFFF"/>
            <w:noWrap/>
            <w:vAlign w:val="center"/>
            <w:hideMark/>
          </w:tcPr>
          <w:p w14:paraId="44F874D0" w14:textId="77777777" w:rsidR="00E565C3" w:rsidRPr="00EC4BA6" w:rsidRDefault="00E565C3" w:rsidP="00E565C3">
            <w:pPr>
              <w:spacing w:before="0" w:after="0" w:line="240" w:lineRule="auto"/>
              <w:rPr>
                <w:rFonts w:ascii="Arial" w:hAnsi="Arial" w:cs="Arial"/>
                <w:sz w:val="16"/>
                <w:szCs w:val="16"/>
              </w:rPr>
            </w:pPr>
            <w:r w:rsidRPr="00EC4BA6">
              <w:rPr>
                <w:rFonts w:ascii="Arial" w:hAnsi="Arial" w:cs="Arial"/>
                <w:sz w:val="16"/>
                <w:szCs w:val="16"/>
              </w:rPr>
              <w:t>Sales of goods and services</w:t>
            </w:r>
          </w:p>
        </w:tc>
        <w:tc>
          <w:tcPr>
            <w:tcW w:w="737" w:type="pct"/>
            <w:tcBorders>
              <w:top w:val="nil"/>
              <w:left w:val="nil"/>
              <w:bottom w:val="nil"/>
              <w:right w:val="nil"/>
            </w:tcBorders>
            <w:shd w:val="clear" w:color="000000" w:fill="FFFFFF"/>
            <w:noWrap/>
            <w:vAlign w:val="center"/>
            <w:hideMark/>
          </w:tcPr>
          <w:p w14:paraId="0AA62F1A"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21,067</w:t>
            </w:r>
          </w:p>
        </w:tc>
        <w:tc>
          <w:tcPr>
            <w:tcW w:w="737" w:type="pct"/>
            <w:tcBorders>
              <w:top w:val="nil"/>
              <w:left w:val="nil"/>
              <w:bottom w:val="nil"/>
              <w:right w:val="nil"/>
            </w:tcBorders>
            <w:shd w:val="clear" w:color="000000" w:fill="E6F2FF"/>
            <w:noWrap/>
            <w:vAlign w:val="center"/>
            <w:hideMark/>
          </w:tcPr>
          <w:p w14:paraId="24699C43"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21,166</w:t>
            </w:r>
          </w:p>
        </w:tc>
        <w:tc>
          <w:tcPr>
            <w:tcW w:w="58" w:type="pct"/>
            <w:tcBorders>
              <w:top w:val="nil"/>
              <w:left w:val="nil"/>
              <w:bottom w:val="nil"/>
              <w:right w:val="nil"/>
            </w:tcBorders>
            <w:shd w:val="clear" w:color="000000" w:fill="FFFFFF"/>
            <w:noWrap/>
            <w:vAlign w:val="center"/>
            <w:hideMark/>
          </w:tcPr>
          <w:p w14:paraId="029C8970" w14:textId="77777777" w:rsidR="00E565C3" w:rsidRPr="00EC4BA6" w:rsidRDefault="00E565C3" w:rsidP="00E565C3">
            <w:pPr>
              <w:spacing w:before="0" w:after="0" w:line="240" w:lineRule="auto"/>
              <w:jc w:val="right"/>
              <w:rPr>
                <w:rFonts w:ascii="Arial" w:hAnsi="Arial" w:cs="Arial"/>
                <w:b/>
                <w:sz w:val="16"/>
                <w:szCs w:val="16"/>
              </w:rPr>
            </w:pPr>
            <w:r w:rsidRPr="00EC4BA6">
              <w:rPr>
                <w:rFonts w:ascii="Arial" w:hAnsi="Arial" w:cs="Arial"/>
                <w:b/>
                <w:sz w:val="16"/>
                <w:szCs w:val="16"/>
              </w:rPr>
              <w:t> </w:t>
            </w:r>
          </w:p>
        </w:tc>
        <w:tc>
          <w:tcPr>
            <w:tcW w:w="737" w:type="pct"/>
            <w:tcBorders>
              <w:top w:val="nil"/>
              <w:left w:val="nil"/>
              <w:bottom w:val="nil"/>
              <w:right w:val="nil"/>
            </w:tcBorders>
            <w:shd w:val="clear" w:color="000000" w:fill="FFFFFF"/>
            <w:noWrap/>
            <w:vAlign w:val="center"/>
            <w:hideMark/>
          </w:tcPr>
          <w:p w14:paraId="4A515206"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98</w:t>
            </w:r>
          </w:p>
        </w:tc>
        <w:tc>
          <w:tcPr>
            <w:tcW w:w="737" w:type="pct"/>
            <w:tcBorders>
              <w:top w:val="nil"/>
              <w:left w:val="nil"/>
              <w:bottom w:val="nil"/>
              <w:right w:val="nil"/>
            </w:tcBorders>
            <w:shd w:val="clear" w:color="000000" w:fill="FFFFFF"/>
            <w:noWrap/>
            <w:vAlign w:val="center"/>
            <w:hideMark/>
          </w:tcPr>
          <w:p w14:paraId="2CC47CD6"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0.5</w:t>
            </w:r>
          </w:p>
        </w:tc>
      </w:tr>
      <w:tr w:rsidR="00E565C3" w:rsidRPr="00EC4BA6" w14:paraId="44C52C8B" w14:textId="77777777" w:rsidTr="004D0B46">
        <w:trPr>
          <w:trHeight w:hRule="exact" w:val="225"/>
        </w:trPr>
        <w:tc>
          <w:tcPr>
            <w:tcW w:w="1993" w:type="pct"/>
            <w:tcBorders>
              <w:top w:val="nil"/>
              <w:left w:val="nil"/>
              <w:bottom w:val="nil"/>
              <w:right w:val="nil"/>
            </w:tcBorders>
            <w:shd w:val="clear" w:color="000000" w:fill="FFFFFF"/>
            <w:noWrap/>
            <w:vAlign w:val="center"/>
            <w:hideMark/>
          </w:tcPr>
          <w:p w14:paraId="5BCF4757" w14:textId="77777777" w:rsidR="00E565C3" w:rsidRPr="00EC4BA6" w:rsidRDefault="00E565C3" w:rsidP="00E565C3">
            <w:pPr>
              <w:spacing w:before="0" w:after="0" w:line="240" w:lineRule="auto"/>
              <w:rPr>
                <w:rFonts w:ascii="Arial" w:hAnsi="Arial" w:cs="Arial"/>
                <w:sz w:val="16"/>
                <w:szCs w:val="16"/>
              </w:rPr>
            </w:pPr>
            <w:r w:rsidRPr="00EC4BA6">
              <w:rPr>
                <w:rFonts w:ascii="Arial" w:hAnsi="Arial" w:cs="Arial"/>
                <w:sz w:val="16"/>
                <w:szCs w:val="16"/>
              </w:rPr>
              <w:t>Interest</w:t>
            </w:r>
          </w:p>
        </w:tc>
        <w:tc>
          <w:tcPr>
            <w:tcW w:w="737" w:type="pct"/>
            <w:tcBorders>
              <w:top w:val="nil"/>
              <w:left w:val="nil"/>
              <w:bottom w:val="nil"/>
              <w:right w:val="nil"/>
            </w:tcBorders>
            <w:shd w:val="clear" w:color="000000" w:fill="FFFFFF"/>
            <w:noWrap/>
            <w:vAlign w:val="center"/>
            <w:hideMark/>
          </w:tcPr>
          <w:p w14:paraId="39F0AE72"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11,046</w:t>
            </w:r>
          </w:p>
        </w:tc>
        <w:tc>
          <w:tcPr>
            <w:tcW w:w="737" w:type="pct"/>
            <w:tcBorders>
              <w:top w:val="nil"/>
              <w:left w:val="nil"/>
              <w:bottom w:val="nil"/>
              <w:right w:val="nil"/>
            </w:tcBorders>
            <w:shd w:val="clear" w:color="000000" w:fill="E6F2FF"/>
            <w:noWrap/>
            <w:vAlign w:val="center"/>
            <w:hideMark/>
          </w:tcPr>
          <w:p w14:paraId="61611D16"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10,532</w:t>
            </w:r>
          </w:p>
        </w:tc>
        <w:tc>
          <w:tcPr>
            <w:tcW w:w="58" w:type="pct"/>
            <w:tcBorders>
              <w:top w:val="nil"/>
              <w:left w:val="nil"/>
              <w:bottom w:val="nil"/>
              <w:right w:val="nil"/>
            </w:tcBorders>
            <w:shd w:val="clear" w:color="000000" w:fill="FFFFFF"/>
            <w:noWrap/>
            <w:vAlign w:val="center"/>
            <w:hideMark/>
          </w:tcPr>
          <w:p w14:paraId="65A5AE61"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 </w:t>
            </w:r>
          </w:p>
        </w:tc>
        <w:tc>
          <w:tcPr>
            <w:tcW w:w="737" w:type="pct"/>
            <w:tcBorders>
              <w:top w:val="nil"/>
              <w:left w:val="nil"/>
              <w:bottom w:val="nil"/>
              <w:right w:val="nil"/>
            </w:tcBorders>
            <w:shd w:val="clear" w:color="000000" w:fill="FFFFFF"/>
            <w:noWrap/>
            <w:vAlign w:val="center"/>
            <w:hideMark/>
          </w:tcPr>
          <w:p w14:paraId="201FB3D4" w14:textId="57AC9724" w:rsidR="00E565C3" w:rsidRPr="00EC4BA6" w:rsidRDefault="001A3DD6" w:rsidP="00E565C3">
            <w:pPr>
              <w:spacing w:before="0" w:after="0" w:line="240" w:lineRule="auto"/>
              <w:jc w:val="right"/>
              <w:rPr>
                <w:rFonts w:ascii="Arial" w:hAnsi="Arial" w:cs="Arial"/>
                <w:sz w:val="16"/>
                <w:szCs w:val="16"/>
              </w:rPr>
            </w:pPr>
            <w:r>
              <w:rPr>
                <w:rFonts w:ascii="Arial" w:hAnsi="Arial" w:cs="Arial"/>
                <w:sz w:val="16"/>
                <w:szCs w:val="16"/>
              </w:rPr>
              <w:noBreakHyphen/>
            </w:r>
            <w:r w:rsidR="00E565C3" w:rsidRPr="00EC4BA6">
              <w:rPr>
                <w:rFonts w:ascii="Arial" w:hAnsi="Arial" w:cs="Arial"/>
                <w:sz w:val="16"/>
                <w:szCs w:val="16"/>
              </w:rPr>
              <w:t>514</w:t>
            </w:r>
          </w:p>
        </w:tc>
        <w:tc>
          <w:tcPr>
            <w:tcW w:w="737" w:type="pct"/>
            <w:tcBorders>
              <w:top w:val="nil"/>
              <w:left w:val="nil"/>
              <w:bottom w:val="nil"/>
              <w:right w:val="nil"/>
            </w:tcBorders>
            <w:shd w:val="clear" w:color="000000" w:fill="FFFFFF"/>
            <w:noWrap/>
            <w:vAlign w:val="center"/>
            <w:hideMark/>
          </w:tcPr>
          <w:p w14:paraId="7B4297C4" w14:textId="11529A6D" w:rsidR="00E565C3" w:rsidRPr="00EC4BA6" w:rsidRDefault="001A3DD6" w:rsidP="00E565C3">
            <w:pPr>
              <w:spacing w:before="0" w:after="0" w:line="240" w:lineRule="auto"/>
              <w:jc w:val="right"/>
              <w:rPr>
                <w:rFonts w:ascii="Arial" w:hAnsi="Arial" w:cs="Arial"/>
                <w:sz w:val="16"/>
                <w:szCs w:val="16"/>
              </w:rPr>
            </w:pPr>
            <w:r>
              <w:rPr>
                <w:rFonts w:ascii="Arial" w:hAnsi="Arial" w:cs="Arial"/>
                <w:sz w:val="16"/>
                <w:szCs w:val="16"/>
              </w:rPr>
              <w:noBreakHyphen/>
            </w:r>
            <w:r w:rsidR="00E565C3" w:rsidRPr="00EC4BA6">
              <w:rPr>
                <w:rFonts w:ascii="Arial" w:hAnsi="Arial" w:cs="Arial"/>
                <w:sz w:val="16"/>
                <w:szCs w:val="16"/>
              </w:rPr>
              <w:t>4.6</w:t>
            </w:r>
          </w:p>
        </w:tc>
      </w:tr>
      <w:tr w:rsidR="00E565C3" w:rsidRPr="00EC4BA6" w14:paraId="6EF99978" w14:textId="77777777" w:rsidTr="004D0B46">
        <w:trPr>
          <w:trHeight w:hRule="exact" w:val="225"/>
        </w:trPr>
        <w:tc>
          <w:tcPr>
            <w:tcW w:w="1993" w:type="pct"/>
            <w:tcBorders>
              <w:top w:val="nil"/>
              <w:left w:val="nil"/>
              <w:bottom w:val="nil"/>
              <w:right w:val="nil"/>
            </w:tcBorders>
            <w:shd w:val="clear" w:color="000000" w:fill="FFFFFF"/>
            <w:noWrap/>
            <w:vAlign w:val="center"/>
            <w:hideMark/>
          </w:tcPr>
          <w:p w14:paraId="5B4AB187" w14:textId="77777777" w:rsidR="00E565C3" w:rsidRPr="00EC4BA6" w:rsidRDefault="00E565C3" w:rsidP="00E565C3">
            <w:pPr>
              <w:spacing w:before="0" w:after="0" w:line="240" w:lineRule="auto"/>
              <w:rPr>
                <w:rFonts w:ascii="Arial" w:hAnsi="Arial" w:cs="Arial"/>
                <w:sz w:val="16"/>
                <w:szCs w:val="16"/>
              </w:rPr>
            </w:pPr>
            <w:r w:rsidRPr="00EC4BA6">
              <w:rPr>
                <w:rFonts w:ascii="Arial" w:hAnsi="Arial" w:cs="Arial"/>
                <w:sz w:val="16"/>
                <w:szCs w:val="16"/>
              </w:rPr>
              <w:t>Dividends and distributions</w:t>
            </w:r>
          </w:p>
        </w:tc>
        <w:tc>
          <w:tcPr>
            <w:tcW w:w="737" w:type="pct"/>
            <w:tcBorders>
              <w:top w:val="nil"/>
              <w:left w:val="nil"/>
              <w:bottom w:val="nil"/>
              <w:right w:val="nil"/>
            </w:tcBorders>
            <w:shd w:val="clear" w:color="000000" w:fill="FFFFFF"/>
            <w:noWrap/>
            <w:vAlign w:val="center"/>
            <w:hideMark/>
          </w:tcPr>
          <w:p w14:paraId="5B896A7F"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7,137</w:t>
            </w:r>
          </w:p>
        </w:tc>
        <w:tc>
          <w:tcPr>
            <w:tcW w:w="737" w:type="pct"/>
            <w:tcBorders>
              <w:top w:val="nil"/>
              <w:left w:val="nil"/>
              <w:bottom w:val="nil"/>
              <w:right w:val="nil"/>
            </w:tcBorders>
            <w:shd w:val="clear" w:color="000000" w:fill="E6F2FF"/>
            <w:noWrap/>
            <w:vAlign w:val="center"/>
            <w:hideMark/>
          </w:tcPr>
          <w:p w14:paraId="41C77DE7"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7,205</w:t>
            </w:r>
          </w:p>
        </w:tc>
        <w:tc>
          <w:tcPr>
            <w:tcW w:w="58" w:type="pct"/>
            <w:tcBorders>
              <w:top w:val="nil"/>
              <w:left w:val="nil"/>
              <w:bottom w:val="nil"/>
              <w:right w:val="nil"/>
            </w:tcBorders>
            <w:shd w:val="clear" w:color="000000" w:fill="FFFFFF"/>
            <w:noWrap/>
            <w:vAlign w:val="center"/>
            <w:hideMark/>
          </w:tcPr>
          <w:p w14:paraId="1D35D2BF" w14:textId="77777777" w:rsidR="00E565C3" w:rsidRPr="00EC4BA6" w:rsidRDefault="00E565C3" w:rsidP="00E565C3">
            <w:pPr>
              <w:spacing w:before="0" w:after="0" w:line="240" w:lineRule="auto"/>
              <w:jc w:val="right"/>
              <w:rPr>
                <w:rFonts w:ascii="Arial" w:hAnsi="Arial" w:cs="Arial"/>
                <w:b/>
                <w:sz w:val="16"/>
                <w:szCs w:val="16"/>
              </w:rPr>
            </w:pPr>
            <w:r w:rsidRPr="00EC4BA6">
              <w:rPr>
                <w:rFonts w:ascii="Arial" w:hAnsi="Arial" w:cs="Arial"/>
                <w:b/>
                <w:sz w:val="16"/>
                <w:szCs w:val="16"/>
              </w:rPr>
              <w:t> </w:t>
            </w:r>
          </w:p>
        </w:tc>
        <w:tc>
          <w:tcPr>
            <w:tcW w:w="737" w:type="pct"/>
            <w:tcBorders>
              <w:top w:val="nil"/>
              <w:left w:val="nil"/>
              <w:bottom w:val="nil"/>
              <w:right w:val="nil"/>
            </w:tcBorders>
            <w:shd w:val="clear" w:color="000000" w:fill="FFFFFF"/>
            <w:noWrap/>
            <w:vAlign w:val="center"/>
            <w:hideMark/>
          </w:tcPr>
          <w:p w14:paraId="34E2BC55"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68</w:t>
            </w:r>
          </w:p>
        </w:tc>
        <w:tc>
          <w:tcPr>
            <w:tcW w:w="737" w:type="pct"/>
            <w:tcBorders>
              <w:top w:val="nil"/>
              <w:left w:val="nil"/>
              <w:bottom w:val="nil"/>
              <w:right w:val="nil"/>
            </w:tcBorders>
            <w:shd w:val="clear" w:color="000000" w:fill="FFFFFF"/>
            <w:noWrap/>
            <w:vAlign w:val="center"/>
            <w:hideMark/>
          </w:tcPr>
          <w:p w14:paraId="795FE5A3"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0.9</w:t>
            </w:r>
          </w:p>
        </w:tc>
      </w:tr>
      <w:tr w:rsidR="00E565C3" w:rsidRPr="00EC4BA6" w14:paraId="44E1568F" w14:textId="77777777" w:rsidTr="004D0B46">
        <w:trPr>
          <w:trHeight w:hRule="exact" w:val="225"/>
        </w:trPr>
        <w:tc>
          <w:tcPr>
            <w:tcW w:w="1993" w:type="pct"/>
            <w:tcBorders>
              <w:top w:val="nil"/>
              <w:left w:val="nil"/>
              <w:bottom w:val="nil"/>
              <w:right w:val="nil"/>
            </w:tcBorders>
            <w:shd w:val="clear" w:color="000000" w:fill="FFFFFF"/>
            <w:noWrap/>
            <w:vAlign w:val="center"/>
            <w:hideMark/>
          </w:tcPr>
          <w:p w14:paraId="78818926" w14:textId="3F621ADE" w:rsidR="00E565C3" w:rsidRPr="00EC4BA6" w:rsidRDefault="00E565C3" w:rsidP="00E565C3">
            <w:pPr>
              <w:spacing w:before="0" w:after="0" w:line="240" w:lineRule="auto"/>
              <w:rPr>
                <w:rFonts w:ascii="Arial" w:hAnsi="Arial" w:cs="Arial"/>
                <w:sz w:val="16"/>
                <w:szCs w:val="16"/>
              </w:rPr>
            </w:pPr>
            <w:r w:rsidRPr="00EC4BA6">
              <w:rPr>
                <w:rFonts w:ascii="Arial" w:hAnsi="Arial" w:cs="Arial"/>
                <w:sz w:val="16"/>
                <w:szCs w:val="16"/>
              </w:rPr>
              <w:t>Other non</w:t>
            </w:r>
            <w:r w:rsidR="001A3DD6">
              <w:rPr>
                <w:rFonts w:ascii="Arial" w:hAnsi="Arial" w:cs="Arial"/>
                <w:sz w:val="16"/>
                <w:szCs w:val="16"/>
              </w:rPr>
              <w:noBreakHyphen/>
            </w:r>
            <w:r w:rsidRPr="00EC4BA6">
              <w:rPr>
                <w:rFonts w:ascii="Arial" w:hAnsi="Arial" w:cs="Arial"/>
                <w:sz w:val="16"/>
                <w:szCs w:val="16"/>
              </w:rPr>
              <w:t>taxation revenue</w:t>
            </w:r>
          </w:p>
        </w:tc>
        <w:tc>
          <w:tcPr>
            <w:tcW w:w="737" w:type="pct"/>
            <w:tcBorders>
              <w:top w:val="nil"/>
              <w:left w:val="nil"/>
              <w:bottom w:val="single" w:sz="4" w:space="0" w:color="293F5B"/>
              <w:right w:val="nil"/>
            </w:tcBorders>
            <w:shd w:val="clear" w:color="000000" w:fill="FFFFFF"/>
            <w:noWrap/>
            <w:vAlign w:val="center"/>
            <w:hideMark/>
          </w:tcPr>
          <w:p w14:paraId="1C77810D"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15,394</w:t>
            </w:r>
          </w:p>
        </w:tc>
        <w:tc>
          <w:tcPr>
            <w:tcW w:w="737" w:type="pct"/>
            <w:tcBorders>
              <w:top w:val="nil"/>
              <w:left w:val="nil"/>
              <w:bottom w:val="single" w:sz="4" w:space="0" w:color="293F5B"/>
              <w:right w:val="nil"/>
            </w:tcBorders>
            <w:shd w:val="clear" w:color="000000" w:fill="E6F2FF"/>
            <w:noWrap/>
            <w:vAlign w:val="center"/>
            <w:hideMark/>
          </w:tcPr>
          <w:p w14:paraId="2F9E8825"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15,458</w:t>
            </w:r>
          </w:p>
        </w:tc>
        <w:tc>
          <w:tcPr>
            <w:tcW w:w="58" w:type="pct"/>
            <w:tcBorders>
              <w:top w:val="nil"/>
              <w:left w:val="nil"/>
              <w:bottom w:val="nil"/>
              <w:right w:val="nil"/>
            </w:tcBorders>
            <w:shd w:val="clear" w:color="000000" w:fill="FFFFFF"/>
            <w:noWrap/>
            <w:vAlign w:val="center"/>
            <w:hideMark/>
          </w:tcPr>
          <w:p w14:paraId="6FD9C4A9"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 </w:t>
            </w:r>
          </w:p>
        </w:tc>
        <w:tc>
          <w:tcPr>
            <w:tcW w:w="737" w:type="pct"/>
            <w:tcBorders>
              <w:top w:val="nil"/>
              <w:left w:val="nil"/>
              <w:bottom w:val="single" w:sz="4" w:space="0" w:color="293F5B"/>
              <w:right w:val="nil"/>
            </w:tcBorders>
            <w:shd w:val="clear" w:color="000000" w:fill="FFFFFF"/>
            <w:noWrap/>
            <w:vAlign w:val="center"/>
            <w:hideMark/>
          </w:tcPr>
          <w:p w14:paraId="105A83B4"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64</w:t>
            </w:r>
          </w:p>
        </w:tc>
        <w:tc>
          <w:tcPr>
            <w:tcW w:w="737" w:type="pct"/>
            <w:tcBorders>
              <w:top w:val="nil"/>
              <w:left w:val="nil"/>
              <w:bottom w:val="single" w:sz="4" w:space="0" w:color="293F5B"/>
              <w:right w:val="nil"/>
            </w:tcBorders>
            <w:shd w:val="clear" w:color="000000" w:fill="FFFFFF"/>
            <w:noWrap/>
            <w:vAlign w:val="center"/>
            <w:hideMark/>
          </w:tcPr>
          <w:p w14:paraId="7B7B510D" w14:textId="77777777" w:rsidR="00E565C3" w:rsidRPr="00EC4BA6" w:rsidRDefault="00E565C3" w:rsidP="00E565C3">
            <w:pPr>
              <w:spacing w:before="0" w:after="0" w:line="240" w:lineRule="auto"/>
              <w:jc w:val="right"/>
              <w:rPr>
                <w:rFonts w:ascii="Arial" w:hAnsi="Arial" w:cs="Arial"/>
                <w:sz w:val="16"/>
                <w:szCs w:val="16"/>
              </w:rPr>
            </w:pPr>
            <w:r w:rsidRPr="00EC4BA6">
              <w:rPr>
                <w:rFonts w:ascii="Arial" w:hAnsi="Arial" w:cs="Arial"/>
                <w:sz w:val="16"/>
                <w:szCs w:val="16"/>
              </w:rPr>
              <w:t>0.4</w:t>
            </w:r>
          </w:p>
        </w:tc>
      </w:tr>
      <w:tr w:rsidR="00E565C3" w:rsidRPr="00EC4BA6" w14:paraId="48094E28" w14:textId="77777777" w:rsidTr="004D0B46">
        <w:trPr>
          <w:trHeight w:hRule="exact" w:val="225"/>
        </w:trPr>
        <w:tc>
          <w:tcPr>
            <w:tcW w:w="1993" w:type="pct"/>
            <w:tcBorders>
              <w:top w:val="nil"/>
              <w:left w:val="nil"/>
              <w:bottom w:val="nil"/>
              <w:right w:val="nil"/>
            </w:tcBorders>
            <w:shd w:val="clear" w:color="000000" w:fill="FFFFFF"/>
            <w:noWrap/>
            <w:vAlign w:val="center"/>
            <w:hideMark/>
          </w:tcPr>
          <w:p w14:paraId="13C28917" w14:textId="6AE8D8F1" w:rsidR="00E565C3" w:rsidRPr="00EC4BA6" w:rsidRDefault="00E565C3" w:rsidP="00E565C3">
            <w:pPr>
              <w:spacing w:before="0" w:after="0" w:line="240" w:lineRule="auto"/>
              <w:rPr>
                <w:rFonts w:ascii="Arial" w:hAnsi="Arial" w:cs="Arial"/>
                <w:b/>
                <w:sz w:val="16"/>
                <w:szCs w:val="16"/>
              </w:rPr>
            </w:pPr>
            <w:r w:rsidRPr="00EC4BA6">
              <w:rPr>
                <w:rFonts w:ascii="Arial" w:hAnsi="Arial" w:cs="Arial"/>
                <w:b/>
                <w:sz w:val="16"/>
                <w:szCs w:val="16"/>
              </w:rPr>
              <w:t>Non</w:t>
            </w:r>
            <w:r w:rsidR="001A3DD6">
              <w:rPr>
                <w:rFonts w:ascii="Arial" w:hAnsi="Arial" w:cs="Arial"/>
                <w:b/>
                <w:sz w:val="16"/>
                <w:szCs w:val="16"/>
              </w:rPr>
              <w:noBreakHyphen/>
            </w:r>
            <w:r w:rsidRPr="00EC4BA6">
              <w:rPr>
                <w:rFonts w:ascii="Arial" w:hAnsi="Arial" w:cs="Arial"/>
                <w:b/>
                <w:sz w:val="16"/>
                <w:szCs w:val="16"/>
              </w:rPr>
              <w:t>taxation revenue</w:t>
            </w:r>
          </w:p>
        </w:tc>
        <w:tc>
          <w:tcPr>
            <w:tcW w:w="737" w:type="pct"/>
            <w:tcBorders>
              <w:top w:val="nil"/>
              <w:left w:val="nil"/>
              <w:bottom w:val="single" w:sz="4" w:space="0" w:color="293F5B"/>
              <w:right w:val="nil"/>
            </w:tcBorders>
            <w:shd w:val="clear" w:color="000000" w:fill="FFFFFF"/>
            <w:noWrap/>
            <w:vAlign w:val="center"/>
            <w:hideMark/>
          </w:tcPr>
          <w:p w14:paraId="2911E25E" w14:textId="77777777" w:rsidR="00E565C3" w:rsidRPr="00EC4BA6" w:rsidRDefault="00E565C3" w:rsidP="00E565C3">
            <w:pPr>
              <w:spacing w:before="0" w:after="0" w:line="240" w:lineRule="auto"/>
              <w:jc w:val="right"/>
              <w:rPr>
                <w:rFonts w:ascii="Arial" w:hAnsi="Arial" w:cs="Arial"/>
                <w:b/>
                <w:sz w:val="16"/>
                <w:szCs w:val="16"/>
              </w:rPr>
            </w:pPr>
            <w:r w:rsidRPr="00EC4BA6">
              <w:rPr>
                <w:rFonts w:ascii="Arial" w:hAnsi="Arial" w:cs="Arial"/>
                <w:b/>
                <w:sz w:val="16"/>
                <w:szCs w:val="16"/>
              </w:rPr>
              <w:t>54,644</w:t>
            </w:r>
          </w:p>
        </w:tc>
        <w:tc>
          <w:tcPr>
            <w:tcW w:w="737" w:type="pct"/>
            <w:tcBorders>
              <w:top w:val="nil"/>
              <w:left w:val="nil"/>
              <w:bottom w:val="single" w:sz="4" w:space="0" w:color="293F5B"/>
              <w:right w:val="nil"/>
            </w:tcBorders>
            <w:shd w:val="clear" w:color="000000" w:fill="E6F2FF"/>
            <w:noWrap/>
            <w:vAlign w:val="center"/>
            <w:hideMark/>
          </w:tcPr>
          <w:p w14:paraId="2E25EDAA" w14:textId="77777777" w:rsidR="00E565C3" w:rsidRPr="00EC4BA6" w:rsidRDefault="00E565C3" w:rsidP="00E565C3">
            <w:pPr>
              <w:spacing w:before="0" w:after="0" w:line="240" w:lineRule="auto"/>
              <w:jc w:val="right"/>
              <w:rPr>
                <w:rFonts w:ascii="Arial" w:hAnsi="Arial" w:cs="Arial"/>
                <w:b/>
                <w:sz w:val="16"/>
                <w:szCs w:val="16"/>
              </w:rPr>
            </w:pPr>
            <w:r w:rsidRPr="00EC4BA6">
              <w:rPr>
                <w:rFonts w:ascii="Arial" w:hAnsi="Arial" w:cs="Arial"/>
                <w:b/>
                <w:sz w:val="16"/>
                <w:szCs w:val="16"/>
              </w:rPr>
              <w:t>54,360</w:t>
            </w:r>
          </w:p>
        </w:tc>
        <w:tc>
          <w:tcPr>
            <w:tcW w:w="58" w:type="pct"/>
            <w:tcBorders>
              <w:top w:val="nil"/>
              <w:left w:val="nil"/>
              <w:bottom w:val="nil"/>
              <w:right w:val="nil"/>
            </w:tcBorders>
            <w:shd w:val="clear" w:color="000000" w:fill="FFFFFF"/>
            <w:noWrap/>
            <w:vAlign w:val="center"/>
            <w:hideMark/>
          </w:tcPr>
          <w:p w14:paraId="001B7179" w14:textId="77777777" w:rsidR="00E565C3" w:rsidRPr="00EC4BA6" w:rsidRDefault="00E565C3" w:rsidP="00E565C3">
            <w:pPr>
              <w:spacing w:before="0" w:after="0" w:line="240" w:lineRule="auto"/>
              <w:jc w:val="right"/>
              <w:rPr>
                <w:rFonts w:ascii="Arial" w:hAnsi="Arial" w:cs="Arial"/>
                <w:b/>
                <w:sz w:val="16"/>
                <w:szCs w:val="16"/>
              </w:rPr>
            </w:pPr>
            <w:r w:rsidRPr="00EC4BA6">
              <w:rPr>
                <w:rFonts w:ascii="Arial" w:hAnsi="Arial" w:cs="Arial"/>
                <w:b/>
                <w:sz w:val="16"/>
                <w:szCs w:val="16"/>
              </w:rPr>
              <w:t> </w:t>
            </w:r>
          </w:p>
        </w:tc>
        <w:tc>
          <w:tcPr>
            <w:tcW w:w="737" w:type="pct"/>
            <w:tcBorders>
              <w:top w:val="nil"/>
              <w:left w:val="nil"/>
              <w:bottom w:val="single" w:sz="4" w:space="0" w:color="293F5B"/>
              <w:right w:val="nil"/>
            </w:tcBorders>
            <w:shd w:val="clear" w:color="000000" w:fill="FFFFFF"/>
            <w:noWrap/>
            <w:vAlign w:val="center"/>
            <w:hideMark/>
          </w:tcPr>
          <w:p w14:paraId="37DCD2D9" w14:textId="4403BC9B" w:rsidR="00E565C3" w:rsidRPr="00EC4BA6" w:rsidRDefault="001A3DD6" w:rsidP="00E565C3">
            <w:pPr>
              <w:spacing w:before="0" w:after="0" w:line="240" w:lineRule="auto"/>
              <w:jc w:val="right"/>
              <w:rPr>
                <w:rFonts w:ascii="Arial" w:hAnsi="Arial" w:cs="Arial"/>
                <w:b/>
                <w:sz w:val="16"/>
                <w:szCs w:val="16"/>
              </w:rPr>
            </w:pPr>
            <w:r>
              <w:rPr>
                <w:rFonts w:ascii="Arial" w:hAnsi="Arial" w:cs="Arial"/>
                <w:b/>
                <w:sz w:val="16"/>
                <w:szCs w:val="16"/>
              </w:rPr>
              <w:noBreakHyphen/>
            </w:r>
            <w:r w:rsidR="00E565C3" w:rsidRPr="00EC4BA6">
              <w:rPr>
                <w:rFonts w:ascii="Arial" w:hAnsi="Arial" w:cs="Arial"/>
                <w:b/>
                <w:sz w:val="16"/>
                <w:szCs w:val="16"/>
              </w:rPr>
              <w:t>284</w:t>
            </w:r>
          </w:p>
        </w:tc>
        <w:tc>
          <w:tcPr>
            <w:tcW w:w="737" w:type="pct"/>
            <w:tcBorders>
              <w:top w:val="nil"/>
              <w:left w:val="nil"/>
              <w:bottom w:val="single" w:sz="4" w:space="0" w:color="293F5B"/>
              <w:right w:val="nil"/>
            </w:tcBorders>
            <w:shd w:val="clear" w:color="000000" w:fill="FFFFFF"/>
            <w:noWrap/>
            <w:vAlign w:val="center"/>
            <w:hideMark/>
          </w:tcPr>
          <w:p w14:paraId="2D91A8E6" w14:textId="3E2B62A1" w:rsidR="00E565C3" w:rsidRPr="00EC4BA6" w:rsidRDefault="001A3DD6" w:rsidP="00E565C3">
            <w:pPr>
              <w:spacing w:before="0" w:after="0" w:line="240" w:lineRule="auto"/>
              <w:jc w:val="right"/>
              <w:rPr>
                <w:rFonts w:ascii="Arial" w:hAnsi="Arial" w:cs="Arial"/>
                <w:b/>
                <w:sz w:val="16"/>
                <w:szCs w:val="16"/>
              </w:rPr>
            </w:pPr>
            <w:r>
              <w:rPr>
                <w:rFonts w:ascii="Arial" w:hAnsi="Arial" w:cs="Arial"/>
                <w:b/>
                <w:sz w:val="16"/>
                <w:szCs w:val="16"/>
              </w:rPr>
              <w:noBreakHyphen/>
            </w:r>
            <w:r w:rsidR="00E565C3" w:rsidRPr="00EC4BA6">
              <w:rPr>
                <w:rFonts w:ascii="Arial" w:hAnsi="Arial" w:cs="Arial"/>
                <w:b/>
                <w:sz w:val="16"/>
                <w:szCs w:val="16"/>
              </w:rPr>
              <w:t>0.5</w:t>
            </w:r>
          </w:p>
        </w:tc>
      </w:tr>
      <w:tr w:rsidR="00E565C3" w:rsidRPr="00EC4BA6" w14:paraId="099B5B3B" w14:textId="77777777" w:rsidTr="004D0B46">
        <w:trPr>
          <w:trHeight w:hRule="exact" w:val="225"/>
        </w:trPr>
        <w:tc>
          <w:tcPr>
            <w:tcW w:w="1993" w:type="pct"/>
            <w:tcBorders>
              <w:top w:val="nil"/>
              <w:left w:val="nil"/>
              <w:bottom w:val="single" w:sz="4" w:space="0" w:color="293F5B"/>
              <w:right w:val="nil"/>
            </w:tcBorders>
            <w:shd w:val="clear" w:color="000000" w:fill="FFFFFF"/>
            <w:noWrap/>
            <w:vAlign w:val="center"/>
            <w:hideMark/>
          </w:tcPr>
          <w:p w14:paraId="28081CC4" w14:textId="77777777" w:rsidR="00E565C3" w:rsidRPr="00EC4BA6" w:rsidRDefault="00E565C3" w:rsidP="00E565C3">
            <w:pPr>
              <w:spacing w:before="0" w:after="0" w:line="240" w:lineRule="auto"/>
              <w:rPr>
                <w:rFonts w:ascii="Arial" w:hAnsi="Arial" w:cs="Arial"/>
                <w:b/>
                <w:sz w:val="16"/>
                <w:szCs w:val="16"/>
              </w:rPr>
            </w:pPr>
            <w:r w:rsidRPr="00EC4BA6">
              <w:rPr>
                <w:rFonts w:ascii="Arial" w:hAnsi="Arial" w:cs="Arial"/>
                <w:b/>
                <w:sz w:val="16"/>
                <w:szCs w:val="16"/>
              </w:rPr>
              <w:t>Total revenue</w:t>
            </w:r>
          </w:p>
        </w:tc>
        <w:tc>
          <w:tcPr>
            <w:tcW w:w="737" w:type="pct"/>
            <w:tcBorders>
              <w:top w:val="nil"/>
              <w:left w:val="nil"/>
              <w:bottom w:val="single" w:sz="4" w:space="0" w:color="293F5B"/>
              <w:right w:val="nil"/>
            </w:tcBorders>
            <w:shd w:val="clear" w:color="000000" w:fill="FFFFFF"/>
            <w:noWrap/>
            <w:vAlign w:val="center"/>
            <w:hideMark/>
          </w:tcPr>
          <w:p w14:paraId="5A444293" w14:textId="77777777" w:rsidR="00E565C3" w:rsidRPr="00EC4BA6" w:rsidRDefault="00E565C3" w:rsidP="00E565C3">
            <w:pPr>
              <w:spacing w:before="0" w:after="0" w:line="240" w:lineRule="auto"/>
              <w:jc w:val="right"/>
              <w:rPr>
                <w:rFonts w:ascii="Arial" w:hAnsi="Arial" w:cs="Arial"/>
                <w:b/>
                <w:sz w:val="16"/>
                <w:szCs w:val="16"/>
              </w:rPr>
            </w:pPr>
            <w:r w:rsidRPr="00EC4BA6">
              <w:rPr>
                <w:rFonts w:ascii="Arial" w:hAnsi="Arial" w:cs="Arial"/>
                <w:b/>
                <w:sz w:val="16"/>
                <w:szCs w:val="16"/>
              </w:rPr>
              <w:t>718,253</w:t>
            </w:r>
          </w:p>
        </w:tc>
        <w:tc>
          <w:tcPr>
            <w:tcW w:w="737" w:type="pct"/>
            <w:tcBorders>
              <w:top w:val="nil"/>
              <w:left w:val="nil"/>
              <w:bottom w:val="single" w:sz="4" w:space="0" w:color="293F5B"/>
              <w:right w:val="nil"/>
            </w:tcBorders>
            <w:shd w:val="clear" w:color="000000" w:fill="E6F2FF"/>
            <w:noWrap/>
            <w:vAlign w:val="center"/>
            <w:hideMark/>
          </w:tcPr>
          <w:p w14:paraId="07BAE429" w14:textId="77777777" w:rsidR="00E565C3" w:rsidRPr="00EC4BA6" w:rsidRDefault="00E565C3" w:rsidP="00E565C3">
            <w:pPr>
              <w:spacing w:before="0" w:after="0" w:line="240" w:lineRule="auto"/>
              <w:jc w:val="right"/>
              <w:rPr>
                <w:rFonts w:ascii="Arial" w:hAnsi="Arial" w:cs="Arial"/>
                <w:b/>
                <w:sz w:val="16"/>
                <w:szCs w:val="16"/>
              </w:rPr>
            </w:pPr>
            <w:r w:rsidRPr="00EC4BA6">
              <w:rPr>
                <w:rFonts w:ascii="Arial" w:hAnsi="Arial" w:cs="Arial"/>
                <w:b/>
                <w:sz w:val="16"/>
                <w:szCs w:val="16"/>
              </w:rPr>
              <w:t>717,568</w:t>
            </w:r>
          </w:p>
        </w:tc>
        <w:tc>
          <w:tcPr>
            <w:tcW w:w="58" w:type="pct"/>
            <w:tcBorders>
              <w:top w:val="nil"/>
              <w:left w:val="nil"/>
              <w:bottom w:val="single" w:sz="4" w:space="0" w:color="293F5B"/>
              <w:right w:val="nil"/>
            </w:tcBorders>
            <w:shd w:val="clear" w:color="000000" w:fill="FFFFFF"/>
            <w:noWrap/>
            <w:vAlign w:val="center"/>
            <w:hideMark/>
          </w:tcPr>
          <w:p w14:paraId="27CFBBCF" w14:textId="77777777" w:rsidR="00E565C3" w:rsidRPr="00EC4BA6" w:rsidRDefault="00E565C3" w:rsidP="00E565C3">
            <w:pPr>
              <w:spacing w:before="0" w:after="0" w:line="240" w:lineRule="auto"/>
              <w:jc w:val="right"/>
              <w:rPr>
                <w:rFonts w:ascii="Arial" w:hAnsi="Arial" w:cs="Arial"/>
                <w:b/>
                <w:sz w:val="16"/>
                <w:szCs w:val="16"/>
              </w:rPr>
            </w:pPr>
            <w:r w:rsidRPr="00EC4BA6">
              <w:rPr>
                <w:rFonts w:ascii="Arial" w:hAnsi="Arial" w:cs="Arial"/>
                <w:b/>
                <w:sz w:val="16"/>
                <w:szCs w:val="16"/>
              </w:rPr>
              <w:t> </w:t>
            </w:r>
          </w:p>
        </w:tc>
        <w:tc>
          <w:tcPr>
            <w:tcW w:w="737" w:type="pct"/>
            <w:tcBorders>
              <w:top w:val="nil"/>
              <w:left w:val="nil"/>
              <w:bottom w:val="single" w:sz="4" w:space="0" w:color="293F5B"/>
              <w:right w:val="nil"/>
            </w:tcBorders>
            <w:shd w:val="clear" w:color="000000" w:fill="FFFFFF"/>
            <w:noWrap/>
            <w:vAlign w:val="center"/>
            <w:hideMark/>
          </w:tcPr>
          <w:p w14:paraId="6764AF8A" w14:textId="674B0C00" w:rsidR="00E565C3" w:rsidRPr="00EC4BA6" w:rsidRDefault="001A3DD6" w:rsidP="00E565C3">
            <w:pPr>
              <w:spacing w:before="0" w:after="0" w:line="240" w:lineRule="auto"/>
              <w:jc w:val="right"/>
              <w:rPr>
                <w:rFonts w:ascii="Arial" w:hAnsi="Arial" w:cs="Arial"/>
                <w:b/>
                <w:sz w:val="16"/>
                <w:szCs w:val="16"/>
              </w:rPr>
            </w:pPr>
            <w:r>
              <w:rPr>
                <w:rFonts w:ascii="Arial" w:hAnsi="Arial" w:cs="Arial"/>
                <w:b/>
                <w:sz w:val="16"/>
                <w:szCs w:val="16"/>
              </w:rPr>
              <w:noBreakHyphen/>
            </w:r>
            <w:r w:rsidR="00E565C3" w:rsidRPr="00EC4BA6">
              <w:rPr>
                <w:rFonts w:ascii="Arial" w:hAnsi="Arial" w:cs="Arial"/>
                <w:b/>
                <w:sz w:val="16"/>
                <w:szCs w:val="16"/>
              </w:rPr>
              <w:t>685</w:t>
            </w:r>
          </w:p>
        </w:tc>
        <w:tc>
          <w:tcPr>
            <w:tcW w:w="737" w:type="pct"/>
            <w:tcBorders>
              <w:top w:val="nil"/>
              <w:left w:val="nil"/>
              <w:bottom w:val="single" w:sz="4" w:space="0" w:color="293F5B"/>
              <w:right w:val="nil"/>
            </w:tcBorders>
            <w:shd w:val="clear" w:color="000000" w:fill="FFFFFF"/>
            <w:noWrap/>
            <w:vAlign w:val="center"/>
            <w:hideMark/>
          </w:tcPr>
          <w:p w14:paraId="1CAF3BF1" w14:textId="4F37AF5C" w:rsidR="00E565C3" w:rsidRPr="00EC4BA6" w:rsidRDefault="001A3DD6" w:rsidP="00E565C3">
            <w:pPr>
              <w:spacing w:before="0" w:after="0" w:line="240" w:lineRule="auto"/>
              <w:jc w:val="right"/>
              <w:rPr>
                <w:rFonts w:ascii="Arial" w:hAnsi="Arial" w:cs="Arial"/>
                <w:b/>
                <w:sz w:val="16"/>
                <w:szCs w:val="16"/>
              </w:rPr>
            </w:pPr>
            <w:r>
              <w:rPr>
                <w:rFonts w:ascii="Arial" w:hAnsi="Arial" w:cs="Arial"/>
                <w:b/>
                <w:sz w:val="16"/>
                <w:szCs w:val="16"/>
              </w:rPr>
              <w:noBreakHyphen/>
            </w:r>
            <w:r w:rsidR="00E565C3" w:rsidRPr="00EC4BA6">
              <w:rPr>
                <w:rFonts w:ascii="Arial" w:hAnsi="Arial" w:cs="Arial"/>
                <w:b/>
                <w:sz w:val="16"/>
                <w:szCs w:val="16"/>
              </w:rPr>
              <w:t>0.1</w:t>
            </w:r>
          </w:p>
        </w:tc>
      </w:tr>
      <w:tr w:rsidR="00E565C3" w:rsidRPr="00EC4BA6" w14:paraId="1E28D588" w14:textId="77777777" w:rsidTr="004D0B46">
        <w:trPr>
          <w:trHeight w:hRule="exact" w:val="225"/>
        </w:trPr>
        <w:tc>
          <w:tcPr>
            <w:tcW w:w="1993" w:type="pct"/>
            <w:tcBorders>
              <w:top w:val="nil"/>
              <w:left w:val="nil"/>
              <w:bottom w:val="nil"/>
              <w:right w:val="nil"/>
            </w:tcBorders>
            <w:shd w:val="clear" w:color="000000" w:fill="FFFFFF"/>
            <w:noWrap/>
            <w:vAlign w:val="center"/>
            <w:hideMark/>
          </w:tcPr>
          <w:p w14:paraId="28078F45" w14:textId="77777777" w:rsidR="00E565C3" w:rsidRPr="00EC4BA6" w:rsidRDefault="00E565C3" w:rsidP="00E565C3">
            <w:pPr>
              <w:spacing w:before="0" w:after="0" w:line="240" w:lineRule="auto"/>
              <w:rPr>
                <w:rFonts w:ascii="Arial" w:hAnsi="Arial" w:cs="Arial"/>
                <w:i/>
                <w:sz w:val="16"/>
                <w:szCs w:val="16"/>
              </w:rPr>
            </w:pPr>
            <w:r w:rsidRPr="00EC4BA6">
              <w:rPr>
                <w:rFonts w:ascii="Arial" w:hAnsi="Arial" w:cs="Arial"/>
                <w:i/>
                <w:sz w:val="16"/>
                <w:szCs w:val="16"/>
              </w:rPr>
              <w:t>Memorandum:</w:t>
            </w:r>
          </w:p>
        </w:tc>
        <w:tc>
          <w:tcPr>
            <w:tcW w:w="737" w:type="pct"/>
            <w:tcBorders>
              <w:top w:val="nil"/>
              <w:left w:val="nil"/>
              <w:bottom w:val="nil"/>
              <w:right w:val="nil"/>
            </w:tcBorders>
            <w:shd w:val="clear" w:color="000000" w:fill="FFFFFF"/>
            <w:noWrap/>
            <w:vAlign w:val="center"/>
            <w:hideMark/>
          </w:tcPr>
          <w:p w14:paraId="451023AE" w14:textId="77777777" w:rsidR="00E565C3" w:rsidRPr="00EC4BA6" w:rsidRDefault="00E565C3" w:rsidP="00E565C3">
            <w:pPr>
              <w:spacing w:before="0" w:after="0" w:line="240" w:lineRule="auto"/>
              <w:jc w:val="right"/>
              <w:rPr>
                <w:rFonts w:ascii="Arial" w:hAnsi="Arial" w:cs="Arial"/>
                <w:i/>
                <w:sz w:val="16"/>
                <w:szCs w:val="16"/>
              </w:rPr>
            </w:pPr>
            <w:r w:rsidRPr="00EC4BA6">
              <w:rPr>
                <w:rFonts w:ascii="Arial" w:hAnsi="Arial" w:cs="Arial"/>
                <w:i/>
                <w:sz w:val="16"/>
                <w:szCs w:val="16"/>
              </w:rPr>
              <w:t> </w:t>
            </w:r>
          </w:p>
        </w:tc>
        <w:tc>
          <w:tcPr>
            <w:tcW w:w="737" w:type="pct"/>
            <w:tcBorders>
              <w:top w:val="nil"/>
              <w:left w:val="nil"/>
              <w:bottom w:val="nil"/>
              <w:right w:val="nil"/>
            </w:tcBorders>
            <w:shd w:val="clear" w:color="000000" w:fill="E6F2FF"/>
            <w:noWrap/>
            <w:vAlign w:val="center"/>
            <w:hideMark/>
          </w:tcPr>
          <w:p w14:paraId="1735AD58" w14:textId="77777777" w:rsidR="00E565C3" w:rsidRPr="00EC4BA6" w:rsidRDefault="00E565C3" w:rsidP="00E565C3">
            <w:pPr>
              <w:spacing w:before="0" w:after="0" w:line="240" w:lineRule="auto"/>
              <w:jc w:val="right"/>
              <w:rPr>
                <w:rFonts w:ascii="Arial" w:hAnsi="Arial" w:cs="Arial"/>
                <w:i/>
                <w:sz w:val="16"/>
                <w:szCs w:val="16"/>
              </w:rPr>
            </w:pPr>
            <w:r w:rsidRPr="00EC4BA6">
              <w:rPr>
                <w:rFonts w:ascii="Arial" w:hAnsi="Arial" w:cs="Arial"/>
                <w:i/>
                <w:sz w:val="16"/>
                <w:szCs w:val="16"/>
              </w:rPr>
              <w:t> </w:t>
            </w:r>
          </w:p>
        </w:tc>
        <w:tc>
          <w:tcPr>
            <w:tcW w:w="58" w:type="pct"/>
            <w:tcBorders>
              <w:top w:val="nil"/>
              <w:left w:val="nil"/>
              <w:bottom w:val="nil"/>
              <w:right w:val="nil"/>
            </w:tcBorders>
            <w:shd w:val="clear" w:color="000000" w:fill="FFFFFF"/>
            <w:noWrap/>
            <w:vAlign w:val="center"/>
            <w:hideMark/>
          </w:tcPr>
          <w:p w14:paraId="0147C85D" w14:textId="77777777" w:rsidR="00E565C3" w:rsidRPr="00EC4BA6" w:rsidRDefault="00E565C3" w:rsidP="00E565C3">
            <w:pPr>
              <w:spacing w:before="0" w:after="0" w:line="240" w:lineRule="auto"/>
              <w:jc w:val="right"/>
              <w:rPr>
                <w:rFonts w:ascii="Arial" w:hAnsi="Arial" w:cs="Arial"/>
                <w:i/>
                <w:sz w:val="16"/>
                <w:szCs w:val="16"/>
              </w:rPr>
            </w:pPr>
            <w:r w:rsidRPr="00EC4BA6">
              <w:rPr>
                <w:rFonts w:ascii="Arial" w:hAnsi="Arial" w:cs="Arial"/>
                <w:i/>
                <w:sz w:val="16"/>
                <w:szCs w:val="16"/>
              </w:rPr>
              <w:t> </w:t>
            </w:r>
          </w:p>
        </w:tc>
        <w:tc>
          <w:tcPr>
            <w:tcW w:w="737" w:type="pct"/>
            <w:tcBorders>
              <w:top w:val="nil"/>
              <w:left w:val="nil"/>
              <w:bottom w:val="nil"/>
              <w:right w:val="nil"/>
            </w:tcBorders>
            <w:shd w:val="clear" w:color="000000" w:fill="FFFFFF"/>
            <w:noWrap/>
            <w:vAlign w:val="center"/>
            <w:hideMark/>
          </w:tcPr>
          <w:p w14:paraId="39DE3E86" w14:textId="77777777" w:rsidR="00E565C3" w:rsidRPr="00EC4BA6" w:rsidRDefault="00E565C3" w:rsidP="00E565C3">
            <w:pPr>
              <w:spacing w:before="0" w:after="0" w:line="240" w:lineRule="auto"/>
              <w:jc w:val="right"/>
              <w:rPr>
                <w:rFonts w:ascii="Arial" w:hAnsi="Arial" w:cs="Arial"/>
                <w:i/>
                <w:sz w:val="16"/>
                <w:szCs w:val="16"/>
              </w:rPr>
            </w:pPr>
            <w:r w:rsidRPr="00EC4BA6">
              <w:rPr>
                <w:rFonts w:ascii="Arial" w:hAnsi="Arial" w:cs="Arial"/>
                <w:i/>
                <w:sz w:val="16"/>
                <w:szCs w:val="16"/>
              </w:rPr>
              <w:t> </w:t>
            </w:r>
          </w:p>
        </w:tc>
        <w:tc>
          <w:tcPr>
            <w:tcW w:w="737" w:type="pct"/>
            <w:tcBorders>
              <w:top w:val="nil"/>
              <w:left w:val="nil"/>
              <w:bottom w:val="nil"/>
              <w:right w:val="nil"/>
            </w:tcBorders>
            <w:shd w:val="clear" w:color="000000" w:fill="FFFFFF"/>
            <w:noWrap/>
            <w:vAlign w:val="center"/>
            <w:hideMark/>
          </w:tcPr>
          <w:p w14:paraId="1E117100" w14:textId="77777777" w:rsidR="00E565C3" w:rsidRPr="00EC4BA6" w:rsidRDefault="00E565C3" w:rsidP="00E565C3">
            <w:pPr>
              <w:spacing w:before="0" w:after="0" w:line="240" w:lineRule="auto"/>
              <w:jc w:val="right"/>
              <w:rPr>
                <w:rFonts w:ascii="Arial" w:hAnsi="Arial" w:cs="Arial"/>
                <w:i/>
                <w:sz w:val="16"/>
                <w:szCs w:val="16"/>
              </w:rPr>
            </w:pPr>
            <w:r w:rsidRPr="00EC4BA6">
              <w:rPr>
                <w:rFonts w:ascii="Arial" w:hAnsi="Arial" w:cs="Arial"/>
                <w:i/>
                <w:sz w:val="16"/>
                <w:szCs w:val="16"/>
              </w:rPr>
              <w:t> </w:t>
            </w:r>
          </w:p>
        </w:tc>
      </w:tr>
      <w:tr w:rsidR="00E565C3" w:rsidRPr="00EC4BA6" w14:paraId="11E26CF5" w14:textId="77777777" w:rsidTr="004D0B46">
        <w:trPr>
          <w:trHeight w:hRule="exact" w:val="225"/>
        </w:trPr>
        <w:tc>
          <w:tcPr>
            <w:tcW w:w="1993" w:type="pct"/>
            <w:tcBorders>
              <w:top w:val="nil"/>
              <w:left w:val="nil"/>
              <w:bottom w:val="nil"/>
              <w:right w:val="nil"/>
            </w:tcBorders>
            <w:shd w:val="clear" w:color="000000" w:fill="FFFFFF"/>
            <w:noWrap/>
            <w:vAlign w:val="center"/>
            <w:hideMark/>
          </w:tcPr>
          <w:p w14:paraId="1F9495A7" w14:textId="77777777" w:rsidR="00E565C3" w:rsidRPr="00EC4BA6" w:rsidRDefault="00E565C3" w:rsidP="004D0B46">
            <w:pPr>
              <w:spacing w:before="0" w:after="0" w:line="240" w:lineRule="auto"/>
              <w:ind w:left="170"/>
              <w:rPr>
                <w:rFonts w:ascii="Arial" w:hAnsi="Arial" w:cs="Arial"/>
                <w:i/>
                <w:sz w:val="16"/>
                <w:szCs w:val="16"/>
              </w:rPr>
            </w:pPr>
            <w:r w:rsidRPr="00EC4BA6">
              <w:rPr>
                <w:rFonts w:ascii="Arial" w:hAnsi="Arial" w:cs="Arial"/>
                <w:i/>
                <w:sz w:val="16"/>
                <w:szCs w:val="16"/>
              </w:rPr>
              <w:t>Total excise</w:t>
            </w:r>
          </w:p>
        </w:tc>
        <w:tc>
          <w:tcPr>
            <w:tcW w:w="737" w:type="pct"/>
            <w:tcBorders>
              <w:top w:val="nil"/>
              <w:left w:val="nil"/>
              <w:bottom w:val="nil"/>
              <w:right w:val="nil"/>
            </w:tcBorders>
            <w:shd w:val="clear" w:color="000000" w:fill="FFFFFF"/>
            <w:noWrap/>
            <w:vAlign w:val="center"/>
            <w:hideMark/>
          </w:tcPr>
          <w:p w14:paraId="223DF9F1" w14:textId="77777777" w:rsidR="00E565C3" w:rsidRPr="00EC4BA6" w:rsidRDefault="00E565C3" w:rsidP="00E565C3">
            <w:pPr>
              <w:spacing w:before="0" w:after="0" w:line="240" w:lineRule="auto"/>
              <w:jc w:val="right"/>
              <w:rPr>
                <w:rFonts w:ascii="Arial" w:hAnsi="Arial" w:cs="Arial"/>
                <w:i/>
                <w:sz w:val="16"/>
                <w:szCs w:val="16"/>
              </w:rPr>
            </w:pPr>
            <w:r w:rsidRPr="00EC4BA6">
              <w:rPr>
                <w:rFonts w:ascii="Arial" w:hAnsi="Arial" w:cs="Arial"/>
                <w:i/>
                <w:sz w:val="16"/>
                <w:szCs w:val="16"/>
              </w:rPr>
              <w:t>30,970</w:t>
            </w:r>
          </w:p>
        </w:tc>
        <w:tc>
          <w:tcPr>
            <w:tcW w:w="737" w:type="pct"/>
            <w:tcBorders>
              <w:top w:val="nil"/>
              <w:left w:val="nil"/>
              <w:bottom w:val="nil"/>
              <w:right w:val="nil"/>
            </w:tcBorders>
            <w:shd w:val="clear" w:color="000000" w:fill="E6F2FF"/>
            <w:noWrap/>
            <w:vAlign w:val="center"/>
            <w:hideMark/>
          </w:tcPr>
          <w:p w14:paraId="3EAA56F6" w14:textId="77777777" w:rsidR="00E565C3" w:rsidRPr="00EC4BA6" w:rsidRDefault="00E565C3" w:rsidP="00E565C3">
            <w:pPr>
              <w:spacing w:before="0" w:after="0" w:line="240" w:lineRule="auto"/>
              <w:jc w:val="right"/>
              <w:rPr>
                <w:rFonts w:ascii="Arial" w:hAnsi="Arial" w:cs="Arial"/>
                <w:i/>
                <w:sz w:val="16"/>
                <w:szCs w:val="16"/>
              </w:rPr>
            </w:pPr>
            <w:r w:rsidRPr="00EC4BA6">
              <w:rPr>
                <w:rFonts w:ascii="Arial" w:hAnsi="Arial" w:cs="Arial"/>
                <w:i/>
                <w:sz w:val="16"/>
                <w:szCs w:val="16"/>
              </w:rPr>
              <w:t>31,000</w:t>
            </w:r>
          </w:p>
        </w:tc>
        <w:tc>
          <w:tcPr>
            <w:tcW w:w="58" w:type="pct"/>
            <w:tcBorders>
              <w:top w:val="nil"/>
              <w:left w:val="nil"/>
              <w:bottom w:val="nil"/>
              <w:right w:val="nil"/>
            </w:tcBorders>
            <w:shd w:val="clear" w:color="000000" w:fill="FFFFFF"/>
            <w:noWrap/>
            <w:vAlign w:val="center"/>
            <w:hideMark/>
          </w:tcPr>
          <w:p w14:paraId="27D6EEFD" w14:textId="77777777" w:rsidR="00E565C3" w:rsidRPr="00EC4BA6" w:rsidRDefault="00E565C3" w:rsidP="00E565C3">
            <w:pPr>
              <w:spacing w:before="0" w:after="0" w:line="240" w:lineRule="auto"/>
              <w:jc w:val="right"/>
              <w:rPr>
                <w:rFonts w:ascii="Arial" w:hAnsi="Arial" w:cs="Arial"/>
                <w:i/>
                <w:sz w:val="16"/>
                <w:szCs w:val="16"/>
              </w:rPr>
            </w:pPr>
            <w:r w:rsidRPr="00EC4BA6">
              <w:rPr>
                <w:rFonts w:ascii="Arial" w:hAnsi="Arial" w:cs="Arial"/>
                <w:i/>
                <w:sz w:val="16"/>
                <w:szCs w:val="16"/>
              </w:rPr>
              <w:t> </w:t>
            </w:r>
          </w:p>
        </w:tc>
        <w:tc>
          <w:tcPr>
            <w:tcW w:w="737" w:type="pct"/>
            <w:tcBorders>
              <w:top w:val="nil"/>
              <w:left w:val="nil"/>
              <w:bottom w:val="nil"/>
              <w:right w:val="nil"/>
            </w:tcBorders>
            <w:shd w:val="clear" w:color="000000" w:fill="FFFFFF"/>
            <w:noWrap/>
            <w:vAlign w:val="center"/>
            <w:hideMark/>
          </w:tcPr>
          <w:p w14:paraId="7B9B2EA8" w14:textId="77777777" w:rsidR="00E565C3" w:rsidRPr="00EC4BA6" w:rsidRDefault="00E565C3" w:rsidP="00E565C3">
            <w:pPr>
              <w:spacing w:before="0" w:after="0" w:line="240" w:lineRule="auto"/>
              <w:jc w:val="right"/>
              <w:rPr>
                <w:rFonts w:ascii="Arial" w:hAnsi="Arial" w:cs="Arial"/>
                <w:i/>
                <w:sz w:val="16"/>
                <w:szCs w:val="16"/>
              </w:rPr>
            </w:pPr>
            <w:r w:rsidRPr="00EC4BA6">
              <w:rPr>
                <w:rFonts w:ascii="Arial" w:hAnsi="Arial" w:cs="Arial"/>
                <w:i/>
                <w:sz w:val="16"/>
                <w:szCs w:val="16"/>
              </w:rPr>
              <w:t>30</w:t>
            </w:r>
          </w:p>
        </w:tc>
        <w:tc>
          <w:tcPr>
            <w:tcW w:w="737" w:type="pct"/>
            <w:tcBorders>
              <w:top w:val="nil"/>
              <w:left w:val="nil"/>
              <w:bottom w:val="nil"/>
              <w:right w:val="nil"/>
            </w:tcBorders>
            <w:shd w:val="clear" w:color="000000" w:fill="FFFFFF"/>
            <w:noWrap/>
            <w:vAlign w:val="center"/>
            <w:hideMark/>
          </w:tcPr>
          <w:p w14:paraId="0B59DF91" w14:textId="77777777" w:rsidR="00E565C3" w:rsidRPr="00EC4BA6" w:rsidRDefault="00E565C3" w:rsidP="00E565C3">
            <w:pPr>
              <w:spacing w:before="0" w:after="0" w:line="240" w:lineRule="auto"/>
              <w:jc w:val="right"/>
              <w:rPr>
                <w:rFonts w:ascii="Arial" w:hAnsi="Arial" w:cs="Arial"/>
                <w:i/>
                <w:sz w:val="16"/>
                <w:szCs w:val="16"/>
              </w:rPr>
            </w:pPr>
            <w:r w:rsidRPr="00EC4BA6">
              <w:rPr>
                <w:rFonts w:ascii="Arial" w:hAnsi="Arial" w:cs="Arial"/>
                <w:i/>
                <w:sz w:val="16"/>
                <w:szCs w:val="16"/>
              </w:rPr>
              <w:t>0.1</w:t>
            </w:r>
          </w:p>
        </w:tc>
      </w:tr>
      <w:tr w:rsidR="00E565C3" w:rsidRPr="00EC4BA6" w14:paraId="07C714CE" w14:textId="77777777" w:rsidTr="004D0B46">
        <w:trPr>
          <w:trHeight w:hRule="exact" w:val="225"/>
        </w:trPr>
        <w:tc>
          <w:tcPr>
            <w:tcW w:w="1993" w:type="pct"/>
            <w:tcBorders>
              <w:top w:val="nil"/>
              <w:left w:val="nil"/>
              <w:bottom w:val="nil"/>
              <w:right w:val="nil"/>
            </w:tcBorders>
            <w:shd w:val="clear" w:color="000000" w:fill="FFFFFF"/>
            <w:noWrap/>
            <w:vAlign w:val="center"/>
            <w:hideMark/>
          </w:tcPr>
          <w:p w14:paraId="367ABE15" w14:textId="77777777" w:rsidR="00E565C3" w:rsidRPr="00EC4BA6" w:rsidRDefault="00E565C3" w:rsidP="004D0B46">
            <w:pPr>
              <w:spacing w:before="0" w:after="0" w:line="240" w:lineRule="auto"/>
              <w:ind w:left="170"/>
              <w:rPr>
                <w:rFonts w:ascii="Arial" w:hAnsi="Arial" w:cs="Arial"/>
                <w:i/>
                <w:sz w:val="16"/>
                <w:szCs w:val="16"/>
              </w:rPr>
            </w:pPr>
            <w:r w:rsidRPr="00EC4BA6">
              <w:rPr>
                <w:rFonts w:ascii="Arial" w:hAnsi="Arial" w:cs="Arial"/>
                <w:i/>
                <w:sz w:val="16"/>
                <w:szCs w:val="16"/>
              </w:rPr>
              <w:t>Total customs duty</w:t>
            </w:r>
          </w:p>
        </w:tc>
        <w:tc>
          <w:tcPr>
            <w:tcW w:w="737" w:type="pct"/>
            <w:tcBorders>
              <w:top w:val="nil"/>
              <w:left w:val="nil"/>
              <w:bottom w:val="nil"/>
              <w:right w:val="nil"/>
            </w:tcBorders>
            <w:shd w:val="clear" w:color="000000" w:fill="FFFFFF"/>
            <w:noWrap/>
            <w:vAlign w:val="center"/>
            <w:hideMark/>
          </w:tcPr>
          <w:p w14:paraId="1DDB059F" w14:textId="77777777" w:rsidR="00E565C3" w:rsidRPr="00EC4BA6" w:rsidRDefault="00E565C3" w:rsidP="00E565C3">
            <w:pPr>
              <w:spacing w:before="0" w:after="0" w:line="240" w:lineRule="auto"/>
              <w:jc w:val="right"/>
              <w:rPr>
                <w:rFonts w:ascii="Arial" w:hAnsi="Arial" w:cs="Arial"/>
                <w:i/>
                <w:sz w:val="16"/>
                <w:szCs w:val="16"/>
              </w:rPr>
            </w:pPr>
            <w:r w:rsidRPr="00EC4BA6">
              <w:rPr>
                <w:rFonts w:ascii="Arial" w:hAnsi="Arial" w:cs="Arial"/>
                <w:i/>
                <w:sz w:val="16"/>
                <w:szCs w:val="16"/>
              </w:rPr>
              <w:t>12,980</w:t>
            </w:r>
          </w:p>
        </w:tc>
        <w:tc>
          <w:tcPr>
            <w:tcW w:w="737" w:type="pct"/>
            <w:tcBorders>
              <w:top w:val="nil"/>
              <w:left w:val="nil"/>
              <w:bottom w:val="nil"/>
              <w:right w:val="nil"/>
            </w:tcBorders>
            <w:shd w:val="clear" w:color="000000" w:fill="E6F2FF"/>
            <w:noWrap/>
            <w:vAlign w:val="center"/>
            <w:hideMark/>
          </w:tcPr>
          <w:p w14:paraId="76735E01" w14:textId="77777777" w:rsidR="00E565C3" w:rsidRPr="00EC4BA6" w:rsidRDefault="00E565C3" w:rsidP="00E565C3">
            <w:pPr>
              <w:spacing w:before="0" w:after="0" w:line="240" w:lineRule="auto"/>
              <w:jc w:val="right"/>
              <w:rPr>
                <w:rFonts w:ascii="Arial" w:hAnsi="Arial" w:cs="Arial"/>
                <w:i/>
                <w:sz w:val="16"/>
                <w:szCs w:val="16"/>
              </w:rPr>
            </w:pPr>
            <w:r w:rsidRPr="00EC4BA6">
              <w:rPr>
                <w:rFonts w:ascii="Arial" w:hAnsi="Arial" w:cs="Arial"/>
                <w:i/>
                <w:sz w:val="16"/>
                <w:szCs w:val="16"/>
              </w:rPr>
              <w:t>11,430</w:t>
            </w:r>
          </w:p>
        </w:tc>
        <w:tc>
          <w:tcPr>
            <w:tcW w:w="58" w:type="pct"/>
            <w:tcBorders>
              <w:top w:val="nil"/>
              <w:left w:val="nil"/>
              <w:bottom w:val="nil"/>
              <w:right w:val="nil"/>
            </w:tcBorders>
            <w:shd w:val="clear" w:color="000000" w:fill="FFFFFF"/>
            <w:noWrap/>
            <w:vAlign w:val="center"/>
            <w:hideMark/>
          </w:tcPr>
          <w:p w14:paraId="42EA43E0" w14:textId="77777777" w:rsidR="00E565C3" w:rsidRPr="00EC4BA6" w:rsidRDefault="00E565C3" w:rsidP="00E565C3">
            <w:pPr>
              <w:spacing w:before="0" w:after="0" w:line="240" w:lineRule="auto"/>
              <w:jc w:val="right"/>
              <w:rPr>
                <w:rFonts w:ascii="Arial" w:hAnsi="Arial" w:cs="Arial"/>
                <w:i/>
                <w:sz w:val="16"/>
                <w:szCs w:val="16"/>
              </w:rPr>
            </w:pPr>
            <w:r w:rsidRPr="00EC4BA6">
              <w:rPr>
                <w:rFonts w:ascii="Arial" w:hAnsi="Arial" w:cs="Arial"/>
                <w:i/>
                <w:sz w:val="16"/>
                <w:szCs w:val="16"/>
              </w:rPr>
              <w:t> </w:t>
            </w:r>
          </w:p>
        </w:tc>
        <w:tc>
          <w:tcPr>
            <w:tcW w:w="737" w:type="pct"/>
            <w:tcBorders>
              <w:top w:val="nil"/>
              <w:left w:val="nil"/>
              <w:bottom w:val="nil"/>
              <w:right w:val="nil"/>
            </w:tcBorders>
            <w:shd w:val="clear" w:color="000000" w:fill="FFFFFF"/>
            <w:noWrap/>
            <w:vAlign w:val="center"/>
            <w:hideMark/>
          </w:tcPr>
          <w:p w14:paraId="303AB76D" w14:textId="491DABC9" w:rsidR="00E565C3" w:rsidRPr="00EC4BA6" w:rsidRDefault="001A3DD6" w:rsidP="00E565C3">
            <w:pPr>
              <w:spacing w:before="0" w:after="0" w:line="240" w:lineRule="auto"/>
              <w:jc w:val="right"/>
              <w:rPr>
                <w:rFonts w:ascii="Arial" w:hAnsi="Arial" w:cs="Arial"/>
                <w:i/>
                <w:sz w:val="16"/>
                <w:szCs w:val="16"/>
              </w:rPr>
            </w:pPr>
            <w:r>
              <w:rPr>
                <w:rFonts w:ascii="Arial" w:hAnsi="Arial" w:cs="Arial"/>
                <w:i/>
                <w:sz w:val="16"/>
                <w:szCs w:val="16"/>
              </w:rPr>
              <w:noBreakHyphen/>
            </w:r>
            <w:r w:rsidR="00E565C3" w:rsidRPr="00EC4BA6">
              <w:rPr>
                <w:rFonts w:ascii="Arial" w:hAnsi="Arial" w:cs="Arial"/>
                <w:i/>
                <w:sz w:val="16"/>
                <w:szCs w:val="16"/>
              </w:rPr>
              <w:t>1,550</w:t>
            </w:r>
          </w:p>
        </w:tc>
        <w:tc>
          <w:tcPr>
            <w:tcW w:w="737" w:type="pct"/>
            <w:tcBorders>
              <w:top w:val="nil"/>
              <w:left w:val="nil"/>
              <w:bottom w:val="nil"/>
              <w:right w:val="nil"/>
            </w:tcBorders>
            <w:shd w:val="clear" w:color="000000" w:fill="FFFFFF"/>
            <w:noWrap/>
            <w:vAlign w:val="center"/>
            <w:hideMark/>
          </w:tcPr>
          <w:p w14:paraId="579B9C46" w14:textId="40211937" w:rsidR="00E565C3" w:rsidRPr="00EC4BA6" w:rsidRDefault="001A3DD6" w:rsidP="00E565C3">
            <w:pPr>
              <w:spacing w:before="0" w:after="0" w:line="240" w:lineRule="auto"/>
              <w:jc w:val="right"/>
              <w:rPr>
                <w:rFonts w:ascii="Arial" w:hAnsi="Arial" w:cs="Arial"/>
                <w:i/>
                <w:sz w:val="16"/>
                <w:szCs w:val="16"/>
              </w:rPr>
            </w:pPr>
            <w:r>
              <w:rPr>
                <w:rFonts w:ascii="Arial" w:hAnsi="Arial" w:cs="Arial"/>
                <w:i/>
                <w:sz w:val="16"/>
                <w:szCs w:val="16"/>
              </w:rPr>
              <w:noBreakHyphen/>
            </w:r>
            <w:r w:rsidR="00E565C3" w:rsidRPr="00EC4BA6">
              <w:rPr>
                <w:rFonts w:ascii="Arial" w:hAnsi="Arial" w:cs="Arial"/>
                <w:i/>
                <w:sz w:val="16"/>
                <w:szCs w:val="16"/>
              </w:rPr>
              <w:t>11.9</w:t>
            </w:r>
          </w:p>
        </w:tc>
      </w:tr>
      <w:tr w:rsidR="00E565C3" w:rsidRPr="00EC4BA6" w14:paraId="3D06F4A5" w14:textId="77777777" w:rsidTr="004D0B46">
        <w:trPr>
          <w:trHeight w:hRule="exact" w:val="225"/>
        </w:trPr>
        <w:tc>
          <w:tcPr>
            <w:tcW w:w="1993" w:type="pct"/>
            <w:tcBorders>
              <w:top w:val="nil"/>
              <w:left w:val="nil"/>
              <w:bottom w:val="single" w:sz="4" w:space="0" w:color="293F5B"/>
              <w:right w:val="nil"/>
            </w:tcBorders>
            <w:shd w:val="clear" w:color="000000" w:fill="FFFFFF"/>
            <w:noWrap/>
            <w:vAlign w:val="center"/>
            <w:hideMark/>
          </w:tcPr>
          <w:p w14:paraId="7B75E179" w14:textId="77777777" w:rsidR="00E565C3" w:rsidRPr="00EC4BA6" w:rsidRDefault="00E565C3" w:rsidP="004D0B46">
            <w:pPr>
              <w:spacing w:before="0" w:after="0" w:line="240" w:lineRule="auto"/>
              <w:ind w:left="170"/>
              <w:rPr>
                <w:rFonts w:ascii="Arial" w:hAnsi="Arial" w:cs="Arial"/>
                <w:i/>
                <w:sz w:val="16"/>
                <w:szCs w:val="16"/>
              </w:rPr>
            </w:pPr>
            <w:r w:rsidRPr="00EC4BA6">
              <w:rPr>
                <w:rFonts w:ascii="Arial" w:hAnsi="Arial" w:cs="Arial"/>
                <w:i/>
                <w:sz w:val="16"/>
                <w:szCs w:val="16"/>
              </w:rPr>
              <w:t>Capital gains tax(b)</w:t>
            </w:r>
          </w:p>
        </w:tc>
        <w:tc>
          <w:tcPr>
            <w:tcW w:w="737" w:type="pct"/>
            <w:tcBorders>
              <w:top w:val="nil"/>
              <w:left w:val="nil"/>
              <w:bottom w:val="single" w:sz="4" w:space="0" w:color="293F5B"/>
              <w:right w:val="nil"/>
            </w:tcBorders>
            <w:shd w:val="clear" w:color="000000" w:fill="FFFFFF"/>
            <w:noWrap/>
            <w:vAlign w:val="center"/>
            <w:hideMark/>
          </w:tcPr>
          <w:p w14:paraId="7457D976" w14:textId="77777777" w:rsidR="00E565C3" w:rsidRPr="00EC4BA6" w:rsidRDefault="00E565C3" w:rsidP="00E565C3">
            <w:pPr>
              <w:spacing w:before="0" w:after="0" w:line="240" w:lineRule="auto"/>
              <w:jc w:val="right"/>
              <w:rPr>
                <w:rFonts w:ascii="Arial" w:hAnsi="Arial" w:cs="Arial"/>
                <w:i/>
                <w:sz w:val="16"/>
                <w:szCs w:val="16"/>
              </w:rPr>
            </w:pPr>
            <w:r w:rsidRPr="00EC4BA6">
              <w:rPr>
                <w:rFonts w:ascii="Arial" w:hAnsi="Arial" w:cs="Arial"/>
                <w:i/>
                <w:sz w:val="16"/>
                <w:szCs w:val="16"/>
              </w:rPr>
              <w:t>29,900</w:t>
            </w:r>
          </w:p>
        </w:tc>
        <w:tc>
          <w:tcPr>
            <w:tcW w:w="737" w:type="pct"/>
            <w:tcBorders>
              <w:top w:val="nil"/>
              <w:left w:val="nil"/>
              <w:bottom w:val="single" w:sz="4" w:space="0" w:color="293F5B"/>
              <w:right w:val="nil"/>
            </w:tcBorders>
            <w:shd w:val="clear" w:color="000000" w:fill="E6F2FF"/>
            <w:noWrap/>
            <w:vAlign w:val="center"/>
            <w:hideMark/>
          </w:tcPr>
          <w:p w14:paraId="693E8378" w14:textId="77777777" w:rsidR="00E565C3" w:rsidRPr="00EC4BA6" w:rsidRDefault="00E565C3" w:rsidP="00E565C3">
            <w:pPr>
              <w:spacing w:before="0" w:after="0" w:line="240" w:lineRule="auto"/>
              <w:jc w:val="right"/>
              <w:rPr>
                <w:rFonts w:ascii="Arial" w:hAnsi="Arial" w:cs="Arial"/>
                <w:i/>
                <w:sz w:val="16"/>
                <w:szCs w:val="16"/>
              </w:rPr>
            </w:pPr>
            <w:r w:rsidRPr="00EC4BA6">
              <w:rPr>
                <w:rFonts w:ascii="Arial" w:hAnsi="Arial" w:cs="Arial"/>
                <w:i/>
                <w:sz w:val="16"/>
                <w:szCs w:val="16"/>
              </w:rPr>
              <w:t>30,700</w:t>
            </w:r>
          </w:p>
        </w:tc>
        <w:tc>
          <w:tcPr>
            <w:tcW w:w="58" w:type="pct"/>
            <w:tcBorders>
              <w:top w:val="nil"/>
              <w:left w:val="nil"/>
              <w:bottom w:val="single" w:sz="4" w:space="0" w:color="293F5B"/>
              <w:right w:val="nil"/>
            </w:tcBorders>
            <w:shd w:val="clear" w:color="000000" w:fill="FFFFFF"/>
            <w:noWrap/>
            <w:vAlign w:val="center"/>
            <w:hideMark/>
          </w:tcPr>
          <w:p w14:paraId="1E467953" w14:textId="77777777" w:rsidR="00E565C3" w:rsidRPr="00EC4BA6" w:rsidRDefault="00E565C3" w:rsidP="00E565C3">
            <w:pPr>
              <w:spacing w:before="0" w:after="0" w:line="240" w:lineRule="auto"/>
              <w:jc w:val="right"/>
              <w:rPr>
                <w:rFonts w:ascii="Arial" w:hAnsi="Arial" w:cs="Arial"/>
                <w:i/>
                <w:sz w:val="16"/>
                <w:szCs w:val="16"/>
              </w:rPr>
            </w:pPr>
            <w:r w:rsidRPr="00EC4BA6">
              <w:rPr>
                <w:rFonts w:ascii="Arial" w:hAnsi="Arial" w:cs="Arial"/>
                <w:i/>
                <w:sz w:val="16"/>
                <w:szCs w:val="16"/>
              </w:rPr>
              <w:t> </w:t>
            </w:r>
          </w:p>
        </w:tc>
        <w:tc>
          <w:tcPr>
            <w:tcW w:w="737" w:type="pct"/>
            <w:tcBorders>
              <w:top w:val="nil"/>
              <w:left w:val="nil"/>
              <w:bottom w:val="single" w:sz="4" w:space="0" w:color="293F5B"/>
              <w:right w:val="nil"/>
            </w:tcBorders>
            <w:shd w:val="clear" w:color="000000" w:fill="FFFFFF"/>
            <w:noWrap/>
            <w:vAlign w:val="center"/>
            <w:hideMark/>
          </w:tcPr>
          <w:p w14:paraId="10A919C1" w14:textId="77777777" w:rsidR="00E565C3" w:rsidRPr="00EC4BA6" w:rsidRDefault="00E565C3" w:rsidP="00E565C3">
            <w:pPr>
              <w:spacing w:before="0" w:after="0" w:line="240" w:lineRule="auto"/>
              <w:jc w:val="right"/>
              <w:rPr>
                <w:rFonts w:ascii="Arial" w:hAnsi="Arial" w:cs="Arial"/>
                <w:i/>
                <w:sz w:val="16"/>
                <w:szCs w:val="16"/>
              </w:rPr>
            </w:pPr>
            <w:r w:rsidRPr="00EC4BA6">
              <w:rPr>
                <w:rFonts w:ascii="Arial" w:hAnsi="Arial" w:cs="Arial"/>
                <w:i/>
                <w:sz w:val="16"/>
                <w:szCs w:val="16"/>
              </w:rPr>
              <w:t>800</w:t>
            </w:r>
          </w:p>
        </w:tc>
        <w:tc>
          <w:tcPr>
            <w:tcW w:w="737" w:type="pct"/>
            <w:tcBorders>
              <w:top w:val="nil"/>
              <w:left w:val="nil"/>
              <w:bottom w:val="single" w:sz="4" w:space="0" w:color="293F5B"/>
              <w:right w:val="nil"/>
            </w:tcBorders>
            <w:shd w:val="clear" w:color="000000" w:fill="FFFFFF"/>
            <w:noWrap/>
            <w:vAlign w:val="center"/>
            <w:hideMark/>
          </w:tcPr>
          <w:p w14:paraId="424DC838" w14:textId="77777777" w:rsidR="00E565C3" w:rsidRPr="00EC4BA6" w:rsidRDefault="00E565C3" w:rsidP="00E565C3">
            <w:pPr>
              <w:spacing w:before="0" w:after="0" w:line="240" w:lineRule="auto"/>
              <w:jc w:val="right"/>
              <w:rPr>
                <w:rFonts w:ascii="Arial" w:hAnsi="Arial" w:cs="Arial"/>
                <w:i/>
                <w:sz w:val="16"/>
                <w:szCs w:val="16"/>
              </w:rPr>
            </w:pPr>
            <w:r w:rsidRPr="00EC4BA6">
              <w:rPr>
                <w:rFonts w:ascii="Arial" w:hAnsi="Arial" w:cs="Arial"/>
                <w:i/>
                <w:sz w:val="16"/>
                <w:szCs w:val="16"/>
              </w:rPr>
              <w:t>2.7</w:t>
            </w:r>
          </w:p>
        </w:tc>
      </w:tr>
    </w:tbl>
    <w:p w14:paraId="7BC7541C" w14:textId="4FC596CD" w:rsidR="00DF4D4F" w:rsidRPr="00EC4BA6" w:rsidRDefault="001A3DD6" w:rsidP="00B7671E">
      <w:pPr>
        <w:pStyle w:val="ChartandTableFootnoteAlpha"/>
        <w:numPr>
          <w:ilvl w:val="0"/>
          <w:numId w:val="44"/>
        </w:numPr>
        <w:rPr>
          <w:rFonts w:eastAsiaTheme="minorEastAsia"/>
          <w:color w:val="auto"/>
        </w:rPr>
      </w:pPr>
      <w:r>
        <w:rPr>
          <w:color w:val="auto"/>
        </w:rPr>
        <w:t>‘</w:t>
      </w:r>
      <w:r w:rsidR="00DF4D4F" w:rsidRPr="00EC4BA6">
        <w:rPr>
          <w:color w:val="auto"/>
        </w:rPr>
        <w:t>Other alcoholic beverages</w:t>
      </w:r>
      <w:r>
        <w:rPr>
          <w:color w:val="auto"/>
        </w:rPr>
        <w:t>’</w:t>
      </w:r>
      <w:r w:rsidR="00DF4D4F" w:rsidRPr="00EC4BA6">
        <w:rPr>
          <w:color w:val="auto"/>
        </w:rPr>
        <w:t xml:space="preserve"> are those not exceeding 10 per cent by volume of alcohol (excluding beer, brandy and wine). </w:t>
      </w:r>
    </w:p>
    <w:p w14:paraId="28F29E53" w14:textId="2C0FF3DC" w:rsidR="00DF4D4F" w:rsidRPr="00EC4BA6" w:rsidRDefault="001A3DD6" w:rsidP="00B7671E">
      <w:pPr>
        <w:pStyle w:val="ChartandTableFootnoteAlpha"/>
        <w:rPr>
          <w:color w:val="auto"/>
        </w:rPr>
      </w:pPr>
      <w:r>
        <w:rPr>
          <w:color w:val="auto"/>
        </w:rPr>
        <w:t>‘</w:t>
      </w:r>
      <w:r w:rsidR="00DF4D4F" w:rsidRPr="00EC4BA6">
        <w:rPr>
          <w:color w:val="auto"/>
        </w:rPr>
        <w:t>Capital gains tax</w:t>
      </w:r>
      <w:r>
        <w:rPr>
          <w:color w:val="auto"/>
        </w:rPr>
        <w:t>’</w:t>
      </w:r>
      <w:r w:rsidR="00DF4D4F" w:rsidRPr="00EC4BA6">
        <w:rPr>
          <w:color w:val="auto"/>
        </w:rPr>
        <w:t xml:space="preserve"> is part of gross other individuals, company tax and superannuation fund taxes.</w:t>
      </w:r>
    </w:p>
    <w:p w14:paraId="2D85A6C3" w14:textId="77777777" w:rsidR="00B7671E" w:rsidRPr="00EC4BA6" w:rsidRDefault="00B7671E" w:rsidP="00B7671E">
      <w:pPr>
        <w:pStyle w:val="TableLine"/>
      </w:pPr>
    </w:p>
    <w:p w14:paraId="79833ABC" w14:textId="60CDBC81" w:rsidR="004D0B46" w:rsidRPr="00EC4BA6" w:rsidRDefault="00DF4D4F" w:rsidP="00837F3F">
      <w:pPr>
        <w:pStyle w:val="TableHeading"/>
        <w:rPr>
          <w:rFonts w:asciiTheme="minorHAnsi" w:eastAsiaTheme="minorHAnsi" w:hAnsiTheme="minorHAnsi" w:cstheme="minorBidi"/>
          <w:sz w:val="22"/>
          <w:szCs w:val="22"/>
          <w:lang w:eastAsia="en-US"/>
        </w:rPr>
      </w:pPr>
      <w:r w:rsidRPr="00EC4BA6">
        <w:lastRenderedPageBreak/>
        <w:t xml:space="preserve">Table </w:t>
      </w:r>
      <w:r w:rsidR="008F3AA1" w:rsidRPr="00EC4BA6">
        <w:t>4</w:t>
      </w:r>
      <w:r w:rsidRPr="00EC4BA6">
        <w:t>.10: Reconciliation of 202</w:t>
      </w:r>
      <w:r w:rsidR="00970117" w:rsidRPr="00EC4BA6">
        <w:t>5</w:t>
      </w:r>
      <w:r w:rsidRPr="00EC4BA6">
        <w:t>–2</w:t>
      </w:r>
      <w:r w:rsidR="00970117" w:rsidRPr="00EC4BA6">
        <w:t>6</w:t>
      </w:r>
      <w:r w:rsidRPr="00EC4BA6">
        <w:t xml:space="preserve"> general government (accrual) revenue</w:t>
      </w:r>
    </w:p>
    <w:tbl>
      <w:tblPr>
        <w:tblW w:w="5000" w:type="pct"/>
        <w:tblCellMar>
          <w:left w:w="0" w:type="dxa"/>
          <w:right w:w="28" w:type="dxa"/>
        </w:tblCellMar>
        <w:tblLook w:val="04A0" w:firstRow="1" w:lastRow="0" w:firstColumn="1" w:lastColumn="0" w:noHBand="0" w:noVBand="1"/>
      </w:tblPr>
      <w:tblGrid>
        <w:gridCol w:w="3101"/>
        <w:gridCol w:w="1119"/>
        <w:gridCol w:w="1121"/>
        <w:gridCol w:w="89"/>
        <w:gridCol w:w="1140"/>
        <w:gridCol w:w="1140"/>
      </w:tblGrid>
      <w:tr w:rsidR="00837F3F" w:rsidRPr="00EC4BA6" w14:paraId="5FDDFFBD" w14:textId="77777777" w:rsidTr="00837F3F">
        <w:trPr>
          <w:trHeight w:hRule="exact" w:val="225"/>
        </w:trPr>
        <w:tc>
          <w:tcPr>
            <w:tcW w:w="2011" w:type="pct"/>
            <w:tcBorders>
              <w:top w:val="single" w:sz="4" w:space="0" w:color="293F5B"/>
              <w:left w:val="nil"/>
              <w:bottom w:val="nil"/>
              <w:right w:val="nil"/>
            </w:tcBorders>
            <w:shd w:val="clear" w:color="000000" w:fill="FFFFFF"/>
            <w:noWrap/>
            <w:vAlign w:val="center"/>
            <w:hideMark/>
          </w:tcPr>
          <w:p w14:paraId="1F5E940C" w14:textId="4B543BB4" w:rsidR="004D0B46" w:rsidRPr="00EC4BA6" w:rsidRDefault="004D0B46">
            <w:pPr>
              <w:rPr>
                <w:rFonts w:ascii="Arial" w:hAnsi="Arial" w:cs="Arial"/>
                <w:sz w:val="16"/>
                <w:szCs w:val="16"/>
              </w:rPr>
            </w:pPr>
            <w:r w:rsidRPr="00EC4BA6">
              <w:rPr>
                <w:rFonts w:ascii="Arial" w:hAnsi="Arial" w:cs="Arial"/>
                <w:sz w:val="16"/>
                <w:szCs w:val="16"/>
              </w:rPr>
              <w:t> </w:t>
            </w:r>
          </w:p>
        </w:tc>
        <w:tc>
          <w:tcPr>
            <w:tcW w:w="1453" w:type="pct"/>
            <w:gridSpan w:val="2"/>
            <w:tcBorders>
              <w:top w:val="single" w:sz="4" w:space="0" w:color="293F5B"/>
              <w:left w:val="nil"/>
              <w:bottom w:val="single" w:sz="4" w:space="0" w:color="293F5B"/>
              <w:right w:val="nil"/>
            </w:tcBorders>
            <w:shd w:val="clear" w:color="000000" w:fill="FFFFFF"/>
            <w:noWrap/>
            <w:vAlign w:val="center"/>
            <w:hideMark/>
          </w:tcPr>
          <w:p w14:paraId="0A625BD1" w14:textId="77777777" w:rsidR="004D0B46" w:rsidRPr="00EC4BA6" w:rsidRDefault="004D0B46" w:rsidP="004D0B46">
            <w:pPr>
              <w:spacing w:before="0" w:after="0" w:line="240" w:lineRule="auto"/>
              <w:jc w:val="center"/>
              <w:rPr>
                <w:rFonts w:ascii="Arial" w:hAnsi="Arial" w:cs="Arial"/>
                <w:sz w:val="16"/>
                <w:szCs w:val="16"/>
              </w:rPr>
            </w:pPr>
            <w:r w:rsidRPr="00EC4BA6">
              <w:rPr>
                <w:rFonts w:ascii="Arial" w:hAnsi="Arial" w:cs="Arial"/>
                <w:sz w:val="16"/>
                <w:szCs w:val="16"/>
              </w:rPr>
              <w:t>Estimates</w:t>
            </w:r>
          </w:p>
        </w:tc>
        <w:tc>
          <w:tcPr>
            <w:tcW w:w="58" w:type="pct"/>
            <w:tcBorders>
              <w:top w:val="single" w:sz="4" w:space="0" w:color="293F5B"/>
              <w:left w:val="nil"/>
              <w:bottom w:val="nil"/>
              <w:right w:val="nil"/>
            </w:tcBorders>
            <w:shd w:val="clear" w:color="000000" w:fill="FFFFFF"/>
            <w:noWrap/>
            <w:vAlign w:val="center"/>
            <w:hideMark/>
          </w:tcPr>
          <w:p w14:paraId="7A691107"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 </w:t>
            </w:r>
          </w:p>
        </w:tc>
        <w:tc>
          <w:tcPr>
            <w:tcW w:w="1479" w:type="pct"/>
            <w:gridSpan w:val="2"/>
            <w:tcBorders>
              <w:top w:val="single" w:sz="4" w:space="0" w:color="293F5B"/>
              <w:left w:val="nil"/>
              <w:bottom w:val="single" w:sz="4" w:space="0" w:color="293F5B"/>
              <w:right w:val="nil"/>
            </w:tcBorders>
            <w:shd w:val="clear" w:color="000000" w:fill="FFFFFF"/>
            <w:noWrap/>
            <w:vAlign w:val="center"/>
            <w:hideMark/>
          </w:tcPr>
          <w:p w14:paraId="2BBF2AE9" w14:textId="77777777" w:rsidR="004D0B46" w:rsidRPr="00EC4BA6" w:rsidRDefault="004D0B46" w:rsidP="004D0B46">
            <w:pPr>
              <w:spacing w:before="0" w:after="0" w:line="240" w:lineRule="auto"/>
              <w:jc w:val="center"/>
              <w:rPr>
                <w:rFonts w:ascii="Arial" w:hAnsi="Arial" w:cs="Arial"/>
                <w:sz w:val="16"/>
                <w:szCs w:val="16"/>
              </w:rPr>
            </w:pPr>
            <w:r w:rsidRPr="00EC4BA6">
              <w:rPr>
                <w:rFonts w:ascii="Arial" w:hAnsi="Arial" w:cs="Arial"/>
                <w:sz w:val="16"/>
                <w:szCs w:val="16"/>
              </w:rPr>
              <w:t>Change on MYEFO</w:t>
            </w:r>
          </w:p>
        </w:tc>
      </w:tr>
      <w:tr w:rsidR="00837F3F" w:rsidRPr="00EC4BA6" w14:paraId="56E6DC74" w14:textId="77777777" w:rsidTr="00837F3F">
        <w:trPr>
          <w:trHeight w:hRule="exact" w:val="225"/>
        </w:trPr>
        <w:tc>
          <w:tcPr>
            <w:tcW w:w="2011" w:type="pct"/>
            <w:tcBorders>
              <w:top w:val="nil"/>
              <w:left w:val="nil"/>
              <w:bottom w:val="nil"/>
              <w:right w:val="nil"/>
            </w:tcBorders>
            <w:shd w:val="clear" w:color="000000" w:fill="FFFFFF"/>
            <w:noWrap/>
            <w:vAlign w:val="center"/>
            <w:hideMark/>
          </w:tcPr>
          <w:p w14:paraId="62A8E05B" w14:textId="77777777" w:rsidR="004D0B46" w:rsidRPr="00EC4BA6" w:rsidRDefault="004D0B46" w:rsidP="004D0B46">
            <w:pPr>
              <w:spacing w:before="0" w:after="0" w:line="240" w:lineRule="auto"/>
              <w:rPr>
                <w:rFonts w:ascii="Arial" w:hAnsi="Arial" w:cs="Arial"/>
                <w:sz w:val="16"/>
                <w:szCs w:val="16"/>
              </w:rPr>
            </w:pPr>
            <w:r w:rsidRPr="00EC4BA6">
              <w:rPr>
                <w:rFonts w:ascii="Arial" w:hAnsi="Arial" w:cs="Arial"/>
                <w:sz w:val="16"/>
                <w:szCs w:val="16"/>
              </w:rPr>
              <w:t> </w:t>
            </w:r>
          </w:p>
        </w:tc>
        <w:tc>
          <w:tcPr>
            <w:tcW w:w="726" w:type="pct"/>
            <w:tcBorders>
              <w:top w:val="nil"/>
              <w:left w:val="nil"/>
              <w:bottom w:val="nil"/>
              <w:right w:val="nil"/>
            </w:tcBorders>
            <w:shd w:val="clear" w:color="000000" w:fill="FFFFFF"/>
            <w:noWrap/>
            <w:vAlign w:val="center"/>
            <w:hideMark/>
          </w:tcPr>
          <w:p w14:paraId="03B3F614"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MYEFO</w:t>
            </w:r>
          </w:p>
        </w:tc>
        <w:tc>
          <w:tcPr>
            <w:tcW w:w="726" w:type="pct"/>
            <w:tcBorders>
              <w:top w:val="nil"/>
              <w:left w:val="nil"/>
              <w:bottom w:val="nil"/>
              <w:right w:val="nil"/>
            </w:tcBorders>
            <w:shd w:val="clear" w:color="000000" w:fill="E6F2FF"/>
            <w:noWrap/>
            <w:vAlign w:val="center"/>
            <w:hideMark/>
          </w:tcPr>
          <w:p w14:paraId="29F409C6"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Budget</w:t>
            </w:r>
          </w:p>
        </w:tc>
        <w:tc>
          <w:tcPr>
            <w:tcW w:w="58" w:type="pct"/>
            <w:tcBorders>
              <w:top w:val="nil"/>
              <w:left w:val="nil"/>
              <w:bottom w:val="nil"/>
              <w:right w:val="nil"/>
            </w:tcBorders>
            <w:shd w:val="clear" w:color="000000" w:fill="FFFFFF"/>
            <w:noWrap/>
            <w:vAlign w:val="center"/>
            <w:hideMark/>
          </w:tcPr>
          <w:p w14:paraId="1227C6BA"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 </w:t>
            </w:r>
          </w:p>
        </w:tc>
        <w:tc>
          <w:tcPr>
            <w:tcW w:w="1479" w:type="pct"/>
            <w:gridSpan w:val="2"/>
            <w:tcBorders>
              <w:top w:val="single" w:sz="4" w:space="0" w:color="293F5B"/>
              <w:left w:val="nil"/>
              <w:bottom w:val="nil"/>
              <w:right w:val="nil"/>
            </w:tcBorders>
            <w:shd w:val="clear" w:color="000000" w:fill="FFFFFF"/>
            <w:noWrap/>
            <w:vAlign w:val="center"/>
            <w:hideMark/>
          </w:tcPr>
          <w:p w14:paraId="1AFF8039" w14:textId="77777777" w:rsidR="004D0B46" w:rsidRPr="00EC4BA6" w:rsidRDefault="004D0B46" w:rsidP="004D0B46">
            <w:pPr>
              <w:spacing w:before="0" w:after="0" w:line="240" w:lineRule="auto"/>
              <w:jc w:val="center"/>
              <w:rPr>
                <w:rFonts w:ascii="Arial" w:hAnsi="Arial" w:cs="Arial"/>
                <w:sz w:val="16"/>
                <w:szCs w:val="16"/>
              </w:rPr>
            </w:pPr>
            <w:r w:rsidRPr="00EC4BA6">
              <w:rPr>
                <w:rFonts w:ascii="Arial" w:hAnsi="Arial" w:cs="Arial"/>
                <w:sz w:val="16"/>
                <w:szCs w:val="16"/>
              </w:rPr>
              <w:t xml:space="preserve"> </w:t>
            </w:r>
          </w:p>
        </w:tc>
      </w:tr>
      <w:tr w:rsidR="00837F3F" w:rsidRPr="00EC4BA6" w14:paraId="496C0490" w14:textId="77777777" w:rsidTr="00837F3F">
        <w:trPr>
          <w:trHeight w:hRule="exact" w:val="225"/>
        </w:trPr>
        <w:tc>
          <w:tcPr>
            <w:tcW w:w="2011" w:type="pct"/>
            <w:tcBorders>
              <w:top w:val="nil"/>
              <w:left w:val="nil"/>
              <w:bottom w:val="nil"/>
              <w:right w:val="nil"/>
            </w:tcBorders>
            <w:shd w:val="clear" w:color="000000" w:fill="FFFFFF"/>
            <w:vAlign w:val="center"/>
            <w:hideMark/>
          </w:tcPr>
          <w:p w14:paraId="71A42E7F" w14:textId="77777777" w:rsidR="004D0B46" w:rsidRPr="00EC4BA6" w:rsidRDefault="004D0B46" w:rsidP="004D0B46">
            <w:pPr>
              <w:spacing w:before="0" w:after="0" w:line="240" w:lineRule="auto"/>
              <w:rPr>
                <w:rFonts w:ascii="Arial" w:hAnsi="Arial" w:cs="Arial"/>
                <w:sz w:val="16"/>
                <w:szCs w:val="16"/>
              </w:rPr>
            </w:pPr>
            <w:r w:rsidRPr="00EC4BA6">
              <w:rPr>
                <w:rFonts w:ascii="Arial" w:hAnsi="Arial" w:cs="Arial"/>
                <w:sz w:val="16"/>
                <w:szCs w:val="16"/>
              </w:rPr>
              <w:t> </w:t>
            </w:r>
          </w:p>
        </w:tc>
        <w:tc>
          <w:tcPr>
            <w:tcW w:w="726" w:type="pct"/>
            <w:tcBorders>
              <w:top w:val="nil"/>
              <w:left w:val="nil"/>
              <w:bottom w:val="single" w:sz="4" w:space="0" w:color="293F5B"/>
              <w:right w:val="nil"/>
            </w:tcBorders>
            <w:shd w:val="clear" w:color="000000" w:fill="FFFFFF"/>
            <w:vAlign w:val="center"/>
            <w:hideMark/>
          </w:tcPr>
          <w:p w14:paraId="4298AE9B"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$m</w:t>
            </w:r>
          </w:p>
        </w:tc>
        <w:tc>
          <w:tcPr>
            <w:tcW w:w="726" w:type="pct"/>
            <w:tcBorders>
              <w:top w:val="nil"/>
              <w:left w:val="nil"/>
              <w:bottom w:val="single" w:sz="4" w:space="0" w:color="293F5B"/>
              <w:right w:val="nil"/>
            </w:tcBorders>
            <w:shd w:val="clear" w:color="000000" w:fill="E6F2FF"/>
            <w:vAlign w:val="center"/>
            <w:hideMark/>
          </w:tcPr>
          <w:p w14:paraId="766F3C82"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$m</w:t>
            </w:r>
          </w:p>
        </w:tc>
        <w:tc>
          <w:tcPr>
            <w:tcW w:w="58" w:type="pct"/>
            <w:tcBorders>
              <w:top w:val="nil"/>
              <w:left w:val="nil"/>
              <w:bottom w:val="nil"/>
              <w:right w:val="nil"/>
            </w:tcBorders>
            <w:shd w:val="clear" w:color="000000" w:fill="FFFFFF"/>
            <w:vAlign w:val="center"/>
            <w:hideMark/>
          </w:tcPr>
          <w:p w14:paraId="24713D04"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 </w:t>
            </w:r>
          </w:p>
        </w:tc>
        <w:tc>
          <w:tcPr>
            <w:tcW w:w="739" w:type="pct"/>
            <w:tcBorders>
              <w:top w:val="nil"/>
              <w:left w:val="nil"/>
              <w:bottom w:val="single" w:sz="4" w:space="0" w:color="293F5B"/>
              <w:right w:val="nil"/>
            </w:tcBorders>
            <w:shd w:val="clear" w:color="000000" w:fill="FFFFFF"/>
            <w:vAlign w:val="center"/>
            <w:hideMark/>
          </w:tcPr>
          <w:p w14:paraId="273E8A9C"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$m</w:t>
            </w:r>
          </w:p>
        </w:tc>
        <w:tc>
          <w:tcPr>
            <w:tcW w:w="739" w:type="pct"/>
            <w:tcBorders>
              <w:top w:val="nil"/>
              <w:left w:val="nil"/>
              <w:bottom w:val="single" w:sz="4" w:space="0" w:color="293F5B"/>
              <w:right w:val="nil"/>
            </w:tcBorders>
            <w:shd w:val="clear" w:color="000000" w:fill="FFFFFF"/>
            <w:vAlign w:val="center"/>
            <w:hideMark/>
          </w:tcPr>
          <w:p w14:paraId="25585971"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w:t>
            </w:r>
          </w:p>
        </w:tc>
      </w:tr>
      <w:tr w:rsidR="00837F3F" w:rsidRPr="00EC4BA6" w14:paraId="1EEE4D82" w14:textId="77777777" w:rsidTr="00837F3F">
        <w:trPr>
          <w:trHeight w:hRule="exact" w:val="225"/>
        </w:trPr>
        <w:tc>
          <w:tcPr>
            <w:tcW w:w="2011" w:type="pct"/>
            <w:tcBorders>
              <w:top w:val="nil"/>
              <w:left w:val="nil"/>
              <w:bottom w:val="nil"/>
              <w:right w:val="nil"/>
            </w:tcBorders>
            <w:shd w:val="clear" w:color="000000" w:fill="FFFFFF"/>
            <w:noWrap/>
            <w:vAlign w:val="center"/>
            <w:hideMark/>
          </w:tcPr>
          <w:p w14:paraId="4FF7F136" w14:textId="77777777" w:rsidR="004D0B46" w:rsidRPr="00EC4BA6" w:rsidRDefault="004D0B46" w:rsidP="004D0B46">
            <w:pPr>
              <w:spacing w:before="0" w:after="0" w:line="240" w:lineRule="auto"/>
              <w:rPr>
                <w:rFonts w:ascii="Arial" w:hAnsi="Arial" w:cs="Arial"/>
                <w:sz w:val="16"/>
                <w:szCs w:val="16"/>
              </w:rPr>
            </w:pPr>
            <w:r w:rsidRPr="00EC4BA6">
              <w:rPr>
                <w:rFonts w:ascii="Arial" w:hAnsi="Arial" w:cs="Arial"/>
                <w:sz w:val="16"/>
                <w:szCs w:val="16"/>
              </w:rPr>
              <w:t>Individuals and other withholding taxes</w:t>
            </w:r>
          </w:p>
        </w:tc>
        <w:tc>
          <w:tcPr>
            <w:tcW w:w="726" w:type="pct"/>
            <w:tcBorders>
              <w:top w:val="nil"/>
              <w:left w:val="nil"/>
              <w:bottom w:val="nil"/>
              <w:right w:val="nil"/>
            </w:tcBorders>
            <w:shd w:val="clear" w:color="000000" w:fill="FFFFFF"/>
            <w:noWrap/>
            <w:vAlign w:val="center"/>
            <w:hideMark/>
          </w:tcPr>
          <w:p w14:paraId="75ED89D8"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 </w:t>
            </w:r>
          </w:p>
        </w:tc>
        <w:tc>
          <w:tcPr>
            <w:tcW w:w="726" w:type="pct"/>
            <w:tcBorders>
              <w:top w:val="nil"/>
              <w:left w:val="nil"/>
              <w:bottom w:val="nil"/>
              <w:right w:val="nil"/>
            </w:tcBorders>
            <w:shd w:val="clear" w:color="000000" w:fill="E6F2FF"/>
            <w:noWrap/>
            <w:vAlign w:val="center"/>
            <w:hideMark/>
          </w:tcPr>
          <w:p w14:paraId="34CE0C85"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 </w:t>
            </w:r>
          </w:p>
        </w:tc>
        <w:tc>
          <w:tcPr>
            <w:tcW w:w="58" w:type="pct"/>
            <w:tcBorders>
              <w:top w:val="nil"/>
              <w:left w:val="nil"/>
              <w:bottom w:val="nil"/>
              <w:right w:val="nil"/>
            </w:tcBorders>
            <w:shd w:val="clear" w:color="000000" w:fill="FFFFFF"/>
            <w:noWrap/>
            <w:vAlign w:val="center"/>
            <w:hideMark/>
          </w:tcPr>
          <w:p w14:paraId="5FC31744"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 </w:t>
            </w:r>
          </w:p>
        </w:tc>
        <w:tc>
          <w:tcPr>
            <w:tcW w:w="739" w:type="pct"/>
            <w:tcBorders>
              <w:top w:val="nil"/>
              <w:left w:val="nil"/>
              <w:bottom w:val="nil"/>
              <w:right w:val="nil"/>
            </w:tcBorders>
            <w:shd w:val="clear" w:color="000000" w:fill="FFFFFF"/>
            <w:noWrap/>
            <w:vAlign w:val="center"/>
            <w:hideMark/>
          </w:tcPr>
          <w:p w14:paraId="5A607A72"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 </w:t>
            </w:r>
          </w:p>
        </w:tc>
        <w:tc>
          <w:tcPr>
            <w:tcW w:w="739" w:type="pct"/>
            <w:tcBorders>
              <w:top w:val="nil"/>
              <w:left w:val="nil"/>
              <w:bottom w:val="nil"/>
              <w:right w:val="nil"/>
            </w:tcBorders>
            <w:shd w:val="clear" w:color="000000" w:fill="FFFFFF"/>
            <w:noWrap/>
            <w:vAlign w:val="center"/>
            <w:hideMark/>
          </w:tcPr>
          <w:p w14:paraId="42465316"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 </w:t>
            </w:r>
          </w:p>
        </w:tc>
      </w:tr>
      <w:tr w:rsidR="00837F3F" w:rsidRPr="00EC4BA6" w14:paraId="18422A0F" w14:textId="77777777" w:rsidTr="00837F3F">
        <w:trPr>
          <w:trHeight w:hRule="exact" w:val="225"/>
        </w:trPr>
        <w:tc>
          <w:tcPr>
            <w:tcW w:w="2011" w:type="pct"/>
            <w:tcBorders>
              <w:top w:val="nil"/>
              <w:left w:val="nil"/>
              <w:bottom w:val="nil"/>
              <w:right w:val="nil"/>
            </w:tcBorders>
            <w:shd w:val="clear" w:color="000000" w:fill="FFFFFF"/>
            <w:noWrap/>
            <w:vAlign w:val="center"/>
            <w:hideMark/>
          </w:tcPr>
          <w:p w14:paraId="372037E3" w14:textId="77777777" w:rsidR="004D0B46" w:rsidRPr="00EC4BA6" w:rsidRDefault="004D0B46" w:rsidP="00837F3F">
            <w:pPr>
              <w:spacing w:before="0" w:after="0" w:line="240" w:lineRule="auto"/>
              <w:ind w:left="170"/>
              <w:rPr>
                <w:rFonts w:ascii="Arial" w:hAnsi="Arial" w:cs="Arial"/>
                <w:sz w:val="16"/>
                <w:szCs w:val="16"/>
              </w:rPr>
            </w:pPr>
            <w:r w:rsidRPr="00EC4BA6">
              <w:rPr>
                <w:rFonts w:ascii="Arial" w:hAnsi="Arial" w:cs="Arial"/>
                <w:sz w:val="16"/>
                <w:szCs w:val="16"/>
              </w:rPr>
              <w:t>Gross income tax withholding</w:t>
            </w:r>
          </w:p>
        </w:tc>
        <w:tc>
          <w:tcPr>
            <w:tcW w:w="726" w:type="pct"/>
            <w:tcBorders>
              <w:top w:val="nil"/>
              <w:left w:val="nil"/>
              <w:bottom w:val="nil"/>
              <w:right w:val="nil"/>
            </w:tcBorders>
            <w:shd w:val="clear" w:color="000000" w:fill="FFFFFF"/>
            <w:noWrap/>
            <w:vAlign w:val="center"/>
            <w:hideMark/>
          </w:tcPr>
          <w:p w14:paraId="6A0CDA20"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311,800</w:t>
            </w:r>
          </w:p>
        </w:tc>
        <w:tc>
          <w:tcPr>
            <w:tcW w:w="726" w:type="pct"/>
            <w:tcBorders>
              <w:top w:val="nil"/>
              <w:left w:val="nil"/>
              <w:bottom w:val="nil"/>
              <w:right w:val="nil"/>
            </w:tcBorders>
            <w:shd w:val="clear" w:color="000000" w:fill="E6F2FF"/>
            <w:noWrap/>
            <w:vAlign w:val="center"/>
            <w:hideMark/>
          </w:tcPr>
          <w:p w14:paraId="0A18F597"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314,100</w:t>
            </w:r>
          </w:p>
        </w:tc>
        <w:tc>
          <w:tcPr>
            <w:tcW w:w="58" w:type="pct"/>
            <w:tcBorders>
              <w:top w:val="nil"/>
              <w:left w:val="nil"/>
              <w:bottom w:val="nil"/>
              <w:right w:val="nil"/>
            </w:tcBorders>
            <w:shd w:val="clear" w:color="000000" w:fill="FFFFFF"/>
            <w:noWrap/>
            <w:vAlign w:val="center"/>
            <w:hideMark/>
          </w:tcPr>
          <w:p w14:paraId="7A924DE9"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 </w:t>
            </w:r>
          </w:p>
        </w:tc>
        <w:tc>
          <w:tcPr>
            <w:tcW w:w="739" w:type="pct"/>
            <w:tcBorders>
              <w:top w:val="nil"/>
              <w:left w:val="nil"/>
              <w:bottom w:val="nil"/>
              <w:right w:val="nil"/>
            </w:tcBorders>
            <w:shd w:val="clear" w:color="000000" w:fill="FFFFFF"/>
            <w:noWrap/>
            <w:vAlign w:val="center"/>
            <w:hideMark/>
          </w:tcPr>
          <w:p w14:paraId="59C3DC5A"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2,300</w:t>
            </w:r>
          </w:p>
        </w:tc>
        <w:tc>
          <w:tcPr>
            <w:tcW w:w="739" w:type="pct"/>
            <w:tcBorders>
              <w:top w:val="nil"/>
              <w:left w:val="nil"/>
              <w:bottom w:val="nil"/>
              <w:right w:val="nil"/>
            </w:tcBorders>
            <w:shd w:val="clear" w:color="000000" w:fill="FFFFFF"/>
            <w:noWrap/>
            <w:vAlign w:val="center"/>
            <w:hideMark/>
          </w:tcPr>
          <w:p w14:paraId="49E95A83"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0.7</w:t>
            </w:r>
          </w:p>
        </w:tc>
      </w:tr>
      <w:tr w:rsidR="00837F3F" w:rsidRPr="00EC4BA6" w14:paraId="66A173E4" w14:textId="77777777" w:rsidTr="00837F3F">
        <w:trPr>
          <w:trHeight w:hRule="exact" w:val="225"/>
        </w:trPr>
        <w:tc>
          <w:tcPr>
            <w:tcW w:w="2011" w:type="pct"/>
            <w:tcBorders>
              <w:top w:val="nil"/>
              <w:left w:val="nil"/>
              <w:bottom w:val="nil"/>
              <w:right w:val="nil"/>
            </w:tcBorders>
            <w:shd w:val="clear" w:color="000000" w:fill="FFFFFF"/>
            <w:noWrap/>
            <w:vAlign w:val="center"/>
            <w:hideMark/>
          </w:tcPr>
          <w:p w14:paraId="3D544C74" w14:textId="77777777" w:rsidR="004D0B46" w:rsidRPr="00EC4BA6" w:rsidRDefault="004D0B46" w:rsidP="00837F3F">
            <w:pPr>
              <w:spacing w:before="0" w:after="0" w:line="240" w:lineRule="auto"/>
              <w:ind w:left="170"/>
              <w:rPr>
                <w:rFonts w:ascii="Arial" w:hAnsi="Arial" w:cs="Arial"/>
                <w:sz w:val="16"/>
                <w:szCs w:val="16"/>
              </w:rPr>
            </w:pPr>
            <w:r w:rsidRPr="00EC4BA6">
              <w:rPr>
                <w:rFonts w:ascii="Arial" w:hAnsi="Arial" w:cs="Arial"/>
                <w:sz w:val="16"/>
                <w:szCs w:val="16"/>
              </w:rPr>
              <w:t>Gross other individuals</w:t>
            </w:r>
          </w:p>
        </w:tc>
        <w:tc>
          <w:tcPr>
            <w:tcW w:w="726" w:type="pct"/>
            <w:tcBorders>
              <w:top w:val="nil"/>
              <w:left w:val="nil"/>
              <w:bottom w:val="nil"/>
              <w:right w:val="nil"/>
            </w:tcBorders>
            <w:shd w:val="clear" w:color="000000" w:fill="FFFFFF"/>
            <w:noWrap/>
            <w:vAlign w:val="center"/>
            <w:hideMark/>
          </w:tcPr>
          <w:p w14:paraId="6605D129"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86,800</w:t>
            </w:r>
          </w:p>
        </w:tc>
        <w:tc>
          <w:tcPr>
            <w:tcW w:w="726" w:type="pct"/>
            <w:tcBorders>
              <w:top w:val="nil"/>
              <w:left w:val="nil"/>
              <w:bottom w:val="nil"/>
              <w:right w:val="nil"/>
            </w:tcBorders>
            <w:shd w:val="clear" w:color="000000" w:fill="E6F2FF"/>
            <w:noWrap/>
            <w:vAlign w:val="center"/>
            <w:hideMark/>
          </w:tcPr>
          <w:p w14:paraId="0835F5A1"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84,500</w:t>
            </w:r>
          </w:p>
        </w:tc>
        <w:tc>
          <w:tcPr>
            <w:tcW w:w="58" w:type="pct"/>
            <w:tcBorders>
              <w:top w:val="nil"/>
              <w:left w:val="nil"/>
              <w:bottom w:val="nil"/>
              <w:right w:val="nil"/>
            </w:tcBorders>
            <w:shd w:val="clear" w:color="000000" w:fill="FFFFFF"/>
            <w:noWrap/>
            <w:vAlign w:val="center"/>
            <w:hideMark/>
          </w:tcPr>
          <w:p w14:paraId="191CCBE7"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 </w:t>
            </w:r>
          </w:p>
        </w:tc>
        <w:tc>
          <w:tcPr>
            <w:tcW w:w="739" w:type="pct"/>
            <w:tcBorders>
              <w:top w:val="nil"/>
              <w:left w:val="nil"/>
              <w:bottom w:val="nil"/>
              <w:right w:val="nil"/>
            </w:tcBorders>
            <w:shd w:val="clear" w:color="000000" w:fill="FFFFFF"/>
            <w:noWrap/>
            <w:vAlign w:val="center"/>
            <w:hideMark/>
          </w:tcPr>
          <w:p w14:paraId="00C7090E" w14:textId="010524BF" w:rsidR="004D0B46" w:rsidRPr="00EC4BA6" w:rsidRDefault="001A3DD6" w:rsidP="004D0B46">
            <w:pPr>
              <w:spacing w:before="0" w:after="0" w:line="240" w:lineRule="auto"/>
              <w:jc w:val="right"/>
              <w:rPr>
                <w:rFonts w:ascii="Arial" w:hAnsi="Arial" w:cs="Arial"/>
                <w:sz w:val="16"/>
                <w:szCs w:val="16"/>
              </w:rPr>
            </w:pPr>
            <w:r>
              <w:rPr>
                <w:rFonts w:ascii="Arial" w:hAnsi="Arial" w:cs="Arial"/>
                <w:sz w:val="16"/>
                <w:szCs w:val="16"/>
              </w:rPr>
              <w:noBreakHyphen/>
            </w:r>
            <w:r w:rsidR="004D0B46" w:rsidRPr="00EC4BA6">
              <w:rPr>
                <w:rFonts w:ascii="Arial" w:hAnsi="Arial" w:cs="Arial"/>
                <w:sz w:val="16"/>
                <w:szCs w:val="16"/>
              </w:rPr>
              <w:t>2,300</w:t>
            </w:r>
          </w:p>
        </w:tc>
        <w:tc>
          <w:tcPr>
            <w:tcW w:w="739" w:type="pct"/>
            <w:tcBorders>
              <w:top w:val="nil"/>
              <w:left w:val="nil"/>
              <w:bottom w:val="nil"/>
              <w:right w:val="nil"/>
            </w:tcBorders>
            <w:shd w:val="clear" w:color="000000" w:fill="FFFFFF"/>
            <w:noWrap/>
            <w:vAlign w:val="center"/>
            <w:hideMark/>
          </w:tcPr>
          <w:p w14:paraId="6EB31109" w14:textId="0D6A9B73" w:rsidR="004D0B46" w:rsidRPr="00EC4BA6" w:rsidRDefault="001A3DD6" w:rsidP="004D0B46">
            <w:pPr>
              <w:spacing w:before="0" w:after="0" w:line="240" w:lineRule="auto"/>
              <w:jc w:val="right"/>
              <w:rPr>
                <w:rFonts w:ascii="Arial" w:hAnsi="Arial" w:cs="Arial"/>
                <w:sz w:val="16"/>
                <w:szCs w:val="16"/>
              </w:rPr>
            </w:pPr>
            <w:r>
              <w:rPr>
                <w:rFonts w:ascii="Arial" w:hAnsi="Arial" w:cs="Arial"/>
                <w:sz w:val="16"/>
                <w:szCs w:val="16"/>
              </w:rPr>
              <w:noBreakHyphen/>
            </w:r>
            <w:r w:rsidR="004D0B46" w:rsidRPr="00EC4BA6">
              <w:rPr>
                <w:rFonts w:ascii="Arial" w:hAnsi="Arial" w:cs="Arial"/>
                <w:sz w:val="16"/>
                <w:szCs w:val="16"/>
              </w:rPr>
              <w:t>2.6</w:t>
            </w:r>
          </w:p>
        </w:tc>
      </w:tr>
      <w:tr w:rsidR="00837F3F" w:rsidRPr="00EC4BA6" w14:paraId="09905F59" w14:textId="77777777" w:rsidTr="00837F3F">
        <w:trPr>
          <w:trHeight w:hRule="exact" w:val="225"/>
        </w:trPr>
        <w:tc>
          <w:tcPr>
            <w:tcW w:w="2011" w:type="pct"/>
            <w:tcBorders>
              <w:top w:val="nil"/>
              <w:left w:val="nil"/>
              <w:bottom w:val="nil"/>
              <w:right w:val="nil"/>
            </w:tcBorders>
            <w:shd w:val="clear" w:color="000000" w:fill="FFFFFF"/>
            <w:noWrap/>
            <w:vAlign w:val="center"/>
            <w:hideMark/>
          </w:tcPr>
          <w:p w14:paraId="5AE7CD50" w14:textId="77777777" w:rsidR="004D0B46" w:rsidRPr="00EC4BA6" w:rsidRDefault="004D0B46" w:rsidP="00837F3F">
            <w:pPr>
              <w:spacing w:before="0" w:after="0" w:line="240" w:lineRule="auto"/>
              <w:ind w:left="170"/>
              <w:rPr>
                <w:rFonts w:ascii="Arial" w:hAnsi="Arial" w:cs="Arial"/>
                <w:i/>
                <w:sz w:val="16"/>
                <w:szCs w:val="16"/>
              </w:rPr>
            </w:pPr>
            <w:r w:rsidRPr="00EC4BA6">
              <w:rPr>
                <w:rFonts w:ascii="Arial" w:hAnsi="Arial" w:cs="Arial"/>
                <w:i/>
                <w:sz w:val="16"/>
                <w:szCs w:val="16"/>
              </w:rPr>
              <w:t>less:</w:t>
            </w:r>
            <w:r w:rsidRPr="00EC4BA6">
              <w:rPr>
                <w:rFonts w:ascii="Arial" w:hAnsi="Arial" w:cs="Arial"/>
                <w:sz w:val="16"/>
                <w:szCs w:val="16"/>
              </w:rPr>
              <w:t xml:space="preserve"> Refunds</w:t>
            </w:r>
          </w:p>
        </w:tc>
        <w:tc>
          <w:tcPr>
            <w:tcW w:w="726" w:type="pct"/>
            <w:tcBorders>
              <w:top w:val="nil"/>
              <w:left w:val="nil"/>
              <w:bottom w:val="single" w:sz="4" w:space="0" w:color="293F5B"/>
              <w:right w:val="nil"/>
            </w:tcBorders>
            <w:shd w:val="clear" w:color="000000" w:fill="FFFFFF"/>
            <w:noWrap/>
            <w:vAlign w:val="center"/>
            <w:hideMark/>
          </w:tcPr>
          <w:p w14:paraId="09BC6DF4"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42,100</w:t>
            </w:r>
          </w:p>
        </w:tc>
        <w:tc>
          <w:tcPr>
            <w:tcW w:w="726" w:type="pct"/>
            <w:tcBorders>
              <w:top w:val="nil"/>
              <w:left w:val="nil"/>
              <w:bottom w:val="single" w:sz="4" w:space="0" w:color="293F5B"/>
              <w:right w:val="nil"/>
            </w:tcBorders>
            <w:shd w:val="clear" w:color="000000" w:fill="E6F2FF"/>
            <w:noWrap/>
            <w:vAlign w:val="center"/>
            <w:hideMark/>
          </w:tcPr>
          <w:p w14:paraId="1CD2CEBC"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40,800</w:t>
            </w:r>
          </w:p>
        </w:tc>
        <w:tc>
          <w:tcPr>
            <w:tcW w:w="58" w:type="pct"/>
            <w:tcBorders>
              <w:top w:val="nil"/>
              <w:left w:val="nil"/>
              <w:bottom w:val="nil"/>
              <w:right w:val="nil"/>
            </w:tcBorders>
            <w:shd w:val="clear" w:color="000000" w:fill="FFFFFF"/>
            <w:noWrap/>
            <w:vAlign w:val="center"/>
            <w:hideMark/>
          </w:tcPr>
          <w:p w14:paraId="5E51B266"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 </w:t>
            </w:r>
          </w:p>
        </w:tc>
        <w:tc>
          <w:tcPr>
            <w:tcW w:w="739" w:type="pct"/>
            <w:tcBorders>
              <w:top w:val="nil"/>
              <w:left w:val="nil"/>
              <w:bottom w:val="single" w:sz="4" w:space="0" w:color="293F5B"/>
              <w:right w:val="nil"/>
            </w:tcBorders>
            <w:shd w:val="clear" w:color="000000" w:fill="FFFFFF"/>
            <w:noWrap/>
            <w:vAlign w:val="center"/>
            <w:hideMark/>
          </w:tcPr>
          <w:p w14:paraId="7F35E46B" w14:textId="474E43E6" w:rsidR="004D0B46" w:rsidRPr="00EC4BA6" w:rsidRDefault="001A3DD6" w:rsidP="004D0B46">
            <w:pPr>
              <w:spacing w:before="0" w:after="0" w:line="240" w:lineRule="auto"/>
              <w:jc w:val="right"/>
              <w:rPr>
                <w:rFonts w:ascii="Arial" w:hAnsi="Arial" w:cs="Arial"/>
                <w:sz w:val="16"/>
                <w:szCs w:val="16"/>
              </w:rPr>
            </w:pPr>
            <w:r>
              <w:rPr>
                <w:rFonts w:ascii="Arial" w:hAnsi="Arial" w:cs="Arial"/>
                <w:sz w:val="16"/>
                <w:szCs w:val="16"/>
              </w:rPr>
              <w:noBreakHyphen/>
            </w:r>
            <w:r w:rsidR="004D0B46" w:rsidRPr="00EC4BA6">
              <w:rPr>
                <w:rFonts w:ascii="Arial" w:hAnsi="Arial" w:cs="Arial"/>
                <w:sz w:val="16"/>
                <w:szCs w:val="16"/>
              </w:rPr>
              <w:t>1,300</w:t>
            </w:r>
          </w:p>
        </w:tc>
        <w:tc>
          <w:tcPr>
            <w:tcW w:w="739" w:type="pct"/>
            <w:tcBorders>
              <w:top w:val="nil"/>
              <w:left w:val="nil"/>
              <w:bottom w:val="single" w:sz="4" w:space="0" w:color="293F5B"/>
              <w:right w:val="nil"/>
            </w:tcBorders>
            <w:shd w:val="clear" w:color="000000" w:fill="FFFFFF"/>
            <w:noWrap/>
            <w:vAlign w:val="center"/>
            <w:hideMark/>
          </w:tcPr>
          <w:p w14:paraId="5188D641" w14:textId="42F6D3F5" w:rsidR="004D0B46" w:rsidRPr="00EC4BA6" w:rsidRDefault="001A3DD6" w:rsidP="004D0B46">
            <w:pPr>
              <w:spacing w:before="0" w:after="0" w:line="240" w:lineRule="auto"/>
              <w:jc w:val="right"/>
              <w:rPr>
                <w:rFonts w:ascii="Arial" w:hAnsi="Arial" w:cs="Arial"/>
                <w:sz w:val="16"/>
                <w:szCs w:val="16"/>
              </w:rPr>
            </w:pPr>
            <w:r>
              <w:rPr>
                <w:rFonts w:ascii="Arial" w:hAnsi="Arial" w:cs="Arial"/>
                <w:sz w:val="16"/>
                <w:szCs w:val="16"/>
              </w:rPr>
              <w:noBreakHyphen/>
            </w:r>
            <w:r w:rsidR="004D0B46" w:rsidRPr="00EC4BA6">
              <w:rPr>
                <w:rFonts w:ascii="Arial" w:hAnsi="Arial" w:cs="Arial"/>
                <w:sz w:val="16"/>
                <w:szCs w:val="16"/>
              </w:rPr>
              <w:t>3.1</w:t>
            </w:r>
          </w:p>
        </w:tc>
      </w:tr>
      <w:tr w:rsidR="00837F3F" w:rsidRPr="00EC4BA6" w14:paraId="23BF5406" w14:textId="77777777" w:rsidTr="00837F3F">
        <w:trPr>
          <w:trHeight w:hRule="exact" w:val="225"/>
        </w:trPr>
        <w:tc>
          <w:tcPr>
            <w:tcW w:w="2011" w:type="pct"/>
            <w:tcBorders>
              <w:top w:val="nil"/>
              <w:left w:val="nil"/>
              <w:bottom w:val="nil"/>
              <w:right w:val="nil"/>
            </w:tcBorders>
            <w:shd w:val="clear" w:color="000000" w:fill="FFFFFF"/>
            <w:noWrap/>
            <w:vAlign w:val="center"/>
            <w:hideMark/>
          </w:tcPr>
          <w:p w14:paraId="02A683BF" w14:textId="77777777" w:rsidR="004D0B46" w:rsidRPr="00EC4BA6" w:rsidRDefault="004D0B46" w:rsidP="004D0B46">
            <w:pPr>
              <w:spacing w:before="0" w:after="0" w:line="240" w:lineRule="auto"/>
              <w:rPr>
                <w:rFonts w:ascii="Arial" w:hAnsi="Arial" w:cs="Arial"/>
                <w:sz w:val="16"/>
                <w:szCs w:val="16"/>
              </w:rPr>
            </w:pPr>
            <w:r w:rsidRPr="00EC4BA6">
              <w:rPr>
                <w:rFonts w:ascii="Arial" w:hAnsi="Arial" w:cs="Arial"/>
                <w:sz w:val="16"/>
                <w:szCs w:val="16"/>
              </w:rPr>
              <w:t>Total individuals and other withholding tax</w:t>
            </w:r>
          </w:p>
        </w:tc>
        <w:tc>
          <w:tcPr>
            <w:tcW w:w="726" w:type="pct"/>
            <w:tcBorders>
              <w:top w:val="nil"/>
              <w:left w:val="nil"/>
              <w:bottom w:val="nil"/>
              <w:right w:val="nil"/>
            </w:tcBorders>
            <w:shd w:val="clear" w:color="000000" w:fill="FFFFFF"/>
            <w:noWrap/>
            <w:vAlign w:val="center"/>
            <w:hideMark/>
          </w:tcPr>
          <w:p w14:paraId="4918E285"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356,500</w:t>
            </w:r>
          </w:p>
        </w:tc>
        <w:tc>
          <w:tcPr>
            <w:tcW w:w="726" w:type="pct"/>
            <w:tcBorders>
              <w:top w:val="nil"/>
              <w:left w:val="nil"/>
              <w:bottom w:val="nil"/>
              <w:right w:val="nil"/>
            </w:tcBorders>
            <w:shd w:val="clear" w:color="000000" w:fill="E6F2FF"/>
            <w:noWrap/>
            <w:vAlign w:val="center"/>
            <w:hideMark/>
          </w:tcPr>
          <w:p w14:paraId="5AB6E1A2"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357,800</w:t>
            </w:r>
          </w:p>
        </w:tc>
        <w:tc>
          <w:tcPr>
            <w:tcW w:w="58" w:type="pct"/>
            <w:tcBorders>
              <w:top w:val="nil"/>
              <w:left w:val="nil"/>
              <w:bottom w:val="nil"/>
              <w:right w:val="nil"/>
            </w:tcBorders>
            <w:shd w:val="clear" w:color="000000" w:fill="FFFFFF"/>
            <w:noWrap/>
            <w:vAlign w:val="center"/>
            <w:hideMark/>
          </w:tcPr>
          <w:p w14:paraId="34FAE21D"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 </w:t>
            </w:r>
          </w:p>
        </w:tc>
        <w:tc>
          <w:tcPr>
            <w:tcW w:w="739" w:type="pct"/>
            <w:tcBorders>
              <w:top w:val="nil"/>
              <w:left w:val="nil"/>
              <w:bottom w:val="nil"/>
              <w:right w:val="nil"/>
            </w:tcBorders>
            <w:shd w:val="clear" w:color="000000" w:fill="FFFFFF"/>
            <w:noWrap/>
            <w:vAlign w:val="center"/>
            <w:hideMark/>
          </w:tcPr>
          <w:p w14:paraId="17C13958"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1,300</w:t>
            </w:r>
          </w:p>
        </w:tc>
        <w:tc>
          <w:tcPr>
            <w:tcW w:w="739" w:type="pct"/>
            <w:tcBorders>
              <w:top w:val="nil"/>
              <w:left w:val="nil"/>
              <w:bottom w:val="nil"/>
              <w:right w:val="nil"/>
            </w:tcBorders>
            <w:shd w:val="clear" w:color="000000" w:fill="FFFFFF"/>
            <w:noWrap/>
            <w:vAlign w:val="center"/>
            <w:hideMark/>
          </w:tcPr>
          <w:p w14:paraId="6AC1B165"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0.4</w:t>
            </w:r>
          </w:p>
        </w:tc>
      </w:tr>
      <w:tr w:rsidR="00837F3F" w:rsidRPr="00EC4BA6" w14:paraId="72D1E671" w14:textId="77777777" w:rsidTr="00837F3F">
        <w:trPr>
          <w:trHeight w:hRule="exact" w:val="225"/>
        </w:trPr>
        <w:tc>
          <w:tcPr>
            <w:tcW w:w="2011" w:type="pct"/>
            <w:tcBorders>
              <w:top w:val="nil"/>
              <w:left w:val="nil"/>
              <w:bottom w:val="nil"/>
              <w:right w:val="nil"/>
            </w:tcBorders>
            <w:shd w:val="clear" w:color="000000" w:fill="FFFFFF"/>
            <w:noWrap/>
            <w:vAlign w:val="center"/>
            <w:hideMark/>
          </w:tcPr>
          <w:p w14:paraId="7E0725F8" w14:textId="77777777" w:rsidR="004D0B46" w:rsidRPr="00EC4BA6" w:rsidRDefault="004D0B46" w:rsidP="004D0B46">
            <w:pPr>
              <w:spacing w:before="0" w:after="0" w:line="240" w:lineRule="auto"/>
              <w:rPr>
                <w:rFonts w:ascii="Arial" w:hAnsi="Arial" w:cs="Arial"/>
                <w:sz w:val="16"/>
                <w:szCs w:val="16"/>
              </w:rPr>
            </w:pPr>
            <w:r w:rsidRPr="00EC4BA6">
              <w:rPr>
                <w:rFonts w:ascii="Arial" w:hAnsi="Arial" w:cs="Arial"/>
                <w:sz w:val="16"/>
                <w:szCs w:val="16"/>
              </w:rPr>
              <w:t>Fringe benefits tax</w:t>
            </w:r>
          </w:p>
        </w:tc>
        <w:tc>
          <w:tcPr>
            <w:tcW w:w="726" w:type="pct"/>
            <w:tcBorders>
              <w:top w:val="nil"/>
              <w:left w:val="nil"/>
              <w:bottom w:val="nil"/>
              <w:right w:val="nil"/>
            </w:tcBorders>
            <w:shd w:val="clear" w:color="000000" w:fill="FFFFFF"/>
            <w:noWrap/>
            <w:vAlign w:val="center"/>
            <w:hideMark/>
          </w:tcPr>
          <w:p w14:paraId="73489958"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5,100</w:t>
            </w:r>
          </w:p>
        </w:tc>
        <w:tc>
          <w:tcPr>
            <w:tcW w:w="726" w:type="pct"/>
            <w:tcBorders>
              <w:top w:val="nil"/>
              <w:left w:val="nil"/>
              <w:bottom w:val="nil"/>
              <w:right w:val="nil"/>
            </w:tcBorders>
            <w:shd w:val="clear" w:color="000000" w:fill="E6F2FF"/>
            <w:noWrap/>
            <w:vAlign w:val="center"/>
            <w:hideMark/>
          </w:tcPr>
          <w:p w14:paraId="432FC7B8"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5,150</w:t>
            </w:r>
          </w:p>
        </w:tc>
        <w:tc>
          <w:tcPr>
            <w:tcW w:w="58" w:type="pct"/>
            <w:tcBorders>
              <w:top w:val="nil"/>
              <w:left w:val="nil"/>
              <w:bottom w:val="nil"/>
              <w:right w:val="nil"/>
            </w:tcBorders>
            <w:shd w:val="clear" w:color="000000" w:fill="FFFFFF"/>
            <w:noWrap/>
            <w:vAlign w:val="center"/>
            <w:hideMark/>
          </w:tcPr>
          <w:p w14:paraId="1B0DB656"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 </w:t>
            </w:r>
          </w:p>
        </w:tc>
        <w:tc>
          <w:tcPr>
            <w:tcW w:w="739" w:type="pct"/>
            <w:tcBorders>
              <w:top w:val="nil"/>
              <w:left w:val="nil"/>
              <w:bottom w:val="nil"/>
              <w:right w:val="nil"/>
            </w:tcBorders>
            <w:shd w:val="clear" w:color="000000" w:fill="FFFFFF"/>
            <w:noWrap/>
            <w:vAlign w:val="center"/>
            <w:hideMark/>
          </w:tcPr>
          <w:p w14:paraId="7818C892"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50</w:t>
            </w:r>
          </w:p>
        </w:tc>
        <w:tc>
          <w:tcPr>
            <w:tcW w:w="739" w:type="pct"/>
            <w:tcBorders>
              <w:top w:val="nil"/>
              <w:left w:val="nil"/>
              <w:bottom w:val="nil"/>
              <w:right w:val="nil"/>
            </w:tcBorders>
            <w:shd w:val="clear" w:color="000000" w:fill="FFFFFF"/>
            <w:noWrap/>
            <w:vAlign w:val="center"/>
            <w:hideMark/>
          </w:tcPr>
          <w:p w14:paraId="69D3863E"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1.0</w:t>
            </w:r>
          </w:p>
        </w:tc>
      </w:tr>
      <w:tr w:rsidR="00837F3F" w:rsidRPr="00EC4BA6" w14:paraId="4467869C" w14:textId="77777777" w:rsidTr="00837F3F">
        <w:trPr>
          <w:trHeight w:hRule="exact" w:val="225"/>
        </w:trPr>
        <w:tc>
          <w:tcPr>
            <w:tcW w:w="2011" w:type="pct"/>
            <w:tcBorders>
              <w:top w:val="nil"/>
              <w:left w:val="nil"/>
              <w:bottom w:val="nil"/>
              <w:right w:val="nil"/>
            </w:tcBorders>
            <w:shd w:val="clear" w:color="000000" w:fill="FFFFFF"/>
            <w:noWrap/>
            <w:vAlign w:val="center"/>
            <w:hideMark/>
          </w:tcPr>
          <w:p w14:paraId="798268CB" w14:textId="77777777" w:rsidR="004D0B46" w:rsidRPr="00EC4BA6" w:rsidRDefault="004D0B46" w:rsidP="004D0B46">
            <w:pPr>
              <w:spacing w:before="0" w:after="0" w:line="240" w:lineRule="auto"/>
              <w:rPr>
                <w:rFonts w:ascii="Arial" w:hAnsi="Arial" w:cs="Arial"/>
                <w:sz w:val="16"/>
                <w:szCs w:val="16"/>
              </w:rPr>
            </w:pPr>
            <w:r w:rsidRPr="00EC4BA6">
              <w:rPr>
                <w:rFonts w:ascii="Arial" w:hAnsi="Arial" w:cs="Arial"/>
                <w:sz w:val="16"/>
                <w:szCs w:val="16"/>
              </w:rPr>
              <w:t>Company tax</w:t>
            </w:r>
          </w:p>
        </w:tc>
        <w:tc>
          <w:tcPr>
            <w:tcW w:w="726" w:type="pct"/>
            <w:tcBorders>
              <w:top w:val="nil"/>
              <w:left w:val="nil"/>
              <w:bottom w:val="nil"/>
              <w:right w:val="nil"/>
            </w:tcBorders>
            <w:shd w:val="clear" w:color="000000" w:fill="FFFFFF"/>
            <w:noWrap/>
            <w:vAlign w:val="center"/>
            <w:hideMark/>
          </w:tcPr>
          <w:p w14:paraId="1AFB3BBE"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139,000</w:t>
            </w:r>
          </w:p>
        </w:tc>
        <w:tc>
          <w:tcPr>
            <w:tcW w:w="726" w:type="pct"/>
            <w:tcBorders>
              <w:top w:val="nil"/>
              <w:left w:val="nil"/>
              <w:bottom w:val="nil"/>
              <w:right w:val="nil"/>
            </w:tcBorders>
            <w:shd w:val="clear" w:color="000000" w:fill="E6F2FF"/>
            <w:noWrap/>
            <w:vAlign w:val="center"/>
            <w:hideMark/>
          </w:tcPr>
          <w:p w14:paraId="332FB593"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143,500</w:t>
            </w:r>
          </w:p>
        </w:tc>
        <w:tc>
          <w:tcPr>
            <w:tcW w:w="58" w:type="pct"/>
            <w:tcBorders>
              <w:top w:val="nil"/>
              <w:left w:val="nil"/>
              <w:bottom w:val="nil"/>
              <w:right w:val="nil"/>
            </w:tcBorders>
            <w:shd w:val="clear" w:color="000000" w:fill="FFFFFF"/>
            <w:noWrap/>
            <w:vAlign w:val="center"/>
            <w:hideMark/>
          </w:tcPr>
          <w:p w14:paraId="4855A22B"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 </w:t>
            </w:r>
          </w:p>
        </w:tc>
        <w:tc>
          <w:tcPr>
            <w:tcW w:w="739" w:type="pct"/>
            <w:tcBorders>
              <w:top w:val="nil"/>
              <w:left w:val="nil"/>
              <w:bottom w:val="nil"/>
              <w:right w:val="nil"/>
            </w:tcBorders>
            <w:shd w:val="clear" w:color="000000" w:fill="FFFFFF"/>
            <w:noWrap/>
            <w:vAlign w:val="center"/>
            <w:hideMark/>
          </w:tcPr>
          <w:p w14:paraId="183B1654"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4,500</w:t>
            </w:r>
          </w:p>
        </w:tc>
        <w:tc>
          <w:tcPr>
            <w:tcW w:w="739" w:type="pct"/>
            <w:tcBorders>
              <w:top w:val="nil"/>
              <w:left w:val="nil"/>
              <w:bottom w:val="nil"/>
              <w:right w:val="nil"/>
            </w:tcBorders>
            <w:shd w:val="clear" w:color="000000" w:fill="FFFFFF"/>
            <w:noWrap/>
            <w:vAlign w:val="center"/>
            <w:hideMark/>
          </w:tcPr>
          <w:p w14:paraId="2DD44BAA"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3.2</w:t>
            </w:r>
          </w:p>
        </w:tc>
      </w:tr>
      <w:tr w:rsidR="00837F3F" w:rsidRPr="00EC4BA6" w14:paraId="50661713" w14:textId="77777777" w:rsidTr="00837F3F">
        <w:trPr>
          <w:trHeight w:hRule="exact" w:val="225"/>
        </w:trPr>
        <w:tc>
          <w:tcPr>
            <w:tcW w:w="2011" w:type="pct"/>
            <w:tcBorders>
              <w:top w:val="nil"/>
              <w:left w:val="nil"/>
              <w:bottom w:val="nil"/>
              <w:right w:val="nil"/>
            </w:tcBorders>
            <w:shd w:val="clear" w:color="000000" w:fill="FFFFFF"/>
            <w:noWrap/>
            <w:vAlign w:val="center"/>
            <w:hideMark/>
          </w:tcPr>
          <w:p w14:paraId="52A3DDF2" w14:textId="77777777" w:rsidR="004D0B46" w:rsidRPr="00EC4BA6" w:rsidRDefault="004D0B46" w:rsidP="004D0B46">
            <w:pPr>
              <w:spacing w:before="0" w:after="0" w:line="240" w:lineRule="auto"/>
              <w:rPr>
                <w:rFonts w:ascii="Arial" w:hAnsi="Arial" w:cs="Arial"/>
                <w:sz w:val="16"/>
                <w:szCs w:val="16"/>
              </w:rPr>
            </w:pPr>
            <w:r w:rsidRPr="00EC4BA6">
              <w:rPr>
                <w:rFonts w:ascii="Arial" w:hAnsi="Arial" w:cs="Arial"/>
                <w:sz w:val="16"/>
                <w:szCs w:val="16"/>
              </w:rPr>
              <w:t>Superannuation fund taxes</w:t>
            </w:r>
          </w:p>
        </w:tc>
        <w:tc>
          <w:tcPr>
            <w:tcW w:w="726" w:type="pct"/>
            <w:tcBorders>
              <w:top w:val="nil"/>
              <w:left w:val="nil"/>
              <w:bottom w:val="nil"/>
              <w:right w:val="nil"/>
            </w:tcBorders>
            <w:shd w:val="clear" w:color="000000" w:fill="FFFFFF"/>
            <w:noWrap/>
            <w:vAlign w:val="center"/>
            <w:hideMark/>
          </w:tcPr>
          <w:p w14:paraId="73866D7E"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23,230</w:t>
            </w:r>
          </w:p>
        </w:tc>
        <w:tc>
          <w:tcPr>
            <w:tcW w:w="726" w:type="pct"/>
            <w:tcBorders>
              <w:top w:val="nil"/>
              <w:left w:val="nil"/>
              <w:bottom w:val="nil"/>
              <w:right w:val="nil"/>
            </w:tcBorders>
            <w:shd w:val="clear" w:color="000000" w:fill="E6F2FF"/>
            <w:noWrap/>
            <w:vAlign w:val="center"/>
            <w:hideMark/>
          </w:tcPr>
          <w:p w14:paraId="07238026"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25,580</w:t>
            </w:r>
          </w:p>
        </w:tc>
        <w:tc>
          <w:tcPr>
            <w:tcW w:w="58" w:type="pct"/>
            <w:tcBorders>
              <w:top w:val="nil"/>
              <w:left w:val="nil"/>
              <w:bottom w:val="nil"/>
              <w:right w:val="nil"/>
            </w:tcBorders>
            <w:shd w:val="clear" w:color="000000" w:fill="FFFFFF"/>
            <w:noWrap/>
            <w:vAlign w:val="center"/>
            <w:hideMark/>
          </w:tcPr>
          <w:p w14:paraId="77F7F191"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 </w:t>
            </w:r>
          </w:p>
        </w:tc>
        <w:tc>
          <w:tcPr>
            <w:tcW w:w="739" w:type="pct"/>
            <w:tcBorders>
              <w:top w:val="nil"/>
              <w:left w:val="nil"/>
              <w:bottom w:val="nil"/>
              <w:right w:val="nil"/>
            </w:tcBorders>
            <w:shd w:val="clear" w:color="000000" w:fill="FFFFFF"/>
            <w:noWrap/>
            <w:vAlign w:val="center"/>
            <w:hideMark/>
          </w:tcPr>
          <w:p w14:paraId="7DFB379D"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2,350</w:t>
            </w:r>
          </w:p>
        </w:tc>
        <w:tc>
          <w:tcPr>
            <w:tcW w:w="739" w:type="pct"/>
            <w:tcBorders>
              <w:top w:val="nil"/>
              <w:left w:val="nil"/>
              <w:bottom w:val="nil"/>
              <w:right w:val="nil"/>
            </w:tcBorders>
            <w:shd w:val="clear" w:color="000000" w:fill="FFFFFF"/>
            <w:noWrap/>
            <w:vAlign w:val="center"/>
            <w:hideMark/>
          </w:tcPr>
          <w:p w14:paraId="299190A0"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10.1</w:t>
            </w:r>
          </w:p>
        </w:tc>
      </w:tr>
      <w:tr w:rsidR="00837F3F" w:rsidRPr="00EC4BA6" w14:paraId="1D4F5278" w14:textId="77777777" w:rsidTr="00837F3F">
        <w:trPr>
          <w:trHeight w:hRule="exact" w:val="225"/>
        </w:trPr>
        <w:tc>
          <w:tcPr>
            <w:tcW w:w="2011" w:type="pct"/>
            <w:tcBorders>
              <w:top w:val="nil"/>
              <w:left w:val="nil"/>
              <w:bottom w:val="nil"/>
              <w:right w:val="nil"/>
            </w:tcBorders>
            <w:shd w:val="clear" w:color="000000" w:fill="FFFFFF"/>
            <w:noWrap/>
            <w:vAlign w:val="center"/>
            <w:hideMark/>
          </w:tcPr>
          <w:p w14:paraId="779022A5" w14:textId="77777777" w:rsidR="004D0B46" w:rsidRPr="00EC4BA6" w:rsidRDefault="004D0B46" w:rsidP="004D0B46">
            <w:pPr>
              <w:spacing w:before="0" w:after="0" w:line="240" w:lineRule="auto"/>
              <w:rPr>
                <w:rFonts w:ascii="Arial" w:hAnsi="Arial" w:cs="Arial"/>
                <w:sz w:val="16"/>
                <w:szCs w:val="16"/>
              </w:rPr>
            </w:pPr>
            <w:r w:rsidRPr="00EC4BA6">
              <w:rPr>
                <w:rFonts w:ascii="Arial" w:hAnsi="Arial" w:cs="Arial"/>
                <w:sz w:val="16"/>
                <w:szCs w:val="16"/>
              </w:rPr>
              <w:t>Petroleum resource rent tax</w:t>
            </w:r>
          </w:p>
        </w:tc>
        <w:tc>
          <w:tcPr>
            <w:tcW w:w="726" w:type="pct"/>
            <w:tcBorders>
              <w:top w:val="nil"/>
              <w:left w:val="nil"/>
              <w:bottom w:val="single" w:sz="4" w:space="0" w:color="293F5B"/>
              <w:right w:val="nil"/>
            </w:tcBorders>
            <w:shd w:val="clear" w:color="000000" w:fill="FFFFFF"/>
            <w:noWrap/>
            <w:vAlign w:val="center"/>
            <w:hideMark/>
          </w:tcPr>
          <w:p w14:paraId="6F8DFF9C"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1,880</w:t>
            </w:r>
          </w:p>
        </w:tc>
        <w:tc>
          <w:tcPr>
            <w:tcW w:w="726" w:type="pct"/>
            <w:tcBorders>
              <w:top w:val="nil"/>
              <w:left w:val="nil"/>
              <w:bottom w:val="single" w:sz="4" w:space="0" w:color="293F5B"/>
              <w:right w:val="nil"/>
            </w:tcBorders>
            <w:shd w:val="clear" w:color="000000" w:fill="E6F2FF"/>
            <w:noWrap/>
            <w:vAlign w:val="center"/>
            <w:hideMark/>
          </w:tcPr>
          <w:p w14:paraId="359404A0"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1,980</w:t>
            </w:r>
          </w:p>
        </w:tc>
        <w:tc>
          <w:tcPr>
            <w:tcW w:w="58" w:type="pct"/>
            <w:tcBorders>
              <w:top w:val="nil"/>
              <w:left w:val="nil"/>
              <w:bottom w:val="nil"/>
              <w:right w:val="nil"/>
            </w:tcBorders>
            <w:shd w:val="clear" w:color="000000" w:fill="FFFFFF"/>
            <w:noWrap/>
            <w:vAlign w:val="center"/>
            <w:hideMark/>
          </w:tcPr>
          <w:p w14:paraId="0A8238D5"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 </w:t>
            </w:r>
          </w:p>
        </w:tc>
        <w:tc>
          <w:tcPr>
            <w:tcW w:w="739" w:type="pct"/>
            <w:tcBorders>
              <w:top w:val="nil"/>
              <w:left w:val="nil"/>
              <w:bottom w:val="single" w:sz="4" w:space="0" w:color="293F5B"/>
              <w:right w:val="nil"/>
            </w:tcBorders>
            <w:shd w:val="clear" w:color="000000" w:fill="FFFFFF"/>
            <w:noWrap/>
            <w:vAlign w:val="center"/>
            <w:hideMark/>
          </w:tcPr>
          <w:p w14:paraId="40CAFA87"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100</w:t>
            </w:r>
          </w:p>
        </w:tc>
        <w:tc>
          <w:tcPr>
            <w:tcW w:w="739" w:type="pct"/>
            <w:tcBorders>
              <w:top w:val="nil"/>
              <w:left w:val="nil"/>
              <w:bottom w:val="single" w:sz="4" w:space="0" w:color="293F5B"/>
              <w:right w:val="nil"/>
            </w:tcBorders>
            <w:shd w:val="clear" w:color="000000" w:fill="FFFFFF"/>
            <w:noWrap/>
            <w:vAlign w:val="center"/>
            <w:hideMark/>
          </w:tcPr>
          <w:p w14:paraId="45F9DAE5"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5.3</w:t>
            </w:r>
          </w:p>
        </w:tc>
      </w:tr>
      <w:tr w:rsidR="00837F3F" w:rsidRPr="00EC4BA6" w14:paraId="338608E8" w14:textId="77777777" w:rsidTr="00837F3F">
        <w:trPr>
          <w:trHeight w:hRule="exact" w:val="225"/>
        </w:trPr>
        <w:tc>
          <w:tcPr>
            <w:tcW w:w="2011" w:type="pct"/>
            <w:tcBorders>
              <w:top w:val="nil"/>
              <w:left w:val="nil"/>
              <w:bottom w:val="nil"/>
              <w:right w:val="nil"/>
            </w:tcBorders>
            <w:shd w:val="clear" w:color="000000" w:fill="FFFFFF"/>
            <w:noWrap/>
            <w:vAlign w:val="center"/>
            <w:hideMark/>
          </w:tcPr>
          <w:p w14:paraId="071B7FD1" w14:textId="77777777" w:rsidR="004D0B46" w:rsidRPr="00EC4BA6" w:rsidRDefault="004D0B46" w:rsidP="004D0B46">
            <w:pPr>
              <w:spacing w:before="0" w:after="0" w:line="240" w:lineRule="auto"/>
              <w:rPr>
                <w:rFonts w:ascii="Arial" w:hAnsi="Arial" w:cs="Arial"/>
                <w:b/>
                <w:sz w:val="16"/>
                <w:szCs w:val="16"/>
              </w:rPr>
            </w:pPr>
            <w:r w:rsidRPr="00EC4BA6">
              <w:rPr>
                <w:rFonts w:ascii="Arial" w:hAnsi="Arial" w:cs="Arial"/>
                <w:b/>
                <w:sz w:val="16"/>
                <w:szCs w:val="16"/>
              </w:rPr>
              <w:t>Income taxation revenue</w:t>
            </w:r>
          </w:p>
        </w:tc>
        <w:tc>
          <w:tcPr>
            <w:tcW w:w="726" w:type="pct"/>
            <w:tcBorders>
              <w:top w:val="nil"/>
              <w:left w:val="nil"/>
              <w:bottom w:val="single" w:sz="4" w:space="0" w:color="293F5B"/>
              <w:right w:val="nil"/>
            </w:tcBorders>
            <w:shd w:val="clear" w:color="000000" w:fill="FFFFFF"/>
            <w:noWrap/>
            <w:vAlign w:val="center"/>
            <w:hideMark/>
          </w:tcPr>
          <w:p w14:paraId="45032D92" w14:textId="77777777" w:rsidR="004D0B46" w:rsidRPr="00EC4BA6" w:rsidRDefault="004D0B46" w:rsidP="004D0B46">
            <w:pPr>
              <w:spacing w:before="0" w:after="0" w:line="240" w:lineRule="auto"/>
              <w:jc w:val="right"/>
              <w:rPr>
                <w:rFonts w:ascii="Arial" w:hAnsi="Arial" w:cs="Arial"/>
                <w:b/>
                <w:sz w:val="16"/>
                <w:szCs w:val="16"/>
              </w:rPr>
            </w:pPr>
            <w:r w:rsidRPr="00EC4BA6">
              <w:rPr>
                <w:rFonts w:ascii="Arial" w:hAnsi="Arial" w:cs="Arial"/>
                <w:b/>
                <w:sz w:val="16"/>
                <w:szCs w:val="16"/>
              </w:rPr>
              <w:t>525,710</w:t>
            </w:r>
          </w:p>
        </w:tc>
        <w:tc>
          <w:tcPr>
            <w:tcW w:w="726" w:type="pct"/>
            <w:tcBorders>
              <w:top w:val="nil"/>
              <w:left w:val="nil"/>
              <w:bottom w:val="single" w:sz="4" w:space="0" w:color="293F5B"/>
              <w:right w:val="nil"/>
            </w:tcBorders>
            <w:shd w:val="clear" w:color="000000" w:fill="E6F2FF"/>
            <w:noWrap/>
            <w:vAlign w:val="center"/>
            <w:hideMark/>
          </w:tcPr>
          <w:p w14:paraId="25F8202B" w14:textId="77777777" w:rsidR="004D0B46" w:rsidRPr="00EC4BA6" w:rsidRDefault="004D0B46" w:rsidP="004D0B46">
            <w:pPr>
              <w:spacing w:before="0" w:after="0" w:line="240" w:lineRule="auto"/>
              <w:jc w:val="right"/>
              <w:rPr>
                <w:rFonts w:ascii="Arial" w:hAnsi="Arial" w:cs="Arial"/>
                <w:b/>
                <w:sz w:val="16"/>
                <w:szCs w:val="16"/>
              </w:rPr>
            </w:pPr>
            <w:r w:rsidRPr="00EC4BA6">
              <w:rPr>
                <w:rFonts w:ascii="Arial" w:hAnsi="Arial" w:cs="Arial"/>
                <w:b/>
                <w:sz w:val="16"/>
                <w:szCs w:val="16"/>
              </w:rPr>
              <w:t>534,010</w:t>
            </w:r>
          </w:p>
        </w:tc>
        <w:tc>
          <w:tcPr>
            <w:tcW w:w="58" w:type="pct"/>
            <w:tcBorders>
              <w:top w:val="nil"/>
              <w:left w:val="nil"/>
              <w:bottom w:val="nil"/>
              <w:right w:val="nil"/>
            </w:tcBorders>
            <w:shd w:val="clear" w:color="000000" w:fill="FFFFFF"/>
            <w:noWrap/>
            <w:vAlign w:val="center"/>
            <w:hideMark/>
          </w:tcPr>
          <w:p w14:paraId="3AF6DB34" w14:textId="77777777" w:rsidR="004D0B46" w:rsidRPr="00EC4BA6" w:rsidRDefault="004D0B46" w:rsidP="004D0B46">
            <w:pPr>
              <w:spacing w:before="0" w:after="0" w:line="240" w:lineRule="auto"/>
              <w:jc w:val="right"/>
              <w:rPr>
                <w:rFonts w:ascii="Arial" w:hAnsi="Arial" w:cs="Arial"/>
                <w:b/>
                <w:sz w:val="16"/>
                <w:szCs w:val="16"/>
              </w:rPr>
            </w:pPr>
            <w:r w:rsidRPr="00EC4BA6">
              <w:rPr>
                <w:rFonts w:ascii="Arial" w:hAnsi="Arial" w:cs="Arial"/>
                <w:b/>
                <w:sz w:val="16"/>
                <w:szCs w:val="16"/>
              </w:rPr>
              <w:t> </w:t>
            </w:r>
          </w:p>
        </w:tc>
        <w:tc>
          <w:tcPr>
            <w:tcW w:w="739" w:type="pct"/>
            <w:tcBorders>
              <w:top w:val="single" w:sz="4" w:space="0" w:color="auto"/>
              <w:left w:val="nil"/>
              <w:bottom w:val="single" w:sz="4" w:space="0" w:color="293F5B"/>
              <w:right w:val="nil"/>
            </w:tcBorders>
            <w:shd w:val="clear" w:color="000000" w:fill="FFFFFF"/>
            <w:noWrap/>
            <w:vAlign w:val="center"/>
            <w:hideMark/>
          </w:tcPr>
          <w:p w14:paraId="2B441B9B" w14:textId="77777777" w:rsidR="004D0B46" w:rsidRPr="00EC4BA6" w:rsidRDefault="004D0B46" w:rsidP="004D0B46">
            <w:pPr>
              <w:spacing w:before="0" w:after="0" w:line="240" w:lineRule="auto"/>
              <w:jc w:val="right"/>
              <w:rPr>
                <w:rFonts w:ascii="Arial" w:hAnsi="Arial" w:cs="Arial"/>
                <w:b/>
                <w:sz w:val="16"/>
                <w:szCs w:val="16"/>
              </w:rPr>
            </w:pPr>
            <w:r w:rsidRPr="00EC4BA6">
              <w:rPr>
                <w:rFonts w:ascii="Arial" w:hAnsi="Arial" w:cs="Arial"/>
                <w:b/>
                <w:sz w:val="16"/>
                <w:szCs w:val="16"/>
              </w:rPr>
              <w:t>8,300</w:t>
            </w:r>
          </w:p>
        </w:tc>
        <w:tc>
          <w:tcPr>
            <w:tcW w:w="739" w:type="pct"/>
            <w:tcBorders>
              <w:top w:val="single" w:sz="4" w:space="0" w:color="auto"/>
              <w:left w:val="nil"/>
              <w:bottom w:val="single" w:sz="4" w:space="0" w:color="293F5B"/>
              <w:right w:val="nil"/>
            </w:tcBorders>
            <w:shd w:val="clear" w:color="000000" w:fill="FFFFFF"/>
            <w:noWrap/>
            <w:vAlign w:val="center"/>
            <w:hideMark/>
          </w:tcPr>
          <w:p w14:paraId="6EE3C83F" w14:textId="77777777" w:rsidR="004D0B46" w:rsidRPr="00EC4BA6" w:rsidRDefault="004D0B46" w:rsidP="004D0B46">
            <w:pPr>
              <w:spacing w:before="0" w:after="0" w:line="240" w:lineRule="auto"/>
              <w:jc w:val="right"/>
              <w:rPr>
                <w:rFonts w:ascii="Arial" w:hAnsi="Arial" w:cs="Arial"/>
                <w:b/>
                <w:sz w:val="16"/>
                <w:szCs w:val="16"/>
              </w:rPr>
            </w:pPr>
            <w:r w:rsidRPr="00EC4BA6">
              <w:rPr>
                <w:rFonts w:ascii="Arial" w:hAnsi="Arial" w:cs="Arial"/>
                <w:b/>
                <w:sz w:val="16"/>
                <w:szCs w:val="16"/>
              </w:rPr>
              <w:t>1.6</w:t>
            </w:r>
          </w:p>
        </w:tc>
      </w:tr>
      <w:tr w:rsidR="00837F3F" w:rsidRPr="00EC4BA6" w14:paraId="597BA65A" w14:textId="77777777" w:rsidTr="00837F3F">
        <w:trPr>
          <w:trHeight w:hRule="exact" w:val="225"/>
        </w:trPr>
        <w:tc>
          <w:tcPr>
            <w:tcW w:w="2011" w:type="pct"/>
            <w:tcBorders>
              <w:top w:val="nil"/>
              <w:left w:val="nil"/>
              <w:bottom w:val="nil"/>
              <w:right w:val="nil"/>
            </w:tcBorders>
            <w:shd w:val="clear" w:color="000000" w:fill="FFFFFF"/>
            <w:noWrap/>
            <w:vAlign w:val="center"/>
            <w:hideMark/>
          </w:tcPr>
          <w:p w14:paraId="3810750A" w14:textId="77777777" w:rsidR="004D0B46" w:rsidRPr="00EC4BA6" w:rsidRDefault="004D0B46" w:rsidP="004D0B46">
            <w:pPr>
              <w:spacing w:before="0" w:after="0" w:line="240" w:lineRule="auto"/>
              <w:rPr>
                <w:rFonts w:ascii="Arial" w:hAnsi="Arial" w:cs="Arial"/>
                <w:sz w:val="16"/>
                <w:szCs w:val="16"/>
              </w:rPr>
            </w:pPr>
            <w:r w:rsidRPr="00EC4BA6">
              <w:rPr>
                <w:rFonts w:ascii="Arial" w:hAnsi="Arial" w:cs="Arial"/>
                <w:sz w:val="16"/>
                <w:szCs w:val="16"/>
              </w:rPr>
              <w:t>Goods and services tax</w:t>
            </w:r>
          </w:p>
        </w:tc>
        <w:tc>
          <w:tcPr>
            <w:tcW w:w="726" w:type="pct"/>
            <w:tcBorders>
              <w:top w:val="nil"/>
              <w:left w:val="nil"/>
              <w:bottom w:val="nil"/>
              <w:right w:val="nil"/>
            </w:tcBorders>
            <w:shd w:val="clear" w:color="000000" w:fill="FFFFFF"/>
            <w:noWrap/>
            <w:vAlign w:val="center"/>
            <w:hideMark/>
          </w:tcPr>
          <w:p w14:paraId="6A66C26B"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99,290</w:t>
            </w:r>
          </w:p>
        </w:tc>
        <w:tc>
          <w:tcPr>
            <w:tcW w:w="726" w:type="pct"/>
            <w:tcBorders>
              <w:top w:val="nil"/>
              <w:left w:val="nil"/>
              <w:bottom w:val="nil"/>
              <w:right w:val="nil"/>
            </w:tcBorders>
            <w:shd w:val="clear" w:color="000000" w:fill="E6F2FF"/>
            <w:noWrap/>
            <w:vAlign w:val="center"/>
            <w:hideMark/>
          </w:tcPr>
          <w:p w14:paraId="033D6F26"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99,300</w:t>
            </w:r>
          </w:p>
        </w:tc>
        <w:tc>
          <w:tcPr>
            <w:tcW w:w="58" w:type="pct"/>
            <w:tcBorders>
              <w:top w:val="nil"/>
              <w:left w:val="nil"/>
              <w:bottom w:val="nil"/>
              <w:right w:val="nil"/>
            </w:tcBorders>
            <w:shd w:val="clear" w:color="000000" w:fill="FFFFFF"/>
            <w:noWrap/>
            <w:vAlign w:val="center"/>
            <w:hideMark/>
          </w:tcPr>
          <w:p w14:paraId="66DDA3F9" w14:textId="77777777" w:rsidR="004D0B46" w:rsidRPr="00EC4BA6" w:rsidRDefault="004D0B46" w:rsidP="004D0B46">
            <w:pPr>
              <w:spacing w:before="0" w:after="0" w:line="240" w:lineRule="auto"/>
              <w:jc w:val="right"/>
              <w:rPr>
                <w:rFonts w:ascii="Arial" w:hAnsi="Arial" w:cs="Arial"/>
                <w:b/>
                <w:sz w:val="16"/>
                <w:szCs w:val="16"/>
              </w:rPr>
            </w:pPr>
            <w:r w:rsidRPr="00EC4BA6">
              <w:rPr>
                <w:rFonts w:ascii="Arial" w:hAnsi="Arial" w:cs="Arial"/>
                <w:b/>
                <w:sz w:val="16"/>
                <w:szCs w:val="16"/>
              </w:rPr>
              <w:t> </w:t>
            </w:r>
          </w:p>
        </w:tc>
        <w:tc>
          <w:tcPr>
            <w:tcW w:w="739" w:type="pct"/>
            <w:tcBorders>
              <w:top w:val="nil"/>
              <w:left w:val="nil"/>
              <w:bottom w:val="nil"/>
              <w:right w:val="nil"/>
            </w:tcBorders>
            <w:shd w:val="clear" w:color="000000" w:fill="FFFFFF"/>
            <w:noWrap/>
            <w:vAlign w:val="center"/>
            <w:hideMark/>
          </w:tcPr>
          <w:p w14:paraId="5FE876E0"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10</w:t>
            </w:r>
          </w:p>
        </w:tc>
        <w:tc>
          <w:tcPr>
            <w:tcW w:w="739" w:type="pct"/>
            <w:tcBorders>
              <w:top w:val="nil"/>
              <w:left w:val="nil"/>
              <w:bottom w:val="nil"/>
              <w:right w:val="nil"/>
            </w:tcBorders>
            <w:shd w:val="clear" w:color="000000" w:fill="FFFFFF"/>
            <w:noWrap/>
            <w:vAlign w:val="center"/>
            <w:hideMark/>
          </w:tcPr>
          <w:p w14:paraId="74256409"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0.0</w:t>
            </w:r>
          </w:p>
        </w:tc>
      </w:tr>
      <w:tr w:rsidR="00837F3F" w:rsidRPr="00EC4BA6" w14:paraId="2B8E4260" w14:textId="77777777" w:rsidTr="00837F3F">
        <w:trPr>
          <w:trHeight w:hRule="exact" w:val="225"/>
        </w:trPr>
        <w:tc>
          <w:tcPr>
            <w:tcW w:w="2011" w:type="pct"/>
            <w:tcBorders>
              <w:top w:val="nil"/>
              <w:left w:val="nil"/>
              <w:bottom w:val="nil"/>
              <w:right w:val="nil"/>
            </w:tcBorders>
            <w:shd w:val="clear" w:color="000000" w:fill="FFFFFF"/>
            <w:noWrap/>
            <w:vAlign w:val="center"/>
            <w:hideMark/>
          </w:tcPr>
          <w:p w14:paraId="77A9B8E9" w14:textId="77777777" w:rsidR="004D0B46" w:rsidRPr="00EC4BA6" w:rsidRDefault="004D0B46" w:rsidP="004D0B46">
            <w:pPr>
              <w:spacing w:before="0" w:after="0" w:line="240" w:lineRule="auto"/>
              <w:rPr>
                <w:rFonts w:ascii="Arial" w:hAnsi="Arial" w:cs="Arial"/>
                <w:sz w:val="16"/>
                <w:szCs w:val="16"/>
              </w:rPr>
            </w:pPr>
            <w:r w:rsidRPr="00EC4BA6">
              <w:rPr>
                <w:rFonts w:ascii="Arial" w:hAnsi="Arial" w:cs="Arial"/>
                <w:sz w:val="16"/>
                <w:szCs w:val="16"/>
              </w:rPr>
              <w:t>Wine equalisation tax</w:t>
            </w:r>
          </w:p>
        </w:tc>
        <w:tc>
          <w:tcPr>
            <w:tcW w:w="726" w:type="pct"/>
            <w:tcBorders>
              <w:top w:val="nil"/>
              <w:left w:val="nil"/>
              <w:bottom w:val="nil"/>
              <w:right w:val="nil"/>
            </w:tcBorders>
            <w:shd w:val="clear" w:color="000000" w:fill="FFFFFF"/>
            <w:noWrap/>
            <w:vAlign w:val="center"/>
            <w:hideMark/>
          </w:tcPr>
          <w:p w14:paraId="4527CA44"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1,220</w:t>
            </w:r>
          </w:p>
        </w:tc>
        <w:tc>
          <w:tcPr>
            <w:tcW w:w="726" w:type="pct"/>
            <w:tcBorders>
              <w:top w:val="nil"/>
              <w:left w:val="nil"/>
              <w:bottom w:val="nil"/>
              <w:right w:val="nil"/>
            </w:tcBorders>
            <w:shd w:val="clear" w:color="000000" w:fill="E6F2FF"/>
            <w:noWrap/>
            <w:vAlign w:val="center"/>
            <w:hideMark/>
          </w:tcPr>
          <w:p w14:paraId="228763DA"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1,210</w:t>
            </w:r>
          </w:p>
        </w:tc>
        <w:tc>
          <w:tcPr>
            <w:tcW w:w="58" w:type="pct"/>
            <w:tcBorders>
              <w:top w:val="nil"/>
              <w:left w:val="nil"/>
              <w:bottom w:val="nil"/>
              <w:right w:val="nil"/>
            </w:tcBorders>
            <w:shd w:val="clear" w:color="000000" w:fill="FFFFFF"/>
            <w:noWrap/>
            <w:vAlign w:val="center"/>
            <w:hideMark/>
          </w:tcPr>
          <w:p w14:paraId="3F0E712C" w14:textId="77777777" w:rsidR="004D0B46" w:rsidRPr="00EC4BA6" w:rsidRDefault="004D0B46" w:rsidP="004D0B46">
            <w:pPr>
              <w:spacing w:before="0" w:after="0" w:line="240" w:lineRule="auto"/>
              <w:jc w:val="right"/>
              <w:rPr>
                <w:rFonts w:ascii="Arial" w:hAnsi="Arial" w:cs="Arial"/>
                <w:b/>
                <w:sz w:val="16"/>
                <w:szCs w:val="16"/>
              </w:rPr>
            </w:pPr>
            <w:r w:rsidRPr="00EC4BA6">
              <w:rPr>
                <w:rFonts w:ascii="Arial" w:hAnsi="Arial" w:cs="Arial"/>
                <w:b/>
                <w:sz w:val="16"/>
                <w:szCs w:val="16"/>
              </w:rPr>
              <w:t> </w:t>
            </w:r>
          </w:p>
        </w:tc>
        <w:tc>
          <w:tcPr>
            <w:tcW w:w="739" w:type="pct"/>
            <w:tcBorders>
              <w:top w:val="nil"/>
              <w:left w:val="nil"/>
              <w:bottom w:val="nil"/>
              <w:right w:val="nil"/>
            </w:tcBorders>
            <w:shd w:val="clear" w:color="000000" w:fill="FFFFFF"/>
            <w:noWrap/>
            <w:vAlign w:val="center"/>
            <w:hideMark/>
          </w:tcPr>
          <w:p w14:paraId="281869B2" w14:textId="1229CAC1" w:rsidR="004D0B46" w:rsidRPr="00EC4BA6" w:rsidRDefault="001A3DD6" w:rsidP="004D0B46">
            <w:pPr>
              <w:spacing w:before="0" w:after="0" w:line="240" w:lineRule="auto"/>
              <w:jc w:val="right"/>
              <w:rPr>
                <w:rFonts w:ascii="Arial" w:hAnsi="Arial" w:cs="Arial"/>
                <w:sz w:val="16"/>
                <w:szCs w:val="16"/>
              </w:rPr>
            </w:pPr>
            <w:r>
              <w:rPr>
                <w:rFonts w:ascii="Arial" w:hAnsi="Arial" w:cs="Arial"/>
                <w:sz w:val="16"/>
                <w:szCs w:val="16"/>
              </w:rPr>
              <w:noBreakHyphen/>
            </w:r>
            <w:r w:rsidR="004D0B46" w:rsidRPr="00EC4BA6">
              <w:rPr>
                <w:rFonts w:ascii="Arial" w:hAnsi="Arial" w:cs="Arial"/>
                <w:sz w:val="16"/>
                <w:szCs w:val="16"/>
              </w:rPr>
              <w:t>10</w:t>
            </w:r>
          </w:p>
        </w:tc>
        <w:tc>
          <w:tcPr>
            <w:tcW w:w="739" w:type="pct"/>
            <w:tcBorders>
              <w:top w:val="nil"/>
              <w:left w:val="nil"/>
              <w:bottom w:val="nil"/>
              <w:right w:val="nil"/>
            </w:tcBorders>
            <w:shd w:val="clear" w:color="000000" w:fill="FFFFFF"/>
            <w:noWrap/>
            <w:vAlign w:val="center"/>
            <w:hideMark/>
          </w:tcPr>
          <w:p w14:paraId="4B9B9ACB" w14:textId="7DA2036C" w:rsidR="004D0B46" w:rsidRPr="00EC4BA6" w:rsidRDefault="001A3DD6" w:rsidP="004D0B46">
            <w:pPr>
              <w:spacing w:before="0" w:after="0" w:line="240" w:lineRule="auto"/>
              <w:jc w:val="right"/>
              <w:rPr>
                <w:rFonts w:ascii="Arial" w:hAnsi="Arial" w:cs="Arial"/>
                <w:sz w:val="16"/>
                <w:szCs w:val="16"/>
              </w:rPr>
            </w:pPr>
            <w:r>
              <w:rPr>
                <w:rFonts w:ascii="Arial" w:hAnsi="Arial" w:cs="Arial"/>
                <w:sz w:val="16"/>
                <w:szCs w:val="16"/>
              </w:rPr>
              <w:noBreakHyphen/>
            </w:r>
            <w:r w:rsidR="004D0B46" w:rsidRPr="00EC4BA6">
              <w:rPr>
                <w:rFonts w:ascii="Arial" w:hAnsi="Arial" w:cs="Arial"/>
                <w:sz w:val="16"/>
                <w:szCs w:val="16"/>
              </w:rPr>
              <w:t>0.8</w:t>
            </w:r>
          </w:p>
        </w:tc>
      </w:tr>
      <w:tr w:rsidR="00837F3F" w:rsidRPr="00EC4BA6" w14:paraId="47DC9566" w14:textId="77777777" w:rsidTr="00837F3F">
        <w:trPr>
          <w:trHeight w:hRule="exact" w:val="225"/>
        </w:trPr>
        <w:tc>
          <w:tcPr>
            <w:tcW w:w="2011" w:type="pct"/>
            <w:tcBorders>
              <w:top w:val="nil"/>
              <w:left w:val="nil"/>
              <w:bottom w:val="nil"/>
              <w:right w:val="nil"/>
            </w:tcBorders>
            <w:shd w:val="clear" w:color="000000" w:fill="FFFFFF"/>
            <w:noWrap/>
            <w:vAlign w:val="center"/>
            <w:hideMark/>
          </w:tcPr>
          <w:p w14:paraId="0B95348B" w14:textId="77777777" w:rsidR="004D0B46" w:rsidRPr="00EC4BA6" w:rsidRDefault="004D0B46" w:rsidP="004D0B46">
            <w:pPr>
              <w:spacing w:before="0" w:after="0" w:line="240" w:lineRule="auto"/>
              <w:rPr>
                <w:rFonts w:ascii="Arial" w:hAnsi="Arial" w:cs="Arial"/>
                <w:sz w:val="16"/>
                <w:szCs w:val="16"/>
              </w:rPr>
            </w:pPr>
            <w:r w:rsidRPr="00EC4BA6">
              <w:rPr>
                <w:rFonts w:ascii="Arial" w:hAnsi="Arial" w:cs="Arial"/>
                <w:sz w:val="16"/>
                <w:szCs w:val="16"/>
              </w:rPr>
              <w:t>Luxury car tax</w:t>
            </w:r>
          </w:p>
        </w:tc>
        <w:tc>
          <w:tcPr>
            <w:tcW w:w="726" w:type="pct"/>
            <w:tcBorders>
              <w:top w:val="nil"/>
              <w:left w:val="nil"/>
              <w:bottom w:val="nil"/>
              <w:right w:val="nil"/>
            </w:tcBorders>
            <w:shd w:val="clear" w:color="000000" w:fill="FFFFFF"/>
            <w:noWrap/>
            <w:vAlign w:val="center"/>
            <w:hideMark/>
          </w:tcPr>
          <w:p w14:paraId="760D7FE6"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1,210</w:t>
            </w:r>
          </w:p>
        </w:tc>
        <w:tc>
          <w:tcPr>
            <w:tcW w:w="726" w:type="pct"/>
            <w:tcBorders>
              <w:top w:val="nil"/>
              <w:left w:val="nil"/>
              <w:bottom w:val="nil"/>
              <w:right w:val="nil"/>
            </w:tcBorders>
            <w:shd w:val="clear" w:color="000000" w:fill="E6F2FF"/>
            <w:noWrap/>
            <w:vAlign w:val="center"/>
            <w:hideMark/>
          </w:tcPr>
          <w:p w14:paraId="7EF09EBA"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1,210</w:t>
            </w:r>
          </w:p>
        </w:tc>
        <w:tc>
          <w:tcPr>
            <w:tcW w:w="58" w:type="pct"/>
            <w:tcBorders>
              <w:top w:val="nil"/>
              <w:left w:val="nil"/>
              <w:bottom w:val="nil"/>
              <w:right w:val="nil"/>
            </w:tcBorders>
            <w:shd w:val="clear" w:color="000000" w:fill="FFFFFF"/>
            <w:noWrap/>
            <w:vAlign w:val="center"/>
            <w:hideMark/>
          </w:tcPr>
          <w:p w14:paraId="70062F4B" w14:textId="77777777" w:rsidR="004D0B46" w:rsidRPr="00EC4BA6" w:rsidRDefault="004D0B46" w:rsidP="004D0B46">
            <w:pPr>
              <w:spacing w:before="0" w:after="0" w:line="240" w:lineRule="auto"/>
              <w:jc w:val="right"/>
              <w:rPr>
                <w:rFonts w:ascii="Arial" w:hAnsi="Arial" w:cs="Arial"/>
                <w:b/>
                <w:sz w:val="16"/>
                <w:szCs w:val="16"/>
              </w:rPr>
            </w:pPr>
            <w:r w:rsidRPr="00EC4BA6">
              <w:rPr>
                <w:rFonts w:ascii="Arial" w:hAnsi="Arial" w:cs="Arial"/>
                <w:b/>
                <w:sz w:val="16"/>
                <w:szCs w:val="16"/>
              </w:rPr>
              <w:t> </w:t>
            </w:r>
          </w:p>
        </w:tc>
        <w:tc>
          <w:tcPr>
            <w:tcW w:w="739" w:type="pct"/>
            <w:tcBorders>
              <w:top w:val="nil"/>
              <w:left w:val="nil"/>
              <w:bottom w:val="nil"/>
              <w:right w:val="nil"/>
            </w:tcBorders>
            <w:shd w:val="clear" w:color="000000" w:fill="FFFFFF"/>
            <w:noWrap/>
            <w:vAlign w:val="center"/>
            <w:hideMark/>
          </w:tcPr>
          <w:p w14:paraId="3851357A"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0</w:t>
            </w:r>
          </w:p>
        </w:tc>
        <w:tc>
          <w:tcPr>
            <w:tcW w:w="739" w:type="pct"/>
            <w:tcBorders>
              <w:top w:val="nil"/>
              <w:left w:val="nil"/>
              <w:bottom w:val="nil"/>
              <w:right w:val="nil"/>
            </w:tcBorders>
            <w:shd w:val="clear" w:color="000000" w:fill="FFFFFF"/>
            <w:noWrap/>
            <w:vAlign w:val="center"/>
            <w:hideMark/>
          </w:tcPr>
          <w:p w14:paraId="1E7D4C15"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0.0</w:t>
            </w:r>
          </w:p>
        </w:tc>
      </w:tr>
      <w:tr w:rsidR="00837F3F" w:rsidRPr="00EC4BA6" w14:paraId="070D3F7B" w14:textId="77777777" w:rsidTr="00837F3F">
        <w:trPr>
          <w:trHeight w:hRule="exact" w:val="225"/>
        </w:trPr>
        <w:tc>
          <w:tcPr>
            <w:tcW w:w="2011" w:type="pct"/>
            <w:tcBorders>
              <w:top w:val="nil"/>
              <w:left w:val="nil"/>
              <w:bottom w:val="nil"/>
              <w:right w:val="nil"/>
            </w:tcBorders>
            <w:shd w:val="clear" w:color="000000" w:fill="FFFFFF"/>
            <w:noWrap/>
            <w:vAlign w:val="center"/>
            <w:hideMark/>
          </w:tcPr>
          <w:p w14:paraId="745C46BD" w14:textId="77777777" w:rsidR="004D0B46" w:rsidRPr="00EC4BA6" w:rsidRDefault="004D0B46" w:rsidP="004D0B46">
            <w:pPr>
              <w:spacing w:before="0" w:after="0" w:line="240" w:lineRule="auto"/>
              <w:rPr>
                <w:rFonts w:ascii="Arial" w:hAnsi="Arial" w:cs="Arial"/>
                <w:sz w:val="16"/>
                <w:szCs w:val="16"/>
              </w:rPr>
            </w:pPr>
            <w:r w:rsidRPr="00EC4BA6">
              <w:rPr>
                <w:rFonts w:ascii="Arial" w:hAnsi="Arial" w:cs="Arial"/>
                <w:sz w:val="16"/>
                <w:szCs w:val="16"/>
              </w:rPr>
              <w:t xml:space="preserve">Excise and customs duty  </w:t>
            </w:r>
          </w:p>
        </w:tc>
        <w:tc>
          <w:tcPr>
            <w:tcW w:w="726" w:type="pct"/>
            <w:tcBorders>
              <w:top w:val="nil"/>
              <w:left w:val="nil"/>
              <w:bottom w:val="nil"/>
              <w:right w:val="nil"/>
            </w:tcBorders>
            <w:shd w:val="clear" w:color="000000" w:fill="FFFFFF"/>
            <w:noWrap/>
            <w:vAlign w:val="center"/>
            <w:hideMark/>
          </w:tcPr>
          <w:p w14:paraId="1312B4F4"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 </w:t>
            </w:r>
          </w:p>
        </w:tc>
        <w:tc>
          <w:tcPr>
            <w:tcW w:w="726" w:type="pct"/>
            <w:tcBorders>
              <w:top w:val="nil"/>
              <w:left w:val="nil"/>
              <w:bottom w:val="nil"/>
              <w:right w:val="nil"/>
            </w:tcBorders>
            <w:shd w:val="clear" w:color="000000" w:fill="E6F2FF"/>
            <w:noWrap/>
            <w:vAlign w:val="center"/>
            <w:hideMark/>
          </w:tcPr>
          <w:p w14:paraId="4FB4A485"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 </w:t>
            </w:r>
          </w:p>
        </w:tc>
        <w:tc>
          <w:tcPr>
            <w:tcW w:w="58" w:type="pct"/>
            <w:tcBorders>
              <w:top w:val="nil"/>
              <w:left w:val="nil"/>
              <w:bottom w:val="nil"/>
              <w:right w:val="nil"/>
            </w:tcBorders>
            <w:shd w:val="clear" w:color="000000" w:fill="FFFFFF"/>
            <w:noWrap/>
            <w:vAlign w:val="center"/>
            <w:hideMark/>
          </w:tcPr>
          <w:p w14:paraId="60185EC7"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 </w:t>
            </w:r>
          </w:p>
        </w:tc>
        <w:tc>
          <w:tcPr>
            <w:tcW w:w="739" w:type="pct"/>
            <w:tcBorders>
              <w:top w:val="nil"/>
              <w:left w:val="nil"/>
              <w:bottom w:val="nil"/>
              <w:right w:val="nil"/>
            </w:tcBorders>
            <w:shd w:val="clear" w:color="000000" w:fill="FFFFFF"/>
            <w:noWrap/>
            <w:vAlign w:val="center"/>
            <w:hideMark/>
          </w:tcPr>
          <w:p w14:paraId="21F8D7AE"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 </w:t>
            </w:r>
          </w:p>
        </w:tc>
        <w:tc>
          <w:tcPr>
            <w:tcW w:w="739" w:type="pct"/>
            <w:tcBorders>
              <w:top w:val="nil"/>
              <w:left w:val="nil"/>
              <w:bottom w:val="nil"/>
              <w:right w:val="nil"/>
            </w:tcBorders>
            <w:shd w:val="clear" w:color="000000" w:fill="FFFFFF"/>
            <w:noWrap/>
            <w:vAlign w:val="center"/>
            <w:hideMark/>
          </w:tcPr>
          <w:p w14:paraId="6276EA74"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 </w:t>
            </w:r>
          </w:p>
        </w:tc>
      </w:tr>
      <w:tr w:rsidR="00837F3F" w:rsidRPr="00EC4BA6" w14:paraId="00298439" w14:textId="77777777" w:rsidTr="00837F3F">
        <w:trPr>
          <w:trHeight w:hRule="exact" w:val="225"/>
        </w:trPr>
        <w:tc>
          <w:tcPr>
            <w:tcW w:w="2011" w:type="pct"/>
            <w:tcBorders>
              <w:top w:val="nil"/>
              <w:left w:val="nil"/>
              <w:bottom w:val="nil"/>
              <w:right w:val="nil"/>
            </w:tcBorders>
            <w:shd w:val="clear" w:color="000000" w:fill="FFFFFF"/>
            <w:noWrap/>
            <w:vAlign w:val="center"/>
            <w:hideMark/>
          </w:tcPr>
          <w:p w14:paraId="22491545" w14:textId="77777777" w:rsidR="004D0B46" w:rsidRPr="00EC4BA6" w:rsidRDefault="004D0B46" w:rsidP="00837F3F">
            <w:pPr>
              <w:spacing w:before="0" w:after="0" w:line="240" w:lineRule="auto"/>
              <w:ind w:left="170"/>
              <w:rPr>
                <w:rFonts w:ascii="Arial" w:hAnsi="Arial" w:cs="Arial"/>
                <w:sz w:val="16"/>
                <w:szCs w:val="16"/>
              </w:rPr>
            </w:pPr>
            <w:r w:rsidRPr="00EC4BA6">
              <w:rPr>
                <w:rFonts w:ascii="Arial" w:hAnsi="Arial" w:cs="Arial"/>
                <w:sz w:val="16"/>
                <w:szCs w:val="16"/>
              </w:rPr>
              <w:t>Petrol</w:t>
            </w:r>
          </w:p>
        </w:tc>
        <w:tc>
          <w:tcPr>
            <w:tcW w:w="726" w:type="pct"/>
            <w:tcBorders>
              <w:top w:val="nil"/>
              <w:left w:val="nil"/>
              <w:bottom w:val="nil"/>
              <w:right w:val="nil"/>
            </w:tcBorders>
            <w:shd w:val="clear" w:color="000000" w:fill="FFFFFF"/>
            <w:noWrap/>
            <w:vAlign w:val="center"/>
            <w:hideMark/>
          </w:tcPr>
          <w:p w14:paraId="68C1CBC2"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7,450</w:t>
            </w:r>
          </w:p>
        </w:tc>
        <w:tc>
          <w:tcPr>
            <w:tcW w:w="726" w:type="pct"/>
            <w:tcBorders>
              <w:top w:val="nil"/>
              <w:left w:val="nil"/>
              <w:bottom w:val="nil"/>
              <w:right w:val="nil"/>
            </w:tcBorders>
            <w:shd w:val="clear" w:color="000000" w:fill="E6F2FF"/>
            <w:noWrap/>
            <w:vAlign w:val="center"/>
            <w:hideMark/>
          </w:tcPr>
          <w:p w14:paraId="6DB2CD8E"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7,450</w:t>
            </w:r>
          </w:p>
        </w:tc>
        <w:tc>
          <w:tcPr>
            <w:tcW w:w="58" w:type="pct"/>
            <w:tcBorders>
              <w:top w:val="nil"/>
              <w:left w:val="nil"/>
              <w:bottom w:val="nil"/>
              <w:right w:val="nil"/>
            </w:tcBorders>
            <w:shd w:val="clear" w:color="000000" w:fill="FFFFFF"/>
            <w:noWrap/>
            <w:vAlign w:val="center"/>
            <w:hideMark/>
          </w:tcPr>
          <w:p w14:paraId="7F84B8FE"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 </w:t>
            </w:r>
          </w:p>
        </w:tc>
        <w:tc>
          <w:tcPr>
            <w:tcW w:w="739" w:type="pct"/>
            <w:tcBorders>
              <w:top w:val="nil"/>
              <w:left w:val="nil"/>
              <w:bottom w:val="nil"/>
              <w:right w:val="nil"/>
            </w:tcBorders>
            <w:shd w:val="clear" w:color="000000" w:fill="FFFFFF"/>
            <w:noWrap/>
            <w:vAlign w:val="center"/>
            <w:hideMark/>
          </w:tcPr>
          <w:p w14:paraId="21B9E495"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0</w:t>
            </w:r>
          </w:p>
        </w:tc>
        <w:tc>
          <w:tcPr>
            <w:tcW w:w="739" w:type="pct"/>
            <w:tcBorders>
              <w:top w:val="nil"/>
              <w:left w:val="nil"/>
              <w:bottom w:val="nil"/>
              <w:right w:val="nil"/>
            </w:tcBorders>
            <w:shd w:val="clear" w:color="000000" w:fill="FFFFFF"/>
            <w:noWrap/>
            <w:vAlign w:val="center"/>
            <w:hideMark/>
          </w:tcPr>
          <w:p w14:paraId="7382E8CA"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0.0</w:t>
            </w:r>
          </w:p>
        </w:tc>
      </w:tr>
      <w:tr w:rsidR="00837F3F" w:rsidRPr="00EC4BA6" w14:paraId="492DAC7A" w14:textId="77777777" w:rsidTr="00837F3F">
        <w:trPr>
          <w:trHeight w:hRule="exact" w:val="225"/>
        </w:trPr>
        <w:tc>
          <w:tcPr>
            <w:tcW w:w="2011" w:type="pct"/>
            <w:tcBorders>
              <w:top w:val="nil"/>
              <w:left w:val="nil"/>
              <w:bottom w:val="nil"/>
              <w:right w:val="nil"/>
            </w:tcBorders>
            <w:shd w:val="clear" w:color="000000" w:fill="FFFFFF"/>
            <w:noWrap/>
            <w:vAlign w:val="center"/>
            <w:hideMark/>
          </w:tcPr>
          <w:p w14:paraId="53C2357B" w14:textId="77777777" w:rsidR="004D0B46" w:rsidRPr="00EC4BA6" w:rsidRDefault="004D0B46" w:rsidP="00837F3F">
            <w:pPr>
              <w:spacing w:before="0" w:after="0" w:line="240" w:lineRule="auto"/>
              <w:ind w:left="170"/>
              <w:rPr>
                <w:rFonts w:ascii="Arial" w:hAnsi="Arial" w:cs="Arial"/>
                <w:sz w:val="16"/>
                <w:szCs w:val="16"/>
              </w:rPr>
            </w:pPr>
            <w:r w:rsidRPr="00EC4BA6">
              <w:rPr>
                <w:rFonts w:ascii="Arial" w:hAnsi="Arial" w:cs="Arial"/>
                <w:sz w:val="16"/>
                <w:szCs w:val="16"/>
              </w:rPr>
              <w:t>Diesel</w:t>
            </w:r>
          </w:p>
        </w:tc>
        <w:tc>
          <w:tcPr>
            <w:tcW w:w="726" w:type="pct"/>
            <w:tcBorders>
              <w:top w:val="nil"/>
              <w:left w:val="nil"/>
              <w:bottom w:val="nil"/>
              <w:right w:val="nil"/>
            </w:tcBorders>
            <w:shd w:val="clear" w:color="000000" w:fill="FFFFFF"/>
            <w:noWrap/>
            <w:vAlign w:val="center"/>
            <w:hideMark/>
          </w:tcPr>
          <w:p w14:paraId="5C8A810E"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17,850</w:t>
            </w:r>
          </w:p>
        </w:tc>
        <w:tc>
          <w:tcPr>
            <w:tcW w:w="726" w:type="pct"/>
            <w:tcBorders>
              <w:top w:val="nil"/>
              <w:left w:val="nil"/>
              <w:bottom w:val="nil"/>
              <w:right w:val="nil"/>
            </w:tcBorders>
            <w:shd w:val="clear" w:color="000000" w:fill="E6F2FF"/>
            <w:noWrap/>
            <w:vAlign w:val="center"/>
            <w:hideMark/>
          </w:tcPr>
          <w:p w14:paraId="4885E85A"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17,850</w:t>
            </w:r>
          </w:p>
        </w:tc>
        <w:tc>
          <w:tcPr>
            <w:tcW w:w="58" w:type="pct"/>
            <w:tcBorders>
              <w:top w:val="nil"/>
              <w:left w:val="nil"/>
              <w:bottom w:val="nil"/>
              <w:right w:val="nil"/>
            </w:tcBorders>
            <w:shd w:val="clear" w:color="000000" w:fill="FFFFFF"/>
            <w:noWrap/>
            <w:vAlign w:val="center"/>
            <w:hideMark/>
          </w:tcPr>
          <w:p w14:paraId="542F9E9C"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 </w:t>
            </w:r>
          </w:p>
        </w:tc>
        <w:tc>
          <w:tcPr>
            <w:tcW w:w="739" w:type="pct"/>
            <w:tcBorders>
              <w:top w:val="nil"/>
              <w:left w:val="nil"/>
              <w:bottom w:val="nil"/>
              <w:right w:val="nil"/>
            </w:tcBorders>
            <w:shd w:val="clear" w:color="000000" w:fill="FFFFFF"/>
            <w:noWrap/>
            <w:vAlign w:val="center"/>
            <w:hideMark/>
          </w:tcPr>
          <w:p w14:paraId="41E49F50"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0</w:t>
            </w:r>
          </w:p>
        </w:tc>
        <w:tc>
          <w:tcPr>
            <w:tcW w:w="739" w:type="pct"/>
            <w:tcBorders>
              <w:top w:val="nil"/>
              <w:left w:val="nil"/>
              <w:bottom w:val="nil"/>
              <w:right w:val="nil"/>
            </w:tcBorders>
            <w:shd w:val="clear" w:color="000000" w:fill="FFFFFF"/>
            <w:noWrap/>
            <w:vAlign w:val="center"/>
            <w:hideMark/>
          </w:tcPr>
          <w:p w14:paraId="7AC09554"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0.0</w:t>
            </w:r>
          </w:p>
        </w:tc>
      </w:tr>
      <w:tr w:rsidR="00837F3F" w:rsidRPr="00EC4BA6" w14:paraId="4A4A550F" w14:textId="77777777" w:rsidTr="00837F3F">
        <w:trPr>
          <w:trHeight w:hRule="exact" w:val="225"/>
        </w:trPr>
        <w:tc>
          <w:tcPr>
            <w:tcW w:w="2011" w:type="pct"/>
            <w:tcBorders>
              <w:top w:val="nil"/>
              <w:left w:val="nil"/>
              <w:bottom w:val="nil"/>
              <w:right w:val="nil"/>
            </w:tcBorders>
            <w:shd w:val="clear" w:color="000000" w:fill="FFFFFF"/>
            <w:noWrap/>
            <w:vAlign w:val="center"/>
            <w:hideMark/>
          </w:tcPr>
          <w:p w14:paraId="783EB2FC" w14:textId="77777777" w:rsidR="004D0B46" w:rsidRPr="00EC4BA6" w:rsidRDefault="004D0B46" w:rsidP="00837F3F">
            <w:pPr>
              <w:spacing w:before="0" w:after="0" w:line="240" w:lineRule="auto"/>
              <w:ind w:left="170"/>
              <w:rPr>
                <w:rFonts w:ascii="Arial" w:hAnsi="Arial" w:cs="Arial"/>
                <w:sz w:val="16"/>
                <w:szCs w:val="16"/>
              </w:rPr>
            </w:pPr>
            <w:r w:rsidRPr="00EC4BA6">
              <w:rPr>
                <w:rFonts w:ascii="Arial" w:hAnsi="Arial" w:cs="Arial"/>
                <w:sz w:val="16"/>
                <w:szCs w:val="16"/>
              </w:rPr>
              <w:t>Other fuel products</w:t>
            </w:r>
          </w:p>
        </w:tc>
        <w:tc>
          <w:tcPr>
            <w:tcW w:w="726" w:type="pct"/>
            <w:tcBorders>
              <w:top w:val="nil"/>
              <w:left w:val="nil"/>
              <w:bottom w:val="nil"/>
              <w:right w:val="nil"/>
            </w:tcBorders>
            <w:shd w:val="clear" w:color="000000" w:fill="FFFFFF"/>
            <w:noWrap/>
            <w:vAlign w:val="center"/>
            <w:hideMark/>
          </w:tcPr>
          <w:p w14:paraId="1865789E"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2,020</w:t>
            </w:r>
          </w:p>
        </w:tc>
        <w:tc>
          <w:tcPr>
            <w:tcW w:w="726" w:type="pct"/>
            <w:tcBorders>
              <w:top w:val="nil"/>
              <w:left w:val="nil"/>
              <w:bottom w:val="nil"/>
              <w:right w:val="nil"/>
            </w:tcBorders>
            <w:shd w:val="clear" w:color="000000" w:fill="E6F2FF"/>
            <w:noWrap/>
            <w:vAlign w:val="center"/>
            <w:hideMark/>
          </w:tcPr>
          <w:p w14:paraId="07D0FDAC"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2,020</w:t>
            </w:r>
          </w:p>
        </w:tc>
        <w:tc>
          <w:tcPr>
            <w:tcW w:w="58" w:type="pct"/>
            <w:tcBorders>
              <w:top w:val="nil"/>
              <w:left w:val="nil"/>
              <w:bottom w:val="nil"/>
              <w:right w:val="nil"/>
            </w:tcBorders>
            <w:shd w:val="clear" w:color="000000" w:fill="FFFFFF"/>
            <w:noWrap/>
            <w:vAlign w:val="center"/>
            <w:hideMark/>
          </w:tcPr>
          <w:p w14:paraId="77A072C4"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 </w:t>
            </w:r>
          </w:p>
        </w:tc>
        <w:tc>
          <w:tcPr>
            <w:tcW w:w="739" w:type="pct"/>
            <w:tcBorders>
              <w:top w:val="nil"/>
              <w:left w:val="nil"/>
              <w:bottom w:val="nil"/>
              <w:right w:val="nil"/>
            </w:tcBorders>
            <w:shd w:val="clear" w:color="000000" w:fill="FFFFFF"/>
            <w:noWrap/>
            <w:vAlign w:val="center"/>
            <w:hideMark/>
          </w:tcPr>
          <w:p w14:paraId="615FCDC0"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0</w:t>
            </w:r>
          </w:p>
        </w:tc>
        <w:tc>
          <w:tcPr>
            <w:tcW w:w="739" w:type="pct"/>
            <w:tcBorders>
              <w:top w:val="nil"/>
              <w:left w:val="nil"/>
              <w:bottom w:val="nil"/>
              <w:right w:val="nil"/>
            </w:tcBorders>
            <w:shd w:val="clear" w:color="000000" w:fill="FFFFFF"/>
            <w:noWrap/>
            <w:vAlign w:val="center"/>
            <w:hideMark/>
          </w:tcPr>
          <w:p w14:paraId="33652507"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0.0</w:t>
            </w:r>
          </w:p>
        </w:tc>
      </w:tr>
      <w:tr w:rsidR="00837F3F" w:rsidRPr="00EC4BA6" w14:paraId="2F1AA5D4" w14:textId="77777777" w:rsidTr="00837F3F">
        <w:trPr>
          <w:trHeight w:hRule="exact" w:val="225"/>
        </w:trPr>
        <w:tc>
          <w:tcPr>
            <w:tcW w:w="2011" w:type="pct"/>
            <w:tcBorders>
              <w:top w:val="nil"/>
              <w:left w:val="nil"/>
              <w:bottom w:val="nil"/>
              <w:right w:val="nil"/>
            </w:tcBorders>
            <w:shd w:val="clear" w:color="000000" w:fill="FFFFFF"/>
            <w:noWrap/>
            <w:vAlign w:val="center"/>
            <w:hideMark/>
          </w:tcPr>
          <w:p w14:paraId="20AE0049" w14:textId="77777777" w:rsidR="004D0B46" w:rsidRPr="00EC4BA6" w:rsidRDefault="004D0B46" w:rsidP="00837F3F">
            <w:pPr>
              <w:spacing w:before="0" w:after="0" w:line="240" w:lineRule="auto"/>
              <w:ind w:left="170"/>
              <w:rPr>
                <w:rFonts w:ascii="Arial" w:hAnsi="Arial" w:cs="Arial"/>
                <w:sz w:val="16"/>
                <w:szCs w:val="16"/>
              </w:rPr>
            </w:pPr>
            <w:r w:rsidRPr="00EC4BA6">
              <w:rPr>
                <w:rFonts w:ascii="Arial" w:hAnsi="Arial" w:cs="Arial"/>
                <w:sz w:val="16"/>
                <w:szCs w:val="16"/>
              </w:rPr>
              <w:t>Tobacco</w:t>
            </w:r>
          </w:p>
        </w:tc>
        <w:tc>
          <w:tcPr>
            <w:tcW w:w="726" w:type="pct"/>
            <w:tcBorders>
              <w:top w:val="nil"/>
              <w:left w:val="nil"/>
              <w:bottom w:val="nil"/>
              <w:right w:val="nil"/>
            </w:tcBorders>
            <w:shd w:val="clear" w:color="000000" w:fill="FFFFFF"/>
            <w:noWrap/>
            <w:vAlign w:val="center"/>
            <w:hideMark/>
          </w:tcPr>
          <w:p w14:paraId="4E4DB035"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8,650</w:t>
            </w:r>
          </w:p>
        </w:tc>
        <w:tc>
          <w:tcPr>
            <w:tcW w:w="726" w:type="pct"/>
            <w:tcBorders>
              <w:top w:val="nil"/>
              <w:left w:val="nil"/>
              <w:bottom w:val="nil"/>
              <w:right w:val="nil"/>
            </w:tcBorders>
            <w:shd w:val="clear" w:color="000000" w:fill="E6F2FF"/>
            <w:noWrap/>
            <w:vAlign w:val="center"/>
            <w:hideMark/>
          </w:tcPr>
          <w:p w14:paraId="156DCA3B"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7,050</w:t>
            </w:r>
          </w:p>
        </w:tc>
        <w:tc>
          <w:tcPr>
            <w:tcW w:w="58" w:type="pct"/>
            <w:tcBorders>
              <w:top w:val="nil"/>
              <w:left w:val="nil"/>
              <w:bottom w:val="nil"/>
              <w:right w:val="nil"/>
            </w:tcBorders>
            <w:shd w:val="clear" w:color="000000" w:fill="FFFFFF"/>
            <w:noWrap/>
            <w:vAlign w:val="center"/>
            <w:hideMark/>
          </w:tcPr>
          <w:p w14:paraId="2FF3FF45"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 </w:t>
            </w:r>
          </w:p>
        </w:tc>
        <w:tc>
          <w:tcPr>
            <w:tcW w:w="739" w:type="pct"/>
            <w:tcBorders>
              <w:top w:val="nil"/>
              <w:left w:val="nil"/>
              <w:bottom w:val="nil"/>
              <w:right w:val="nil"/>
            </w:tcBorders>
            <w:shd w:val="clear" w:color="000000" w:fill="FFFFFF"/>
            <w:noWrap/>
            <w:vAlign w:val="center"/>
            <w:hideMark/>
          </w:tcPr>
          <w:p w14:paraId="3E94B8A2" w14:textId="492B10D8" w:rsidR="004D0B46" w:rsidRPr="00EC4BA6" w:rsidRDefault="001A3DD6" w:rsidP="004D0B46">
            <w:pPr>
              <w:spacing w:before="0" w:after="0" w:line="240" w:lineRule="auto"/>
              <w:jc w:val="right"/>
              <w:rPr>
                <w:rFonts w:ascii="Arial" w:hAnsi="Arial" w:cs="Arial"/>
                <w:sz w:val="16"/>
                <w:szCs w:val="16"/>
              </w:rPr>
            </w:pPr>
            <w:r>
              <w:rPr>
                <w:rFonts w:ascii="Arial" w:hAnsi="Arial" w:cs="Arial"/>
                <w:sz w:val="16"/>
                <w:szCs w:val="16"/>
              </w:rPr>
              <w:noBreakHyphen/>
            </w:r>
            <w:r w:rsidR="004D0B46" w:rsidRPr="00EC4BA6">
              <w:rPr>
                <w:rFonts w:ascii="Arial" w:hAnsi="Arial" w:cs="Arial"/>
                <w:sz w:val="16"/>
                <w:szCs w:val="16"/>
              </w:rPr>
              <w:t>1,600</w:t>
            </w:r>
          </w:p>
        </w:tc>
        <w:tc>
          <w:tcPr>
            <w:tcW w:w="739" w:type="pct"/>
            <w:tcBorders>
              <w:top w:val="nil"/>
              <w:left w:val="nil"/>
              <w:bottom w:val="nil"/>
              <w:right w:val="nil"/>
            </w:tcBorders>
            <w:shd w:val="clear" w:color="000000" w:fill="FFFFFF"/>
            <w:noWrap/>
            <w:vAlign w:val="center"/>
            <w:hideMark/>
          </w:tcPr>
          <w:p w14:paraId="6A7BEC07" w14:textId="5CB244AC" w:rsidR="004D0B46" w:rsidRPr="00EC4BA6" w:rsidRDefault="001A3DD6" w:rsidP="004D0B46">
            <w:pPr>
              <w:spacing w:before="0" w:after="0" w:line="240" w:lineRule="auto"/>
              <w:jc w:val="right"/>
              <w:rPr>
                <w:rFonts w:ascii="Arial" w:hAnsi="Arial" w:cs="Arial"/>
                <w:sz w:val="16"/>
                <w:szCs w:val="16"/>
              </w:rPr>
            </w:pPr>
            <w:r>
              <w:rPr>
                <w:rFonts w:ascii="Arial" w:hAnsi="Arial" w:cs="Arial"/>
                <w:sz w:val="16"/>
                <w:szCs w:val="16"/>
              </w:rPr>
              <w:noBreakHyphen/>
            </w:r>
            <w:r w:rsidR="004D0B46" w:rsidRPr="00EC4BA6">
              <w:rPr>
                <w:rFonts w:ascii="Arial" w:hAnsi="Arial" w:cs="Arial"/>
                <w:sz w:val="16"/>
                <w:szCs w:val="16"/>
              </w:rPr>
              <w:t>18.5</w:t>
            </w:r>
          </w:p>
        </w:tc>
      </w:tr>
      <w:tr w:rsidR="00837F3F" w:rsidRPr="00EC4BA6" w14:paraId="4F0CCFE8" w14:textId="77777777" w:rsidTr="00837F3F">
        <w:trPr>
          <w:trHeight w:hRule="exact" w:val="225"/>
        </w:trPr>
        <w:tc>
          <w:tcPr>
            <w:tcW w:w="2011" w:type="pct"/>
            <w:tcBorders>
              <w:top w:val="nil"/>
              <w:left w:val="nil"/>
              <w:bottom w:val="nil"/>
              <w:right w:val="nil"/>
            </w:tcBorders>
            <w:shd w:val="clear" w:color="000000" w:fill="FFFFFF"/>
            <w:noWrap/>
            <w:vAlign w:val="center"/>
            <w:hideMark/>
          </w:tcPr>
          <w:p w14:paraId="2C589553" w14:textId="77777777" w:rsidR="004D0B46" w:rsidRPr="00EC4BA6" w:rsidRDefault="004D0B46" w:rsidP="00837F3F">
            <w:pPr>
              <w:spacing w:before="0" w:after="0" w:line="240" w:lineRule="auto"/>
              <w:ind w:left="170"/>
              <w:rPr>
                <w:rFonts w:ascii="Arial" w:hAnsi="Arial" w:cs="Arial"/>
                <w:sz w:val="16"/>
                <w:szCs w:val="16"/>
              </w:rPr>
            </w:pPr>
            <w:r w:rsidRPr="00EC4BA6">
              <w:rPr>
                <w:rFonts w:ascii="Arial" w:hAnsi="Arial" w:cs="Arial"/>
                <w:sz w:val="16"/>
                <w:szCs w:val="16"/>
              </w:rPr>
              <w:t>Beer</w:t>
            </w:r>
          </w:p>
        </w:tc>
        <w:tc>
          <w:tcPr>
            <w:tcW w:w="726" w:type="pct"/>
            <w:tcBorders>
              <w:top w:val="nil"/>
              <w:left w:val="nil"/>
              <w:bottom w:val="nil"/>
              <w:right w:val="nil"/>
            </w:tcBorders>
            <w:shd w:val="clear" w:color="000000" w:fill="FFFFFF"/>
            <w:noWrap/>
            <w:vAlign w:val="center"/>
            <w:hideMark/>
          </w:tcPr>
          <w:p w14:paraId="5D656CCA"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2,850</w:t>
            </w:r>
          </w:p>
        </w:tc>
        <w:tc>
          <w:tcPr>
            <w:tcW w:w="726" w:type="pct"/>
            <w:tcBorders>
              <w:top w:val="nil"/>
              <w:left w:val="nil"/>
              <w:bottom w:val="nil"/>
              <w:right w:val="nil"/>
            </w:tcBorders>
            <w:shd w:val="clear" w:color="000000" w:fill="E6F2FF"/>
            <w:noWrap/>
            <w:vAlign w:val="center"/>
            <w:hideMark/>
          </w:tcPr>
          <w:p w14:paraId="170B60D8"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2,780</w:t>
            </w:r>
          </w:p>
        </w:tc>
        <w:tc>
          <w:tcPr>
            <w:tcW w:w="58" w:type="pct"/>
            <w:tcBorders>
              <w:top w:val="nil"/>
              <w:left w:val="nil"/>
              <w:bottom w:val="nil"/>
              <w:right w:val="nil"/>
            </w:tcBorders>
            <w:shd w:val="clear" w:color="000000" w:fill="FFFFFF"/>
            <w:noWrap/>
            <w:vAlign w:val="center"/>
            <w:hideMark/>
          </w:tcPr>
          <w:p w14:paraId="2A8F01AE"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 </w:t>
            </w:r>
          </w:p>
        </w:tc>
        <w:tc>
          <w:tcPr>
            <w:tcW w:w="739" w:type="pct"/>
            <w:tcBorders>
              <w:top w:val="nil"/>
              <w:left w:val="nil"/>
              <w:bottom w:val="nil"/>
              <w:right w:val="nil"/>
            </w:tcBorders>
            <w:shd w:val="clear" w:color="000000" w:fill="FFFFFF"/>
            <w:noWrap/>
            <w:vAlign w:val="center"/>
            <w:hideMark/>
          </w:tcPr>
          <w:p w14:paraId="4B40476D" w14:textId="58F4ED4F" w:rsidR="004D0B46" w:rsidRPr="00EC4BA6" w:rsidRDefault="001A3DD6" w:rsidP="004D0B46">
            <w:pPr>
              <w:spacing w:before="0" w:after="0" w:line="240" w:lineRule="auto"/>
              <w:jc w:val="right"/>
              <w:rPr>
                <w:rFonts w:ascii="Arial" w:hAnsi="Arial" w:cs="Arial"/>
                <w:sz w:val="16"/>
                <w:szCs w:val="16"/>
              </w:rPr>
            </w:pPr>
            <w:r>
              <w:rPr>
                <w:rFonts w:ascii="Arial" w:hAnsi="Arial" w:cs="Arial"/>
                <w:sz w:val="16"/>
                <w:szCs w:val="16"/>
              </w:rPr>
              <w:noBreakHyphen/>
            </w:r>
            <w:r w:rsidR="004D0B46" w:rsidRPr="00EC4BA6">
              <w:rPr>
                <w:rFonts w:ascii="Arial" w:hAnsi="Arial" w:cs="Arial"/>
                <w:sz w:val="16"/>
                <w:szCs w:val="16"/>
              </w:rPr>
              <w:t>70</w:t>
            </w:r>
          </w:p>
        </w:tc>
        <w:tc>
          <w:tcPr>
            <w:tcW w:w="739" w:type="pct"/>
            <w:tcBorders>
              <w:top w:val="nil"/>
              <w:left w:val="nil"/>
              <w:bottom w:val="nil"/>
              <w:right w:val="nil"/>
            </w:tcBorders>
            <w:shd w:val="clear" w:color="000000" w:fill="FFFFFF"/>
            <w:noWrap/>
            <w:vAlign w:val="center"/>
            <w:hideMark/>
          </w:tcPr>
          <w:p w14:paraId="7C010AEB" w14:textId="1BC2A1D5" w:rsidR="004D0B46" w:rsidRPr="00EC4BA6" w:rsidRDefault="001A3DD6" w:rsidP="004D0B46">
            <w:pPr>
              <w:spacing w:before="0" w:after="0" w:line="240" w:lineRule="auto"/>
              <w:jc w:val="right"/>
              <w:rPr>
                <w:rFonts w:ascii="Arial" w:hAnsi="Arial" w:cs="Arial"/>
                <w:sz w:val="16"/>
                <w:szCs w:val="16"/>
              </w:rPr>
            </w:pPr>
            <w:r>
              <w:rPr>
                <w:rFonts w:ascii="Arial" w:hAnsi="Arial" w:cs="Arial"/>
                <w:sz w:val="16"/>
                <w:szCs w:val="16"/>
              </w:rPr>
              <w:noBreakHyphen/>
            </w:r>
            <w:r w:rsidR="004D0B46" w:rsidRPr="00EC4BA6">
              <w:rPr>
                <w:rFonts w:ascii="Arial" w:hAnsi="Arial" w:cs="Arial"/>
                <w:sz w:val="16"/>
                <w:szCs w:val="16"/>
              </w:rPr>
              <w:t>2.5</w:t>
            </w:r>
          </w:p>
        </w:tc>
      </w:tr>
      <w:tr w:rsidR="00837F3F" w:rsidRPr="00EC4BA6" w14:paraId="44E5C0B1" w14:textId="77777777" w:rsidTr="00837F3F">
        <w:trPr>
          <w:trHeight w:hRule="exact" w:val="225"/>
        </w:trPr>
        <w:tc>
          <w:tcPr>
            <w:tcW w:w="2011" w:type="pct"/>
            <w:tcBorders>
              <w:top w:val="nil"/>
              <w:left w:val="nil"/>
              <w:bottom w:val="nil"/>
              <w:right w:val="nil"/>
            </w:tcBorders>
            <w:shd w:val="clear" w:color="000000" w:fill="FFFFFF"/>
            <w:noWrap/>
            <w:vAlign w:val="center"/>
            <w:hideMark/>
          </w:tcPr>
          <w:p w14:paraId="3990DEE8" w14:textId="77777777" w:rsidR="004D0B46" w:rsidRPr="00EC4BA6" w:rsidRDefault="004D0B46" w:rsidP="00837F3F">
            <w:pPr>
              <w:spacing w:before="0" w:after="0" w:line="240" w:lineRule="auto"/>
              <w:ind w:left="170"/>
              <w:rPr>
                <w:rFonts w:ascii="Arial" w:hAnsi="Arial" w:cs="Arial"/>
                <w:sz w:val="16"/>
                <w:szCs w:val="16"/>
              </w:rPr>
            </w:pPr>
            <w:r w:rsidRPr="00EC4BA6">
              <w:rPr>
                <w:rFonts w:ascii="Arial" w:hAnsi="Arial" w:cs="Arial"/>
                <w:sz w:val="16"/>
                <w:szCs w:val="16"/>
              </w:rPr>
              <w:t>Spirits</w:t>
            </w:r>
          </w:p>
        </w:tc>
        <w:tc>
          <w:tcPr>
            <w:tcW w:w="726" w:type="pct"/>
            <w:tcBorders>
              <w:top w:val="nil"/>
              <w:left w:val="nil"/>
              <w:bottom w:val="nil"/>
              <w:right w:val="nil"/>
            </w:tcBorders>
            <w:shd w:val="clear" w:color="000000" w:fill="FFFFFF"/>
            <w:noWrap/>
            <w:vAlign w:val="center"/>
            <w:hideMark/>
          </w:tcPr>
          <w:p w14:paraId="05C44C24"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3,450</w:t>
            </w:r>
          </w:p>
        </w:tc>
        <w:tc>
          <w:tcPr>
            <w:tcW w:w="726" w:type="pct"/>
            <w:tcBorders>
              <w:top w:val="nil"/>
              <w:left w:val="nil"/>
              <w:bottom w:val="nil"/>
              <w:right w:val="nil"/>
            </w:tcBorders>
            <w:shd w:val="clear" w:color="000000" w:fill="E6F2FF"/>
            <w:noWrap/>
            <w:vAlign w:val="center"/>
            <w:hideMark/>
          </w:tcPr>
          <w:p w14:paraId="56A9BD18"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3,380</w:t>
            </w:r>
          </w:p>
        </w:tc>
        <w:tc>
          <w:tcPr>
            <w:tcW w:w="58" w:type="pct"/>
            <w:tcBorders>
              <w:top w:val="nil"/>
              <w:left w:val="nil"/>
              <w:bottom w:val="nil"/>
              <w:right w:val="nil"/>
            </w:tcBorders>
            <w:shd w:val="clear" w:color="000000" w:fill="FFFFFF"/>
            <w:noWrap/>
            <w:vAlign w:val="center"/>
            <w:hideMark/>
          </w:tcPr>
          <w:p w14:paraId="48C82E84"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 </w:t>
            </w:r>
          </w:p>
        </w:tc>
        <w:tc>
          <w:tcPr>
            <w:tcW w:w="739" w:type="pct"/>
            <w:tcBorders>
              <w:top w:val="nil"/>
              <w:left w:val="nil"/>
              <w:bottom w:val="nil"/>
              <w:right w:val="nil"/>
            </w:tcBorders>
            <w:shd w:val="clear" w:color="000000" w:fill="FFFFFF"/>
            <w:noWrap/>
            <w:vAlign w:val="center"/>
            <w:hideMark/>
          </w:tcPr>
          <w:p w14:paraId="42AD4DE7" w14:textId="387E2FF6" w:rsidR="004D0B46" w:rsidRPr="00EC4BA6" w:rsidRDefault="001A3DD6" w:rsidP="004D0B46">
            <w:pPr>
              <w:spacing w:before="0" w:after="0" w:line="240" w:lineRule="auto"/>
              <w:jc w:val="right"/>
              <w:rPr>
                <w:rFonts w:ascii="Arial" w:hAnsi="Arial" w:cs="Arial"/>
                <w:sz w:val="16"/>
                <w:szCs w:val="16"/>
              </w:rPr>
            </w:pPr>
            <w:r>
              <w:rPr>
                <w:rFonts w:ascii="Arial" w:hAnsi="Arial" w:cs="Arial"/>
                <w:sz w:val="16"/>
                <w:szCs w:val="16"/>
              </w:rPr>
              <w:noBreakHyphen/>
            </w:r>
            <w:r w:rsidR="004D0B46" w:rsidRPr="00EC4BA6">
              <w:rPr>
                <w:rFonts w:ascii="Arial" w:hAnsi="Arial" w:cs="Arial"/>
                <w:sz w:val="16"/>
                <w:szCs w:val="16"/>
              </w:rPr>
              <w:t>70</w:t>
            </w:r>
          </w:p>
        </w:tc>
        <w:tc>
          <w:tcPr>
            <w:tcW w:w="739" w:type="pct"/>
            <w:tcBorders>
              <w:top w:val="nil"/>
              <w:left w:val="nil"/>
              <w:bottom w:val="nil"/>
              <w:right w:val="nil"/>
            </w:tcBorders>
            <w:shd w:val="clear" w:color="000000" w:fill="FFFFFF"/>
            <w:noWrap/>
            <w:vAlign w:val="center"/>
            <w:hideMark/>
          </w:tcPr>
          <w:p w14:paraId="0D92697E" w14:textId="6F53E49C" w:rsidR="004D0B46" w:rsidRPr="00EC4BA6" w:rsidRDefault="001A3DD6" w:rsidP="004D0B46">
            <w:pPr>
              <w:spacing w:before="0" w:after="0" w:line="240" w:lineRule="auto"/>
              <w:jc w:val="right"/>
              <w:rPr>
                <w:rFonts w:ascii="Arial" w:hAnsi="Arial" w:cs="Arial"/>
                <w:sz w:val="16"/>
                <w:szCs w:val="16"/>
              </w:rPr>
            </w:pPr>
            <w:r>
              <w:rPr>
                <w:rFonts w:ascii="Arial" w:hAnsi="Arial" w:cs="Arial"/>
                <w:sz w:val="16"/>
                <w:szCs w:val="16"/>
              </w:rPr>
              <w:noBreakHyphen/>
            </w:r>
            <w:r w:rsidR="004D0B46" w:rsidRPr="00EC4BA6">
              <w:rPr>
                <w:rFonts w:ascii="Arial" w:hAnsi="Arial" w:cs="Arial"/>
                <w:sz w:val="16"/>
                <w:szCs w:val="16"/>
              </w:rPr>
              <w:t>2.0</w:t>
            </w:r>
          </w:p>
        </w:tc>
      </w:tr>
      <w:tr w:rsidR="00837F3F" w:rsidRPr="00EC4BA6" w14:paraId="7C864C0A" w14:textId="77777777" w:rsidTr="00837F3F">
        <w:trPr>
          <w:trHeight w:hRule="exact" w:val="225"/>
        </w:trPr>
        <w:tc>
          <w:tcPr>
            <w:tcW w:w="2011" w:type="pct"/>
            <w:tcBorders>
              <w:top w:val="nil"/>
              <w:left w:val="nil"/>
              <w:bottom w:val="nil"/>
              <w:right w:val="nil"/>
            </w:tcBorders>
            <w:shd w:val="clear" w:color="000000" w:fill="FFFFFF"/>
            <w:noWrap/>
            <w:vAlign w:val="center"/>
            <w:hideMark/>
          </w:tcPr>
          <w:p w14:paraId="3D1E2FCD" w14:textId="77777777" w:rsidR="004D0B46" w:rsidRPr="00EC4BA6" w:rsidRDefault="004D0B46" w:rsidP="00837F3F">
            <w:pPr>
              <w:spacing w:before="0" w:after="0" w:line="240" w:lineRule="auto"/>
              <w:ind w:left="170"/>
              <w:rPr>
                <w:rFonts w:ascii="Arial" w:hAnsi="Arial" w:cs="Arial"/>
                <w:sz w:val="16"/>
                <w:szCs w:val="16"/>
              </w:rPr>
            </w:pPr>
            <w:r w:rsidRPr="00EC4BA6">
              <w:rPr>
                <w:rFonts w:ascii="Arial" w:hAnsi="Arial" w:cs="Arial"/>
                <w:sz w:val="16"/>
                <w:szCs w:val="16"/>
              </w:rPr>
              <w:t>Other alcoholic beverages(a)</w:t>
            </w:r>
          </w:p>
        </w:tc>
        <w:tc>
          <w:tcPr>
            <w:tcW w:w="726" w:type="pct"/>
            <w:tcBorders>
              <w:top w:val="nil"/>
              <w:left w:val="nil"/>
              <w:bottom w:val="nil"/>
              <w:right w:val="nil"/>
            </w:tcBorders>
            <w:shd w:val="clear" w:color="000000" w:fill="FFFFFF"/>
            <w:noWrap/>
            <w:vAlign w:val="center"/>
            <w:hideMark/>
          </w:tcPr>
          <w:p w14:paraId="4A1C9BB8"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1,850</w:t>
            </w:r>
          </w:p>
        </w:tc>
        <w:tc>
          <w:tcPr>
            <w:tcW w:w="726" w:type="pct"/>
            <w:tcBorders>
              <w:top w:val="nil"/>
              <w:left w:val="nil"/>
              <w:bottom w:val="nil"/>
              <w:right w:val="nil"/>
            </w:tcBorders>
            <w:shd w:val="clear" w:color="000000" w:fill="E6F2FF"/>
            <w:noWrap/>
            <w:vAlign w:val="center"/>
            <w:hideMark/>
          </w:tcPr>
          <w:p w14:paraId="468ED04A"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1,830</w:t>
            </w:r>
          </w:p>
        </w:tc>
        <w:tc>
          <w:tcPr>
            <w:tcW w:w="58" w:type="pct"/>
            <w:tcBorders>
              <w:top w:val="nil"/>
              <w:left w:val="nil"/>
              <w:bottom w:val="nil"/>
              <w:right w:val="nil"/>
            </w:tcBorders>
            <w:shd w:val="clear" w:color="000000" w:fill="FFFFFF"/>
            <w:noWrap/>
            <w:vAlign w:val="center"/>
            <w:hideMark/>
          </w:tcPr>
          <w:p w14:paraId="6FD976AE"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 </w:t>
            </w:r>
          </w:p>
        </w:tc>
        <w:tc>
          <w:tcPr>
            <w:tcW w:w="739" w:type="pct"/>
            <w:tcBorders>
              <w:top w:val="nil"/>
              <w:left w:val="nil"/>
              <w:bottom w:val="nil"/>
              <w:right w:val="nil"/>
            </w:tcBorders>
            <w:shd w:val="clear" w:color="000000" w:fill="FFFFFF"/>
            <w:noWrap/>
            <w:vAlign w:val="center"/>
            <w:hideMark/>
          </w:tcPr>
          <w:p w14:paraId="04AADC36" w14:textId="4DDAD4F5" w:rsidR="004D0B46" w:rsidRPr="00EC4BA6" w:rsidRDefault="001A3DD6" w:rsidP="004D0B46">
            <w:pPr>
              <w:spacing w:before="0" w:after="0" w:line="240" w:lineRule="auto"/>
              <w:jc w:val="right"/>
              <w:rPr>
                <w:rFonts w:ascii="Arial" w:hAnsi="Arial" w:cs="Arial"/>
                <w:sz w:val="16"/>
                <w:szCs w:val="16"/>
              </w:rPr>
            </w:pPr>
            <w:r>
              <w:rPr>
                <w:rFonts w:ascii="Arial" w:hAnsi="Arial" w:cs="Arial"/>
                <w:sz w:val="16"/>
                <w:szCs w:val="16"/>
              </w:rPr>
              <w:noBreakHyphen/>
            </w:r>
            <w:r w:rsidR="004D0B46" w:rsidRPr="00EC4BA6">
              <w:rPr>
                <w:rFonts w:ascii="Arial" w:hAnsi="Arial" w:cs="Arial"/>
                <w:sz w:val="16"/>
                <w:szCs w:val="16"/>
              </w:rPr>
              <w:t>20</w:t>
            </w:r>
          </w:p>
        </w:tc>
        <w:tc>
          <w:tcPr>
            <w:tcW w:w="739" w:type="pct"/>
            <w:tcBorders>
              <w:top w:val="nil"/>
              <w:left w:val="nil"/>
              <w:bottom w:val="nil"/>
              <w:right w:val="nil"/>
            </w:tcBorders>
            <w:shd w:val="clear" w:color="000000" w:fill="FFFFFF"/>
            <w:noWrap/>
            <w:vAlign w:val="center"/>
            <w:hideMark/>
          </w:tcPr>
          <w:p w14:paraId="29CEC5C8" w14:textId="33981775" w:rsidR="004D0B46" w:rsidRPr="00EC4BA6" w:rsidRDefault="001A3DD6" w:rsidP="004D0B46">
            <w:pPr>
              <w:spacing w:before="0" w:after="0" w:line="240" w:lineRule="auto"/>
              <w:jc w:val="right"/>
              <w:rPr>
                <w:rFonts w:ascii="Arial" w:hAnsi="Arial" w:cs="Arial"/>
                <w:sz w:val="16"/>
                <w:szCs w:val="16"/>
              </w:rPr>
            </w:pPr>
            <w:r>
              <w:rPr>
                <w:rFonts w:ascii="Arial" w:hAnsi="Arial" w:cs="Arial"/>
                <w:sz w:val="16"/>
                <w:szCs w:val="16"/>
              </w:rPr>
              <w:noBreakHyphen/>
            </w:r>
            <w:r w:rsidR="004D0B46" w:rsidRPr="00EC4BA6">
              <w:rPr>
                <w:rFonts w:ascii="Arial" w:hAnsi="Arial" w:cs="Arial"/>
                <w:sz w:val="16"/>
                <w:szCs w:val="16"/>
              </w:rPr>
              <w:t>1.1</w:t>
            </w:r>
          </w:p>
        </w:tc>
      </w:tr>
      <w:tr w:rsidR="00837F3F" w:rsidRPr="00EC4BA6" w14:paraId="22665DCD" w14:textId="77777777" w:rsidTr="00837F3F">
        <w:trPr>
          <w:trHeight w:hRule="exact" w:val="225"/>
        </w:trPr>
        <w:tc>
          <w:tcPr>
            <w:tcW w:w="2011" w:type="pct"/>
            <w:tcBorders>
              <w:top w:val="nil"/>
              <w:left w:val="nil"/>
              <w:bottom w:val="nil"/>
              <w:right w:val="nil"/>
            </w:tcBorders>
            <w:shd w:val="clear" w:color="000000" w:fill="FFFFFF"/>
            <w:noWrap/>
            <w:vAlign w:val="center"/>
            <w:hideMark/>
          </w:tcPr>
          <w:p w14:paraId="4720194A" w14:textId="77777777" w:rsidR="004D0B46" w:rsidRPr="00EC4BA6" w:rsidRDefault="004D0B46" w:rsidP="00837F3F">
            <w:pPr>
              <w:spacing w:before="0" w:after="0" w:line="240" w:lineRule="auto"/>
              <w:ind w:left="170"/>
              <w:rPr>
                <w:rFonts w:ascii="Arial" w:hAnsi="Arial" w:cs="Arial"/>
                <w:sz w:val="16"/>
                <w:szCs w:val="16"/>
              </w:rPr>
            </w:pPr>
            <w:r w:rsidRPr="00EC4BA6">
              <w:rPr>
                <w:rFonts w:ascii="Arial" w:hAnsi="Arial" w:cs="Arial"/>
                <w:sz w:val="16"/>
                <w:szCs w:val="16"/>
              </w:rPr>
              <w:t>Other customs duty</w:t>
            </w:r>
          </w:p>
        </w:tc>
        <w:tc>
          <w:tcPr>
            <w:tcW w:w="726" w:type="pct"/>
            <w:tcBorders>
              <w:top w:val="nil"/>
              <w:left w:val="nil"/>
              <w:bottom w:val="nil"/>
              <w:right w:val="nil"/>
            </w:tcBorders>
            <w:shd w:val="clear" w:color="000000" w:fill="FFFFFF"/>
            <w:noWrap/>
            <w:vAlign w:val="center"/>
            <w:hideMark/>
          </w:tcPr>
          <w:p w14:paraId="3576F6E3"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 </w:t>
            </w:r>
          </w:p>
        </w:tc>
        <w:tc>
          <w:tcPr>
            <w:tcW w:w="726" w:type="pct"/>
            <w:tcBorders>
              <w:top w:val="nil"/>
              <w:left w:val="nil"/>
              <w:bottom w:val="nil"/>
              <w:right w:val="nil"/>
            </w:tcBorders>
            <w:shd w:val="clear" w:color="000000" w:fill="E6F2FF"/>
            <w:noWrap/>
            <w:vAlign w:val="center"/>
            <w:hideMark/>
          </w:tcPr>
          <w:p w14:paraId="2FEA357D"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 </w:t>
            </w:r>
          </w:p>
        </w:tc>
        <w:tc>
          <w:tcPr>
            <w:tcW w:w="58" w:type="pct"/>
            <w:tcBorders>
              <w:top w:val="nil"/>
              <w:left w:val="nil"/>
              <w:bottom w:val="nil"/>
              <w:right w:val="nil"/>
            </w:tcBorders>
            <w:shd w:val="clear" w:color="000000" w:fill="FFFFFF"/>
            <w:noWrap/>
            <w:vAlign w:val="center"/>
            <w:hideMark/>
          </w:tcPr>
          <w:p w14:paraId="4712B9C7"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 </w:t>
            </w:r>
          </w:p>
        </w:tc>
        <w:tc>
          <w:tcPr>
            <w:tcW w:w="739" w:type="pct"/>
            <w:tcBorders>
              <w:top w:val="nil"/>
              <w:left w:val="nil"/>
              <w:bottom w:val="nil"/>
              <w:right w:val="nil"/>
            </w:tcBorders>
            <w:shd w:val="clear" w:color="000000" w:fill="FFFFFF"/>
            <w:noWrap/>
            <w:vAlign w:val="center"/>
            <w:hideMark/>
          </w:tcPr>
          <w:p w14:paraId="346DD811"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 </w:t>
            </w:r>
          </w:p>
        </w:tc>
        <w:tc>
          <w:tcPr>
            <w:tcW w:w="739" w:type="pct"/>
            <w:tcBorders>
              <w:top w:val="nil"/>
              <w:left w:val="nil"/>
              <w:bottom w:val="nil"/>
              <w:right w:val="nil"/>
            </w:tcBorders>
            <w:shd w:val="clear" w:color="000000" w:fill="FFFFFF"/>
            <w:noWrap/>
            <w:vAlign w:val="center"/>
            <w:hideMark/>
          </w:tcPr>
          <w:p w14:paraId="7506D6AB"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 </w:t>
            </w:r>
          </w:p>
        </w:tc>
      </w:tr>
      <w:tr w:rsidR="00837F3F" w:rsidRPr="00EC4BA6" w14:paraId="2A86ACA0" w14:textId="77777777" w:rsidTr="00837F3F">
        <w:trPr>
          <w:trHeight w:hRule="exact" w:val="225"/>
        </w:trPr>
        <w:tc>
          <w:tcPr>
            <w:tcW w:w="2011" w:type="pct"/>
            <w:tcBorders>
              <w:top w:val="nil"/>
              <w:left w:val="nil"/>
              <w:bottom w:val="nil"/>
              <w:right w:val="nil"/>
            </w:tcBorders>
            <w:shd w:val="clear" w:color="000000" w:fill="FFFFFF"/>
            <w:noWrap/>
            <w:vAlign w:val="bottom"/>
            <w:hideMark/>
          </w:tcPr>
          <w:p w14:paraId="4C2948BB" w14:textId="77777777" w:rsidR="004D0B46" w:rsidRPr="00EC4BA6" w:rsidRDefault="004D0B46" w:rsidP="00837F3F">
            <w:pPr>
              <w:spacing w:before="0" w:after="0" w:line="240" w:lineRule="auto"/>
              <w:ind w:left="340"/>
              <w:rPr>
                <w:rFonts w:ascii="Arial" w:hAnsi="Arial" w:cs="Arial"/>
                <w:sz w:val="16"/>
                <w:szCs w:val="16"/>
              </w:rPr>
            </w:pPr>
            <w:r w:rsidRPr="00EC4BA6">
              <w:rPr>
                <w:rFonts w:ascii="Arial" w:hAnsi="Arial" w:cs="Arial"/>
                <w:sz w:val="16"/>
                <w:szCs w:val="16"/>
              </w:rPr>
              <w:t>Textiles, clothing and footwear</w:t>
            </w:r>
          </w:p>
        </w:tc>
        <w:tc>
          <w:tcPr>
            <w:tcW w:w="726" w:type="pct"/>
            <w:tcBorders>
              <w:top w:val="nil"/>
              <w:left w:val="nil"/>
              <w:bottom w:val="nil"/>
              <w:right w:val="nil"/>
            </w:tcBorders>
            <w:shd w:val="clear" w:color="000000" w:fill="FFFFFF"/>
            <w:noWrap/>
            <w:vAlign w:val="center"/>
            <w:hideMark/>
          </w:tcPr>
          <w:p w14:paraId="66D7FDCE"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170</w:t>
            </w:r>
          </w:p>
        </w:tc>
        <w:tc>
          <w:tcPr>
            <w:tcW w:w="726" w:type="pct"/>
            <w:tcBorders>
              <w:top w:val="nil"/>
              <w:left w:val="nil"/>
              <w:bottom w:val="nil"/>
              <w:right w:val="nil"/>
            </w:tcBorders>
            <w:shd w:val="clear" w:color="000000" w:fill="E6F2FF"/>
            <w:noWrap/>
            <w:vAlign w:val="center"/>
            <w:hideMark/>
          </w:tcPr>
          <w:p w14:paraId="0730B9CE"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170</w:t>
            </w:r>
          </w:p>
        </w:tc>
        <w:tc>
          <w:tcPr>
            <w:tcW w:w="58" w:type="pct"/>
            <w:tcBorders>
              <w:top w:val="nil"/>
              <w:left w:val="nil"/>
              <w:bottom w:val="nil"/>
              <w:right w:val="nil"/>
            </w:tcBorders>
            <w:shd w:val="clear" w:color="000000" w:fill="FFFFFF"/>
            <w:noWrap/>
            <w:vAlign w:val="center"/>
            <w:hideMark/>
          </w:tcPr>
          <w:p w14:paraId="7354D1E0"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 </w:t>
            </w:r>
          </w:p>
        </w:tc>
        <w:tc>
          <w:tcPr>
            <w:tcW w:w="739" w:type="pct"/>
            <w:tcBorders>
              <w:top w:val="nil"/>
              <w:left w:val="nil"/>
              <w:bottom w:val="nil"/>
              <w:right w:val="nil"/>
            </w:tcBorders>
            <w:shd w:val="clear" w:color="000000" w:fill="FFFFFF"/>
            <w:noWrap/>
            <w:vAlign w:val="center"/>
            <w:hideMark/>
          </w:tcPr>
          <w:p w14:paraId="18046781"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0</w:t>
            </w:r>
          </w:p>
        </w:tc>
        <w:tc>
          <w:tcPr>
            <w:tcW w:w="739" w:type="pct"/>
            <w:tcBorders>
              <w:top w:val="nil"/>
              <w:left w:val="nil"/>
              <w:bottom w:val="nil"/>
              <w:right w:val="nil"/>
            </w:tcBorders>
            <w:shd w:val="clear" w:color="000000" w:fill="FFFFFF"/>
            <w:noWrap/>
            <w:vAlign w:val="center"/>
            <w:hideMark/>
          </w:tcPr>
          <w:p w14:paraId="7C036D57"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0.0</w:t>
            </w:r>
          </w:p>
        </w:tc>
      </w:tr>
      <w:tr w:rsidR="00837F3F" w:rsidRPr="00EC4BA6" w14:paraId="50E866C5" w14:textId="77777777" w:rsidTr="00837F3F">
        <w:trPr>
          <w:trHeight w:hRule="exact" w:val="225"/>
        </w:trPr>
        <w:tc>
          <w:tcPr>
            <w:tcW w:w="2011" w:type="pct"/>
            <w:tcBorders>
              <w:top w:val="nil"/>
              <w:left w:val="nil"/>
              <w:bottom w:val="nil"/>
              <w:right w:val="nil"/>
            </w:tcBorders>
            <w:shd w:val="clear" w:color="000000" w:fill="FFFFFF"/>
            <w:noWrap/>
            <w:vAlign w:val="bottom"/>
            <w:hideMark/>
          </w:tcPr>
          <w:p w14:paraId="0B994015" w14:textId="77777777" w:rsidR="004D0B46" w:rsidRPr="00EC4BA6" w:rsidRDefault="004D0B46" w:rsidP="00837F3F">
            <w:pPr>
              <w:spacing w:before="0" w:after="0" w:line="240" w:lineRule="auto"/>
              <w:ind w:left="340"/>
              <w:rPr>
                <w:rFonts w:ascii="Arial" w:hAnsi="Arial" w:cs="Arial"/>
                <w:sz w:val="16"/>
                <w:szCs w:val="16"/>
              </w:rPr>
            </w:pPr>
            <w:r w:rsidRPr="00EC4BA6">
              <w:rPr>
                <w:rFonts w:ascii="Arial" w:hAnsi="Arial" w:cs="Arial"/>
                <w:sz w:val="16"/>
                <w:szCs w:val="16"/>
              </w:rPr>
              <w:t>Passenger motor vehicles</w:t>
            </w:r>
          </w:p>
        </w:tc>
        <w:tc>
          <w:tcPr>
            <w:tcW w:w="726" w:type="pct"/>
            <w:tcBorders>
              <w:top w:val="nil"/>
              <w:left w:val="nil"/>
              <w:bottom w:val="nil"/>
              <w:right w:val="nil"/>
            </w:tcBorders>
            <w:shd w:val="clear" w:color="000000" w:fill="FFFFFF"/>
            <w:noWrap/>
            <w:vAlign w:val="center"/>
            <w:hideMark/>
          </w:tcPr>
          <w:p w14:paraId="113C23D3"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370</w:t>
            </w:r>
          </w:p>
        </w:tc>
        <w:tc>
          <w:tcPr>
            <w:tcW w:w="726" w:type="pct"/>
            <w:tcBorders>
              <w:top w:val="nil"/>
              <w:left w:val="nil"/>
              <w:bottom w:val="nil"/>
              <w:right w:val="nil"/>
            </w:tcBorders>
            <w:shd w:val="clear" w:color="000000" w:fill="E6F2FF"/>
            <w:noWrap/>
            <w:vAlign w:val="center"/>
            <w:hideMark/>
          </w:tcPr>
          <w:p w14:paraId="4B36FFFD"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380</w:t>
            </w:r>
          </w:p>
        </w:tc>
        <w:tc>
          <w:tcPr>
            <w:tcW w:w="58" w:type="pct"/>
            <w:tcBorders>
              <w:top w:val="nil"/>
              <w:left w:val="nil"/>
              <w:bottom w:val="nil"/>
              <w:right w:val="nil"/>
            </w:tcBorders>
            <w:shd w:val="clear" w:color="000000" w:fill="FFFFFF"/>
            <w:noWrap/>
            <w:vAlign w:val="center"/>
            <w:hideMark/>
          </w:tcPr>
          <w:p w14:paraId="18075871"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 </w:t>
            </w:r>
          </w:p>
        </w:tc>
        <w:tc>
          <w:tcPr>
            <w:tcW w:w="739" w:type="pct"/>
            <w:tcBorders>
              <w:top w:val="nil"/>
              <w:left w:val="nil"/>
              <w:bottom w:val="nil"/>
              <w:right w:val="nil"/>
            </w:tcBorders>
            <w:shd w:val="clear" w:color="000000" w:fill="FFFFFF"/>
            <w:noWrap/>
            <w:vAlign w:val="center"/>
            <w:hideMark/>
          </w:tcPr>
          <w:p w14:paraId="6CD89E1F"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10</w:t>
            </w:r>
          </w:p>
        </w:tc>
        <w:tc>
          <w:tcPr>
            <w:tcW w:w="739" w:type="pct"/>
            <w:tcBorders>
              <w:top w:val="nil"/>
              <w:left w:val="nil"/>
              <w:bottom w:val="nil"/>
              <w:right w:val="nil"/>
            </w:tcBorders>
            <w:shd w:val="clear" w:color="000000" w:fill="FFFFFF"/>
            <w:noWrap/>
            <w:vAlign w:val="center"/>
            <w:hideMark/>
          </w:tcPr>
          <w:p w14:paraId="4D36F882"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2.7</w:t>
            </w:r>
          </w:p>
        </w:tc>
      </w:tr>
      <w:tr w:rsidR="00837F3F" w:rsidRPr="00EC4BA6" w14:paraId="60F1C8D4" w14:textId="77777777" w:rsidTr="00837F3F">
        <w:trPr>
          <w:trHeight w:hRule="exact" w:val="225"/>
        </w:trPr>
        <w:tc>
          <w:tcPr>
            <w:tcW w:w="2011" w:type="pct"/>
            <w:tcBorders>
              <w:top w:val="nil"/>
              <w:left w:val="nil"/>
              <w:bottom w:val="nil"/>
              <w:right w:val="nil"/>
            </w:tcBorders>
            <w:shd w:val="clear" w:color="000000" w:fill="FFFFFF"/>
            <w:noWrap/>
            <w:vAlign w:val="center"/>
            <w:hideMark/>
          </w:tcPr>
          <w:p w14:paraId="7EBB81B5" w14:textId="77777777" w:rsidR="004D0B46" w:rsidRPr="00EC4BA6" w:rsidRDefault="004D0B46" w:rsidP="00837F3F">
            <w:pPr>
              <w:spacing w:before="0" w:after="0" w:line="240" w:lineRule="auto"/>
              <w:ind w:left="340"/>
              <w:rPr>
                <w:rFonts w:ascii="Arial" w:hAnsi="Arial" w:cs="Arial"/>
                <w:sz w:val="16"/>
                <w:szCs w:val="16"/>
              </w:rPr>
            </w:pPr>
            <w:r w:rsidRPr="00EC4BA6">
              <w:rPr>
                <w:rFonts w:ascii="Arial" w:hAnsi="Arial" w:cs="Arial"/>
                <w:sz w:val="16"/>
                <w:szCs w:val="16"/>
              </w:rPr>
              <w:t>Other imports</w:t>
            </w:r>
          </w:p>
        </w:tc>
        <w:tc>
          <w:tcPr>
            <w:tcW w:w="726" w:type="pct"/>
            <w:tcBorders>
              <w:top w:val="nil"/>
              <w:left w:val="nil"/>
              <w:bottom w:val="nil"/>
              <w:right w:val="nil"/>
            </w:tcBorders>
            <w:shd w:val="clear" w:color="000000" w:fill="FFFFFF"/>
            <w:noWrap/>
            <w:vAlign w:val="center"/>
            <w:hideMark/>
          </w:tcPr>
          <w:p w14:paraId="7A6BFD67"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1,600</w:t>
            </w:r>
          </w:p>
        </w:tc>
        <w:tc>
          <w:tcPr>
            <w:tcW w:w="726" w:type="pct"/>
            <w:tcBorders>
              <w:top w:val="nil"/>
              <w:left w:val="nil"/>
              <w:bottom w:val="nil"/>
              <w:right w:val="nil"/>
            </w:tcBorders>
            <w:shd w:val="clear" w:color="000000" w:fill="E6F2FF"/>
            <w:noWrap/>
            <w:vAlign w:val="center"/>
            <w:hideMark/>
          </w:tcPr>
          <w:p w14:paraId="1BE553FA"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1,620</w:t>
            </w:r>
          </w:p>
        </w:tc>
        <w:tc>
          <w:tcPr>
            <w:tcW w:w="58" w:type="pct"/>
            <w:tcBorders>
              <w:top w:val="nil"/>
              <w:left w:val="nil"/>
              <w:bottom w:val="nil"/>
              <w:right w:val="nil"/>
            </w:tcBorders>
            <w:shd w:val="clear" w:color="000000" w:fill="FFFFFF"/>
            <w:noWrap/>
            <w:vAlign w:val="center"/>
            <w:hideMark/>
          </w:tcPr>
          <w:p w14:paraId="47D36587"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 </w:t>
            </w:r>
          </w:p>
        </w:tc>
        <w:tc>
          <w:tcPr>
            <w:tcW w:w="739" w:type="pct"/>
            <w:tcBorders>
              <w:top w:val="nil"/>
              <w:left w:val="nil"/>
              <w:bottom w:val="nil"/>
              <w:right w:val="nil"/>
            </w:tcBorders>
            <w:shd w:val="clear" w:color="000000" w:fill="FFFFFF"/>
            <w:noWrap/>
            <w:vAlign w:val="center"/>
            <w:hideMark/>
          </w:tcPr>
          <w:p w14:paraId="13EABF5E"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20</w:t>
            </w:r>
          </w:p>
        </w:tc>
        <w:tc>
          <w:tcPr>
            <w:tcW w:w="739" w:type="pct"/>
            <w:tcBorders>
              <w:top w:val="nil"/>
              <w:left w:val="nil"/>
              <w:bottom w:val="nil"/>
              <w:right w:val="nil"/>
            </w:tcBorders>
            <w:shd w:val="clear" w:color="000000" w:fill="FFFFFF"/>
            <w:noWrap/>
            <w:vAlign w:val="center"/>
            <w:hideMark/>
          </w:tcPr>
          <w:p w14:paraId="2FBC2C07"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1.3</w:t>
            </w:r>
          </w:p>
        </w:tc>
      </w:tr>
      <w:tr w:rsidR="00837F3F" w:rsidRPr="00EC4BA6" w14:paraId="4B5840A1" w14:textId="77777777" w:rsidTr="00837F3F">
        <w:trPr>
          <w:trHeight w:hRule="exact" w:val="225"/>
        </w:trPr>
        <w:tc>
          <w:tcPr>
            <w:tcW w:w="2011" w:type="pct"/>
            <w:tcBorders>
              <w:top w:val="nil"/>
              <w:left w:val="nil"/>
              <w:bottom w:val="nil"/>
              <w:right w:val="nil"/>
            </w:tcBorders>
            <w:shd w:val="clear" w:color="000000" w:fill="FFFFFF"/>
            <w:noWrap/>
            <w:vAlign w:val="bottom"/>
            <w:hideMark/>
          </w:tcPr>
          <w:p w14:paraId="36B26760" w14:textId="77777777" w:rsidR="004D0B46" w:rsidRPr="00EC4BA6" w:rsidRDefault="004D0B46" w:rsidP="00837F3F">
            <w:pPr>
              <w:spacing w:before="0" w:after="0" w:line="240" w:lineRule="auto"/>
              <w:ind w:left="170"/>
              <w:rPr>
                <w:rFonts w:ascii="Arial" w:hAnsi="Arial" w:cs="Arial"/>
                <w:i/>
                <w:sz w:val="16"/>
                <w:szCs w:val="16"/>
              </w:rPr>
            </w:pPr>
            <w:r w:rsidRPr="00EC4BA6">
              <w:rPr>
                <w:rFonts w:ascii="Arial" w:hAnsi="Arial" w:cs="Arial"/>
                <w:i/>
                <w:sz w:val="16"/>
                <w:szCs w:val="16"/>
              </w:rPr>
              <w:t>less:</w:t>
            </w:r>
            <w:r w:rsidRPr="00EC4BA6">
              <w:rPr>
                <w:rFonts w:ascii="Arial" w:hAnsi="Arial" w:cs="Arial"/>
                <w:sz w:val="16"/>
                <w:szCs w:val="16"/>
              </w:rPr>
              <w:t xml:space="preserve"> Refunds and drawbacks</w:t>
            </w:r>
          </w:p>
        </w:tc>
        <w:tc>
          <w:tcPr>
            <w:tcW w:w="726" w:type="pct"/>
            <w:tcBorders>
              <w:top w:val="nil"/>
              <w:left w:val="nil"/>
              <w:bottom w:val="single" w:sz="4" w:space="0" w:color="293F5B"/>
              <w:right w:val="nil"/>
            </w:tcBorders>
            <w:shd w:val="clear" w:color="000000" w:fill="FFFFFF"/>
            <w:noWrap/>
            <w:vAlign w:val="center"/>
            <w:hideMark/>
          </w:tcPr>
          <w:p w14:paraId="7534991A"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730</w:t>
            </w:r>
          </w:p>
        </w:tc>
        <w:tc>
          <w:tcPr>
            <w:tcW w:w="726" w:type="pct"/>
            <w:tcBorders>
              <w:top w:val="nil"/>
              <w:left w:val="nil"/>
              <w:bottom w:val="single" w:sz="4" w:space="0" w:color="293F5B"/>
              <w:right w:val="nil"/>
            </w:tcBorders>
            <w:shd w:val="clear" w:color="000000" w:fill="E6F2FF"/>
            <w:noWrap/>
            <w:vAlign w:val="center"/>
            <w:hideMark/>
          </w:tcPr>
          <w:p w14:paraId="7DE2625E"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730</w:t>
            </w:r>
          </w:p>
        </w:tc>
        <w:tc>
          <w:tcPr>
            <w:tcW w:w="58" w:type="pct"/>
            <w:tcBorders>
              <w:top w:val="nil"/>
              <w:left w:val="nil"/>
              <w:bottom w:val="nil"/>
              <w:right w:val="nil"/>
            </w:tcBorders>
            <w:shd w:val="clear" w:color="000000" w:fill="FFFFFF"/>
            <w:noWrap/>
            <w:vAlign w:val="center"/>
            <w:hideMark/>
          </w:tcPr>
          <w:p w14:paraId="70E4ADF3"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 </w:t>
            </w:r>
          </w:p>
        </w:tc>
        <w:tc>
          <w:tcPr>
            <w:tcW w:w="739" w:type="pct"/>
            <w:tcBorders>
              <w:top w:val="nil"/>
              <w:left w:val="nil"/>
              <w:bottom w:val="single" w:sz="4" w:space="0" w:color="293F5B"/>
              <w:right w:val="nil"/>
            </w:tcBorders>
            <w:shd w:val="clear" w:color="000000" w:fill="FFFFFF"/>
            <w:noWrap/>
            <w:vAlign w:val="center"/>
            <w:hideMark/>
          </w:tcPr>
          <w:p w14:paraId="0FF24295"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0</w:t>
            </w:r>
          </w:p>
        </w:tc>
        <w:tc>
          <w:tcPr>
            <w:tcW w:w="739" w:type="pct"/>
            <w:tcBorders>
              <w:top w:val="nil"/>
              <w:left w:val="nil"/>
              <w:bottom w:val="single" w:sz="4" w:space="0" w:color="293F5B"/>
              <w:right w:val="nil"/>
            </w:tcBorders>
            <w:shd w:val="clear" w:color="000000" w:fill="FFFFFF"/>
            <w:noWrap/>
            <w:vAlign w:val="center"/>
            <w:hideMark/>
          </w:tcPr>
          <w:p w14:paraId="5BF118FB"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0.0</w:t>
            </w:r>
          </w:p>
        </w:tc>
      </w:tr>
      <w:tr w:rsidR="00837F3F" w:rsidRPr="00EC4BA6" w14:paraId="1F129FD4" w14:textId="77777777" w:rsidTr="00837F3F">
        <w:trPr>
          <w:trHeight w:hRule="exact" w:val="225"/>
        </w:trPr>
        <w:tc>
          <w:tcPr>
            <w:tcW w:w="2011" w:type="pct"/>
            <w:tcBorders>
              <w:top w:val="nil"/>
              <w:left w:val="nil"/>
              <w:bottom w:val="nil"/>
              <w:right w:val="nil"/>
            </w:tcBorders>
            <w:shd w:val="clear" w:color="000000" w:fill="FFFFFF"/>
            <w:noWrap/>
            <w:vAlign w:val="center"/>
            <w:hideMark/>
          </w:tcPr>
          <w:p w14:paraId="13B44C77" w14:textId="77777777" w:rsidR="004D0B46" w:rsidRPr="00EC4BA6" w:rsidRDefault="004D0B46" w:rsidP="004D0B46">
            <w:pPr>
              <w:spacing w:before="0" w:after="0" w:line="240" w:lineRule="auto"/>
              <w:rPr>
                <w:rFonts w:ascii="Arial" w:hAnsi="Arial" w:cs="Arial"/>
                <w:sz w:val="16"/>
                <w:szCs w:val="16"/>
              </w:rPr>
            </w:pPr>
            <w:r w:rsidRPr="00EC4BA6">
              <w:rPr>
                <w:rFonts w:ascii="Arial" w:hAnsi="Arial" w:cs="Arial"/>
                <w:sz w:val="16"/>
                <w:szCs w:val="16"/>
              </w:rPr>
              <w:t>Total excise and customs duty</w:t>
            </w:r>
          </w:p>
        </w:tc>
        <w:tc>
          <w:tcPr>
            <w:tcW w:w="726" w:type="pct"/>
            <w:tcBorders>
              <w:top w:val="nil"/>
              <w:left w:val="nil"/>
              <w:bottom w:val="nil"/>
              <w:right w:val="nil"/>
            </w:tcBorders>
            <w:shd w:val="clear" w:color="000000" w:fill="FFFFFF"/>
            <w:noWrap/>
            <w:vAlign w:val="center"/>
            <w:hideMark/>
          </w:tcPr>
          <w:p w14:paraId="06E61AE5"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45,530</w:t>
            </w:r>
          </w:p>
        </w:tc>
        <w:tc>
          <w:tcPr>
            <w:tcW w:w="726" w:type="pct"/>
            <w:tcBorders>
              <w:top w:val="nil"/>
              <w:left w:val="nil"/>
              <w:bottom w:val="nil"/>
              <w:right w:val="nil"/>
            </w:tcBorders>
            <w:shd w:val="clear" w:color="000000" w:fill="E6F2FF"/>
            <w:noWrap/>
            <w:vAlign w:val="center"/>
            <w:hideMark/>
          </w:tcPr>
          <w:p w14:paraId="44A2765E"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43,800</w:t>
            </w:r>
          </w:p>
        </w:tc>
        <w:tc>
          <w:tcPr>
            <w:tcW w:w="58" w:type="pct"/>
            <w:tcBorders>
              <w:top w:val="nil"/>
              <w:left w:val="nil"/>
              <w:bottom w:val="nil"/>
              <w:right w:val="nil"/>
            </w:tcBorders>
            <w:shd w:val="clear" w:color="000000" w:fill="FFFFFF"/>
            <w:noWrap/>
            <w:vAlign w:val="center"/>
            <w:hideMark/>
          </w:tcPr>
          <w:p w14:paraId="27A3D050"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 </w:t>
            </w:r>
          </w:p>
        </w:tc>
        <w:tc>
          <w:tcPr>
            <w:tcW w:w="739" w:type="pct"/>
            <w:tcBorders>
              <w:top w:val="single" w:sz="4" w:space="0" w:color="auto"/>
              <w:left w:val="nil"/>
              <w:bottom w:val="nil"/>
              <w:right w:val="nil"/>
            </w:tcBorders>
            <w:shd w:val="clear" w:color="000000" w:fill="FFFFFF"/>
            <w:noWrap/>
            <w:vAlign w:val="center"/>
            <w:hideMark/>
          </w:tcPr>
          <w:p w14:paraId="527B5092" w14:textId="6C25E9DD" w:rsidR="004D0B46" w:rsidRPr="00EC4BA6" w:rsidRDefault="001A3DD6" w:rsidP="004D0B46">
            <w:pPr>
              <w:spacing w:before="0" w:after="0" w:line="240" w:lineRule="auto"/>
              <w:jc w:val="right"/>
              <w:rPr>
                <w:rFonts w:ascii="Arial" w:hAnsi="Arial" w:cs="Arial"/>
                <w:sz w:val="16"/>
                <w:szCs w:val="16"/>
              </w:rPr>
            </w:pPr>
            <w:r>
              <w:rPr>
                <w:rFonts w:ascii="Arial" w:hAnsi="Arial" w:cs="Arial"/>
                <w:sz w:val="16"/>
                <w:szCs w:val="16"/>
              </w:rPr>
              <w:noBreakHyphen/>
            </w:r>
            <w:r w:rsidR="004D0B46" w:rsidRPr="00EC4BA6">
              <w:rPr>
                <w:rFonts w:ascii="Arial" w:hAnsi="Arial" w:cs="Arial"/>
                <w:sz w:val="16"/>
                <w:szCs w:val="16"/>
              </w:rPr>
              <w:t>1,730</w:t>
            </w:r>
          </w:p>
        </w:tc>
        <w:tc>
          <w:tcPr>
            <w:tcW w:w="739" w:type="pct"/>
            <w:tcBorders>
              <w:top w:val="single" w:sz="4" w:space="0" w:color="auto"/>
              <w:left w:val="nil"/>
              <w:bottom w:val="nil"/>
              <w:right w:val="nil"/>
            </w:tcBorders>
            <w:shd w:val="clear" w:color="000000" w:fill="FFFFFF"/>
            <w:noWrap/>
            <w:vAlign w:val="center"/>
            <w:hideMark/>
          </w:tcPr>
          <w:p w14:paraId="5FCEE421" w14:textId="0D578F9D" w:rsidR="004D0B46" w:rsidRPr="00EC4BA6" w:rsidRDefault="001A3DD6" w:rsidP="004D0B46">
            <w:pPr>
              <w:spacing w:before="0" w:after="0" w:line="240" w:lineRule="auto"/>
              <w:jc w:val="right"/>
              <w:rPr>
                <w:rFonts w:ascii="Arial" w:hAnsi="Arial" w:cs="Arial"/>
                <w:sz w:val="16"/>
                <w:szCs w:val="16"/>
              </w:rPr>
            </w:pPr>
            <w:r>
              <w:rPr>
                <w:rFonts w:ascii="Arial" w:hAnsi="Arial" w:cs="Arial"/>
                <w:sz w:val="16"/>
                <w:szCs w:val="16"/>
              </w:rPr>
              <w:noBreakHyphen/>
            </w:r>
            <w:r w:rsidR="004D0B46" w:rsidRPr="00EC4BA6">
              <w:rPr>
                <w:rFonts w:ascii="Arial" w:hAnsi="Arial" w:cs="Arial"/>
                <w:sz w:val="16"/>
                <w:szCs w:val="16"/>
              </w:rPr>
              <w:t>3.8</w:t>
            </w:r>
          </w:p>
        </w:tc>
      </w:tr>
      <w:tr w:rsidR="00837F3F" w:rsidRPr="00EC4BA6" w14:paraId="03C9B5CD" w14:textId="77777777" w:rsidTr="00837F3F">
        <w:trPr>
          <w:trHeight w:hRule="exact" w:val="225"/>
        </w:trPr>
        <w:tc>
          <w:tcPr>
            <w:tcW w:w="2011" w:type="pct"/>
            <w:tcBorders>
              <w:top w:val="nil"/>
              <w:left w:val="nil"/>
              <w:bottom w:val="nil"/>
              <w:right w:val="nil"/>
            </w:tcBorders>
            <w:shd w:val="clear" w:color="000000" w:fill="FFFFFF"/>
            <w:noWrap/>
            <w:vAlign w:val="center"/>
            <w:hideMark/>
          </w:tcPr>
          <w:p w14:paraId="288A59B0" w14:textId="77777777" w:rsidR="004D0B46" w:rsidRPr="00EC4BA6" w:rsidRDefault="004D0B46" w:rsidP="004D0B46">
            <w:pPr>
              <w:spacing w:before="0" w:after="0" w:line="240" w:lineRule="auto"/>
              <w:rPr>
                <w:rFonts w:ascii="Arial" w:hAnsi="Arial" w:cs="Arial"/>
                <w:sz w:val="16"/>
                <w:szCs w:val="16"/>
              </w:rPr>
            </w:pPr>
            <w:r w:rsidRPr="00EC4BA6">
              <w:rPr>
                <w:rFonts w:ascii="Arial" w:hAnsi="Arial" w:cs="Arial"/>
                <w:sz w:val="16"/>
                <w:szCs w:val="16"/>
              </w:rPr>
              <w:t>Major bank levy</w:t>
            </w:r>
          </w:p>
        </w:tc>
        <w:tc>
          <w:tcPr>
            <w:tcW w:w="726" w:type="pct"/>
            <w:tcBorders>
              <w:top w:val="nil"/>
              <w:left w:val="nil"/>
              <w:bottom w:val="nil"/>
              <w:right w:val="nil"/>
            </w:tcBorders>
            <w:shd w:val="clear" w:color="000000" w:fill="FFFFFF"/>
            <w:noWrap/>
            <w:vAlign w:val="center"/>
            <w:hideMark/>
          </w:tcPr>
          <w:p w14:paraId="5E9F8E53"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1,810</w:t>
            </w:r>
          </w:p>
        </w:tc>
        <w:tc>
          <w:tcPr>
            <w:tcW w:w="726" w:type="pct"/>
            <w:tcBorders>
              <w:top w:val="nil"/>
              <w:left w:val="nil"/>
              <w:bottom w:val="nil"/>
              <w:right w:val="nil"/>
            </w:tcBorders>
            <w:shd w:val="clear" w:color="000000" w:fill="E6F2FF"/>
            <w:noWrap/>
            <w:vAlign w:val="center"/>
            <w:hideMark/>
          </w:tcPr>
          <w:p w14:paraId="2A23FABE"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1,870</w:t>
            </w:r>
          </w:p>
        </w:tc>
        <w:tc>
          <w:tcPr>
            <w:tcW w:w="58" w:type="pct"/>
            <w:tcBorders>
              <w:top w:val="nil"/>
              <w:left w:val="nil"/>
              <w:bottom w:val="nil"/>
              <w:right w:val="nil"/>
            </w:tcBorders>
            <w:shd w:val="clear" w:color="000000" w:fill="FFFFFF"/>
            <w:noWrap/>
            <w:vAlign w:val="center"/>
            <w:hideMark/>
          </w:tcPr>
          <w:p w14:paraId="415716C7"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 </w:t>
            </w:r>
          </w:p>
        </w:tc>
        <w:tc>
          <w:tcPr>
            <w:tcW w:w="739" w:type="pct"/>
            <w:tcBorders>
              <w:top w:val="nil"/>
              <w:left w:val="nil"/>
              <w:bottom w:val="nil"/>
              <w:right w:val="nil"/>
            </w:tcBorders>
            <w:shd w:val="clear" w:color="000000" w:fill="FFFFFF"/>
            <w:noWrap/>
            <w:vAlign w:val="center"/>
            <w:hideMark/>
          </w:tcPr>
          <w:p w14:paraId="45119C45"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60</w:t>
            </w:r>
          </w:p>
        </w:tc>
        <w:tc>
          <w:tcPr>
            <w:tcW w:w="739" w:type="pct"/>
            <w:tcBorders>
              <w:top w:val="nil"/>
              <w:left w:val="nil"/>
              <w:bottom w:val="nil"/>
              <w:right w:val="nil"/>
            </w:tcBorders>
            <w:shd w:val="clear" w:color="000000" w:fill="FFFFFF"/>
            <w:noWrap/>
            <w:vAlign w:val="center"/>
            <w:hideMark/>
          </w:tcPr>
          <w:p w14:paraId="4FA4E3F3"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3.3</w:t>
            </w:r>
          </w:p>
        </w:tc>
      </w:tr>
      <w:tr w:rsidR="00837F3F" w:rsidRPr="00EC4BA6" w14:paraId="03238212" w14:textId="77777777" w:rsidTr="00837F3F">
        <w:trPr>
          <w:trHeight w:hRule="exact" w:val="225"/>
        </w:trPr>
        <w:tc>
          <w:tcPr>
            <w:tcW w:w="2011" w:type="pct"/>
            <w:tcBorders>
              <w:top w:val="nil"/>
              <w:left w:val="nil"/>
              <w:bottom w:val="nil"/>
              <w:right w:val="nil"/>
            </w:tcBorders>
            <w:shd w:val="clear" w:color="000000" w:fill="FFFFFF"/>
            <w:noWrap/>
            <w:vAlign w:val="center"/>
            <w:hideMark/>
          </w:tcPr>
          <w:p w14:paraId="6C5028C0" w14:textId="77777777" w:rsidR="004D0B46" w:rsidRPr="00EC4BA6" w:rsidRDefault="004D0B46" w:rsidP="004D0B46">
            <w:pPr>
              <w:spacing w:before="0" w:after="0" w:line="240" w:lineRule="auto"/>
              <w:rPr>
                <w:rFonts w:ascii="Arial" w:hAnsi="Arial" w:cs="Arial"/>
                <w:sz w:val="16"/>
                <w:szCs w:val="16"/>
              </w:rPr>
            </w:pPr>
            <w:r w:rsidRPr="00EC4BA6">
              <w:rPr>
                <w:rFonts w:ascii="Arial" w:hAnsi="Arial" w:cs="Arial"/>
                <w:sz w:val="16"/>
                <w:szCs w:val="16"/>
              </w:rPr>
              <w:t>Agricultural levies</w:t>
            </w:r>
          </w:p>
        </w:tc>
        <w:tc>
          <w:tcPr>
            <w:tcW w:w="726" w:type="pct"/>
            <w:tcBorders>
              <w:top w:val="nil"/>
              <w:left w:val="nil"/>
              <w:bottom w:val="nil"/>
              <w:right w:val="nil"/>
            </w:tcBorders>
            <w:shd w:val="clear" w:color="000000" w:fill="FFFFFF"/>
            <w:noWrap/>
            <w:vAlign w:val="center"/>
            <w:hideMark/>
          </w:tcPr>
          <w:p w14:paraId="5A383F31"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625</w:t>
            </w:r>
          </w:p>
        </w:tc>
        <w:tc>
          <w:tcPr>
            <w:tcW w:w="726" w:type="pct"/>
            <w:tcBorders>
              <w:top w:val="nil"/>
              <w:left w:val="nil"/>
              <w:bottom w:val="nil"/>
              <w:right w:val="nil"/>
            </w:tcBorders>
            <w:shd w:val="clear" w:color="000000" w:fill="E6F2FF"/>
            <w:noWrap/>
            <w:vAlign w:val="center"/>
            <w:hideMark/>
          </w:tcPr>
          <w:p w14:paraId="3ADD14F1"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669</w:t>
            </w:r>
          </w:p>
        </w:tc>
        <w:tc>
          <w:tcPr>
            <w:tcW w:w="58" w:type="pct"/>
            <w:tcBorders>
              <w:top w:val="nil"/>
              <w:left w:val="nil"/>
              <w:bottom w:val="nil"/>
              <w:right w:val="nil"/>
            </w:tcBorders>
            <w:shd w:val="clear" w:color="000000" w:fill="FFFFFF"/>
            <w:noWrap/>
            <w:vAlign w:val="center"/>
            <w:hideMark/>
          </w:tcPr>
          <w:p w14:paraId="4E7928BB"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 </w:t>
            </w:r>
          </w:p>
        </w:tc>
        <w:tc>
          <w:tcPr>
            <w:tcW w:w="739" w:type="pct"/>
            <w:tcBorders>
              <w:top w:val="nil"/>
              <w:left w:val="nil"/>
              <w:bottom w:val="nil"/>
              <w:right w:val="nil"/>
            </w:tcBorders>
            <w:shd w:val="clear" w:color="000000" w:fill="FFFFFF"/>
            <w:noWrap/>
            <w:vAlign w:val="center"/>
            <w:hideMark/>
          </w:tcPr>
          <w:p w14:paraId="191C7D34"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44</w:t>
            </w:r>
          </w:p>
        </w:tc>
        <w:tc>
          <w:tcPr>
            <w:tcW w:w="739" w:type="pct"/>
            <w:tcBorders>
              <w:top w:val="nil"/>
              <w:left w:val="nil"/>
              <w:bottom w:val="nil"/>
              <w:right w:val="nil"/>
            </w:tcBorders>
            <w:shd w:val="clear" w:color="000000" w:fill="FFFFFF"/>
            <w:noWrap/>
            <w:vAlign w:val="center"/>
            <w:hideMark/>
          </w:tcPr>
          <w:p w14:paraId="74FC039D"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7.1</w:t>
            </w:r>
          </w:p>
        </w:tc>
      </w:tr>
      <w:tr w:rsidR="00837F3F" w:rsidRPr="00EC4BA6" w14:paraId="5A170D80" w14:textId="77777777" w:rsidTr="00837F3F">
        <w:trPr>
          <w:trHeight w:hRule="exact" w:val="225"/>
        </w:trPr>
        <w:tc>
          <w:tcPr>
            <w:tcW w:w="2011" w:type="pct"/>
            <w:tcBorders>
              <w:top w:val="nil"/>
              <w:left w:val="nil"/>
              <w:bottom w:val="nil"/>
              <w:right w:val="nil"/>
            </w:tcBorders>
            <w:shd w:val="clear" w:color="000000" w:fill="FFFFFF"/>
            <w:noWrap/>
            <w:vAlign w:val="center"/>
            <w:hideMark/>
          </w:tcPr>
          <w:p w14:paraId="04418C8A" w14:textId="77777777" w:rsidR="004D0B46" w:rsidRPr="00EC4BA6" w:rsidRDefault="004D0B46" w:rsidP="004D0B46">
            <w:pPr>
              <w:spacing w:before="0" w:after="0" w:line="240" w:lineRule="auto"/>
              <w:rPr>
                <w:rFonts w:ascii="Arial" w:hAnsi="Arial" w:cs="Arial"/>
                <w:sz w:val="16"/>
                <w:szCs w:val="16"/>
              </w:rPr>
            </w:pPr>
            <w:r w:rsidRPr="00EC4BA6">
              <w:rPr>
                <w:rFonts w:ascii="Arial" w:hAnsi="Arial" w:cs="Arial"/>
                <w:sz w:val="16"/>
                <w:szCs w:val="16"/>
              </w:rPr>
              <w:t>Visa application charges</w:t>
            </w:r>
          </w:p>
        </w:tc>
        <w:tc>
          <w:tcPr>
            <w:tcW w:w="726" w:type="pct"/>
            <w:tcBorders>
              <w:top w:val="nil"/>
              <w:left w:val="nil"/>
              <w:bottom w:val="nil"/>
              <w:right w:val="nil"/>
            </w:tcBorders>
            <w:shd w:val="clear" w:color="000000" w:fill="FFFFFF"/>
            <w:noWrap/>
            <w:vAlign w:val="center"/>
            <w:hideMark/>
          </w:tcPr>
          <w:p w14:paraId="61B92CC0"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4,211</w:t>
            </w:r>
          </w:p>
        </w:tc>
        <w:tc>
          <w:tcPr>
            <w:tcW w:w="726" w:type="pct"/>
            <w:tcBorders>
              <w:top w:val="nil"/>
              <w:left w:val="nil"/>
              <w:bottom w:val="nil"/>
              <w:right w:val="nil"/>
            </w:tcBorders>
            <w:shd w:val="clear" w:color="000000" w:fill="E6F2FF"/>
            <w:noWrap/>
            <w:vAlign w:val="center"/>
            <w:hideMark/>
          </w:tcPr>
          <w:p w14:paraId="17F6AF70"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4,199</w:t>
            </w:r>
          </w:p>
        </w:tc>
        <w:tc>
          <w:tcPr>
            <w:tcW w:w="58" w:type="pct"/>
            <w:tcBorders>
              <w:top w:val="nil"/>
              <w:left w:val="nil"/>
              <w:bottom w:val="nil"/>
              <w:right w:val="nil"/>
            </w:tcBorders>
            <w:shd w:val="clear" w:color="000000" w:fill="FFFFFF"/>
            <w:noWrap/>
            <w:vAlign w:val="center"/>
            <w:hideMark/>
          </w:tcPr>
          <w:p w14:paraId="6DB5233E" w14:textId="77777777" w:rsidR="004D0B46" w:rsidRPr="00EC4BA6" w:rsidRDefault="004D0B46" w:rsidP="004D0B46">
            <w:pPr>
              <w:spacing w:before="0" w:after="0" w:line="240" w:lineRule="auto"/>
              <w:jc w:val="right"/>
              <w:rPr>
                <w:rFonts w:ascii="Arial" w:hAnsi="Arial" w:cs="Arial"/>
                <w:i/>
                <w:sz w:val="16"/>
                <w:szCs w:val="16"/>
              </w:rPr>
            </w:pPr>
            <w:r w:rsidRPr="00EC4BA6">
              <w:rPr>
                <w:rFonts w:ascii="Arial" w:hAnsi="Arial" w:cs="Arial"/>
                <w:i/>
                <w:sz w:val="16"/>
                <w:szCs w:val="16"/>
              </w:rPr>
              <w:t> </w:t>
            </w:r>
          </w:p>
        </w:tc>
        <w:tc>
          <w:tcPr>
            <w:tcW w:w="739" w:type="pct"/>
            <w:tcBorders>
              <w:top w:val="nil"/>
              <w:left w:val="nil"/>
              <w:bottom w:val="nil"/>
              <w:right w:val="nil"/>
            </w:tcBorders>
            <w:shd w:val="clear" w:color="000000" w:fill="FFFFFF"/>
            <w:noWrap/>
            <w:vAlign w:val="center"/>
            <w:hideMark/>
          </w:tcPr>
          <w:p w14:paraId="5915ED45" w14:textId="28BBDACE" w:rsidR="004D0B46" w:rsidRPr="00EC4BA6" w:rsidRDefault="001A3DD6" w:rsidP="004D0B46">
            <w:pPr>
              <w:spacing w:before="0" w:after="0" w:line="240" w:lineRule="auto"/>
              <w:jc w:val="right"/>
              <w:rPr>
                <w:rFonts w:ascii="Arial" w:hAnsi="Arial" w:cs="Arial"/>
                <w:sz w:val="16"/>
                <w:szCs w:val="16"/>
              </w:rPr>
            </w:pPr>
            <w:r>
              <w:rPr>
                <w:rFonts w:ascii="Arial" w:hAnsi="Arial" w:cs="Arial"/>
                <w:sz w:val="16"/>
                <w:szCs w:val="16"/>
              </w:rPr>
              <w:noBreakHyphen/>
            </w:r>
            <w:r w:rsidR="004D0B46" w:rsidRPr="00EC4BA6">
              <w:rPr>
                <w:rFonts w:ascii="Arial" w:hAnsi="Arial" w:cs="Arial"/>
                <w:sz w:val="16"/>
                <w:szCs w:val="16"/>
              </w:rPr>
              <w:t>12</w:t>
            </w:r>
          </w:p>
        </w:tc>
        <w:tc>
          <w:tcPr>
            <w:tcW w:w="739" w:type="pct"/>
            <w:tcBorders>
              <w:top w:val="nil"/>
              <w:left w:val="nil"/>
              <w:bottom w:val="nil"/>
              <w:right w:val="nil"/>
            </w:tcBorders>
            <w:shd w:val="clear" w:color="000000" w:fill="FFFFFF"/>
            <w:noWrap/>
            <w:vAlign w:val="center"/>
            <w:hideMark/>
          </w:tcPr>
          <w:p w14:paraId="393C51B3" w14:textId="45D7A267" w:rsidR="004D0B46" w:rsidRPr="00EC4BA6" w:rsidRDefault="001A3DD6" w:rsidP="004D0B46">
            <w:pPr>
              <w:spacing w:before="0" w:after="0" w:line="240" w:lineRule="auto"/>
              <w:jc w:val="right"/>
              <w:rPr>
                <w:rFonts w:ascii="Arial" w:hAnsi="Arial" w:cs="Arial"/>
                <w:sz w:val="16"/>
                <w:szCs w:val="16"/>
              </w:rPr>
            </w:pPr>
            <w:r>
              <w:rPr>
                <w:rFonts w:ascii="Arial" w:hAnsi="Arial" w:cs="Arial"/>
                <w:sz w:val="16"/>
                <w:szCs w:val="16"/>
              </w:rPr>
              <w:noBreakHyphen/>
            </w:r>
            <w:r w:rsidR="004D0B46" w:rsidRPr="00EC4BA6">
              <w:rPr>
                <w:rFonts w:ascii="Arial" w:hAnsi="Arial" w:cs="Arial"/>
                <w:sz w:val="16"/>
                <w:szCs w:val="16"/>
              </w:rPr>
              <w:t>0.3</w:t>
            </w:r>
          </w:p>
        </w:tc>
      </w:tr>
      <w:tr w:rsidR="00837F3F" w:rsidRPr="00EC4BA6" w14:paraId="7AB65A4D" w14:textId="77777777" w:rsidTr="00837F3F">
        <w:trPr>
          <w:trHeight w:hRule="exact" w:val="225"/>
        </w:trPr>
        <w:tc>
          <w:tcPr>
            <w:tcW w:w="2011" w:type="pct"/>
            <w:tcBorders>
              <w:top w:val="nil"/>
              <w:left w:val="nil"/>
              <w:bottom w:val="nil"/>
              <w:right w:val="nil"/>
            </w:tcBorders>
            <w:shd w:val="clear" w:color="000000" w:fill="FFFFFF"/>
            <w:noWrap/>
            <w:vAlign w:val="center"/>
            <w:hideMark/>
          </w:tcPr>
          <w:p w14:paraId="416DE0A9" w14:textId="77777777" w:rsidR="004D0B46" w:rsidRPr="00EC4BA6" w:rsidRDefault="004D0B46" w:rsidP="004D0B46">
            <w:pPr>
              <w:spacing w:before="0" w:after="0" w:line="240" w:lineRule="auto"/>
              <w:rPr>
                <w:rFonts w:ascii="Arial" w:hAnsi="Arial" w:cs="Arial"/>
                <w:sz w:val="16"/>
                <w:szCs w:val="16"/>
              </w:rPr>
            </w:pPr>
            <w:r w:rsidRPr="00EC4BA6">
              <w:rPr>
                <w:rFonts w:ascii="Arial" w:hAnsi="Arial" w:cs="Arial"/>
                <w:sz w:val="16"/>
                <w:szCs w:val="16"/>
              </w:rPr>
              <w:t>Other taxes</w:t>
            </w:r>
          </w:p>
        </w:tc>
        <w:tc>
          <w:tcPr>
            <w:tcW w:w="726" w:type="pct"/>
            <w:tcBorders>
              <w:top w:val="nil"/>
              <w:left w:val="nil"/>
              <w:bottom w:val="single" w:sz="4" w:space="0" w:color="293F5B"/>
              <w:right w:val="nil"/>
            </w:tcBorders>
            <w:shd w:val="clear" w:color="000000" w:fill="FFFFFF"/>
            <w:noWrap/>
            <w:vAlign w:val="center"/>
            <w:hideMark/>
          </w:tcPr>
          <w:p w14:paraId="2F508238"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8,249</w:t>
            </w:r>
          </w:p>
        </w:tc>
        <w:tc>
          <w:tcPr>
            <w:tcW w:w="726" w:type="pct"/>
            <w:tcBorders>
              <w:top w:val="nil"/>
              <w:left w:val="nil"/>
              <w:bottom w:val="single" w:sz="4" w:space="0" w:color="293F5B"/>
              <w:right w:val="nil"/>
            </w:tcBorders>
            <w:shd w:val="clear" w:color="000000" w:fill="E6F2FF"/>
            <w:noWrap/>
            <w:vAlign w:val="center"/>
            <w:hideMark/>
          </w:tcPr>
          <w:p w14:paraId="3EA07B7B"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8,036</w:t>
            </w:r>
          </w:p>
        </w:tc>
        <w:tc>
          <w:tcPr>
            <w:tcW w:w="58" w:type="pct"/>
            <w:tcBorders>
              <w:top w:val="nil"/>
              <w:left w:val="nil"/>
              <w:bottom w:val="nil"/>
              <w:right w:val="nil"/>
            </w:tcBorders>
            <w:shd w:val="clear" w:color="000000" w:fill="FFFFFF"/>
            <w:noWrap/>
            <w:vAlign w:val="center"/>
            <w:hideMark/>
          </w:tcPr>
          <w:p w14:paraId="2DADEF0F"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 </w:t>
            </w:r>
          </w:p>
        </w:tc>
        <w:tc>
          <w:tcPr>
            <w:tcW w:w="739" w:type="pct"/>
            <w:tcBorders>
              <w:top w:val="nil"/>
              <w:left w:val="nil"/>
              <w:bottom w:val="single" w:sz="4" w:space="0" w:color="293F5B"/>
              <w:right w:val="nil"/>
            </w:tcBorders>
            <w:shd w:val="clear" w:color="000000" w:fill="FFFFFF"/>
            <w:noWrap/>
            <w:vAlign w:val="center"/>
            <w:hideMark/>
          </w:tcPr>
          <w:p w14:paraId="04B8CFF8" w14:textId="0EDEE3DC" w:rsidR="004D0B46" w:rsidRPr="00EC4BA6" w:rsidRDefault="001A3DD6" w:rsidP="004D0B46">
            <w:pPr>
              <w:spacing w:before="0" w:after="0" w:line="240" w:lineRule="auto"/>
              <w:jc w:val="right"/>
              <w:rPr>
                <w:rFonts w:ascii="Arial" w:hAnsi="Arial" w:cs="Arial"/>
                <w:sz w:val="16"/>
                <w:szCs w:val="16"/>
              </w:rPr>
            </w:pPr>
            <w:r>
              <w:rPr>
                <w:rFonts w:ascii="Arial" w:hAnsi="Arial" w:cs="Arial"/>
                <w:sz w:val="16"/>
                <w:szCs w:val="16"/>
              </w:rPr>
              <w:noBreakHyphen/>
            </w:r>
            <w:r w:rsidR="004D0B46" w:rsidRPr="00EC4BA6">
              <w:rPr>
                <w:rFonts w:ascii="Arial" w:hAnsi="Arial" w:cs="Arial"/>
                <w:sz w:val="16"/>
                <w:szCs w:val="16"/>
              </w:rPr>
              <w:t>213</w:t>
            </w:r>
          </w:p>
        </w:tc>
        <w:tc>
          <w:tcPr>
            <w:tcW w:w="739" w:type="pct"/>
            <w:tcBorders>
              <w:top w:val="nil"/>
              <w:left w:val="nil"/>
              <w:bottom w:val="single" w:sz="4" w:space="0" w:color="293F5B"/>
              <w:right w:val="nil"/>
            </w:tcBorders>
            <w:shd w:val="clear" w:color="000000" w:fill="FFFFFF"/>
            <w:noWrap/>
            <w:vAlign w:val="center"/>
            <w:hideMark/>
          </w:tcPr>
          <w:p w14:paraId="410F1571" w14:textId="57E0896B" w:rsidR="004D0B46" w:rsidRPr="00EC4BA6" w:rsidRDefault="001A3DD6" w:rsidP="004D0B46">
            <w:pPr>
              <w:spacing w:before="0" w:after="0" w:line="240" w:lineRule="auto"/>
              <w:jc w:val="right"/>
              <w:rPr>
                <w:rFonts w:ascii="Arial" w:hAnsi="Arial" w:cs="Arial"/>
                <w:sz w:val="16"/>
                <w:szCs w:val="16"/>
              </w:rPr>
            </w:pPr>
            <w:r>
              <w:rPr>
                <w:rFonts w:ascii="Arial" w:hAnsi="Arial" w:cs="Arial"/>
                <w:sz w:val="16"/>
                <w:szCs w:val="16"/>
              </w:rPr>
              <w:noBreakHyphen/>
            </w:r>
            <w:r w:rsidR="004D0B46" w:rsidRPr="00EC4BA6">
              <w:rPr>
                <w:rFonts w:ascii="Arial" w:hAnsi="Arial" w:cs="Arial"/>
                <w:sz w:val="16"/>
                <w:szCs w:val="16"/>
              </w:rPr>
              <w:t>2.6</w:t>
            </w:r>
          </w:p>
        </w:tc>
      </w:tr>
      <w:tr w:rsidR="00837F3F" w:rsidRPr="00EC4BA6" w14:paraId="3FA43EFE" w14:textId="77777777" w:rsidTr="00837F3F">
        <w:trPr>
          <w:trHeight w:hRule="exact" w:val="225"/>
        </w:trPr>
        <w:tc>
          <w:tcPr>
            <w:tcW w:w="2011" w:type="pct"/>
            <w:tcBorders>
              <w:top w:val="nil"/>
              <w:left w:val="nil"/>
              <w:bottom w:val="nil"/>
              <w:right w:val="nil"/>
            </w:tcBorders>
            <w:shd w:val="clear" w:color="000000" w:fill="FFFFFF"/>
            <w:noWrap/>
            <w:vAlign w:val="center"/>
            <w:hideMark/>
          </w:tcPr>
          <w:p w14:paraId="40B33C66" w14:textId="77777777" w:rsidR="004D0B46" w:rsidRPr="00EC4BA6" w:rsidRDefault="004D0B46" w:rsidP="004D0B46">
            <w:pPr>
              <w:spacing w:before="0" w:after="0" w:line="240" w:lineRule="auto"/>
              <w:rPr>
                <w:rFonts w:ascii="Arial" w:hAnsi="Arial" w:cs="Arial"/>
                <w:b/>
                <w:sz w:val="16"/>
                <w:szCs w:val="16"/>
              </w:rPr>
            </w:pPr>
            <w:r w:rsidRPr="00EC4BA6">
              <w:rPr>
                <w:rFonts w:ascii="Arial" w:hAnsi="Arial" w:cs="Arial"/>
                <w:b/>
                <w:sz w:val="16"/>
                <w:szCs w:val="16"/>
              </w:rPr>
              <w:t>Indirect taxation revenue</w:t>
            </w:r>
          </w:p>
        </w:tc>
        <w:tc>
          <w:tcPr>
            <w:tcW w:w="726" w:type="pct"/>
            <w:tcBorders>
              <w:top w:val="nil"/>
              <w:left w:val="nil"/>
              <w:bottom w:val="single" w:sz="4" w:space="0" w:color="293F5B"/>
              <w:right w:val="nil"/>
            </w:tcBorders>
            <w:shd w:val="clear" w:color="000000" w:fill="FFFFFF"/>
            <w:noWrap/>
            <w:vAlign w:val="center"/>
            <w:hideMark/>
          </w:tcPr>
          <w:p w14:paraId="3720FBC8" w14:textId="77777777" w:rsidR="004D0B46" w:rsidRPr="00EC4BA6" w:rsidRDefault="004D0B46" w:rsidP="004D0B46">
            <w:pPr>
              <w:spacing w:before="0" w:after="0" w:line="240" w:lineRule="auto"/>
              <w:jc w:val="right"/>
              <w:rPr>
                <w:rFonts w:ascii="Arial" w:hAnsi="Arial" w:cs="Arial"/>
                <w:b/>
                <w:sz w:val="16"/>
                <w:szCs w:val="16"/>
              </w:rPr>
            </w:pPr>
            <w:r w:rsidRPr="00EC4BA6">
              <w:rPr>
                <w:rFonts w:ascii="Arial" w:hAnsi="Arial" w:cs="Arial"/>
                <w:b/>
                <w:sz w:val="16"/>
                <w:szCs w:val="16"/>
              </w:rPr>
              <w:t>162,144</w:t>
            </w:r>
          </w:p>
        </w:tc>
        <w:tc>
          <w:tcPr>
            <w:tcW w:w="726" w:type="pct"/>
            <w:tcBorders>
              <w:top w:val="nil"/>
              <w:left w:val="nil"/>
              <w:bottom w:val="single" w:sz="4" w:space="0" w:color="293F5B"/>
              <w:right w:val="nil"/>
            </w:tcBorders>
            <w:shd w:val="clear" w:color="000000" w:fill="E6F2FF"/>
            <w:noWrap/>
            <w:vAlign w:val="center"/>
            <w:hideMark/>
          </w:tcPr>
          <w:p w14:paraId="0768029F" w14:textId="77777777" w:rsidR="004D0B46" w:rsidRPr="00EC4BA6" w:rsidRDefault="004D0B46" w:rsidP="004D0B46">
            <w:pPr>
              <w:spacing w:before="0" w:after="0" w:line="240" w:lineRule="auto"/>
              <w:jc w:val="right"/>
              <w:rPr>
                <w:rFonts w:ascii="Arial" w:hAnsi="Arial" w:cs="Arial"/>
                <w:b/>
                <w:sz w:val="16"/>
                <w:szCs w:val="16"/>
              </w:rPr>
            </w:pPr>
            <w:r w:rsidRPr="00EC4BA6">
              <w:rPr>
                <w:rFonts w:ascii="Arial" w:hAnsi="Arial" w:cs="Arial"/>
                <w:b/>
                <w:sz w:val="16"/>
                <w:szCs w:val="16"/>
              </w:rPr>
              <w:t>160,294</w:t>
            </w:r>
          </w:p>
        </w:tc>
        <w:tc>
          <w:tcPr>
            <w:tcW w:w="58" w:type="pct"/>
            <w:tcBorders>
              <w:top w:val="nil"/>
              <w:left w:val="nil"/>
              <w:bottom w:val="nil"/>
              <w:right w:val="nil"/>
            </w:tcBorders>
            <w:shd w:val="clear" w:color="000000" w:fill="FFFFFF"/>
            <w:noWrap/>
            <w:vAlign w:val="center"/>
            <w:hideMark/>
          </w:tcPr>
          <w:p w14:paraId="3C3954DF" w14:textId="77777777" w:rsidR="004D0B46" w:rsidRPr="00EC4BA6" w:rsidRDefault="004D0B46" w:rsidP="004D0B46">
            <w:pPr>
              <w:spacing w:before="0" w:after="0" w:line="240" w:lineRule="auto"/>
              <w:jc w:val="right"/>
              <w:rPr>
                <w:rFonts w:ascii="Arial" w:hAnsi="Arial" w:cs="Arial"/>
                <w:b/>
                <w:sz w:val="16"/>
                <w:szCs w:val="16"/>
              </w:rPr>
            </w:pPr>
            <w:r w:rsidRPr="00EC4BA6">
              <w:rPr>
                <w:rFonts w:ascii="Arial" w:hAnsi="Arial" w:cs="Arial"/>
                <w:b/>
                <w:sz w:val="16"/>
                <w:szCs w:val="16"/>
              </w:rPr>
              <w:t> </w:t>
            </w:r>
          </w:p>
        </w:tc>
        <w:tc>
          <w:tcPr>
            <w:tcW w:w="739" w:type="pct"/>
            <w:tcBorders>
              <w:top w:val="nil"/>
              <w:left w:val="nil"/>
              <w:bottom w:val="single" w:sz="4" w:space="0" w:color="293F5B"/>
              <w:right w:val="nil"/>
            </w:tcBorders>
            <w:shd w:val="clear" w:color="000000" w:fill="FFFFFF"/>
            <w:noWrap/>
            <w:vAlign w:val="center"/>
            <w:hideMark/>
          </w:tcPr>
          <w:p w14:paraId="7E79B0F2" w14:textId="3AA57726" w:rsidR="004D0B46" w:rsidRPr="00EC4BA6" w:rsidRDefault="001A3DD6" w:rsidP="004D0B46">
            <w:pPr>
              <w:spacing w:before="0" w:after="0" w:line="240" w:lineRule="auto"/>
              <w:jc w:val="right"/>
              <w:rPr>
                <w:rFonts w:ascii="Arial" w:hAnsi="Arial" w:cs="Arial"/>
                <w:b/>
                <w:sz w:val="16"/>
                <w:szCs w:val="16"/>
              </w:rPr>
            </w:pPr>
            <w:r>
              <w:rPr>
                <w:rFonts w:ascii="Arial" w:hAnsi="Arial" w:cs="Arial"/>
                <w:b/>
                <w:sz w:val="16"/>
                <w:szCs w:val="16"/>
              </w:rPr>
              <w:noBreakHyphen/>
            </w:r>
            <w:r w:rsidR="004D0B46" w:rsidRPr="00EC4BA6">
              <w:rPr>
                <w:rFonts w:ascii="Arial" w:hAnsi="Arial" w:cs="Arial"/>
                <w:b/>
                <w:sz w:val="16"/>
                <w:szCs w:val="16"/>
              </w:rPr>
              <w:t>1,850</w:t>
            </w:r>
          </w:p>
        </w:tc>
        <w:tc>
          <w:tcPr>
            <w:tcW w:w="739" w:type="pct"/>
            <w:tcBorders>
              <w:top w:val="nil"/>
              <w:left w:val="nil"/>
              <w:bottom w:val="single" w:sz="4" w:space="0" w:color="293F5B"/>
              <w:right w:val="nil"/>
            </w:tcBorders>
            <w:shd w:val="clear" w:color="000000" w:fill="FFFFFF"/>
            <w:noWrap/>
            <w:vAlign w:val="center"/>
            <w:hideMark/>
          </w:tcPr>
          <w:p w14:paraId="1D862E20" w14:textId="3120E468" w:rsidR="004D0B46" w:rsidRPr="00EC4BA6" w:rsidRDefault="001A3DD6" w:rsidP="004D0B46">
            <w:pPr>
              <w:spacing w:before="0" w:after="0" w:line="240" w:lineRule="auto"/>
              <w:jc w:val="right"/>
              <w:rPr>
                <w:rFonts w:ascii="Arial" w:hAnsi="Arial" w:cs="Arial"/>
                <w:b/>
                <w:sz w:val="16"/>
                <w:szCs w:val="16"/>
              </w:rPr>
            </w:pPr>
            <w:r>
              <w:rPr>
                <w:rFonts w:ascii="Arial" w:hAnsi="Arial" w:cs="Arial"/>
                <w:b/>
                <w:sz w:val="16"/>
                <w:szCs w:val="16"/>
              </w:rPr>
              <w:noBreakHyphen/>
            </w:r>
            <w:r w:rsidR="004D0B46" w:rsidRPr="00EC4BA6">
              <w:rPr>
                <w:rFonts w:ascii="Arial" w:hAnsi="Arial" w:cs="Arial"/>
                <w:b/>
                <w:sz w:val="16"/>
                <w:szCs w:val="16"/>
              </w:rPr>
              <w:t>1.1</w:t>
            </w:r>
          </w:p>
        </w:tc>
      </w:tr>
      <w:tr w:rsidR="00837F3F" w:rsidRPr="00EC4BA6" w14:paraId="29E0B864" w14:textId="77777777" w:rsidTr="00837F3F">
        <w:trPr>
          <w:trHeight w:hRule="exact" w:val="225"/>
        </w:trPr>
        <w:tc>
          <w:tcPr>
            <w:tcW w:w="2011" w:type="pct"/>
            <w:tcBorders>
              <w:top w:val="nil"/>
              <w:left w:val="nil"/>
              <w:bottom w:val="nil"/>
              <w:right w:val="nil"/>
            </w:tcBorders>
            <w:shd w:val="clear" w:color="000000" w:fill="FFFFFF"/>
            <w:noWrap/>
            <w:vAlign w:val="center"/>
            <w:hideMark/>
          </w:tcPr>
          <w:p w14:paraId="1B11670C" w14:textId="77777777" w:rsidR="004D0B46" w:rsidRPr="00EC4BA6" w:rsidRDefault="004D0B46" w:rsidP="004D0B46">
            <w:pPr>
              <w:spacing w:before="0" w:after="0" w:line="240" w:lineRule="auto"/>
              <w:rPr>
                <w:rFonts w:ascii="Arial" w:hAnsi="Arial" w:cs="Arial"/>
                <w:b/>
                <w:sz w:val="16"/>
                <w:szCs w:val="16"/>
              </w:rPr>
            </w:pPr>
            <w:r w:rsidRPr="00EC4BA6">
              <w:rPr>
                <w:rFonts w:ascii="Arial" w:hAnsi="Arial" w:cs="Arial"/>
                <w:b/>
                <w:sz w:val="16"/>
                <w:szCs w:val="16"/>
              </w:rPr>
              <w:t>Taxation revenue</w:t>
            </w:r>
          </w:p>
        </w:tc>
        <w:tc>
          <w:tcPr>
            <w:tcW w:w="726" w:type="pct"/>
            <w:tcBorders>
              <w:top w:val="nil"/>
              <w:left w:val="nil"/>
              <w:bottom w:val="single" w:sz="4" w:space="0" w:color="293F5B"/>
              <w:right w:val="nil"/>
            </w:tcBorders>
            <w:shd w:val="clear" w:color="000000" w:fill="FFFFFF"/>
            <w:noWrap/>
            <w:vAlign w:val="center"/>
            <w:hideMark/>
          </w:tcPr>
          <w:p w14:paraId="05AB09DC" w14:textId="77777777" w:rsidR="004D0B46" w:rsidRPr="00EC4BA6" w:rsidRDefault="004D0B46" w:rsidP="004D0B46">
            <w:pPr>
              <w:spacing w:before="0" w:after="0" w:line="240" w:lineRule="auto"/>
              <w:jc w:val="right"/>
              <w:rPr>
                <w:rFonts w:ascii="Arial" w:hAnsi="Arial" w:cs="Arial"/>
                <w:b/>
                <w:sz w:val="16"/>
                <w:szCs w:val="16"/>
              </w:rPr>
            </w:pPr>
            <w:r w:rsidRPr="00EC4BA6">
              <w:rPr>
                <w:rFonts w:ascii="Arial" w:hAnsi="Arial" w:cs="Arial"/>
                <w:b/>
                <w:sz w:val="16"/>
                <w:szCs w:val="16"/>
              </w:rPr>
              <w:t>687,854</w:t>
            </w:r>
          </w:p>
        </w:tc>
        <w:tc>
          <w:tcPr>
            <w:tcW w:w="726" w:type="pct"/>
            <w:tcBorders>
              <w:top w:val="nil"/>
              <w:left w:val="nil"/>
              <w:bottom w:val="single" w:sz="4" w:space="0" w:color="293F5B"/>
              <w:right w:val="nil"/>
            </w:tcBorders>
            <w:shd w:val="clear" w:color="000000" w:fill="E6F2FF"/>
            <w:noWrap/>
            <w:vAlign w:val="center"/>
            <w:hideMark/>
          </w:tcPr>
          <w:p w14:paraId="0DA5EFE0" w14:textId="77777777" w:rsidR="004D0B46" w:rsidRPr="00EC4BA6" w:rsidRDefault="004D0B46" w:rsidP="004D0B46">
            <w:pPr>
              <w:spacing w:before="0" w:after="0" w:line="240" w:lineRule="auto"/>
              <w:jc w:val="right"/>
              <w:rPr>
                <w:rFonts w:ascii="Arial" w:hAnsi="Arial" w:cs="Arial"/>
                <w:b/>
                <w:sz w:val="16"/>
                <w:szCs w:val="16"/>
              </w:rPr>
            </w:pPr>
            <w:r w:rsidRPr="00EC4BA6">
              <w:rPr>
                <w:rFonts w:ascii="Arial" w:hAnsi="Arial" w:cs="Arial"/>
                <w:b/>
                <w:sz w:val="16"/>
                <w:szCs w:val="16"/>
              </w:rPr>
              <w:t>694,304</w:t>
            </w:r>
          </w:p>
        </w:tc>
        <w:tc>
          <w:tcPr>
            <w:tcW w:w="58" w:type="pct"/>
            <w:tcBorders>
              <w:top w:val="nil"/>
              <w:left w:val="nil"/>
              <w:bottom w:val="nil"/>
              <w:right w:val="nil"/>
            </w:tcBorders>
            <w:shd w:val="clear" w:color="000000" w:fill="FFFFFF"/>
            <w:noWrap/>
            <w:vAlign w:val="center"/>
            <w:hideMark/>
          </w:tcPr>
          <w:p w14:paraId="31F02BA2" w14:textId="77777777" w:rsidR="004D0B46" w:rsidRPr="00EC4BA6" w:rsidRDefault="004D0B46" w:rsidP="004D0B46">
            <w:pPr>
              <w:spacing w:before="0" w:after="0" w:line="240" w:lineRule="auto"/>
              <w:jc w:val="right"/>
              <w:rPr>
                <w:rFonts w:ascii="Arial" w:hAnsi="Arial" w:cs="Arial"/>
                <w:b/>
                <w:sz w:val="16"/>
                <w:szCs w:val="16"/>
              </w:rPr>
            </w:pPr>
            <w:r w:rsidRPr="00EC4BA6">
              <w:rPr>
                <w:rFonts w:ascii="Arial" w:hAnsi="Arial" w:cs="Arial"/>
                <w:b/>
                <w:sz w:val="16"/>
                <w:szCs w:val="16"/>
              </w:rPr>
              <w:t> </w:t>
            </w:r>
          </w:p>
        </w:tc>
        <w:tc>
          <w:tcPr>
            <w:tcW w:w="739" w:type="pct"/>
            <w:tcBorders>
              <w:top w:val="nil"/>
              <w:left w:val="nil"/>
              <w:bottom w:val="single" w:sz="4" w:space="0" w:color="293F5B"/>
              <w:right w:val="nil"/>
            </w:tcBorders>
            <w:shd w:val="clear" w:color="000000" w:fill="FFFFFF"/>
            <w:noWrap/>
            <w:vAlign w:val="center"/>
            <w:hideMark/>
          </w:tcPr>
          <w:p w14:paraId="65C6B5B9" w14:textId="77777777" w:rsidR="004D0B46" w:rsidRPr="00EC4BA6" w:rsidRDefault="004D0B46" w:rsidP="004D0B46">
            <w:pPr>
              <w:spacing w:before="0" w:after="0" w:line="240" w:lineRule="auto"/>
              <w:jc w:val="right"/>
              <w:rPr>
                <w:rFonts w:ascii="Arial" w:hAnsi="Arial" w:cs="Arial"/>
                <w:b/>
                <w:sz w:val="16"/>
                <w:szCs w:val="16"/>
              </w:rPr>
            </w:pPr>
            <w:r w:rsidRPr="00EC4BA6">
              <w:rPr>
                <w:rFonts w:ascii="Arial" w:hAnsi="Arial" w:cs="Arial"/>
                <w:b/>
                <w:sz w:val="16"/>
                <w:szCs w:val="16"/>
              </w:rPr>
              <w:t>6,450</w:t>
            </w:r>
          </w:p>
        </w:tc>
        <w:tc>
          <w:tcPr>
            <w:tcW w:w="739" w:type="pct"/>
            <w:tcBorders>
              <w:top w:val="nil"/>
              <w:left w:val="nil"/>
              <w:bottom w:val="single" w:sz="4" w:space="0" w:color="293F5B"/>
              <w:right w:val="nil"/>
            </w:tcBorders>
            <w:shd w:val="clear" w:color="000000" w:fill="FFFFFF"/>
            <w:noWrap/>
            <w:vAlign w:val="center"/>
            <w:hideMark/>
          </w:tcPr>
          <w:p w14:paraId="13366C2D" w14:textId="77777777" w:rsidR="004D0B46" w:rsidRPr="00EC4BA6" w:rsidRDefault="004D0B46" w:rsidP="004D0B46">
            <w:pPr>
              <w:spacing w:before="0" w:after="0" w:line="240" w:lineRule="auto"/>
              <w:jc w:val="right"/>
              <w:rPr>
                <w:rFonts w:ascii="Arial" w:hAnsi="Arial" w:cs="Arial"/>
                <w:b/>
                <w:sz w:val="16"/>
                <w:szCs w:val="16"/>
              </w:rPr>
            </w:pPr>
            <w:r w:rsidRPr="00EC4BA6">
              <w:rPr>
                <w:rFonts w:ascii="Arial" w:hAnsi="Arial" w:cs="Arial"/>
                <w:b/>
                <w:sz w:val="16"/>
                <w:szCs w:val="16"/>
              </w:rPr>
              <w:t>0.9</w:t>
            </w:r>
          </w:p>
        </w:tc>
      </w:tr>
      <w:tr w:rsidR="00837F3F" w:rsidRPr="00EC4BA6" w14:paraId="2B24CAE0" w14:textId="77777777" w:rsidTr="00837F3F">
        <w:trPr>
          <w:trHeight w:hRule="exact" w:val="60"/>
        </w:trPr>
        <w:tc>
          <w:tcPr>
            <w:tcW w:w="2011" w:type="pct"/>
            <w:tcBorders>
              <w:top w:val="nil"/>
              <w:left w:val="nil"/>
              <w:bottom w:val="nil"/>
              <w:right w:val="nil"/>
            </w:tcBorders>
            <w:shd w:val="clear" w:color="000000" w:fill="FFFFFF"/>
            <w:noWrap/>
            <w:vAlign w:val="center"/>
            <w:hideMark/>
          </w:tcPr>
          <w:p w14:paraId="2D0E9717" w14:textId="77777777" w:rsidR="004D0B46" w:rsidRPr="00EC4BA6" w:rsidRDefault="004D0B46" w:rsidP="004D0B46">
            <w:pPr>
              <w:spacing w:before="0" w:after="0" w:line="240" w:lineRule="auto"/>
              <w:rPr>
                <w:rFonts w:ascii="Arial" w:hAnsi="Arial" w:cs="Arial"/>
                <w:b/>
                <w:sz w:val="16"/>
                <w:szCs w:val="16"/>
              </w:rPr>
            </w:pPr>
            <w:r w:rsidRPr="00EC4BA6">
              <w:rPr>
                <w:rFonts w:ascii="Arial" w:hAnsi="Arial" w:cs="Arial"/>
                <w:b/>
                <w:sz w:val="16"/>
                <w:szCs w:val="16"/>
              </w:rPr>
              <w:t> </w:t>
            </w:r>
          </w:p>
        </w:tc>
        <w:tc>
          <w:tcPr>
            <w:tcW w:w="726" w:type="pct"/>
            <w:tcBorders>
              <w:top w:val="nil"/>
              <w:left w:val="nil"/>
              <w:bottom w:val="nil"/>
              <w:right w:val="nil"/>
            </w:tcBorders>
            <w:shd w:val="clear" w:color="000000" w:fill="FFFFFF"/>
            <w:noWrap/>
            <w:vAlign w:val="center"/>
            <w:hideMark/>
          </w:tcPr>
          <w:p w14:paraId="23C72121" w14:textId="77777777" w:rsidR="004D0B46" w:rsidRPr="00EC4BA6" w:rsidRDefault="004D0B46" w:rsidP="004D0B46">
            <w:pPr>
              <w:spacing w:before="0" w:after="0" w:line="240" w:lineRule="auto"/>
              <w:jc w:val="right"/>
              <w:rPr>
                <w:rFonts w:ascii="Arial" w:hAnsi="Arial" w:cs="Arial"/>
                <w:b/>
                <w:sz w:val="16"/>
                <w:szCs w:val="16"/>
              </w:rPr>
            </w:pPr>
            <w:r w:rsidRPr="00EC4BA6">
              <w:rPr>
                <w:rFonts w:ascii="Arial" w:hAnsi="Arial" w:cs="Arial"/>
                <w:b/>
                <w:sz w:val="16"/>
                <w:szCs w:val="16"/>
              </w:rPr>
              <w:t> </w:t>
            </w:r>
          </w:p>
        </w:tc>
        <w:tc>
          <w:tcPr>
            <w:tcW w:w="726" w:type="pct"/>
            <w:tcBorders>
              <w:top w:val="nil"/>
              <w:left w:val="nil"/>
              <w:bottom w:val="nil"/>
              <w:right w:val="nil"/>
            </w:tcBorders>
            <w:shd w:val="clear" w:color="000000" w:fill="E6F2FF"/>
            <w:noWrap/>
            <w:vAlign w:val="center"/>
            <w:hideMark/>
          </w:tcPr>
          <w:p w14:paraId="294EA550" w14:textId="77777777" w:rsidR="004D0B46" w:rsidRPr="00EC4BA6" w:rsidRDefault="004D0B46" w:rsidP="004D0B46">
            <w:pPr>
              <w:spacing w:before="0" w:after="0" w:line="240" w:lineRule="auto"/>
              <w:jc w:val="right"/>
              <w:rPr>
                <w:rFonts w:ascii="Arial" w:hAnsi="Arial" w:cs="Arial"/>
                <w:b/>
                <w:sz w:val="16"/>
                <w:szCs w:val="16"/>
              </w:rPr>
            </w:pPr>
            <w:r w:rsidRPr="00EC4BA6">
              <w:rPr>
                <w:rFonts w:ascii="Arial" w:hAnsi="Arial" w:cs="Arial"/>
                <w:b/>
                <w:sz w:val="16"/>
                <w:szCs w:val="16"/>
              </w:rPr>
              <w:t> </w:t>
            </w:r>
          </w:p>
        </w:tc>
        <w:tc>
          <w:tcPr>
            <w:tcW w:w="58" w:type="pct"/>
            <w:tcBorders>
              <w:top w:val="nil"/>
              <w:left w:val="nil"/>
              <w:bottom w:val="nil"/>
              <w:right w:val="nil"/>
            </w:tcBorders>
            <w:shd w:val="clear" w:color="000000" w:fill="FFFFFF"/>
            <w:noWrap/>
            <w:vAlign w:val="center"/>
            <w:hideMark/>
          </w:tcPr>
          <w:p w14:paraId="4928BBFD" w14:textId="77777777" w:rsidR="004D0B46" w:rsidRPr="00EC4BA6" w:rsidRDefault="004D0B46" w:rsidP="004D0B46">
            <w:pPr>
              <w:spacing w:before="0" w:after="0" w:line="240" w:lineRule="auto"/>
              <w:jc w:val="right"/>
              <w:rPr>
                <w:rFonts w:ascii="Arial" w:hAnsi="Arial" w:cs="Arial"/>
                <w:b/>
                <w:sz w:val="16"/>
                <w:szCs w:val="16"/>
              </w:rPr>
            </w:pPr>
            <w:r w:rsidRPr="00EC4BA6">
              <w:rPr>
                <w:rFonts w:ascii="Arial" w:hAnsi="Arial" w:cs="Arial"/>
                <w:b/>
                <w:sz w:val="16"/>
                <w:szCs w:val="16"/>
              </w:rPr>
              <w:t> </w:t>
            </w:r>
          </w:p>
        </w:tc>
        <w:tc>
          <w:tcPr>
            <w:tcW w:w="739" w:type="pct"/>
            <w:tcBorders>
              <w:top w:val="nil"/>
              <w:left w:val="nil"/>
              <w:bottom w:val="nil"/>
              <w:right w:val="nil"/>
            </w:tcBorders>
            <w:shd w:val="clear" w:color="000000" w:fill="FFFFFF"/>
            <w:noWrap/>
            <w:vAlign w:val="center"/>
            <w:hideMark/>
          </w:tcPr>
          <w:p w14:paraId="3AC0AF27" w14:textId="77777777" w:rsidR="004D0B46" w:rsidRPr="00EC4BA6" w:rsidRDefault="004D0B46" w:rsidP="004D0B46">
            <w:pPr>
              <w:spacing w:before="0" w:after="0" w:line="240" w:lineRule="auto"/>
              <w:jc w:val="right"/>
              <w:rPr>
                <w:rFonts w:ascii="Arial" w:hAnsi="Arial" w:cs="Arial"/>
                <w:b/>
                <w:sz w:val="16"/>
                <w:szCs w:val="16"/>
              </w:rPr>
            </w:pPr>
            <w:r w:rsidRPr="00EC4BA6">
              <w:rPr>
                <w:rFonts w:ascii="Arial" w:hAnsi="Arial" w:cs="Arial"/>
                <w:b/>
                <w:sz w:val="16"/>
                <w:szCs w:val="16"/>
              </w:rPr>
              <w:t> </w:t>
            </w:r>
          </w:p>
        </w:tc>
        <w:tc>
          <w:tcPr>
            <w:tcW w:w="739" w:type="pct"/>
            <w:tcBorders>
              <w:top w:val="nil"/>
              <w:left w:val="nil"/>
              <w:bottom w:val="nil"/>
              <w:right w:val="nil"/>
            </w:tcBorders>
            <w:shd w:val="clear" w:color="000000" w:fill="FFFFFF"/>
            <w:noWrap/>
            <w:vAlign w:val="center"/>
            <w:hideMark/>
          </w:tcPr>
          <w:p w14:paraId="0D0C47A2" w14:textId="77777777" w:rsidR="004D0B46" w:rsidRPr="00EC4BA6" w:rsidRDefault="004D0B46" w:rsidP="004D0B46">
            <w:pPr>
              <w:spacing w:before="0" w:after="0" w:line="240" w:lineRule="auto"/>
              <w:jc w:val="right"/>
              <w:rPr>
                <w:rFonts w:ascii="Arial" w:hAnsi="Arial" w:cs="Arial"/>
                <w:b/>
                <w:sz w:val="16"/>
                <w:szCs w:val="16"/>
              </w:rPr>
            </w:pPr>
            <w:r w:rsidRPr="00EC4BA6">
              <w:rPr>
                <w:rFonts w:ascii="Arial" w:hAnsi="Arial" w:cs="Arial"/>
                <w:b/>
                <w:sz w:val="16"/>
                <w:szCs w:val="16"/>
              </w:rPr>
              <w:t> </w:t>
            </w:r>
          </w:p>
        </w:tc>
      </w:tr>
      <w:tr w:rsidR="00837F3F" w:rsidRPr="00EC4BA6" w14:paraId="7BA7AF7E" w14:textId="77777777" w:rsidTr="00837F3F">
        <w:trPr>
          <w:trHeight w:hRule="exact" w:val="225"/>
        </w:trPr>
        <w:tc>
          <w:tcPr>
            <w:tcW w:w="2011" w:type="pct"/>
            <w:tcBorders>
              <w:top w:val="nil"/>
              <w:left w:val="nil"/>
              <w:bottom w:val="nil"/>
              <w:right w:val="nil"/>
            </w:tcBorders>
            <w:shd w:val="clear" w:color="000000" w:fill="FFFFFF"/>
            <w:noWrap/>
            <w:vAlign w:val="center"/>
            <w:hideMark/>
          </w:tcPr>
          <w:p w14:paraId="3D87AF9E" w14:textId="77777777" w:rsidR="004D0B46" w:rsidRPr="00EC4BA6" w:rsidRDefault="004D0B46" w:rsidP="004D0B46">
            <w:pPr>
              <w:spacing w:before="0" w:after="0" w:line="240" w:lineRule="auto"/>
              <w:rPr>
                <w:rFonts w:ascii="Arial" w:hAnsi="Arial" w:cs="Arial"/>
                <w:sz w:val="16"/>
                <w:szCs w:val="16"/>
              </w:rPr>
            </w:pPr>
            <w:r w:rsidRPr="00EC4BA6">
              <w:rPr>
                <w:rFonts w:ascii="Arial" w:hAnsi="Arial" w:cs="Arial"/>
                <w:sz w:val="16"/>
                <w:szCs w:val="16"/>
              </w:rPr>
              <w:t>Sales of goods and services</w:t>
            </w:r>
          </w:p>
        </w:tc>
        <w:tc>
          <w:tcPr>
            <w:tcW w:w="726" w:type="pct"/>
            <w:tcBorders>
              <w:top w:val="nil"/>
              <w:left w:val="nil"/>
              <w:bottom w:val="nil"/>
              <w:right w:val="nil"/>
            </w:tcBorders>
            <w:shd w:val="clear" w:color="000000" w:fill="FFFFFF"/>
            <w:noWrap/>
            <w:vAlign w:val="center"/>
            <w:hideMark/>
          </w:tcPr>
          <w:p w14:paraId="19691BBD"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21,808</w:t>
            </w:r>
          </w:p>
        </w:tc>
        <w:tc>
          <w:tcPr>
            <w:tcW w:w="726" w:type="pct"/>
            <w:tcBorders>
              <w:top w:val="nil"/>
              <w:left w:val="nil"/>
              <w:bottom w:val="nil"/>
              <w:right w:val="nil"/>
            </w:tcBorders>
            <w:shd w:val="clear" w:color="000000" w:fill="E6F2FF"/>
            <w:noWrap/>
            <w:vAlign w:val="center"/>
            <w:hideMark/>
          </w:tcPr>
          <w:p w14:paraId="7059E53E"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22,256</w:t>
            </w:r>
          </w:p>
        </w:tc>
        <w:tc>
          <w:tcPr>
            <w:tcW w:w="58" w:type="pct"/>
            <w:tcBorders>
              <w:top w:val="nil"/>
              <w:left w:val="nil"/>
              <w:bottom w:val="nil"/>
              <w:right w:val="nil"/>
            </w:tcBorders>
            <w:shd w:val="clear" w:color="000000" w:fill="FFFFFF"/>
            <w:noWrap/>
            <w:vAlign w:val="center"/>
            <w:hideMark/>
          </w:tcPr>
          <w:p w14:paraId="43BC7595" w14:textId="77777777" w:rsidR="004D0B46" w:rsidRPr="00EC4BA6" w:rsidRDefault="004D0B46" w:rsidP="004D0B46">
            <w:pPr>
              <w:spacing w:before="0" w:after="0" w:line="240" w:lineRule="auto"/>
              <w:jc w:val="right"/>
              <w:rPr>
                <w:rFonts w:ascii="Arial" w:hAnsi="Arial" w:cs="Arial"/>
                <w:b/>
                <w:sz w:val="16"/>
                <w:szCs w:val="16"/>
              </w:rPr>
            </w:pPr>
            <w:r w:rsidRPr="00EC4BA6">
              <w:rPr>
                <w:rFonts w:ascii="Arial" w:hAnsi="Arial" w:cs="Arial"/>
                <w:b/>
                <w:sz w:val="16"/>
                <w:szCs w:val="16"/>
              </w:rPr>
              <w:t> </w:t>
            </w:r>
          </w:p>
        </w:tc>
        <w:tc>
          <w:tcPr>
            <w:tcW w:w="739" w:type="pct"/>
            <w:tcBorders>
              <w:top w:val="nil"/>
              <w:left w:val="nil"/>
              <w:bottom w:val="nil"/>
              <w:right w:val="nil"/>
            </w:tcBorders>
            <w:shd w:val="clear" w:color="000000" w:fill="FFFFFF"/>
            <w:noWrap/>
            <w:vAlign w:val="center"/>
            <w:hideMark/>
          </w:tcPr>
          <w:p w14:paraId="2FF7AAEC"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448</w:t>
            </w:r>
          </w:p>
        </w:tc>
        <w:tc>
          <w:tcPr>
            <w:tcW w:w="739" w:type="pct"/>
            <w:tcBorders>
              <w:top w:val="nil"/>
              <w:left w:val="nil"/>
              <w:bottom w:val="nil"/>
              <w:right w:val="nil"/>
            </w:tcBorders>
            <w:shd w:val="clear" w:color="000000" w:fill="FFFFFF"/>
            <w:noWrap/>
            <w:vAlign w:val="center"/>
            <w:hideMark/>
          </w:tcPr>
          <w:p w14:paraId="4B64F8C0"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2.1</w:t>
            </w:r>
          </w:p>
        </w:tc>
      </w:tr>
      <w:tr w:rsidR="00837F3F" w:rsidRPr="00EC4BA6" w14:paraId="27AA3F48" w14:textId="77777777" w:rsidTr="00837F3F">
        <w:trPr>
          <w:trHeight w:hRule="exact" w:val="225"/>
        </w:trPr>
        <w:tc>
          <w:tcPr>
            <w:tcW w:w="2011" w:type="pct"/>
            <w:tcBorders>
              <w:top w:val="nil"/>
              <w:left w:val="nil"/>
              <w:bottom w:val="nil"/>
              <w:right w:val="nil"/>
            </w:tcBorders>
            <w:shd w:val="clear" w:color="000000" w:fill="FFFFFF"/>
            <w:noWrap/>
            <w:vAlign w:val="center"/>
            <w:hideMark/>
          </w:tcPr>
          <w:p w14:paraId="6B047B7E" w14:textId="77777777" w:rsidR="004D0B46" w:rsidRPr="00EC4BA6" w:rsidRDefault="004D0B46" w:rsidP="004D0B46">
            <w:pPr>
              <w:spacing w:before="0" w:after="0" w:line="240" w:lineRule="auto"/>
              <w:rPr>
                <w:rFonts w:ascii="Arial" w:hAnsi="Arial" w:cs="Arial"/>
                <w:sz w:val="16"/>
                <w:szCs w:val="16"/>
              </w:rPr>
            </w:pPr>
            <w:r w:rsidRPr="00EC4BA6">
              <w:rPr>
                <w:rFonts w:ascii="Arial" w:hAnsi="Arial" w:cs="Arial"/>
                <w:sz w:val="16"/>
                <w:szCs w:val="16"/>
              </w:rPr>
              <w:t>Interest</w:t>
            </w:r>
          </w:p>
        </w:tc>
        <w:tc>
          <w:tcPr>
            <w:tcW w:w="726" w:type="pct"/>
            <w:tcBorders>
              <w:top w:val="nil"/>
              <w:left w:val="nil"/>
              <w:bottom w:val="nil"/>
              <w:right w:val="nil"/>
            </w:tcBorders>
            <w:shd w:val="clear" w:color="000000" w:fill="FFFFFF"/>
            <w:noWrap/>
            <w:vAlign w:val="center"/>
            <w:hideMark/>
          </w:tcPr>
          <w:p w14:paraId="26028164"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11,039</w:t>
            </w:r>
          </w:p>
        </w:tc>
        <w:tc>
          <w:tcPr>
            <w:tcW w:w="726" w:type="pct"/>
            <w:tcBorders>
              <w:top w:val="nil"/>
              <w:left w:val="nil"/>
              <w:bottom w:val="nil"/>
              <w:right w:val="nil"/>
            </w:tcBorders>
            <w:shd w:val="clear" w:color="000000" w:fill="E6F2FF"/>
            <w:noWrap/>
            <w:vAlign w:val="center"/>
            <w:hideMark/>
          </w:tcPr>
          <w:p w14:paraId="492AB377"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10,619</w:t>
            </w:r>
          </w:p>
        </w:tc>
        <w:tc>
          <w:tcPr>
            <w:tcW w:w="58" w:type="pct"/>
            <w:tcBorders>
              <w:top w:val="nil"/>
              <w:left w:val="nil"/>
              <w:bottom w:val="nil"/>
              <w:right w:val="nil"/>
            </w:tcBorders>
            <w:shd w:val="clear" w:color="000000" w:fill="FFFFFF"/>
            <w:noWrap/>
            <w:vAlign w:val="center"/>
            <w:hideMark/>
          </w:tcPr>
          <w:p w14:paraId="0633C9C8"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 </w:t>
            </w:r>
          </w:p>
        </w:tc>
        <w:tc>
          <w:tcPr>
            <w:tcW w:w="739" w:type="pct"/>
            <w:tcBorders>
              <w:top w:val="nil"/>
              <w:left w:val="nil"/>
              <w:bottom w:val="nil"/>
              <w:right w:val="nil"/>
            </w:tcBorders>
            <w:shd w:val="clear" w:color="000000" w:fill="FFFFFF"/>
            <w:noWrap/>
            <w:vAlign w:val="center"/>
            <w:hideMark/>
          </w:tcPr>
          <w:p w14:paraId="0BD0A034" w14:textId="208225D2" w:rsidR="004D0B46" w:rsidRPr="00EC4BA6" w:rsidRDefault="001A3DD6" w:rsidP="004D0B46">
            <w:pPr>
              <w:spacing w:before="0" w:after="0" w:line="240" w:lineRule="auto"/>
              <w:jc w:val="right"/>
              <w:rPr>
                <w:rFonts w:ascii="Arial" w:hAnsi="Arial" w:cs="Arial"/>
                <w:sz w:val="16"/>
                <w:szCs w:val="16"/>
              </w:rPr>
            </w:pPr>
            <w:r>
              <w:rPr>
                <w:rFonts w:ascii="Arial" w:hAnsi="Arial" w:cs="Arial"/>
                <w:sz w:val="16"/>
                <w:szCs w:val="16"/>
              </w:rPr>
              <w:noBreakHyphen/>
            </w:r>
            <w:r w:rsidR="004D0B46" w:rsidRPr="00EC4BA6">
              <w:rPr>
                <w:rFonts w:ascii="Arial" w:hAnsi="Arial" w:cs="Arial"/>
                <w:sz w:val="16"/>
                <w:szCs w:val="16"/>
              </w:rPr>
              <w:t>419</w:t>
            </w:r>
          </w:p>
        </w:tc>
        <w:tc>
          <w:tcPr>
            <w:tcW w:w="739" w:type="pct"/>
            <w:tcBorders>
              <w:top w:val="nil"/>
              <w:left w:val="nil"/>
              <w:bottom w:val="nil"/>
              <w:right w:val="nil"/>
            </w:tcBorders>
            <w:shd w:val="clear" w:color="000000" w:fill="FFFFFF"/>
            <w:noWrap/>
            <w:vAlign w:val="center"/>
            <w:hideMark/>
          </w:tcPr>
          <w:p w14:paraId="5D9E9440" w14:textId="412E84D2" w:rsidR="004D0B46" w:rsidRPr="00EC4BA6" w:rsidRDefault="001A3DD6" w:rsidP="004D0B46">
            <w:pPr>
              <w:spacing w:before="0" w:after="0" w:line="240" w:lineRule="auto"/>
              <w:jc w:val="right"/>
              <w:rPr>
                <w:rFonts w:ascii="Arial" w:hAnsi="Arial" w:cs="Arial"/>
                <w:sz w:val="16"/>
                <w:szCs w:val="16"/>
              </w:rPr>
            </w:pPr>
            <w:r>
              <w:rPr>
                <w:rFonts w:ascii="Arial" w:hAnsi="Arial" w:cs="Arial"/>
                <w:sz w:val="16"/>
                <w:szCs w:val="16"/>
              </w:rPr>
              <w:noBreakHyphen/>
            </w:r>
            <w:r w:rsidR="004D0B46" w:rsidRPr="00EC4BA6">
              <w:rPr>
                <w:rFonts w:ascii="Arial" w:hAnsi="Arial" w:cs="Arial"/>
                <w:sz w:val="16"/>
                <w:szCs w:val="16"/>
              </w:rPr>
              <w:t>3.8</w:t>
            </w:r>
          </w:p>
        </w:tc>
      </w:tr>
      <w:tr w:rsidR="00837F3F" w:rsidRPr="00EC4BA6" w14:paraId="3C1C7EE9" w14:textId="77777777" w:rsidTr="00837F3F">
        <w:trPr>
          <w:trHeight w:hRule="exact" w:val="225"/>
        </w:trPr>
        <w:tc>
          <w:tcPr>
            <w:tcW w:w="2011" w:type="pct"/>
            <w:tcBorders>
              <w:top w:val="nil"/>
              <w:left w:val="nil"/>
              <w:bottom w:val="nil"/>
              <w:right w:val="nil"/>
            </w:tcBorders>
            <w:shd w:val="clear" w:color="000000" w:fill="FFFFFF"/>
            <w:noWrap/>
            <w:vAlign w:val="center"/>
            <w:hideMark/>
          </w:tcPr>
          <w:p w14:paraId="494A7370" w14:textId="77777777" w:rsidR="004D0B46" w:rsidRPr="00EC4BA6" w:rsidRDefault="004D0B46" w:rsidP="004D0B46">
            <w:pPr>
              <w:spacing w:before="0" w:after="0" w:line="240" w:lineRule="auto"/>
              <w:rPr>
                <w:rFonts w:ascii="Arial" w:hAnsi="Arial" w:cs="Arial"/>
                <w:sz w:val="16"/>
                <w:szCs w:val="16"/>
              </w:rPr>
            </w:pPr>
            <w:r w:rsidRPr="00EC4BA6">
              <w:rPr>
                <w:rFonts w:ascii="Arial" w:hAnsi="Arial" w:cs="Arial"/>
                <w:sz w:val="16"/>
                <w:szCs w:val="16"/>
              </w:rPr>
              <w:t>Dividends and distributions</w:t>
            </w:r>
          </w:p>
        </w:tc>
        <w:tc>
          <w:tcPr>
            <w:tcW w:w="726" w:type="pct"/>
            <w:tcBorders>
              <w:top w:val="nil"/>
              <w:left w:val="nil"/>
              <w:bottom w:val="nil"/>
              <w:right w:val="nil"/>
            </w:tcBorders>
            <w:shd w:val="clear" w:color="000000" w:fill="FFFFFF"/>
            <w:noWrap/>
            <w:vAlign w:val="center"/>
            <w:hideMark/>
          </w:tcPr>
          <w:p w14:paraId="483B7810"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7,155</w:t>
            </w:r>
          </w:p>
        </w:tc>
        <w:tc>
          <w:tcPr>
            <w:tcW w:w="726" w:type="pct"/>
            <w:tcBorders>
              <w:top w:val="nil"/>
              <w:left w:val="nil"/>
              <w:bottom w:val="nil"/>
              <w:right w:val="nil"/>
            </w:tcBorders>
            <w:shd w:val="clear" w:color="000000" w:fill="E6F2FF"/>
            <w:noWrap/>
            <w:vAlign w:val="center"/>
            <w:hideMark/>
          </w:tcPr>
          <w:p w14:paraId="2C79D8A1"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7,434</w:t>
            </w:r>
          </w:p>
        </w:tc>
        <w:tc>
          <w:tcPr>
            <w:tcW w:w="58" w:type="pct"/>
            <w:tcBorders>
              <w:top w:val="nil"/>
              <w:left w:val="nil"/>
              <w:bottom w:val="nil"/>
              <w:right w:val="nil"/>
            </w:tcBorders>
            <w:shd w:val="clear" w:color="000000" w:fill="FFFFFF"/>
            <w:noWrap/>
            <w:vAlign w:val="center"/>
            <w:hideMark/>
          </w:tcPr>
          <w:p w14:paraId="597851A8" w14:textId="77777777" w:rsidR="004D0B46" w:rsidRPr="00EC4BA6" w:rsidRDefault="004D0B46" w:rsidP="004D0B46">
            <w:pPr>
              <w:spacing w:before="0" w:after="0" w:line="240" w:lineRule="auto"/>
              <w:jc w:val="right"/>
              <w:rPr>
                <w:rFonts w:ascii="Arial" w:hAnsi="Arial" w:cs="Arial"/>
                <w:b/>
                <w:sz w:val="16"/>
                <w:szCs w:val="16"/>
              </w:rPr>
            </w:pPr>
            <w:r w:rsidRPr="00EC4BA6">
              <w:rPr>
                <w:rFonts w:ascii="Arial" w:hAnsi="Arial" w:cs="Arial"/>
                <w:b/>
                <w:sz w:val="16"/>
                <w:szCs w:val="16"/>
              </w:rPr>
              <w:t> </w:t>
            </w:r>
          </w:p>
        </w:tc>
        <w:tc>
          <w:tcPr>
            <w:tcW w:w="739" w:type="pct"/>
            <w:tcBorders>
              <w:top w:val="nil"/>
              <w:left w:val="nil"/>
              <w:bottom w:val="nil"/>
              <w:right w:val="nil"/>
            </w:tcBorders>
            <w:shd w:val="clear" w:color="000000" w:fill="FFFFFF"/>
            <w:noWrap/>
            <w:vAlign w:val="center"/>
            <w:hideMark/>
          </w:tcPr>
          <w:p w14:paraId="77E18A92"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279</w:t>
            </w:r>
          </w:p>
        </w:tc>
        <w:tc>
          <w:tcPr>
            <w:tcW w:w="739" w:type="pct"/>
            <w:tcBorders>
              <w:top w:val="nil"/>
              <w:left w:val="nil"/>
              <w:bottom w:val="nil"/>
              <w:right w:val="nil"/>
            </w:tcBorders>
            <w:shd w:val="clear" w:color="000000" w:fill="FFFFFF"/>
            <w:noWrap/>
            <w:vAlign w:val="center"/>
            <w:hideMark/>
          </w:tcPr>
          <w:p w14:paraId="228DFC80"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3.9</w:t>
            </w:r>
          </w:p>
        </w:tc>
      </w:tr>
      <w:tr w:rsidR="00837F3F" w:rsidRPr="00EC4BA6" w14:paraId="47526B6D" w14:textId="77777777" w:rsidTr="00837F3F">
        <w:trPr>
          <w:trHeight w:hRule="exact" w:val="225"/>
        </w:trPr>
        <w:tc>
          <w:tcPr>
            <w:tcW w:w="2011" w:type="pct"/>
            <w:tcBorders>
              <w:top w:val="nil"/>
              <w:left w:val="nil"/>
              <w:bottom w:val="nil"/>
              <w:right w:val="nil"/>
            </w:tcBorders>
            <w:shd w:val="clear" w:color="000000" w:fill="FFFFFF"/>
            <w:noWrap/>
            <w:vAlign w:val="center"/>
            <w:hideMark/>
          </w:tcPr>
          <w:p w14:paraId="2C3D8444" w14:textId="0F5CB125" w:rsidR="004D0B46" w:rsidRPr="00EC4BA6" w:rsidRDefault="004D0B46" w:rsidP="004D0B46">
            <w:pPr>
              <w:spacing w:before="0" w:after="0" w:line="240" w:lineRule="auto"/>
              <w:rPr>
                <w:rFonts w:ascii="Arial" w:hAnsi="Arial" w:cs="Arial"/>
                <w:sz w:val="16"/>
                <w:szCs w:val="16"/>
              </w:rPr>
            </w:pPr>
            <w:r w:rsidRPr="00EC4BA6">
              <w:rPr>
                <w:rFonts w:ascii="Arial" w:hAnsi="Arial" w:cs="Arial"/>
                <w:sz w:val="16"/>
                <w:szCs w:val="16"/>
              </w:rPr>
              <w:t>Other non</w:t>
            </w:r>
            <w:r w:rsidR="001A3DD6">
              <w:rPr>
                <w:rFonts w:ascii="Arial" w:hAnsi="Arial" w:cs="Arial"/>
                <w:sz w:val="16"/>
                <w:szCs w:val="16"/>
              </w:rPr>
              <w:noBreakHyphen/>
            </w:r>
            <w:r w:rsidRPr="00EC4BA6">
              <w:rPr>
                <w:rFonts w:ascii="Arial" w:hAnsi="Arial" w:cs="Arial"/>
                <w:sz w:val="16"/>
                <w:szCs w:val="16"/>
              </w:rPr>
              <w:t>taxation revenue</w:t>
            </w:r>
          </w:p>
        </w:tc>
        <w:tc>
          <w:tcPr>
            <w:tcW w:w="726" w:type="pct"/>
            <w:tcBorders>
              <w:top w:val="nil"/>
              <w:left w:val="nil"/>
              <w:bottom w:val="single" w:sz="4" w:space="0" w:color="293F5B"/>
              <w:right w:val="nil"/>
            </w:tcBorders>
            <w:shd w:val="clear" w:color="000000" w:fill="FFFFFF"/>
            <w:noWrap/>
            <w:vAlign w:val="center"/>
            <w:hideMark/>
          </w:tcPr>
          <w:p w14:paraId="4F07F374"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15,354</w:t>
            </w:r>
          </w:p>
        </w:tc>
        <w:tc>
          <w:tcPr>
            <w:tcW w:w="726" w:type="pct"/>
            <w:tcBorders>
              <w:top w:val="nil"/>
              <w:left w:val="nil"/>
              <w:bottom w:val="single" w:sz="4" w:space="0" w:color="293F5B"/>
              <w:right w:val="nil"/>
            </w:tcBorders>
            <w:shd w:val="clear" w:color="000000" w:fill="E6F2FF"/>
            <w:noWrap/>
            <w:vAlign w:val="center"/>
            <w:hideMark/>
          </w:tcPr>
          <w:p w14:paraId="7F137F4E"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15,648</w:t>
            </w:r>
          </w:p>
        </w:tc>
        <w:tc>
          <w:tcPr>
            <w:tcW w:w="58" w:type="pct"/>
            <w:tcBorders>
              <w:top w:val="nil"/>
              <w:left w:val="nil"/>
              <w:bottom w:val="nil"/>
              <w:right w:val="nil"/>
            </w:tcBorders>
            <w:shd w:val="clear" w:color="000000" w:fill="FFFFFF"/>
            <w:noWrap/>
            <w:vAlign w:val="center"/>
            <w:hideMark/>
          </w:tcPr>
          <w:p w14:paraId="2A07CF32"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 </w:t>
            </w:r>
          </w:p>
        </w:tc>
        <w:tc>
          <w:tcPr>
            <w:tcW w:w="739" w:type="pct"/>
            <w:tcBorders>
              <w:top w:val="nil"/>
              <w:left w:val="nil"/>
              <w:bottom w:val="single" w:sz="4" w:space="0" w:color="293F5B"/>
              <w:right w:val="nil"/>
            </w:tcBorders>
            <w:shd w:val="clear" w:color="000000" w:fill="FFFFFF"/>
            <w:noWrap/>
            <w:vAlign w:val="center"/>
            <w:hideMark/>
          </w:tcPr>
          <w:p w14:paraId="08A46E62"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295</w:t>
            </w:r>
          </w:p>
        </w:tc>
        <w:tc>
          <w:tcPr>
            <w:tcW w:w="739" w:type="pct"/>
            <w:tcBorders>
              <w:top w:val="nil"/>
              <w:left w:val="nil"/>
              <w:bottom w:val="single" w:sz="4" w:space="0" w:color="293F5B"/>
              <w:right w:val="nil"/>
            </w:tcBorders>
            <w:shd w:val="clear" w:color="000000" w:fill="FFFFFF"/>
            <w:noWrap/>
            <w:vAlign w:val="center"/>
            <w:hideMark/>
          </w:tcPr>
          <w:p w14:paraId="272B6870" w14:textId="77777777" w:rsidR="004D0B46" w:rsidRPr="00EC4BA6" w:rsidRDefault="004D0B46" w:rsidP="004D0B46">
            <w:pPr>
              <w:spacing w:before="0" w:after="0" w:line="240" w:lineRule="auto"/>
              <w:jc w:val="right"/>
              <w:rPr>
                <w:rFonts w:ascii="Arial" w:hAnsi="Arial" w:cs="Arial"/>
                <w:sz w:val="16"/>
                <w:szCs w:val="16"/>
              </w:rPr>
            </w:pPr>
            <w:r w:rsidRPr="00EC4BA6">
              <w:rPr>
                <w:rFonts w:ascii="Arial" w:hAnsi="Arial" w:cs="Arial"/>
                <w:sz w:val="16"/>
                <w:szCs w:val="16"/>
              </w:rPr>
              <w:t>1.9</w:t>
            </w:r>
          </w:p>
        </w:tc>
      </w:tr>
      <w:tr w:rsidR="00837F3F" w:rsidRPr="00EC4BA6" w14:paraId="09CEAEA3" w14:textId="77777777" w:rsidTr="00837F3F">
        <w:trPr>
          <w:trHeight w:hRule="exact" w:val="225"/>
        </w:trPr>
        <w:tc>
          <w:tcPr>
            <w:tcW w:w="2011" w:type="pct"/>
            <w:tcBorders>
              <w:top w:val="nil"/>
              <w:left w:val="nil"/>
              <w:bottom w:val="nil"/>
              <w:right w:val="nil"/>
            </w:tcBorders>
            <w:shd w:val="clear" w:color="000000" w:fill="FFFFFF"/>
            <w:noWrap/>
            <w:vAlign w:val="center"/>
            <w:hideMark/>
          </w:tcPr>
          <w:p w14:paraId="3FF00D2A" w14:textId="36AEA30E" w:rsidR="004D0B46" w:rsidRPr="00EC4BA6" w:rsidRDefault="004D0B46" w:rsidP="004D0B46">
            <w:pPr>
              <w:spacing w:before="0" w:after="0" w:line="240" w:lineRule="auto"/>
              <w:rPr>
                <w:rFonts w:ascii="Arial" w:hAnsi="Arial" w:cs="Arial"/>
                <w:b/>
                <w:sz w:val="16"/>
                <w:szCs w:val="16"/>
              </w:rPr>
            </w:pPr>
            <w:r w:rsidRPr="00EC4BA6">
              <w:rPr>
                <w:rFonts w:ascii="Arial" w:hAnsi="Arial" w:cs="Arial"/>
                <w:b/>
                <w:sz w:val="16"/>
                <w:szCs w:val="16"/>
              </w:rPr>
              <w:t>Non</w:t>
            </w:r>
            <w:r w:rsidR="001A3DD6">
              <w:rPr>
                <w:rFonts w:ascii="Arial" w:hAnsi="Arial" w:cs="Arial"/>
                <w:b/>
                <w:sz w:val="16"/>
                <w:szCs w:val="16"/>
              </w:rPr>
              <w:noBreakHyphen/>
            </w:r>
            <w:r w:rsidRPr="00EC4BA6">
              <w:rPr>
                <w:rFonts w:ascii="Arial" w:hAnsi="Arial" w:cs="Arial"/>
                <w:b/>
                <w:sz w:val="16"/>
                <w:szCs w:val="16"/>
              </w:rPr>
              <w:t>taxation revenue</w:t>
            </w:r>
          </w:p>
        </w:tc>
        <w:tc>
          <w:tcPr>
            <w:tcW w:w="726" w:type="pct"/>
            <w:tcBorders>
              <w:top w:val="nil"/>
              <w:left w:val="nil"/>
              <w:bottom w:val="single" w:sz="4" w:space="0" w:color="293F5B"/>
              <w:right w:val="nil"/>
            </w:tcBorders>
            <w:shd w:val="clear" w:color="000000" w:fill="FFFFFF"/>
            <w:noWrap/>
            <w:vAlign w:val="center"/>
            <w:hideMark/>
          </w:tcPr>
          <w:p w14:paraId="7735D28E" w14:textId="77777777" w:rsidR="004D0B46" w:rsidRPr="00EC4BA6" w:rsidRDefault="004D0B46" w:rsidP="004D0B46">
            <w:pPr>
              <w:spacing w:before="0" w:after="0" w:line="240" w:lineRule="auto"/>
              <w:jc w:val="right"/>
              <w:rPr>
                <w:rFonts w:ascii="Arial" w:hAnsi="Arial" w:cs="Arial"/>
                <w:b/>
                <w:sz w:val="16"/>
                <w:szCs w:val="16"/>
              </w:rPr>
            </w:pPr>
            <w:r w:rsidRPr="00EC4BA6">
              <w:rPr>
                <w:rFonts w:ascii="Arial" w:hAnsi="Arial" w:cs="Arial"/>
                <w:b/>
                <w:sz w:val="16"/>
                <w:szCs w:val="16"/>
              </w:rPr>
              <w:t>55,356</w:t>
            </w:r>
          </w:p>
        </w:tc>
        <w:tc>
          <w:tcPr>
            <w:tcW w:w="726" w:type="pct"/>
            <w:tcBorders>
              <w:top w:val="nil"/>
              <w:left w:val="nil"/>
              <w:bottom w:val="single" w:sz="4" w:space="0" w:color="293F5B"/>
              <w:right w:val="nil"/>
            </w:tcBorders>
            <w:shd w:val="clear" w:color="000000" w:fill="E6F2FF"/>
            <w:noWrap/>
            <w:vAlign w:val="center"/>
            <w:hideMark/>
          </w:tcPr>
          <w:p w14:paraId="66DB8AAB" w14:textId="77777777" w:rsidR="004D0B46" w:rsidRPr="00EC4BA6" w:rsidRDefault="004D0B46" w:rsidP="004D0B46">
            <w:pPr>
              <w:spacing w:before="0" w:after="0" w:line="240" w:lineRule="auto"/>
              <w:jc w:val="right"/>
              <w:rPr>
                <w:rFonts w:ascii="Arial" w:hAnsi="Arial" w:cs="Arial"/>
                <w:b/>
                <w:sz w:val="16"/>
                <w:szCs w:val="16"/>
              </w:rPr>
            </w:pPr>
            <w:r w:rsidRPr="00EC4BA6">
              <w:rPr>
                <w:rFonts w:ascii="Arial" w:hAnsi="Arial" w:cs="Arial"/>
                <w:b/>
                <w:sz w:val="16"/>
                <w:szCs w:val="16"/>
              </w:rPr>
              <w:t>55,958</w:t>
            </w:r>
          </w:p>
        </w:tc>
        <w:tc>
          <w:tcPr>
            <w:tcW w:w="58" w:type="pct"/>
            <w:tcBorders>
              <w:top w:val="nil"/>
              <w:left w:val="nil"/>
              <w:bottom w:val="nil"/>
              <w:right w:val="nil"/>
            </w:tcBorders>
            <w:shd w:val="clear" w:color="000000" w:fill="FFFFFF"/>
            <w:noWrap/>
            <w:vAlign w:val="center"/>
            <w:hideMark/>
          </w:tcPr>
          <w:p w14:paraId="0F63B058" w14:textId="77777777" w:rsidR="004D0B46" w:rsidRPr="00EC4BA6" w:rsidRDefault="004D0B46" w:rsidP="004D0B46">
            <w:pPr>
              <w:spacing w:before="0" w:after="0" w:line="240" w:lineRule="auto"/>
              <w:jc w:val="right"/>
              <w:rPr>
                <w:rFonts w:ascii="Arial" w:hAnsi="Arial" w:cs="Arial"/>
                <w:b/>
                <w:sz w:val="16"/>
                <w:szCs w:val="16"/>
              </w:rPr>
            </w:pPr>
            <w:r w:rsidRPr="00EC4BA6">
              <w:rPr>
                <w:rFonts w:ascii="Arial" w:hAnsi="Arial" w:cs="Arial"/>
                <w:b/>
                <w:sz w:val="16"/>
                <w:szCs w:val="16"/>
              </w:rPr>
              <w:t> </w:t>
            </w:r>
          </w:p>
        </w:tc>
        <w:tc>
          <w:tcPr>
            <w:tcW w:w="739" w:type="pct"/>
            <w:tcBorders>
              <w:top w:val="nil"/>
              <w:left w:val="nil"/>
              <w:bottom w:val="single" w:sz="4" w:space="0" w:color="auto"/>
              <w:right w:val="nil"/>
            </w:tcBorders>
            <w:shd w:val="clear" w:color="000000" w:fill="FFFFFF"/>
            <w:noWrap/>
            <w:vAlign w:val="center"/>
            <w:hideMark/>
          </w:tcPr>
          <w:p w14:paraId="7E70DADC" w14:textId="77777777" w:rsidR="004D0B46" w:rsidRPr="00EC4BA6" w:rsidRDefault="004D0B46" w:rsidP="004D0B46">
            <w:pPr>
              <w:spacing w:before="0" w:after="0" w:line="240" w:lineRule="auto"/>
              <w:jc w:val="right"/>
              <w:rPr>
                <w:rFonts w:ascii="Arial" w:hAnsi="Arial" w:cs="Arial"/>
                <w:b/>
                <w:sz w:val="16"/>
                <w:szCs w:val="16"/>
              </w:rPr>
            </w:pPr>
            <w:r w:rsidRPr="00EC4BA6">
              <w:rPr>
                <w:rFonts w:ascii="Arial" w:hAnsi="Arial" w:cs="Arial"/>
                <w:b/>
                <w:sz w:val="16"/>
                <w:szCs w:val="16"/>
              </w:rPr>
              <w:t>602</w:t>
            </w:r>
          </w:p>
        </w:tc>
        <w:tc>
          <w:tcPr>
            <w:tcW w:w="739" w:type="pct"/>
            <w:tcBorders>
              <w:top w:val="nil"/>
              <w:left w:val="nil"/>
              <w:bottom w:val="single" w:sz="4" w:space="0" w:color="auto"/>
              <w:right w:val="nil"/>
            </w:tcBorders>
            <w:shd w:val="clear" w:color="000000" w:fill="FFFFFF"/>
            <w:noWrap/>
            <w:vAlign w:val="center"/>
            <w:hideMark/>
          </w:tcPr>
          <w:p w14:paraId="4A892148" w14:textId="77777777" w:rsidR="004D0B46" w:rsidRPr="00EC4BA6" w:rsidRDefault="004D0B46" w:rsidP="004D0B46">
            <w:pPr>
              <w:spacing w:before="0" w:after="0" w:line="240" w:lineRule="auto"/>
              <w:jc w:val="right"/>
              <w:rPr>
                <w:rFonts w:ascii="Arial" w:hAnsi="Arial" w:cs="Arial"/>
                <w:b/>
                <w:sz w:val="16"/>
                <w:szCs w:val="16"/>
              </w:rPr>
            </w:pPr>
            <w:r w:rsidRPr="00EC4BA6">
              <w:rPr>
                <w:rFonts w:ascii="Arial" w:hAnsi="Arial" w:cs="Arial"/>
                <w:b/>
                <w:sz w:val="16"/>
                <w:szCs w:val="16"/>
              </w:rPr>
              <w:t>1.1</w:t>
            </w:r>
          </w:p>
        </w:tc>
      </w:tr>
      <w:tr w:rsidR="00837F3F" w:rsidRPr="00EC4BA6" w14:paraId="0D7D843A" w14:textId="77777777" w:rsidTr="00837F3F">
        <w:trPr>
          <w:trHeight w:hRule="exact" w:val="225"/>
        </w:trPr>
        <w:tc>
          <w:tcPr>
            <w:tcW w:w="2011" w:type="pct"/>
            <w:tcBorders>
              <w:top w:val="nil"/>
              <w:left w:val="nil"/>
              <w:bottom w:val="single" w:sz="4" w:space="0" w:color="293F5B"/>
              <w:right w:val="nil"/>
            </w:tcBorders>
            <w:shd w:val="clear" w:color="000000" w:fill="FFFFFF"/>
            <w:noWrap/>
            <w:vAlign w:val="center"/>
            <w:hideMark/>
          </w:tcPr>
          <w:p w14:paraId="590E50C5" w14:textId="77777777" w:rsidR="004D0B46" w:rsidRPr="00EC4BA6" w:rsidRDefault="004D0B46" w:rsidP="004D0B46">
            <w:pPr>
              <w:spacing w:before="0" w:after="0" w:line="240" w:lineRule="auto"/>
              <w:rPr>
                <w:rFonts w:ascii="Arial" w:hAnsi="Arial" w:cs="Arial"/>
                <w:b/>
                <w:sz w:val="16"/>
                <w:szCs w:val="16"/>
              </w:rPr>
            </w:pPr>
            <w:r w:rsidRPr="00EC4BA6">
              <w:rPr>
                <w:rFonts w:ascii="Arial" w:hAnsi="Arial" w:cs="Arial"/>
                <w:b/>
                <w:sz w:val="16"/>
                <w:szCs w:val="16"/>
              </w:rPr>
              <w:t>Total revenue</w:t>
            </w:r>
          </w:p>
        </w:tc>
        <w:tc>
          <w:tcPr>
            <w:tcW w:w="726" w:type="pct"/>
            <w:tcBorders>
              <w:top w:val="nil"/>
              <w:left w:val="nil"/>
              <w:bottom w:val="single" w:sz="4" w:space="0" w:color="293F5B"/>
              <w:right w:val="nil"/>
            </w:tcBorders>
            <w:shd w:val="clear" w:color="000000" w:fill="FFFFFF"/>
            <w:noWrap/>
            <w:vAlign w:val="center"/>
            <w:hideMark/>
          </w:tcPr>
          <w:p w14:paraId="153D8031" w14:textId="77777777" w:rsidR="004D0B46" w:rsidRPr="00EC4BA6" w:rsidRDefault="004D0B46" w:rsidP="004D0B46">
            <w:pPr>
              <w:spacing w:before="0" w:after="0" w:line="240" w:lineRule="auto"/>
              <w:jc w:val="right"/>
              <w:rPr>
                <w:rFonts w:ascii="Arial" w:hAnsi="Arial" w:cs="Arial"/>
                <w:b/>
                <w:sz w:val="16"/>
                <w:szCs w:val="16"/>
              </w:rPr>
            </w:pPr>
            <w:r w:rsidRPr="00EC4BA6">
              <w:rPr>
                <w:rFonts w:ascii="Arial" w:hAnsi="Arial" w:cs="Arial"/>
                <w:b/>
                <w:sz w:val="16"/>
                <w:szCs w:val="16"/>
              </w:rPr>
              <w:t>743,211</w:t>
            </w:r>
          </w:p>
        </w:tc>
        <w:tc>
          <w:tcPr>
            <w:tcW w:w="726" w:type="pct"/>
            <w:tcBorders>
              <w:top w:val="nil"/>
              <w:left w:val="nil"/>
              <w:bottom w:val="single" w:sz="4" w:space="0" w:color="293F5B"/>
              <w:right w:val="nil"/>
            </w:tcBorders>
            <w:shd w:val="clear" w:color="000000" w:fill="E6F2FF"/>
            <w:noWrap/>
            <w:vAlign w:val="center"/>
            <w:hideMark/>
          </w:tcPr>
          <w:p w14:paraId="736B9D7B" w14:textId="77777777" w:rsidR="004D0B46" w:rsidRPr="00EC4BA6" w:rsidRDefault="004D0B46" w:rsidP="004D0B46">
            <w:pPr>
              <w:spacing w:before="0" w:after="0" w:line="240" w:lineRule="auto"/>
              <w:jc w:val="right"/>
              <w:rPr>
                <w:rFonts w:ascii="Arial" w:hAnsi="Arial" w:cs="Arial"/>
                <w:b/>
                <w:sz w:val="16"/>
                <w:szCs w:val="16"/>
              </w:rPr>
            </w:pPr>
            <w:r w:rsidRPr="00EC4BA6">
              <w:rPr>
                <w:rFonts w:ascii="Arial" w:hAnsi="Arial" w:cs="Arial"/>
                <w:b/>
                <w:sz w:val="16"/>
                <w:szCs w:val="16"/>
              </w:rPr>
              <w:t>750,262</w:t>
            </w:r>
          </w:p>
        </w:tc>
        <w:tc>
          <w:tcPr>
            <w:tcW w:w="58" w:type="pct"/>
            <w:tcBorders>
              <w:top w:val="nil"/>
              <w:left w:val="nil"/>
              <w:bottom w:val="single" w:sz="4" w:space="0" w:color="293F5B"/>
              <w:right w:val="nil"/>
            </w:tcBorders>
            <w:shd w:val="clear" w:color="000000" w:fill="FFFFFF"/>
            <w:noWrap/>
            <w:vAlign w:val="center"/>
            <w:hideMark/>
          </w:tcPr>
          <w:p w14:paraId="0285750B" w14:textId="77777777" w:rsidR="004D0B46" w:rsidRPr="00EC4BA6" w:rsidRDefault="004D0B46" w:rsidP="004D0B46">
            <w:pPr>
              <w:spacing w:before="0" w:after="0" w:line="240" w:lineRule="auto"/>
              <w:jc w:val="right"/>
              <w:rPr>
                <w:rFonts w:ascii="Arial" w:hAnsi="Arial" w:cs="Arial"/>
                <w:b/>
                <w:sz w:val="16"/>
                <w:szCs w:val="16"/>
              </w:rPr>
            </w:pPr>
            <w:r w:rsidRPr="00EC4BA6">
              <w:rPr>
                <w:rFonts w:ascii="Arial" w:hAnsi="Arial" w:cs="Arial"/>
                <w:b/>
                <w:sz w:val="16"/>
                <w:szCs w:val="16"/>
              </w:rPr>
              <w:t> </w:t>
            </w:r>
          </w:p>
        </w:tc>
        <w:tc>
          <w:tcPr>
            <w:tcW w:w="739" w:type="pct"/>
            <w:tcBorders>
              <w:top w:val="single" w:sz="4" w:space="0" w:color="293F5B"/>
              <w:left w:val="nil"/>
              <w:bottom w:val="single" w:sz="4" w:space="0" w:color="293F5B"/>
              <w:right w:val="nil"/>
            </w:tcBorders>
            <w:shd w:val="clear" w:color="000000" w:fill="FFFFFF"/>
            <w:noWrap/>
            <w:vAlign w:val="center"/>
            <w:hideMark/>
          </w:tcPr>
          <w:p w14:paraId="54E7D620" w14:textId="77777777" w:rsidR="004D0B46" w:rsidRPr="00EC4BA6" w:rsidRDefault="004D0B46" w:rsidP="004D0B46">
            <w:pPr>
              <w:spacing w:before="0" w:after="0" w:line="240" w:lineRule="auto"/>
              <w:jc w:val="right"/>
              <w:rPr>
                <w:rFonts w:ascii="Arial" w:hAnsi="Arial" w:cs="Arial"/>
                <w:b/>
                <w:sz w:val="16"/>
                <w:szCs w:val="16"/>
              </w:rPr>
            </w:pPr>
            <w:r w:rsidRPr="00EC4BA6">
              <w:rPr>
                <w:rFonts w:ascii="Arial" w:hAnsi="Arial" w:cs="Arial"/>
                <w:b/>
                <w:sz w:val="16"/>
                <w:szCs w:val="16"/>
              </w:rPr>
              <w:t>7,052</w:t>
            </w:r>
          </w:p>
        </w:tc>
        <w:tc>
          <w:tcPr>
            <w:tcW w:w="739" w:type="pct"/>
            <w:tcBorders>
              <w:top w:val="single" w:sz="4" w:space="0" w:color="293F5B"/>
              <w:left w:val="nil"/>
              <w:bottom w:val="single" w:sz="4" w:space="0" w:color="293F5B"/>
              <w:right w:val="nil"/>
            </w:tcBorders>
            <w:shd w:val="clear" w:color="000000" w:fill="FFFFFF"/>
            <w:noWrap/>
            <w:vAlign w:val="center"/>
            <w:hideMark/>
          </w:tcPr>
          <w:p w14:paraId="5D0E6D21" w14:textId="77777777" w:rsidR="004D0B46" w:rsidRPr="00EC4BA6" w:rsidRDefault="004D0B46" w:rsidP="004D0B46">
            <w:pPr>
              <w:spacing w:before="0" w:after="0" w:line="240" w:lineRule="auto"/>
              <w:jc w:val="right"/>
              <w:rPr>
                <w:rFonts w:ascii="Arial" w:hAnsi="Arial" w:cs="Arial"/>
                <w:b/>
                <w:sz w:val="16"/>
                <w:szCs w:val="16"/>
              </w:rPr>
            </w:pPr>
            <w:r w:rsidRPr="00EC4BA6">
              <w:rPr>
                <w:rFonts w:ascii="Arial" w:hAnsi="Arial" w:cs="Arial"/>
                <w:b/>
                <w:sz w:val="16"/>
                <w:szCs w:val="16"/>
              </w:rPr>
              <w:t>0.9</w:t>
            </w:r>
          </w:p>
        </w:tc>
      </w:tr>
      <w:tr w:rsidR="00837F3F" w:rsidRPr="00EC4BA6" w14:paraId="61B6B1CA" w14:textId="77777777" w:rsidTr="00837F3F">
        <w:trPr>
          <w:trHeight w:hRule="exact" w:val="225"/>
        </w:trPr>
        <w:tc>
          <w:tcPr>
            <w:tcW w:w="2011" w:type="pct"/>
            <w:tcBorders>
              <w:top w:val="nil"/>
              <w:left w:val="nil"/>
              <w:bottom w:val="nil"/>
              <w:right w:val="nil"/>
            </w:tcBorders>
            <w:shd w:val="clear" w:color="000000" w:fill="FFFFFF"/>
            <w:noWrap/>
            <w:vAlign w:val="center"/>
            <w:hideMark/>
          </w:tcPr>
          <w:p w14:paraId="23465481" w14:textId="77777777" w:rsidR="004D0B46" w:rsidRPr="00EC4BA6" w:rsidRDefault="004D0B46" w:rsidP="004D0B46">
            <w:pPr>
              <w:spacing w:before="0" w:after="0" w:line="240" w:lineRule="auto"/>
              <w:rPr>
                <w:rFonts w:ascii="Arial" w:hAnsi="Arial" w:cs="Arial"/>
                <w:i/>
                <w:sz w:val="16"/>
                <w:szCs w:val="16"/>
              </w:rPr>
            </w:pPr>
            <w:r w:rsidRPr="00EC4BA6">
              <w:rPr>
                <w:rFonts w:ascii="Arial" w:hAnsi="Arial" w:cs="Arial"/>
                <w:i/>
                <w:sz w:val="16"/>
                <w:szCs w:val="16"/>
              </w:rPr>
              <w:t>Memorandum:</w:t>
            </w:r>
          </w:p>
        </w:tc>
        <w:tc>
          <w:tcPr>
            <w:tcW w:w="726" w:type="pct"/>
            <w:tcBorders>
              <w:top w:val="nil"/>
              <w:left w:val="nil"/>
              <w:bottom w:val="nil"/>
              <w:right w:val="nil"/>
            </w:tcBorders>
            <w:shd w:val="clear" w:color="000000" w:fill="FFFFFF"/>
            <w:noWrap/>
            <w:vAlign w:val="center"/>
            <w:hideMark/>
          </w:tcPr>
          <w:p w14:paraId="5C248B83" w14:textId="77777777" w:rsidR="004D0B46" w:rsidRPr="00EC4BA6" w:rsidRDefault="004D0B46" w:rsidP="004D0B46">
            <w:pPr>
              <w:spacing w:before="0" w:after="0" w:line="240" w:lineRule="auto"/>
              <w:jc w:val="right"/>
              <w:rPr>
                <w:rFonts w:ascii="Arial" w:hAnsi="Arial" w:cs="Arial"/>
                <w:i/>
                <w:sz w:val="16"/>
                <w:szCs w:val="16"/>
              </w:rPr>
            </w:pPr>
            <w:r w:rsidRPr="00EC4BA6">
              <w:rPr>
                <w:rFonts w:ascii="Arial" w:hAnsi="Arial" w:cs="Arial"/>
                <w:i/>
                <w:sz w:val="16"/>
                <w:szCs w:val="16"/>
              </w:rPr>
              <w:t> </w:t>
            </w:r>
          </w:p>
        </w:tc>
        <w:tc>
          <w:tcPr>
            <w:tcW w:w="726" w:type="pct"/>
            <w:tcBorders>
              <w:top w:val="nil"/>
              <w:left w:val="nil"/>
              <w:bottom w:val="nil"/>
              <w:right w:val="nil"/>
            </w:tcBorders>
            <w:shd w:val="clear" w:color="000000" w:fill="E6F2FF"/>
            <w:noWrap/>
            <w:vAlign w:val="center"/>
            <w:hideMark/>
          </w:tcPr>
          <w:p w14:paraId="010918B4" w14:textId="77777777" w:rsidR="004D0B46" w:rsidRPr="00EC4BA6" w:rsidRDefault="004D0B46" w:rsidP="004D0B46">
            <w:pPr>
              <w:spacing w:before="0" w:after="0" w:line="240" w:lineRule="auto"/>
              <w:jc w:val="right"/>
              <w:rPr>
                <w:rFonts w:ascii="Arial" w:hAnsi="Arial" w:cs="Arial"/>
                <w:i/>
                <w:sz w:val="16"/>
                <w:szCs w:val="16"/>
              </w:rPr>
            </w:pPr>
            <w:r w:rsidRPr="00EC4BA6">
              <w:rPr>
                <w:rFonts w:ascii="Arial" w:hAnsi="Arial" w:cs="Arial"/>
                <w:i/>
                <w:sz w:val="16"/>
                <w:szCs w:val="16"/>
              </w:rPr>
              <w:t> </w:t>
            </w:r>
          </w:p>
        </w:tc>
        <w:tc>
          <w:tcPr>
            <w:tcW w:w="58" w:type="pct"/>
            <w:tcBorders>
              <w:top w:val="nil"/>
              <w:left w:val="nil"/>
              <w:bottom w:val="nil"/>
              <w:right w:val="nil"/>
            </w:tcBorders>
            <w:shd w:val="clear" w:color="000000" w:fill="FFFFFF"/>
            <w:noWrap/>
            <w:vAlign w:val="center"/>
            <w:hideMark/>
          </w:tcPr>
          <w:p w14:paraId="55056B62" w14:textId="77777777" w:rsidR="004D0B46" w:rsidRPr="00EC4BA6" w:rsidRDefault="004D0B46" w:rsidP="004D0B46">
            <w:pPr>
              <w:spacing w:before="0" w:after="0" w:line="240" w:lineRule="auto"/>
              <w:jc w:val="right"/>
              <w:rPr>
                <w:rFonts w:ascii="Arial" w:hAnsi="Arial" w:cs="Arial"/>
                <w:i/>
                <w:sz w:val="16"/>
                <w:szCs w:val="16"/>
              </w:rPr>
            </w:pPr>
            <w:r w:rsidRPr="00EC4BA6">
              <w:rPr>
                <w:rFonts w:ascii="Arial" w:hAnsi="Arial" w:cs="Arial"/>
                <w:i/>
                <w:sz w:val="16"/>
                <w:szCs w:val="16"/>
              </w:rPr>
              <w:t> </w:t>
            </w:r>
          </w:p>
        </w:tc>
        <w:tc>
          <w:tcPr>
            <w:tcW w:w="739" w:type="pct"/>
            <w:tcBorders>
              <w:top w:val="nil"/>
              <w:left w:val="nil"/>
              <w:bottom w:val="nil"/>
              <w:right w:val="nil"/>
            </w:tcBorders>
            <w:shd w:val="clear" w:color="000000" w:fill="FFFFFF"/>
            <w:noWrap/>
            <w:vAlign w:val="center"/>
            <w:hideMark/>
          </w:tcPr>
          <w:p w14:paraId="4BF57F12" w14:textId="77777777" w:rsidR="004D0B46" w:rsidRPr="00EC4BA6" w:rsidRDefault="004D0B46" w:rsidP="004D0B46">
            <w:pPr>
              <w:spacing w:before="0" w:after="0" w:line="240" w:lineRule="auto"/>
              <w:jc w:val="right"/>
              <w:rPr>
                <w:rFonts w:ascii="Arial" w:hAnsi="Arial" w:cs="Arial"/>
                <w:i/>
                <w:sz w:val="16"/>
                <w:szCs w:val="16"/>
              </w:rPr>
            </w:pPr>
            <w:r w:rsidRPr="00EC4BA6">
              <w:rPr>
                <w:rFonts w:ascii="Arial" w:hAnsi="Arial" w:cs="Arial"/>
                <w:i/>
                <w:sz w:val="16"/>
                <w:szCs w:val="16"/>
              </w:rPr>
              <w:t> </w:t>
            </w:r>
          </w:p>
        </w:tc>
        <w:tc>
          <w:tcPr>
            <w:tcW w:w="739" w:type="pct"/>
            <w:tcBorders>
              <w:top w:val="nil"/>
              <w:left w:val="nil"/>
              <w:bottom w:val="nil"/>
              <w:right w:val="nil"/>
            </w:tcBorders>
            <w:shd w:val="clear" w:color="000000" w:fill="FFFFFF"/>
            <w:noWrap/>
            <w:vAlign w:val="center"/>
            <w:hideMark/>
          </w:tcPr>
          <w:p w14:paraId="2418AD22" w14:textId="77777777" w:rsidR="004D0B46" w:rsidRPr="00EC4BA6" w:rsidRDefault="004D0B46" w:rsidP="004D0B46">
            <w:pPr>
              <w:spacing w:before="0" w:after="0" w:line="240" w:lineRule="auto"/>
              <w:jc w:val="right"/>
              <w:rPr>
                <w:rFonts w:ascii="Arial" w:hAnsi="Arial" w:cs="Arial"/>
                <w:i/>
                <w:sz w:val="16"/>
                <w:szCs w:val="16"/>
              </w:rPr>
            </w:pPr>
            <w:r w:rsidRPr="00EC4BA6">
              <w:rPr>
                <w:rFonts w:ascii="Arial" w:hAnsi="Arial" w:cs="Arial"/>
                <w:i/>
                <w:sz w:val="16"/>
                <w:szCs w:val="16"/>
              </w:rPr>
              <w:t> </w:t>
            </w:r>
          </w:p>
        </w:tc>
      </w:tr>
      <w:tr w:rsidR="00837F3F" w:rsidRPr="00EC4BA6" w14:paraId="5260FA7E" w14:textId="77777777" w:rsidTr="00837F3F">
        <w:trPr>
          <w:trHeight w:hRule="exact" w:val="225"/>
        </w:trPr>
        <w:tc>
          <w:tcPr>
            <w:tcW w:w="2011" w:type="pct"/>
            <w:tcBorders>
              <w:top w:val="nil"/>
              <w:left w:val="nil"/>
              <w:bottom w:val="nil"/>
              <w:right w:val="nil"/>
            </w:tcBorders>
            <w:shd w:val="clear" w:color="000000" w:fill="FFFFFF"/>
            <w:noWrap/>
            <w:vAlign w:val="center"/>
            <w:hideMark/>
          </w:tcPr>
          <w:p w14:paraId="38CF7451" w14:textId="77777777" w:rsidR="004D0B46" w:rsidRPr="00EC4BA6" w:rsidRDefault="004D0B46" w:rsidP="00837F3F">
            <w:pPr>
              <w:spacing w:before="0" w:after="0" w:line="240" w:lineRule="auto"/>
              <w:ind w:left="170"/>
              <w:rPr>
                <w:rFonts w:ascii="Arial" w:hAnsi="Arial" w:cs="Arial"/>
                <w:i/>
                <w:sz w:val="16"/>
                <w:szCs w:val="16"/>
              </w:rPr>
            </w:pPr>
            <w:r w:rsidRPr="00EC4BA6">
              <w:rPr>
                <w:rFonts w:ascii="Arial" w:hAnsi="Arial" w:cs="Arial"/>
                <w:i/>
                <w:sz w:val="16"/>
                <w:szCs w:val="16"/>
              </w:rPr>
              <w:t>Total excise</w:t>
            </w:r>
          </w:p>
        </w:tc>
        <w:tc>
          <w:tcPr>
            <w:tcW w:w="726" w:type="pct"/>
            <w:tcBorders>
              <w:top w:val="nil"/>
              <w:left w:val="nil"/>
              <w:bottom w:val="nil"/>
              <w:right w:val="nil"/>
            </w:tcBorders>
            <w:shd w:val="clear" w:color="000000" w:fill="FFFFFF"/>
            <w:noWrap/>
            <w:vAlign w:val="center"/>
            <w:hideMark/>
          </w:tcPr>
          <w:p w14:paraId="09AE0A6A" w14:textId="77777777" w:rsidR="004D0B46" w:rsidRPr="00EC4BA6" w:rsidRDefault="004D0B46" w:rsidP="004D0B46">
            <w:pPr>
              <w:spacing w:before="0" w:after="0" w:line="240" w:lineRule="auto"/>
              <w:jc w:val="right"/>
              <w:rPr>
                <w:rFonts w:ascii="Arial" w:hAnsi="Arial" w:cs="Arial"/>
                <w:i/>
                <w:sz w:val="16"/>
                <w:szCs w:val="16"/>
              </w:rPr>
            </w:pPr>
            <w:r w:rsidRPr="00EC4BA6">
              <w:rPr>
                <w:rFonts w:ascii="Arial" w:hAnsi="Arial" w:cs="Arial"/>
                <w:i/>
                <w:sz w:val="16"/>
                <w:szCs w:val="16"/>
              </w:rPr>
              <w:t>32,570</w:t>
            </w:r>
          </w:p>
        </w:tc>
        <w:tc>
          <w:tcPr>
            <w:tcW w:w="726" w:type="pct"/>
            <w:tcBorders>
              <w:top w:val="nil"/>
              <w:left w:val="nil"/>
              <w:bottom w:val="nil"/>
              <w:right w:val="nil"/>
            </w:tcBorders>
            <w:shd w:val="clear" w:color="000000" w:fill="E6F2FF"/>
            <w:noWrap/>
            <w:vAlign w:val="center"/>
            <w:hideMark/>
          </w:tcPr>
          <w:p w14:paraId="74D246D1" w14:textId="77777777" w:rsidR="004D0B46" w:rsidRPr="00EC4BA6" w:rsidRDefault="004D0B46" w:rsidP="004D0B46">
            <w:pPr>
              <w:spacing w:before="0" w:after="0" w:line="240" w:lineRule="auto"/>
              <w:jc w:val="right"/>
              <w:rPr>
                <w:rFonts w:ascii="Arial" w:hAnsi="Arial" w:cs="Arial"/>
                <w:i/>
                <w:sz w:val="16"/>
                <w:szCs w:val="16"/>
              </w:rPr>
            </w:pPr>
            <w:r w:rsidRPr="00EC4BA6">
              <w:rPr>
                <w:rFonts w:ascii="Arial" w:hAnsi="Arial" w:cs="Arial"/>
                <w:i/>
                <w:sz w:val="16"/>
                <w:szCs w:val="16"/>
              </w:rPr>
              <w:t>32,450</w:t>
            </w:r>
          </w:p>
        </w:tc>
        <w:tc>
          <w:tcPr>
            <w:tcW w:w="58" w:type="pct"/>
            <w:tcBorders>
              <w:top w:val="nil"/>
              <w:left w:val="nil"/>
              <w:bottom w:val="nil"/>
              <w:right w:val="nil"/>
            </w:tcBorders>
            <w:shd w:val="clear" w:color="000000" w:fill="FFFFFF"/>
            <w:noWrap/>
            <w:vAlign w:val="center"/>
            <w:hideMark/>
          </w:tcPr>
          <w:p w14:paraId="41F3B69D" w14:textId="77777777" w:rsidR="004D0B46" w:rsidRPr="00EC4BA6" w:rsidRDefault="004D0B46" w:rsidP="004D0B46">
            <w:pPr>
              <w:spacing w:before="0" w:after="0" w:line="240" w:lineRule="auto"/>
              <w:jc w:val="right"/>
              <w:rPr>
                <w:rFonts w:ascii="Arial" w:hAnsi="Arial" w:cs="Arial"/>
                <w:i/>
                <w:sz w:val="16"/>
                <w:szCs w:val="16"/>
              </w:rPr>
            </w:pPr>
            <w:r w:rsidRPr="00EC4BA6">
              <w:rPr>
                <w:rFonts w:ascii="Arial" w:hAnsi="Arial" w:cs="Arial"/>
                <w:i/>
                <w:sz w:val="16"/>
                <w:szCs w:val="16"/>
              </w:rPr>
              <w:t> </w:t>
            </w:r>
          </w:p>
        </w:tc>
        <w:tc>
          <w:tcPr>
            <w:tcW w:w="739" w:type="pct"/>
            <w:tcBorders>
              <w:top w:val="nil"/>
              <w:left w:val="nil"/>
              <w:bottom w:val="nil"/>
              <w:right w:val="nil"/>
            </w:tcBorders>
            <w:shd w:val="clear" w:color="000000" w:fill="FFFFFF"/>
            <w:noWrap/>
            <w:vAlign w:val="center"/>
            <w:hideMark/>
          </w:tcPr>
          <w:p w14:paraId="3DB17416" w14:textId="2386292F" w:rsidR="004D0B46" w:rsidRPr="00EC4BA6" w:rsidRDefault="001A3DD6" w:rsidP="004D0B46">
            <w:pPr>
              <w:spacing w:before="0" w:after="0" w:line="240" w:lineRule="auto"/>
              <w:jc w:val="right"/>
              <w:rPr>
                <w:rFonts w:ascii="Arial" w:hAnsi="Arial" w:cs="Arial"/>
                <w:i/>
                <w:sz w:val="16"/>
                <w:szCs w:val="16"/>
              </w:rPr>
            </w:pPr>
            <w:r>
              <w:rPr>
                <w:rFonts w:ascii="Arial" w:hAnsi="Arial" w:cs="Arial"/>
                <w:i/>
                <w:sz w:val="16"/>
                <w:szCs w:val="16"/>
              </w:rPr>
              <w:noBreakHyphen/>
            </w:r>
            <w:r w:rsidR="004D0B46" w:rsidRPr="00EC4BA6">
              <w:rPr>
                <w:rFonts w:ascii="Arial" w:hAnsi="Arial" w:cs="Arial"/>
                <w:i/>
                <w:sz w:val="16"/>
                <w:szCs w:val="16"/>
              </w:rPr>
              <w:t>120</w:t>
            </w:r>
          </w:p>
        </w:tc>
        <w:tc>
          <w:tcPr>
            <w:tcW w:w="739" w:type="pct"/>
            <w:tcBorders>
              <w:top w:val="nil"/>
              <w:left w:val="nil"/>
              <w:bottom w:val="nil"/>
              <w:right w:val="nil"/>
            </w:tcBorders>
            <w:shd w:val="clear" w:color="000000" w:fill="FFFFFF"/>
            <w:noWrap/>
            <w:vAlign w:val="center"/>
            <w:hideMark/>
          </w:tcPr>
          <w:p w14:paraId="5BBF3BAB" w14:textId="694AD0CE" w:rsidR="004D0B46" w:rsidRPr="00EC4BA6" w:rsidRDefault="001A3DD6" w:rsidP="004D0B46">
            <w:pPr>
              <w:spacing w:before="0" w:after="0" w:line="240" w:lineRule="auto"/>
              <w:jc w:val="right"/>
              <w:rPr>
                <w:rFonts w:ascii="Arial" w:hAnsi="Arial" w:cs="Arial"/>
                <w:i/>
                <w:sz w:val="16"/>
                <w:szCs w:val="16"/>
              </w:rPr>
            </w:pPr>
            <w:r>
              <w:rPr>
                <w:rFonts w:ascii="Arial" w:hAnsi="Arial" w:cs="Arial"/>
                <w:i/>
                <w:sz w:val="16"/>
                <w:szCs w:val="16"/>
              </w:rPr>
              <w:noBreakHyphen/>
            </w:r>
            <w:r w:rsidR="004D0B46" w:rsidRPr="00EC4BA6">
              <w:rPr>
                <w:rFonts w:ascii="Arial" w:hAnsi="Arial" w:cs="Arial"/>
                <w:i/>
                <w:sz w:val="16"/>
                <w:szCs w:val="16"/>
              </w:rPr>
              <w:t>0.4</w:t>
            </w:r>
          </w:p>
        </w:tc>
      </w:tr>
      <w:tr w:rsidR="00837F3F" w:rsidRPr="00EC4BA6" w14:paraId="0B086B2B" w14:textId="77777777" w:rsidTr="00837F3F">
        <w:trPr>
          <w:trHeight w:hRule="exact" w:val="225"/>
        </w:trPr>
        <w:tc>
          <w:tcPr>
            <w:tcW w:w="2011" w:type="pct"/>
            <w:tcBorders>
              <w:top w:val="nil"/>
              <w:left w:val="nil"/>
              <w:bottom w:val="nil"/>
              <w:right w:val="nil"/>
            </w:tcBorders>
            <w:shd w:val="clear" w:color="000000" w:fill="FFFFFF"/>
            <w:noWrap/>
            <w:vAlign w:val="center"/>
            <w:hideMark/>
          </w:tcPr>
          <w:p w14:paraId="6D7698C6" w14:textId="77777777" w:rsidR="004D0B46" w:rsidRPr="00EC4BA6" w:rsidRDefault="004D0B46" w:rsidP="00837F3F">
            <w:pPr>
              <w:spacing w:before="0" w:after="0" w:line="240" w:lineRule="auto"/>
              <w:ind w:left="170"/>
              <w:rPr>
                <w:rFonts w:ascii="Arial" w:hAnsi="Arial" w:cs="Arial"/>
                <w:i/>
                <w:sz w:val="16"/>
                <w:szCs w:val="16"/>
              </w:rPr>
            </w:pPr>
            <w:r w:rsidRPr="00EC4BA6">
              <w:rPr>
                <w:rFonts w:ascii="Arial" w:hAnsi="Arial" w:cs="Arial"/>
                <w:i/>
                <w:sz w:val="16"/>
                <w:szCs w:val="16"/>
              </w:rPr>
              <w:t>Total customs duty</w:t>
            </w:r>
          </w:p>
        </w:tc>
        <w:tc>
          <w:tcPr>
            <w:tcW w:w="726" w:type="pct"/>
            <w:tcBorders>
              <w:top w:val="nil"/>
              <w:left w:val="nil"/>
              <w:bottom w:val="nil"/>
              <w:right w:val="nil"/>
            </w:tcBorders>
            <w:shd w:val="clear" w:color="000000" w:fill="FFFFFF"/>
            <w:noWrap/>
            <w:vAlign w:val="center"/>
            <w:hideMark/>
          </w:tcPr>
          <w:p w14:paraId="79CFDE6F" w14:textId="77777777" w:rsidR="004D0B46" w:rsidRPr="00EC4BA6" w:rsidRDefault="004D0B46" w:rsidP="004D0B46">
            <w:pPr>
              <w:spacing w:before="0" w:after="0" w:line="240" w:lineRule="auto"/>
              <w:jc w:val="right"/>
              <w:rPr>
                <w:rFonts w:ascii="Arial" w:hAnsi="Arial" w:cs="Arial"/>
                <w:i/>
                <w:sz w:val="16"/>
                <w:szCs w:val="16"/>
              </w:rPr>
            </w:pPr>
            <w:r w:rsidRPr="00EC4BA6">
              <w:rPr>
                <w:rFonts w:ascii="Arial" w:hAnsi="Arial" w:cs="Arial"/>
                <w:i/>
                <w:sz w:val="16"/>
                <w:szCs w:val="16"/>
              </w:rPr>
              <w:t>12,960</w:t>
            </w:r>
          </w:p>
        </w:tc>
        <w:tc>
          <w:tcPr>
            <w:tcW w:w="726" w:type="pct"/>
            <w:tcBorders>
              <w:top w:val="nil"/>
              <w:left w:val="nil"/>
              <w:bottom w:val="nil"/>
              <w:right w:val="nil"/>
            </w:tcBorders>
            <w:shd w:val="clear" w:color="000000" w:fill="E6F2FF"/>
            <w:noWrap/>
            <w:vAlign w:val="center"/>
            <w:hideMark/>
          </w:tcPr>
          <w:p w14:paraId="369547EE" w14:textId="77777777" w:rsidR="004D0B46" w:rsidRPr="00EC4BA6" w:rsidRDefault="004D0B46" w:rsidP="004D0B46">
            <w:pPr>
              <w:spacing w:before="0" w:after="0" w:line="240" w:lineRule="auto"/>
              <w:jc w:val="right"/>
              <w:rPr>
                <w:rFonts w:ascii="Arial" w:hAnsi="Arial" w:cs="Arial"/>
                <w:i/>
                <w:sz w:val="16"/>
                <w:szCs w:val="16"/>
              </w:rPr>
            </w:pPr>
            <w:r w:rsidRPr="00EC4BA6">
              <w:rPr>
                <w:rFonts w:ascii="Arial" w:hAnsi="Arial" w:cs="Arial"/>
                <w:i/>
                <w:sz w:val="16"/>
                <w:szCs w:val="16"/>
              </w:rPr>
              <w:t>11,350</w:t>
            </w:r>
          </w:p>
        </w:tc>
        <w:tc>
          <w:tcPr>
            <w:tcW w:w="58" w:type="pct"/>
            <w:tcBorders>
              <w:top w:val="nil"/>
              <w:left w:val="nil"/>
              <w:bottom w:val="nil"/>
              <w:right w:val="nil"/>
            </w:tcBorders>
            <w:shd w:val="clear" w:color="000000" w:fill="FFFFFF"/>
            <w:noWrap/>
            <w:vAlign w:val="center"/>
            <w:hideMark/>
          </w:tcPr>
          <w:p w14:paraId="17F535D4" w14:textId="77777777" w:rsidR="004D0B46" w:rsidRPr="00EC4BA6" w:rsidRDefault="004D0B46" w:rsidP="004D0B46">
            <w:pPr>
              <w:spacing w:before="0" w:after="0" w:line="240" w:lineRule="auto"/>
              <w:jc w:val="right"/>
              <w:rPr>
                <w:rFonts w:ascii="Arial" w:hAnsi="Arial" w:cs="Arial"/>
                <w:i/>
                <w:sz w:val="16"/>
                <w:szCs w:val="16"/>
              </w:rPr>
            </w:pPr>
            <w:r w:rsidRPr="00EC4BA6">
              <w:rPr>
                <w:rFonts w:ascii="Arial" w:hAnsi="Arial" w:cs="Arial"/>
                <w:i/>
                <w:sz w:val="16"/>
                <w:szCs w:val="16"/>
              </w:rPr>
              <w:t> </w:t>
            </w:r>
          </w:p>
        </w:tc>
        <w:tc>
          <w:tcPr>
            <w:tcW w:w="739" w:type="pct"/>
            <w:tcBorders>
              <w:top w:val="nil"/>
              <w:left w:val="nil"/>
              <w:bottom w:val="nil"/>
              <w:right w:val="nil"/>
            </w:tcBorders>
            <w:shd w:val="clear" w:color="000000" w:fill="FFFFFF"/>
            <w:noWrap/>
            <w:vAlign w:val="center"/>
            <w:hideMark/>
          </w:tcPr>
          <w:p w14:paraId="351EBA9E" w14:textId="0F805CB2" w:rsidR="004D0B46" w:rsidRPr="00EC4BA6" w:rsidRDefault="001A3DD6" w:rsidP="004D0B46">
            <w:pPr>
              <w:spacing w:before="0" w:after="0" w:line="240" w:lineRule="auto"/>
              <w:jc w:val="right"/>
              <w:rPr>
                <w:rFonts w:ascii="Arial" w:hAnsi="Arial" w:cs="Arial"/>
                <w:i/>
                <w:sz w:val="16"/>
                <w:szCs w:val="16"/>
              </w:rPr>
            </w:pPr>
            <w:r>
              <w:rPr>
                <w:rFonts w:ascii="Arial" w:hAnsi="Arial" w:cs="Arial"/>
                <w:i/>
                <w:sz w:val="16"/>
                <w:szCs w:val="16"/>
              </w:rPr>
              <w:noBreakHyphen/>
            </w:r>
            <w:r w:rsidR="004D0B46" w:rsidRPr="00EC4BA6">
              <w:rPr>
                <w:rFonts w:ascii="Arial" w:hAnsi="Arial" w:cs="Arial"/>
                <w:i/>
                <w:sz w:val="16"/>
                <w:szCs w:val="16"/>
              </w:rPr>
              <w:t>1,610</w:t>
            </w:r>
          </w:p>
        </w:tc>
        <w:tc>
          <w:tcPr>
            <w:tcW w:w="739" w:type="pct"/>
            <w:tcBorders>
              <w:top w:val="nil"/>
              <w:left w:val="nil"/>
              <w:bottom w:val="nil"/>
              <w:right w:val="nil"/>
            </w:tcBorders>
            <w:shd w:val="clear" w:color="000000" w:fill="FFFFFF"/>
            <w:noWrap/>
            <w:vAlign w:val="center"/>
            <w:hideMark/>
          </w:tcPr>
          <w:p w14:paraId="76EA0681" w14:textId="63575E21" w:rsidR="004D0B46" w:rsidRPr="00EC4BA6" w:rsidRDefault="001A3DD6" w:rsidP="004D0B46">
            <w:pPr>
              <w:spacing w:before="0" w:after="0" w:line="240" w:lineRule="auto"/>
              <w:jc w:val="right"/>
              <w:rPr>
                <w:rFonts w:ascii="Arial" w:hAnsi="Arial" w:cs="Arial"/>
                <w:i/>
                <w:sz w:val="16"/>
                <w:szCs w:val="16"/>
              </w:rPr>
            </w:pPr>
            <w:r>
              <w:rPr>
                <w:rFonts w:ascii="Arial" w:hAnsi="Arial" w:cs="Arial"/>
                <w:i/>
                <w:sz w:val="16"/>
                <w:szCs w:val="16"/>
              </w:rPr>
              <w:noBreakHyphen/>
            </w:r>
            <w:r w:rsidR="004D0B46" w:rsidRPr="00EC4BA6">
              <w:rPr>
                <w:rFonts w:ascii="Arial" w:hAnsi="Arial" w:cs="Arial"/>
                <w:i/>
                <w:sz w:val="16"/>
                <w:szCs w:val="16"/>
              </w:rPr>
              <w:t>12.4</w:t>
            </w:r>
          </w:p>
        </w:tc>
      </w:tr>
      <w:tr w:rsidR="00837F3F" w:rsidRPr="00EC4BA6" w14:paraId="1E590289" w14:textId="77777777" w:rsidTr="00837F3F">
        <w:trPr>
          <w:trHeight w:hRule="exact" w:val="225"/>
        </w:trPr>
        <w:tc>
          <w:tcPr>
            <w:tcW w:w="2011" w:type="pct"/>
            <w:tcBorders>
              <w:top w:val="nil"/>
              <w:left w:val="nil"/>
              <w:bottom w:val="single" w:sz="4" w:space="0" w:color="293F5B"/>
              <w:right w:val="nil"/>
            </w:tcBorders>
            <w:shd w:val="clear" w:color="000000" w:fill="FFFFFF"/>
            <w:noWrap/>
            <w:vAlign w:val="center"/>
            <w:hideMark/>
          </w:tcPr>
          <w:p w14:paraId="5D03FE1A" w14:textId="77777777" w:rsidR="004D0B46" w:rsidRPr="00EC4BA6" w:rsidRDefault="004D0B46" w:rsidP="00837F3F">
            <w:pPr>
              <w:spacing w:before="0" w:after="0" w:line="240" w:lineRule="auto"/>
              <w:ind w:left="170"/>
              <w:rPr>
                <w:rFonts w:ascii="Arial" w:hAnsi="Arial" w:cs="Arial"/>
                <w:i/>
                <w:sz w:val="16"/>
                <w:szCs w:val="16"/>
              </w:rPr>
            </w:pPr>
            <w:r w:rsidRPr="00EC4BA6">
              <w:rPr>
                <w:rFonts w:ascii="Arial" w:hAnsi="Arial" w:cs="Arial"/>
                <w:i/>
                <w:sz w:val="16"/>
                <w:szCs w:val="16"/>
              </w:rPr>
              <w:t>Capital gains tax(b)</w:t>
            </w:r>
          </w:p>
        </w:tc>
        <w:tc>
          <w:tcPr>
            <w:tcW w:w="726" w:type="pct"/>
            <w:tcBorders>
              <w:top w:val="nil"/>
              <w:left w:val="nil"/>
              <w:bottom w:val="single" w:sz="4" w:space="0" w:color="293F5B"/>
              <w:right w:val="nil"/>
            </w:tcBorders>
            <w:shd w:val="clear" w:color="000000" w:fill="FFFFFF"/>
            <w:noWrap/>
            <w:vAlign w:val="center"/>
            <w:hideMark/>
          </w:tcPr>
          <w:p w14:paraId="7D380F19" w14:textId="77777777" w:rsidR="004D0B46" w:rsidRPr="00EC4BA6" w:rsidRDefault="004D0B46" w:rsidP="004D0B46">
            <w:pPr>
              <w:spacing w:before="0" w:after="0" w:line="240" w:lineRule="auto"/>
              <w:jc w:val="right"/>
              <w:rPr>
                <w:rFonts w:ascii="Arial" w:hAnsi="Arial" w:cs="Arial"/>
                <w:i/>
                <w:sz w:val="16"/>
                <w:szCs w:val="16"/>
              </w:rPr>
            </w:pPr>
            <w:r w:rsidRPr="00EC4BA6">
              <w:rPr>
                <w:rFonts w:ascii="Arial" w:hAnsi="Arial" w:cs="Arial"/>
                <w:i/>
                <w:sz w:val="16"/>
                <w:szCs w:val="16"/>
              </w:rPr>
              <w:t>26,100</w:t>
            </w:r>
          </w:p>
        </w:tc>
        <w:tc>
          <w:tcPr>
            <w:tcW w:w="726" w:type="pct"/>
            <w:tcBorders>
              <w:top w:val="nil"/>
              <w:left w:val="nil"/>
              <w:bottom w:val="single" w:sz="4" w:space="0" w:color="293F5B"/>
              <w:right w:val="nil"/>
            </w:tcBorders>
            <w:shd w:val="clear" w:color="000000" w:fill="E6F2FF"/>
            <w:noWrap/>
            <w:vAlign w:val="center"/>
            <w:hideMark/>
          </w:tcPr>
          <w:p w14:paraId="6AA8223F" w14:textId="77777777" w:rsidR="004D0B46" w:rsidRPr="00EC4BA6" w:rsidRDefault="004D0B46" w:rsidP="004D0B46">
            <w:pPr>
              <w:spacing w:before="0" w:after="0" w:line="240" w:lineRule="auto"/>
              <w:jc w:val="right"/>
              <w:rPr>
                <w:rFonts w:ascii="Arial" w:hAnsi="Arial" w:cs="Arial"/>
                <w:i/>
                <w:sz w:val="16"/>
                <w:szCs w:val="16"/>
              </w:rPr>
            </w:pPr>
            <w:r w:rsidRPr="00EC4BA6">
              <w:rPr>
                <w:rFonts w:ascii="Arial" w:hAnsi="Arial" w:cs="Arial"/>
                <w:i/>
                <w:sz w:val="16"/>
                <w:szCs w:val="16"/>
              </w:rPr>
              <w:t>27,600</w:t>
            </w:r>
          </w:p>
        </w:tc>
        <w:tc>
          <w:tcPr>
            <w:tcW w:w="58" w:type="pct"/>
            <w:tcBorders>
              <w:top w:val="nil"/>
              <w:left w:val="nil"/>
              <w:bottom w:val="single" w:sz="4" w:space="0" w:color="293F5B"/>
              <w:right w:val="nil"/>
            </w:tcBorders>
            <w:shd w:val="clear" w:color="000000" w:fill="FFFFFF"/>
            <w:noWrap/>
            <w:vAlign w:val="center"/>
            <w:hideMark/>
          </w:tcPr>
          <w:p w14:paraId="4F36C7F1" w14:textId="77777777" w:rsidR="004D0B46" w:rsidRPr="00EC4BA6" w:rsidRDefault="004D0B46" w:rsidP="004D0B46">
            <w:pPr>
              <w:spacing w:before="0" w:after="0" w:line="240" w:lineRule="auto"/>
              <w:jc w:val="right"/>
              <w:rPr>
                <w:rFonts w:ascii="Arial" w:hAnsi="Arial" w:cs="Arial"/>
                <w:i/>
                <w:sz w:val="16"/>
                <w:szCs w:val="16"/>
              </w:rPr>
            </w:pPr>
            <w:r w:rsidRPr="00EC4BA6">
              <w:rPr>
                <w:rFonts w:ascii="Arial" w:hAnsi="Arial" w:cs="Arial"/>
                <w:i/>
                <w:sz w:val="16"/>
                <w:szCs w:val="16"/>
              </w:rPr>
              <w:t> </w:t>
            </w:r>
          </w:p>
        </w:tc>
        <w:tc>
          <w:tcPr>
            <w:tcW w:w="739" w:type="pct"/>
            <w:tcBorders>
              <w:top w:val="nil"/>
              <w:left w:val="nil"/>
              <w:bottom w:val="single" w:sz="4" w:space="0" w:color="293F5B"/>
              <w:right w:val="nil"/>
            </w:tcBorders>
            <w:shd w:val="clear" w:color="000000" w:fill="FFFFFF"/>
            <w:noWrap/>
            <w:vAlign w:val="center"/>
            <w:hideMark/>
          </w:tcPr>
          <w:p w14:paraId="03A14877" w14:textId="77777777" w:rsidR="004D0B46" w:rsidRPr="00EC4BA6" w:rsidRDefault="004D0B46" w:rsidP="004D0B46">
            <w:pPr>
              <w:spacing w:before="0" w:after="0" w:line="240" w:lineRule="auto"/>
              <w:jc w:val="right"/>
              <w:rPr>
                <w:rFonts w:ascii="Arial" w:hAnsi="Arial" w:cs="Arial"/>
                <w:i/>
                <w:sz w:val="16"/>
                <w:szCs w:val="16"/>
              </w:rPr>
            </w:pPr>
            <w:r w:rsidRPr="00EC4BA6">
              <w:rPr>
                <w:rFonts w:ascii="Arial" w:hAnsi="Arial" w:cs="Arial"/>
                <w:i/>
                <w:sz w:val="16"/>
                <w:szCs w:val="16"/>
              </w:rPr>
              <w:t>1,500</w:t>
            </w:r>
          </w:p>
        </w:tc>
        <w:tc>
          <w:tcPr>
            <w:tcW w:w="739" w:type="pct"/>
            <w:tcBorders>
              <w:top w:val="nil"/>
              <w:left w:val="nil"/>
              <w:bottom w:val="single" w:sz="4" w:space="0" w:color="293F5B"/>
              <w:right w:val="nil"/>
            </w:tcBorders>
            <w:shd w:val="clear" w:color="000000" w:fill="FFFFFF"/>
            <w:noWrap/>
            <w:vAlign w:val="center"/>
            <w:hideMark/>
          </w:tcPr>
          <w:p w14:paraId="5D659D86" w14:textId="77777777" w:rsidR="004D0B46" w:rsidRPr="00EC4BA6" w:rsidRDefault="004D0B46" w:rsidP="004D0B46">
            <w:pPr>
              <w:spacing w:before="0" w:after="0" w:line="240" w:lineRule="auto"/>
              <w:jc w:val="right"/>
              <w:rPr>
                <w:rFonts w:ascii="Arial" w:hAnsi="Arial" w:cs="Arial"/>
                <w:i/>
                <w:sz w:val="16"/>
                <w:szCs w:val="16"/>
              </w:rPr>
            </w:pPr>
            <w:r w:rsidRPr="00EC4BA6">
              <w:rPr>
                <w:rFonts w:ascii="Arial" w:hAnsi="Arial" w:cs="Arial"/>
                <w:i/>
                <w:sz w:val="16"/>
                <w:szCs w:val="16"/>
              </w:rPr>
              <w:t>5.7</w:t>
            </w:r>
          </w:p>
        </w:tc>
      </w:tr>
    </w:tbl>
    <w:p w14:paraId="326AEE94" w14:textId="15FB3284" w:rsidR="00DF4D4F" w:rsidRPr="00EC4BA6" w:rsidRDefault="001A3DD6" w:rsidP="00615D48">
      <w:pPr>
        <w:pStyle w:val="ChartandTableFootnoteAlpha"/>
        <w:numPr>
          <w:ilvl w:val="0"/>
          <w:numId w:val="45"/>
        </w:numPr>
        <w:rPr>
          <w:rFonts w:eastAsiaTheme="minorEastAsia"/>
          <w:color w:val="auto"/>
        </w:rPr>
      </w:pPr>
      <w:r>
        <w:rPr>
          <w:color w:val="auto"/>
        </w:rPr>
        <w:t>‘</w:t>
      </w:r>
      <w:r w:rsidR="00DF4D4F" w:rsidRPr="00EC4BA6">
        <w:rPr>
          <w:color w:val="auto"/>
        </w:rPr>
        <w:t>Other alcoholic beverages</w:t>
      </w:r>
      <w:r>
        <w:rPr>
          <w:color w:val="auto"/>
        </w:rPr>
        <w:t>’</w:t>
      </w:r>
      <w:r w:rsidR="00DF4D4F" w:rsidRPr="00EC4BA6">
        <w:rPr>
          <w:color w:val="auto"/>
        </w:rPr>
        <w:t xml:space="preserve"> are those not exceeding 10 per cent by volume of alcohol (excluding beer, brandy and wine). </w:t>
      </w:r>
    </w:p>
    <w:p w14:paraId="4B4F7A4F" w14:textId="76154C4F" w:rsidR="00DF4D4F" w:rsidRPr="00EC4BA6" w:rsidRDefault="001A3DD6" w:rsidP="00DF4D4F">
      <w:pPr>
        <w:pStyle w:val="ChartandTableFootnoteAlpha"/>
        <w:rPr>
          <w:color w:val="auto"/>
        </w:rPr>
      </w:pPr>
      <w:r>
        <w:rPr>
          <w:color w:val="auto"/>
        </w:rPr>
        <w:t>‘</w:t>
      </w:r>
      <w:r w:rsidR="00DF4D4F" w:rsidRPr="00EC4BA6">
        <w:rPr>
          <w:color w:val="auto"/>
        </w:rPr>
        <w:t>Capital gains tax</w:t>
      </w:r>
      <w:r>
        <w:rPr>
          <w:color w:val="auto"/>
        </w:rPr>
        <w:t>’</w:t>
      </w:r>
      <w:r w:rsidR="00DF4D4F" w:rsidRPr="00EC4BA6">
        <w:rPr>
          <w:color w:val="auto"/>
        </w:rPr>
        <w:t xml:space="preserve"> is part of gross other individuals, company tax and superannuation fund taxes.</w:t>
      </w:r>
    </w:p>
    <w:p w14:paraId="4313FAAC" w14:textId="77777777" w:rsidR="00DF4D4F" w:rsidRPr="00EC4BA6" w:rsidRDefault="00DF4D4F" w:rsidP="00615D48">
      <w:pPr>
        <w:pStyle w:val="TableLine"/>
      </w:pPr>
    </w:p>
    <w:p w14:paraId="70846762" w14:textId="7EBACDEC" w:rsidR="00DF4D4F" w:rsidRPr="00EC4BA6" w:rsidRDefault="00DF4D4F" w:rsidP="00DF4D4F">
      <w:pPr>
        <w:pStyle w:val="Heading1"/>
      </w:pPr>
      <w:bookmarkStart w:id="55" w:name="_Toc193528308"/>
      <w:r w:rsidRPr="00EC4BA6">
        <w:lastRenderedPageBreak/>
        <w:t>Appendix A: Tax Expenditures</w:t>
      </w:r>
      <w:bookmarkEnd w:id="55"/>
    </w:p>
    <w:p w14:paraId="227EFEB5" w14:textId="77777777" w:rsidR="00DF4D4F" w:rsidRPr="00EC4BA6" w:rsidRDefault="00DF4D4F" w:rsidP="00DF4D4F">
      <w:r w:rsidRPr="00EC4BA6">
        <w:t xml:space="preserve">This appendix contains an overview of Australian Government tax expenditures. Section 12 of the </w:t>
      </w:r>
      <w:r w:rsidRPr="00EC4BA6">
        <w:rPr>
          <w:rStyle w:val="Emphasis"/>
        </w:rPr>
        <w:t>Charter of Budget Honesty Act 1998</w:t>
      </w:r>
      <w:r w:rsidRPr="00EC4BA6">
        <w:t xml:space="preserve"> requires the publication of an overview of estimated tax expenditures. </w:t>
      </w:r>
    </w:p>
    <w:p w14:paraId="7CFE3300" w14:textId="1D7ABC0B" w:rsidR="00DF4D4F" w:rsidRPr="00EC4BA6" w:rsidRDefault="00DF4D4F" w:rsidP="00DF4D4F">
      <w:r w:rsidRPr="00EC4BA6">
        <w:t>The Government published the 202</w:t>
      </w:r>
      <w:r w:rsidR="00B918D1" w:rsidRPr="00EC4BA6">
        <w:t>4</w:t>
      </w:r>
      <w:r w:rsidRPr="00EC4BA6">
        <w:t>–2</w:t>
      </w:r>
      <w:r w:rsidR="00B918D1" w:rsidRPr="00EC4BA6">
        <w:t>5</w:t>
      </w:r>
      <w:r w:rsidRPr="00EC4BA6">
        <w:t xml:space="preserve"> Tax Expenditures and Insights Statement (TEIS) on </w:t>
      </w:r>
      <w:r w:rsidR="00122048" w:rsidRPr="00EC4BA6">
        <w:t>17</w:t>
      </w:r>
      <w:r w:rsidRPr="00EC4BA6">
        <w:t> </w:t>
      </w:r>
      <w:r w:rsidR="00122048" w:rsidRPr="00EC4BA6">
        <w:t>December</w:t>
      </w:r>
      <w:r w:rsidRPr="00EC4BA6">
        <w:t xml:space="preserve"> 2024. The TEIS provides an estimate of the revenue forgone from tax expenditures, along with distributional analysis on large tax expenditures and commonly utilised features of the tax system. </w:t>
      </w:r>
    </w:p>
    <w:p w14:paraId="3EF7919E" w14:textId="77777777" w:rsidR="00DF4D4F" w:rsidRPr="00EC4BA6" w:rsidRDefault="00DF4D4F" w:rsidP="00DF4D4F">
      <w:r w:rsidRPr="00EC4BA6">
        <w:t>Tax benchmarks represent a standard tax treatment that applies to similar taxpayers or types of activities. Policy approaches can apply a tax treatment different from a standard approach, which can give rise to positive or negative tax expenditures. The choice of benchmark unavoidably involves some judgment.</w:t>
      </w:r>
    </w:p>
    <w:p w14:paraId="3A9A35BD" w14:textId="58C8457C" w:rsidR="00DF4D4F" w:rsidRPr="00EC4BA6" w:rsidRDefault="00DF4D4F" w:rsidP="00DF4D4F">
      <w:r w:rsidRPr="00EC4BA6">
        <w:t xml:space="preserve">Consistent with most OECD countries, estimates of tax expenditures reflect the extent to which they are used, </w:t>
      </w:r>
      <w:proofErr w:type="gramStart"/>
      <w:r w:rsidRPr="00EC4BA6">
        <w:t>similar to</w:t>
      </w:r>
      <w:proofErr w:type="gramEnd"/>
      <w:r w:rsidRPr="00EC4BA6">
        <w:t xml:space="preserve"> Budget estimates of outlays on demand</w:t>
      </w:r>
      <w:r w:rsidR="001A3DD6">
        <w:noBreakHyphen/>
      </w:r>
      <w:r w:rsidRPr="00EC4BA6">
        <w:t xml:space="preserve">driven expenditure programs. This is known as the </w:t>
      </w:r>
      <w:r w:rsidR="001A3DD6">
        <w:t>‘</w:t>
      </w:r>
      <w:r w:rsidRPr="00EC4BA6">
        <w:t>revenue forgone</w:t>
      </w:r>
      <w:r w:rsidR="001A3DD6">
        <w:t>’</w:t>
      </w:r>
      <w:r w:rsidRPr="00EC4BA6">
        <w:t xml:space="preserve"> approach which, in practice, involves estimating the difference in revenue between the actual and benchmark tax treatments but, importantly, assuming taxpayer behaviour is the same in each circumstance. Revenue forgone estimates therefore do not indicate the revenue gain to the Budget if a specific tax expenditure was abolished through policy change, as there may be significant changes in taxpayer behaviour.</w:t>
      </w:r>
    </w:p>
    <w:p w14:paraId="490C573F" w14:textId="77777777" w:rsidR="00DF4D4F" w:rsidRPr="00EC4BA6" w:rsidRDefault="00DF4D4F" w:rsidP="00DF4D4F">
      <w:r w:rsidRPr="00EC4BA6">
        <w:t>Care needs to be taken when comparing tax expenditures with direct expenditures as they may measure different things. In addition, estimates from different editions of previously released Statements are generally not directly comparable, because of changes or modifications to—for example—benchmarks, individual tax expenditures, data used or modelling methodology.</w:t>
      </w:r>
    </w:p>
    <w:p w14:paraId="797BDF94" w14:textId="38AEB2A5" w:rsidR="00DF4D4F" w:rsidRPr="00EC4BA6" w:rsidRDefault="00DF4D4F" w:rsidP="00DF4D4F">
      <w:r w:rsidRPr="00EC4BA6">
        <w:t>Table A</w:t>
      </w:r>
      <w:r w:rsidR="002F5775" w:rsidRPr="00EC4BA6">
        <w:t>.4</w:t>
      </w:r>
      <w:r w:rsidRPr="00EC4BA6">
        <w:t>.1 lists the largest measured tax expenditures for 202</w:t>
      </w:r>
      <w:r w:rsidR="00122048" w:rsidRPr="00EC4BA6">
        <w:t>4</w:t>
      </w:r>
      <w:r w:rsidRPr="00EC4BA6">
        <w:t>–2</w:t>
      </w:r>
      <w:r w:rsidR="00122048" w:rsidRPr="00EC4BA6">
        <w:t>5</w:t>
      </w:r>
      <w:r w:rsidRPr="00EC4BA6">
        <w:t xml:space="preserve"> and several personal deduction categories. It is derived from the 202</w:t>
      </w:r>
      <w:r w:rsidR="00122048" w:rsidRPr="00EC4BA6">
        <w:t>4</w:t>
      </w:r>
      <w:r w:rsidRPr="00EC4BA6">
        <w:t>–2</w:t>
      </w:r>
      <w:r w:rsidR="00122048" w:rsidRPr="00EC4BA6">
        <w:t>5</w:t>
      </w:r>
      <w:r w:rsidRPr="00EC4BA6">
        <w:t xml:space="preserve"> TEIS and is based on economic parameters as at the publication of MYEFO. It does not include the impact of policy decisions, or changes in the economic outlook since then on tax expenditures. The TEIS is not a statement of policy intent. </w:t>
      </w:r>
    </w:p>
    <w:p w14:paraId="65EE52E0" w14:textId="0853B84D" w:rsidR="00DF4D4F" w:rsidRPr="00EC4BA6" w:rsidRDefault="00DF4D4F" w:rsidP="005D1497">
      <w:r w:rsidRPr="00EC4BA6">
        <w:t>The 202</w:t>
      </w:r>
      <w:r w:rsidR="009A1B18" w:rsidRPr="00EC4BA6">
        <w:t>4</w:t>
      </w:r>
      <w:r w:rsidRPr="00EC4BA6">
        <w:t>–2</w:t>
      </w:r>
      <w:r w:rsidR="009A1B18" w:rsidRPr="00EC4BA6">
        <w:t>5</w:t>
      </w:r>
      <w:r w:rsidRPr="00EC4BA6">
        <w:t> TEIS also contains distributional analysis on some features of the tax system, including deductions for individuals. The items in the deductions category are not tax expenditures so they do not result in forgone revenue against the benchmark. However, the difference between tax paid with the deduction and tax that would have been paid if the deduction was not claimed has been included in Table A.</w:t>
      </w:r>
      <w:r w:rsidR="00B3237D" w:rsidRPr="00EC4BA6">
        <w:t>4.</w:t>
      </w:r>
      <w:r w:rsidRPr="00EC4BA6">
        <w:t xml:space="preserve">1 for comparison purposes. </w:t>
      </w:r>
      <w:r w:rsidRPr="00EC4BA6">
        <w:br w:type="page"/>
      </w:r>
    </w:p>
    <w:p w14:paraId="5643543C" w14:textId="6324CDE2" w:rsidR="004E67E3" w:rsidRPr="00EC4BA6" w:rsidRDefault="00DF4D4F" w:rsidP="004E67E3">
      <w:pPr>
        <w:pStyle w:val="TableHeadingcontinued"/>
        <w:rPr>
          <w:rFonts w:asciiTheme="minorHAnsi" w:eastAsiaTheme="minorHAnsi" w:hAnsiTheme="minorHAnsi" w:cstheme="minorBidi"/>
          <w:sz w:val="22"/>
          <w:szCs w:val="22"/>
          <w:lang w:eastAsia="en-US"/>
        </w:rPr>
      </w:pPr>
      <w:r w:rsidRPr="00EC4BA6">
        <w:lastRenderedPageBreak/>
        <w:t>Table A</w:t>
      </w:r>
      <w:r w:rsidR="004E5B50" w:rsidRPr="00EC4BA6">
        <w:t>.4</w:t>
      </w:r>
      <w:r w:rsidRPr="00EC4BA6">
        <w:t xml:space="preserve">.1: Estimates of </w:t>
      </w:r>
      <w:proofErr w:type="gramStart"/>
      <w:r w:rsidRPr="00EC4BA6">
        <w:t>large measured</w:t>
      </w:r>
      <w:proofErr w:type="gramEnd"/>
      <w:r w:rsidRPr="00EC4BA6">
        <w:t xml:space="preserve"> tax expenditures and deductions</w:t>
      </w:r>
    </w:p>
    <w:tbl>
      <w:tblPr>
        <w:tblW w:w="5000" w:type="pct"/>
        <w:tblCellMar>
          <w:left w:w="0" w:type="dxa"/>
          <w:right w:w="28" w:type="dxa"/>
        </w:tblCellMar>
        <w:tblLook w:val="04A0" w:firstRow="1" w:lastRow="0" w:firstColumn="1" w:lastColumn="0" w:noHBand="0" w:noVBand="1"/>
      </w:tblPr>
      <w:tblGrid>
        <w:gridCol w:w="792"/>
        <w:gridCol w:w="557"/>
        <w:gridCol w:w="3709"/>
        <w:gridCol w:w="831"/>
        <w:gridCol w:w="930"/>
        <w:gridCol w:w="891"/>
      </w:tblGrid>
      <w:tr w:rsidR="004E67E3" w:rsidRPr="00EC4BA6" w14:paraId="36C391D1" w14:textId="77777777" w:rsidTr="004E67E3">
        <w:trPr>
          <w:divId w:val="92285206"/>
          <w:trHeight w:hRule="exact" w:val="1140"/>
        </w:trPr>
        <w:tc>
          <w:tcPr>
            <w:tcW w:w="514" w:type="pct"/>
            <w:tcBorders>
              <w:top w:val="single" w:sz="8" w:space="0" w:color="auto"/>
              <w:left w:val="nil"/>
              <w:bottom w:val="nil"/>
              <w:right w:val="nil"/>
            </w:tcBorders>
            <w:shd w:val="clear" w:color="auto" w:fill="auto"/>
            <w:vAlign w:val="center"/>
            <w:hideMark/>
          </w:tcPr>
          <w:p w14:paraId="4B3B5888" w14:textId="4D3DC88B" w:rsidR="004E67E3" w:rsidRPr="00EC4BA6" w:rsidRDefault="004E67E3" w:rsidP="004E67E3">
            <w:pPr>
              <w:spacing w:before="0" w:after="0" w:line="240" w:lineRule="auto"/>
              <w:rPr>
                <w:rFonts w:ascii="Arial" w:hAnsi="Arial" w:cs="Arial"/>
                <w:b/>
                <w:bCs/>
                <w:sz w:val="16"/>
                <w:szCs w:val="16"/>
              </w:rPr>
            </w:pPr>
            <w:r w:rsidRPr="00EC4BA6">
              <w:rPr>
                <w:rFonts w:ascii="Arial" w:hAnsi="Arial" w:cs="Arial"/>
                <w:b/>
                <w:bCs/>
                <w:sz w:val="16"/>
                <w:szCs w:val="16"/>
              </w:rPr>
              <w:t>Tax type</w:t>
            </w:r>
            <w:r w:rsidRPr="00EC4BA6">
              <w:rPr>
                <w:rFonts w:ascii="Arial" w:hAnsi="Arial" w:cs="Arial"/>
                <w:b/>
                <w:bCs/>
                <w:sz w:val="16"/>
                <w:szCs w:val="16"/>
              </w:rPr>
              <w:br/>
              <w:t>affected</w:t>
            </w:r>
          </w:p>
        </w:tc>
        <w:tc>
          <w:tcPr>
            <w:tcW w:w="361" w:type="pct"/>
            <w:tcBorders>
              <w:top w:val="single" w:sz="8" w:space="0" w:color="auto"/>
              <w:left w:val="nil"/>
              <w:bottom w:val="nil"/>
              <w:right w:val="nil"/>
            </w:tcBorders>
            <w:shd w:val="clear" w:color="auto" w:fill="auto"/>
            <w:vAlign w:val="center"/>
            <w:hideMark/>
          </w:tcPr>
          <w:p w14:paraId="3EC045E7" w14:textId="77777777" w:rsidR="004E67E3" w:rsidRPr="00EC4BA6" w:rsidRDefault="004E67E3" w:rsidP="004E67E3">
            <w:pPr>
              <w:spacing w:before="0" w:after="0" w:line="240" w:lineRule="auto"/>
              <w:rPr>
                <w:rFonts w:ascii="Arial" w:hAnsi="Arial" w:cs="Arial"/>
                <w:b/>
                <w:bCs/>
                <w:sz w:val="16"/>
                <w:szCs w:val="16"/>
              </w:rPr>
            </w:pPr>
            <w:r w:rsidRPr="00EC4BA6">
              <w:rPr>
                <w:rFonts w:ascii="Arial" w:hAnsi="Arial" w:cs="Arial"/>
                <w:b/>
                <w:bCs/>
                <w:sz w:val="16"/>
                <w:szCs w:val="16"/>
              </w:rPr>
              <w:t>Code</w:t>
            </w:r>
          </w:p>
        </w:tc>
        <w:tc>
          <w:tcPr>
            <w:tcW w:w="2405" w:type="pct"/>
            <w:tcBorders>
              <w:top w:val="single" w:sz="8" w:space="0" w:color="auto"/>
              <w:left w:val="nil"/>
              <w:bottom w:val="nil"/>
              <w:right w:val="nil"/>
            </w:tcBorders>
            <w:shd w:val="clear" w:color="auto" w:fill="auto"/>
            <w:vAlign w:val="center"/>
            <w:hideMark/>
          </w:tcPr>
          <w:p w14:paraId="7146895B" w14:textId="77777777" w:rsidR="004E67E3" w:rsidRPr="00EC4BA6" w:rsidRDefault="004E67E3" w:rsidP="004E67E3">
            <w:pPr>
              <w:spacing w:before="0" w:after="0" w:line="240" w:lineRule="auto"/>
              <w:rPr>
                <w:rFonts w:ascii="Arial" w:hAnsi="Arial" w:cs="Arial"/>
                <w:b/>
                <w:bCs/>
                <w:sz w:val="16"/>
                <w:szCs w:val="16"/>
              </w:rPr>
            </w:pPr>
            <w:r w:rsidRPr="00EC4BA6">
              <w:rPr>
                <w:rFonts w:ascii="Arial" w:hAnsi="Arial" w:cs="Arial"/>
                <w:b/>
                <w:bCs/>
                <w:sz w:val="16"/>
                <w:szCs w:val="16"/>
              </w:rPr>
              <w:t>Title</w:t>
            </w:r>
          </w:p>
        </w:tc>
        <w:tc>
          <w:tcPr>
            <w:tcW w:w="539" w:type="pct"/>
            <w:tcBorders>
              <w:top w:val="single" w:sz="8" w:space="0" w:color="auto"/>
              <w:left w:val="nil"/>
              <w:bottom w:val="nil"/>
              <w:right w:val="nil"/>
            </w:tcBorders>
            <w:shd w:val="clear" w:color="auto" w:fill="auto"/>
            <w:vAlign w:val="center"/>
            <w:hideMark/>
          </w:tcPr>
          <w:p w14:paraId="3A104B1D" w14:textId="1F046291" w:rsidR="004E67E3" w:rsidRPr="00EC4BA6" w:rsidRDefault="004E67E3" w:rsidP="004E67E3">
            <w:pPr>
              <w:spacing w:before="0" w:after="0" w:line="240" w:lineRule="auto"/>
              <w:jc w:val="right"/>
              <w:rPr>
                <w:rFonts w:ascii="Arial" w:hAnsi="Arial" w:cs="Arial"/>
                <w:b/>
                <w:bCs/>
                <w:sz w:val="16"/>
                <w:szCs w:val="16"/>
              </w:rPr>
            </w:pPr>
            <w:r w:rsidRPr="00EC4BA6">
              <w:rPr>
                <w:rFonts w:ascii="Arial" w:hAnsi="Arial" w:cs="Arial"/>
                <w:b/>
                <w:bCs/>
                <w:sz w:val="16"/>
                <w:szCs w:val="16"/>
              </w:rPr>
              <w:t xml:space="preserve">Revenue </w:t>
            </w:r>
            <w:r w:rsidRPr="00EC4BA6">
              <w:rPr>
                <w:rFonts w:ascii="Arial" w:hAnsi="Arial" w:cs="Arial"/>
                <w:b/>
                <w:bCs/>
                <w:sz w:val="16"/>
                <w:szCs w:val="16"/>
              </w:rPr>
              <w:br/>
              <w:t xml:space="preserve">forgone </w:t>
            </w:r>
            <w:r w:rsidRPr="00EC4BA6">
              <w:rPr>
                <w:rFonts w:ascii="Arial" w:hAnsi="Arial" w:cs="Arial"/>
                <w:b/>
                <w:bCs/>
                <w:sz w:val="16"/>
                <w:szCs w:val="16"/>
              </w:rPr>
              <w:br/>
              <w:t>2024</w:t>
            </w:r>
            <w:r w:rsidR="001A3DD6">
              <w:rPr>
                <w:rFonts w:ascii="Arial" w:hAnsi="Arial" w:cs="Arial"/>
                <w:b/>
                <w:bCs/>
                <w:sz w:val="16"/>
                <w:szCs w:val="16"/>
              </w:rPr>
              <w:noBreakHyphen/>
            </w:r>
            <w:r w:rsidRPr="00EC4BA6">
              <w:rPr>
                <w:rFonts w:ascii="Arial" w:hAnsi="Arial" w:cs="Arial"/>
                <w:b/>
                <w:bCs/>
                <w:sz w:val="16"/>
                <w:szCs w:val="16"/>
              </w:rPr>
              <w:t>25</w:t>
            </w:r>
            <w:r w:rsidRPr="00EC4BA6">
              <w:rPr>
                <w:rFonts w:ascii="Arial" w:hAnsi="Arial" w:cs="Arial"/>
                <w:b/>
                <w:bCs/>
                <w:sz w:val="16"/>
                <w:szCs w:val="16"/>
              </w:rPr>
              <w:br/>
              <w:t>($</w:t>
            </w:r>
            <w:proofErr w:type="gramStart"/>
            <w:r w:rsidRPr="00EC4BA6">
              <w:rPr>
                <w:rFonts w:ascii="Arial" w:hAnsi="Arial" w:cs="Arial"/>
                <w:b/>
                <w:bCs/>
                <w:sz w:val="16"/>
                <w:szCs w:val="16"/>
              </w:rPr>
              <w:t>m)*</w:t>
            </w:r>
            <w:proofErr w:type="gramEnd"/>
          </w:p>
        </w:tc>
        <w:tc>
          <w:tcPr>
            <w:tcW w:w="603" w:type="pct"/>
            <w:tcBorders>
              <w:top w:val="single" w:sz="8" w:space="0" w:color="auto"/>
              <w:left w:val="nil"/>
              <w:bottom w:val="nil"/>
              <w:right w:val="nil"/>
            </w:tcBorders>
            <w:shd w:val="clear" w:color="auto" w:fill="auto"/>
            <w:vAlign w:val="center"/>
            <w:hideMark/>
          </w:tcPr>
          <w:p w14:paraId="1E1E7679" w14:textId="17FDB8D3" w:rsidR="004E67E3" w:rsidRPr="00EC4BA6" w:rsidRDefault="004E67E3" w:rsidP="004E67E3">
            <w:pPr>
              <w:spacing w:before="0" w:after="0" w:line="240" w:lineRule="auto"/>
              <w:jc w:val="right"/>
              <w:rPr>
                <w:rFonts w:ascii="Arial" w:hAnsi="Arial" w:cs="Arial"/>
                <w:b/>
                <w:bCs/>
                <w:sz w:val="16"/>
                <w:szCs w:val="16"/>
              </w:rPr>
            </w:pPr>
            <w:r w:rsidRPr="00EC4BA6">
              <w:rPr>
                <w:rFonts w:ascii="Arial" w:hAnsi="Arial" w:cs="Arial"/>
                <w:b/>
                <w:bCs/>
                <w:sz w:val="16"/>
                <w:szCs w:val="16"/>
              </w:rPr>
              <w:t xml:space="preserve">Average </w:t>
            </w:r>
            <w:r w:rsidRPr="00EC4BA6">
              <w:rPr>
                <w:rFonts w:ascii="Arial" w:hAnsi="Arial" w:cs="Arial"/>
                <w:b/>
                <w:bCs/>
                <w:sz w:val="16"/>
                <w:szCs w:val="16"/>
              </w:rPr>
              <w:br/>
              <w:t>growth</w:t>
            </w:r>
            <w:r w:rsidRPr="00EC4BA6">
              <w:rPr>
                <w:rFonts w:ascii="Arial" w:hAnsi="Arial" w:cs="Arial"/>
                <w:b/>
                <w:bCs/>
                <w:sz w:val="16"/>
                <w:szCs w:val="16"/>
              </w:rPr>
              <w:br/>
              <w:t>2020</w:t>
            </w:r>
            <w:r w:rsidR="001A3DD6">
              <w:rPr>
                <w:rFonts w:ascii="Arial" w:hAnsi="Arial" w:cs="Arial"/>
                <w:b/>
                <w:bCs/>
                <w:sz w:val="16"/>
                <w:szCs w:val="16"/>
              </w:rPr>
              <w:noBreakHyphen/>
            </w:r>
            <w:r w:rsidRPr="00EC4BA6">
              <w:rPr>
                <w:rFonts w:ascii="Arial" w:hAnsi="Arial" w:cs="Arial"/>
                <w:b/>
                <w:bCs/>
                <w:sz w:val="16"/>
                <w:szCs w:val="16"/>
              </w:rPr>
              <w:t>21 to</w:t>
            </w:r>
            <w:r w:rsidRPr="00EC4BA6">
              <w:rPr>
                <w:rFonts w:ascii="Arial" w:hAnsi="Arial" w:cs="Arial"/>
                <w:b/>
                <w:bCs/>
                <w:sz w:val="16"/>
                <w:szCs w:val="16"/>
              </w:rPr>
              <w:br/>
              <w:t>2023</w:t>
            </w:r>
            <w:r w:rsidR="001A3DD6">
              <w:rPr>
                <w:rFonts w:ascii="Arial" w:hAnsi="Arial" w:cs="Arial"/>
                <w:b/>
                <w:bCs/>
                <w:sz w:val="16"/>
                <w:szCs w:val="16"/>
              </w:rPr>
              <w:noBreakHyphen/>
            </w:r>
            <w:r w:rsidRPr="00EC4BA6">
              <w:rPr>
                <w:rFonts w:ascii="Arial" w:hAnsi="Arial" w:cs="Arial"/>
                <w:b/>
                <w:bCs/>
                <w:sz w:val="16"/>
                <w:szCs w:val="16"/>
              </w:rPr>
              <w:t>24</w:t>
            </w:r>
            <w:r w:rsidRPr="00EC4BA6">
              <w:rPr>
                <w:rFonts w:ascii="Arial" w:hAnsi="Arial" w:cs="Arial"/>
                <w:b/>
                <w:bCs/>
                <w:sz w:val="16"/>
                <w:szCs w:val="16"/>
              </w:rPr>
              <w:br/>
              <w:t>(%)</w:t>
            </w:r>
          </w:p>
        </w:tc>
        <w:tc>
          <w:tcPr>
            <w:tcW w:w="578" w:type="pct"/>
            <w:tcBorders>
              <w:top w:val="single" w:sz="8" w:space="0" w:color="auto"/>
              <w:left w:val="nil"/>
              <w:bottom w:val="nil"/>
              <w:right w:val="nil"/>
            </w:tcBorders>
            <w:shd w:val="clear" w:color="auto" w:fill="auto"/>
            <w:vAlign w:val="center"/>
            <w:hideMark/>
          </w:tcPr>
          <w:p w14:paraId="11B3B8C1" w14:textId="77777777" w:rsidR="004E67E3" w:rsidRPr="00EC4BA6" w:rsidRDefault="004E67E3" w:rsidP="004E67E3">
            <w:pPr>
              <w:spacing w:before="0" w:after="0" w:line="240" w:lineRule="auto"/>
              <w:jc w:val="right"/>
              <w:rPr>
                <w:rFonts w:ascii="Arial" w:hAnsi="Arial" w:cs="Arial"/>
                <w:b/>
                <w:bCs/>
                <w:sz w:val="16"/>
                <w:szCs w:val="16"/>
              </w:rPr>
            </w:pPr>
            <w:r w:rsidRPr="00EC4BA6">
              <w:rPr>
                <w:rFonts w:ascii="Arial" w:hAnsi="Arial" w:cs="Arial"/>
                <w:b/>
                <w:bCs/>
                <w:sz w:val="16"/>
                <w:szCs w:val="16"/>
              </w:rPr>
              <w:t xml:space="preserve">Average projected </w:t>
            </w:r>
            <w:r w:rsidRPr="00EC4BA6">
              <w:rPr>
                <w:rFonts w:ascii="Arial" w:hAnsi="Arial" w:cs="Arial"/>
                <w:b/>
                <w:bCs/>
                <w:sz w:val="16"/>
                <w:szCs w:val="16"/>
              </w:rPr>
              <w:br/>
              <w:t xml:space="preserve">growth over </w:t>
            </w:r>
            <w:r w:rsidRPr="00EC4BA6">
              <w:rPr>
                <w:rFonts w:ascii="Arial" w:hAnsi="Arial" w:cs="Arial"/>
                <w:b/>
                <w:bCs/>
                <w:sz w:val="16"/>
                <w:szCs w:val="16"/>
              </w:rPr>
              <w:br/>
              <w:t>FEs (%)</w:t>
            </w:r>
          </w:p>
        </w:tc>
      </w:tr>
      <w:tr w:rsidR="004E67E3" w:rsidRPr="00EC4BA6" w14:paraId="45373085" w14:textId="77777777" w:rsidTr="004E67E3">
        <w:trPr>
          <w:divId w:val="92285206"/>
          <w:trHeight w:hRule="exact" w:val="300"/>
        </w:trPr>
        <w:tc>
          <w:tcPr>
            <w:tcW w:w="3280" w:type="pct"/>
            <w:gridSpan w:val="3"/>
            <w:tcBorders>
              <w:top w:val="single" w:sz="8" w:space="0" w:color="auto"/>
              <w:left w:val="nil"/>
              <w:bottom w:val="nil"/>
              <w:right w:val="nil"/>
            </w:tcBorders>
            <w:shd w:val="clear" w:color="auto" w:fill="auto"/>
            <w:vAlign w:val="center"/>
            <w:hideMark/>
          </w:tcPr>
          <w:p w14:paraId="07BDC044" w14:textId="77777777" w:rsidR="004E67E3" w:rsidRPr="00EC4BA6" w:rsidRDefault="004E67E3" w:rsidP="004E67E3">
            <w:pPr>
              <w:spacing w:before="0" w:after="0" w:line="240" w:lineRule="auto"/>
              <w:rPr>
                <w:rFonts w:ascii="Arial" w:hAnsi="Arial" w:cs="Arial"/>
                <w:b/>
                <w:bCs/>
                <w:sz w:val="16"/>
                <w:szCs w:val="16"/>
              </w:rPr>
            </w:pPr>
            <w:r w:rsidRPr="00EC4BA6">
              <w:rPr>
                <w:rFonts w:ascii="Arial" w:hAnsi="Arial" w:cs="Arial"/>
                <w:b/>
                <w:bCs/>
                <w:sz w:val="16"/>
                <w:szCs w:val="16"/>
              </w:rPr>
              <w:t>Positive tax expenditures and deductions</w:t>
            </w:r>
          </w:p>
        </w:tc>
        <w:tc>
          <w:tcPr>
            <w:tcW w:w="1720" w:type="pct"/>
            <w:gridSpan w:val="3"/>
            <w:tcBorders>
              <w:top w:val="single" w:sz="8" w:space="0" w:color="auto"/>
              <w:left w:val="nil"/>
              <w:bottom w:val="nil"/>
              <w:right w:val="nil"/>
            </w:tcBorders>
            <w:shd w:val="clear" w:color="auto" w:fill="auto"/>
            <w:vAlign w:val="center"/>
            <w:hideMark/>
          </w:tcPr>
          <w:p w14:paraId="1585B32B" w14:textId="77777777" w:rsidR="004E67E3" w:rsidRPr="00EC4BA6" w:rsidRDefault="004E67E3" w:rsidP="004E67E3">
            <w:pPr>
              <w:spacing w:before="0" w:after="0" w:line="240" w:lineRule="auto"/>
              <w:jc w:val="both"/>
              <w:rPr>
                <w:rFonts w:cs="Calibri"/>
                <w:sz w:val="20"/>
              </w:rPr>
            </w:pPr>
            <w:r w:rsidRPr="00EC4BA6">
              <w:rPr>
                <w:rFonts w:cs="Calibri"/>
                <w:sz w:val="20"/>
              </w:rPr>
              <w:t> </w:t>
            </w:r>
          </w:p>
        </w:tc>
      </w:tr>
      <w:tr w:rsidR="004E67E3" w:rsidRPr="00EC4BA6" w14:paraId="682F5CEB" w14:textId="77777777" w:rsidTr="004E67E3">
        <w:trPr>
          <w:divId w:val="92285206"/>
          <w:trHeight w:hRule="exact" w:val="450"/>
        </w:trPr>
        <w:tc>
          <w:tcPr>
            <w:tcW w:w="514" w:type="pct"/>
            <w:tcBorders>
              <w:top w:val="nil"/>
              <w:left w:val="nil"/>
              <w:bottom w:val="nil"/>
              <w:right w:val="nil"/>
            </w:tcBorders>
            <w:shd w:val="clear" w:color="auto" w:fill="auto"/>
            <w:noWrap/>
            <w:vAlign w:val="center"/>
            <w:hideMark/>
          </w:tcPr>
          <w:p w14:paraId="714D251F" w14:textId="77777777"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Super</w:t>
            </w:r>
          </w:p>
        </w:tc>
        <w:tc>
          <w:tcPr>
            <w:tcW w:w="361" w:type="pct"/>
            <w:tcBorders>
              <w:top w:val="nil"/>
              <w:left w:val="nil"/>
              <w:bottom w:val="nil"/>
              <w:right w:val="nil"/>
            </w:tcBorders>
            <w:shd w:val="clear" w:color="auto" w:fill="auto"/>
            <w:noWrap/>
            <w:vAlign w:val="center"/>
            <w:hideMark/>
          </w:tcPr>
          <w:p w14:paraId="3796090D" w14:textId="77777777"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C2</w:t>
            </w:r>
          </w:p>
        </w:tc>
        <w:tc>
          <w:tcPr>
            <w:tcW w:w="2405" w:type="pct"/>
            <w:tcBorders>
              <w:top w:val="nil"/>
              <w:left w:val="nil"/>
              <w:bottom w:val="nil"/>
              <w:right w:val="nil"/>
            </w:tcBorders>
            <w:shd w:val="clear" w:color="auto" w:fill="auto"/>
            <w:vAlign w:val="center"/>
            <w:hideMark/>
          </w:tcPr>
          <w:p w14:paraId="11E61C0E" w14:textId="77777777"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Concessional taxation of employer superannuation contributions</w:t>
            </w:r>
          </w:p>
        </w:tc>
        <w:tc>
          <w:tcPr>
            <w:tcW w:w="539" w:type="pct"/>
            <w:tcBorders>
              <w:top w:val="nil"/>
              <w:left w:val="nil"/>
              <w:bottom w:val="nil"/>
              <w:right w:val="nil"/>
            </w:tcBorders>
            <w:shd w:val="clear" w:color="auto" w:fill="auto"/>
            <w:noWrap/>
            <w:vAlign w:val="center"/>
            <w:hideMark/>
          </w:tcPr>
          <w:p w14:paraId="43CF00E1"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29,150</w:t>
            </w:r>
          </w:p>
        </w:tc>
        <w:tc>
          <w:tcPr>
            <w:tcW w:w="603" w:type="pct"/>
            <w:tcBorders>
              <w:top w:val="nil"/>
              <w:left w:val="nil"/>
              <w:bottom w:val="nil"/>
              <w:right w:val="nil"/>
            </w:tcBorders>
            <w:shd w:val="clear" w:color="auto" w:fill="auto"/>
            <w:vAlign w:val="center"/>
            <w:hideMark/>
          </w:tcPr>
          <w:p w14:paraId="77618FA0"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14.2</w:t>
            </w:r>
          </w:p>
        </w:tc>
        <w:tc>
          <w:tcPr>
            <w:tcW w:w="578" w:type="pct"/>
            <w:tcBorders>
              <w:top w:val="nil"/>
              <w:left w:val="nil"/>
              <w:bottom w:val="nil"/>
              <w:right w:val="nil"/>
            </w:tcBorders>
            <w:shd w:val="clear" w:color="auto" w:fill="auto"/>
            <w:vAlign w:val="center"/>
            <w:hideMark/>
          </w:tcPr>
          <w:p w14:paraId="74CFEFCC"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4.1</w:t>
            </w:r>
          </w:p>
        </w:tc>
      </w:tr>
      <w:tr w:rsidR="004E67E3" w:rsidRPr="00EC4BA6" w14:paraId="2F91F47A" w14:textId="77777777" w:rsidTr="004E67E3">
        <w:trPr>
          <w:divId w:val="92285206"/>
          <w:trHeight w:hRule="exact" w:val="225"/>
        </w:trPr>
        <w:tc>
          <w:tcPr>
            <w:tcW w:w="514" w:type="pct"/>
            <w:tcBorders>
              <w:top w:val="nil"/>
              <w:left w:val="nil"/>
              <w:bottom w:val="nil"/>
              <w:right w:val="nil"/>
            </w:tcBorders>
            <w:shd w:val="clear" w:color="auto" w:fill="auto"/>
            <w:noWrap/>
            <w:vAlign w:val="center"/>
            <w:hideMark/>
          </w:tcPr>
          <w:p w14:paraId="7C0C8E4A" w14:textId="77777777"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CGT</w:t>
            </w:r>
          </w:p>
        </w:tc>
        <w:tc>
          <w:tcPr>
            <w:tcW w:w="361" w:type="pct"/>
            <w:tcBorders>
              <w:top w:val="nil"/>
              <w:left w:val="nil"/>
              <w:bottom w:val="nil"/>
              <w:right w:val="nil"/>
            </w:tcBorders>
            <w:shd w:val="clear" w:color="auto" w:fill="auto"/>
            <w:noWrap/>
            <w:vAlign w:val="center"/>
            <w:hideMark/>
          </w:tcPr>
          <w:p w14:paraId="08BBB4CE" w14:textId="77777777"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E8</w:t>
            </w:r>
          </w:p>
        </w:tc>
        <w:tc>
          <w:tcPr>
            <w:tcW w:w="2405" w:type="pct"/>
            <w:tcBorders>
              <w:top w:val="nil"/>
              <w:left w:val="nil"/>
              <w:bottom w:val="nil"/>
              <w:right w:val="nil"/>
            </w:tcBorders>
            <w:shd w:val="clear" w:color="auto" w:fill="auto"/>
            <w:vAlign w:val="center"/>
            <w:hideMark/>
          </w:tcPr>
          <w:p w14:paraId="2414097F" w14:textId="77777777"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Main residence exemption – discount component</w:t>
            </w:r>
          </w:p>
        </w:tc>
        <w:tc>
          <w:tcPr>
            <w:tcW w:w="539" w:type="pct"/>
            <w:tcBorders>
              <w:top w:val="nil"/>
              <w:left w:val="nil"/>
              <w:bottom w:val="nil"/>
              <w:right w:val="nil"/>
            </w:tcBorders>
            <w:shd w:val="clear" w:color="auto" w:fill="auto"/>
            <w:noWrap/>
            <w:vAlign w:val="center"/>
            <w:hideMark/>
          </w:tcPr>
          <w:p w14:paraId="2FBD0BA1"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27,000</w:t>
            </w:r>
          </w:p>
        </w:tc>
        <w:tc>
          <w:tcPr>
            <w:tcW w:w="603" w:type="pct"/>
            <w:tcBorders>
              <w:top w:val="nil"/>
              <w:left w:val="nil"/>
              <w:bottom w:val="nil"/>
              <w:right w:val="nil"/>
            </w:tcBorders>
            <w:shd w:val="clear" w:color="auto" w:fill="auto"/>
            <w:vAlign w:val="center"/>
            <w:hideMark/>
          </w:tcPr>
          <w:p w14:paraId="0273E5B3"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18.6</w:t>
            </w:r>
          </w:p>
        </w:tc>
        <w:tc>
          <w:tcPr>
            <w:tcW w:w="578" w:type="pct"/>
            <w:tcBorders>
              <w:top w:val="nil"/>
              <w:left w:val="nil"/>
              <w:bottom w:val="nil"/>
              <w:right w:val="nil"/>
            </w:tcBorders>
            <w:shd w:val="clear" w:color="auto" w:fill="auto"/>
            <w:vAlign w:val="center"/>
            <w:hideMark/>
          </w:tcPr>
          <w:p w14:paraId="333FBF12"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8.0</w:t>
            </w:r>
          </w:p>
        </w:tc>
      </w:tr>
      <w:tr w:rsidR="004E67E3" w:rsidRPr="00EC4BA6" w14:paraId="111C7F80" w14:textId="77777777" w:rsidTr="004E67E3">
        <w:trPr>
          <w:divId w:val="92285206"/>
          <w:trHeight w:hRule="exact" w:val="225"/>
        </w:trPr>
        <w:tc>
          <w:tcPr>
            <w:tcW w:w="875" w:type="pct"/>
            <w:gridSpan w:val="2"/>
            <w:tcBorders>
              <w:top w:val="nil"/>
              <w:left w:val="nil"/>
              <w:bottom w:val="nil"/>
              <w:right w:val="nil"/>
            </w:tcBorders>
            <w:shd w:val="clear" w:color="auto" w:fill="auto"/>
            <w:noWrap/>
            <w:vAlign w:val="center"/>
            <w:hideMark/>
          </w:tcPr>
          <w:p w14:paraId="0D5CBC1F" w14:textId="77777777"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Deductions</w:t>
            </w:r>
          </w:p>
        </w:tc>
        <w:tc>
          <w:tcPr>
            <w:tcW w:w="2405" w:type="pct"/>
            <w:tcBorders>
              <w:top w:val="nil"/>
              <w:left w:val="nil"/>
              <w:bottom w:val="nil"/>
              <w:right w:val="nil"/>
            </w:tcBorders>
            <w:shd w:val="clear" w:color="auto" w:fill="auto"/>
            <w:vAlign w:val="center"/>
            <w:hideMark/>
          </w:tcPr>
          <w:p w14:paraId="39A9B5E6" w14:textId="77777777"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Rental deductions</w:t>
            </w:r>
          </w:p>
        </w:tc>
        <w:tc>
          <w:tcPr>
            <w:tcW w:w="539" w:type="pct"/>
            <w:tcBorders>
              <w:top w:val="nil"/>
              <w:left w:val="nil"/>
              <w:bottom w:val="nil"/>
              <w:right w:val="nil"/>
            </w:tcBorders>
            <w:shd w:val="clear" w:color="auto" w:fill="auto"/>
            <w:noWrap/>
            <w:vAlign w:val="center"/>
            <w:hideMark/>
          </w:tcPr>
          <w:p w14:paraId="3EB3FAB7"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26,500</w:t>
            </w:r>
          </w:p>
        </w:tc>
        <w:tc>
          <w:tcPr>
            <w:tcW w:w="603" w:type="pct"/>
            <w:tcBorders>
              <w:top w:val="nil"/>
              <w:left w:val="nil"/>
              <w:bottom w:val="nil"/>
              <w:right w:val="nil"/>
            </w:tcBorders>
            <w:shd w:val="clear" w:color="auto" w:fill="auto"/>
            <w:vAlign w:val="center"/>
            <w:hideMark/>
          </w:tcPr>
          <w:p w14:paraId="19A6273C"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14.4</w:t>
            </w:r>
          </w:p>
        </w:tc>
        <w:tc>
          <w:tcPr>
            <w:tcW w:w="578" w:type="pct"/>
            <w:tcBorders>
              <w:top w:val="nil"/>
              <w:left w:val="nil"/>
              <w:bottom w:val="nil"/>
              <w:right w:val="nil"/>
            </w:tcBorders>
            <w:shd w:val="clear" w:color="auto" w:fill="auto"/>
            <w:vAlign w:val="center"/>
            <w:hideMark/>
          </w:tcPr>
          <w:p w14:paraId="163BD9BA"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6.1</w:t>
            </w:r>
          </w:p>
        </w:tc>
      </w:tr>
      <w:tr w:rsidR="004E67E3" w:rsidRPr="00EC4BA6" w14:paraId="40D72786" w14:textId="77777777" w:rsidTr="004E67E3">
        <w:trPr>
          <w:divId w:val="92285206"/>
          <w:trHeight w:hRule="exact" w:val="225"/>
        </w:trPr>
        <w:tc>
          <w:tcPr>
            <w:tcW w:w="514" w:type="pct"/>
            <w:tcBorders>
              <w:top w:val="nil"/>
              <w:left w:val="nil"/>
              <w:bottom w:val="nil"/>
              <w:right w:val="nil"/>
            </w:tcBorders>
            <w:shd w:val="clear" w:color="auto" w:fill="auto"/>
            <w:noWrap/>
            <w:vAlign w:val="center"/>
            <w:hideMark/>
          </w:tcPr>
          <w:p w14:paraId="0D541D8E" w14:textId="77777777"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CGT</w:t>
            </w:r>
          </w:p>
        </w:tc>
        <w:tc>
          <w:tcPr>
            <w:tcW w:w="361" w:type="pct"/>
            <w:tcBorders>
              <w:top w:val="nil"/>
              <w:left w:val="nil"/>
              <w:bottom w:val="nil"/>
              <w:right w:val="nil"/>
            </w:tcBorders>
            <w:shd w:val="clear" w:color="auto" w:fill="auto"/>
            <w:noWrap/>
            <w:vAlign w:val="center"/>
            <w:hideMark/>
          </w:tcPr>
          <w:p w14:paraId="6EFE9212" w14:textId="77777777"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E7</w:t>
            </w:r>
          </w:p>
        </w:tc>
        <w:tc>
          <w:tcPr>
            <w:tcW w:w="2405" w:type="pct"/>
            <w:tcBorders>
              <w:top w:val="nil"/>
              <w:left w:val="nil"/>
              <w:bottom w:val="nil"/>
              <w:right w:val="nil"/>
            </w:tcBorders>
            <w:shd w:val="clear" w:color="auto" w:fill="auto"/>
            <w:vAlign w:val="center"/>
            <w:hideMark/>
          </w:tcPr>
          <w:p w14:paraId="3736B34D" w14:textId="77777777"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Main residence exemption</w:t>
            </w:r>
          </w:p>
        </w:tc>
        <w:tc>
          <w:tcPr>
            <w:tcW w:w="539" w:type="pct"/>
            <w:tcBorders>
              <w:top w:val="nil"/>
              <w:left w:val="nil"/>
              <w:bottom w:val="nil"/>
              <w:right w:val="nil"/>
            </w:tcBorders>
            <w:shd w:val="clear" w:color="auto" w:fill="auto"/>
            <w:noWrap/>
            <w:vAlign w:val="center"/>
            <w:hideMark/>
          </w:tcPr>
          <w:p w14:paraId="48896711"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24,500</w:t>
            </w:r>
          </w:p>
        </w:tc>
        <w:tc>
          <w:tcPr>
            <w:tcW w:w="603" w:type="pct"/>
            <w:tcBorders>
              <w:top w:val="nil"/>
              <w:left w:val="nil"/>
              <w:bottom w:val="nil"/>
              <w:right w:val="nil"/>
            </w:tcBorders>
            <w:shd w:val="clear" w:color="auto" w:fill="auto"/>
            <w:vAlign w:val="center"/>
            <w:hideMark/>
          </w:tcPr>
          <w:p w14:paraId="5A43C5B3"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18.0</w:t>
            </w:r>
          </w:p>
        </w:tc>
        <w:tc>
          <w:tcPr>
            <w:tcW w:w="578" w:type="pct"/>
            <w:tcBorders>
              <w:top w:val="nil"/>
              <w:left w:val="nil"/>
              <w:bottom w:val="nil"/>
              <w:right w:val="nil"/>
            </w:tcBorders>
            <w:shd w:val="clear" w:color="auto" w:fill="auto"/>
            <w:vAlign w:val="center"/>
            <w:hideMark/>
          </w:tcPr>
          <w:p w14:paraId="75044BA6"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7.7</w:t>
            </w:r>
          </w:p>
        </w:tc>
      </w:tr>
      <w:tr w:rsidR="004E67E3" w:rsidRPr="00EC4BA6" w14:paraId="7705A826" w14:textId="77777777" w:rsidTr="004E67E3">
        <w:trPr>
          <w:divId w:val="92285206"/>
          <w:trHeight w:hRule="exact" w:val="225"/>
        </w:trPr>
        <w:tc>
          <w:tcPr>
            <w:tcW w:w="514" w:type="pct"/>
            <w:tcBorders>
              <w:top w:val="nil"/>
              <w:left w:val="nil"/>
              <w:bottom w:val="nil"/>
              <w:right w:val="nil"/>
            </w:tcBorders>
            <w:shd w:val="clear" w:color="auto" w:fill="auto"/>
            <w:noWrap/>
            <w:vAlign w:val="center"/>
            <w:hideMark/>
          </w:tcPr>
          <w:p w14:paraId="19142237" w14:textId="77777777"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CGT</w:t>
            </w:r>
          </w:p>
        </w:tc>
        <w:tc>
          <w:tcPr>
            <w:tcW w:w="361" w:type="pct"/>
            <w:tcBorders>
              <w:top w:val="nil"/>
              <w:left w:val="nil"/>
              <w:bottom w:val="nil"/>
              <w:right w:val="nil"/>
            </w:tcBorders>
            <w:shd w:val="clear" w:color="auto" w:fill="auto"/>
            <w:noWrap/>
            <w:vAlign w:val="center"/>
            <w:hideMark/>
          </w:tcPr>
          <w:p w14:paraId="347145FD" w14:textId="77777777"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E15</w:t>
            </w:r>
          </w:p>
        </w:tc>
        <w:tc>
          <w:tcPr>
            <w:tcW w:w="2405" w:type="pct"/>
            <w:tcBorders>
              <w:top w:val="nil"/>
              <w:left w:val="nil"/>
              <w:bottom w:val="nil"/>
              <w:right w:val="nil"/>
            </w:tcBorders>
            <w:shd w:val="clear" w:color="auto" w:fill="auto"/>
            <w:vAlign w:val="center"/>
            <w:hideMark/>
          </w:tcPr>
          <w:p w14:paraId="7896C29D" w14:textId="77777777"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Discount for individuals and trusts</w:t>
            </w:r>
          </w:p>
        </w:tc>
        <w:tc>
          <w:tcPr>
            <w:tcW w:w="539" w:type="pct"/>
            <w:tcBorders>
              <w:top w:val="nil"/>
              <w:left w:val="nil"/>
              <w:bottom w:val="nil"/>
              <w:right w:val="nil"/>
            </w:tcBorders>
            <w:shd w:val="clear" w:color="auto" w:fill="auto"/>
            <w:noWrap/>
            <w:vAlign w:val="center"/>
            <w:hideMark/>
          </w:tcPr>
          <w:p w14:paraId="4AB4FAB8"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22,730</w:t>
            </w:r>
          </w:p>
        </w:tc>
        <w:tc>
          <w:tcPr>
            <w:tcW w:w="603" w:type="pct"/>
            <w:tcBorders>
              <w:top w:val="nil"/>
              <w:left w:val="nil"/>
              <w:bottom w:val="nil"/>
              <w:right w:val="nil"/>
            </w:tcBorders>
            <w:shd w:val="clear" w:color="auto" w:fill="auto"/>
            <w:vAlign w:val="center"/>
            <w:hideMark/>
          </w:tcPr>
          <w:p w14:paraId="1C033E16"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27.0</w:t>
            </w:r>
          </w:p>
        </w:tc>
        <w:tc>
          <w:tcPr>
            <w:tcW w:w="578" w:type="pct"/>
            <w:tcBorders>
              <w:top w:val="nil"/>
              <w:left w:val="nil"/>
              <w:bottom w:val="nil"/>
              <w:right w:val="nil"/>
            </w:tcBorders>
            <w:shd w:val="clear" w:color="auto" w:fill="auto"/>
            <w:vAlign w:val="center"/>
            <w:hideMark/>
          </w:tcPr>
          <w:p w14:paraId="43719248" w14:textId="01D75274" w:rsidR="004E67E3" w:rsidRPr="00EC4BA6" w:rsidRDefault="001A3DD6" w:rsidP="004E67E3">
            <w:pPr>
              <w:spacing w:before="0" w:after="0" w:line="240" w:lineRule="auto"/>
              <w:jc w:val="right"/>
              <w:rPr>
                <w:rFonts w:ascii="Arial" w:hAnsi="Arial" w:cs="Arial"/>
                <w:sz w:val="16"/>
                <w:szCs w:val="16"/>
              </w:rPr>
            </w:pPr>
            <w:r>
              <w:rPr>
                <w:rFonts w:ascii="Arial" w:hAnsi="Arial" w:cs="Arial"/>
                <w:sz w:val="16"/>
                <w:szCs w:val="16"/>
              </w:rPr>
              <w:noBreakHyphen/>
            </w:r>
            <w:r w:rsidR="004E67E3" w:rsidRPr="00EC4BA6">
              <w:rPr>
                <w:rFonts w:ascii="Arial" w:hAnsi="Arial" w:cs="Arial"/>
                <w:sz w:val="16"/>
                <w:szCs w:val="16"/>
              </w:rPr>
              <w:t>3.4</w:t>
            </w:r>
          </w:p>
        </w:tc>
      </w:tr>
      <w:tr w:rsidR="004E67E3" w:rsidRPr="00EC4BA6" w14:paraId="4418DE36" w14:textId="77777777" w:rsidTr="004E67E3">
        <w:trPr>
          <w:divId w:val="92285206"/>
          <w:trHeight w:hRule="exact" w:val="225"/>
        </w:trPr>
        <w:tc>
          <w:tcPr>
            <w:tcW w:w="514" w:type="pct"/>
            <w:tcBorders>
              <w:top w:val="nil"/>
              <w:left w:val="nil"/>
              <w:bottom w:val="nil"/>
              <w:right w:val="nil"/>
            </w:tcBorders>
            <w:shd w:val="clear" w:color="auto" w:fill="auto"/>
            <w:noWrap/>
            <w:vAlign w:val="center"/>
            <w:hideMark/>
          </w:tcPr>
          <w:p w14:paraId="2F10AB66" w14:textId="77777777"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Super</w:t>
            </w:r>
          </w:p>
        </w:tc>
        <w:tc>
          <w:tcPr>
            <w:tcW w:w="361" w:type="pct"/>
            <w:tcBorders>
              <w:top w:val="nil"/>
              <w:left w:val="nil"/>
              <w:bottom w:val="nil"/>
              <w:right w:val="nil"/>
            </w:tcBorders>
            <w:shd w:val="clear" w:color="auto" w:fill="auto"/>
            <w:noWrap/>
            <w:vAlign w:val="center"/>
            <w:hideMark/>
          </w:tcPr>
          <w:p w14:paraId="2D8C299E" w14:textId="77777777"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C4</w:t>
            </w:r>
          </w:p>
        </w:tc>
        <w:tc>
          <w:tcPr>
            <w:tcW w:w="2405" w:type="pct"/>
            <w:tcBorders>
              <w:top w:val="nil"/>
              <w:left w:val="nil"/>
              <w:bottom w:val="nil"/>
              <w:right w:val="nil"/>
            </w:tcBorders>
            <w:shd w:val="clear" w:color="auto" w:fill="auto"/>
            <w:vAlign w:val="center"/>
            <w:hideMark/>
          </w:tcPr>
          <w:p w14:paraId="752569C3" w14:textId="77777777"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Concessional taxation of superannuation earnings</w:t>
            </w:r>
          </w:p>
        </w:tc>
        <w:tc>
          <w:tcPr>
            <w:tcW w:w="539" w:type="pct"/>
            <w:tcBorders>
              <w:top w:val="nil"/>
              <w:left w:val="nil"/>
              <w:bottom w:val="nil"/>
              <w:right w:val="nil"/>
            </w:tcBorders>
            <w:shd w:val="clear" w:color="auto" w:fill="auto"/>
            <w:noWrap/>
            <w:vAlign w:val="center"/>
            <w:hideMark/>
          </w:tcPr>
          <w:p w14:paraId="3757561A"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22,200</w:t>
            </w:r>
          </w:p>
        </w:tc>
        <w:tc>
          <w:tcPr>
            <w:tcW w:w="603" w:type="pct"/>
            <w:tcBorders>
              <w:top w:val="nil"/>
              <w:left w:val="nil"/>
              <w:bottom w:val="nil"/>
              <w:right w:val="nil"/>
            </w:tcBorders>
            <w:shd w:val="clear" w:color="auto" w:fill="auto"/>
            <w:vAlign w:val="center"/>
            <w:hideMark/>
          </w:tcPr>
          <w:p w14:paraId="2C8EEB74"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6.2</w:t>
            </w:r>
          </w:p>
        </w:tc>
        <w:tc>
          <w:tcPr>
            <w:tcW w:w="578" w:type="pct"/>
            <w:tcBorders>
              <w:top w:val="nil"/>
              <w:left w:val="nil"/>
              <w:bottom w:val="nil"/>
              <w:right w:val="nil"/>
            </w:tcBorders>
            <w:shd w:val="clear" w:color="auto" w:fill="auto"/>
            <w:vAlign w:val="center"/>
            <w:hideMark/>
          </w:tcPr>
          <w:p w14:paraId="01EB89FA"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13.0</w:t>
            </w:r>
          </w:p>
        </w:tc>
      </w:tr>
      <w:tr w:rsidR="004E67E3" w:rsidRPr="00EC4BA6" w14:paraId="6C807C73" w14:textId="77777777" w:rsidTr="004E67E3">
        <w:trPr>
          <w:divId w:val="92285206"/>
          <w:trHeight w:hRule="exact" w:val="450"/>
        </w:trPr>
        <w:tc>
          <w:tcPr>
            <w:tcW w:w="514" w:type="pct"/>
            <w:tcBorders>
              <w:top w:val="nil"/>
              <w:left w:val="nil"/>
              <w:bottom w:val="nil"/>
              <w:right w:val="nil"/>
            </w:tcBorders>
            <w:shd w:val="clear" w:color="auto" w:fill="auto"/>
            <w:noWrap/>
            <w:vAlign w:val="center"/>
            <w:hideMark/>
          </w:tcPr>
          <w:p w14:paraId="0911A5C6" w14:textId="77777777"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Income</w:t>
            </w:r>
          </w:p>
        </w:tc>
        <w:tc>
          <w:tcPr>
            <w:tcW w:w="361" w:type="pct"/>
            <w:tcBorders>
              <w:top w:val="nil"/>
              <w:left w:val="nil"/>
              <w:bottom w:val="nil"/>
              <w:right w:val="nil"/>
            </w:tcBorders>
            <w:shd w:val="clear" w:color="auto" w:fill="auto"/>
            <w:noWrap/>
            <w:vAlign w:val="center"/>
            <w:hideMark/>
          </w:tcPr>
          <w:p w14:paraId="0511537B" w14:textId="77777777"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A26</w:t>
            </w:r>
          </w:p>
        </w:tc>
        <w:tc>
          <w:tcPr>
            <w:tcW w:w="2405" w:type="pct"/>
            <w:tcBorders>
              <w:top w:val="nil"/>
              <w:left w:val="nil"/>
              <w:bottom w:val="nil"/>
              <w:right w:val="nil"/>
            </w:tcBorders>
            <w:shd w:val="clear" w:color="auto" w:fill="auto"/>
            <w:vAlign w:val="center"/>
            <w:hideMark/>
          </w:tcPr>
          <w:p w14:paraId="04BC5228" w14:textId="77777777"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Exemption for National Disability Insurance Scheme amounts</w:t>
            </w:r>
          </w:p>
        </w:tc>
        <w:tc>
          <w:tcPr>
            <w:tcW w:w="539" w:type="pct"/>
            <w:tcBorders>
              <w:top w:val="nil"/>
              <w:left w:val="nil"/>
              <w:bottom w:val="nil"/>
              <w:right w:val="nil"/>
            </w:tcBorders>
            <w:shd w:val="clear" w:color="auto" w:fill="auto"/>
            <w:noWrap/>
            <w:vAlign w:val="center"/>
            <w:hideMark/>
          </w:tcPr>
          <w:p w14:paraId="47A86C0C"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11,420</w:t>
            </w:r>
          </w:p>
        </w:tc>
        <w:tc>
          <w:tcPr>
            <w:tcW w:w="603" w:type="pct"/>
            <w:tcBorders>
              <w:top w:val="nil"/>
              <w:left w:val="nil"/>
              <w:bottom w:val="nil"/>
              <w:right w:val="nil"/>
            </w:tcBorders>
            <w:shd w:val="clear" w:color="auto" w:fill="auto"/>
            <w:vAlign w:val="center"/>
            <w:hideMark/>
          </w:tcPr>
          <w:p w14:paraId="2345E5F2"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29.7</w:t>
            </w:r>
          </w:p>
        </w:tc>
        <w:tc>
          <w:tcPr>
            <w:tcW w:w="578" w:type="pct"/>
            <w:tcBorders>
              <w:top w:val="nil"/>
              <w:left w:val="nil"/>
              <w:bottom w:val="nil"/>
              <w:right w:val="nil"/>
            </w:tcBorders>
            <w:shd w:val="clear" w:color="auto" w:fill="auto"/>
            <w:vAlign w:val="center"/>
            <w:hideMark/>
          </w:tcPr>
          <w:p w14:paraId="4B9349BC"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8.8</w:t>
            </w:r>
          </w:p>
        </w:tc>
      </w:tr>
      <w:tr w:rsidR="004E67E3" w:rsidRPr="00EC4BA6" w14:paraId="10877310" w14:textId="77777777" w:rsidTr="004E67E3">
        <w:trPr>
          <w:divId w:val="92285206"/>
          <w:trHeight w:hRule="exact" w:val="225"/>
        </w:trPr>
        <w:tc>
          <w:tcPr>
            <w:tcW w:w="875" w:type="pct"/>
            <w:gridSpan w:val="2"/>
            <w:tcBorders>
              <w:top w:val="nil"/>
              <w:left w:val="nil"/>
              <w:bottom w:val="nil"/>
              <w:right w:val="nil"/>
            </w:tcBorders>
            <w:shd w:val="clear" w:color="auto" w:fill="auto"/>
            <w:noWrap/>
            <w:vAlign w:val="center"/>
            <w:hideMark/>
          </w:tcPr>
          <w:p w14:paraId="183328BD" w14:textId="77777777"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Deductions</w:t>
            </w:r>
          </w:p>
        </w:tc>
        <w:tc>
          <w:tcPr>
            <w:tcW w:w="2405" w:type="pct"/>
            <w:tcBorders>
              <w:top w:val="nil"/>
              <w:left w:val="nil"/>
              <w:bottom w:val="nil"/>
              <w:right w:val="nil"/>
            </w:tcBorders>
            <w:shd w:val="clear" w:color="auto" w:fill="auto"/>
            <w:vAlign w:val="center"/>
            <w:hideMark/>
          </w:tcPr>
          <w:p w14:paraId="7DAE8FEE" w14:textId="00A4A64A"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Work</w:t>
            </w:r>
            <w:r w:rsidR="001A3DD6">
              <w:rPr>
                <w:rFonts w:ascii="Arial" w:hAnsi="Arial" w:cs="Arial"/>
                <w:sz w:val="16"/>
                <w:szCs w:val="16"/>
              </w:rPr>
              <w:noBreakHyphen/>
            </w:r>
            <w:r w:rsidRPr="00EC4BA6">
              <w:rPr>
                <w:rFonts w:ascii="Arial" w:hAnsi="Arial" w:cs="Arial"/>
                <w:sz w:val="16"/>
                <w:szCs w:val="16"/>
              </w:rPr>
              <w:t>related expenses</w:t>
            </w:r>
          </w:p>
        </w:tc>
        <w:tc>
          <w:tcPr>
            <w:tcW w:w="539" w:type="pct"/>
            <w:tcBorders>
              <w:top w:val="nil"/>
              <w:left w:val="nil"/>
              <w:bottom w:val="nil"/>
              <w:right w:val="nil"/>
            </w:tcBorders>
            <w:shd w:val="clear" w:color="auto" w:fill="auto"/>
            <w:noWrap/>
            <w:vAlign w:val="center"/>
            <w:hideMark/>
          </w:tcPr>
          <w:p w14:paraId="2CD4A349"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11,300</w:t>
            </w:r>
          </w:p>
        </w:tc>
        <w:tc>
          <w:tcPr>
            <w:tcW w:w="603" w:type="pct"/>
            <w:tcBorders>
              <w:top w:val="nil"/>
              <w:left w:val="nil"/>
              <w:bottom w:val="nil"/>
              <w:right w:val="nil"/>
            </w:tcBorders>
            <w:shd w:val="clear" w:color="auto" w:fill="auto"/>
            <w:vAlign w:val="center"/>
            <w:hideMark/>
          </w:tcPr>
          <w:p w14:paraId="7488EAE1"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10.6</w:t>
            </w:r>
          </w:p>
        </w:tc>
        <w:tc>
          <w:tcPr>
            <w:tcW w:w="578" w:type="pct"/>
            <w:tcBorders>
              <w:top w:val="nil"/>
              <w:left w:val="nil"/>
              <w:bottom w:val="nil"/>
              <w:right w:val="nil"/>
            </w:tcBorders>
            <w:shd w:val="clear" w:color="auto" w:fill="auto"/>
            <w:vAlign w:val="center"/>
            <w:hideMark/>
          </w:tcPr>
          <w:p w14:paraId="43A79EE4"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3.7</w:t>
            </w:r>
          </w:p>
        </w:tc>
      </w:tr>
      <w:tr w:rsidR="004E67E3" w:rsidRPr="00EC4BA6" w14:paraId="0E5259D3" w14:textId="77777777" w:rsidTr="004E67E3">
        <w:trPr>
          <w:divId w:val="92285206"/>
          <w:trHeight w:hRule="exact" w:val="225"/>
        </w:trPr>
        <w:tc>
          <w:tcPr>
            <w:tcW w:w="514" w:type="pct"/>
            <w:tcBorders>
              <w:top w:val="nil"/>
              <w:left w:val="nil"/>
              <w:bottom w:val="nil"/>
              <w:right w:val="nil"/>
            </w:tcBorders>
            <w:shd w:val="clear" w:color="auto" w:fill="auto"/>
            <w:noWrap/>
            <w:vAlign w:val="center"/>
            <w:hideMark/>
          </w:tcPr>
          <w:p w14:paraId="3755E54F" w14:textId="77777777"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GST</w:t>
            </w:r>
          </w:p>
        </w:tc>
        <w:tc>
          <w:tcPr>
            <w:tcW w:w="361" w:type="pct"/>
            <w:tcBorders>
              <w:top w:val="nil"/>
              <w:left w:val="nil"/>
              <w:bottom w:val="nil"/>
              <w:right w:val="nil"/>
            </w:tcBorders>
            <w:shd w:val="clear" w:color="auto" w:fill="auto"/>
            <w:noWrap/>
            <w:vAlign w:val="center"/>
            <w:hideMark/>
          </w:tcPr>
          <w:p w14:paraId="754ADFE3" w14:textId="77777777"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H25</w:t>
            </w:r>
          </w:p>
        </w:tc>
        <w:tc>
          <w:tcPr>
            <w:tcW w:w="2405" w:type="pct"/>
            <w:tcBorders>
              <w:top w:val="nil"/>
              <w:left w:val="nil"/>
              <w:bottom w:val="nil"/>
              <w:right w:val="nil"/>
            </w:tcBorders>
            <w:shd w:val="clear" w:color="auto" w:fill="auto"/>
            <w:vAlign w:val="center"/>
            <w:hideMark/>
          </w:tcPr>
          <w:p w14:paraId="547BFFA6" w14:textId="77777777"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Food</w:t>
            </w:r>
          </w:p>
        </w:tc>
        <w:tc>
          <w:tcPr>
            <w:tcW w:w="539" w:type="pct"/>
            <w:tcBorders>
              <w:top w:val="nil"/>
              <w:left w:val="nil"/>
              <w:bottom w:val="nil"/>
              <w:right w:val="nil"/>
            </w:tcBorders>
            <w:shd w:val="clear" w:color="auto" w:fill="auto"/>
            <w:noWrap/>
            <w:vAlign w:val="center"/>
            <w:hideMark/>
          </w:tcPr>
          <w:p w14:paraId="340B6AA2"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9,500</w:t>
            </w:r>
          </w:p>
        </w:tc>
        <w:tc>
          <w:tcPr>
            <w:tcW w:w="603" w:type="pct"/>
            <w:tcBorders>
              <w:top w:val="nil"/>
              <w:left w:val="nil"/>
              <w:bottom w:val="nil"/>
              <w:right w:val="nil"/>
            </w:tcBorders>
            <w:shd w:val="clear" w:color="auto" w:fill="auto"/>
            <w:vAlign w:val="center"/>
            <w:hideMark/>
          </w:tcPr>
          <w:p w14:paraId="35068ED6"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6.1</w:t>
            </w:r>
          </w:p>
        </w:tc>
        <w:tc>
          <w:tcPr>
            <w:tcW w:w="578" w:type="pct"/>
            <w:tcBorders>
              <w:top w:val="nil"/>
              <w:left w:val="nil"/>
              <w:bottom w:val="nil"/>
              <w:right w:val="nil"/>
            </w:tcBorders>
            <w:shd w:val="clear" w:color="auto" w:fill="auto"/>
            <w:vAlign w:val="center"/>
            <w:hideMark/>
          </w:tcPr>
          <w:p w14:paraId="57A2743E"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3.6</w:t>
            </w:r>
          </w:p>
        </w:tc>
      </w:tr>
      <w:tr w:rsidR="004E67E3" w:rsidRPr="00EC4BA6" w14:paraId="04989E21" w14:textId="77777777" w:rsidTr="004E67E3">
        <w:trPr>
          <w:divId w:val="92285206"/>
          <w:trHeight w:hRule="exact" w:val="225"/>
        </w:trPr>
        <w:tc>
          <w:tcPr>
            <w:tcW w:w="514" w:type="pct"/>
            <w:tcBorders>
              <w:top w:val="nil"/>
              <w:left w:val="nil"/>
              <w:bottom w:val="nil"/>
              <w:right w:val="nil"/>
            </w:tcBorders>
            <w:shd w:val="clear" w:color="auto" w:fill="auto"/>
            <w:noWrap/>
            <w:vAlign w:val="center"/>
            <w:hideMark/>
          </w:tcPr>
          <w:p w14:paraId="084CAB54" w14:textId="77777777"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GST</w:t>
            </w:r>
          </w:p>
        </w:tc>
        <w:tc>
          <w:tcPr>
            <w:tcW w:w="361" w:type="pct"/>
            <w:tcBorders>
              <w:top w:val="nil"/>
              <w:left w:val="nil"/>
              <w:bottom w:val="nil"/>
              <w:right w:val="nil"/>
            </w:tcBorders>
            <w:shd w:val="clear" w:color="auto" w:fill="auto"/>
            <w:noWrap/>
            <w:vAlign w:val="center"/>
            <w:hideMark/>
          </w:tcPr>
          <w:p w14:paraId="0055676C" w14:textId="77777777"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H17</w:t>
            </w:r>
          </w:p>
        </w:tc>
        <w:tc>
          <w:tcPr>
            <w:tcW w:w="2405" w:type="pct"/>
            <w:tcBorders>
              <w:top w:val="nil"/>
              <w:left w:val="nil"/>
              <w:bottom w:val="nil"/>
              <w:right w:val="nil"/>
            </w:tcBorders>
            <w:shd w:val="clear" w:color="auto" w:fill="auto"/>
            <w:vAlign w:val="center"/>
            <w:hideMark/>
          </w:tcPr>
          <w:p w14:paraId="676D4CA9" w14:textId="77777777"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Health – medical and health services</w:t>
            </w:r>
          </w:p>
        </w:tc>
        <w:tc>
          <w:tcPr>
            <w:tcW w:w="539" w:type="pct"/>
            <w:tcBorders>
              <w:top w:val="nil"/>
              <w:left w:val="nil"/>
              <w:bottom w:val="nil"/>
              <w:right w:val="nil"/>
            </w:tcBorders>
            <w:shd w:val="clear" w:color="auto" w:fill="auto"/>
            <w:noWrap/>
            <w:vAlign w:val="center"/>
            <w:hideMark/>
          </w:tcPr>
          <w:p w14:paraId="6722D299"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5,400</w:t>
            </w:r>
          </w:p>
        </w:tc>
        <w:tc>
          <w:tcPr>
            <w:tcW w:w="603" w:type="pct"/>
            <w:tcBorders>
              <w:top w:val="nil"/>
              <w:left w:val="nil"/>
              <w:bottom w:val="nil"/>
              <w:right w:val="nil"/>
            </w:tcBorders>
            <w:shd w:val="clear" w:color="auto" w:fill="auto"/>
            <w:vAlign w:val="center"/>
            <w:hideMark/>
          </w:tcPr>
          <w:p w14:paraId="3DF632B1"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5.0</w:t>
            </w:r>
          </w:p>
        </w:tc>
        <w:tc>
          <w:tcPr>
            <w:tcW w:w="578" w:type="pct"/>
            <w:tcBorders>
              <w:top w:val="nil"/>
              <w:left w:val="nil"/>
              <w:bottom w:val="nil"/>
              <w:right w:val="nil"/>
            </w:tcBorders>
            <w:shd w:val="clear" w:color="auto" w:fill="auto"/>
            <w:vAlign w:val="center"/>
            <w:hideMark/>
          </w:tcPr>
          <w:p w14:paraId="2903747D"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6.5</w:t>
            </w:r>
          </w:p>
        </w:tc>
      </w:tr>
      <w:tr w:rsidR="004E67E3" w:rsidRPr="00EC4BA6" w14:paraId="1E1870DD" w14:textId="77777777" w:rsidTr="004E67E3">
        <w:trPr>
          <w:divId w:val="92285206"/>
          <w:trHeight w:hRule="exact" w:val="225"/>
        </w:trPr>
        <w:tc>
          <w:tcPr>
            <w:tcW w:w="514" w:type="pct"/>
            <w:tcBorders>
              <w:top w:val="nil"/>
              <w:left w:val="nil"/>
              <w:bottom w:val="nil"/>
              <w:right w:val="nil"/>
            </w:tcBorders>
            <w:shd w:val="clear" w:color="auto" w:fill="auto"/>
            <w:noWrap/>
            <w:vAlign w:val="center"/>
            <w:hideMark/>
          </w:tcPr>
          <w:p w14:paraId="6DF70CBC" w14:textId="77777777"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GST</w:t>
            </w:r>
          </w:p>
        </w:tc>
        <w:tc>
          <w:tcPr>
            <w:tcW w:w="361" w:type="pct"/>
            <w:tcBorders>
              <w:top w:val="nil"/>
              <w:left w:val="nil"/>
              <w:bottom w:val="nil"/>
              <w:right w:val="nil"/>
            </w:tcBorders>
            <w:shd w:val="clear" w:color="auto" w:fill="auto"/>
            <w:noWrap/>
            <w:vAlign w:val="center"/>
            <w:hideMark/>
          </w:tcPr>
          <w:p w14:paraId="39B083B4" w14:textId="77777777"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H14</w:t>
            </w:r>
          </w:p>
        </w:tc>
        <w:tc>
          <w:tcPr>
            <w:tcW w:w="2405" w:type="pct"/>
            <w:tcBorders>
              <w:top w:val="nil"/>
              <w:left w:val="nil"/>
              <w:bottom w:val="nil"/>
              <w:right w:val="nil"/>
            </w:tcBorders>
            <w:shd w:val="clear" w:color="auto" w:fill="auto"/>
            <w:vAlign w:val="center"/>
            <w:hideMark/>
          </w:tcPr>
          <w:p w14:paraId="43B97086" w14:textId="77777777"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Education</w:t>
            </w:r>
          </w:p>
        </w:tc>
        <w:tc>
          <w:tcPr>
            <w:tcW w:w="539" w:type="pct"/>
            <w:tcBorders>
              <w:top w:val="nil"/>
              <w:left w:val="nil"/>
              <w:bottom w:val="nil"/>
              <w:right w:val="nil"/>
            </w:tcBorders>
            <w:shd w:val="clear" w:color="auto" w:fill="auto"/>
            <w:noWrap/>
            <w:vAlign w:val="center"/>
            <w:hideMark/>
          </w:tcPr>
          <w:p w14:paraId="3C1EA03E"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4,550</w:t>
            </w:r>
          </w:p>
        </w:tc>
        <w:tc>
          <w:tcPr>
            <w:tcW w:w="603" w:type="pct"/>
            <w:tcBorders>
              <w:top w:val="nil"/>
              <w:left w:val="nil"/>
              <w:bottom w:val="nil"/>
              <w:right w:val="nil"/>
            </w:tcBorders>
            <w:shd w:val="clear" w:color="auto" w:fill="auto"/>
            <w:vAlign w:val="center"/>
            <w:hideMark/>
          </w:tcPr>
          <w:p w14:paraId="7DF64303"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6.6</w:t>
            </w:r>
          </w:p>
        </w:tc>
        <w:tc>
          <w:tcPr>
            <w:tcW w:w="578" w:type="pct"/>
            <w:tcBorders>
              <w:top w:val="nil"/>
              <w:left w:val="nil"/>
              <w:bottom w:val="nil"/>
              <w:right w:val="nil"/>
            </w:tcBorders>
            <w:shd w:val="clear" w:color="auto" w:fill="auto"/>
            <w:vAlign w:val="center"/>
            <w:hideMark/>
          </w:tcPr>
          <w:p w14:paraId="6B75B7C8"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5.4</w:t>
            </w:r>
          </w:p>
        </w:tc>
      </w:tr>
      <w:tr w:rsidR="004E67E3" w:rsidRPr="00EC4BA6" w14:paraId="48544DAF" w14:textId="77777777" w:rsidTr="004E67E3">
        <w:trPr>
          <w:divId w:val="92285206"/>
          <w:trHeight w:hRule="exact" w:val="225"/>
        </w:trPr>
        <w:tc>
          <w:tcPr>
            <w:tcW w:w="514" w:type="pct"/>
            <w:tcBorders>
              <w:top w:val="nil"/>
              <w:left w:val="nil"/>
              <w:bottom w:val="nil"/>
              <w:right w:val="nil"/>
            </w:tcBorders>
            <w:shd w:val="clear" w:color="auto" w:fill="auto"/>
            <w:noWrap/>
            <w:vAlign w:val="center"/>
            <w:hideMark/>
          </w:tcPr>
          <w:p w14:paraId="2AAE95D8" w14:textId="77777777"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Income</w:t>
            </w:r>
          </w:p>
        </w:tc>
        <w:tc>
          <w:tcPr>
            <w:tcW w:w="361" w:type="pct"/>
            <w:tcBorders>
              <w:top w:val="nil"/>
              <w:left w:val="nil"/>
              <w:bottom w:val="nil"/>
              <w:right w:val="nil"/>
            </w:tcBorders>
            <w:shd w:val="clear" w:color="auto" w:fill="auto"/>
            <w:noWrap/>
            <w:vAlign w:val="center"/>
            <w:hideMark/>
          </w:tcPr>
          <w:p w14:paraId="06B744DB" w14:textId="77777777"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A27</w:t>
            </w:r>
          </w:p>
        </w:tc>
        <w:tc>
          <w:tcPr>
            <w:tcW w:w="2405" w:type="pct"/>
            <w:tcBorders>
              <w:top w:val="nil"/>
              <w:left w:val="nil"/>
              <w:bottom w:val="nil"/>
              <w:right w:val="nil"/>
            </w:tcBorders>
            <w:shd w:val="clear" w:color="auto" w:fill="auto"/>
            <w:vAlign w:val="center"/>
            <w:hideMark/>
          </w:tcPr>
          <w:p w14:paraId="3FD940AD" w14:textId="77777777"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Exemption of Child Care Assistance payments</w:t>
            </w:r>
          </w:p>
        </w:tc>
        <w:tc>
          <w:tcPr>
            <w:tcW w:w="539" w:type="pct"/>
            <w:tcBorders>
              <w:top w:val="nil"/>
              <w:left w:val="nil"/>
              <w:bottom w:val="nil"/>
              <w:right w:val="nil"/>
            </w:tcBorders>
            <w:shd w:val="clear" w:color="auto" w:fill="auto"/>
            <w:noWrap/>
            <w:vAlign w:val="center"/>
            <w:hideMark/>
          </w:tcPr>
          <w:p w14:paraId="0C9312C1"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4,100</w:t>
            </w:r>
          </w:p>
        </w:tc>
        <w:tc>
          <w:tcPr>
            <w:tcW w:w="603" w:type="pct"/>
            <w:tcBorders>
              <w:top w:val="nil"/>
              <w:left w:val="nil"/>
              <w:bottom w:val="nil"/>
              <w:right w:val="nil"/>
            </w:tcBorders>
            <w:shd w:val="clear" w:color="auto" w:fill="auto"/>
            <w:vAlign w:val="center"/>
            <w:hideMark/>
          </w:tcPr>
          <w:p w14:paraId="01432ACB"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20.8</w:t>
            </w:r>
          </w:p>
        </w:tc>
        <w:tc>
          <w:tcPr>
            <w:tcW w:w="578" w:type="pct"/>
            <w:tcBorders>
              <w:top w:val="nil"/>
              <w:left w:val="nil"/>
              <w:bottom w:val="nil"/>
              <w:right w:val="nil"/>
            </w:tcBorders>
            <w:shd w:val="clear" w:color="auto" w:fill="auto"/>
            <w:vAlign w:val="center"/>
            <w:hideMark/>
          </w:tcPr>
          <w:p w14:paraId="08CD5576"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4.9</w:t>
            </w:r>
          </w:p>
        </w:tc>
      </w:tr>
      <w:tr w:rsidR="004E67E3" w:rsidRPr="00EC4BA6" w14:paraId="2CD334C6" w14:textId="77777777" w:rsidTr="004E67E3">
        <w:trPr>
          <w:divId w:val="92285206"/>
          <w:trHeight w:hRule="exact" w:val="225"/>
        </w:trPr>
        <w:tc>
          <w:tcPr>
            <w:tcW w:w="514" w:type="pct"/>
            <w:tcBorders>
              <w:top w:val="nil"/>
              <w:left w:val="nil"/>
              <w:bottom w:val="nil"/>
              <w:right w:val="nil"/>
            </w:tcBorders>
            <w:shd w:val="clear" w:color="auto" w:fill="auto"/>
            <w:noWrap/>
            <w:vAlign w:val="center"/>
            <w:hideMark/>
          </w:tcPr>
          <w:p w14:paraId="6535124B" w14:textId="77777777"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Income</w:t>
            </w:r>
          </w:p>
        </w:tc>
        <w:tc>
          <w:tcPr>
            <w:tcW w:w="361" w:type="pct"/>
            <w:tcBorders>
              <w:top w:val="nil"/>
              <w:left w:val="nil"/>
              <w:bottom w:val="nil"/>
              <w:right w:val="nil"/>
            </w:tcBorders>
            <w:shd w:val="clear" w:color="auto" w:fill="auto"/>
            <w:noWrap/>
            <w:vAlign w:val="center"/>
            <w:hideMark/>
          </w:tcPr>
          <w:p w14:paraId="400BB5FE" w14:textId="77777777"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B63</w:t>
            </w:r>
          </w:p>
        </w:tc>
        <w:tc>
          <w:tcPr>
            <w:tcW w:w="2405" w:type="pct"/>
            <w:tcBorders>
              <w:top w:val="nil"/>
              <w:left w:val="nil"/>
              <w:bottom w:val="nil"/>
              <w:right w:val="nil"/>
            </w:tcBorders>
            <w:shd w:val="clear" w:color="auto" w:fill="auto"/>
            <w:vAlign w:val="center"/>
            <w:hideMark/>
          </w:tcPr>
          <w:p w14:paraId="1C519696" w14:textId="77777777"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Lower tax rate for small companies</w:t>
            </w:r>
          </w:p>
        </w:tc>
        <w:tc>
          <w:tcPr>
            <w:tcW w:w="539" w:type="pct"/>
            <w:tcBorders>
              <w:top w:val="nil"/>
              <w:left w:val="nil"/>
              <w:bottom w:val="nil"/>
              <w:right w:val="nil"/>
            </w:tcBorders>
            <w:shd w:val="clear" w:color="auto" w:fill="auto"/>
            <w:noWrap/>
            <w:vAlign w:val="center"/>
            <w:hideMark/>
          </w:tcPr>
          <w:p w14:paraId="010AACA5"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3,500</w:t>
            </w:r>
          </w:p>
        </w:tc>
        <w:tc>
          <w:tcPr>
            <w:tcW w:w="603" w:type="pct"/>
            <w:tcBorders>
              <w:top w:val="nil"/>
              <w:left w:val="nil"/>
              <w:bottom w:val="nil"/>
              <w:right w:val="nil"/>
            </w:tcBorders>
            <w:shd w:val="clear" w:color="auto" w:fill="auto"/>
            <w:vAlign w:val="center"/>
            <w:hideMark/>
          </w:tcPr>
          <w:p w14:paraId="118DF99B"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11.1</w:t>
            </w:r>
          </w:p>
        </w:tc>
        <w:tc>
          <w:tcPr>
            <w:tcW w:w="578" w:type="pct"/>
            <w:tcBorders>
              <w:top w:val="nil"/>
              <w:left w:val="nil"/>
              <w:bottom w:val="nil"/>
              <w:right w:val="nil"/>
            </w:tcBorders>
            <w:shd w:val="clear" w:color="auto" w:fill="auto"/>
            <w:vAlign w:val="center"/>
            <w:hideMark/>
          </w:tcPr>
          <w:p w14:paraId="0EAD639D"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2.6</w:t>
            </w:r>
          </w:p>
        </w:tc>
      </w:tr>
      <w:tr w:rsidR="004E67E3" w:rsidRPr="00EC4BA6" w14:paraId="62CB61E1" w14:textId="77777777" w:rsidTr="004E67E3">
        <w:trPr>
          <w:divId w:val="92285206"/>
          <w:trHeight w:hRule="exact" w:val="225"/>
        </w:trPr>
        <w:tc>
          <w:tcPr>
            <w:tcW w:w="514" w:type="pct"/>
            <w:tcBorders>
              <w:top w:val="nil"/>
              <w:left w:val="nil"/>
              <w:bottom w:val="nil"/>
              <w:right w:val="nil"/>
            </w:tcBorders>
            <w:shd w:val="clear" w:color="auto" w:fill="auto"/>
            <w:noWrap/>
            <w:vAlign w:val="center"/>
            <w:hideMark/>
          </w:tcPr>
          <w:p w14:paraId="3D9C4AA3" w14:textId="77777777"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GST</w:t>
            </w:r>
          </w:p>
        </w:tc>
        <w:tc>
          <w:tcPr>
            <w:tcW w:w="361" w:type="pct"/>
            <w:tcBorders>
              <w:top w:val="nil"/>
              <w:left w:val="nil"/>
              <w:bottom w:val="nil"/>
              <w:right w:val="nil"/>
            </w:tcBorders>
            <w:shd w:val="clear" w:color="auto" w:fill="auto"/>
            <w:noWrap/>
            <w:vAlign w:val="center"/>
            <w:hideMark/>
          </w:tcPr>
          <w:p w14:paraId="2FE821F9" w14:textId="77777777"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H2</w:t>
            </w:r>
          </w:p>
        </w:tc>
        <w:tc>
          <w:tcPr>
            <w:tcW w:w="2405" w:type="pct"/>
            <w:tcBorders>
              <w:top w:val="nil"/>
              <w:left w:val="nil"/>
              <w:bottom w:val="nil"/>
              <w:right w:val="nil"/>
            </w:tcBorders>
            <w:shd w:val="clear" w:color="auto" w:fill="auto"/>
            <w:vAlign w:val="center"/>
            <w:hideMark/>
          </w:tcPr>
          <w:p w14:paraId="776C2C03" w14:textId="77777777"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Financial supplies – input taxed treatment</w:t>
            </w:r>
          </w:p>
        </w:tc>
        <w:tc>
          <w:tcPr>
            <w:tcW w:w="539" w:type="pct"/>
            <w:tcBorders>
              <w:top w:val="nil"/>
              <w:left w:val="nil"/>
              <w:bottom w:val="nil"/>
              <w:right w:val="nil"/>
            </w:tcBorders>
            <w:shd w:val="clear" w:color="auto" w:fill="auto"/>
            <w:noWrap/>
            <w:vAlign w:val="center"/>
            <w:hideMark/>
          </w:tcPr>
          <w:p w14:paraId="0BE17823"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3,500</w:t>
            </w:r>
          </w:p>
        </w:tc>
        <w:tc>
          <w:tcPr>
            <w:tcW w:w="603" w:type="pct"/>
            <w:tcBorders>
              <w:top w:val="nil"/>
              <w:left w:val="nil"/>
              <w:bottom w:val="nil"/>
              <w:right w:val="nil"/>
            </w:tcBorders>
            <w:shd w:val="clear" w:color="auto" w:fill="auto"/>
            <w:vAlign w:val="center"/>
            <w:hideMark/>
          </w:tcPr>
          <w:p w14:paraId="63CA92BB"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3.7</w:t>
            </w:r>
          </w:p>
        </w:tc>
        <w:tc>
          <w:tcPr>
            <w:tcW w:w="578" w:type="pct"/>
            <w:tcBorders>
              <w:top w:val="nil"/>
              <w:left w:val="nil"/>
              <w:bottom w:val="nil"/>
              <w:right w:val="nil"/>
            </w:tcBorders>
            <w:shd w:val="clear" w:color="auto" w:fill="auto"/>
            <w:vAlign w:val="center"/>
            <w:hideMark/>
          </w:tcPr>
          <w:p w14:paraId="6D6BFCBA"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4.5</w:t>
            </w:r>
          </w:p>
        </w:tc>
      </w:tr>
      <w:tr w:rsidR="004E67E3" w:rsidRPr="00EC4BA6" w14:paraId="3A1A3335" w14:textId="77777777" w:rsidTr="004E67E3">
        <w:trPr>
          <w:divId w:val="92285206"/>
          <w:trHeight w:hRule="exact" w:val="450"/>
        </w:trPr>
        <w:tc>
          <w:tcPr>
            <w:tcW w:w="514" w:type="pct"/>
            <w:tcBorders>
              <w:top w:val="nil"/>
              <w:left w:val="nil"/>
              <w:bottom w:val="nil"/>
              <w:right w:val="nil"/>
            </w:tcBorders>
            <w:shd w:val="clear" w:color="auto" w:fill="auto"/>
            <w:noWrap/>
            <w:vAlign w:val="center"/>
            <w:hideMark/>
          </w:tcPr>
          <w:p w14:paraId="2F76EDC0" w14:textId="77777777"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FBT</w:t>
            </w:r>
          </w:p>
        </w:tc>
        <w:tc>
          <w:tcPr>
            <w:tcW w:w="361" w:type="pct"/>
            <w:tcBorders>
              <w:top w:val="nil"/>
              <w:left w:val="nil"/>
              <w:bottom w:val="nil"/>
              <w:right w:val="nil"/>
            </w:tcBorders>
            <w:shd w:val="clear" w:color="auto" w:fill="auto"/>
            <w:noWrap/>
            <w:vAlign w:val="center"/>
            <w:hideMark/>
          </w:tcPr>
          <w:p w14:paraId="008B9FA4" w14:textId="77777777"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D15</w:t>
            </w:r>
          </w:p>
        </w:tc>
        <w:tc>
          <w:tcPr>
            <w:tcW w:w="2405" w:type="pct"/>
            <w:tcBorders>
              <w:top w:val="nil"/>
              <w:left w:val="nil"/>
              <w:bottom w:val="nil"/>
              <w:right w:val="nil"/>
            </w:tcBorders>
            <w:shd w:val="clear" w:color="auto" w:fill="auto"/>
            <w:vAlign w:val="center"/>
            <w:hideMark/>
          </w:tcPr>
          <w:p w14:paraId="07781599" w14:textId="77777777"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Exemption for public benevolent institutions (excluding hospitals)</w:t>
            </w:r>
          </w:p>
        </w:tc>
        <w:tc>
          <w:tcPr>
            <w:tcW w:w="539" w:type="pct"/>
            <w:tcBorders>
              <w:top w:val="nil"/>
              <w:left w:val="nil"/>
              <w:bottom w:val="nil"/>
              <w:right w:val="nil"/>
            </w:tcBorders>
            <w:shd w:val="clear" w:color="auto" w:fill="auto"/>
            <w:noWrap/>
            <w:vAlign w:val="center"/>
            <w:hideMark/>
          </w:tcPr>
          <w:p w14:paraId="24E138D8"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2,950</w:t>
            </w:r>
          </w:p>
        </w:tc>
        <w:tc>
          <w:tcPr>
            <w:tcW w:w="603" w:type="pct"/>
            <w:tcBorders>
              <w:top w:val="nil"/>
              <w:left w:val="nil"/>
              <w:bottom w:val="nil"/>
              <w:right w:val="nil"/>
            </w:tcBorders>
            <w:shd w:val="clear" w:color="auto" w:fill="auto"/>
            <w:vAlign w:val="center"/>
            <w:hideMark/>
          </w:tcPr>
          <w:p w14:paraId="6F4E8687"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11.5</w:t>
            </w:r>
          </w:p>
        </w:tc>
        <w:tc>
          <w:tcPr>
            <w:tcW w:w="578" w:type="pct"/>
            <w:tcBorders>
              <w:top w:val="nil"/>
              <w:left w:val="nil"/>
              <w:bottom w:val="nil"/>
              <w:right w:val="nil"/>
            </w:tcBorders>
            <w:shd w:val="clear" w:color="auto" w:fill="auto"/>
            <w:vAlign w:val="center"/>
            <w:hideMark/>
          </w:tcPr>
          <w:p w14:paraId="328BD940"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3.1</w:t>
            </w:r>
          </w:p>
        </w:tc>
      </w:tr>
      <w:tr w:rsidR="004E67E3" w:rsidRPr="00EC4BA6" w14:paraId="10CACDAC" w14:textId="77777777" w:rsidTr="004E67E3">
        <w:trPr>
          <w:divId w:val="92285206"/>
          <w:trHeight w:hRule="exact" w:val="450"/>
        </w:trPr>
        <w:tc>
          <w:tcPr>
            <w:tcW w:w="514" w:type="pct"/>
            <w:tcBorders>
              <w:top w:val="nil"/>
              <w:left w:val="nil"/>
              <w:bottom w:val="nil"/>
              <w:right w:val="nil"/>
            </w:tcBorders>
            <w:shd w:val="clear" w:color="auto" w:fill="auto"/>
            <w:noWrap/>
            <w:vAlign w:val="center"/>
            <w:hideMark/>
          </w:tcPr>
          <w:p w14:paraId="1A2B529F" w14:textId="77777777"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Income</w:t>
            </w:r>
          </w:p>
        </w:tc>
        <w:tc>
          <w:tcPr>
            <w:tcW w:w="361" w:type="pct"/>
            <w:tcBorders>
              <w:top w:val="nil"/>
              <w:left w:val="nil"/>
              <w:bottom w:val="nil"/>
              <w:right w:val="nil"/>
            </w:tcBorders>
            <w:shd w:val="clear" w:color="auto" w:fill="auto"/>
            <w:noWrap/>
            <w:vAlign w:val="center"/>
            <w:hideMark/>
          </w:tcPr>
          <w:p w14:paraId="0B0D537D" w14:textId="77777777"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B11</w:t>
            </w:r>
          </w:p>
        </w:tc>
        <w:tc>
          <w:tcPr>
            <w:tcW w:w="2405" w:type="pct"/>
            <w:tcBorders>
              <w:top w:val="nil"/>
              <w:left w:val="nil"/>
              <w:bottom w:val="nil"/>
              <w:right w:val="nil"/>
            </w:tcBorders>
            <w:shd w:val="clear" w:color="auto" w:fill="auto"/>
            <w:vAlign w:val="center"/>
            <w:hideMark/>
          </w:tcPr>
          <w:p w14:paraId="19489EF4" w14:textId="77777777"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Exemption from interest withholding tax on certain securities</w:t>
            </w:r>
          </w:p>
        </w:tc>
        <w:tc>
          <w:tcPr>
            <w:tcW w:w="539" w:type="pct"/>
            <w:tcBorders>
              <w:top w:val="nil"/>
              <w:left w:val="nil"/>
              <w:bottom w:val="nil"/>
              <w:right w:val="nil"/>
            </w:tcBorders>
            <w:shd w:val="clear" w:color="auto" w:fill="auto"/>
            <w:noWrap/>
            <w:vAlign w:val="center"/>
            <w:hideMark/>
          </w:tcPr>
          <w:p w14:paraId="1206C77E"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2,930</w:t>
            </w:r>
          </w:p>
        </w:tc>
        <w:tc>
          <w:tcPr>
            <w:tcW w:w="603" w:type="pct"/>
            <w:tcBorders>
              <w:top w:val="nil"/>
              <w:left w:val="nil"/>
              <w:bottom w:val="nil"/>
              <w:right w:val="nil"/>
            </w:tcBorders>
            <w:shd w:val="clear" w:color="auto" w:fill="auto"/>
            <w:vAlign w:val="center"/>
            <w:hideMark/>
          </w:tcPr>
          <w:p w14:paraId="291FDFE0"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11.5</w:t>
            </w:r>
          </w:p>
        </w:tc>
        <w:tc>
          <w:tcPr>
            <w:tcW w:w="578" w:type="pct"/>
            <w:tcBorders>
              <w:top w:val="nil"/>
              <w:left w:val="nil"/>
              <w:bottom w:val="nil"/>
              <w:right w:val="nil"/>
            </w:tcBorders>
            <w:shd w:val="clear" w:color="auto" w:fill="auto"/>
            <w:vAlign w:val="center"/>
            <w:hideMark/>
          </w:tcPr>
          <w:p w14:paraId="46DC6992"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0.3</w:t>
            </w:r>
          </w:p>
        </w:tc>
      </w:tr>
      <w:tr w:rsidR="004E67E3" w:rsidRPr="00EC4BA6" w14:paraId="0F49D5B4" w14:textId="77777777" w:rsidTr="004E67E3">
        <w:trPr>
          <w:divId w:val="92285206"/>
          <w:trHeight w:hRule="exact" w:val="450"/>
        </w:trPr>
        <w:tc>
          <w:tcPr>
            <w:tcW w:w="514" w:type="pct"/>
            <w:tcBorders>
              <w:top w:val="nil"/>
              <w:left w:val="nil"/>
              <w:bottom w:val="nil"/>
              <w:right w:val="nil"/>
            </w:tcBorders>
            <w:shd w:val="clear" w:color="auto" w:fill="auto"/>
            <w:noWrap/>
            <w:vAlign w:val="center"/>
            <w:hideMark/>
          </w:tcPr>
          <w:p w14:paraId="4F410BD6" w14:textId="77777777"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Income</w:t>
            </w:r>
          </w:p>
        </w:tc>
        <w:tc>
          <w:tcPr>
            <w:tcW w:w="361" w:type="pct"/>
            <w:tcBorders>
              <w:top w:val="nil"/>
              <w:left w:val="nil"/>
              <w:bottom w:val="nil"/>
              <w:right w:val="nil"/>
            </w:tcBorders>
            <w:shd w:val="clear" w:color="auto" w:fill="auto"/>
            <w:noWrap/>
            <w:vAlign w:val="center"/>
            <w:hideMark/>
          </w:tcPr>
          <w:p w14:paraId="0D6FEE1B" w14:textId="77777777"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A20</w:t>
            </w:r>
          </w:p>
        </w:tc>
        <w:tc>
          <w:tcPr>
            <w:tcW w:w="2405" w:type="pct"/>
            <w:tcBorders>
              <w:top w:val="nil"/>
              <w:left w:val="nil"/>
              <w:bottom w:val="nil"/>
              <w:right w:val="nil"/>
            </w:tcBorders>
            <w:shd w:val="clear" w:color="auto" w:fill="auto"/>
            <w:vAlign w:val="center"/>
            <w:hideMark/>
          </w:tcPr>
          <w:p w14:paraId="1A0E41BA" w14:textId="62A3C935"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Medicare levy exemption for residents with taxable income below the low</w:t>
            </w:r>
            <w:r w:rsidRPr="00EC4BA6">
              <w:rPr>
                <w:rFonts w:ascii="Arial" w:hAnsi="Arial" w:cs="Arial"/>
                <w:sz w:val="16"/>
                <w:szCs w:val="16"/>
              </w:rPr>
              <w:softHyphen/>
            </w:r>
            <w:r w:rsidRPr="00EC4BA6">
              <w:rPr>
                <w:rFonts w:ascii="Arial" w:hAnsi="Arial" w:cs="Arial"/>
                <w:sz w:val="16"/>
                <w:szCs w:val="16"/>
              </w:rPr>
              <w:softHyphen/>
            </w:r>
            <w:r w:rsidRPr="00EC4BA6">
              <w:rPr>
                <w:rFonts w:ascii="Arial" w:hAnsi="Arial" w:cs="Arial"/>
                <w:sz w:val="16"/>
                <w:szCs w:val="16"/>
              </w:rPr>
              <w:softHyphen/>
            </w:r>
            <w:r w:rsidR="001A3DD6">
              <w:rPr>
                <w:rFonts w:ascii="Arial" w:hAnsi="Arial" w:cs="Arial"/>
                <w:sz w:val="16"/>
                <w:szCs w:val="16"/>
              </w:rPr>
              <w:noBreakHyphen/>
            </w:r>
            <w:r w:rsidRPr="00EC4BA6">
              <w:rPr>
                <w:rFonts w:ascii="Arial" w:hAnsi="Arial" w:cs="Arial"/>
                <w:sz w:val="16"/>
                <w:szCs w:val="16"/>
              </w:rPr>
              <w:t>income thresholds</w:t>
            </w:r>
          </w:p>
        </w:tc>
        <w:tc>
          <w:tcPr>
            <w:tcW w:w="539" w:type="pct"/>
            <w:tcBorders>
              <w:top w:val="nil"/>
              <w:left w:val="nil"/>
              <w:bottom w:val="nil"/>
              <w:right w:val="nil"/>
            </w:tcBorders>
            <w:shd w:val="clear" w:color="auto" w:fill="auto"/>
            <w:noWrap/>
            <w:vAlign w:val="center"/>
            <w:hideMark/>
          </w:tcPr>
          <w:p w14:paraId="2FFC2DB9"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2,750</w:t>
            </w:r>
          </w:p>
        </w:tc>
        <w:tc>
          <w:tcPr>
            <w:tcW w:w="603" w:type="pct"/>
            <w:tcBorders>
              <w:top w:val="nil"/>
              <w:left w:val="nil"/>
              <w:bottom w:val="nil"/>
              <w:right w:val="nil"/>
            </w:tcBorders>
            <w:shd w:val="clear" w:color="auto" w:fill="auto"/>
            <w:vAlign w:val="center"/>
            <w:hideMark/>
          </w:tcPr>
          <w:p w14:paraId="7872F20A"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1.9</w:t>
            </w:r>
          </w:p>
        </w:tc>
        <w:tc>
          <w:tcPr>
            <w:tcW w:w="578" w:type="pct"/>
            <w:tcBorders>
              <w:top w:val="nil"/>
              <w:left w:val="nil"/>
              <w:bottom w:val="nil"/>
              <w:right w:val="nil"/>
            </w:tcBorders>
            <w:shd w:val="clear" w:color="auto" w:fill="auto"/>
            <w:vAlign w:val="center"/>
            <w:hideMark/>
          </w:tcPr>
          <w:p w14:paraId="6CBC4FAF"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0.5</w:t>
            </w:r>
          </w:p>
        </w:tc>
      </w:tr>
      <w:tr w:rsidR="004E67E3" w:rsidRPr="00EC4BA6" w14:paraId="59CAB691" w14:textId="77777777" w:rsidTr="004E67E3">
        <w:trPr>
          <w:divId w:val="92285206"/>
          <w:trHeight w:hRule="exact" w:val="450"/>
        </w:trPr>
        <w:tc>
          <w:tcPr>
            <w:tcW w:w="514" w:type="pct"/>
            <w:tcBorders>
              <w:top w:val="nil"/>
              <w:left w:val="nil"/>
              <w:bottom w:val="nil"/>
              <w:right w:val="nil"/>
            </w:tcBorders>
            <w:shd w:val="clear" w:color="auto" w:fill="auto"/>
            <w:noWrap/>
            <w:vAlign w:val="center"/>
            <w:hideMark/>
          </w:tcPr>
          <w:p w14:paraId="1E9807E0" w14:textId="77777777"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Income</w:t>
            </w:r>
          </w:p>
        </w:tc>
        <w:tc>
          <w:tcPr>
            <w:tcW w:w="361" w:type="pct"/>
            <w:tcBorders>
              <w:top w:val="nil"/>
              <w:left w:val="nil"/>
              <w:bottom w:val="nil"/>
              <w:right w:val="nil"/>
            </w:tcBorders>
            <w:shd w:val="clear" w:color="auto" w:fill="auto"/>
            <w:noWrap/>
            <w:vAlign w:val="center"/>
            <w:hideMark/>
          </w:tcPr>
          <w:p w14:paraId="4972D9AB" w14:textId="77777777"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A24</w:t>
            </w:r>
          </w:p>
        </w:tc>
        <w:tc>
          <w:tcPr>
            <w:tcW w:w="2405" w:type="pct"/>
            <w:tcBorders>
              <w:top w:val="nil"/>
              <w:left w:val="nil"/>
              <w:bottom w:val="nil"/>
              <w:right w:val="nil"/>
            </w:tcBorders>
            <w:shd w:val="clear" w:color="auto" w:fill="auto"/>
            <w:vAlign w:val="center"/>
            <w:hideMark/>
          </w:tcPr>
          <w:p w14:paraId="56153EED" w14:textId="6083CEEF"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Concessional taxation of non</w:t>
            </w:r>
            <w:r w:rsidR="001A3DD6">
              <w:rPr>
                <w:rFonts w:ascii="Arial" w:hAnsi="Arial" w:cs="Arial"/>
                <w:sz w:val="16"/>
                <w:szCs w:val="16"/>
              </w:rPr>
              <w:noBreakHyphen/>
            </w:r>
            <w:r w:rsidRPr="00EC4BA6">
              <w:rPr>
                <w:rFonts w:ascii="Arial" w:hAnsi="Arial" w:cs="Arial"/>
                <w:sz w:val="16"/>
                <w:szCs w:val="16"/>
              </w:rPr>
              <w:t>superannuation termination benefits</w:t>
            </w:r>
          </w:p>
        </w:tc>
        <w:tc>
          <w:tcPr>
            <w:tcW w:w="539" w:type="pct"/>
            <w:tcBorders>
              <w:top w:val="nil"/>
              <w:left w:val="nil"/>
              <w:bottom w:val="nil"/>
              <w:right w:val="nil"/>
            </w:tcBorders>
            <w:shd w:val="clear" w:color="auto" w:fill="auto"/>
            <w:noWrap/>
            <w:vAlign w:val="center"/>
            <w:hideMark/>
          </w:tcPr>
          <w:p w14:paraId="081BE0B8"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2,700</w:t>
            </w:r>
          </w:p>
        </w:tc>
        <w:tc>
          <w:tcPr>
            <w:tcW w:w="603" w:type="pct"/>
            <w:tcBorders>
              <w:top w:val="nil"/>
              <w:left w:val="nil"/>
              <w:bottom w:val="nil"/>
              <w:right w:val="nil"/>
            </w:tcBorders>
            <w:shd w:val="clear" w:color="auto" w:fill="auto"/>
            <w:vAlign w:val="center"/>
            <w:hideMark/>
          </w:tcPr>
          <w:p w14:paraId="3088A56C" w14:textId="02C75034" w:rsidR="004E67E3" w:rsidRPr="00EC4BA6" w:rsidRDefault="001A3DD6" w:rsidP="004E67E3">
            <w:pPr>
              <w:spacing w:before="0" w:after="0" w:line="240" w:lineRule="auto"/>
              <w:jc w:val="right"/>
              <w:rPr>
                <w:rFonts w:ascii="Arial" w:hAnsi="Arial" w:cs="Arial"/>
                <w:sz w:val="16"/>
                <w:szCs w:val="16"/>
              </w:rPr>
            </w:pPr>
            <w:r>
              <w:rPr>
                <w:rFonts w:ascii="Arial" w:hAnsi="Arial" w:cs="Arial"/>
                <w:sz w:val="16"/>
                <w:szCs w:val="16"/>
              </w:rPr>
              <w:noBreakHyphen/>
            </w:r>
            <w:r w:rsidR="004E67E3" w:rsidRPr="00EC4BA6">
              <w:rPr>
                <w:rFonts w:ascii="Arial" w:hAnsi="Arial" w:cs="Arial"/>
                <w:sz w:val="16"/>
                <w:szCs w:val="16"/>
              </w:rPr>
              <w:t>5.5</w:t>
            </w:r>
          </w:p>
        </w:tc>
        <w:tc>
          <w:tcPr>
            <w:tcW w:w="578" w:type="pct"/>
            <w:tcBorders>
              <w:top w:val="nil"/>
              <w:left w:val="nil"/>
              <w:bottom w:val="nil"/>
              <w:right w:val="nil"/>
            </w:tcBorders>
            <w:shd w:val="clear" w:color="auto" w:fill="auto"/>
            <w:vAlign w:val="center"/>
            <w:hideMark/>
          </w:tcPr>
          <w:p w14:paraId="053EEB04"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N/A</w:t>
            </w:r>
          </w:p>
        </w:tc>
      </w:tr>
      <w:tr w:rsidR="004E67E3" w:rsidRPr="00EC4BA6" w14:paraId="7A50A502" w14:textId="77777777" w:rsidTr="004E67E3">
        <w:trPr>
          <w:divId w:val="92285206"/>
          <w:trHeight w:hRule="exact" w:val="675"/>
        </w:trPr>
        <w:tc>
          <w:tcPr>
            <w:tcW w:w="514" w:type="pct"/>
            <w:tcBorders>
              <w:top w:val="nil"/>
              <w:left w:val="nil"/>
              <w:bottom w:val="nil"/>
              <w:right w:val="nil"/>
            </w:tcBorders>
            <w:shd w:val="clear" w:color="auto" w:fill="auto"/>
            <w:noWrap/>
            <w:vAlign w:val="center"/>
            <w:hideMark/>
          </w:tcPr>
          <w:p w14:paraId="50CAC8C5" w14:textId="77777777"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Super</w:t>
            </w:r>
          </w:p>
        </w:tc>
        <w:tc>
          <w:tcPr>
            <w:tcW w:w="361" w:type="pct"/>
            <w:tcBorders>
              <w:top w:val="nil"/>
              <w:left w:val="nil"/>
              <w:bottom w:val="nil"/>
              <w:right w:val="nil"/>
            </w:tcBorders>
            <w:shd w:val="clear" w:color="auto" w:fill="auto"/>
            <w:noWrap/>
            <w:vAlign w:val="center"/>
            <w:hideMark/>
          </w:tcPr>
          <w:p w14:paraId="0E84FD38" w14:textId="77777777"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C6</w:t>
            </w:r>
          </w:p>
        </w:tc>
        <w:tc>
          <w:tcPr>
            <w:tcW w:w="2405" w:type="pct"/>
            <w:tcBorders>
              <w:top w:val="nil"/>
              <w:left w:val="nil"/>
              <w:bottom w:val="nil"/>
              <w:right w:val="nil"/>
            </w:tcBorders>
            <w:shd w:val="clear" w:color="auto" w:fill="auto"/>
            <w:vAlign w:val="center"/>
            <w:hideMark/>
          </w:tcPr>
          <w:p w14:paraId="1EF3040B" w14:textId="77777777"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Deductibility of life and total and permanent disability insurance premiums provided inside of superannuation</w:t>
            </w:r>
          </w:p>
        </w:tc>
        <w:tc>
          <w:tcPr>
            <w:tcW w:w="539" w:type="pct"/>
            <w:tcBorders>
              <w:top w:val="nil"/>
              <w:left w:val="nil"/>
              <w:bottom w:val="nil"/>
              <w:right w:val="nil"/>
            </w:tcBorders>
            <w:shd w:val="clear" w:color="auto" w:fill="auto"/>
            <w:noWrap/>
            <w:vAlign w:val="center"/>
            <w:hideMark/>
          </w:tcPr>
          <w:p w14:paraId="6BEEE466"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2,340</w:t>
            </w:r>
          </w:p>
        </w:tc>
        <w:tc>
          <w:tcPr>
            <w:tcW w:w="603" w:type="pct"/>
            <w:tcBorders>
              <w:top w:val="nil"/>
              <w:left w:val="nil"/>
              <w:bottom w:val="nil"/>
              <w:right w:val="nil"/>
            </w:tcBorders>
            <w:shd w:val="clear" w:color="auto" w:fill="auto"/>
            <w:vAlign w:val="center"/>
            <w:hideMark/>
          </w:tcPr>
          <w:p w14:paraId="46BD050E"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4.6</w:t>
            </w:r>
          </w:p>
        </w:tc>
        <w:tc>
          <w:tcPr>
            <w:tcW w:w="578" w:type="pct"/>
            <w:tcBorders>
              <w:top w:val="nil"/>
              <w:left w:val="nil"/>
              <w:bottom w:val="nil"/>
              <w:right w:val="nil"/>
            </w:tcBorders>
            <w:shd w:val="clear" w:color="auto" w:fill="auto"/>
            <w:vAlign w:val="center"/>
            <w:hideMark/>
          </w:tcPr>
          <w:p w14:paraId="5C77C86B"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4.0</w:t>
            </w:r>
          </w:p>
        </w:tc>
      </w:tr>
      <w:tr w:rsidR="004E67E3" w:rsidRPr="00EC4BA6" w14:paraId="65C24180" w14:textId="77777777" w:rsidTr="004E67E3">
        <w:trPr>
          <w:divId w:val="92285206"/>
          <w:trHeight w:hRule="exact" w:val="225"/>
        </w:trPr>
        <w:tc>
          <w:tcPr>
            <w:tcW w:w="514" w:type="pct"/>
            <w:tcBorders>
              <w:top w:val="nil"/>
              <w:left w:val="nil"/>
              <w:bottom w:val="nil"/>
              <w:right w:val="nil"/>
            </w:tcBorders>
            <w:shd w:val="clear" w:color="auto" w:fill="auto"/>
            <w:noWrap/>
            <w:vAlign w:val="center"/>
            <w:hideMark/>
          </w:tcPr>
          <w:p w14:paraId="02D72C66" w14:textId="77777777"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GST</w:t>
            </w:r>
          </w:p>
        </w:tc>
        <w:tc>
          <w:tcPr>
            <w:tcW w:w="361" w:type="pct"/>
            <w:tcBorders>
              <w:top w:val="nil"/>
              <w:left w:val="nil"/>
              <w:bottom w:val="nil"/>
              <w:right w:val="nil"/>
            </w:tcBorders>
            <w:shd w:val="clear" w:color="auto" w:fill="auto"/>
            <w:noWrap/>
            <w:vAlign w:val="center"/>
            <w:hideMark/>
          </w:tcPr>
          <w:p w14:paraId="13CF0379" w14:textId="77777777"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H5</w:t>
            </w:r>
          </w:p>
        </w:tc>
        <w:tc>
          <w:tcPr>
            <w:tcW w:w="2405" w:type="pct"/>
            <w:tcBorders>
              <w:top w:val="nil"/>
              <w:left w:val="nil"/>
              <w:bottom w:val="nil"/>
              <w:right w:val="nil"/>
            </w:tcBorders>
            <w:shd w:val="clear" w:color="auto" w:fill="auto"/>
            <w:vAlign w:val="center"/>
            <w:hideMark/>
          </w:tcPr>
          <w:p w14:paraId="07C4F834" w14:textId="77777777" w:rsidR="004E67E3" w:rsidRPr="00EC4BA6" w:rsidRDefault="004E67E3" w:rsidP="004E67E3">
            <w:pPr>
              <w:spacing w:before="0" w:after="0" w:line="240" w:lineRule="auto"/>
              <w:rPr>
                <w:rFonts w:ascii="Arial" w:hAnsi="Arial" w:cs="Arial"/>
                <w:sz w:val="16"/>
                <w:szCs w:val="16"/>
              </w:rPr>
            </w:pPr>
            <w:proofErr w:type="gramStart"/>
            <w:r w:rsidRPr="00EC4BA6">
              <w:rPr>
                <w:rFonts w:ascii="Arial" w:hAnsi="Arial" w:cs="Arial"/>
                <w:sz w:val="16"/>
                <w:szCs w:val="16"/>
              </w:rPr>
              <w:t>Child care</w:t>
            </w:r>
            <w:proofErr w:type="gramEnd"/>
            <w:r w:rsidRPr="00EC4BA6">
              <w:rPr>
                <w:rFonts w:ascii="Arial" w:hAnsi="Arial" w:cs="Arial"/>
                <w:sz w:val="16"/>
                <w:szCs w:val="16"/>
              </w:rPr>
              <w:t xml:space="preserve"> services</w:t>
            </w:r>
          </w:p>
        </w:tc>
        <w:tc>
          <w:tcPr>
            <w:tcW w:w="539" w:type="pct"/>
            <w:tcBorders>
              <w:top w:val="nil"/>
              <w:left w:val="nil"/>
              <w:bottom w:val="nil"/>
              <w:right w:val="nil"/>
            </w:tcBorders>
            <w:shd w:val="clear" w:color="auto" w:fill="auto"/>
            <w:noWrap/>
            <w:vAlign w:val="center"/>
            <w:hideMark/>
          </w:tcPr>
          <w:p w14:paraId="2A7292B2"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2,330</w:t>
            </w:r>
          </w:p>
        </w:tc>
        <w:tc>
          <w:tcPr>
            <w:tcW w:w="603" w:type="pct"/>
            <w:tcBorders>
              <w:top w:val="nil"/>
              <w:left w:val="nil"/>
              <w:bottom w:val="nil"/>
              <w:right w:val="nil"/>
            </w:tcBorders>
            <w:shd w:val="clear" w:color="auto" w:fill="auto"/>
            <w:vAlign w:val="center"/>
            <w:hideMark/>
          </w:tcPr>
          <w:p w14:paraId="08728C29"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11.2</w:t>
            </w:r>
          </w:p>
        </w:tc>
        <w:tc>
          <w:tcPr>
            <w:tcW w:w="578" w:type="pct"/>
            <w:tcBorders>
              <w:top w:val="nil"/>
              <w:left w:val="nil"/>
              <w:bottom w:val="nil"/>
              <w:right w:val="nil"/>
            </w:tcBorders>
            <w:shd w:val="clear" w:color="auto" w:fill="auto"/>
            <w:vAlign w:val="center"/>
            <w:hideMark/>
          </w:tcPr>
          <w:p w14:paraId="2D77BE0A"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5.0</w:t>
            </w:r>
          </w:p>
        </w:tc>
      </w:tr>
      <w:tr w:rsidR="004E67E3" w:rsidRPr="00EC4BA6" w14:paraId="035A2818" w14:textId="77777777" w:rsidTr="004E67E3">
        <w:trPr>
          <w:divId w:val="92285206"/>
          <w:trHeight w:hRule="exact" w:val="225"/>
        </w:trPr>
        <w:tc>
          <w:tcPr>
            <w:tcW w:w="514" w:type="pct"/>
            <w:tcBorders>
              <w:top w:val="nil"/>
              <w:left w:val="nil"/>
              <w:bottom w:val="nil"/>
              <w:right w:val="nil"/>
            </w:tcBorders>
            <w:shd w:val="clear" w:color="auto" w:fill="auto"/>
            <w:noWrap/>
            <w:vAlign w:val="center"/>
            <w:hideMark/>
          </w:tcPr>
          <w:p w14:paraId="6857AA5B" w14:textId="77777777"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Income</w:t>
            </w:r>
          </w:p>
        </w:tc>
        <w:tc>
          <w:tcPr>
            <w:tcW w:w="361" w:type="pct"/>
            <w:tcBorders>
              <w:top w:val="nil"/>
              <w:left w:val="nil"/>
              <w:bottom w:val="nil"/>
              <w:right w:val="nil"/>
            </w:tcBorders>
            <w:shd w:val="clear" w:color="auto" w:fill="auto"/>
            <w:noWrap/>
            <w:vAlign w:val="center"/>
            <w:hideMark/>
          </w:tcPr>
          <w:p w14:paraId="062F639E" w14:textId="77777777"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B1</w:t>
            </w:r>
          </w:p>
        </w:tc>
        <w:tc>
          <w:tcPr>
            <w:tcW w:w="2405" w:type="pct"/>
            <w:tcBorders>
              <w:top w:val="nil"/>
              <w:left w:val="nil"/>
              <w:bottom w:val="nil"/>
              <w:right w:val="nil"/>
            </w:tcBorders>
            <w:shd w:val="clear" w:color="auto" w:fill="auto"/>
            <w:vAlign w:val="center"/>
            <w:hideMark/>
          </w:tcPr>
          <w:p w14:paraId="630D4FDB" w14:textId="77777777"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Local government bodies income tax exemption</w:t>
            </w:r>
          </w:p>
        </w:tc>
        <w:tc>
          <w:tcPr>
            <w:tcW w:w="539" w:type="pct"/>
            <w:tcBorders>
              <w:top w:val="nil"/>
              <w:left w:val="nil"/>
              <w:bottom w:val="nil"/>
              <w:right w:val="nil"/>
            </w:tcBorders>
            <w:shd w:val="clear" w:color="auto" w:fill="auto"/>
            <w:noWrap/>
            <w:vAlign w:val="center"/>
            <w:hideMark/>
          </w:tcPr>
          <w:p w14:paraId="10BD6BE3"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2,060</w:t>
            </w:r>
          </w:p>
        </w:tc>
        <w:tc>
          <w:tcPr>
            <w:tcW w:w="603" w:type="pct"/>
            <w:tcBorders>
              <w:top w:val="nil"/>
              <w:left w:val="nil"/>
              <w:bottom w:val="nil"/>
              <w:right w:val="nil"/>
            </w:tcBorders>
            <w:shd w:val="clear" w:color="auto" w:fill="auto"/>
            <w:vAlign w:val="center"/>
            <w:hideMark/>
          </w:tcPr>
          <w:p w14:paraId="4DE0A973"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5.9</w:t>
            </w:r>
          </w:p>
        </w:tc>
        <w:tc>
          <w:tcPr>
            <w:tcW w:w="578" w:type="pct"/>
            <w:tcBorders>
              <w:top w:val="nil"/>
              <w:left w:val="nil"/>
              <w:bottom w:val="nil"/>
              <w:right w:val="nil"/>
            </w:tcBorders>
            <w:shd w:val="clear" w:color="auto" w:fill="auto"/>
            <w:vAlign w:val="center"/>
            <w:hideMark/>
          </w:tcPr>
          <w:p w14:paraId="3ED16D48"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1.3</w:t>
            </w:r>
          </w:p>
        </w:tc>
      </w:tr>
      <w:tr w:rsidR="004E67E3" w:rsidRPr="00EC4BA6" w14:paraId="019749A7" w14:textId="77777777" w:rsidTr="004E67E3">
        <w:trPr>
          <w:divId w:val="92285206"/>
          <w:trHeight w:hRule="exact" w:val="450"/>
        </w:trPr>
        <w:tc>
          <w:tcPr>
            <w:tcW w:w="514" w:type="pct"/>
            <w:tcBorders>
              <w:top w:val="nil"/>
              <w:left w:val="nil"/>
              <w:bottom w:val="nil"/>
              <w:right w:val="nil"/>
            </w:tcBorders>
            <w:shd w:val="clear" w:color="auto" w:fill="auto"/>
            <w:noWrap/>
            <w:vAlign w:val="center"/>
            <w:hideMark/>
          </w:tcPr>
          <w:p w14:paraId="34C0D864" w14:textId="77777777"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Super</w:t>
            </w:r>
          </w:p>
        </w:tc>
        <w:tc>
          <w:tcPr>
            <w:tcW w:w="361" w:type="pct"/>
            <w:tcBorders>
              <w:top w:val="nil"/>
              <w:left w:val="nil"/>
              <w:bottom w:val="nil"/>
              <w:right w:val="nil"/>
            </w:tcBorders>
            <w:shd w:val="clear" w:color="auto" w:fill="auto"/>
            <w:noWrap/>
            <w:vAlign w:val="center"/>
            <w:hideMark/>
          </w:tcPr>
          <w:p w14:paraId="653A4C97" w14:textId="77777777"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C1</w:t>
            </w:r>
          </w:p>
        </w:tc>
        <w:tc>
          <w:tcPr>
            <w:tcW w:w="2405" w:type="pct"/>
            <w:tcBorders>
              <w:top w:val="nil"/>
              <w:left w:val="nil"/>
              <w:bottom w:val="nil"/>
              <w:right w:val="nil"/>
            </w:tcBorders>
            <w:shd w:val="clear" w:color="auto" w:fill="auto"/>
            <w:vAlign w:val="center"/>
            <w:hideMark/>
          </w:tcPr>
          <w:p w14:paraId="08993C03" w14:textId="77777777"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Concessional taxation of capital gains for superannuation funds</w:t>
            </w:r>
          </w:p>
        </w:tc>
        <w:tc>
          <w:tcPr>
            <w:tcW w:w="539" w:type="pct"/>
            <w:tcBorders>
              <w:top w:val="nil"/>
              <w:left w:val="nil"/>
              <w:bottom w:val="nil"/>
              <w:right w:val="nil"/>
            </w:tcBorders>
            <w:shd w:val="clear" w:color="auto" w:fill="auto"/>
            <w:noWrap/>
            <w:vAlign w:val="center"/>
            <w:hideMark/>
          </w:tcPr>
          <w:p w14:paraId="799FFBEE"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2,000</w:t>
            </w:r>
          </w:p>
        </w:tc>
        <w:tc>
          <w:tcPr>
            <w:tcW w:w="603" w:type="pct"/>
            <w:tcBorders>
              <w:top w:val="nil"/>
              <w:left w:val="nil"/>
              <w:bottom w:val="nil"/>
              <w:right w:val="nil"/>
            </w:tcBorders>
            <w:shd w:val="clear" w:color="auto" w:fill="auto"/>
            <w:vAlign w:val="center"/>
            <w:hideMark/>
          </w:tcPr>
          <w:p w14:paraId="0990C62F" w14:textId="7F980BC9" w:rsidR="004E67E3" w:rsidRPr="00EC4BA6" w:rsidRDefault="001A3DD6" w:rsidP="004E67E3">
            <w:pPr>
              <w:spacing w:before="0" w:after="0" w:line="240" w:lineRule="auto"/>
              <w:jc w:val="right"/>
              <w:rPr>
                <w:rFonts w:ascii="Arial" w:hAnsi="Arial" w:cs="Arial"/>
                <w:sz w:val="16"/>
                <w:szCs w:val="16"/>
              </w:rPr>
            </w:pPr>
            <w:r>
              <w:rPr>
                <w:rFonts w:ascii="Arial" w:hAnsi="Arial" w:cs="Arial"/>
                <w:sz w:val="16"/>
                <w:szCs w:val="16"/>
              </w:rPr>
              <w:noBreakHyphen/>
            </w:r>
            <w:r w:rsidR="004E67E3" w:rsidRPr="00EC4BA6">
              <w:rPr>
                <w:rFonts w:ascii="Arial" w:hAnsi="Arial" w:cs="Arial"/>
                <w:sz w:val="16"/>
                <w:szCs w:val="16"/>
              </w:rPr>
              <w:t>15.5</w:t>
            </w:r>
          </w:p>
        </w:tc>
        <w:tc>
          <w:tcPr>
            <w:tcW w:w="578" w:type="pct"/>
            <w:tcBorders>
              <w:top w:val="nil"/>
              <w:left w:val="nil"/>
              <w:bottom w:val="nil"/>
              <w:right w:val="nil"/>
            </w:tcBorders>
            <w:shd w:val="clear" w:color="auto" w:fill="auto"/>
            <w:vAlign w:val="center"/>
            <w:hideMark/>
          </w:tcPr>
          <w:p w14:paraId="120FC222"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11.0</w:t>
            </w:r>
          </w:p>
        </w:tc>
      </w:tr>
      <w:tr w:rsidR="004E67E3" w:rsidRPr="00EC4BA6" w14:paraId="3A686252" w14:textId="77777777" w:rsidTr="004E67E3">
        <w:trPr>
          <w:divId w:val="92285206"/>
          <w:trHeight w:hRule="exact" w:val="450"/>
        </w:trPr>
        <w:tc>
          <w:tcPr>
            <w:tcW w:w="514" w:type="pct"/>
            <w:tcBorders>
              <w:top w:val="nil"/>
              <w:left w:val="nil"/>
              <w:bottom w:val="nil"/>
              <w:right w:val="nil"/>
            </w:tcBorders>
            <w:shd w:val="clear" w:color="auto" w:fill="auto"/>
            <w:noWrap/>
            <w:vAlign w:val="center"/>
            <w:hideMark/>
          </w:tcPr>
          <w:p w14:paraId="23F14118" w14:textId="77777777"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Super</w:t>
            </w:r>
          </w:p>
        </w:tc>
        <w:tc>
          <w:tcPr>
            <w:tcW w:w="361" w:type="pct"/>
            <w:tcBorders>
              <w:top w:val="nil"/>
              <w:left w:val="nil"/>
              <w:bottom w:val="nil"/>
              <w:right w:val="nil"/>
            </w:tcBorders>
            <w:shd w:val="clear" w:color="auto" w:fill="auto"/>
            <w:noWrap/>
            <w:vAlign w:val="center"/>
            <w:hideMark/>
          </w:tcPr>
          <w:p w14:paraId="795AFCC0" w14:textId="77777777"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C3</w:t>
            </w:r>
          </w:p>
        </w:tc>
        <w:tc>
          <w:tcPr>
            <w:tcW w:w="2405" w:type="pct"/>
            <w:tcBorders>
              <w:top w:val="nil"/>
              <w:left w:val="nil"/>
              <w:bottom w:val="nil"/>
              <w:right w:val="nil"/>
            </w:tcBorders>
            <w:shd w:val="clear" w:color="auto" w:fill="auto"/>
            <w:vAlign w:val="center"/>
            <w:hideMark/>
          </w:tcPr>
          <w:p w14:paraId="329F3E96" w14:textId="77777777"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Concessional taxation of personal superannuation contributions</w:t>
            </w:r>
          </w:p>
        </w:tc>
        <w:tc>
          <w:tcPr>
            <w:tcW w:w="539" w:type="pct"/>
            <w:tcBorders>
              <w:top w:val="nil"/>
              <w:left w:val="nil"/>
              <w:bottom w:val="nil"/>
              <w:right w:val="nil"/>
            </w:tcBorders>
            <w:shd w:val="clear" w:color="auto" w:fill="auto"/>
            <w:noWrap/>
            <w:vAlign w:val="center"/>
            <w:hideMark/>
          </w:tcPr>
          <w:p w14:paraId="2230C0DC"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1,800</w:t>
            </w:r>
          </w:p>
        </w:tc>
        <w:tc>
          <w:tcPr>
            <w:tcW w:w="603" w:type="pct"/>
            <w:tcBorders>
              <w:top w:val="nil"/>
              <w:left w:val="nil"/>
              <w:bottom w:val="nil"/>
              <w:right w:val="nil"/>
            </w:tcBorders>
            <w:shd w:val="clear" w:color="auto" w:fill="auto"/>
            <w:vAlign w:val="center"/>
            <w:hideMark/>
          </w:tcPr>
          <w:p w14:paraId="43636C86"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20.0</w:t>
            </w:r>
          </w:p>
        </w:tc>
        <w:tc>
          <w:tcPr>
            <w:tcW w:w="578" w:type="pct"/>
            <w:tcBorders>
              <w:top w:val="nil"/>
              <w:left w:val="nil"/>
              <w:bottom w:val="nil"/>
              <w:right w:val="nil"/>
            </w:tcBorders>
            <w:shd w:val="clear" w:color="auto" w:fill="auto"/>
            <w:vAlign w:val="center"/>
            <w:hideMark/>
          </w:tcPr>
          <w:p w14:paraId="584717C9"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3.1</w:t>
            </w:r>
          </w:p>
        </w:tc>
      </w:tr>
      <w:tr w:rsidR="004E67E3" w:rsidRPr="00EC4BA6" w14:paraId="173150C4" w14:textId="77777777" w:rsidTr="004E67E3">
        <w:trPr>
          <w:divId w:val="92285206"/>
          <w:trHeight w:hRule="exact" w:val="225"/>
        </w:trPr>
        <w:tc>
          <w:tcPr>
            <w:tcW w:w="514" w:type="pct"/>
            <w:tcBorders>
              <w:top w:val="nil"/>
              <w:left w:val="nil"/>
              <w:bottom w:val="single" w:sz="4" w:space="0" w:color="auto"/>
              <w:right w:val="nil"/>
            </w:tcBorders>
            <w:shd w:val="clear" w:color="auto" w:fill="auto"/>
            <w:noWrap/>
            <w:vAlign w:val="center"/>
            <w:hideMark/>
          </w:tcPr>
          <w:p w14:paraId="5190B7A2" w14:textId="77777777"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Income</w:t>
            </w:r>
          </w:p>
        </w:tc>
        <w:tc>
          <w:tcPr>
            <w:tcW w:w="361" w:type="pct"/>
            <w:tcBorders>
              <w:top w:val="nil"/>
              <w:left w:val="nil"/>
              <w:bottom w:val="single" w:sz="4" w:space="0" w:color="auto"/>
              <w:right w:val="nil"/>
            </w:tcBorders>
            <w:shd w:val="clear" w:color="auto" w:fill="auto"/>
            <w:noWrap/>
            <w:vAlign w:val="center"/>
            <w:hideMark/>
          </w:tcPr>
          <w:p w14:paraId="37E1A582" w14:textId="77777777"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A39</w:t>
            </w:r>
          </w:p>
        </w:tc>
        <w:tc>
          <w:tcPr>
            <w:tcW w:w="2405" w:type="pct"/>
            <w:tcBorders>
              <w:top w:val="nil"/>
              <w:left w:val="nil"/>
              <w:bottom w:val="single" w:sz="4" w:space="0" w:color="auto"/>
              <w:right w:val="nil"/>
            </w:tcBorders>
            <w:shd w:val="clear" w:color="auto" w:fill="auto"/>
            <w:vAlign w:val="center"/>
            <w:hideMark/>
          </w:tcPr>
          <w:p w14:paraId="66973607" w14:textId="77777777" w:rsidR="004E67E3" w:rsidRPr="00EC4BA6" w:rsidRDefault="004E67E3" w:rsidP="004E67E3">
            <w:pPr>
              <w:spacing w:before="0" w:after="0" w:line="240" w:lineRule="auto"/>
              <w:rPr>
                <w:rFonts w:ascii="Arial" w:hAnsi="Arial" w:cs="Arial"/>
                <w:sz w:val="16"/>
                <w:szCs w:val="16"/>
              </w:rPr>
            </w:pPr>
            <w:r w:rsidRPr="00EC4BA6">
              <w:rPr>
                <w:rFonts w:ascii="Arial" w:hAnsi="Arial" w:cs="Arial"/>
                <w:sz w:val="16"/>
                <w:szCs w:val="16"/>
              </w:rPr>
              <w:t>Exemption of Family Tax Benefit payments</w:t>
            </w:r>
          </w:p>
        </w:tc>
        <w:tc>
          <w:tcPr>
            <w:tcW w:w="539" w:type="pct"/>
            <w:tcBorders>
              <w:top w:val="nil"/>
              <w:left w:val="nil"/>
              <w:bottom w:val="single" w:sz="4" w:space="0" w:color="auto"/>
              <w:right w:val="nil"/>
            </w:tcBorders>
            <w:shd w:val="clear" w:color="auto" w:fill="auto"/>
            <w:vAlign w:val="center"/>
            <w:hideMark/>
          </w:tcPr>
          <w:p w14:paraId="5200A786" w14:textId="7281CF4D"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1</w:t>
            </w:r>
            <w:r w:rsidR="00040099" w:rsidRPr="00EC4BA6">
              <w:rPr>
                <w:rFonts w:ascii="Arial" w:hAnsi="Arial" w:cs="Arial"/>
                <w:sz w:val="16"/>
                <w:szCs w:val="16"/>
              </w:rPr>
              <w:t>,</w:t>
            </w:r>
            <w:r w:rsidRPr="00EC4BA6">
              <w:rPr>
                <w:rFonts w:ascii="Arial" w:hAnsi="Arial" w:cs="Arial"/>
                <w:sz w:val="16"/>
                <w:szCs w:val="16"/>
              </w:rPr>
              <w:t>780</w:t>
            </w:r>
          </w:p>
        </w:tc>
        <w:tc>
          <w:tcPr>
            <w:tcW w:w="603" w:type="pct"/>
            <w:tcBorders>
              <w:top w:val="nil"/>
              <w:left w:val="nil"/>
              <w:bottom w:val="single" w:sz="4" w:space="0" w:color="auto"/>
              <w:right w:val="nil"/>
            </w:tcBorders>
            <w:shd w:val="clear" w:color="auto" w:fill="auto"/>
            <w:noWrap/>
            <w:vAlign w:val="center"/>
            <w:hideMark/>
          </w:tcPr>
          <w:p w14:paraId="7E27989E"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1.6</w:t>
            </w:r>
          </w:p>
        </w:tc>
        <w:tc>
          <w:tcPr>
            <w:tcW w:w="578" w:type="pct"/>
            <w:tcBorders>
              <w:top w:val="nil"/>
              <w:left w:val="nil"/>
              <w:bottom w:val="single" w:sz="4" w:space="0" w:color="auto"/>
              <w:right w:val="nil"/>
            </w:tcBorders>
            <w:shd w:val="clear" w:color="auto" w:fill="auto"/>
            <w:noWrap/>
            <w:vAlign w:val="center"/>
            <w:hideMark/>
          </w:tcPr>
          <w:p w14:paraId="5016D68A" w14:textId="77777777" w:rsidR="004E67E3" w:rsidRPr="00EC4BA6" w:rsidRDefault="004E67E3" w:rsidP="004E67E3">
            <w:pPr>
              <w:spacing w:before="0" w:after="0" w:line="240" w:lineRule="auto"/>
              <w:jc w:val="right"/>
              <w:rPr>
                <w:rFonts w:ascii="Arial" w:hAnsi="Arial" w:cs="Arial"/>
                <w:sz w:val="16"/>
                <w:szCs w:val="16"/>
              </w:rPr>
            </w:pPr>
            <w:r w:rsidRPr="00EC4BA6">
              <w:rPr>
                <w:rFonts w:ascii="Arial" w:hAnsi="Arial" w:cs="Arial"/>
                <w:sz w:val="16"/>
                <w:szCs w:val="16"/>
              </w:rPr>
              <w:t>0.7</w:t>
            </w:r>
          </w:p>
        </w:tc>
      </w:tr>
    </w:tbl>
    <w:p w14:paraId="0BB71D49" w14:textId="169166E3" w:rsidR="009A57CE" w:rsidRPr="00EC4BA6" w:rsidRDefault="00A438C1" w:rsidP="00B24762">
      <w:pPr>
        <w:pStyle w:val="ChartandTableFootnoteAlpha"/>
        <w:numPr>
          <w:ilvl w:val="0"/>
          <w:numId w:val="0"/>
        </w:numPr>
        <w:rPr>
          <w:color w:val="auto"/>
        </w:rPr>
      </w:pPr>
      <w:r w:rsidRPr="00EC4BA6">
        <w:rPr>
          <w:color w:val="auto"/>
        </w:rPr>
        <w:t xml:space="preserve">* For deductions, </w:t>
      </w:r>
      <w:r w:rsidR="001A3DD6">
        <w:rPr>
          <w:color w:val="auto"/>
        </w:rPr>
        <w:t>‘</w:t>
      </w:r>
      <w:r w:rsidRPr="00EC4BA6">
        <w:rPr>
          <w:color w:val="auto"/>
        </w:rPr>
        <w:t>Revenue forgone</w:t>
      </w:r>
      <w:r w:rsidR="001A3DD6">
        <w:rPr>
          <w:color w:val="auto"/>
        </w:rPr>
        <w:t>’</w:t>
      </w:r>
      <w:r w:rsidRPr="00EC4BA6">
        <w:rPr>
          <w:color w:val="auto"/>
        </w:rPr>
        <w:t xml:space="preserve"> refers to the reduction in tax in relation to the specified income year due to the utilisation of deductions.</w:t>
      </w:r>
    </w:p>
    <w:p w14:paraId="0AEB30BF" w14:textId="77777777" w:rsidR="009A57CE" w:rsidRPr="00EC4BA6" w:rsidRDefault="009A57CE" w:rsidP="009A57CE">
      <w:pPr>
        <w:pStyle w:val="TableLine"/>
      </w:pPr>
    </w:p>
    <w:p w14:paraId="2F54570B" w14:textId="6C5ECBA3" w:rsidR="00333B32" w:rsidRPr="00EC4BA6" w:rsidRDefault="00333B32" w:rsidP="00B24762">
      <w:pPr>
        <w:pStyle w:val="ChartandTableFootnoteAlpha"/>
        <w:numPr>
          <w:ilvl w:val="0"/>
          <w:numId w:val="0"/>
        </w:numPr>
        <w:rPr>
          <w:rFonts w:ascii="Arial Bold" w:eastAsiaTheme="minorEastAsia" w:hAnsi="Arial Bold"/>
          <w:b/>
          <w:color w:val="auto"/>
          <w:sz w:val="20"/>
        </w:rPr>
      </w:pPr>
      <w:r w:rsidRPr="00EC4BA6">
        <w:rPr>
          <w:rFonts w:eastAsiaTheme="minorEastAsia"/>
          <w:color w:val="auto"/>
        </w:rPr>
        <w:br w:type="page"/>
      </w:r>
    </w:p>
    <w:p w14:paraId="079D8446" w14:textId="3381D33C" w:rsidR="009A2782" w:rsidRPr="00EC4BA6" w:rsidRDefault="00B400C5" w:rsidP="009A2782">
      <w:pPr>
        <w:pStyle w:val="TableHeadingcontinued"/>
        <w:rPr>
          <w:rFonts w:asciiTheme="minorHAnsi" w:eastAsiaTheme="minorHAnsi" w:hAnsiTheme="minorHAnsi" w:cstheme="minorBidi"/>
          <w:sz w:val="22"/>
          <w:szCs w:val="22"/>
          <w:lang w:eastAsia="en-US"/>
        </w:rPr>
      </w:pPr>
      <w:r w:rsidRPr="00EC4BA6">
        <w:lastRenderedPageBreak/>
        <w:t>Table A</w:t>
      </w:r>
      <w:r w:rsidR="008753A0" w:rsidRPr="00EC4BA6">
        <w:t>.4</w:t>
      </w:r>
      <w:r w:rsidRPr="00EC4BA6">
        <w:t xml:space="preserve">.1: Estimates of </w:t>
      </w:r>
      <w:proofErr w:type="gramStart"/>
      <w:r w:rsidRPr="00EC4BA6">
        <w:t>large measured</w:t>
      </w:r>
      <w:proofErr w:type="gramEnd"/>
      <w:r w:rsidRPr="00EC4BA6">
        <w:t xml:space="preserve"> tax expenditures and deductions (continued) </w:t>
      </w:r>
    </w:p>
    <w:tbl>
      <w:tblPr>
        <w:tblW w:w="5000" w:type="pct"/>
        <w:tblCellMar>
          <w:left w:w="0" w:type="dxa"/>
          <w:right w:w="28" w:type="dxa"/>
        </w:tblCellMar>
        <w:tblLook w:val="04A0" w:firstRow="1" w:lastRow="0" w:firstColumn="1" w:lastColumn="0" w:noHBand="0" w:noVBand="1"/>
      </w:tblPr>
      <w:tblGrid>
        <w:gridCol w:w="789"/>
        <w:gridCol w:w="555"/>
        <w:gridCol w:w="3724"/>
        <w:gridCol w:w="828"/>
        <w:gridCol w:w="927"/>
        <w:gridCol w:w="887"/>
      </w:tblGrid>
      <w:tr w:rsidR="009A2782" w:rsidRPr="00EC4BA6" w14:paraId="57EF9CDB" w14:textId="77777777" w:rsidTr="009A2782">
        <w:trPr>
          <w:divId w:val="962418808"/>
          <w:trHeight w:hRule="exact" w:val="1140"/>
        </w:trPr>
        <w:tc>
          <w:tcPr>
            <w:tcW w:w="512" w:type="pct"/>
            <w:tcBorders>
              <w:top w:val="single" w:sz="8" w:space="0" w:color="auto"/>
              <w:left w:val="nil"/>
              <w:bottom w:val="single" w:sz="8" w:space="0" w:color="auto"/>
              <w:right w:val="nil"/>
            </w:tcBorders>
            <w:shd w:val="clear" w:color="auto" w:fill="auto"/>
            <w:vAlign w:val="center"/>
            <w:hideMark/>
          </w:tcPr>
          <w:p w14:paraId="1EB6037C" w14:textId="08A6F1F9" w:rsidR="009A2782" w:rsidRPr="00EC4BA6" w:rsidRDefault="009A2782" w:rsidP="009A2782">
            <w:pPr>
              <w:spacing w:before="0" w:after="0" w:line="240" w:lineRule="auto"/>
              <w:rPr>
                <w:rFonts w:ascii="Arial" w:hAnsi="Arial" w:cs="Arial"/>
                <w:b/>
                <w:bCs/>
                <w:sz w:val="16"/>
                <w:szCs w:val="16"/>
              </w:rPr>
            </w:pPr>
            <w:r w:rsidRPr="00EC4BA6">
              <w:rPr>
                <w:rFonts w:ascii="Arial" w:hAnsi="Arial" w:cs="Arial"/>
                <w:b/>
                <w:bCs/>
                <w:sz w:val="16"/>
                <w:szCs w:val="16"/>
              </w:rPr>
              <w:t>Tax type</w:t>
            </w:r>
            <w:r w:rsidRPr="00EC4BA6">
              <w:rPr>
                <w:rFonts w:ascii="Arial" w:hAnsi="Arial" w:cs="Arial"/>
                <w:b/>
                <w:bCs/>
                <w:sz w:val="16"/>
                <w:szCs w:val="16"/>
              </w:rPr>
              <w:br/>
              <w:t>affected</w:t>
            </w:r>
          </w:p>
        </w:tc>
        <w:tc>
          <w:tcPr>
            <w:tcW w:w="360" w:type="pct"/>
            <w:tcBorders>
              <w:top w:val="single" w:sz="8" w:space="0" w:color="auto"/>
              <w:left w:val="nil"/>
              <w:bottom w:val="single" w:sz="8" w:space="0" w:color="auto"/>
              <w:right w:val="nil"/>
            </w:tcBorders>
            <w:shd w:val="clear" w:color="auto" w:fill="auto"/>
            <w:vAlign w:val="center"/>
            <w:hideMark/>
          </w:tcPr>
          <w:p w14:paraId="47B0721B" w14:textId="77777777" w:rsidR="009A2782" w:rsidRPr="00EC4BA6" w:rsidRDefault="009A2782" w:rsidP="009A2782">
            <w:pPr>
              <w:spacing w:before="0" w:after="0" w:line="240" w:lineRule="auto"/>
              <w:rPr>
                <w:rFonts w:ascii="Arial" w:hAnsi="Arial" w:cs="Arial"/>
                <w:b/>
                <w:bCs/>
                <w:sz w:val="16"/>
                <w:szCs w:val="16"/>
              </w:rPr>
            </w:pPr>
            <w:r w:rsidRPr="00EC4BA6">
              <w:rPr>
                <w:rFonts w:ascii="Arial" w:hAnsi="Arial" w:cs="Arial"/>
                <w:b/>
                <w:bCs/>
                <w:sz w:val="16"/>
                <w:szCs w:val="16"/>
              </w:rPr>
              <w:t>Code</w:t>
            </w:r>
          </w:p>
        </w:tc>
        <w:tc>
          <w:tcPr>
            <w:tcW w:w="2415" w:type="pct"/>
            <w:tcBorders>
              <w:top w:val="single" w:sz="8" w:space="0" w:color="auto"/>
              <w:left w:val="nil"/>
              <w:bottom w:val="single" w:sz="8" w:space="0" w:color="auto"/>
              <w:right w:val="nil"/>
            </w:tcBorders>
            <w:shd w:val="clear" w:color="auto" w:fill="auto"/>
            <w:vAlign w:val="center"/>
            <w:hideMark/>
          </w:tcPr>
          <w:p w14:paraId="57164947" w14:textId="77777777" w:rsidR="009A2782" w:rsidRPr="00EC4BA6" w:rsidRDefault="009A2782" w:rsidP="009A2782">
            <w:pPr>
              <w:spacing w:before="0" w:after="0" w:line="240" w:lineRule="auto"/>
              <w:rPr>
                <w:rFonts w:ascii="Arial" w:hAnsi="Arial" w:cs="Arial"/>
                <w:b/>
                <w:bCs/>
                <w:sz w:val="16"/>
                <w:szCs w:val="16"/>
              </w:rPr>
            </w:pPr>
            <w:r w:rsidRPr="00EC4BA6">
              <w:rPr>
                <w:rFonts w:ascii="Arial" w:hAnsi="Arial" w:cs="Arial"/>
                <w:b/>
                <w:bCs/>
                <w:sz w:val="16"/>
                <w:szCs w:val="16"/>
              </w:rPr>
              <w:t>Title</w:t>
            </w:r>
          </w:p>
        </w:tc>
        <w:tc>
          <w:tcPr>
            <w:tcW w:w="537" w:type="pct"/>
            <w:tcBorders>
              <w:top w:val="single" w:sz="8" w:space="0" w:color="auto"/>
              <w:left w:val="nil"/>
              <w:bottom w:val="single" w:sz="8" w:space="0" w:color="auto"/>
              <w:right w:val="nil"/>
            </w:tcBorders>
            <w:shd w:val="clear" w:color="auto" w:fill="auto"/>
            <w:vAlign w:val="center"/>
            <w:hideMark/>
          </w:tcPr>
          <w:p w14:paraId="0D060FF9" w14:textId="04F015D7" w:rsidR="009A2782" w:rsidRPr="00EC4BA6" w:rsidRDefault="009A2782" w:rsidP="009A2782">
            <w:pPr>
              <w:spacing w:before="0" w:after="0" w:line="240" w:lineRule="auto"/>
              <w:jc w:val="right"/>
              <w:rPr>
                <w:rFonts w:ascii="Arial" w:hAnsi="Arial" w:cs="Arial"/>
                <w:b/>
                <w:bCs/>
                <w:sz w:val="16"/>
                <w:szCs w:val="16"/>
              </w:rPr>
            </w:pPr>
            <w:r w:rsidRPr="00EC4BA6">
              <w:rPr>
                <w:rFonts w:ascii="Arial" w:hAnsi="Arial" w:cs="Arial"/>
                <w:b/>
                <w:bCs/>
                <w:sz w:val="16"/>
                <w:szCs w:val="16"/>
              </w:rPr>
              <w:t xml:space="preserve">Revenue </w:t>
            </w:r>
            <w:r w:rsidRPr="00EC4BA6">
              <w:rPr>
                <w:rFonts w:ascii="Arial" w:hAnsi="Arial" w:cs="Arial"/>
                <w:b/>
                <w:bCs/>
                <w:sz w:val="16"/>
                <w:szCs w:val="16"/>
              </w:rPr>
              <w:br/>
              <w:t xml:space="preserve">forgone </w:t>
            </w:r>
            <w:r w:rsidRPr="00EC4BA6">
              <w:rPr>
                <w:rFonts w:ascii="Arial" w:hAnsi="Arial" w:cs="Arial"/>
                <w:b/>
                <w:bCs/>
                <w:sz w:val="16"/>
                <w:szCs w:val="16"/>
              </w:rPr>
              <w:br/>
              <w:t>2024</w:t>
            </w:r>
            <w:r w:rsidR="001A3DD6">
              <w:rPr>
                <w:rFonts w:ascii="Arial" w:hAnsi="Arial" w:cs="Arial"/>
                <w:b/>
                <w:bCs/>
                <w:sz w:val="16"/>
                <w:szCs w:val="16"/>
              </w:rPr>
              <w:noBreakHyphen/>
            </w:r>
            <w:r w:rsidRPr="00EC4BA6">
              <w:rPr>
                <w:rFonts w:ascii="Arial" w:hAnsi="Arial" w:cs="Arial"/>
                <w:b/>
                <w:bCs/>
                <w:sz w:val="16"/>
                <w:szCs w:val="16"/>
              </w:rPr>
              <w:t>25</w:t>
            </w:r>
            <w:r w:rsidRPr="00EC4BA6">
              <w:rPr>
                <w:rFonts w:ascii="Arial" w:hAnsi="Arial" w:cs="Arial"/>
                <w:b/>
                <w:bCs/>
                <w:sz w:val="16"/>
                <w:szCs w:val="16"/>
              </w:rPr>
              <w:br/>
              <w:t>($</w:t>
            </w:r>
            <w:proofErr w:type="gramStart"/>
            <w:r w:rsidRPr="00EC4BA6">
              <w:rPr>
                <w:rFonts w:ascii="Arial" w:hAnsi="Arial" w:cs="Arial"/>
                <w:b/>
                <w:bCs/>
                <w:sz w:val="16"/>
                <w:szCs w:val="16"/>
              </w:rPr>
              <w:t>m)*</w:t>
            </w:r>
            <w:proofErr w:type="gramEnd"/>
          </w:p>
        </w:tc>
        <w:tc>
          <w:tcPr>
            <w:tcW w:w="601" w:type="pct"/>
            <w:tcBorders>
              <w:top w:val="single" w:sz="8" w:space="0" w:color="auto"/>
              <w:left w:val="nil"/>
              <w:bottom w:val="single" w:sz="8" w:space="0" w:color="auto"/>
              <w:right w:val="nil"/>
            </w:tcBorders>
            <w:shd w:val="clear" w:color="auto" w:fill="auto"/>
            <w:vAlign w:val="center"/>
            <w:hideMark/>
          </w:tcPr>
          <w:p w14:paraId="3C9F7B81" w14:textId="057C25B4" w:rsidR="009A2782" w:rsidRPr="00EC4BA6" w:rsidRDefault="009A2782" w:rsidP="009A2782">
            <w:pPr>
              <w:spacing w:before="0" w:after="0" w:line="240" w:lineRule="auto"/>
              <w:jc w:val="right"/>
              <w:rPr>
                <w:rFonts w:ascii="Arial" w:hAnsi="Arial" w:cs="Arial"/>
                <w:b/>
                <w:bCs/>
                <w:sz w:val="16"/>
                <w:szCs w:val="16"/>
              </w:rPr>
            </w:pPr>
            <w:r w:rsidRPr="00EC4BA6">
              <w:rPr>
                <w:rFonts w:ascii="Arial" w:hAnsi="Arial" w:cs="Arial"/>
                <w:b/>
                <w:bCs/>
                <w:sz w:val="16"/>
                <w:szCs w:val="16"/>
              </w:rPr>
              <w:t xml:space="preserve">Average </w:t>
            </w:r>
            <w:r w:rsidRPr="00EC4BA6">
              <w:rPr>
                <w:rFonts w:ascii="Arial" w:hAnsi="Arial" w:cs="Arial"/>
                <w:b/>
                <w:bCs/>
                <w:sz w:val="16"/>
                <w:szCs w:val="16"/>
              </w:rPr>
              <w:br/>
              <w:t>growth</w:t>
            </w:r>
            <w:r w:rsidRPr="00EC4BA6">
              <w:rPr>
                <w:rFonts w:ascii="Arial" w:hAnsi="Arial" w:cs="Arial"/>
                <w:b/>
                <w:bCs/>
                <w:sz w:val="16"/>
                <w:szCs w:val="16"/>
              </w:rPr>
              <w:br/>
              <w:t>2020</w:t>
            </w:r>
            <w:r w:rsidR="001A3DD6">
              <w:rPr>
                <w:rFonts w:ascii="Arial" w:hAnsi="Arial" w:cs="Arial"/>
                <w:b/>
                <w:bCs/>
                <w:sz w:val="16"/>
                <w:szCs w:val="16"/>
              </w:rPr>
              <w:noBreakHyphen/>
            </w:r>
            <w:r w:rsidRPr="00EC4BA6">
              <w:rPr>
                <w:rFonts w:ascii="Arial" w:hAnsi="Arial" w:cs="Arial"/>
                <w:b/>
                <w:bCs/>
                <w:sz w:val="16"/>
                <w:szCs w:val="16"/>
              </w:rPr>
              <w:t>21 to</w:t>
            </w:r>
            <w:r w:rsidRPr="00EC4BA6">
              <w:rPr>
                <w:rFonts w:ascii="Arial" w:hAnsi="Arial" w:cs="Arial"/>
                <w:b/>
                <w:bCs/>
                <w:sz w:val="16"/>
                <w:szCs w:val="16"/>
              </w:rPr>
              <w:br/>
              <w:t>2023</w:t>
            </w:r>
            <w:r w:rsidR="001A3DD6">
              <w:rPr>
                <w:rFonts w:ascii="Arial" w:hAnsi="Arial" w:cs="Arial"/>
                <w:b/>
                <w:bCs/>
                <w:sz w:val="16"/>
                <w:szCs w:val="16"/>
              </w:rPr>
              <w:noBreakHyphen/>
            </w:r>
            <w:r w:rsidRPr="00EC4BA6">
              <w:rPr>
                <w:rFonts w:ascii="Arial" w:hAnsi="Arial" w:cs="Arial"/>
                <w:b/>
                <w:bCs/>
                <w:sz w:val="16"/>
                <w:szCs w:val="16"/>
              </w:rPr>
              <w:t>24</w:t>
            </w:r>
            <w:r w:rsidRPr="00EC4BA6">
              <w:rPr>
                <w:rFonts w:ascii="Arial" w:hAnsi="Arial" w:cs="Arial"/>
                <w:b/>
                <w:bCs/>
                <w:sz w:val="16"/>
                <w:szCs w:val="16"/>
              </w:rPr>
              <w:br/>
              <w:t>(%)</w:t>
            </w:r>
          </w:p>
        </w:tc>
        <w:tc>
          <w:tcPr>
            <w:tcW w:w="575" w:type="pct"/>
            <w:tcBorders>
              <w:top w:val="single" w:sz="8" w:space="0" w:color="auto"/>
              <w:left w:val="nil"/>
              <w:bottom w:val="single" w:sz="8" w:space="0" w:color="auto"/>
              <w:right w:val="nil"/>
            </w:tcBorders>
            <w:shd w:val="clear" w:color="auto" w:fill="auto"/>
            <w:vAlign w:val="center"/>
            <w:hideMark/>
          </w:tcPr>
          <w:p w14:paraId="4D51D89B" w14:textId="77777777" w:rsidR="009A2782" w:rsidRPr="00EC4BA6" w:rsidRDefault="009A2782" w:rsidP="009A2782">
            <w:pPr>
              <w:spacing w:before="0" w:after="0" w:line="240" w:lineRule="auto"/>
              <w:jc w:val="right"/>
              <w:rPr>
                <w:rFonts w:ascii="Arial" w:hAnsi="Arial" w:cs="Arial"/>
                <w:b/>
                <w:bCs/>
                <w:sz w:val="16"/>
                <w:szCs w:val="16"/>
              </w:rPr>
            </w:pPr>
            <w:r w:rsidRPr="00EC4BA6">
              <w:rPr>
                <w:rFonts w:ascii="Arial" w:hAnsi="Arial" w:cs="Arial"/>
                <w:b/>
                <w:bCs/>
                <w:sz w:val="16"/>
                <w:szCs w:val="16"/>
              </w:rPr>
              <w:t xml:space="preserve">Average projected </w:t>
            </w:r>
            <w:r w:rsidRPr="00EC4BA6">
              <w:rPr>
                <w:rFonts w:ascii="Arial" w:hAnsi="Arial" w:cs="Arial"/>
                <w:b/>
                <w:bCs/>
                <w:sz w:val="16"/>
                <w:szCs w:val="16"/>
              </w:rPr>
              <w:br/>
              <w:t xml:space="preserve">growth over </w:t>
            </w:r>
            <w:r w:rsidRPr="00EC4BA6">
              <w:rPr>
                <w:rFonts w:ascii="Arial" w:hAnsi="Arial" w:cs="Arial"/>
                <w:b/>
                <w:bCs/>
                <w:sz w:val="16"/>
                <w:szCs w:val="16"/>
              </w:rPr>
              <w:br/>
              <w:t>FEs (%)</w:t>
            </w:r>
          </w:p>
        </w:tc>
      </w:tr>
      <w:tr w:rsidR="009A2782" w:rsidRPr="00EC4BA6" w14:paraId="087E0861" w14:textId="77777777" w:rsidTr="009A2782">
        <w:trPr>
          <w:divId w:val="962418808"/>
          <w:trHeight w:hRule="exact" w:val="450"/>
        </w:trPr>
        <w:tc>
          <w:tcPr>
            <w:tcW w:w="512" w:type="pct"/>
            <w:tcBorders>
              <w:top w:val="nil"/>
              <w:left w:val="nil"/>
              <w:bottom w:val="nil"/>
              <w:right w:val="nil"/>
            </w:tcBorders>
            <w:shd w:val="clear" w:color="auto" w:fill="auto"/>
            <w:noWrap/>
            <w:vAlign w:val="center"/>
            <w:hideMark/>
          </w:tcPr>
          <w:p w14:paraId="1E6162A4" w14:textId="77777777" w:rsidR="009A2782" w:rsidRPr="00EC4BA6" w:rsidRDefault="009A2782" w:rsidP="009A2782">
            <w:pPr>
              <w:spacing w:before="0" w:after="0" w:line="240" w:lineRule="auto"/>
              <w:rPr>
                <w:rFonts w:ascii="Arial" w:hAnsi="Arial" w:cs="Arial"/>
                <w:sz w:val="16"/>
                <w:szCs w:val="16"/>
              </w:rPr>
            </w:pPr>
            <w:r w:rsidRPr="00EC4BA6">
              <w:rPr>
                <w:rFonts w:ascii="Arial" w:hAnsi="Arial" w:cs="Arial"/>
                <w:sz w:val="16"/>
                <w:szCs w:val="16"/>
              </w:rPr>
              <w:t>FBT</w:t>
            </w:r>
          </w:p>
        </w:tc>
        <w:tc>
          <w:tcPr>
            <w:tcW w:w="360" w:type="pct"/>
            <w:tcBorders>
              <w:top w:val="nil"/>
              <w:left w:val="nil"/>
              <w:bottom w:val="nil"/>
              <w:right w:val="nil"/>
            </w:tcBorders>
            <w:shd w:val="clear" w:color="auto" w:fill="auto"/>
            <w:noWrap/>
            <w:vAlign w:val="center"/>
            <w:hideMark/>
          </w:tcPr>
          <w:p w14:paraId="1911E255" w14:textId="77777777" w:rsidR="009A2782" w:rsidRPr="00EC4BA6" w:rsidRDefault="009A2782" w:rsidP="009A2782">
            <w:pPr>
              <w:spacing w:before="0" w:after="0" w:line="240" w:lineRule="auto"/>
              <w:rPr>
                <w:rFonts w:ascii="Arial" w:hAnsi="Arial" w:cs="Arial"/>
                <w:sz w:val="16"/>
                <w:szCs w:val="16"/>
              </w:rPr>
            </w:pPr>
            <w:r w:rsidRPr="00EC4BA6">
              <w:rPr>
                <w:rFonts w:ascii="Arial" w:hAnsi="Arial" w:cs="Arial"/>
                <w:sz w:val="16"/>
                <w:szCs w:val="16"/>
              </w:rPr>
              <w:t>D11</w:t>
            </w:r>
          </w:p>
        </w:tc>
        <w:tc>
          <w:tcPr>
            <w:tcW w:w="2415" w:type="pct"/>
            <w:tcBorders>
              <w:top w:val="nil"/>
              <w:left w:val="nil"/>
              <w:bottom w:val="nil"/>
              <w:right w:val="nil"/>
            </w:tcBorders>
            <w:shd w:val="clear" w:color="auto" w:fill="auto"/>
            <w:vAlign w:val="center"/>
            <w:hideMark/>
          </w:tcPr>
          <w:p w14:paraId="5E24858F" w14:textId="45FF689F" w:rsidR="009A2782" w:rsidRPr="00EC4BA6" w:rsidRDefault="009A2782" w:rsidP="009A2782">
            <w:pPr>
              <w:spacing w:before="0" w:after="0" w:line="240" w:lineRule="auto"/>
              <w:rPr>
                <w:rFonts w:ascii="Arial" w:hAnsi="Arial" w:cs="Arial"/>
                <w:sz w:val="16"/>
                <w:szCs w:val="16"/>
              </w:rPr>
            </w:pPr>
            <w:r w:rsidRPr="00EC4BA6">
              <w:rPr>
                <w:rFonts w:ascii="Arial" w:hAnsi="Arial" w:cs="Arial"/>
                <w:sz w:val="16"/>
                <w:szCs w:val="16"/>
              </w:rPr>
              <w:t>Exemption for public and not</w:t>
            </w:r>
            <w:r w:rsidR="001A3DD6">
              <w:rPr>
                <w:rFonts w:ascii="Arial" w:hAnsi="Arial" w:cs="Arial"/>
                <w:sz w:val="16"/>
                <w:szCs w:val="16"/>
              </w:rPr>
              <w:noBreakHyphen/>
            </w:r>
            <w:r w:rsidRPr="00EC4BA6">
              <w:rPr>
                <w:rFonts w:ascii="Arial" w:hAnsi="Arial" w:cs="Arial"/>
                <w:sz w:val="16"/>
                <w:szCs w:val="16"/>
              </w:rPr>
              <w:t>for</w:t>
            </w:r>
            <w:r w:rsidR="001A3DD6">
              <w:rPr>
                <w:rFonts w:ascii="Arial" w:hAnsi="Arial" w:cs="Arial"/>
                <w:sz w:val="16"/>
                <w:szCs w:val="16"/>
              </w:rPr>
              <w:noBreakHyphen/>
            </w:r>
            <w:r w:rsidRPr="00EC4BA6">
              <w:rPr>
                <w:rFonts w:ascii="Arial" w:hAnsi="Arial" w:cs="Arial"/>
                <w:sz w:val="16"/>
                <w:szCs w:val="16"/>
              </w:rPr>
              <w:t>profit hospitals and public ambulance services</w:t>
            </w:r>
          </w:p>
        </w:tc>
        <w:tc>
          <w:tcPr>
            <w:tcW w:w="537" w:type="pct"/>
            <w:tcBorders>
              <w:top w:val="nil"/>
              <w:left w:val="nil"/>
              <w:bottom w:val="nil"/>
              <w:right w:val="nil"/>
            </w:tcBorders>
            <w:shd w:val="clear" w:color="auto" w:fill="auto"/>
            <w:noWrap/>
            <w:vAlign w:val="center"/>
            <w:hideMark/>
          </w:tcPr>
          <w:p w14:paraId="3A249F02" w14:textId="77777777" w:rsidR="009A2782" w:rsidRPr="00EC4BA6" w:rsidRDefault="009A2782" w:rsidP="009A2782">
            <w:pPr>
              <w:spacing w:before="0" w:after="0" w:line="240" w:lineRule="auto"/>
              <w:jc w:val="right"/>
              <w:rPr>
                <w:rFonts w:ascii="Arial" w:hAnsi="Arial" w:cs="Arial"/>
                <w:sz w:val="16"/>
                <w:szCs w:val="16"/>
              </w:rPr>
            </w:pPr>
            <w:r w:rsidRPr="00EC4BA6">
              <w:rPr>
                <w:rFonts w:ascii="Arial" w:hAnsi="Arial" w:cs="Arial"/>
                <w:sz w:val="16"/>
                <w:szCs w:val="16"/>
              </w:rPr>
              <w:t>1,750</w:t>
            </w:r>
          </w:p>
        </w:tc>
        <w:tc>
          <w:tcPr>
            <w:tcW w:w="601" w:type="pct"/>
            <w:tcBorders>
              <w:top w:val="nil"/>
              <w:left w:val="nil"/>
              <w:bottom w:val="nil"/>
              <w:right w:val="nil"/>
            </w:tcBorders>
            <w:shd w:val="clear" w:color="auto" w:fill="auto"/>
            <w:vAlign w:val="center"/>
            <w:hideMark/>
          </w:tcPr>
          <w:p w14:paraId="29F4E453" w14:textId="77777777" w:rsidR="009A2782" w:rsidRPr="00EC4BA6" w:rsidRDefault="009A2782" w:rsidP="009A2782">
            <w:pPr>
              <w:spacing w:before="0" w:after="0" w:line="240" w:lineRule="auto"/>
              <w:jc w:val="right"/>
              <w:rPr>
                <w:rFonts w:ascii="Arial" w:hAnsi="Arial" w:cs="Arial"/>
                <w:sz w:val="16"/>
                <w:szCs w:val="16"/>
              </w:rPr>
            </w:pPr>
            <w:r w:rsidRPr="00EC4BA6">
              <w:rPr>
                <w:rFonts w:ascii="Arial" w:hAnsi="Arial" w:cs="Arial"/>
                <w:sz w:val="16"/>
                <w:szCs w:val="16"/>
              </w:rPr>
              <w:t>7.2</w:t>
            </w:r>
          </w:p>
        </w:tc>
        <w:tc>
          <w:tcPr>
            <w:tcW w:w="575" w:type="pct"/>
            <w:tcBorders>
              <w:top w:val="nil"/>
              <w:left w:val="nil"/>
              <w:bottom w:val="nil"/>
              <w:right w:val="nil"/>
            </w:tcBorders>
            <w:shd w:val="clear" w:color="auto" w:fill="auto"/>
            <w:vAlign w:val="center"/>
            <w:hideMark/>
          </w:tcPr>
          <w:p w14:paraId="32E7FA67" w14:textId="77777777" w:rsidR="009A2782" w:rsidRPr="00EC4BA6" w:rsidRDefault="009A2782" w:rsidP="009A2782">
            <w:pPr>
              <w:spacing w:before="0" w:after="0" w:line="240" w:lineRule="auto"/>
              <w:jc w:val="right"/>
              <w:rPr>
                <w:rFonts w:ascii="Arial" w:hAnsi="Arial" w:cs="Arial"/>
                <w:sz w:val="16"/>
                <w:szCs w:val="16"/>
              </w:rPr>
            </w:pPr>
            <w:r w:rsidRPr="00EC4BA6">
              <w:rPr>
                <w:rFonts w:ascii="Arial" w:hAnsi="Arial" w:cs="Arial"/>
                <w:sz w:val="16"/>
                <w:szCs w:val="16"/>
              </w:rPr>
              <w:t>2.0</w:t>
            </w:r>
          </w:p>
        </w:tc>
      </w:tr>
      <w:tr w:rsidR="009A2782" w:rsidRPr="00EC4BA6" w14:paraId="46494EF0" w14:textId="77777777" w:rsidTr="009A2782">
        <w:trPr>
          <w:divId w:val="962418808"/>
          <w:trHeight w:hRule="exact" w:val="450"/>
        </w:trPr>
        <w:tc>
          <w:tcPr>
            <w:tcW w:w="512" w:type="pct"/>
            <w:tcBorders>
              <w:top w:val="nil"/>
              <w:left w:val="nil"/>
              <w:bottom w:val="nil"/>
              <w:right w:val="nil"/>
            </w:tcBorders>
            <w:shd w:val="clear" w:color="auto" w:fill="auto"/>
            <w:noWrap/>
            <w:vAlign w:val="center"/>
            <w:hideMark/>
          </w:tcPr>
          <w:p w14:paraId="6614253D" w14:textId="77777777" w:rsidR="009A2782" w:rsidRPr="00EC4BA6" w:rsidRDefault="009A2782" w:rsidP="009A2782">
            <w:pPr>
              <w:spacing w:before="0" w:after="0" w:line="240" w:lineRule="auto"/>
              <w:rPr>
                <w:rFonts w:ascii="Arial" w:hAnsi="Arial" w:cs="Arial"/>
                <w:sz w:val="16"/>
                <w:szCs w:val="16"/>
              </w:rPr>
            </w:pPr>
            <w:r w:rsidRPr="00EC4BA6">
              <w:rPr>
                <w:rFonts w:ascii="Arial" w:hAnsi="Arial" w:cs="Arial"/>
                <w:sz w:val="16"/>
                <w:szCs w:val="16"/>
              </w:rPr>
              <w:t>Income</w:t>
            </w:r>
          </w:p>
        </w:tc>
        <w:tc>
          <w:tcPr>
            <w:tcW w:w="360" w:type="pct"/>
            <w:tcBorders>
              <w:top w:val="nil"/>
              <w:left w:val="nil"/>
              <w:bottom w:val="nil"/>
              <w:right w:val="nil"/>
            </w:tcBorders>
            <w:shd w:val="clear" w:color="auto" w:fill="auto"/>
            <w:noWrap/>
            <w:vAlign w:val="center"/>
            <w:hideMark/>
          </w:tcPr>
          <w:p w14:paraId="2DE57140" w14:textId="77777777" w:rsidR="009A2782" w:rsidRPr="00EC4BA6" w:rsidRDefault="009A2782" w:rsidP="009A2782">
            <w:pPr>
              <w:spacing w:before="0" w:after="0" w:line="240" w:lineRule="auto"/>
              <w:rPr>
                <w:rFonts w:ascii="Arial" w:hAnsi="Arial" w:cs="Arial"/>
                <w:sz w:val="16"/>
                <w:szCs w:val="16"/>
              </w:rPr>
            </w:pPr>
            <w:r w:rsidRPr="00EC4BA6">
              <w:rPr>
                <w:rFonts w:ascii="Arial" w:hAnsi="Arial" w:cs="Arial"/>
                <w:sz w:val="16"/>
                <w:szCs w:val="16"/>
              </w:rPr>
              <w:t>A38</w:t>
            </w:r>
          </w:p>
        </w:tc>
        <w:tc>
          <w:tcPr>
            <w:tcW w:w="2415" w:type="pct"/>
            <w:tcBorders>
              <w:top w:val="nil"/>
              <w:left w:val="nil"/>
              <w:bottom w:val="nil"/>
              <w:right w:val="nil"/>
            </w:tcBorders>
            <w:shd w:val="clear" w:color="auto" w:fill="auto"/>
            <w:vAlign w:val="center"/>
            <w:hideMark/>
          </w:tcPr>
          <w:p w14:paraId="563660CB" w14:textId="77777777" w:rsidR="009A2782" w:rsidRPr="00EC4BA6" w:rsidRDefault="009A2782" w:rsidP="009A2782">
            <w:pPr>
              <w:spacing w:before="0" w:after="0" w:line="240" w:lineRule="auto"/>
              <w:rPr>
                <w:rFonts w:ascii="Arial" w:hAnsi="Arial" w:cs="Arial"/>
                <w:sz w:val="16"/>
                <w:szCs w:val="16"/>
              </w:rPr>
            </w:pPr>
            <w:r w:rsidRPr="00EC4BA6">
              <w:rPr>
                <w:rFonts w:ascii="Arial" w:hAnsi="Arial" w:cs="Arial"/>
                <w:sz w:val="16"/>
                <w:szCs w:val="16"/>
              </w:rPr>
              <w:t>Exemption of certain income support benefits, pensions or allowances</w:t>
            </w:r>
          </w:p>
        </w:tc>
        <w:tc>
          <w:tcPr>
            <w:tcW w:w="537" w:type="pct"/>
            <w:tcBorders>
              <w:top w:val="nil"/>
              <w:left w:val="nil"/>
              <w:bottom w:val="nil"/>
              <w:right w:val="nil"/>
            </w:tcBorders>
            <w:shd w:val="clear" w:color="auto" w:fill="auto"/>
            <w:noWrap/>
            <w:vAlign w:val="center"/>
            <w:hideMark/>
          </w:tcPr>
          <w:p w14:paraId="7F2C1C97" w14:textId="77777777" w:rsidR="009A2782" w:rsidRPr="00EC4BA6" w:rsidRDefault="009A2782" w:rsidP="009A2782">
            <w:pPr>
              <w:spacing w:before="0" w:after="0" w:line="240" w:lineRule="auto"/>
              <w:jc w:val="right"/>
              <w:rPr>
                <w:rFonts w:ascii="Arial" w:hAnsi="Arial" w:cs="Arial"/>
                <w:sz w:val="16"/>
                <w:szCs w:val="16"/>
              </w:rPr>
            </w:pPr>
            <w:r w:rsidRPr="00EC4BA6">
              <w:rPr>
                <w:rFonts w:ascii="Arial" w:hAnsi="Arial" w:cs="Arial"/>
                <w:sz w:val="16"/>
                <w:szCs w:val="16"/>
              </w:rPr>
              <w:t>1,700</w:t>
            </w:r>
          </w:p>
        </w:tc>
        <w:tc>
          <w:tcPr>
            <w:tcW w:w="601" w:type="pct"/>
            <w:tcBorders>
              <w:top w:val="nil"/>
              <w:left w:val="nil"/>
              <w:bottom w:val="nil"/>
              <w:right w:val="nil"/>
            </w:tcBorders>
            <w:shd w:val="clear" w:color="auto" w:fill="auto"/>
            <w:vAlign w:val="center"/>
            <w:hideMark/>
          </w:tcPr>
          <w:p w14:paraId="5A51CCAF" w14:textId="77777777" w:rsidR="009A2782" w:rsidRPr="00EC4BA6" w:rsidRDefault="009A2782" w:rsidP="009A2782">
            <w:pPr>
              <w:spacing w:before="0" w:after="0" w:line="240" w:lineRule="auto"/>
              <w:jc w:val="right"/>
              <w:rPr>
                <w:rFonts w:ascii="Arial" w:hAnsi="Arial" w:cs="Arial"/>
                <w:sz w:val="16"/>
                <w:szCs w:val="16"/>
              </w:rPr>
            </w:pPr>
            <w:r w:rsidRPr="00EC4BA6">
              <w:rPr>
                <w:rFonts w:ascii="Arial" w:hAnsi="Arial" w:cs="Arial"/>
                <w:sz w:val="16"/>
                <w:szCs w:val="16"/>
              </w:rPr>
              <w:t>2.6</w:t>
            </w:r>
          </w:p>
        </w:tc>
        <w:tc>
          <w:tcPr>
            <w:tcW w:w="575" w:type="pct"/>
            <w:tcBorders>
              <w:top w:val="nil"/>
              <w:left w:val="nil"/>
              <w:bottom w:val="nil"/>
              <w:right w:val="nil"/>
            </w:tcBorders>
            <w:shd w:val="clear" w:color="auto" w:fill="auto"/>
            <w:vAlign w:val="center"/>
            <w:hideMark/>
          </w:tcPr>
          <w:p w14:paraId="0F262AEC" w14:textId="08BCEC5E" w:rsidR="009A2782" w:rsidRPr="00EC4BA6" w:rsidRDefault="001A3DD6" w:rsidP="009A2782">
            <w:pPr>
              <w:spacing w:before="0" w:after="0" w:line="240" w:lineRule="auto"/>
              <w:jc w:val="right"/>
              <w:rPr>
                <w:rFonts w:ascii="Arial" w:hAnsi="Arial" w:cs="Arial"/>
                <w:sz w:val="16"/>
                <w:szCs w:val="16"/>
              </w:rPr>
            </w:pPr>
            <w:r>
              <w:rPr>
                <w:rFonts w:ascii="Arial" w:hAnsi="Arial" w:cs="Arial"/>
                <w:sz w:val="16"/>
                <w:szCs w:val="16"/>
              </w:rPr>
              <w:noBreakHyphen/>
            </w:r>
            <w:r w:rsidR="009A2782" w:rsidRPr="00EC4BA6">
              <w:rPr>
                <w:rFonts w:ascii="Arial" w:hAnsi="Arial" w:cs="Arial"/>
                <w:sz w:val="16"/>
                <w:szCs w:val="16"/>
              </w:rPr>
              <w:t>0.6</w:t>
            </w:r>
          </w:p>
        </w:tc>
      </w:tr>
      <w:tr w:rsidR="009A2782" w:rsidRPr="00EC4BA6" w14:paraId="49242A38" w14:textId="77777777" w:rsidTr="009A2782">
        <w:trPr>
          <w:divId w:val="962418808"/>
          <w:trHeight w:hRule="exact" w:val="450"/>
        </w:trPr>
        <w:tc>
          <w:tcPr>
            <w:tcW w:w="512" w:type="pct"/>
            <w:tcBorders>
              <w:top w:val="nil"/>
              <w:left w:val="nil"/>
              <w:bottom w:val="nil"/>
              <w:right w:val="nil"/>
            </w:tcBorders>
            <w:shd w:val="clear" w:color="auto" w:fill="auto"/>
            <w:noWrap/>
            <w:vAlign w:val="center"/>
            <w:hideMark/>
          </w:tcPr>
          <w:p w14:paraId="056637AA" w14:textId="77777777" w:rsidR="009A2782" w:rsidRPr="00EC4BA6" w:rsidRDefault="009A2782" w:rsidP="009A2782">
            <w:pPr>
              <w:spacing w:before="0" w:after="0" w:line="240" w:lineRule="auto"/>
              <w:rPr>
                <w:rFonts w:ascii="Arial" w:hAnsi="Arial" w:cs="Arial"/>
                <w:sz w:val="16"/>
                <w:szCs w:val="16"/>
              </w:rPr>
            </w:pPr>
            <w:r w:rsidRPr="00EC4BA6">
              <w:rPr>
                <w:rFonts w:ascii="Arial" w:hAnsi="Arial" w:cs="Arial"/>
                <w:sz w:val="16"/>
                <w:szCs w:val="16"/>
              </w:rPr>
              <w:t>Other</w:t>
            </w:r>
          </w:p>
        </w:tc>
        <w:tc>
          <w:tcPr>
            <w:tcW w:w="360" w:type="pct"/>
            <w:tcBorders>
              <w:top w:val="nil"/>
              <w:left w:val="nil"/>
              <w:bottom w:val="nil"/>
              <w:right w:val="nil"/>
            </w:tcBorders>
            <w:shd w:val="clear" w:color="auto" w:fill="auto"/>
            <w:noWrap/>
            <w:vAlign w:val="center"/>
            <w:hideMark/>
          </w:tcPr>
          <w:p w14:paraId="3D722C81" w14:textId="77777777" w:rsidR="009A2782" w:rsidRPr="00EC4BA6" w:rsidRDefault="009A2782" w:rsidP="009A2782">
            <w:pPr>
              <w:spacing w:before="0" w:after="0" w:line="240" w:lineRule="auto"/>
              <w:rPr>
                <w:rFonts w:ascii="Arial" w:hAnsi="Arial" w:cs="Arial"/>
                <w:sz w:val="16"/>
                <w:szCs w:val="16"/>
              </w:rPr>
            </w:pPr>
            <w:r w:rsidRPr="00EC4BA6">
              <w:rPr>
                <w:rFonts w:ascii="Arial" w:hAnsi="Arial" w:cs="Arial"/>
                <w:sz w:val="16"/>
                <w:szCs w:val="16"/>
              </w:rPr>
              <w:t>F6</w:t>
            </w:r>
          </w:p>
        </w:tc>
        <w:tc>
          <w:tcPr>
            <w:tcW w:w="2415" w:type="pct"/>
            <w:tcBorders>
              <w:top w:val="nil"/>
              <w:left w:val="nil"/>
              <w:bottom w:val="nil"/>
              <w:right w:val="nil"/>
            </w:tcBorders>
            <w:shd w:val="clear" w:color="auto" w:fill="auto"/>
            <w:vAlign w:val="center"/>
            <w:hideMark/>
          </w:tcPr>
          <w:p w14:paraId="60223018" w14:textId="77777777" w:rsidR="009A2782" w:rsidRPr="00EC4BA6" w:rsidRDefault="009A2782" w:rsidP="009A2782">
            <w:pPr>
              <w:spacing w:before="0" w:after="0" w:line="240" w:lineRule="auto"/>
              <w:rPr>
                <w:rFonts w:ascii="Arial" w:hAnsi="Arial" w:cs="Arial"/>
                <w:sz w:val="16"/>
                <w:szCs w:val="16"/>
              </w:rPr>
            </w:pPr>
            <w:r w:rsidRPr="00EC4BA6">
              <w:rPr>
                <w:rFonts w:ascii="Arial" w:hAnsi="Arial" w:cs="Arial"/>
                <w:sz w:val="16"/>
                <w:szCs w:val="16"/>
              </w:rPr>
              <w:t>Concessional rate of excise levied on aviation gasoline and aviation turbine fuel</w:t>
            </w:r>
          </w:p>
        </w:tc>
        <w:tc>
          <w:tcPr>
            <w:tcW w:w="537" w:type="pct"/>
            <w:tcBorders>
              <w:top w:val="nil"/>
              <w:left w:val="nil"/>
              <w:bottom w:val="nil"/>
              <w:right w:val="nil"/>
            </w:tcBorders>
            <w:shd w:val="clear" w:color="auto" w:fill="auto"/>
            <w:noWrap/>
            <w:vAlign w:val="center"/>
            <w:hideMark/>
          </w:tcPr>
          <w:p w14:paraId="1A9C03C1" w14:textId="77777777" w:rsidR="009A2782" w:rsidRPr="00EC4BA6" w:rsidRDefault="009A2782" w:rsidP="009A2782">
            <w:pPr>
              <w:spacing w:before="0" w:after="0" w:line="240" w:lineRule="auto"/>
              <w:jc w:val="right"/>
              <w:rPr>
                <w:rFonts w:ascii="Arial" w:hAnsi="Arial" w:cs="Arial"/>
                <w:sz w:val="16"/>
                <w:szCs w:val="16"/>
              </w:rPr>
            </w:pPr>
            <w:r w:rsidRPr="00EC4BA6">
              <w:rPr>
                <w:rFonts w:ascii="Arial" w:hAnsi="Arial" w:cs="Arial"/>
                <w:sz w:val="16"/>
                <w:szCs w:val="16"/>
              </w:rPr>
              <w:t>1,700</w:t>
            </w:r>
          </w:p>
        </w:tc>
        <w:tc>
          <w:tcPr>
            <w:tcW w:w="601" w:type="pct"/>
            <w:tcBorders>
              <w:top w:val="nil"/>
              <w:left w:val="nil"/>
              <w:bottom w:val="nil"/>
              <w:right w:val="nil"/>
            </w:tcBorders>
            <w:shd w:val="clear" w:color="auto" w:fill="auto"/>
            <w:vAlign w:val="center"/>
            <w:hideMark/>
          </w:tcPr>
          <w:p w14:paraId="6E48C054" w14:textId="77777777" w:rsidR="009A2782" w:rsidRPr="00EC4BA6" w:rsidRDefault="009A2782" w:rsidP="009A2782">
            <w:pPr>
              <w:spacing w:before="0" w:after="0" w:line="240" w:lineRule="auto"/>
              <w:jc w:val="right"/>
              <w:rPr>
                <w:rFonts w:ascii="Arial" w:hAnsi="Arial" w:cs="Arial"/>
                <w:sz w:val="16"/>
                <w:szCs w:val="16"/>
              </w:rPr>
            </w:pPr>
            <w:r w:rsidRPr="00EC4BA6">
              <w:rPr>
                <w:rFonts w:ascii="Arial" w:hAnsi="Arial" w:cs="Arial"/>
                <w:sz w:val="16"/>
                <w:szCs w:val="16"/>
              </w:rPr>
              <w:t>27.9</w:t>
            </w:r>
          </w:p>
        </w:tc>
        <w:tc>
          <w:tcPr>
            <w:tcW w:w="575" w:type="pct"/>
            <w:tcBorders>
              <w:top w:val="nil"/>
              <w:left w:val="nil"/>
              <w:bottom w:val="nil"/>
              <w:right w:val="nil"/>
            </w:tcBorders>
            <w:shd w:val="clear" w:color="auto" w:fill="auto"/>
            <w:vAlign w:val="center"/>
            <w:hideMark/>
          </w:tcPr>
          <w:p w14:paraId="78073FB6" w14:textId="77777777" w:rsidR="009A2782" w:rsidRPr="00EC4BA6" w:rsidRDefault="009A2782" w:rsidP="009A2782">
            <w:pPr>
              <w:spacing w:before="0" w:after="0" w:line="240" w:lineRule="auto"/>
              <w:jc w:val="right"/>
              <w:rPr>
                <w:rFonts w:ascii="Arial" w:hAnsi="Arial" w:cs="Arial"/>
                <w:sz w:val="16"/>
                <w:szCs w:val="16"/>
              </w:rPr>
            </w:pPr>
            <w:r w:rsidRPr="00EC4BA6">
              <w:rPr>
                <w:rFonts w:ascii="Arial" w:hAnsi="Arial" w:cs="Arial"/>
                <w:sz w:val="16"/>
                <w:szCs w:val="16"/>
              </w:rPr>
              <w:t>6.0</w:t>
            </w:r>
          </w:p>
        </w:tc>
      </w:tr>
      <w:tr w:rsidR="009A2782" w:rsidRPr="00EC4BA6" w14:paraId="4F3086A7" w14:textId="77777777" w:rsidTr="009A2782">
        <w:trPr>
          <w:divId w:val="962418808"/>
          <w:trHeight w:hRule="exact" w:val="225"/>
        </w:trPr>
        <w:tc>
          <w:tcPr>
            <w:tcW w:w="512" w:type="pct"/>
            <w:tcBorders>
              <w:top w:val="nil"/>
              <w:left w:val="nil"/>
              <w:bottom w:val="nil"/>
              <w:right w:val="nil"/>
            </w:tcBorders>
            <w:shd w:val="clear" w:color="auto" w:fill="auto"/>
            <w:noWrap/>
            <w:vAlign w:val="center"/>
            <w:hideMark/>
          </w:tcPr>
          <w:p w14:paraId="0B747EFD" w14:textId="77777777" w:rsidR="009A2782" w:rsidRPr="00EC4BA6" w:rsidRDefault="009A2782" w:rsidP="009A2782">
            <w:pPr>
              <w:spacing w:before="0" w:after="0" w:line="240" w:lineRule="auto"/>
              <w:rPr>
                <w:rFonts w:ascii="Arial" w:hAnsi="Arial" w:cs="Arial"/>
                <w:sz w:val="16"/>
                <w:szCs w:val="16"/>
              </w:rPr>
            </w:pPr>
            <w:r w:rsidRPr="00EC4BA6">
              <w:rPr>
                <w:rFonts w:ascii="Arial" w:hAnsi="Arial" w:cs="Arial"/>
                <w:sz w:val="16"/>
                <w:szCs w:val="16"/>
              </w:rPr>
              <w:t>Income</w:t>
            </w:r>
          </w:p>
        </w:tc>
        <w:tc>
          <w:tcPr>
            <w:tcW w:w="360" w:type="pct"/>
            <w:tcBorders>
              <w:top w:val="nil"/>
              <w:left w:val="nil"/>
              <w:bottom w:val="nil"/>
              <w:right w:val="nil"/>
            </w:tcBorders>
            <w:shd w:val="clear" w:color="auto" w:fill="auto"/>
            <w:noWrap/>
            <w:vAlign w:val="center"/>
            <w:hideMark/>
          </w:tcPr>
          <w:p w14:paraId="0F385ED2" w14:textId="77777777" w:rsidR="009A2782" w:rsidRPr="00EC4BA6" w:rsidRDefault="009A2782" w:rsidP="009A2782">
            <w:pPr>
              <w:spacing w:before="0" w:after="0" w:line="240" w:lineRule="auto"/>
              <w:rPr>
                <w:rFonts w:ascii="Arial" w:hAnsi="Arial" w:cs="Arial"/>
                <w:sz w:val="16"/>
                <w:szCs w:val="16"/>
              </w:rPr>
            </w:pPr>
            <w:r w:rsidRPr="00EC4BA6">
              <w:rPr>
                <w:rFonts w:ascii="Arial" w:hAnsi="Arial" w:cs="Arial"/>
                <w:sz w:val="16"/>
                <w:szCs w:val="16"/>
              </w:rPr>
              <w:t>A18</w:t>
            </w:r>
          </w:p>
        </w:tc>
        <w:tc>
          <w:tcPr>
            <w:tcW w:w="2415" w:type="pct"/>
            <w:tcBorders>
              <w:top w:val="nil"/>
              <w:left w:val="nil"/>
              <w:bottom w:val="nil"/>
              <w:right w:val="nil"/>
            </w:tcBorders>
            <w:shd w:val="clear" w:color="auto" w:fill="auto"/>
            <w:vAlign w:val="center"/>
            <w:hideMark/>
          </w:tcPr>
          <w:p w14:paraId="009A4688" w14:textId="77777777" w:rsidR="009A2782" w:rsidRPr="00EC4BA6" w:rsidRDefault="009A2782" w:rsidP="009A2782">
            <w:pPr>
              <w:spacing w:before="0" w:after="0" w:line="240" w:lineRule="auto"/>
              <w:rPr>
                <w:rFonts w:ascii="Arial" w:hAnsi="Arial" w:cs="Arial"/>
                <w:sz w:val="16"/>
                <w:szCs w:val="16"/>
              </w:rPr>
            </w:pPr>
            <w:r w:rsidRPr="00EC4BA6">
              <w:rPr>
                <w:rFonts w:ascii="Arial" w:hAnsi="Arial" w:cs="Arial"/>
                <w:sz w:val="16"/>
                <w:szCs w:val="16"/>
              </w:rPr>
              <w:t>Exemption of the Private Health Insurance Rebate</w:t>
            </w:r>
          </w:p>
        </w:tc>
        <w:tc>
          <w:tcPr>
            <w:tcW w:w="537" w:type="pct"/>
            <w:tcBorders>
              <w:top w:val="nil"/>
              <w:left w:val="nil"/>
              <w:bottom w:val="nil"/>
              <w:right w:val="nil"/>
            </w:tcBorders>
            <w:shd w:val="clear" w:color="auto" w:fill="auto"/>
            <w:noWrap/>
            <w:vAlign w:val="center"/>
            <w:hideMark/>
          </w:tcPr>
          <w:p w14:paraId="39907146" w14:textId="77777777" w:rsidR="009A2782" w:rsidRPr="00EC4BA6" w:rsidRDefault="009A2782" w:rsidP="009A2782">
            <w:pPr>
              <w:spacing w:before="0" w:after="0" w:line="240" w:lineRule="auto"/>
              <w:jc w:val="right"/>
              <w:rPr>
                <w:rFonts w:ascii="Arial" w:hAnsi="Arial" w:cs="Arial"/>
                <w:sz w:val="16"/>
                <w:szCs w:val="16"/>
              </w:rPr>
            </w:pPr>
            <w:r w:rsidRPr="00EC4BA6">
              <w:rPr>
                <w:rFonts w:ascii="Arial" w:hAnsi="Arial" w:cs="Arial"/>
                <w:sz w:val="16"/>
                <w:szCs w:val="16"/>
              </w:rPr>
              <w:t>1,600</w:t>
            </w:r>
          </w:p>
        </w:tc>
        <w:tc>
          <w:tcPr>
            <w:tcW w:w="601" w:type="pct"/>
            <w:tcBorders>
              <w:top w:val="nil"/>
              <w:left w:val="nil"/>
              <w:bottom w:val="nil"/>
              <w:right w:val="nil"/>
            </w:tcBorders>
            <w:shd w:val="clear" w:color="auto" w:fill="auto"/>
            <w:vAlign w:val="center"/>
            <w:hideMark/>
          </w:tcPr>
          <w:p w14:paraId="7556682A" w14:textId="77777777" w:rsidR="009A2782" w:rsidRPr="00EC4BA6" w:rsidRDefault="009A2782" w:rsidP="009A2782">
            <w:pPr>
              <w:spacing w:before="0" w:after="0" w:line="240" w:lineRule="auto"/>
              <w:jc w:val="right"/>
              <w:rPr>
                <w:rFonts w:ascii="Arial" w:hAnsi="Arial" w:cs="Arial"/>
                <w:sz w:val="16"/>
                <w:szCs w:val="16"/>
              </w:rPr>
            </w:pPr>
            <w:r w:rsidRPr="00EC4BA6">
              <w:rPr>
                <w:rFonts w:ascii="Arial" w:hAnsi="Arial" w:cs="Arial"/>
                <w:sz w:val="16"/>
                <w:szCs w:val="16"/>
              </w:rPr>
              <w:t>0.0</w:t>
            </w:r>
          </w:p>
        </w:tc>
        <w:tc>
          <w:tcPr>
            <w:tcW w:w="575" w:type="pct"/>
            <w:tcBorders>
              <w:top w:val="nil"/>
              <w:left w:val="nil"/>
              <w:bottom w:val="nil"/>
              <w:right w:val="nil"/>
            </w:tcBorders>
            <w:shd w:val="clear" w:color="auto" w:fill="auto"/>
            <w:vAlign w:val="center"/>
            <w:hideMark/>
          </w:tcPr>
          <w:p w14:paraId="0EE7017B" w14:textId="77777777" w:rsidR="009A2782" w:rsidRPr="00EC4BA6" w:rsidRDefault="009A2782" w:rsidP="009A2782">
            <w:pPr>
              <w:spacing w:before="0" w:after="0" w:line="240" w:lineRule="auto"/>
              <w:jc w:val="right"/>
              <w:rPr>
                <w:rFonts w:ascii="Arial" w:hAnsi="Arial" w:cs="Arial"/>
                <w:sz w:val="16"/>
                <w:szCs w:val="16"/>
              </w:rPr>
            </w:pPr>
            <w:r w:rsidRPr="00EC4BA6">
              <w:rPr>
                <w:rFonts w:ascii="Arial" w:hAnsi="Arial" w:cs="Arial"/>
                <w:sz w:val="16"/>
                <w:szCs w:val="16"/>
              </w:rPr>
              <w:t>2.3</w:t>
            </w:r>
          </w:p>
        </w:tc>
      </w:tr>
      <w:tr w:rsidR="009A2782" w:rsidRPr="00EC4BA6" w14:paraId="47C7CF14" w14:textId="77777777" w:rsidTr="009A2782">
        <w:trPr>
          <w:divId w:val="962418808"/>
          <w:trHeight w:hRule="exact" w:val="450"/>
        </w:trPr>
        <w:tc>
          <w:tcPr>
            <w:tcW w:w="512" w:type="pct"/>
            <w:tcBorders>
              <w:top w:val="nil"/>
              <w:left w:val="nil"/>
              <w:bottom w:val="nil"/>
              <w:right w:val="nil"/>
            </w:tcBorders>
            <w:shd w:val="clear" w:color="auto" w:fill="auto"/>
            <w:noWrap/>
            <w:vAlign w:val="center"/>
            <w:hideMark/>
          </w:tcPr>
          <w:p w14:paraId="13AA8CA3" w14:textId="77777777" w:rsidR="009A2782" w:rsidRPr="00EC4BA6" w:rsidRDefault="009A2782" w:rsidP="009A2782">
            <w:pPr>
              <w:spacing w:before="0" w:after="0" w:line="240" w:lineRule="auto"/>
              <w:rPr>
                <w:rFonts w:ascii="Arial" w:hAnsi="Arial" w:cs="Arial"/>
                <w:sz w:val="16"/>
                <w:szCs w:val="16"/>
              </w:rPr>
            </w:pPr>
            <w:r w:rsidRPr="00EC4BA6">
              <w:rPr>
                <w:rFonts w:ascii="Arial" w:hAnsi="Arial" w:cs="Arial"/>
                <w:sz w:val="16"/>
                <w:szCs w:val="16"/>
              </w:rPr>
              <w:t>GST</w:t>
            </w:r>
          </w:p>
        </w:tc>
        <w:tc>
          <w:tcPr>
            <w:tcW w:w="360" w:type="pct"/>
            <w:tcBorders>
              <w:top w:val="nil"/>
              <w:left w:val="nil"/>
              <w:bottom w:val="nil"/>
              <w:right w:val="nil"/>
            </w:tcBorders>
            <w:shd w:val="clear" w:color="auto" w:fill="auto"/>
            <w:noWrap/>
            <w:vAlign w:val="center"/>
            <w:hideMark/>
          </w:tcPr>
          <w:p w14:paraId="10E20622" w14:textId="77777777" w:rsidR="009A2782" w:rsidRPr="00EC4BA6" w:rsidRDefault="009A2782" w:rsidP="009A2782">
            <w:pPr>
              <w:spacing w:before="0" w:after="0" w:line="240" w:lineRule="auto"/>
              <w:rPr>
                <w:rFonts w:ascii="Arial" w:hAnsi="Arial" w:cs="Arial"/>
                <w:sz w:val="16"/>
                <w:szCs w:val="16"/>
              </w:rPr>
            </w:pPr>
            <w:r w:rsidRPr="00EC4BA6">
              <w:rPr>
                <w:rFonts w:ascii="Arial" w:hAnsi="Arial" w:cs="Arial"/>
                <w:sz w:val="16"/>
                <w:szCs w:val="16"/>
              </w:rPr>
              <w:t>H18</w:t>
            </w:r>
          </w:p>
        </w:tc>
        <w:tc>
          <w:tcPr>
            <w:tcW w:w="2415" w:type="pct"/>
            <w:tcBorders>
              <w:top w:val="nil"/>
              <w:left w:val="nil"/>
              <w:bottom w:val="nil"/>
              <w:right w:val="nil"/>
            </w:tcBorders>
            <w:shd w:val="clear" w:color="auto" w:fill="auto"/>
            <w:vAlign w:val="center"/>
            <w:hideMark/>
          </w:tcPr>
          <w:p w14:paraId="4A1213AD" w14:textId="77777777" w:rsidR="009A2782" w:rsidRPr="00EC4BA6" w:rsidRDefault="009A2782" w:rsidP="009A2782">
            <w:pPr>
              <w:spacing w:before="0" w:after="0" w:line="240" w:lineRule="auto"/>
              <w:rPr>
                <w:rFonts w:ascii="Arial" w:hAnsi="Arial" w:cs="Arial"/>
                <w:sz w:val="16"/>
                <w:szCs w:val="16"/>
              </w:rPr>
            </w:pPr>
            <w:r w:rsidRPr="00EC4BA6">
              <w:rPr>
                <w:rFonts w:ascii="Arial" w:hAnsi="Arial" w:cs="Arial"/>
                <w:sz w:val="16"/>
                <w:szCs w:val="16"/>
              </w:rPr>
              <w:t>Health – residential care, community care and other care services</w:t>
            </w:r>
          </w:p>
        </w:tc>
        <w:tc>
          <w:tcPr>
            <w:tcW w:w="537" w:type="pct"/>
            <w:tcBorders>
              <w:top w:val="nil"/>
              <w:left w:val="nil"/>
              <w:bottom w:val="nil"/>
              <w:right w:val="nil"/>
            </w:tcBorders>
            <w:shd w:val="clear" w:color="auto" w:fill="auto"/>
            <w:noWrap/>
            <w:vAlign w:val="center"/>
            <w:hideMark/>
          </w:tcPr>
          <w:p w14:paraId="3289BF12" w14:textId="77777777" w:rsidR="009A2782" w:rsidRPr="00EC4BA6" w:rsidRDefault="009A2782" w:rsidP="009A2782">
            <w:pPr>
              <w:spacing w:before="0" w:after="0" w:line="240" w:lineRule="auto"/>
              <w:jc w:val="right"/>
              <w:rPr>
                <w:rFonts w:ascii="Arial" w:hAnsi="Arial" w:cs="Arial"/>
                <w:sz w:val="16"/>
                <w:szCs w:val="16"/>
              </w:rPr>
            </w:pPr>
            <w:r w:rsidRPr="00EC4BA6">
              <w:rPr>
                <w:rFonts w:ascii="Arial" w:hAnsi="Arial" w:cs="Arial"/>
                <w:sz w:val="16"/>
                <w:szCs w:val="16"/>
              </w:rPr>
              <w:t>1,600</w:t>
            </w:r>
          </w:p>
        </w:tc>
        <w:tc>
          <w:tcPr>
            <w:tcW w:w="601" w:type="pct"/>
            <w:tcBorders>
              <w:top w:val="nil"/>
              <w:left w:val="nil"/>
              <w:bottom w:val="nil"/>
              <w:right w:val="nil"/>
            </w:tcBorders>
            <w:shd w:val="clear" w:color="auto" w:fill="auto"/>
            <w:vAlign w:val="center"/>
            <w:hideMark/>
          </w:tcPr>
          <w:p w14:paraId="6973EC9B" w14:textId="77777777" w:rsidR="009A2782" w:rsidRPr="00EC4BA6" w:rsidRDefault="009A2782" w:rsidP="009A2782">
            <w:pPr>
              <w:spacing w:before="0" w:after="0" w:line="240" w:lineRule="auto"/>
              <w:jc w:val="right"/>
              <w:rPr>
                <w:rFonts w:ascii="Arial" w:hAnsi="Arial" w:cs="Arial"/>
                <w:sz w:val="16"/>
                <w:szCs w:val="16"/>
              </w:rPr>
            </w:pPr>
            <w:r w:rsidRPr="00EC4BA6">
              <w:rPr>
                <w:rFonts w:ascii="Arial" w:hAnsi="Arial" w:cs="Arial"/>
                <w:sz w:val="16"/>
                <w:szCs w:val="16"/>
              </w:rPr>
              <w:t>4.1</w:t>
            </w:r>
          </w:p>
        </w:tc>
        <w:tc>
          <w:tcPr>
            <w:tcW w:w="575" w:type="pct"/>
            <w:tcBorders>
              <w:top w:val="nil"/>
              <w:left w:val="nil"/>
              <w:bottom w:val="nil"/>
              <w:right w:val="nil"/>
            </w:tcBorders>
            <w:shd w:val="clear" w:color="auto" w:fill="auto"/>
            <w:vAlign w:val="center"/>
            <w:hideMark/>
          </w:tcPr>
          <w:p w14:paraId="1F48D2B3" w14:textId="77777777" w:rsidR="009A2782" w:rsidRPr="00EC4BA6" w:rsidRDefault="009A2782" w:rsidP="009A2782">
            <w:pPr>
              <w:spacing w:before="0" w:after="0" w:line="240" w:lineRule="auto"/>
              <w:jc w:val="right"/>
              <w:rPr>
                <w:rFonts w:ascii="Arial" w:hAnsi="Arial" w:cs="Arial"/>
                <w:sz w:val="16"/>
                <w:szCs w:val="16"/>
              </w:rPr>
            </w:pPr>
            <w:r w:rsidRPr="00EC4BA6">
              <w:rPr>
                <w:rFonts w:ascii="Arial" w:hAnsi="Arial" w:cs="Arial"/>
                <w:sz w:val="16"/>
                <w:szCs w:val="16"/>
              </w:rPr>
              <w:t>6.6</w:t>
            </w:r>
          </w:p>
        </w:tc>
      </w:tr>
      <w:tr w:rsidR="009A2782" w:rsidRPr="00EC4BA6" w14:paraId="0439F1EA" w14:textId="77777777" w:rsidTr="009A2782">
        <w:trPr>
          <w:divId w:val="962418808"/>
          <w:trHeight w:hRule="exact" w:val="225"/>
        </w:trPr>
        <w:tc>
          <w:tcPr>
            <w:tcW w:w="872" w:type="pct"/>
            <w:gridSpan w:val="2"/>
            <w:tcBorders>
              <w:top w:val="nil"/>
              <w:left w:val="nil"/>
              <w:bottom w:val="nil"/>
              <w:right w:val="nil"/>
            </w:tcBorders>
            <w:shd w:val="clear" w:color="auto" w:fill="auto"/>
            <w:noWrap/>
            <w:vAlign w:val="center"/>
            <w:hideMark/>
          </w:tcPr>
          <w:p w14:paraId="576018FE" w14:textId="77777777" w:rsidR="009A2782" w:rsidRPr="00EC4BA6" w:rsidRDefault="009A2782" w:rsidP="009A2782">
            <w:pPr>
              <w:spacing w:before="0" w:after="0" w:line="240" w:lineRule="auto"/>
              <w:rPr>
                <w:rFonts w:ascii="Arial" w:hAnsi="Arial" w:cs="Arial"/>
                <w:sz w:val="16"/>
                <w:szCs w:val="16"/>
              </w:rPr>
            </w:pPr>
            <w:r w:rsidRPr="00EC4BA6">
              <w:rPr>
                <w:rFonts w:ascii="Arial" w:hAnsi="Arial" w:cs="Arial"/>
                <w:sz w:val="16"/>
                <w:szCs w:val="16"/>
              </w:rPr>
              <w:t>Deductions</w:t>
            </w:r>
          </w:p>
        </w:tc>
        <w:tc>
          <w:tcPr>
            <w:tcW w:w="2415" w:type="pct"/>
            <w:tcBorders>
              <w:top w:val="nil"/>
              <w:left w:val="nil"/>
              <w:bottom w:val="nil"/>
              <w:right w:val="nil"/>
            </w:tcBorders>
            <w:shd w:val="clear" w:color="auto" w:fill="auto"/>
            <w:vAlign w:val="center"/>
            <w:hideMark/>
          </w:tcPr>
          <w:p w14:paraId="1CABA33D" w14:textId="77777777" w:rsidR="009A2782" w:rsidRPr="00EC4BA6" w:rsidRDefault="009A2782" w:rsidP="009A2782">
            <w:pPr>
              <w:spacing w:before="0" w:after="0" w:line="240" w:lineRule="auto"/>
              <w:rPr>
                <w:rFonts w:ascii="Arial" w:hAnsi="Arial" w:cs="Arial"/>
                <w:sz w:val="16"/>
                <w:szCs w:val="16"/>
              </w:rPr>
            </w:pPr>
            <w:r w:rsidRPr="00EC4BA6">
              <w:rPr>
                <w:rFonts w:ascii="Arial" w:hAnsi="Arial" w:cs="Arial"/>
                <w:sz w:val="16"/>
                <w:szCs w:val="16"/>
              </w:rPr>
              <w:t>Cost of managing tax affairs and other deductions</w:t>
            </w:r>
          </w:p>
        </w:tc>
        <w:tc>
          <w:tcPr>
            <w:tcW w:w="537" w:type="pct"/>
            <w:tcBorders>
              <w:top w:val="nil"/>
              <w:left w:val="nil"/>
              <w:bottom w:val="nil"/>
              <w:right w:val="nil"/>
            </w:tcBorders>
            <w:shd w:val="clear" w:color="auto" w:fill="auto"/>
            <w:noWrap/>
            <w:vAlign w:val="center"/>
            <w:hideMark/>
          </w:tcPr>
          <w:p w14:paraId="7FA22243" w14:textId="77777777" w:rsidR="009A2782" w:rsidRPr="00EC4BA6" w:rsidRDefault="009A2782" w:rsidP="009A2782">
            <w:pPr>
              <w:spacing w:before="0" w:after="0" w:line="240" w:lineRule="auto"/>
              <w:jc w:val="right"/>
              <w:rPr>
                <w:rFonts w:ascii="Arial" w:hAnsi="Arial" w:cs="Arial"/>
                <w:sz w:val="16"/>
                <w:szCs w:val="16"/>
              </w:rPr>
            </w:pPr>
            <w:r w:rsidRPr="00EC4BA6">
              <w:rPr>
                <w:rFonts w:ascii="Arial" w:hAnsi="Arial" w:cs="Arial"/>
                <w:sz w:val="16"/>
                <w:szCs w:val="16"/>
              </w:rPr>
              <w:t>1,600</w:t>
            </w:r>
          </w:p>
        </w:tc>
        <w:tc>
          <w:tcPr>
            <w:tcW w:w="601" w:type="pct"/>
            <w:tcBorders>
              <w:top w:val="nil"/>
              <w:left w:val="nil"/>
              <w:bottom w:val="nil"/>
              <w:right w:val="nil"/>
            </w:tcBorders>
            <w:shd w:val="clear" w:color="auto" w:fill="auto"/>
            <w:vAlign w:val="center"/>
            <w:hideMark/>
          </w:tcPr>
          <w:p w14:paraId="0A097302" w14:textId="77777777" w:rsidR="009A2782" w:rsidRPr="00EC4BA6" w:rsidRDefault="009A2782" w:rsidP="009A2782">
            <w:pPr>
              <w:spacing w:before="0" w:after="0" w:line="240" w:lineRule="auto"/>
              <w:jc w:val="right"/>
              <w:rPr>
                <w:rFonts w:ascii="Arial" w:hAnsi="Arial" w:cs="Arial"/>
                <w:sz w:val="16"/>
                <w:szCs w:val="16"/>
              </w:rPr>
            </w:pPr>
            <w:r w:rsidRPr="00EC4BA6">
              <w:rPr>
                <w:rFonts w:ascii="Arial" w:hAnsi="Arial" w:cs="Arial"/>
                <w:sz w:val="16"/>
                <w:szCs w:val="16"/>
              </w:rPr>
              <w:t>7.2</w:t>
            </w:r>
          </w:p>
        </w:tc>
        <w:tc>
          <w:tcPr>
            <w:tcW w:w="575" w:type="pct"/>
            <w:tcBorders>
              <w:top w:val="nil"/>
              <w:left w:val="nil"/>
              <w:bottom w:val="nil"/>
              <w:right w:val="nil"/>
            </w:tcBorders>
            <w:shd w:val="clear" w:color="auto" w:fill="auto"/>
            <w:vAlign w:val="center"/>
            <w:hideMark/>
          </w:tcPr>
          <w:p w14:paraId="278DC136" w14:textId="77777777" w:rsidR="009A2782" w:rsidRPr="00EC4BA6" w:rsidRDefault="009A2782" w:rsidP="009A2782">
            <w:pPr>
              <w:spacing w:before="0" w:after="0" w:line="240" w:lineRule="auto"/>
              <w:jc w:val="right"/>
              <w:rPr>
                <w:rFonts w:ascii="Arial" w:hAnsi="Arial" w:cs="Arial"/>
                <w:sz w:val="16"/>
                <w:szCs w:val="16"/>
              </w:rPr>
            </w:pPr>
            <w:r w:rsidRPr="00EC4BA6">
              <w:rPr>
                <w:rFonts w:ascii="Arial" w:hAnsi="Arial" w:cs="Arial"/>
                <w:sz w:val="16"/>
                <w:szCs w:val="16"/>
              </w:rPr>
              <w:t>4.4</w:t>
            </w:r>
          </w:p>
        </w:tc>
      </w:tr>
      <w:tr w:rsidR="009A2782" w:rsidRPr="00EC4BA6" w14:paraId="61A16C81" w14:textId="77777777" w:rsidTr="009A2782">
        <w:trPr>
          <w:divId w:val="962418808"/>
          <w:trHeight w:hRule="exact" w:val="450"/>
        </w:trPr>
        <w:tc>
          <w:tcPr>
            <w:tcW w:w="512" w:type="pct"/>
            <w:tcBorders>
              <w:top w:val="nil"/>
              <w:left w:val="nil"/>
              <w:bottom w:val="nil"/>
              <w:right w:val="nil"/>
            </w:tcBorders>
            <w:shd w:val="clear" w:color="auto" w:fill="auto"/>
            <w:noWrap/>
            <w:vAlign w:val="center"/>
            <w:hideMark/>
          </w:tcPr>
          <w:p w14:paraId="3E024173" w14:textId="77777777" w:rsidR="009A2782" w:rsidRPr="00EC4BA6" w:rsidRDefault="009A2782" w:rsidP="009A2782">
            <w:pPr>
              <w:spacing w:before="0" w:after="0" w:line="240" w:lineRule="auto"/>
              <w:rPr>
                <w:rFonts w:ascii="Arial" w:hAnsi="Arial" w:cs="Arial"/>
                <w:sz w:val="16"/>
                <w:szCs w:val="16"/>
              </w:rPr>
            </w:pPr>
            <w:r w:rsidRPr="00EC4BA6">
              <w:rPr>
                <w:rFonts w:ascii="Arial" w:hAnsi="Arial" w:cs="Arial"/>
                <w:sz w:val="16"/>
                <w:szCs w:val="16"/>
              </w:rPr>
              <w:t>Income</w:t>
            </w:r>
          </w:p>
        </w:tc>
        <w:tc>
          <w:tcPr>
            <w:tcW w:w="360" w:type="pct"/>
            <w:tcBorders>
              <w:top w:val="nil"/>
              <w:left w:val="nil"/>
              <w:bottom w:val="nil"/>
              <w:right w:val="nil"/>
            </w:tcBorders>
            <w:shd w:val="clear" w:color="auto" w:fill="auto"/>
            <w:noWrap/>
            <w:vAlign w:val="center"/>
            <w:hideMark/>
          </w:tcPr>
          <w:p w14:paraId="7795AF64" w14:textId="77777777" w:rsidR="009A2782" w:rsidRPr="00EC4BA6" w:rsidRDefault="009A2782" w:rsidP="009A2782">
            <w:pPr>
              <w:spacing w:before="0" w:after="0" w:line="240" w:lineRule="auto"/>
              <w:rPr>
                <w:rFonts w:ascii="Arial" w:hAnsi="Arial" w:cs="Arial"/>
                <w:sz w:val="16"/>
                <w:szCs w:val="16"/>
              </w:rPr>
            </w:pPr>
            <w:r w:rsidRPr="00EC4BA6">
              <w:rPr>
                <w:rFonts w:ascii="Arial" w:hAnsi="Arial" w:cs="Arial"/>
                <w:sz w:val="16"/>
                <w:szCs w:val="16"/>
              </w:rPr>
              <w:t>A57</w:t>
            </w:r>
          </w:p>
        </w:tc>
        <w:tc>
          <w:tcPr>
            <w:tcW w:w="2415" w:type="pct"/>
            <w:tcBorders>
              <w:top w:val="nil"/>
              <w:left w:val="nil"/>
              <w:bottom w:val="nil"/>
              <w:right w:val="nil"/>
            </w:tcBorders>
            <w:shd w:val="clear" w:color="auto" w:fill="auto"/>
            <w:vAlign w:val="center"/>
            <w:hideMark/>
          </w:tcPr>
          <w:p w14:paraId="44768EA2" w14:textId="77777777" w:rsidR="009A2782" w:rsidRPr="00EC4BA6" w:rsidRDefault="009A2782" w:rsidP="009A2782">
            <w:pPr>
              <w:spacing w:before="0" w:after="0" w:line="240" w:lineRule="auto"/>
              <w:rPr>
                <w:rFonts w:ascii="Arial" w:hAnsi="Arial" w:cs="Arial"/>
                <w:sz w:val="16"/>
                <w:szCs w:val="16"/>
              </w:rPr>
            </w:pPr>
            <w:r w:rsidRPr="00EC4BA6">
              <w:rPr>
                <w:rFonts w:ascii="Arial" w:hAnsi="Arial" w:cs="Arial"/>
                <w:sz w:val="16"/>
                <w:szCs w:val="16"/>
              </w:rPr>
              <w:t>Philanthropy – deduction for gifts to deductible gift recipients</w:t>
            </w:r>
          </w:p>
        </w:tc>
        <w:tc>
          <w:tcPr>
            <w:tcW w:w="537" w:type="pct"/>
            <w:tcBorders>
              <w:top w:val="nil"/>
              <w:left w:val="nil"/>
              <w:bottom w:val="nil"/>
              <w:right w:val="nil"/>
            </w:tcBorders>
            <w:shd w:val="clear" w:color="auto" w:fill="auto"/>
            <w:noWrap/>
            <w:vAlign w:val="center"/>
            <w:hideMark/>
          </w:tcPr>
          <w:p w14:paraId="134AA7B5" w14:textId="77777777" w:rsidR="009A2782" w:rsidRPr="00EC4BA6" w:rsidRDefault="009A2782" w:rsidP="009A2782">
            <w:pPr>
              <w:spacing w:before="0" w:after="0" w:line="240" w:lineRule="auto"/>
              <w:jc w:val="right"/>
              <w:rPr>
                <w:rFonts w:ascii="Arial" w:hAnsi="Arial" w:cs="Arial"/>
                <w:sz w:val="16"/>
                <w:szCs w:val="16"/>
              </w:rPr>
            </w:pPr>
            <w:r w:rsidRPr="00EC4BA6">
              <w:rPr>
                <w:rFonts w:ascii="Arial" w:hAnsi="Arial" w:cs="Arial"/>
                <w:sz w:val="16"/>
                <w:szCs w:val="16"/>
              </w:rPr>
              <w:t>1,515</w:t>
            </w:r>
          </w:p>
        </w:tc>
        <w:tc>
          <w:tcPr>
            <w:tcW w:w="601" w:type="pct"/>
            <w:tcBorders>
              <w:top w:val="nil"/>
              <w:left w:val="nil"/>
              <w:bottom w:val="nil"/>
              <w:right w:val="nil"/>
            </w:tcBorders>
            <w:shd w:val="clear" w:color="auto" w:fill="auto"/>
            <w:vAlign w:val="center"/>
            <w:hideMark/>
          </w:tcPr>
          <w:p w14:paraId="32108FD7" w14:textId="77777777" w:rsidR="009A2782" w:rsidRPr="00EC4BA6" w:rsidRDefault="009A2782" w:rsidP="009A2782">
            <w:pPr>
              <w:spacing w:before="0" w:after="0" w:line="240" w:lineRule="auto"/>
              <w:jc w:val="right"/>
              <w:rPr>
                <w:rFonts w:ascii="Arial" w:hAnsi="Arial" w:cs="Arial"/>
                <w:sz w:val="16"/>
                <w:szCs w:val="16"/>
              </w:rPr>
            </w:pPr>
            <w:r w:rsidRPr="00EC4BA6">
              <w:rPr>
                <w:rFonts w:ascii="Arial" w:hAnsi="Arial" w:cs="Arial"/>
                <w:sz w:val="16"/>
                <w:szCs w:val="16"/>
              </w:rPr>
              <w:t>35.6</w:t>
            </w:r>
          </w:p>
        </w:tc>
        <w:tc>
          <w:tcPr>
            <w:tcW w:w="575" w:type="pct"/>
            <w:tcBorders>
              <w:top w:val="nil"/>
              <w:left w:val="nil"/>
              <w:bottom w:val="nil"/>
              <w:right w:val="nil"/>
            </w:tcBorders>
            <w:shd w:val="clear" w:color="auto" w:fill="auto"/>
            <w:vAlign w:val="center"/>
            <w:hideMark/>
          </w:tcPr>
          <w:p w14:paraId="406AF0B7" w14:textId="595550A4" w:rsidR="009A2782" w:rsidRPr="00EC4BA6" w:rsidRDefault="001A3DD6" w:rsidP="009A2782">
            <w:pPr>
              <w:spacing w:before="0" w:after="0" w:line="240" w:lineRule="auto"/>
              <w:jc w:val="right"/>
              <w:rPr>
                <w:rFonts w:ascii="Arial" w:hAnsi="Arial" w:cs="Arial"/>
                <w:sz w:val="16"/>
                <w:szCs w:val="16"/>
              </w:rPr>
            </w:pPr>
            <w:r>
              <w:rPr>
                <w:rFonts w:ascii="Arial" w:hAnsi="Arial" w:cs="Arial"/>
                <w:sz w:val="16"/>
                <w:szCs w:val="16"/>
              </w:rPr>
              <w:noBreakHyphen/>
            </w:r>
            <w:r w:rsidR="009A2782" w:rsidRPr="00EC4BA6">
              <w:rPr>
                <w:rFonts w:ascii="Arial" w:hAnsi="Arial" w:cs="Arial"/>
                <w:sz w:val="16"/>
                <w:szCs w:val="16"/>
              </w:rPr>
              <w:t>21.6</w:t>
            </w:r>
          </w:p>
        </w:tc>
      </w:tr>
      <w:tr w:rsidR="009A2782" w:rsidRPr="00EC4BA6" w14:paraId="11ACB336" w14:textId="77777777" w:rsidTr="009A2782">
        <w:trPr>
          <w:divId w:val="962418808"/>
          <w:trHeight w:hRule="exact" w:val="225"/>
        </w:trPr>
        <w:tc>
          <w:tcPr>
            <w:tcW w:w="512" w:type="pct"/>
            <w:tcBorders>
              <w:top w:val="nil"/>
              <w:left w:val="nil"/>
              <w:bottom w:val="nil"/>
              <w:right w:val="nil"/>
            </w:tcBorders>
            <w:shd w:val="clear" w:color="auto" w:fill="auto"/>
            <w:noWrap/>
            <w:vAlign w:val="center"/>
            <w:hideMark/>
          </w:tcPr>
          <w:p w14:paraId="08CC6A68" w14:textId="77777777" w:rsidR="009A2782" w:rsidRPr="00EC4BA6" w:rsidRDefault="009A2782" w:rsidP="009A2782">
            <w:pPr>
              <w:spacing w:before="0" w:after="0" w:line="240" w:lineRule="auto"/>
              <w:rPr>
                <w:rFonts w:ascii="Arial" w:hAnsi="Arial" w:cs="Arial"/>
                <w:sz w:val="16"/>
                <w:szCs w:val="16"/>
              </w:rPr>
            </w:pPr>
            <w:r w:rsidRPr="00EC4BA6">
              <w:rPr>
                <w:rFonts w:ascii="Arial" w:hAnsi="Arial" w:cs="Arial"/>
                <w:sz w:val="16"/>
                <w:szCs w:val="16"/>
              </w:rPr>
              <w:t>Income</w:t>
            </w:r>
          </w:p>
        </w:tc>
        <w:tc>
          <w:tcPr>
            <w:tcW w:w="360" w:type="pct"/>
            <w:tcBorders>
              <w:top w:val="nil"/>
              <w:left w:val="nil"/>
              <w:bottom w:val="nil"/>
              <w:right w:val="nil"/>
            </w:tcBorders>
            <w:shd w:val="clear" w:color="auto" w:fill="auto"/>
            <w:noWrap/>
            <w:vAlign w:val="center"/>
            <w:hideMark/>
          </w:tcPr>
          <w:p w14:paraId="251ACD95" w14:textId="77777777" w:rsidR="009A2782" w:rsidRPr="00EC4BA6" w:rsidRDefault="009A2782" w:rsidP="009A2782">
            <w:pPr>
              <w:spacing w:before="0" w:after="0" w:line="240" w:lineRule="auto"/>
              <w:rPr>
                <w:rFonts w:ascii="Arial" w:hAnsi="Arial" w:cs="Arial"/>
                <w:sz w:val="16"/>
                <w:szCs w:val="16"/>
              </w:rPr>
            </w:pPr>
            <w:r w:rsidRPr="00EC4BA6">
              <w:rPr>
                <w:rFonts w:ascii="Arial" w:hAnsi="Arial" w:cs="Arial"/>
                <w:sz w:val="16"/>
                <w:szCs w:val="16"/>
              </w:rPr>
              <w:t>B83</w:t>
            </w:r>
          </w:p>
        </w:tc>
        <w:tc>
          <w:tcPr>
            <w:tcW w:w="2415" w:type="pct"/>
            <w:tcBorders>
              <w:top w:val="nil"/>
              <w:left w:val="nil"/>
              <w:bottom w:val="nil"/>
              <w:right w:val="nil"/>
            </w:tcBorders>
            <w:shd w:val="clear" w:color="auto" w:fill="auto"/>
            <w:vAlign w:val="center"/>
            <w:hideMark/>
          </w:tcPr>
          <w:p w14:paraId="104D90A4" w14:textId="77777777" w:rsidR="009A2782" w:rsidRPr="00EC4BA6" w:rsidRDefault="009A2782" w:rsidP="009A2782">
            <w:pPr>
              <w:spacing w:before="0" w:after="0" w:line="240" w:lineRule="auto"/>
              <w:rPr>
                <w:rFonts w:ascii="Arial" w:hAnsi="Arial" w:cs="Arial"/>
                <w:sz w:val="16"/>
                <w:szCs w:val="16"/>
              </w:rPr>
            </w:pPr>
            <w:r w:rsidRPr="00EC4BA6">
              <w:rPr>
                <w:rFonts w:ascii="Arial" w:hAnsi="Arial" w:cs="Arial"/>
                <w:sz w:val="16"/>
                <w:szCs w:val="16"/>
              </w:rPr>
              <w:t>Capital works expenditure deduction</w:t>
            </w:r>
          </w:p>
        </w:tc>
        <w:tc>
          <w:tcPr>
            <w:tcW w:w="537" w:type="pct"/>
            <w:tcBorders>
              <w:top w:val="nil"/>
              <w:left w:val="nil"/>
              <w:bottom w:val="nil"/>
              <w:right w:val="nil"/>
            </w:tcBorders>
            <w:shd w:val="clear" w:color="auto" w:fill="auto"/>
            <w:noWrap/>
            <w:vAlign w:val="center"/>
            <w:hideMark/>
          </w:tcPr>
          <w:p w14:paraId="0AB2B04F" w14:textId="77777777" w:rsidR="009A2782" w:rsidRPr="00EC4BA6" w:rsidRDefault="009A2782" w:rsidP="009A2782">
            <w:pPr>
              <w:spacing w:before="0" w:after="0" w:line="240" w:lineRule="auto"/>
              <w:jc w:val="right"/>
              <w:rPr>
                <w:rFonts w:ascii="Arial" w:hAnsi="Arial" w:cs="Arial"/>
                <w:sz w:val="16"/>
                <w:szCs w:val="16"/>
              </w:rPr>
            </w:pPr>
            <w:r w:rsidRPr="00EC4BA6">
              <w:rPr>
                <w:rFonts w:ascii="Arial" w:hAnsi="Arial" w:cs="Arial"/>
                <w:sz w:val="16"/>
                <w:szCs w:val="16"/>
              </w:rPr>
              <w:t>1,430</w:t>
            </w:r>
          </w:p>
        </w:tc>
        <w:tc>
          <w:tcPr>
            <w:tcW w:w="601" w:type="pct"/>
            <w:tcBorders>
              <w:top w:val="nil"/>
              <w:left w:val="nil"/>
              <w:bottom w:val="nil"/>
              <w:right w:val="nil"/>
            </w:tcBorders>
            <w:shd w:val="clear" w:color="auto" w:fill="auto"/>
            <w:vAlign w:val="center"/>
            <w:hideMark/>
          </w:tcPr>
          <w:p w14:paraId="04227A2E" w14:textId="77777777" w:rsidR="009A2782" w:rsidRPr="00EC4BA6" w:rsidRDefault="009A2782" w:rsidP="009A2782">
            <w:pPr>
              <w:spacing w:before="0" w:after="0" w:line="240" w:lineRule="auto"/>
              <w:jc w:val="right"/>
              <w:rPr>
                <w:rFonts w:ascii="Arial" w:hAnsi="Arial" w:cs="Arial"/>
                <w:sz w:val="16"/>
                <w:szCs w:val="16"/>
              </w:rPr>
            </w:pPr>
            <w:r w:rsidRPr="00EC4BA6">
              <w:rPr>
                <w:rFonts w:ascii="Arial" w:hAnsi="Arial" w:cs="Arial"/>
                <w:sz w:val="16"/>
                <w:szCs w:val="16"/>
              </w:rPr>
              <w:t>3.4</w:t>
            </w:r>
          </w:p>
        </w:tc>
        <w:tc>
          <w:tcPr>
            <w:tcW w:w="575" w:type="pct"/>
            <w:tcBorders>
              <w:top w:val="nil"/>
              <w:left w:val="nil"/>
              <w:bottom w:val="nil"/>
              <w:right w:val="nil"/>
            </w:tcBorders>
            <w:shd w:val="clear" w:color="auto" w:fill="auto"/>
            <w:vAlign w:val="center"/>
            <w:hideMark/>
          </w:tcPr>
          <w:p w14:paraId="39B5E205" w14:textId="77777777" w:rsidR="009A2782" w:rsidRPr="00EC4BA6" w:rsidRDefault="009A2782" w:rsidP="009A2782">
            <w:pPr>
              <w:spacing w:before="0" w:after="0" w:line="240" w:lineRule="auto"/>
              <w:jc w:val="right"/>
              <w:rPr>
                <w:rFonts w:ascii="Arial" w:hAnsi="Arial" w:cs="Arial"/>
                <w:sz w:val="16"/>
                <w:szCs w:val="16"/>
              </w:rPr>
            </w:pPr>
            <w:r w:rsidRPr="00EC4BA6">
              <w:rPr>
                <w:rFonts w:ascii="Arial" w:hAnsi="Arial" w:cs="Arial"/>
                <w:sz w:val="16"/>
                <w:szCs w:val="16"/>
              </w:rPr>
              <w:t>3.6</w:t>
            </w:r>
          </w:p>
        </w:tc>
      </w:tr>
      <w:tr w:rsidR="009A2782" w:rsidRPr="00EC4BA6" w14:paraId="070F9ED2" w14:textId="77777777" w:rsidTr="009A2782">
        <w:trPr>
          <w:divId w:val="962418808"/>
          <w:trHeight w:hRule="exact" w:val="900"/>
        </w:trPr>
        <w:tc>
          <w:tcPr>
            <w:tcW w:w="512" w:type="pct"/>
            <w:tcBorders>
              <w:top w:val="nil"/>
              <w:left w:val="nil"/>
              <w:bottom w:val="nil"/>
              <w:right w:val="nil"/>
            </w:tcBorders>
            <w:shd w:val="clear" w:color="auto" w:fill="auto"/>
            <w:noWrap/>
            <w:vAlign w:val="center"/>
            <w:hideMark/>
          </w:tcPr>
          <w:p w14:paraId="2963C67B" w14:textId="77777777" w:rsidR="009A2782" w:rsidRPr="00EC4BA6" w:rsidRDefault="009A2782" w:rsidP="009A2782">
            <w:pPr>
              <w:spacing w:before="0" w:after="0" w:line="240" w:lineRule="auto"/>
              <w:rPr>
                <w:rFonts w:ascii="Arial" w:hAnsi="Arial" w:cs="Arial"/>
                <w:sz w:val="16"/>
                <w:szCs w:val="16"/>
              </w:rPr>
            </w:pPr>
            <w:r w:rsidRPr="00EC4BA6">
              <w:rPr>
                <w:rFonts w:ascii="Arial" w:hAnsi="Arial" w:cs="Arial"/>
                <w:sz w:val="16"/>
                <w:szCs w:val="16"/>
              </w:rPr>
              <w:t>Income</w:t>
            </w:r>
          </w:p>
        </w:tc>
        <w:tc>
          <w:tcPr>
            <w:tcW w:w="360" w:type="pct"/>
            <w:tcBorders>
              <w:top w:val="nil"/>
              <w:left w:val="nil"/>
              <w:bottom w:val="nil"/>
              <w:right w:val="nil"/>
            </w:tcBorders>
            <w:shd w:val="clear" w:color="auto" w:fill="auto"/>
            <w:noWrap/>
            <w:vAlign w:val="center"/>
            <w:hideMark/>
          </w:tcPr>
          <w:p w14:paraId="73C2286F" w14:textId="77777777" w:rsidR="009A2782" w:rsidRPr="00EC4BA6" w:rsidRDefault="009A2782" w:rsidP="009A2782">
            <w:pPr>
              <w:spacing w:before="0" w:after="0" w:line="240" w:lineRule="auto"/>
              <w:rPr>
                <w:rFonts w:ascii="Arial" w:hAnsi="Arial" w:cs="Arial"/>
                <w:sz w:val="16"/>
                <w:szCs w:val="16"/>
              </w:rPr>
            </w:pPr>
            <w:r w:rsidRPr="00EC4BA6">
              <w:rPr>
                <w:rFonts w:ascii="Arial" w:hAnsi="Arial" w:cs="Arial"/>
                <w:sz w:val="16"/>
                <w:szCs w:val="16"/>
              </w:rPr>
              <w:t>A40</w:t>
            </w:r>
          </w:p>
        </w:tc>
        <w:tc>
          <w:tcPr>
            <w:tcW w:w="2415" w:type="pct"/>
            <w:tcBorders>
              <w:top w:val="nil"/>
              <w:left w:val="nil"/>
              <w:bottom w:val="nil"/>
              <w:right w:val="nil"/>
            </w:tcBorders>
            <w:shd w:val="clear" w:color="auto" w:fill="auto"/>
            <w:vAlign w:val="center"/>
            <w:hideMark/>
          </w:tcPr>
          <w:p w14:paraId="7A961CA9" w14:textId="652DC552" w:rsidR="009A2782" w:rsidRPr="00EC4BA6" w:rsidRDefault="009A2782" w:rsidP="009A2782">
            <w:pPr>
              <w:spacing w:before="0" w:after="0" w:line="240" w:lineRule="auto"/>
              <w:rPr>
                <w:rFonts w:ascii="Arial" w:hAnsi="Arial" w:cs="Arial"/>
                <w:sz w:val="16"/>
                <w:szCs w:val="16"/>
              </w:rPr>
            </w:pPr>
            <w:r w:rsidRPr="00EC4BA6">
              <w:rPr>
                <w:rFonts w:ascii="Arial" w:hAnsi="Arial" w:cs="Arial"/>
                <w:sz w:val="16"/>
                <w:szCs w:val="16"/>
              </w:rPr>
              <w:t>Exemptions of certain veterans</w:t>
            </w:r>
            <w:r w:rsidR="001A3DD6">
              <w:rPr>
                <w:rFonts w:ascii="Arial" w:hAnsi="Arial" w:cs="Arial"/>
                <w:sz w:val="16"/>
                <w:szCs w:val="16"/>
              </w:rPr>
              <w:t>’</w:t>
            </w:r>
            <w:r w:rsidRPr="00EC4BA6">
              <w:rPr>
                <w:rFonts w:ascii="Arial" w:hAnsi="Arial" w:cs="Arial"/>
                <w:sz w:val="16"/>
                <w:szCs w:val="16"/>
              </w:rPr>
              <w:t xml:space="preserve"> pensions, allowances or benefits, compensation, and particular World War II</w:t>
            </w:r>
            <w:r w:rsidR="001A3DD6">
              <w:rPr>
                <w:rFonts w:ascii="Arial" w:hAnsi="Arial" w:cs="Arial"/>
                <w:sz w:val="16"/>
                <w:szCs w:val="16"/>
              </w:rPr>
              <w:noBreakHyphen/>
            </w:r>
            <w:r w:rsidRPr="00EC4BA6">
              <w:rPr>
                <w:rFonts w:ascii="Arial" w:hAnsi="Arial" w:cs="Arial"/>
                <w:sz w:val="16"/>
                <w:szCs w:val="16"/>
              </w:rPr>
              <w:t>related payments for persecution</w:t>
            </w:r>
          </w:p>
        </w:tc>
        <w:tc>
          <w:tcPr>
            <w:tcW w:w="537" w:type="pct"/>
            <w:tcBorders>
              <w:top w:val="nil"/>
              <w:left w:val="nil"/>
              <w:bottom w:val="nil"/>
              <w:right w:val="nil"/>
            </w:tcBorders>
            <w:shd w:val="clear" w:color="auto" w:fill="auto"/>
            <w:noWrap/>
            <w:vAlign w:val="center"/>
            <w:hideMark/>
          </w:tcPr>
          <w:p w14:paraId="6BD686CA" w14:textId="77777777" w:rsidR="009A2782" w:rsidRPr="00EC4BA6" w:rsidRDefault="009A2782" w:rsidP="009A2782">
            <w:pPr>
              <w:spacing w:before="0" w:after="0" w:line="240" w:lineRule="auto"/>
              <w:jc w:val="right"/>
              <w:rPr>
                <w:rFonts w:ascii="Arial" w:hAnsi="Arial" w:cs="Arial"/>
                <w:sz w:val="16"/>
                <w:szCs w:val="16"/>
              </w:rPr>
            </w:pPr>
            <w:r w:rsidRPr="00EC4BA6">
              <w:rPr>
                <w:rFonts w:ascii="Arial" w:hAnsi="Arial" w:cs="Arial"/>
                <w:sz w:val="16"/>
                <w:szCs w:val="16"/>
              </w:rPr>
              <w:t>1,380</w:t>
            </w:r>
          </w:p>
        </w:tc>
        <w:tc>
          <w:tcPr>
            <w:tcW w:w="601" w:type="pct"/>
            <w:tcBorders>
              <w:top w:val="nil"/>
              <w:left w:val="nil"/>
              <w:bottom w:val="nil"/>
              <w:right w:val="nil"/>
            </w:tcBorders>
            <w:shd w:val="clear" w:color="auto" w:fill="auto"/>
            <w:vAlign w:val="center"/>
            <w:hideMark/>
          </w:tcPr>
          <w:p w14:paraId="1FFDD5EA" w14:textId="77777777" w:rsidR="009A2782" w:rsidRPr="00EC4BA6" w:rsidRDefault="009A2782" w:rsidP="009A2782">
            <w:pPr>
              <w:spacing w:before="0" w:after="0" w:line="240" w:lineRule="auto"/>
              <w:jc w:val="right"/>
              <w:rPr>
                <w:rFonts w:ascii="Arial" w:hAnsi="Arial" w:cs="Arial"/>
                <w:sz w:val="16"/>
                <w:szCs w:val="16"/>
              </w:rPr>
            </w:pPr>
            <w:r w:rsidRPr="00EC4BA6">
              <w:rPr>
                <w:rFonts w:ascii="Arial" w:hAnsi="Arial" w:cs="Arial"/>
                <w:sz w:val="16"/>
                <w:szCs w:val="16"/>
              </w:rPr>
              <w:t>20.2</w:t>
            </w:r>
          </w:p>
        </w:tc>
        <w:tc>
          <w:tcPr>
            <w:tcW w:w="575" w:type="pct"/>
            <w:tcBorders>
              <w:top w:val="nil"/>
              <w:left w:val="nil"/>
              <w:bottom w:val="nil"/>
              <w:right w:val="nil"/>
            </w:tcBorders>
            <w:shd w:val="clear" w:color="auto" w:fill="auto"/>
            <w:vAlign w:val="center"/>
            <w:hideMark/>
          </w:tcPr>
          <w:p w14:paraId="68044673" w14:textId="57B9BB55" w:rsidR="009A2782" w:rsidRPr="00EC4BA6" w:rsidRDefault="001A3DD6" w:rsidP="009A2782">
            <w:pPr>
              <w:spacing w:before="0" w:after="0" w:line="240" w:lineRule="auto"/>
              <w:jc w:val="right"/>
              <w:rPr>
                <w:rFonts w:ascii="Arial" w:hAnsi="Arial" w:cs="Arial"/>
                <w:sz w:val="16"/>
                <w:szCs w:val="16"/>
              </w:rPr>
            </w:pPr>
            <w:r>
              <w:rPr>
                <w:rFonts w:ascii="Arial" w:hAnsi="Arial" w:cs="Arial"/>
                <w:sz w:val="16"/>
                <w:szCs w:val="16"/>
              </w:rPr>
              <w:noBreakHyphen/>
            </w:r>
            <w:r w:rsidR="009A2782" w:rsidRPr="00EC4BA6">
              <w:rPr>
                <w:rFonts w:ascii="Arial" w:hAnsi="Arial" w:cs="Arial"/>
                <w:sz w:val="16"/>
                <w:szCs w:val="16"/>
              </w:rPr>
              <w:t>0.9</w:t>
            </w:r>
          </w:p>
        </w:tc>
      </w:tr>
      <w:tr w:rsidR="009A2782" w:rsidRPr="00EC4BA6" w14:paraId="475A3EA8" w14:textId="77777777" w:rsidTr="009A2782">
        <w:trPr>
          <w:divId w:val="962418808"/>
          <w:trHeight w:hRule="exact" w:val="225"/>
        </w:trPr>
        <w:tc>
          <w:tcPr>
            <w:tcW w:w="512" w:type="pct"/>
            <w:tcBorders>
              <w:top w:val="nil"/>
              <w:left w:val="nil"/>
              <w:bottom w:val="nil"/>
              <w:right w:val="nil"/>
            </w:tcBorders>
            <w:shd w:val="clear" w:color="auto" w:fill="auto"/>
            <w:noWrap/>
            <w:vAlign w:val="center"/>
            <w:hideMark/>
          </w:tcPr>
          <w:p w14:paraId="7D4C871F" w14:textId="77777777" w:rsidR="009A2782" w:rsidRPr="00EC4BA6" w:rsidRDefault="009A2782" w:rsidP="009A2782">
            <w:pPr>
              <w:spacing w:before="0" w:after="0" w:line="240" w:lineRule="auto"/>
              <w:rPr>
                <w:rFonts w:ascii="Arial" w:hAnsi="Arial" w:cs="Arial"/>
                <w:sz w:val="16"/>
                <w:szCs w:val="16"/>
              </w:rPr>
            </w:pPr>
            <w:r w:rsidRPr="00EC4BA6">
              <w:rPr>
                <w:rFonts w:ascii="Arial" w:hAnsi="Arial" w:cs="Arial"/>
                <w:sz w:val="16"/>
                <w:szCs w:val="16"/>
              </w:rPr>
              <w:t>GST</w:t>
            </w:r>
          </w:p>
        </w:tc>
        <w:tc>
          <w:tcPr>
            <w:tcW w:w="360" w:type="pct"/>
            <w:tcBorders>
              <w:top w:val="nil"/>
              <w:left w:val="nil"/>
              <w:bottom w:val="nil"/>
              <w:right w:val="nil"/>
            </w:tcBorders>
            <w:shd w:val="clear" w:color="auto" w:fill="auto"/>
            <w:noWrap/>
            <w:vAlign w:val="center"/>
            <w:hideMark/>
          </w:tcPr>
          <w:p w14:paraId="7BE8B03C" w14:textId="77777777" w:rsidR="009A2782" w:rsidRPr="00EC4BA6" w:rsidRDefault="009A2782" w:rsidP="009A2782">
            <w:pPr>
              <w:spacing w:before="0" w:after="0" w:line="240" w:lineRule="auto"/>
              <w:rPr>
                <w:rFonts w:ascii="Arial" w:hAnsi="Arial" w:cs="Arial"/>
                <w:sz w:val="16"/>
                <w:szCs w:val="16"/>
              </w:rPr>
            </w:pPr>
            <w:r w:rsidRPr="00EC4BA6">
              <w:rPr>
                <w:rFonts w:ascii="Arial" w:hAnsi="Arial" w:cs="Arial"/>
                <w:sz w:val="16"/>
                <w:szCs w:val="16"/>
              </w:rPr>
              <w:t>H6</w:t>
            </w:r>
          </w:p>
        </w:tc>
        <w:tc>
          <w:tcPr>
            <w:tcW w:w="2415" w:type="pct"/>
            <w:tcBorders>
              <w:top w:val="nil"/>
              <w:left w:val="nil"/>
              <w:bottom w:val="nil"/>
              <w:right w:val="nil"/>
            </w:tcBorders>
            <w:shd w:val="clear" w:color="auto" w:fill="auto"/>
            <w:vAlign w:val="center"/>
            <w:hideMark/>
          </w:tcPr>
          <w:p w14:paraId="28BDF74B" w14:textId="77777777" w:rsidR="009A2782" w:rsidRPr="00EC4BA6" w:rsidRDefault="009A2782" w:rsidP="009A2782">
            <w:pPr>
              <w:spacing w:before="0" w:after="0" w:line="240" w:lineRule="auto"/>
              <w:rPr>
                <w:rFonts w:ascii="Arial" w:hAnsi="Arial" w:cs="Arial"/>
                <w:sz w:val="16"/>
                <w:szCs w:val="16"/>
              </w:rPr>
            </w:pPr>
            <w:r w:rsidRPr="00EC4BA6">
              <w:rPr>
                <w:rFonts w:ascii="Arial" w:hAnsi="Arial" w:cs="Arial"/>
                <w:sz w:val="16"/>
                <w:szCs w:val="16"/>
              </w:rPr>
              <w:t>Water, sewerage and drainage</w:t>
            </w:r>
          </w:p>
        </w:tc>
        <w:tc>
          <w:tcPr>
            <w:tcW w:w="537" w:type="pct"/>
            <w:tcBorders>
              <w:top w:val="nil"/>
              <w:left w:val="nil"/>
              <w:bottom w:val="nil"/>
              <w:right w:val="nil"/>
            </w:tcBorders>
            <w:shd w:val="clear" w:color="auto" w:fill="auto"/>
            <w:noWrap/>
            <w:vAlign w:val="center"/>
            <w:hideMark/>
          </w:tcPr>
          <w:p w14:paraId="1AC4B7B7" w14:textId="77777777" w:rsidR="009A2782" w:rsidRPr="00EC4BA6" w:rsidRDefault="009A2782" w:rsidP="009A2782">
            <w:pPr>
              <w:spacing w:before="0" w:after="0" w:line="240" w:lineRule="auto"/>
              <w:jc w:val="right"/>
              <w:rPr>
                <w:rFonts w:ascii="Arial" w:hAnsi="Arial" w:cs="Arial"/>
                <w:sz w:val="16"/>
                <w:szCs w:val="16"/>
              </w:rPr>
            </w:pPr>
            <w:r w:rsidRPr="00EC4BA6">
              <w:rPr>
                <w:rFonts w:ascii="Arial" w:hAnsi="Arial" w:cs="Arial"/>
                <w:sz w:val="16"/>
                <w:szCs w:val="16"/>
              </w:rPr>
              <w:t>1,320</w:t>
            </w:r>
          </w:p>
        </w:tc>
        <w:tc>
          <w:tcPr>
            <w:tcW w:w="601" w:type="pct"/>
            <w:tcBorders>
              <w:top w:val="nil"/>
              <w:left w:val="nil"/>
              <w:bottom w:val="nil"/>
              <w:right w:val="nil"/>
            </w:tcBorders>
            <w:shd w:val="clear" w:color="auto" w:fill="auto"/>
            <w:vAlign w:val="center"/>
            <w:hideMark/>
          </w:tcPr>
          <w:p w14:paraId="07C89531" w14:textId="77777777" w:rsidR="009A2782" w:rsidRPr="00EC4BA6" w:rsidRDefault="009A2782" w:rsidP="009A2782">
            <w:pPr>
              <w:spacing w:before="0" w:after="0" w:line="240" w:lineRule="auto"/>
              <w:jc w:val="right"/>
              <w:rPr>
                <w:rFonts w:ascii="Arial" w:hAnsi="Arial" w:cs="Arial"/>
                <w:sz w:val="16"/>
                <w:szCs w:val="16"/>
              </w:rPr>
            </w:pPr>
            <w:r w:rsidRPr="00EC4BA6">
              <w:rPr>
                <w:rFonts w:ascii="Arial" w:hAnsi="Arial" w:cs="Arial"/>
                <w:sz w:val="16"/>
                <w:szCs w:val="16"/>
              </w:rPr>
              <w:t>5.2</w:t>
            </w:r>
          </w:p>
        </w:tc>
        <w:tc>
          <w:tcPr>
            <w:tcW w:w="575" w:type="pct"/>
            <w:tcBorders>
              <w:top w:val="nil"/>
              <w:left w:val="nil"/>
              <w:bottom w:val="nil"/>
              <w:right w:val="nil"/>
            </w:tcBorders>
            <w:shd w:val="clear" w:color="auto" w:fill="auto"/>
            <w:vAlign w:val="center"/>
            <w:hideMark/>
          </w:tcPr>
          <w:p w14:paraId="351024A3" w14:textId="77777777" w:rsidR="009A2782" w:rsidRPr="00EC4BA6" w:rsidRDefault="009A2782" w:rsidP="009A2782">
            <w:pPr>
              <w:spacing w:before="0" w:after="0" w:line="240" w:lineRule="auto"/>
              <w:jc w:val="right"/>
              <w:rPr>
                <w:rFonts w:ascii="Arial" w:hAnsi="Arial" w:cs="Arial"/>
                <w:sz w:val="16"/>
                <w:szCs w:val="16"/>
              </w:rPr>
            </w:pPr>
            <w:r w:rsidRPr="00EC4BA6">
              <w:rPr>
                <w:rFonts w:ascii="Arial" w:hAnsi="Arial" w:cs="Arial"/>
                <w:sz w:val="16"/>
                <w:szCs w:val="16"/>
              </w:rPr>
              <w:t>3.5</w:t>
            </w:r>
          </w:p>
        </w:tc>
      </w:tr>
      <w:tr w:rsidR="009A2782" w:rsidRPr="00EC4BA6" w14:paraId="487FA470" w14:textId="77777777" w:rsidTr="009A2782">
        <w:trPr>
          <w:divId w:val="962418808"/>
          <w:trHeight w:hRule="exact" w:val="225"/>
        </w:trPr>
        <w:tc>
          <w:tcPr>
            <w:tcW w:w="512" w:type="pct"/>
            <w:tcBorders>
              <w:top w:val="nil"/>
              <w:left w:val="nil"/>
              <w:bottom w:val="nil"/>
              <w:right w:val="nil"/>
            </w:tcBorders>
            <w:shd w:val="clear" w:color="auto" w:fill="auto"/>
            <w:noWrap/>
            <w:vAlign w:val="center"/>
            <w:hideMark/>
          </w:tcPr>
          <w:p w14:paraId="6C228AC5" w14:textId="77777777" w:rsidR="009A2782" w:rsidRPr="00EC4BA6" w:rsidRDefault="009A2782" w:rsidP="009A2782">
            <w:pPr>
              <w:spacing w:before="0" w:after="0" w:line="240" w:lineRule="auto"/>
              <w:rPr>
                <w:rFonts w:ascii="Arial" w:hAnsi="Arial" w:cs="Arial"/>
                <w:sz w:val="16"/>
                <w:szCs w:val="16"/>
              </w:rPr>
            </w:pPr>
            <w:r w:rsidRPr="00EC4BA6">
              <w:rPr>
                <w:rFonts w:ascii="Arial" w:hAnsi="Arial" w:cs="Arial"/>
                <w:sz w:val="16"/>
                <w:szCs w:val="16"/>
              </w:rPr>
              <w:t>CGT</w:t>
            </w:r>
          </w:p>
        </w:tc>
        <w:tc>
          <w:tcPr>
            <w:tcW w:w="360" w:type="pct"/>
            <w:tcBorders>
              <w:top w:val="nil"/>
              <w:left w:val="nil"/>
              <w:bottom w:val="nil"/>
              <w:right w:val="nil"/>
            </w:tcBorders>
            <w:shd w:val="clear" w:color="auto" w:fill="auto"/>
            <w:noWrap/>
            <w:vAlign w:val="center"/>
            <w:hideMark/>
          </w:tcPr>
          <w:p w14:paraId="04329C4F" w14:textId="77777777" w:rsidR="009A2782" w:rsidRPr="00EC4BA6" w:rsidRDefault="009A2782" w:rsidP="009A2782">
            <w:pPr>
              <w:spacing w:before="0" w:after="0" w:line="240" w:lineRule="auto"/>
              <w:rPr>
                <w:rFonts w:ascii="Arial" w:hAnsi="Arial" w:cs="Arial"/>
                <w:sz w:val="16"/>
                <w:szCs w:val="16"/>
              </w:rPr>
            </w:pPr>
            <w:r w:rsidRPr="00EC4BA6">
              <w:rPr>
                <w:rFonts w:ascii="Arial" w:hAnsi="Arial" w:cs="Arial"/>
                <w:sz w:val="16"/>
                <w:szCs w:val="16"/>
              </w:rPr>
              <w:t>E32</w:t>
            </w:r>
          </w:p>
        </w:tc>
        <w:tc>
          <w:tcPr>
            <w:tcW w:w="2415" w:type="pct"/>
            <w:tcBorders>
              <w:top w:val="nil"/>
              <w:left w:val="nil"/>
              <w:bottom w:val="nil"/>
              <w:right w:val="nil"/>
            </w:tcBorders>
            <w:shd w:val="clear" w:color="auto" w:fill="auto"/>
            <w:vAlign w:val="center"/>
            <w:hideMark/>
          </w:tcPr>
          <w:p w14:paraId="24A3362D" w14:textId="77777777" w:rsidR="009A2782" w:rsidRPr="00EC4BA6" w:rsidRDefault="009A2782" w:rsidP="009A2782">
            <w:pPr>
              <w:spacing w:before="0" w:after="0" w:line="240" w:lineRule="auto"/>
              <w:rPr>
                <w:rFonts w:ascii="Arial" w:hAnsi="Arial" w:cs="Arial"/>
                <w:sz w:val="16"/>
                <w:szCs w:val="16"/>
              </w:rPr>
            </w:pPr>
            <w:r w:rsidRPr="00EC4BA6">
              <w:rPr>
                <w:rFonts w:ascii="Arial" w:hAnsi="Arial" w:cs="Arial"/>
                <w:sz w:val="16"/>
                <w:szCs w:val="16"/>
              </w:rPr>
              <w:t>Small business 50 per cent reduction</w:t>
            </w:r>
          </w:p>
        </w:tc>
        <w:tc>
          <w:tcPr>
            <w:tcW w:w="537" w:type="pct"/>
            <w:tcBorders>
              <w:top w:val="nil"/>
              <w:left w:val="nil"/>
              <w:bottom w:val="nil"/>
              <w:right w:val="nil"/>
            </w:tcBorders>
            <w:shd w:val="clear" w:color="auto" w:fill="auto"/>
            <w:noWrap/>
            <w:vAlign w:val="center"/>
            <w:hideMark/>
          </w:tcPr>
          <w:p w14:paraId="24622E06" w14:textId="77777777" w:rsidR="009A2782" w:rsidRPr="00EC4BA6" w:rsidRDefault="009A2782" w:rsidP="009A2782">
            <w:pPr>
              <w:spacing w:before="0" w:after="0" w:line="240" w:lineRule="auto"/>
              <w:jc w:val="right"/>
              <w:rPr>
                <w:rFonts w:ascii="Arial" w:hAnsi="Arial" w:cs="Arial"/>
                <w:sz w:val="16"/>
                <w:szCs w:val="16"/>
              </w:rPr>
            </w:pPr>
            <w:r w:rsidRPr="00EC4BA6">
              <w:rPr>
                <w:rFonts w:ascii="Arial" w:hAnsi="Arial" w:cs="Arial"/>
                <w:sz w:val="16"/>
                <w:szCs w:val="16"/>
              </w:rPr>
              <w:t>1,310</w:t>
            </w:r>
          </w:p>
        </w:tc>
        <w:tc>
          <w:tcPr>
            <w:tcW w:w="601" w:type="pct"/>
            <w:tcBorders>
              <w:top w:val="nil"/>
              <w:left w:val="nil"/>
              <w:bottom w:val="nil"/>
              <w:right w:val="nil"/>
            </w:tcBorders>
            <w:shd w:val="clear" w:color="auto" w:fill="auto"/>
            <w:vAlign w:val="center"/>
            <w:hideMark/>
          </w:tcPr>
          <w:p w14:paraId="658C4F34" w14:textId="77777777" w:rsidR="009A2782" w:rsidRPr="00EC4BA6" w:rsidRDefault="009A2782" w:rsidP="009A2782">
            <w:pPr>
              <w:spacing w:before="0" w:after="0" w:line="240" w:lineRule="auto"/>
              <w:jc w:val="right"/>
              <w:rPr>
                <w:rFonts w:ascii="Arial" w:hAnsi="Arial" w:cs="Arial"/>
                <w:sz w:val="16"/>
                <w:szCs w:val="16"/>
              </w:rPr>
            </w:pPr>
            <w:r w:rsidRPr="00EC4BA6">
              <w:rPr>
                <w:rFonts w:ascii="Arial" w:hAnsi="Arial" w:cs="Arial"/>
                <w:sz w:val="16"/>
                <w:szCs w:val="16"/>
              </w:rPr>
              <w:t>16.4</w:t>
            </w:r>
          </w:p>
        </w:tc>
        <w:tc>
          <w:tcPr>
            <w:tcW w:w="575" w:type="pct"/>
            <w:tcBorders>
              <w:top w:val="nil"/>
              <w:left w:val="nil"/>
              <w:bottom w:val="nil"/>
              <w:right w:val="nil"/>
            </w:tcBorders>
            <w:shd w:val="clear" w:color="auto" w:fill="auto"/>
            <w:vAlign w:val="center"/>
            <w:hideMark/>
          </w:tcPr>
          <w:p w14:paraId="52C7727A" w14:textId="490D024D" w:rsidR="009A2782" w:rsidRPr="00EC4BA6" w:rsidRDefault="001A3DD6" w:rsidP="009A2782">
            <w:pPr>
              <w:spacing w:before="0" w:after="0" w:line="240" w:lineRule="auto"/>
              <w:jc w:val="right"/>
              <w:rPr>
                <w:rFonts w:ascii="Arial" w:hAnsi="Arial" w:cs="Arial"/>
                <w:sz w:val="16"/>
                <w:szCs w:val="16"/>
              </w:rPr>
            </w:pPr>
            <w:r>
              <w:rPr>
                <w:rFonts w:ascii="Arial" w:hAnsi="Arial" w:cs="Arial"/>
                <w:sz w:val="16"/>
                <w:szCs w:val="16"/>
              </w:rPr>
              <w:noBreakHyphen/>
            </w:r>
            <w:r w:rsidR="009A2782" w:rsidRPr="00EC4BA6">
              <w:rPr>
                <w:rFonts w:ascii="Arial" w:hAnsi="Arial" w:cs="Arial"/>
                <w:sz w:val="16"/>
                <w:szCs w:val="16"/>
              </w:rPr>
              <w:t>4.2</w:t>
            </w:r>
          </w:p>
        </w:tc>
      </w:tr>
      <w:tr w:rsidR="009A2782" w:rsidRPr="00EC4BA6" w14:paraId="4E03EEAC" w14:textId="77777777" w:rsidTr="009A2782">
        <w:trPr>
          <w:divId w:val="962418808"/>
          <w:trHeight w:hRule="exact" w:val="450"/>
        </w:trPr>
        <w:tc>
          <w:tcPr>
            <w:tcW w:w="512" w:type="pct"/>
            <w:tcBorders>
              <w:top w:val="nil"/>
              <w:left w:val="nil"/>
              <w:bottom w:val="nil"/>
              <w:right w:val="nil"/>
            </w:tcBorders>
            <w:shd w:val="clear" w:color="auto" w:fill="auto"/>
            <w:noWrap/>
            <w:vAlign w:val="center"/>
            <w:hideMark/>
          </w:tcPr>
          <w:p w14:paraId="63D428AA" w14:textId="77777777" w:rsidR="009A2782" w:rsidRPr="00EC4BA6" w:rsidRDefault="009A2782" w:rsidP="009A2782">
            <w:pPr>
              <w:spacing w:before="0" w:after="0" w:line="240" w:lineRule="auto"/>
              <w:rPr>
                <w:rFonts w:ascii="Arial" w:hAnsi="Arial" w:cs="Arial"/>
                <w:sz w:val="16"/>
                <w:szCs w:val="16"/>
              </w:rPr>
            </w:pPr>
            <w:r w:rsidRPr="00EC4BA6">
              <w:rPr>
                <w:rFonts w:ascii="Arial" w:hAnsi="Arial" w:cs="Arial"/>
                <w:sz w:val="16"/>
                <w:szCs w:val="16"/>
              </w:rPr>
              <w:t>Income</w:t>
            </w:r>
          </w:p>
        </w:tc>
        <w:tc>
          <w:tcPr>
            <w:tcW w:w="360" w:type="pct"/>
            <w:tcBorders>
              <w:top w:val="nil"/>
              <w:left w:val="nil"/>
              <w:bottom w:val="nil"/>
              <w:right w:val="nil"/>
            </w:tcBorders>
            <w:shd w:val="clear" w:color="auto" w:fill="auto"/>
            <w:noWrap/>
            <w:vAlign w:val="center"/>
            <w:hideMark/>
          </w:tcPr>
          <w:p w14:paraId="5D28E2A3" w14:textId="77777777" w:rsidR="009A2782" w:rsidRPr="00EC4BA6" w:rsidRDefault="009A2782" w:rsidP="009A2782">
            <w:pPr>
              <w:spacing w:before="0" w:after="0" w:line="240" w:lineRule="auto"/>
              <w:rPr>
                <w:rFonts w:ascii="Arial" w:hAnsi="Arial" w:cs="Arial"/>
                <w:sz w:val="16"/>
                <w:szCs w:val="16"/>
              </w:rPr>
            </w:pPr>
            <w:r w:rsidRPr="00EC4BA6">
              <w:rPr>
                <w:rFonts w:ascii="Arial" w:hAnsi="Arial" w:cs="Arial"/>
                <w:sz w:val="16"/>
                <w:szCs w:val="16"/>
              </w:rPr>
              <w:t>B12</w:t>
            </w:r>
          </w:p>
        </w:tc>
        <w:tc>
          <w:tcPr>
            <w:tcW w:w="2415" w:type="pct"/>
            <w:tcBorders>
              <w:top w:val="nil"/>
              <w:left w:val="nil"/>
              <w:bottom w:val="nil"/>
              <w:right w:val="nil"/>
            </w:tcBorders>
            <w:shd w:val="clear" w:color="auto" w:fill="auto"/>
            <w:vAlign w:val="center"/>
            <w:hideMark/>
          </w:tcPr>
          <w:p w14:paraId="048B821A" w14:textId="07FFA87E" w:rsidR="009A2782" w:rsidRPr="00EC4BA6" w:rsidRDefault="009A2782" w:rsidP="009A2782">
            <w:pPr>
              <w:spacing w:before="0" w:after="0" w:line="240" w:lineRule="auto"/>
              <w:rPr>
                <w:rFonts w:ascii="Arial" w:hAnsi="Arial" w:cs="Arial"/>
                <w:sz w:val="16"/>
                <w:szCs w:val="16"/>
              </w:rPr>
            </w:pPr>
            <w:r w:rsidRPr="00EC4BA6">
              <w:rPr>
                <w:rFonts w:ascii="Arial" w:hAnsi="Arial" w:cs="Arial"/>
                <w:sz w:val="16"/>
                <w:szCs w:val="16"/>
              </w:rPr>
              <w:t>Exemption of inbound non</w:t>
            </w:r>
            <w:r w:rsidR="001A3DD6">
              <w:rPr>
                <w:rFonts w:ascii="Arial" w:hAnsi="Arial" w:cs="Arial"/>
                <w:sz w:val="16"/>
                <w:szCs w:val="16"/>
              </w:rPr>
              <w:noBreakHyphen/>
            </w:r>
            <w:r w:rsidRPr="00EC4BA6">
              <w:rPr>
                <w:rFonts w:ascii="Arial" w:hAnsi="Arial" w:cs="Arial"/>
                <w:sz w:val="16"/>
                <w:szCs w:val="16"/>
              </w:rPr>
              <w:t>portfolio distributions from income tax</w:t>
            </w:r>
          </w:p>
        </w:tc>
        <w:tc>
          <w:tcPr>
            <w:tcW w:w="537" w:type="pct"/>
            <w:tcBorders>
              <w:top w:val="nil"/>
              <w:left w:val="nil"/>
              <w:bottom w:val="nil"/>
              <w:right w:val="nil"/>
            </w:tcBorders>
            <w:shd w:val="clear" w:color="auto" w:fill="auto"/>
            <w:noWrap/>
            <w:vAlign w:val="center"/>
            <w:hideMark/>
          </w:tcPr>
          <w:p w14:paraId="770ACEB9" w14:textId="77777777" w:rsidR="009A2782" w:rsidRPr="00EC4BA6" w:rsidRDefault="009A2782" w:rsidP="009A2782">
            <w:pPr>
              <w:spacing w:before="0" w:after="0" w:line="240" w:lineRule="auto"/>
              <w:jc w:val="right"/>
              <w:rPr>
                <w:rFonts w:ascii="Arial" w:hAnsi="Arial" w:cs="Arial"/>
                <w:sz w:val="16"/>
                <w:szCs w:val="16"/>
              </w:rPr>
            </w:pPr>
            <w:r w:rsidRPr="00EC4BA6">
              <w:rPr>
                <w:rFonts w:ascii="Arial" w:hAnsi="Arial" w:cs="Arial"/>
                <w:sz w:val="16"/>
                <w:szCs w:val="16"/>
              </w:rPr>
              <w:t>1,120</w:t>
            </w:r>
          </w:p>
        </w:tc>
        <w:tc>
          <w:tcPr>
            <w:tcW w:w="601" w:type="pct"/>
            <w:tcBorders>
              <w:top w:val="nil"/>
              <w:left w:val="nil"/>
              <w:bottom w:val="nil"/>
              <w:right w:val="nil"/>
            </w:tcBorders>
            <w:shd w:val="clear" w:color="auto" w:fill="auto"/>
            <w:vAlign w:val="center"/>
            <w:hideMark/>
          </w:tcPr>
          <w:p w14:paraId="74A980A5" w14:textId="77777777" w:rsidR="009A2782" w:rsidRPr="00EC4BA6" w:rsidRDefault="009A2782" w:rsidP="009A2782">
            <w:pPr>
              <w:spacing w:before="0" w:after="0" w:line="240" w:lineRule="auto"/>
              <w:jc w:val="right"/>
              <w:rPr>
                <w:rFonts w:ascii="Arial" w:hAnsi="Arial" w:cs="Arial"/>
                <w:sz w:val="16"/>
                <w:szCs w:val="16"/>
              </w:rPr>
            </w:pPr>
            <w:r w:rsidRPr="00EC4BA6">
              <w:rPr>
                <w:rFonts w:ascii="Arial" w:hAnsi="Arial" w:cs="Arial"/>
                <w:sz w:val="16"/>
                <w:szCs w:val="16"/>
              </w:rPr>
              <w:t>5.1</w:t>
            </w:r>
          </w:p>
        </w:tc>
        <w:tc>
          <w:tcPr>
            <w:tcW w:w="575" w:type="pct"/>
            <w:tcBorders>
              <w:top w:val="nil"/>
              <w:left w:val="nil"/>
              <w:bottom w:val="nil"/>
              <w:right w:val="nil"/>
            </w:tcBorders>
            <w:shd w:val="clear" w:color="auto" w:fill="auto"/>
            <w:vAlign w:val="center"/>
            <w:hideMark/>
          </w:tcPr>
          <w:p w14:paraId="25B93A72" w14:textId="060E5F4E" w:rsidR="009A2782" w:rsidRPr="00EC4BA6" w:rsidRDefault="001A3DD6" w:rsidP="009A2782">
            <w:pPr>
              <w:spacing w:before="0" w:after="0" w:line="240" w:lineRule="auto"/>
              <w:jc w:val="right"/>
              <w:rPr>
                <w:rFonts w:ascii="Arial" w:hAnsi="Arial" w:cs="Arial"/>
                <w:sz w:val="16"/>
                <w:szCs w:val="16"/>
              </w:rPr>
            </w:pPr>
            <w:r>
              <w:rPr>
                <w:rFonts w:ascii="Arial" w:hAnsi="Arial" w:cs="Arial"/>
                <w:sz w:val="16"/>
                <w:szCs w:val="16"/>
              </w:rPr>
              <w:noBreakHyphen/>
            </w:r>
            <w:r w:rsidR="009A2782" w:rsidRPr="00EC4BA6">
              <w:rPr>
                <w:rFonts w:ascii="Arial" w:hAnsi="Arial" w:cs="Arial"/>
                <w:sz w:val="16"/>
                <w:szCs w:val="16"/>
              </w:rPr>
              <w:t>0.7</w:t>
            </w:r>
          </w:p>
        </w:tc>
      </w:tr>
      <w:tr w:rsidR="009A2782" w:rsidRPr="00EC4BA6" w14:paraId="4EF7D1CF" w14:textId="77777777" w:rsidTr="009A2782">
        <w:trPr>
          <w:divId w:val="962418808"/>
          <w:trHeight w:hRule="exact" w:val="450"/>
        </w:trPr>
        <w:tc>
          <w:tcPr>
            <w:tcW w:w="512" w:type="pct"/>
            <w:tcBorders>
              <w:top w:val="nil"/>
              <w:left w:val="nil"/>
              <w:bottom w:val="nil"/>
              <w:right w:val="nil"/>
            </w:tcBorders>
            <w:shd w:val="clear" w:color="auto" w:fill="auto"/>
            <w:noWrap/>
            <w:vAlign w:val="center"/>
            <w:hideMark/>
          </w:tcPr>
          <w:p w14:paraId="07E80C5D" w14:textId="77777777" w:rsidR="009A2782" w:rsidRPr="00EC4BA6" w:rsidRDefault="009A2782" w:rsidP="009A2782">
            <w:pPr>
              <w:spacing w:before="0" w:after="0" w:line="240" w:lineRule="auto"/>
              <w:rPr>
                <w:rFonts w:ascii="Arial" w:hAnsi="Arial" w:cs="Arial"/>
                <w:sz w:val="16"/>
                <w:szCs w:val="16"/>
              </w:rPr>
            </w:pPr>
            <w:r w:rsidRPr="00EC4BA6">
              <w:rPr>
                <w:rFonts w:ascii="Arial" w:hAnsi="Arial" w:cs="Arial"/>
                <w:sz w:val="16"/>
                <w:szCs w:val="16"/>
              </w:rPr>
              <w:t>Income</w:t>
            </w:r>
          </w:p>
        </w:tc>
        <w:tc>
          <w:tcPr>
            <w:tcW w:w="360" w:type="pct"/>
            <w:tcBorders>
              <w:top w:val="nil"/>
              <w:left w:val="nil"/>
              <w:bottom w:val="nil"/>
              <w:right w:val="nil"/>
            </w:tcBorders>
            <w:shd w:val="clear" w:color="auto" w:fill="auto"/>
            <w:noWrap/>
            <w:vAlign w:val="center"/>
            <w:hideMark/>
          </w:tcPr>
          <w:p w14:paraId="6C2EF106" w14:textId="77777777" w:rsidR="009A2782" w:rsidRPr="00EC4BA6" w:rsidRDefault="009A2782" w:rsidP="009A2782">
            <w:pPr>
              <w:spacing w:before="0" w:after="0" w:line="240" w:lineRule="auto"/>
              <w:rPr>
                <w:rFonts w:ascii="Arial" w:hAnsi="Arial" w:cs="Arial"/>
                <w:sz w:val="16"/>
                <w:szCs w:val="16"/>
              </w:rPr>
            </w:pPr>
            <w:r w:rsidRPr="00EC4BA6">
              <w:rPr>
                <w:rFonts w:ascii="Arial" w:hAnsi="Arial" w:cs="Arial"/>
                <w:sz w:val="16"/>
                <w:szCs w:val="16"/>
              </w:rPr>
              <w:t>B5</w:t>
            </w:r>
          </w:p>
        </w:tc>
        <w:tc>
          <w:tcPr>
            <w:tcW w:w="2415" w:type="pct"/>
            <w:tcBorders>
              <w:top w:val="nil"/>
              <w:left w:val="nil"/>
              <w:bottom w:val="nil"/>
              <w:right w:val="nil"/>
            </w:tcBorders>
            <w:shd w:val="clear" w:color="auto" w:fill="auto"/>
            <w:vAlign w:val="center"/>
            <w:hideMark/>
          </w:tcPr>
          <w:p w14:paraId="5FE15795" w14:textId="77777777" w:rsidR="009A2782" w:rsidRPr="00EC4BA6" w:rsidRDefault="009A2782" w:rsidP="009A2782">
            <w:pPr>
              <w:spacing w:before="0" w:after="0" w:line="240" w:lineRule="auto"/>
              <w:rPr>
                <w:rFonts w:ascii="Arial" w:hAnsi="Arial" w:cs="Arial"/>
                <w:sz w:val="16"/>
                <w:szCs w:val="16"/>
              </w:rPr>
            </w:pPr>
            <w:r w:rsidRPr="00EC4BA6">
              <w:rPr>
                <w:rFonts w:ascii="Arial" w:hAnsi="Arial" w:cs="Arial"/>
                <w:sz w:val="16"/>
                <w:szCs w:val="16"/>
              </w:rPr>
              <w:t>Reduced withholding tax under international tax treaties</w:t>
            </w:r>
          </w:p>
        </w:tc>
        <w:tc>
          <w:tcPr>
            <w:tcW w:w="537" w:type="pct"/>
            <w:tcBorders>
              <w:top w:val="nil"/>
              <w:left w:val="nil"/>
              <w:bottom w:val="nil"/>
              <w:right w:val="nil"/>
            </w:tcBorders>
            <w:shd w:val="clear" w:color="auto" w:fill="auto"/>
            <w:noWrap/>
            <w:vAlign w:val="center"/>
            <w:hideMark/>
          </w:tcPr>
          <w:p w14:paraId="62E9D840" w14:textId="77777777" w:rsidR="009A2782" w:rsidRPr="00EC4BA6" w:rsidRDefault="009A2782" w:rsidP="009A2782">
            <w:pPr>
              <w:spacing w:before="0" w:after="0" w:line="240" w:lineRule="auto"/>
              <w:jc w:val="right"/>
              <w:rPr>
                <w:rFonts w:ascii="Arial" w:hAnsi="Arial" w:cs="Arial"/>
                <w:sz w:val="16"/>
                <w:szCs w:val="16"/>
              </w:rPr>
            </w:pPr>
            <w:r w:rsidRPr="00EC4BA6">
              <w:rPr>
                <w:rFonts w:ascii="Arial" w:hAnsi="Arial" w:cs="Arial"/>
                <w:sz w:val="16"/>
                <w:szCs w:val="16"/>
              </w:rPr>
              <w:t>1,080</w:t>
            </w:r>
          </w:p>
        </w:tc>
        <w:tc>
          <w:tcPr>
            <w:tcW w:w="601" w:type="pct"/>
            <w:tcBorders>
              <w:top w:val="nil"/>
              <w:left w:val="nil"/>
              <w:bottom w:val="nil"/>
              <w:right w:val="nil"/>
            </w:tcBorders>
            <w:shd w:val="clear" w:color="auto" w:fill="auto"/>
            <w:vAlign w:val="center"/>
            <w:hideMark/>
          </w:tcPr>
          <w:p w14:paraId="401A0962" w14:textId="77777777" w:rsidR="009A2782" w:rsidRPr="00EC4BA6" w:rsidRDefault="009A2782" w:rsidP="009A2782">
            <w:pPr>
              <w:spacing w:before="0" w:after="0" w:line="240" w:lineRule="auto"/>
              <w:jc w:val="right"/>
              <w:rPr>
                <w:rFonts w:ascii="Arial" w:hAnsi="Arial" w:cs="Arial"/>
                <w:sz w:val="16"/>
                <w:szCs w:val="16"/>
              </w:rPr>
            </w:pPr>
            <w:r w:rsidRPr="00EC4BA6">
              <w:rPr>
                <w:rFonts w:ascii="Arial" w:hAnsi="Arial" w:cs="Arial"/>
                <w:sz w:val="16"/>
                <w:szCs w:val="16"/>
              </w:rPr>
              <w:t>15.4</w:t>
            </w:r>
          </w:p>
        </w:tc>
        <w:tc>
          <w:tcPr>
            <w:tcW w:w="575" w:type="pct"/>
            <w:tcBorders>
              <w:top w:val="nil"/>
              <w:left w:val="nil"/>
              <w:bottom w:val="nil"/>
              <w:right w:val="nil"/>
            </w:tcBorders>
            <w:shd w:val="clear" w:color="auto" w:fill="auto"/>
            <w:vAlign w:val="center"/>
            <w:hideMark/>
          </w:tcPr>
          <w:p w14:paraId="41E6D14A" w14:textId="77777777" w:rsidR="009A2782" w:rsidRPr="00EC4BA6" w:rsidRDefault="009A2782" w:rsidP="009A2782">
            <w:pPr>
              <w:spacing w:before="0" w:after="0" w:line="240" w:lineRule="auto"/>
              <w:jc w:val="right"/>
              <w:rPr>
                <w:rFonts w:ascii="Arial" w:hAnsi="Arial" w:cs="Arial"/>
                <w:sz w:val="16"/>
                <w:szCs w:val="16"/>
              </w:rPr>
            </w:pPr>
            <w:r w:rsidRPr="00EC4BA6">
              <w:rPr>
                <w:rFonts w:ascii="Arial" w:hAnsi="Arial" w:cs="Arial"/>
                <w:sz w:val="16"/>
                <w:szCs w:val="16"/>
              </w:rPr>
              <w:t>8.6</w:t>
            </w:r>
          </w:p>
        </w:tc>
      </w:tr>
      <w:tr w:rsidR="009A2782" w:rsidRPr="00EC4BA6" w14:paraId="30750DCF" w14:textId="77777777" w:rsidTr="009A2782">
        <w:trPr>
          <w:divId w:val="962418808"/>
          <w:trHeight w:hRule="exact" w:val="225"/>
        </w:trPr>
        <w:tc>
          <w:tcPr>
            <w:tcW w:w="512" w:type="pct"/>
            <w:tcBorders>
              <w:top w:val="nil"/>
              <w:left w:val="nil"/>
              <w:bottom w:val="nil"/>
              <w:right w:val="nil"/>
            </w:tcBorders>
            <w:shd w:val="clear" w:color="auto" w:fill="auto"/>
            <w:noWrap/>
            <w:vAlign w:val="center"/>
            <w:hideMark/>
          </w:tcPr>
          <w:p w14:paraId="1438C872" w14:textId="77777777" w:rsidR="009A2782" w:rsidRPr="00EC4BA6" w:rsidRDefault="009A2782" w:rsidP="009A2782">
            <w:pPr>
              <w:spacing w:before="0" w:after="0" w:line="240" w:lineRule="auto"/>
              <w:rPr>
                <w:rFonts w:ascii="Arial" w:hAnsi="Arial" w:cs="Arial"/>
                <w:sz w:val="16"/>
                <w:szCs w:val="16"/>
              </w:rPr>
            </w:pPr>
            <w:r w:rsidRPr="00EC4BA6">
              <w:rPr>
                <w:rFonts w:ascii="Arial" w:hAnsi="Arial" w:cs="Arial"/>
                <w:sz w:val="16"/>
                <w:szCs w:val="16"/>
              </w:rPr>
              <w:t>Income</w:t>
            </w:r>
          </w:p>
        </w:tc>
        <w:tc>
          <w:tcPr>
            <w:tcW w:w="360" w:type="pct"/>
            <w:tcBorders>
              <w:top w:val="nil"/>
              <w:left w:val="nil"/>
              <w:bottom w:val="nil"/>
              <w:right w:val="nil"/>
            </w:tcBorders>
            <w:shd w:val="clear" w:color="auto" w:fill="auto"/>
            <w:noWrap/>
            <w:vAlign w:val="center"/>
            <w:hideMark/>
          </w:tcPr>
          <w:p w14:paraId="616E7383" w14:textId="77777777" w:rsidR="009A2782" w:rsidRPr="00EC4BA6" w:rsidRDefault="009A2782" w:rsidP="009A2782">
            <w:pPr>
              <w:spacing w:before="0" w:after="0" w:line="240" w:lineRule="auto"/>
              <w:rPr>
                <w:rFonts w:ascii="Arial" w:hAnsi="Arial" w:cs="Arial"/>
                <w:sz w:val="16"/>
                <w:szCs w:val="16"/>
              </w:rPr>
            </w:pPr>
            <w:r w:rsidRPr="00EC4BA6">
              <w:rPr>
                <w:rFonts w:ascii="Arial" w:hAnsi="Arial" w:cs="Arial"/>
                <w:sz w:val="16"/>
                <w:szCs w:val="16"/>
              </w:rPr>
              <w:t>A32</w:t>
            </w:r>
          </w:p>
        </w:tc>
        <w:tc>
          <w:tcPr>
            <w:tcW w:w="2415" w:type="pct"/>
            <w:tcBorders>
              <w:top w:val="nil"/>
              <w:left w:val="nil"/>
              <w:bottom w:val="nil"/>
              <w:right w:val="nil"/>
            </w:tcBorders>
            <w:shd w:val="clear" w:color="auto" w:fill="auto"/>
            <w:vAlign w:val="center"/>
            <w:hideMark/>
          </w:tcPr>
          <w:p w14:paraId="655247F9" w14:textId="77777777" w:rsidR="009A2782" w:rsidRPr="00EC4BA6" w:rsidRDefault="009A2782" w:rsidP="009A2782">
            <w:pPr>
              <w:spacing w:before="0" w:after="0" w:line="240" w:lineRule="auto"/>
              <w:rPr>
                <w:rFonts w:ascii="Arial" w:hAnsi="Arial" w:cs="Arial"/>
                <w:sz w:val="16"/>
                <w:szCs w:val="16"/>
              </w:rPr>
            </w:pPr>
            <w:r w:rsidRPr="00EC4BA6">
              <w:rPr>
                <w:rFonts w:ascii="Arial" w:hAnsi="Arial" w:cs="Arial"/>
                <w:sz w:val="16"/>
                <w:szCs w:val="16"/>
              </w:rPr>
              <w:t>Seniors and pensioners tax offset</w:t>
            </w:r>
          </w:p>
        </w:tc>
        <w:tc>
          <w:tcPr>
            <w:tcW w:w="537" w:type="pct"/>
            <w:tcBorders>
              <w:top w:val="nil"/>
              <w:left w:val="nil"/>
              <w:bottom w:val="nil"/>
              <w:right w:val="nil"/>
            </w:tcBorders>
            <w:shd w:val="clear" w:color="auto" w:fill="auto"/>
            <w:noWrap/>
            <w:vAlign w:val="center"/>
            <w:hideMark/>
          </w:tcPr>
          <w:p w14:paraId="209FFE11" w14:textId="77777777" w:rsidR="009A2782" w:rsidRPr="00EC4BA6" w:rsidRDefault="009A2782" w:rsidP="009A2782">
            <w:pPr>
              <w:spacing w:before="0" w:after="0" w:line="240" w:lineRule="auto"/>
              <w:jc w:val="right"/>
              <w:rPr>
                <w:rFonts w:ascii="Arial" w:hAnsi="Arial" w:cs="Arial"/>
                <w:sz w:val="16"/>
                <w:szCs w:val="16"/>
              </w:rPr>
            </w:pPr>
            <w:r w:rsidRPr="00EC4BA6">
              <w:rPr>
                <w:rFonts w:ascii="Arial" w:hAnsi="Arial" w:cs="Arial"/>
                <w:sz w:val="16"/>
                <w:szCs w:val="16"/>
              </w:rPr>
              <w:t>1,050</w:t>
            </w:r>
          </w:p>
        </w:tc>
        <w:tc>
          <w:tcPr>
            <w:tcW w:w="601" w:type="pct"/>
            <w:tcBorders>
              <w:top w:val="nil"/>
              <w:left w:val="nil"/>
              <w:bottom w:val="nil"/>
              <w:right w:val="nil"/>
            </w:tcBorders>
            <w:shd w:val="clear" w:color="auto" w:fill="auto"/>
            <w:vAlign w:val="center"/>
            <w:hideMark/>
          </w:tcPr>
          <w:p w14:paraId="34E28727" w14:textId="77777777" w:rsidR="009A2782" w:rsidRPr="00EC4BA6" w:rsidRDefault="009A2782" w:rsidP="009A2782">
            <w:pPr>
              <w:spacing w:before="0" w:after="0" w:line="240" w:lineRule="auto"/>
              <w:jc w:val="right"/>
              <w:rPr>
                <w:rFonts w:ascii="Arial" w:hAnsi="Arial" w:cs="Arial"/>
                <w:sz w:val="16"/>
                <w:szCs w:val="16"/>
              </w:rPr>
            </w:pPr>
            <w:r w:rsidRPr="00EC4BA6">
              <w:rPr>
                <w:rFonts w:ascii="Arial" w:hAnsi="Arial" w:cs="Arial"/>
                <w:sz w:val="16"/>
                <w:szCs w:val="16"/>
              </w:rPr>
              <w:t>25.7</w:t>
            </w:r>
          </w:p>
        </w:tc>
        <w:tc>
          <w:tcPr>
            <w:tcW w:w="575" w:type="pct"/>
            <w:tcBorders>
              <w:top w:val="nil"/>
              <w:left w:val="nil"/>
              <w:bottom w:val="nil"/>
              <w:right w:val="nil"/>
            </w:tcBorders>
            <w:shd w:val="clear" w:color="auto" w:fill="auto"/>
            <w:vAlign w:val="center"/>
            <w:hideMark/>
          </w:tcPr>
          <w:p w14:paraId="7167A6C0" w14:textId="4D682ACA" w:rsidR="009A2782" w:rsidRPr="00EC4BA6" w:rsidRDefault="001A3DD6" w:rsidP="009A2782">
            <w:pPr>
              <w:spacing w:before="0" w:after="0" w:line="240" w:lineRule="auto"/>
              <w:jc w:val="right"/>
              <w:rPr>
                <w:rFonts w:ascii="Arial" w:hAnsi="Arial" w:cs="Arial"/>
                <w:sz w:val="16"/>
                <w:szCs w:val="16"/>
              </w:rPr>
            </w:pPr>
            <w:r>
              <w:rPr>
                <w:rFonts w:ascii="Arial" w:hAnsi="Arial" w:cs="Arial"/>
                <w:sz w:val="16"/>
                <w:szCs w:val="16"/>
              </w:rPr>
              <w:noBreakHyphen/>
            </w:r>
            <w:r w:rsidR="009A2782" w:rsidRPr="00EC4BA6">
              <w:rPr>
                <w:rFonts w:ascii="Arial" w:hAnsi="Arial" w:cs="Arial"/>
                <w:sz w:val="16"/>
                <w:szCs w:val="16"/>
              </w:rPr>
              <w:t>5.4</w:t>
            </w:r>
          </w:p>
        </w:tc>
      </w:tr>
      <w:tr w:rsidR="009A2782" w:rsidRPr="00EC4BA6" w14:paraId="76349533" w14:textId="77777777" w:rsidTr="009A2782">
        <w:trPr>
          <w:divId w:val="962418808"/>
          <w:trHeight w:hRule="exact" w:val="450"/>
        </w:trPr>
        <w:tc>
          <w:tcPr>
            <w:tcW w:w="512" w:type="pct"/>
            <w:tcBorders>
              <w:top w:val="nil"/>
              <w:left w:val="nil"/>
              <w:bottom w:val="nil"/>
              <w:right w:val="nil"/>
            </w:tcBorders>
            <w:shd w:val="clear" w:color="auto" w:fill="auto"/>
            <w:noWrap/>
            <w:vAlign w:val="center"/>
            <w:hideMark/>
          </w:tcPr>
          <w:p w14:paraId="159F93FF" w14:textId="77777777" w:rsidR="009A2782" w:rsidRPr="00EC4BA6" w:rsidRDefault="009A2782" w:rsidP="009A2782">
            <w:pPr>
              <w:spacing w:before="0" w:after="0" w:line="240" w:lineRule="auto"/>
              <w:rPr>
                <w:rFonts w:ascii="Arial" w:hAnsi="Arial" w:cs="Arial"/>
                <w:sz w:val="16"/>
                <w:szCs w:val="16"/>
              </w:rPr>
            </w:pPr>
            <w:r w:rsidRPr="00EC4BA6">
              <w:rPr>
                <w:rFonts w:ascii="Arial" w:hAnsi="Arial" w:cs="Arial"/>
                <w:sz w:val="16"/>
                <w:szCs w:val="16"/>
              </w:rPr>
              <w:t>FBT</w:t>
            </w:r>
          </w:p>
        </w:tc>
        <w:tc>
          <w:tcPr>
            <w:tcW w:w="360" w:type="pct"/>
            <w:tcBorders>
              <w:top w:val="nil"/>
              <w:left w:val="nil"/>
              <w:bottom w:val="nil"/>
              <w:right w:val="nil"/>
            </w:tcBorders>
            <w:shd w:val="clear" w:color="auto" w:fill="auto"/>
            <w:noWrap/>
            <w:vAlign w:val="center"/>
            <w:hideMark/>
          </w:tcPr>
          <w:p w14:paraId="25FD504A" w14:textId="77777777" w:rsidR="009A2782" w:rsidRPr="00EC4BA6" w:rsidRDefault="009A2782" w:rsidP="009A2782">
            <w:pPr>
              <w:spacing w:before="0" w:after="0" w:line="240" w:lineRule="auto"/>
              <w:rPr>
                <w:rFonts w:ascii="Arial" w:hAnsi="Arial" w:cs="Arial"/>
                <w:sz w:val="16"/>
                <w:szCs w:val="16"/>
              </w:rPr>
            </w:pPr>
            <w:r w:rsidRPr="00EC4BA6">
              <w:rPr>
                <w:rFonts w:ascii="Arial" w:hAnsi="Arial" w:cs="Arial"/>
                <w:sz w:val="16"/>
                <w:szCs w:val="16"/>
              </w:rPr>
              <w:t>D21</w:t>
            </w:r>
          </w:p>
        </w:tc>
        <w:tc>
          <w:tcPr>
            <w:tcW w:w="2415" w:type="pct"/>
            <w:tcBorders>
              <w:top w:val="nil"/>
              <w:left w:val="nil"/>
              <w:bottom w:val="nil"/>
              <w:right w:val="nil"/>
            </w:tcBorders>
            <w:shd w:val="clear" w:color="auto" w:fill="auto"/>
            <w:vAlign w:val="center"/>
            <w:hideMark/>
          </w:tcPr>
          <w:p w14:paraId="01FDF8A2" w14:textId="77777777" w:rsidR="009A2782" w:rsidRPr="00EC4BA6" w:rsidRDefault="009A2782" w:rsidP="009A2782">
            <w:pPr>
              <w:spacing w:before="0" w:after="0" w:line="240" w:lineRule="auto"/>
              <w:rPr>
                <w:rFonts w:ascii="Arial" w:hAnsi="Arial" w:cs="Arial"/>
                <w:sz w:val="16"/>
                <w:szCs w:val="16"/>
              </w:rPr>
            </w:pPr>
            <w:r w:rsidRPr="00EC4BA6">
              <w:rPr>
                <w:rFonts w:ascii="Arial" w:hAnsi="Arial" w:cs="Arial"/>
                <w:sz w:val="16"/>
                <w:szCs w:val="16"/>
              </w:rPr>
              <w:t>Application of statutory formula to value car benefits</w:t>
            </w:r>
          </w:p>
        </w:tc>
        <w:tc>
          <w:tcPr>
            <w:tcW w:w="537" w:type="pct"/>
            <w:tcBorders>
              <w:top w:val="nil"/>
              <w:left w:val="nil"/>
              <w:bottom w:val="nil"/>
              <w:right w:val="nil"/>
            </w:tcBorders>
            <w:shd w:val="clear" w:color="auto" w:fill="auto"/>
            <w:noWrap/>
            <w:vAlign w:val="center"/>
            <w:hideMark/>
          </w:tcPr>
          <w:p w14:paraId="073818DA" w14:textId="77777777" w:rsidR="009A2782" w:rsidRPr="00EC4BA6" w:rsidRDefault="009A2782" w:rsidP="009A2782">
            <w:pPr>
              <w:spacing w:before="0" w:after="0" w:line="240" w:lineRule="auto"/>
              <w:jc w:val="right"/>
              <w:rPr>
                <w:rFonts w:ascii="Arial" w:hAnsi="Arial" w:cs="Arial"/>
                <w:sz w:val="16"/>
                <w:szCs w:val="16"/>
              </w:rPr>
            </w:pPr>
            <w:r w:rsidRPr="00EC4BA6">
              <w:rPr>
                <w:rFonts w:ascii="Arial" w:hAnsi="Arial" w:cs="Arial"/>
                <w:sz w:val="16"/>
                <w:szCs w:val="16"/>
              </w:rPr>
              <w:t>1,050</w:t>
            </w:r>
          </w:p>
        </w:tc>
        <w:tc>
          <w:tcPr>
            <w:tcW w:w="601" w:type="pct"/>
            <w:tcBorders>
              <w:top w:val="nil"/>
              <w:left w:val="nil"/>
              <w:bottom w:val="nil"/>
              <w:right w:val="nil"/>
            </w:tcBorders>
            <w:shd w:val="clear" w:color="auto" w:fill="auto"/>
            <w:vAlign w:val="center"/>
            <w:hideMark/>
          </w:tcPr>
          <w:p w14:paraId="0E1E06F1" w14:textId="77777777" w:rsidR="009A2782" w:rsidRPr="00EC4BA6" w:rsidRDefault="009A2782" w:rsidP="009A2782">
            <w:pPr>
              <w:spacing w:before="0" w:after="0" w:line="240" w:lineRule="auto"/>
              <w:jc w:val="right"/>
              <w:rPr>
                <w:rFonts w:ascii="Arial" w:hAnsi="Arial" w:cs="Arial"/>
                <w:sz w:val="16"/>
                <w:szCs w:val="16"/>
              </w:rPr>
            </w:pPr>
            <w:r w:rsidRPr="00EC4BA6">
              <w:rPr>
                <w:rFonts w:ascii="Arial" w:hAnsi="Arial" w:cs="Arial"/>
                <w:sz w:val="16"/>
                <w:szCs w:val="16"/>
              </w:rPr>
              <w:t>28.0</w:t>
            </w:r>
          </w:p>
        </w:tc>
        <w:tc>
          <w:tcPr>
            <w:tcW w:w="575" w:type="pct"/>
            <w:tcBorders>
              <w:top w:val="nil"/>
              <w:left w:val="nil"/>
              <w:bottom w:val="nil"/>
              <w:right w:val="nil"/>
            </w:tcBorders>
            <w:shd w:val="clear" w:color="auto" w:fill="auto"/>
            <w:vAlign w:val="center"/>
            <w:hideMark/>
          </w:tcPr>
          <w:p w14:paraId="30FD084F" w14:textId="654F8BED" w:rsidR="009A2782" w:rsidRPr="00EC4BA6" w:rsidRDefault="001A3DD6" w:rsidP="009A2782">
            <w:pPr>
              <w:spacing w:before="0" w:after="0" w:line="240" w:lineRule="auto"/>
              <w:jc w:val="right"/>
              <w:rPr>
                <w:rFonts w:ascii="Arial" w:hAnsi="Arial" w:cs="Arial"/>
                <w:sz w:val="16"/>
                <w:szCs w:val="16"/>
              </w:rPr>
            </w:pPr>
            <w:r>
              <w:rPr>
                <w:rFonts w:ascii="Arial" w:hAnsi="Arial" w:cs="Arial"/>
                <w:sz w:val="16"/>
                <w:szCs w:val="16"/>
              </w:rPr>
              <w:noBreakHyphen/>
            </w:r>
            <w:r w:rsidR="009A2782" w:rsidRPr="00EC4BA6">
              <w:rPr>
                <w:rFonts w:ascii="Arial" w:hAnsi="Arial" w:cs="Arial"/>
                <w:sz w:val="16"/>
                <w:szCs w:val="16"/>
              </w:rPr>
              <w:t>2.0</w:t>
            </w:r>
          </w:p>
        </w:tc>
      </w:tr>
      <w:tr w:rsidR="009A2782" w:rsidRPr="00EC4BA6" w14:paraId="7E4CD919" w14:textId="77777777" w:rsidTr="009A2782">
        <w:trPr>
          <w:divId w:val="962418808"/>
          <w:trHeight w:hRule="exact" w:val="450"/>
        </w:trPr>
        <w:tc>
          <w:tcPr>
            <w:tcW w:w="512" w:type="pct"/>
            <w:tcBorders>
              <w:top w:val="nil"/>
              <w:left w:val="nil"/>
              <w:bottom w:val="nil"/>
              <w:right w:val="nil"/>
            </w:tcBorders>
            <w:shd w:val="clear" w:color="auto" w:fill="auto"/>
            <w:noWrap/>
            <w:vAlign w:val="center"/>
            <w:hideMark/>
          </w:tcPr>
          <w:p w14:paraId="5A4CCD8F" w14:textId="77777777" w:rsidR="009A2782" w:rsidRPr="00EC4BA6" w:rsidRDefault="009A2782" w:rsidP="009A2782">
            <w:pPr>
              <w:spacing w:before="0" w:after="0" w:line="240" w:lineRule="auto"/>
              <w:rPr>
                <w:rFonts w:ascii="Arial" w:hAnsi="Arial" w:cs="Arial"/>
                <w:sz w:val="16"/>
                <w:szCs w:val="16"/>
              </w:rPr>
            </w:pPr>
            <w:r w:rsidRPr="00EC4BA6">
              <w:rPr>
                <w:rFonts w:ascii="Arial" w:hAnsi="Arial" w:cs="Arial"/>
                <w:sz w:val="16"/>
                <w:szCs w:val="16"/>
              </w:rPr>
              <w:t>Super</w:t>
            </w:r>
          </w:p>
        </w:tc>
        <w:tc>
          <w:tcPr>
            <w:tcW w:w="360" w:type="pct"/>
            <w:tcBorders>
              <w:top w:val="nil"/>
              <w:left w:val="nil"/>
              <w:bottom w:val="nil"/>
              <w:right w:val="nil"/>
            </w:tcBorders>
            <w:shd w:val="clear" w:color="auto" w:fill="auto"/>
            <w:noWrap/>
            <w:vAlign w:val="center"/>
            <w:hideMark/>
          </w:tcPr>
          <w:p w14:paraId="4F76CB21" w14:textId="77777777" w:rsidR="009A2782" w:rsidRPr="00EC4BA6" w:rsidRDefault="009A2782" w:rsidP="009A2782">
            <w:pPr>
              <w:spacing w:before="0" w:after="0" w:line="240" w:lineRule="auto"/>
              <w:rPr>
                <w:rFonts w:ascii="Arial" w:hAnsi="Arial" w:cs="Arial"/>
                <w:sz w:val="16"/>
                <w:szCs w:val="16"/>
              </w:rPr>
            </w:pPr>
            <w:r w:rsidRPr="00EC4BA6">
              <w:rPr>
                <w:rFonts w:ascii="Arial" w:hAnsi="Arial" w:cs="Arial"/>
                <w:sz w:val="16"/>
                <w:szCs w:val="16"/>
              </w:rPr>
              <w:t>C12</w:t>
            </w:r>
          </w:p>
        </w:tc>
        <w:tc>
          <w:tcPr>
            <w:tcW w:w="2415" w:type="pct"/>
            <w:tcBorders>
              <w:top w:val="nil"/>
              <w:left w:val="nil"/>
              <w:bottom w:val="nil"/>
              <w:right w:val="nil"/>
            </w:tcBorders>
            <w:shd w:val="clear" w:color="auto" w:fill="auto"/>
            <w:vAlign w:val="center"/>
            <w:hideMark/>
          </w:tcPr>
          <w:p w14:paraId="1B5B8536" w14:textId="77777777" w:rsidR="009A2782" w:rsidRPr="00EC4BA6" w:rsidRDefault="009A2782" w:rsidP="009A2782">
            <w:pPr>
              <w:spacing w:before="0" w:after="0" w:line="240" w:lineRule="auto"/>
              <w:rPr>
                <w:rFonts w:ascii="Arial" w:hAnsi="Arial" w:cs="Arial"/>
                <w:sz w:val="16"/>
                <w:szCs w:val="16"/>
              </w:rPr>
            </w:pPr>
            <w:r w:rsidRPr="00EC4BA6">
              <w:rPr>
                <w:rFonts w:ascii="Arial" w:hAnsi="Arial" w:cs="Arial"/>
                <w:sz w:val="16"/>
                <w:szCs w:val="16"/>
              </w:rPr>
              <w:t>Exemption for small business assets held for more than 15 years</w:t>
            </w:r>
          </w:p>
        </w:tc>
        <w:tc>
          <w:tcPr>
            <w:tcW w:w="537" w:type="pct"/>
            <w:tcBorders>
              <w:top w:val="nil"/>
              <w:left w:val="nil"/>
              <w:bottom w:val="nil"/>
              <w:right w:val="nil"/>
            </w:tcBorders>
            <w:shd w:val="clear" w:color="auto" w:fill="auto"/>
            <w:noWrap/>
            <w:vAlign w:val="center"/>
            <w:hideMark/>
          </w:tcPr>
          <w:p w14:paraId="21122264" w14:textId="77777777" w:rsidR="009A2782" w:rsidRPr="00EC4BA6" w:rsidRDefault="009A2782" w:rsidP="009A2782">
            <w:pPr>
              <w:spacing w:before="0" w:after="0" w:line="240" w:lineRule="auto"/>
              <w:jc w:val="right"/>
              <w:rPr>
                <w:rFonts w:ascii="Arial" w:hAnsi="Arial" w:cs="Arial"/>
                <w:sz w:val="16"/>
                <w:szCs w:val="16"/>
              </w:rPr>
            </w:pPr>
            <w:r w:rsidRPr="00EC4BA6">
              <w:rPr>
                <w:rFonts w:ascii="Arial" w:hAnsi="Arial" w:cs="Arial"/>
                <w:sz w:val="16"/>
                <w:szCs w:val="16"/>
              </w:rPr>
              <w:t>1,020</w:t>
            </w:r>
          </w:p>
        </w:tc>
        <w:tc>
          <w:tcPr>
            <w:tcW w:w="601" w:type="pct"/>
            <w:tcBorders>
              <w:top w:val="nil"/>
              <w:left w:val="nil"/>
              <w:bottom w:val="nil"/>
              <w:right w:val="nil"/>
            </w:tcBorders>
            <w:shd w:val="clear" w:color="auto" w:fill="auto"/>
            <w:vAlign w:val="center"/>
            <w:hideMark/>
          </w:tcPr>
          <w:p w14:paraId="4FBE0B87" w14:textId="77777777" w:rsidR="009A2782" w:rsidRPr="00EC4BA6" w:rsidRDefault="009A2782" w:rsidP="009A2782">
            <w:pPr>
              <w:spacing w:before="0" w:after="0" w:line="240" w:lineRule="auto"/>
              <w:jc w:val="right"/>
              <w:rPr>
                <w:rFonts w:ascii="Arial" w:hAnsi="Arial" w:cs="Arial"/>
                <w:sz w:val="16"/>
                <w:szCs w:val="16"/>
              </w:rPr>
            </w:pPr>
            <w:r w:rsidRPr="00EC4BA6">
              <w:rPr>
                <w:rFonts w:ascii="Arial" w:hAnsi="Arial" w:cs="Arial"/>
                <w:sz w:val="16"/>
                <w:szCs w:val="16"/>
              </w:rPr>
              <w:t>33.1</w:t>
            </w:r>
          </w:p>
        </w:tc>
        <w:tc>
          <w:tcPr>
            <w:tcW w:w="575" w:type="pct"/>
            <w:tcBorders>
              <w:top w:val="nil"/>
              <w:left w:val="nil"/>
              <w:bottom w:val="nil"/>
              <w:right w:val="nil"/>
            </w:tcBorders>
            <w:shd w:val="clear" w:color="auto" w:fill="auto"/>
            <w:vAlign w:val="center"/>
            <w:hideMark/>
          </w:tcPr>
          <w:p w14:paraId="48CD1288" w14:textId="28553ECE" w:rsidR="009A2782" w:rsidRPr="00EC4BA6" w:rsidRDefault="001A3DD6" w:rsidP="009A2782">
            <w:pPr>
              <w:spacing w:before="0" w:after="0" w:line="240" w:lineRule="auto"/>
              <w:jc w:val="right"/>
              <w:rPr>
                <w:rFonts w:ascii="Arial" w:hAnsi="Arial" w:cs="Arial"/>
                <w:sz w:val="16"/>
                <w:szCs w:val="16"/>
              </w:rPr>
            </w:pPr>
            <w:r>
              <w:rPr>
                <w:rFonts w:ascii="Arial" w:hAnsi="Arial" w:cs="Arial"/>
                <w:sz w:val="16"/>
                <w:szCs w:val="16"/>
              </w:rPr>
              <w:noBreakHyphen/>
            </w:r>
            <w:r w:rsidR="009A2782" w:rsidRPr="00EC4BA6">
              <w:rPr>
                <w:rFonts w:ascii="Arial" w:hAnsi="Arial" w:cs="Arial"/>
                <w:sz w:val="16"/>
                <w:szCs w:val="16"/>
              </w:rPr>
              <w:t>6.2</w:t>
            </w:r>
          </w:p>
        </w:tc>
      </w:tr>
      <w:tr w:rsidR="009A2782" w:rsidRPr="00EC4BA6" w14:paraId="304266BD" w14:textId="77777777" w:rsidTr="009A2782">
        <w:trPr>
          <w:divId w:val="962418808"/>
          <w:trHeight w:hRule="exact" w:val="300"/>
        </w:trPr>
        <w:tc>
          <w:tcPr>
            <w:tcW w:w="3287" w:type="pct"/>
            <w:gridSpan w:val="3"/>
            <w:tcBorders>
              <w:top w:val="nil"/>
              <w:left w:val="nil"/>
              <w:bottom w:val="nil"/>
              <w:right w:val="nil"/>
            </w:tcBorders>
            <w:shd w:val="clear" w:color="auto" w:fill="auto"/>
            <w:noWrap/>
            <w:vAlign w:val="center"/>
            <w:hideMark/>
          </w:tcPr>
          <w:p w14:paraId="65319149" w14:textId="77777777" w:rsidR="009A2782" w:rsidRPr="00EC4BA6" w:rsidRDefault="009A2782" w:rsidP="009A2782">
            <w:pPr>
              <w:spacing w:before="0" w:after="0" w:line="240" w:lineRule="auto"/>
              <w:rPr>
                <w:rFonts w:ascii="Arial" w:hAnsi="Arial" w:cs="Arial"/>
                <w:b/>
                <w:bCs/>
                <w:sz w:val="16"/>
                <w:szCs w:val="16"/>
              </w:rPr>
            </w:pPr>
            <w:r w:rsidRPr="00EC4BA6">
              <w:rPr>
                <w:rFonts w:ascii="Arial" w:hAnsi="Arial" w:cs="Arial"/>
                <w:b/>
                <w:bCs/>
                <w:sz w:val="16"/>
                <w:szCs w:val="16"/>
              </w:rPr>
              <w:t>Negative tax expenditures and deductions</w:t>
            </w:r>
          </w:p>
        </w:tc>
        <w:tc>
          <w:tcPr>
            <w:tcW w:w="537" w:type="pct"/>
            <w:tcBorders>
              <w:top w:val="nil"/>
              <w:left w:val="nil"/>
              <w:bottom w:val="nil"/>
              <w:right w:val="nil"/>
            </w:tcBorders>
            <w:shd w:val="clear" w:color="auto" w:fill="auto"/>
            <w:noWrap/>
            <w:vAlign w:val="center"/>
            <w:hideMark/>
          </w:tcPr>
          <w:p w14:paraId="399F8B71" w14:textId="77777777" w:rsidR="009A2782" w:rsidRPr="00EC4BA6" w:rsidRDefault="009A2782" w:rsidP="009A2782">
            <w:pPr>
              <w:spacing w:before="0" w:after="0" w:line="240" w:lineRule="auto"/>
              <w:rPr>
                <w:rFonts w:ascii="Arial" w:hAnsi="Arial" w:cs="Arial"/>
                <w:b/>
                <w:bCs/>
                <w:sz w:val="16"/>
                <w:szCs w:val="16"/>
              </w:rPr>
            </w:pPr>
          </w:p>
        </w:tc>
        <w:tc>
          <w:tcPr>
            <w:tcW w:w="601" w:type="pct"/>
            <w:tcBorders>
              <w:top w:val="nil"/>
              <w:left w:val="nil"/>
              <w:bottom w:val="nil"/>
              <w:right w:val="nil"/>
            </w:tcBorders>
            <w:shd w:val="clear" w:color="auto" w:fill="auto"/>
            <w:noWrap/>
            <w:vAlign w:val="center"/>
            <w:hideMark/>
          </w:tcPr>
          <w:p w14:paraId="38B5336F" w14:textId="77777777" w:rsidR="009A2782" w:rsidRPr="00EC4BA6" w:rsidRDefault="009A2782" w:rsidP="009A2782">
            <w:pPr>
              <w:spacing w:before="0" w:after="0" w:line="240" w:lineRule="auto"/>
              <w:rPr>
                <w:rFonts w:ascii="Times New Roman" w:hAnsi="Times New Roman"/>
                <w:sz w:val="20"/>
              </w:rPr>
            </w:pPr>
          </w:p>
        </w:tc>
        <w:tc>
          <w:tcPr>
            <w:tcW w:w="575" w:type="pct"/>
            <w:tcBorders>
              <w:top w:val="nil"/>
              <w:left w:val="nil"/>
              <w:bottom w:val="nil"/>
              <w:right w:val="nil"/>
            </w:tcBorders>
            <w:shd w:val="clear" w:color="auto" w:fill="auto"/>
            <w:noWrap/>
            <w:vAlign w:val="center"/>
            <w:hideMark/>
          </w:tcPr>
          <w:p w14:paraId="1A830ACF" w14:textId="77777777" w:rsidR="009A2782" w:rsidRPr="00EC4BA6" w:rsidRDefault="009A2782" w:rsidP="009A2782">
            <w:pPr>
              <w:spacing w:before="0" w:after="0" w:line="240" w:lineRule="auto"/>
              <w:rPr>
                <w:rFonts w:ascii="Times New Roman" w:hAnsi="Times New Roman"/>
                <w:sz w:val="20"/>
              </w:rPr>
            </w:pPr>
          </w:p>
        </w:tc>
      </w:tr>
      <w:tr w:rsidR="009A2782" w:rsidRPr="00EC4BA6" w14:paraId="16FA6FF5" w14:textId="77777777" w:rsidTr="009A2782">
        <w:trPr>
          <w:divId w:val="962418808"/>
          <w:trHeight w:hRule="exact" w:val="225"/>
        </w:trPr>
        <w:tc>
          <w:tcPr>
            <w:tcW w:w="512" w:type="pct"/>
            <w:tcBorders>
              <w:top w:val="nil"/>
              <w:left w:val="nil"/>
              <w:bottom w:val="nil"/>
              <w:right w:val="nil"/>
            </w:tcBorders>
            <w:shd w:val="clear" w:color="auto" w:fill="auto"/>
            <w:noWrap/>
            <w:vAlign w:val="center"/>
            <w:hideMark/>
          </w:tcPr>
          <w:p w14:paraId="7E6C3BB2" w14:textId="77777777" w:rsidR="009A2782" w:rsidRPr="00EC4BA6" w:rsidRDefault="009A2782" w:rsidP="009A2782">
            <w:pPr>
              <w:spacing w:before="0" w:after="0" w:line="240" w:lineRule="auto"/>
              <w:rPr>
                <w:rFonts w:ascii="Arial" w:hAnsi="Arial" w:cs="Arial"/>
                <w:sz w:val="16"/>
                <w:szCs w:val="16"/>
              </w:rPr>
            </w:pPr>
            <w:r w:rsidRPr="00EC4BA6">
              <w:rPr>
                <w:rFonts w:ascii="Arial" w:hAnsi="Arial" w:cs="Arial"/>
                <w:sz w:val="16"/>
                <w:szCs w:val="16"/>
              </w:rPr>
              <w:t>Income</w:t>
            </w:r>
          </w:p>
        </w:tc>
        <w:tc>
          <w:tcPr>
            <w:tcW w:w="360" w:type="pct"/>
            <w:tcBorders>
              <w:top w:val="nil"/>
              <w:left w:val="nil"/>
              <w:bottom w:val="nil"/>
              <w:right w:val="nil"/>
            </w:tcBorders>
            <w:shd w:val="clear" w:color="auto" w:fill="auto"/>
            <w:noWrap/>
            <w:vAlign w:val="center"/>
            <w:hideMark/>
          </w:tcPr>
          <w:p w14:paraId="193B101B" w14:textId="77777777" w:rsidR="009A2782" w:rsidRPr="00EC4BA6" w:rsidRDefault="009A2782" w:rsidP="009A2782">
            <w:pPr>
              <w:spacing w:before="0" w:after="0" w:line="240" w:lineRule="auto"/>
              <w:rPr>
                <w:rFonts w:ascii="Arial" w:hAnsi="Arial" w:cs="Arial"/>
                <w:sz w:val="16"/>
                <w:szCs w:val="16"/>
              </w:rPr>
            </w:pPr>
            <w:r w:rsidRPr="00EC4BA6">
              <w:rPr>
                <w:rFonts w:ascii="Arial" w:hAnsi="Arial" w:cs="Arial"/>
                <w:sz w:val="16"/>
                <w:szCs w:val="16"/>
              </w:rPr>
              <w:t>B82</w:t>
            </w:r>
          </w:p>
        </w:tc>
        <w:tc>
          <w:tcPr>
            <w:tcW w:w="2415" w:type="pct"/>
            <w:tcBorders>
              <w:top w:val="nil"/>
              <w:left w:val="nil"/>
              <w:bottom w:val="nil"/>
              <w:right w:val="nil"/>
            </w:tcBorders>
            <w:shd w:val="clear" w:color="auto" w:fill="auto"/>
            <w:vAlign w:val="center"/>
            <w:hideMark/>
          </w:tcPr>
          <w:p w14:paraId="09E599C7" w14:textId="77777777" w:rsidR="009A2782" w:rsidRPr="00EC4BA6" w:rsidRDefault="009A2782" w:rsidP="009A2782">
            <w:pPr>
              <w:spacing w:before="0" w:after="0" w:line="240" w:lineRule="auto"/>
              <w:rPr>
                <w:rFonts w:ascii="Arial" w:hAnsi="Arial" w:cs="Arial"/>
                <w:sz w:val="16"/>
                <w:szCs w:val="16"/>
              </w:rPr>
            </w:pPr>
            <w:r w:rsidRPr="00EC4BA6">
              <w:rPr>
                <w:rFonts w:ascii="Arial" w:hAnsi="Arial" w:cs="Arial"/>
                <w:sz w:val="16"/>
                <w:szCs w:val="16"/>
              </w:rPr>
              <w:t>Accelerated depreciation for business entities</w:t>
            </w:r>
          </w:p>
        </w:tc>
        <w:tc>
          <w:tcPr>
            <w:tcW w:w="537" w:type="pct"/>
            <w:tcBorders>
              <w:top w:val="nil"/>
              <w:left w:val="nil"/>
              <w:bottom w:val="nil"/>
              <w:right w:val="nil"/>
            </w:tcBorders>
            <w:shd w:val="clear" w:color="auto" w:fill="auto"/>
            <w:noWrap/>
            <w:vAlign w:val="center"/>
            <w:hideMark/>
          </w:tcPr>
          <w:p w14:paraId="48492316" w14:textId="4DCB010B" w:rsidR="009A2782" w:rsidRPr="00EC4BA6" w:rsidRDefault="001A3DD6" w:rsidP="009A2782">
            <w:pPr>
              <w:spacing w:before="0" w:after="0" w:line="240" w:lineRule="auto"/>
              <w:jc w:val="right"/>
              <w:rPr>
                <w:rFonts w:ascii="Arial" w:hAnsi="Arial" w:cs="Arial"/>
                <w:sz w:val="16"/>
                <w:szCs w:val="16"/>
              </w:rPr>
            </w:pPr>
            <w:r>
              <w:rPr>
                <w:rFonts w:ascii="Arial" w:hAnsi="Arial" w:cs="Arial"/>
                <w:sz w:val="16"/>
                <w:szCs w:val="16"/>
              </w:rPr>
              <w:noBreakHyphen/>
            </w:r>
            <w:r w:rsidR="009A2782" w:rsidRPr="00EC4BA6">
              <w:rPr>
                <w:rFonts w:ascii="Arial" w:hAnsi="Arial" w:cs="Arial"/>
                <w:sz w:val="16"/>
                <w:szCs w:val="16"/>
              </w:rPr>
              <w:t>3,900</w:t>
            </w:r>
          </w:p>
        </w:tc>
        <w:tc>
          <w:tcPr>
            <w:tcW w:w="601" w:type="pct"/>
            <w:tcBorders>
              <w:top w:val="nil"/>
              <w:left w:val="nil"/>
              <w:bottom w:val="nil"/>
              <w:right w:val="nil"/>
            </w:tcBorders>
            <w:shd w:val="clear" w:color="auto" w:fill="auto"/>
            <w:vAlign w:val="center"/>
            <w:hideMark/>
          </w:tcPr>
          <w:p w14:paraId="38D3DAE2" w14:textId="77777777" w:rsidR="009A2782" w:rsidRPr="00EC4BA6" w:rsidRDefault="009A2782" w:rsidP="009A2782">
            <w:pPr>
              <w:spacing w:before="0" w:after="0" w:line="240" w:lineRule="auto"/>
              <w:jc w:val="right"/>
              <w:rPr>
                <w:rFonts w:ascii="Arial" w:hAnsi="Arial" w:cs="Arial"/>
                <w:sz w:val="16"/>
                <w:szCs w:val="16"/>
              </w:rPr>
            </w:pPr>
            <w:r w:rsidRPr="00EC4BA6">
              <w:rPr>
                <w:rFonts w:ascii="Arial" w:hAnsi="Arial" w:cs="Arial"/>
                <w:sz w:val="16"/>
                <w:szCs w:val="16"/>
              </w:rPr>
              <w:t>168.0</w:t>
            </w:r>
          </w:p>
        </w:tc>
        <w:tc>
          <w:tcPr>
            <w:tcW w:w="575" w:type="pct"/>
            <w:tcBorders>
              <w:top w:val="nil"/>
              <w:left w:val="nil"/>
              <w:bottom w:val="nil"/>
              <w:right w:val="nil"/>
            </w:tcBorders>
            <w:shd w:val="clear" w:color="auto" w:fill="auto"/>
            <w:vAlign w:val="center"/>
            <w:hideMark/>
          </w:tcPr>
          <w:p w14:paraId="3280EC6A" w14:textId="77777777" w:rsidR="009A2782" w:rsidRPr="00EC4BA6" w:rsidRDefault="009A2782" w:rsidP="009A2782">
            <w:pPr>
              <w:spacing w:before="0" w:after="0" w:line="240" w:lineRule="auto"/>
              <w:jc w:val="right"/>
              <w:rPr>
                <w:rFonts w:ascii="Arial" w:hAnsi="Arial" w:cs="Arial"/>
                <w:sz w:val="16"/>
                <w:szCs w:val="16"/>
              </w:rPr>
            </w:pPr>
            <w:r w:rsidRPr="00EC4BA6">
              <w:rPr>
                <w:rFonts w:ascii="Arial" w:hAnsi="Arial" w:cs="Arial"/>
                <w:sz w:val="16"/>
                <w:szCs w:val="16"/>
              </w:rPr>
              <w:t>N/A</w:t>
            </w:r>
          </w:p>
        </w:tc>
      </w:tr>
      <w:tr w:rsidR="009A2782" w:rsidRPr="00EC4BA6" w14:paraId="1E43DC52" w14:textId="77777777" w:rsidTr="009A2782">
        <w:trPr>
          <w:divId w:val="962418808"/>
          <w:trHeight w:hRule="exact" w:val="225"/>
        </w:trPr>
        <w:tc>
          <w:tcPr>
            <w:tcW w:w="512" w:type="pct"/>
            <w:tcBorders>
              <w:top w:val="nil"/>
              <w:left w:val="nil"/>
              <w:bottom w:val="nil"/>
              <w:right w:val="nil"/>
            </w:tcBorders>
            <w:shd w:val="clear" w:color="auto" w:fill="auto"/>
            <w:noWrap/>
            <w:vAlign w:val="center"/>
            <w:hideMark/>
          </w:tcPr>
          <w:p w14:paraId="20A5CE7E" w14:textId="77777777" w:rsidR="009A2782" w:rsidRPr="00EC4BA6" w:rsidRDefault="009A2782" w:rsidP="009A2782">
            <w:pPr>
              <w:spacing w:before="0" w:after="0" w:line="240" w:lineRule="auto"/>
              <w:rPr>
                <w:rFonts w:ascii="Arial" w:hAnsi="Arial" w:cs="Arial"/>
                <w:sz w:val="16"/>
                <w:szCs w:val="16"/>
              </w:rPr>
            </w:pPr>
            <w:r w:rsidRPr="00EC4BA6">
              <w:rPr>
                <w:rFonts w:ascii="Arial" w:hAnsi="Arial" w:cs="Arial"/>
                <w:sz w:val="16"/>
                <w:szCs w:val="16"/>
              </w:rPr>
              <w:t>Income</w:t>
            </w:r>
          </w:p>
        </w:tc>
        <w:tc>
          <w:tcPr>
            <w:tcW w:w="360" w:type="pct"/>
            <w:tcBorders>
              <w:top w:val="nil"/>
              <w:left w:val="nil"/>
              <w:bottom w:val="nil"/>
              <w:right w:val="nil"/>
            </w:tcBorders>
            <w:shd w:val="clear" w:color="auto" w:fill="auto"/>
            <w:noWrap/>
            <w:vAlign w:val="center"/>
            <w:hideMark/>
          </w:tcPr>
          <w:p w14:paraId="13EF6C00" w14:textId="77777777" w:rsidR="009A2782" w:rsidRPr="00EC4BA6" w:rsidRDefault="009A2782" w:rsidP="009A2782">
            <w:pPr>
              <w:spacing w:before="0" w:after="0" w:line="240" w:lineRule="auto"/>
              <w:rPr>
                <w:rFonts w:ascii="Arial" w:hAnsi="Arial" w:cs="Arial"/>
                <w:sz w:val="16"/>
                <w:szCs w:val="16"/>
              </w:rPr>
            </w:pPr>
            <w:r w:rsidRPr="00EC4BA6">
              <w:rPr>
                <w:rFonts w:ascii="Arial" w:hAnsi="Arial" w:cs="Arial"/>
                <w:sz w:val="16"/>
                <w:szCs w:val="16"/>
              </w:rPr>
              <w:t>B88</w:t>
            </w:r>
          </w:p>
        </w:tc>
        <w:tc>
          <w:tcPr>
            <w:tcW w:w="2415" w:type="pct"/>
            <w:tcBorders>
              <w:top w:val="nil"/>
              <w:left w:val="nil"/>
              <w:bottom w:val="nil"/>
              <w:right w:val="nil"/>
            </w:tcBorders>
            <w:shd w:val="clear" w:color="auto" w:fill="auto"/>
            <w:vAlign w:val="center"/>
            <w:hideMark/>
          </w:tcPr>
          <w:p w14:paraId="630F06A0" w14:textId="77777777" w:rsidR="009A2782" w:rsidRPr="00EC4BA6" w:rsidRDefault="009A2782" w:rsidP="009A2782">
            <w:pPr>
              <w:spacing w:before="0" w:after="0" w:line="240" w:lineRule="auto"/>
              <w:rPr>
                <w:rFonts w:ascii="Arial" w:hAnsi="Arial" w:cs="Arial"/>
                <w:sz w:val="16"/>
                <w:szCs w:val="16"/>
              </w:rPr>
            </w:pPr>
            <w:r w:rsidRPr="00EC4BA6">
              <w:rPr>
                <w:rFonts w:ascii="Arial" w:hAnsi="Arial" w:cs="Arial"/>
                <w:sz w:val="16"/>
                <w:szCs w:val="16"/>
              </w:rPr>
              <w:t>Simplified depreciation rules</w:t>
            </w:r>
          </w:p>
        </w:tc>
        <w:tc>
          <w:tcPr>
            <w:tcW w:w="537" w:type="pct"/>
            <w:tcBorders>
              <w:top w:val="nil"/>
              <w:left w:val="nil"/>
              <w:bottom w:val="nil"/>
              <w:right w:val="nil"/>
            </w:tcBorders>
            <w:shd w:val="clear" w:color="auto" w:fill="auto"/>
            <w:noWrap/>
            <w:vAlign w:val="center"/>
            <w:hideMark/>
          </w:tcPr>
          <w:p w14:paraId="527E2508" w14:textId="4AECFE16" w:rsidR="009A2782" w:rsidRPr="00EC4BA6" w:rsidRDefault="001A3DD6" w:rsidP="009A2782">
            <w:pPr>
              <w:spacing w:before="0" w:after="0" w:line="240" w:lineRule="auto"/>
              <w:jc w:val="right"/>
              <w:rPr>
                <w:rFonts w:ascii="Arial" w:hAnsi="Arial" w:cs="Arial"/>
                <w:sz w:val="16"/>
                <w:szCs w:val="16"/>
              </w:rPr>
            </w:pPr>
            <w:r>
              <w:rPr>
                <w:rFonts w:ascii="Arial" w:hAnsi="Arial" w:cs="Arial"/>
                <w:sz w:val="16"/>
                <w:szCs w:val="16"/>
              </w:rPr>
              <w:noBreakHyphen/>
            </w:r>
            <w:r w:rsidR="009A2782" w:rsidRPr="00EC4BA6">
              <w:rPr>
                <w:rFonts w:ascii="Arial" w:hAnsi="Arial" w:cs="Arial"/>
                <w:sz w:val="16"/>
                <w:szCs w:val="16"/>
              </w:rPr>
              <w:t>3,700</w:t>
            </w:r>
          </w:p>
        </w:tc>
        <w:tc>
          <w:tcPr>
            <w:tcW w:w="601" w:type="pct"/>
            <w:tcBorders>
              <w:top w:val="nil"/>
              <w:left w:val="nil"/>
              <w:bottom w:val="nil"/>
              <w:right w:val="nil"/>
            </w:tcBorders>
            <w:shd w:val="clear" w:color="auto" w:fill="auto"/>
            <w:vAlign w:val="center"/>
            <w:hideMark/>
          </w:tcPr>
          <w:p w14:paraId="4C5F75E1" w14:textId="77777777" w:rsidR="009A2782" w:rsidRPr="00EC4BA6" w:rsidRDefault="009A2782" w:rsidP="009A2782">
            <w:pPr>
              <w:spacing w:before="0" w:after="0" w:line="240" w:lineRule="auto"/>
              <w:jc w:val="right"/>
              <w:rPr>
                <w:rFonts w:ascii="Arial" w:hAnsi="Arial" w:cs="Arial"/>
                <w:sz w:val="16"/>
                <w:szCs w:val="16"/>
              </w:rPr>
            </w:pPr>
            <w:r w:rsidRPr="00EC4BA6">
              <w:rPr>
                <w:rFonts w:ascii="Arial" w:hAnsi="Arial" w:cs="Arial"/>
                <w:sz w:val="16"/>
                <w:szCs w:val="16"/>
              </w:rPr>
              <w:t>9.8</w:t>
            </w:r>
          </w:p>
        </w:tc>
        <w:tc>
          <w:tcPr>
            <w:tcW w:w="575" w:type="pct"/>
            <w:tcBorders>
              <w:top w:val="nil"/>
              <w:left w:val="nil"/>
              <w:bottom w:val="nil"/>
              <w:right w:val="nil"/>
            </w:tcBorders>
            <w:shd w:val="clear" w:color="auto" w:fill="auto"/>
            <w:vAlign w:val="center"/>
            <w:hideMark/>
          </w:tcPr>
          <w:p w14:paraId="053A07A4" w14:textId="77777777" w:rsidR="009A2782" w:rsidRPr="00EC4BA6" w:rsidRDefault="009A2782" w:rsidP="009A2782">
            <w:pPr>
              <w:spacing w:before="0" w:after="0" w:line="240" w:lineRule="auto"/>
              <w:jc w:val="right"/>
              <w:rPr>
                <w:rFonts w:ascii="Arial" w:hAnsi="Arial" w:cs="Arial"/>
                <w:sz w:val="16"/>
                <w:szCs w:val="16"/>
              </w:rPr>
            </w:pPr>
            <w:r w:rsidRPr="00EC4BA6">
              <w:rPr>
                <w:rFonts w:ascii="Arial" w:hAnsi="Arial" w:cs="Arial"/>
                <w:sz w:val="16"/>
                <w:szCs w:val="16"/>
              </w:rPr>
              <w:t>N/A</w:t>
            </w:r>
          </w:p>
        </w:tc>
      </w:tr>
      <w:tr w:rsidR="009A2782" w:rsidRPr="00EC4BA6" w14:paraId="33B64505" w14:textId="77777777" w:rsidTr="009A2782">
        <w:trPr>
          <w:divId w:val="962418808"/>
          <w:trHeight w:hRule="exact" w:val="225"/>
        </w:trPr>
        <w:tc>
          <w:tcPr>
            <w:tcW w:w="512" w:type="pct"/>
            <w:tcBorders>
              <w:top w:val="nil"/>
              <w:left w:val="nil"/>
              <w:bottom w:val="nil"/>
              <w:right w:val="nil"/>
            </w:tcBorders>
            <w:shd w:val="clear" w:color="auto" w:fill="auto"/>
            <w:noWrap/>
            <w:vAlign w:val="center"/>
            <w:hideMark/>
          </w:tcPr>
          <w:p w14:paraId="2C68030B" w14:textId="77777777" w:rsidR="009A2782" w:rsidRPr="00EC4BA6" w:rsidRDefault="009A2782" w:rsidP="009A2782">
            <w:pPr>
              <w:spacing w:before="0" w:after="0" w:line="240" w:lineRule="auto"/>
              <w:rPr>
                <w:rFonts w:ascii="Arial" w:hAnsi="Arial" w:cs="Arial"/>
                <w:sz w:val="16"/>
                <w:szCs w:val="16"/>
              </w:rPr>
            </w:pPr>
            <w:r w:rsidRPr="00EC4BA6">
              <w:rPr>
                <w:rFonts w:ascii="Arial" w:hAnsi="Arial" w:cs="Arial"/>
                <w:sz w:val="16"/>
                <w:szCs w:val="16"/>
              </w:rPr>
              <w:t>Other</w:t>
            </w:r>
          </w:p>
        </w:tc>
        <w:tc>
          <w:tcPr>
            <w:tcW w:w="360" w:type="pct"/>
            <w:tcBorders>
              <w:top w:val="nil"/>
              <w:left w:val="nil"/>
              <w:bottom w:val="nil"/>
              <w:right w:val="nil"/>
            </w:tcBorders>
            <w:shd w:val="clear" w:color="auto" w:fill="auto"/>
            <w:noWrap/>
            <w:vAlign w:val="center"/>
            <w:hideMark/>
          </w:tcPr>
          <w:p w14:paraId="2D497AE3" w14:textId="77777777" w:rsidR="009A2782" w:rsidRPr="00EC4BA6" w:rsidRDefault="009A2782" w:rsidP="009A2782">
            <w:pPr>
              <w:spacing w:before="0" w:after="0" w:line="240" w:lineRule="auto"/>
              <w:rPr>
                <w:rFonts w:ascii="Arial" w:hAnsi="Arial" w:cs="Arial"/>
                <w:sz w:val="16"/>
                <w:szCs w:val="16"/>
              </w:rPr>
            </w:pPr>
            <w:r w:rsidRPr="00EC4BA6">
              <w:rPr>
                <w:rFonts w:ascii="Arial" w:hAnsi="Arial" w:cs="Arial"/>
                <w:sz w:val="16"/>
                <w:szCs w:val="16"/>
              </w:rPr>
              <w:t>F21</w:t>
            </w:r>
          </w:p>
        </w:tc>
        <w:tc>
          <w:tcPr>
            <w:tcW w:w="2415" w:type="pct"/>
            <w:tcBorders>
              <w:top w:val="nil"/>
              <w:left w:val="nil"/>
              <w:bottom w:val="nil"/>
              <w:right w:val="nil"/>
            </w:tcBorders>
            <w:shd w:val="clear" w:color="auto" w:fill="auto"/>
            <w:vAlign w:val="center"/>
            <w:hideMark/>
          </w:tcPr>
          <w:p w14:paraId="76FC31A6" w14:textId="77777777" w:rsidR="009A2782" w:rsidRPr="00EC4BA6" w:rsidRDefault="009A2782" w:rsidP="009A2782">
            <w:pPr>
              <w:spacing w:before="0" w:after="0" w:line="240" w:lineRule="auto"/>
              <w:rPr>
                <w:rFonts w:ascii="Arial" w:hAnsi="Arial" w:cs="Arial"/>
                <w:sz w:val="16"/>
                <w:szCs w:val="16"/>
              </w:rPr>
            </w:pPr>
            <w:r w:rsidRPr="00EC4BA6">
              <w:rPr>
                <w:rFonts w:ascii="Arial" w:hAnsi="Arial" w:cs="Arial"/>
                <w:sz w:val="16"/>
                <w:szCs w:val="16"/>
              </w:rPr>
              <w:t>Customs duty</w:t>
            </w:r>
          </w:p>
        </w:tc>
        <w:tc>
          <w:tcPr>
            <w:tcW w:w="537" w:type="pct"/>
            <w:tcBorders>
              <w:top w:val="nil"/>
              <w:left w:val="nil"/>
              <w:bottom w:val="nil"/>
              <w:right w:val="nil"/>
            </w:tcBorders>
            <w:shd w:val="clear" w:color="auto" w:fill="auto"/>
            <w:noWrap/>
            <w:vAlign w:val="center"/>
            <w:hideMark/>
          </w:tcPr>
          <w:p w14:paraId="4409AFAE" w14:textId="20CBB6F4" w:rsidR="009A2782" w:rsidRPr="00EC4BA6" w:rsidRDefault="001A3DD6" w:rsidP="009A2782">
            <w:pPr>
              <w:spacing w:before="0" w:after="0" w:line="240" w:lineRule="auto"/>
              <w:jc w:val="right"/>
              <w:rPr>
                <w:rFonts w:ascii="Arial" w:hAnsi="Arial" w:cs="Arial"/>
                <w:sz w:val="16"/>
                <w:szCs w:val="16"/>
              </w:rPr>
            </w:pPr>
            <w:r>
              <w:rPr>
                <w:rFonts w:ascii="Arial" w:hAnsi="Arial" w:cs="Arial"/>
                <w:sz w:val="16"/>
                <w:szCs w:val="16"/>
              </w:rPr>
              <w:noBreakHyphen/>
            </w:r>
            <w:r w:rsidR="009A2782" w:rsidRPr="00EC4BA6">
              <w:rPr>
                <w:rFonts w:ascii="Arial" w:hAnsi="Arial" w:cs="Arial"/>
                <w:sz w:val="16"/>
                <w:szCs w:val="16"/>
              </w:rPr>
              <w:t>2,130</w:t>
            </w:r>
          </w:p>
        </w:tc>
        <w:tc>
          <w:tcPr>
            <w:tcW w:w="601" w:type="pct"/>
            <w:tcBorders>
              <w:top w:val="nil"/>
              <w:left w:val="nil"/>
              <w:bottom w:val="nil"/>
              <w:right w:val="nil"/>
            </w:tcBorders>
            <w:shd w:val="clear" w:color="auto" w:fill="auto"/>
            <w:vAlign w:val="center"/>
            <w:hideMark/>
          </w:tcPr>
          <w:p w14:paraId="42A58226" w14:textId="77777777" w:rsidR="009A2782" w:rsidRPr="00EC4BA6" w:rsidRDefault="009A2782" w:rsidP="009A2782">
            <w:pPr>
              <w:spacing w:before="0" w:after="0" w:line="240" w:lineRule="auto"/>
              <w:jc w:val="right"/>
              <w:rPr>
                <w:rFonts w:ascii="Arial" w:hAnsi="Arial" w:cs="Arial"/>
                <w:sz w:val="16"/>
                <w:szCs w:val="16"/>
              </w:rPr>
            </w:pPr>
            <w:r w:rsidRPr="00EC4BA6">
              <w:rPr>
                <w:rFonts w:ascii="Arial" w:hAnsi="Arial" w:cs="Arial"/>
                <w:sz w:val="16"/>
                <w:szCs w:val="16"/>
              </w:rPr>
              <w:t>5.4</w:t>
            </w:r>
          </w:p>
        </w:tc>
        <w:tc>
          <w:tcPr>
            <w:tcW w:w="575" w:type="pct"/>
            <w:tcBorders>
              <w:top w:val="nil"/>
              <w:left w:val="nil"/>
              <w:bottom w:val="nil"/>
              <w:right w:val="nil"/>
            </w:tcBorders>
            <w:shd w:val="clear" w:color="auto" w:fill="auto"/>
            <w:vAlign w:val="center"/>
            <w:hideMark/>
          </w:tcPr>
          <w:p w14:paraId="627EC0C6" w14:textId="3D47A016" w:rsidR="009A2782" w:rsidRPr="00EC4BA6" w:rsidRDefault="001A3DD6" w:rsidP="009A2782">
            <w:pPr>
              <w:spacing w:before="0" w:after="0" w:line="240" w:lineRule="auto"/>
              <w:jc w:val="right"/>
              <w:rPr>
                <w:rFonts w:ascii="Arial" w:hAnsi="Arial" w:cs="Arial"/>
                <w:sz w:val="16"/>
                <w:szCs w:val="16"/>
              </w:rPr>
            </w:pPr>
            <w:r>
              <w:rPr>
                <w:rFonts w:ascii="Arial" w:hAnsi="Arial" w:cs="Arial"/>
                <w:sz w:val="16"/>
                <w:szCs w:val="16"/>
              </w:rPr>
              <w:noBreakHyphen/>
            </w:r>
            <w:r w:rsidR="009A2782" w:rsidRPr="00EC4BA6">
              <w:rPr>
                <w:rFonts w:ascii="Arial" w:hAnsi="Arial" w:cs="Arial"/>
                <w:sz w:val="16"/>
                <w:szCs w:val="16"/>
              </w:rPr>
              <w:t>13.1</w:t>
            </w:r>
          </w:p>
        </w:tc>
      </w:tr>
      <w:tr w:rsidR="009A2782" w:rsidRPr="00EC4BA6" w14:paraId="5EF2A793" w14:textId="77777777" w:rsidTr="009A2782">
        <w:trPr>
          <w:divId w:val="962418808"/>
          <w:trHeight w:hRule="exact" w:val="225"/>
        </w:trPr>
        <w:tc>
          <w:tcPr>
            <w:tcW w:w="512" w:type="pct"/>
            <w:tcBorders>
              <w:top w:val="nil"/>
              <w:left w:val="nil"/>
              <w:bottom w:val="nil"/>
              <w:right w:val="nil"/>
            </w:tcBorders>
            <w:shd w:val="clear" w:color="auto" w:fill="auto"/>
            <w:noWrap/>
            <w:vAlign w:val="center"/>
            <w:hideMark/>
          </w:tcPr>
          <w:p w14:paraId="7282A987" w14:textId="77777777" w:rsidR="009A2782" w:rsidRPr="00EC4BA6" w:rsidRDefault="009A2782" w:rsidP="009A2782">
            <w:pPr>
              <w:spacing w:before="0" w:after="0" w:line="240" w:lineRule="auto"/>
              <w:rPr>
                <w:rFonts w:ascii="Arial" w:hAnsi="Arial" w:cs="Arial"/>
                <w:sz w:val="16"/>
                <w:szCs w:val="16"/>
              </w:rPr>
            </w:pPr>
            <w:r w:rsidRPr="00EC4BA6">
              <w:rPr>
                <w:rFonts w:ascii="Arial" w:hAnsi="Arial" w:cs="Arial"/>
                <w:sz w:val="16"/>
                <w:szCs w:val="16"/>
              </w:rPr>
              <w:t>Other</w:t>
            </w:r>
          </w:p>
        </w:tc>
        <w:tc>
          <w:tcPr>
            <w:tcW w:w="360" w:type="pct"/>
            <w:tcBorders>
              <w:top w:val="nil"/>
              <w:left w:val="nil"/>
              <w:bottom w:val="nil"/>
              <w:right w:val="nil"/>
            </w:tcBorders>
            <w:shd w:val="clear" w:color="auto" w:fill="auto"/>
            <w:noWrap/>
            <w:vAlign w:val="center"/>
            <w:hideMark/>
          </w:tcPr>
          <w:p w14:paraId="19AEA2A5" w14:textId="77777777" w:rsidR="009A2782" w:rsidRPr="00EC4BA6" w:rsidRDefault="009A2782" w:rsidP="009A2782">
            <w:pPr>
              <w:spacing w:before="0" w:after="0" w:line="240" w:lineRule="auto"/>
              <w:rPr>
                <w:rFonts w:ascii="Arial" w:hAnsi="Arial" w:cs="Arial"/>
                <w:sz w:val="16"/>
                <w:szCs w:val="16"/>
              </w:rPr>
            </w:pPr>
            <w:r w:rsidRPr="00EC4BA6">
              <w:rPr>
                <w:rFonts w:ascii="Arial" w:hAnsi="Arial" w:cs="Arial"/>
                <w:sz w:val="16"/>
                <w:szCs w:val="16"/>
              </w:rPr>
              <w:t>F5</w:t>
            </w:r>
          </w:p>
        </w:tc>
        <w:tc>
          <w:tcPr>
            <w:tcW w:w="2415" w:type="pct"/>
            <w:tcBorders>
              <w:top w:val="nil"/>
              <w:left w:val="nil"/>
              <w:bottom w:val="nil"/>
              <w:right w:val="nil"/>
            </w:tcBorders>
            <w:shd w:val="clear" w:color="auto" w:fill="auto"/>
            <w:vAlign w:val="center"/>
            <w:hideMark/>
          </w:tcPr>
          <w:p w14:paraId="5BA25E7E" w14:textId="77777777" w:rsidR="009A2782" w:rsidRPr="00EC4BA6" w:rsidRDefault="009A2782" w:rsidP="009A2782">
            <w:pPr>
              <w:spacing w:before="0" w:after="0" w:line="240" w:lineRule="auto"/>
              <w:rPr>
                <w:rFonts w:ascii="Arial" w:hAnsi="Arial" w:cs="Arial"/>
                <w:sz w:val="16"/>
                <w:szCs w:val="16"/>
              </w:rPr>
            </w:pPr>
            <w:r w:rsidRPr="00EC4BA6">
              <w:rPr>
                <w:rFonts w:ascii="Arial" w:hAnsi="Arial" w:cs="Arial"/>
                <w:sz w:val="16"/>
                <w:szCs w:val="16"/>
              </w:rPr>
              <w:t>Luxury car tax</w:t>
            </w:r>
          </w:p>
        </w:tc>
        <w:tc>
          <w:tcPr>
            <w:tcW w:w="537" w:type="pct"/>
            <w:tcBorders>
              <w:top w:val="nil"/>
              <w:left w:val="nil"/>
              <w:bottom w:val="nil"/>
              <w:right w:val="nil"/>
            </w:tcBorders>
            <w:shd w:val="clear" w:color="auto" w:fill="auto"/>
            <w:noWrap/>
            <w:vAlign w:val="center"/>
            <w:hideMark/>
          </w:tcPr>
          <w:p w14:paraId="7F0FFDB5" w14:textId="3482E6F0" w:rsidR="009A2782" w:rsidRPr="00EC4BA6" w:rsidRDefault="001A3DD6" w:rsidP="009A2782">
            <w:pPr>
              <w:spacing w:before="0" w:after="0" w:line="240" w:lineRule="auto"/>
              <w:jc w:val="right"/>
              <w:rPr>
                <w:rFonts w:ascii="Arial" w:hAnsi="Arial" w:cs="Arial"/>
                <w:sz w:val="16"/>
                <w:szCs w:val="16"/>
              </w:rPr>
            </w:pPr>
            <w:r>
              <w:rPr>
                <w:rFonts w:ascii="Arial" w:hAnsi="Arial" w:cs="Arial"/>
                <w:sz w:val="16"/>
                <w:szCs w:val="16"/>
              </w:rPr>
              <w:noBreakHyphen/>
            </w:r>
            <w:r w:rsidR="009A2782" w:rsidRPr="00EC4BA6">
              <w:rPr>
                <w:rFonts w:ascii="Arial" w:hAnsi="Arial" w:cs="Arial"/>
                <w:sz w:val="16"/>
                <w:szCs w:val="16"/>
              </w:rPr>
              <w:t>1,170</w:t>
            </w:r>
          </w:p>
        </w:tc>
        <w:tc>
          <w:tcPr>
            <w:tcW w:w="601" w:type="pct"/>
            <w:tcBorders>
              <w:top w:val="nil"/>
              <w:left w:val="nil"/>
              <w:bottom w:val="nil"/>
              <w:right w:val="nil"/>
            </w:tcBorders>
            <w:shd w:val="clear" w:color="auto" w:fill="auto"/>
            <w:vAlign w:val="center"/>
            <w:hideMark/>
          </w:tcPr>
          <w:p w14:paraId="23850536" w14:textId="77777777" w:rsidR="009A2782" w:rsidRPr="00EC4BA6" w:rsidRDefault="009A2782" w:rsidP="009A2782">
            <w:pPr>
              <w:spacing w:before="0" w:after="0" w:line="240" w:lineRule="auto"/>
              <w:jc w:val="right"/>
              <w:rPr>
                <w:rFonts w:ascii="Arial" w:hAnsi="Arial" w:cs="Arial"/>
                <w:sz w:val="16"/>
                <w:szCs w:val="16"/>
              </w:rPr>
            </w:pPr>
            <w:r w:rsidRPr="00EC4BA6">
              <w:rPr>
                <w:rFonts w:ascii="Arial" w:hAnsi="Arial" w:cs="Arial"/>
                <w:sz w:val="16"/>
                <w:szCs w:val="16"/>
              </w:rPr>
              <w:t>11.0</w:t>
            </w:r>
          </w:p>
        </w:tc>
        <w:tc>
          <w:tcPr>
            <w:tcW w:w="575" w:type="pct"/>
            <w:tcBorders>
              <w:top w:val="nil"/>
              <w:left w:val="nil"/>
              <w:bottom w:val="nil"/>
              <w:right w:val="nil"/>
            </w:tcBorders>
            <w:shd w:val="clear" w:color="auto" w:fill="auto"/>
            <w:vAlign w:val="center"/>
            <w:hideMark/>
          </w:tcPr>
          <w:p w14:paraId="4125B738" w14:textId="77777777" w:rsidR="009A2782" w:rsidRPr="00EC4BA6" w:rsidRDefault="009A2782" w:rsidP="009A2782">
            <w:pPr>
              <w:spacing w:before="0" w:after="0" w:line="240" w:lineRule="auto"/>
              <w:jc w:val="right"/>
              <w:rPr>
                <w:rFonts w:ascii="Arial" w:hAnsi="Arial" w:cs="Arial"/>
                <w:sz w:val="16"/>
                <w:szCs w:val="16"/>
              </w:rPr>
            </w:pPr>
            <w:r w:rsidRPr="00EC4BA6">
              <w:rPr>
                <w:rFonts w:ascii="Arial" w:hAnsi="Arial" w:cs="Arial"/>
                <w:sz w:val="16"/>
                <w:szCs w:val="16"/>
              </w:rPr>
              <w:t>2.0</w:t>
            </w:r>
          </w:p>
        </w:tc>
      </w:tr>
      <w:tr w:rsidR="009A2782" w:rsidRPr="00EC4BA6" w14:paraId="45677289" w14:textId="77777777" w:rsidTr="009A2782">
        <w:trPr>
          <w:divId w:val="962418808"/>
          <w:trHeight w:hRule="exact" w:val="225"/>
        </w:trPr>
        <w:tc>
          <w:tcPr>
            <w:tcW w:w="512" w:type="pct"/>
            <w:tcBorders>
              <w:top w:val="nil"/>
              <w:left w:val="nil"/>
              <w:bottom w:val="single" w:sz="4" w:space="0" w:color="auto"/>
              <w:right w:val="nil"/>
            </w:tcBorders>
            <w:shd w:val="clear" w:color="auto" w:fill="auto"/>
            <w:noWrap/>
            <w:vAlign w:val="center"/>
            <w:hideMark/>
          </w:tcPr>
          <w:p w14:paraId="1E139024" w14:textId="77777777" w:rsidR="009A2782" w:rsidRPr="00EC4BA6" w:rsidRDefault="009A2782" w:rsidP="009A2782">
            <w:pPr>
              <w:spacing w:before="0" w:after="0" w:line="240" w:lineRule="auto"/>
              <w:rPr>
                <w:rFonts w:ascii="Arial" w:hAnsi="Arial" w:cs="Arial"/>
                <w:sz w:val="16"/>
                <w:szCs w:val="16"/>
              </w:rPr>
            </w:pPr>
            <w:r w:rsidRPr="00EC4BA6">
              <w:rPr>
                <w:rFonts w:ascii="Arial" w:hAnsi="Arial" w:cs="Arial"/>
                <w:sz w:val="16"/>
                <w:szCs w:val="16"/>
              </w:rPr>
              <w:t>Income</w:t>
            </w:r>
          </w:p>
        </w:tc>
        <w:tc>
          <w:tcPr>
            <w:tcW w:w="360" w:type="pct"/>
            <w:tcBorders>
              <w:top w:val="nil"/>
              <w:left w:val="nil"/>
              <w:bottom w:val="single" w:sz="4" w:space="0" w:color="auto"/>
              <w:right w:val="nil"/>
            </w:tcBorders>
            <w:shd w:val="clear" w:color="auto" w:fill="auto"/>
            <w:noWrap/>
            <w:vAlign w:val="center"/>
            <w:hideMark/>
          </w:tcPr>
          <w:p w14:paraId="6F8D7178" w14:textId="77777777" w:rsidR="009A2782" w:rsidRPr="00EC4BA6" w:rsidRDefault="009A2782" w:rsidP="009A2782">
            <w:pPr>
              <w:spacing w:before="0" w:after="0" w:line="240" w:lineRule="auto"/>
              <w:rPr>
                <w:rFonts w:ascii="Arial" w:hAnsi="Arial" w:cs="Arial"/>
                <w:sz w:val="16"/>
                <w:szCs w:val="16"/>
              </w:rPr>
            </w:pPr>
            <w:r w:rsidRPr="00EC4BA6">
              <w:rPr>
                <w:rFonts w:ascii="Arial" w:hAnsi="Arial" w:cs="Arial"/>
                <w:sz w:val="16"/>
                <w:szCs w:val="16"/>
              </w:rPr>
              <w:t>A21</w:t>
            </w:r>
          </w:p>
        </w:tc>
        <w:tc>
          <w:tcPr>
            <w:tcW w:w="2415" w:type="pct"/>
            <w:tcBorders>
              <w:top w:val="nil"/>
              <w:left w:val="nil"/>
              <w:bottom w:val="single" w:sz="4" w:space="0" w:color="auto"/>
              <w:right w:val="nil"/>
            </w:tcBorders>
            <w:shd w:val="clear" w:color="auto" w:fill="auto"/>
            <w:vAlign w:val="center"/>
            <w:hideMark/>
          </w:tcPr>
          <w:p w14:paraId="2046F1DF" w14:textId="77777777" w:rsidR="009A2782" w:rsidRPr="00EC4BA6" w:rsidRDefault="009A2782" w:rsidP="009A2782">
            <w:pPr>
              <w:spacing w:before="0" w:after="0" w:line="240" w:lineRule="auto"/>
              <w:rPr>
                <w:rFonts w:ascii="Arial" w:hAnsi="Arial" w:cs="Arial"/>
                <w:sz w:val="16"/>
                <w:szCs w:val="16"/>
              </w:rPr>
            </w:pPr>
            <w:r w:rsidRPr="00EC4BA6">
              <w:rPr>
                <w:rFonts w:ascii="Arial" w:hAnsi="Arial" w:cs="Arial"/>
                <w:sz w:val="16"/>
                <w:szCs w:val="16"/>
              </w:rPr>
              <w:t>Medicare levy surcharge</w:t>
            </w:r>
          </w:p>
        </w:tc>
        <w:tc>
          <w:tcPr>
            <w:tcW w:w="537" w:type="pct"/>
            <w:tcBorders>
              <w:top w:val="nil"/>
              <w:left w:val="nil"/>
              <w:bottom w:val="single" w:sz="4" w:space="0" w:color="auto"/>
              <w:right w:val="nil"/>
            </w:tcBorders>
            <w:shd w:val="clear" w:color="auto" w:fill="auto"/>
            <w:noWrap/>
            <w:vAlign w:val="center"/>
            <w:hideMark/>
          </w:tcPr>
          <w:p w14:paraId="5CB9B36E" w14:textId="33DD1BC9" w:rsidR="009A2782" w:rsidRPr="00EC4BA6" w:rsidRDefault="001A3DD6" w:rsidP="009A2782">
            <w:pPr>
              <w:spacing w:before="0" w:after="0" w:line="240" w:lineRule="auto"/>
              <w:jc w:val="right"/>
              <w:rPr>
                <w:rFonts w:ascii="Arial" w:hAnsi="Arial" w:cs="Arial"/>
                <w:sz w:val="16"/>
                <w:szCs w:val="16"/>
              </w:rPr>
            </w:pPr>
            <w:r>
              <w:rPr>
                <w:rFonts w:ascii="Arial" w:hAnsi="Arial" w:cs="Arial"/>
                <w:sz w:val="16"/>
                <w:szCs w:val="16"/>
              </w:rPr>
              <w:noBreakHyphen/>
            </w:r>
            <w:r w:rsidR="009A2782" w:rsidRPr="00EC4BA6">
              <w:rPr>
                <w:rFonts w:ascii="Arial" w:hAnsi="Arial" w:cs="Arial"/>
                <w:sz w:val="16"/>
                <w:szCs w:val="16"/>
              </w:rPr>
              <w:t>1,100</w:t>
            </w:r>
          </w:p>
        </w:tc>
        <w:tc>
          <w:tcPr>
            <w:tcW w:w="601" w:type="pct"/>
            <w:tcBorders>
              <w:top w:val="nil"/>
              <w:left w:val="nil"/>
              <w:bottom w:val="single" w:sz="4" w:space="0" w:color="auto"/>
              <w:right w:val="nil"/>
            </w:tcBorders>
            <w:shd w:val="clear" w:color="auto" w:fill="auto"/>
            <w:vAlign w:val="center"/>
            <w:hideMark/>
          </w:tcPr>
          <w:p w14:paraId="5B255E5F" w14:textId="77777777" w:rsidR="009A2782" w:rsidRPr="00EC4BA6" w:rsidRDefault="009A2782" w:rsidP="009A2782">
            <w:pPr>
              <w:spacing w:before="0" w:after="0" w:line="240" w:lineRule="auto"/>
              <w:jc w:val="right"/>
              <w:rPr>
                <w:rFonts w:ascii="Arial" w:hAnsi="Arial" w:cs="Arial"/>
                <w:sz w:val="16"/>
                <w:szCs w:val="16"/>
              </w:rPr>
            </w:pPr>
            <w:r w:rsidRPr="00EC4BA6">
              <w:rPr>
                <w:rFonts w:ascii="Arial" w:hAnsi="Arial" w:cs="Arial"/>
                <w:sz w:val="16"/>
                <w:szCs w:val="16"/>
              </w:rPr>
              <w:t>24.8</w:t>
            </w:r>
          </w:p>
        </w:tc>
        <w:tc>
          <w:tcPr>
            <w:tcW w:w="575" w:type="pct"/>
            <w:tcBorders>
              <w:top w:val="nil"/>
              <w:left w:val="nil"/>
              <w:bottom w:val="single" w:sz="4" w:space="0" w:color="auto"/>
              <w:right w:val="nil"/>
            </w:tcBorders>
            <w:shd w:val="clear" w:color="auto" w:fill="auto"/>
            <w:vAlign w:val="center"/>
            <w:hideMark/>
          </w:tcPr>
          <w:p w14:paraId="43A2536E" w14:textId="77777777" w:rsidR="009A2782" w:rsidRPr="00EC4BA6" w:rsidRDefault="009A2782" w:rsidP="009A2782">
            <w:pPr>
              <w:spacing w:before="0" w:after="0" w:line="240" w:lineRule="auto"/>
              <w:jc w:val="right"/>
              <w:rPr>
                <w:rFonts w:ascii="Arial" w:hAnsi="Arial" w:cs="Arial"/>
                <w:sz w:val="16"/>
                <w:szCs w:val="16"/>
              </w:rPr>
            </w:pPr>
            <w:r w:rsidRPr="00EC4BA6">
              <w:rPr>
                <w:rFonts w:ascii="Arial" w:hAnsi="Arial" w:cs="Arial"/>
                <w:sz w:val="16"/>
                <w:szCs w:val="16"/>
              </w:rPr>
              <w:t>4.5</w:t>
            </w:r>
          </w:p>
        </w:tc>
      </w:tr>
    </w:tbl>
    <w:p w14:paraId="1FB4D2A0" w14:textId="41F01C7E" w:rsidR="009A57CE" w:rsidRPr="00EC4BA6" w:rsidRDefault="00A438C1" w:rsidP="009319EC">
      <w:pPr>
        <w:pStyle w:val="ChartandTableFootnoteAlpha"/>
        <w:numPr>
          <w:ilvl w:val="0"/>
          <w:numId w:val="0"/>
        </w:numPr>
        <w:rPr>
          <w:color w:val="auto"/>
        </w:rPr>
      </w:pPr>
      <w:r w:rsidRPr="00EC4BA6">
        <w:rPr>
          <w:color w:val="auto"/>
        </w:rPr>
        <w:t xml:space="preserve">* For deductions, </w:t>
      </w:r>
      <w:r w:rsidR="001A3DD6">
        <w:rPr>
          <w:color w:val="auto"/>
        </w:rPr>
        <w:t>‘</w:t>
      </w:r>
      <w:r w:rsidRPr="00EC4BA6">
        <w:rPr>
          <w:color w:val="auto"/>
        </w:rPr>
        <w:t>Revenue forgone</w:t>
      </w:r>
      <w:r w:rsidR="001A3DD6">
        <w:rPr>
          <w:color w:val="auto"/>
        </w:rPr>
        <w:t>’</w:t>
      </w:r>
      <w:r w:rsidRPr="00EC4BA6">
        <w:rPr>
          <w:color w:val="auto"/>
        </w:rPr>
        <w:t xml:space="preserve"> refers to the reduction in tax in relation to the specified income year due to the utilisation of deductions.</w:t>
      </w:r>
    </w:p>
    <w:p w14:paraId="7700FECA" w14:textId="77777777" w:rsidR="009A57CE" w:rsidRPr="00EC4BA6" w:rsidRDefault="009A57CE" w:rsidP="009A57CE">
      <w:pPr>
        <w:pStyle w:val="TableLine"/>
      </w:pPr>
    </w:p>
    <w:sectPr w:rsidR="009A57CE" w:rsidRPr="00EC4BA6" w:rsidSect="0064574E">
      <w:type w:val="oddPage"/>
      <w:pgSz w:w="11906" w:h="16838" w:code="9"/>
      <w:pgMar w:top="2835" w:right="2098" w:bottom="2466" w:left="2098" w:header="1814" w:footer="18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0AB16" w14:textId="77777777" w:rsidR="00CC4407" w:rsidRDefault="00CC4407" w:rsidP="00E40261">
      <w:pPr>
        <w:spacing w:after="0" w:line="240" w:lineRule="auto"/>
      </w:pPr>
      <w:r>
        <w:separator/>
      </w:r>
    </w:p>
  </w:endnote>
  <w:endnote w:type="continuationSeparator" w:id="0">
    <w:p w14:paraId="4F2AA5FC" w14:textId="77777777" w:rsidR="00CC4407" w:rsidRDefault="00CC4407" w:rsidP="00E40261">
      <w:pPr>
        <w:spacing w:after="0" w:line="240" w:lineRule="auto"/>
      </w:pPr>
      <w:r>
        <w:continuationSeparator/>
      </w:r>
    </w:p>
  </w:endnote>
  <w:endnote w:type="continuationNotice" w:id="1">
    <w:p w14:paraId="40584F48" w14:textId="77777777" w:rsidR="00CC4407" w:rsidRDefault="00CC440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FB64B" w14:textId="6832AE62" w:rsidR="00DF4D4F" w:rsidRDefault="00BD116A" w:rsidP="4DDB1054">
    <w:pPr>
      <w:pStyle w:val="FooterOdd"/>
    </w:pPr>
    <w:r>
      <w:fldChar w:fldCharType="begin"/>
    </w:r>
    <w:r>
      <w:instrText>SUBJECT   \* MERGEFORMAT</w:instrText>
    </w:r>
    <w:r>
      <w:fldChar w:fldCharType="separate"/>
    </w:r>
    <w:r w:rsidR="00F93268">
      <w:t>Statement 4: Revenue</w:t>
    </w:r>
    <w:r>
      <w:fldChar w:fldCharType="end"/>
    </w:r>
    <w:r w:rsidR="4DDB1054" w:rsidRPr="4DDB1054">
      <w:t xml:space="preserve">  |  </w:t>
    </w:r>
    <w:r w:rsidR="4DDB1054" w:rsidRPr="4DDB1054">
      <w:rPr>
        <w:b/>
        <w:bCs/>
      </w:rPr>
      <w:t xml:space="preserve">Page </w:t>
    </w:r>
    <w:r w:rsidR="00A05D6A" w:rsidRPr="4DDB1054">
      <w:rPr>
        <w:b/>
        <w:bCs/>
      </w:rPr>
      <w:fldChar w:fldCharType="begin"/>
    </w:r>
    <w:r w:rsidR="00A05D6A" w:rsidRPr="4DDB1054">
      <w:rPr>
        <w:b/>
        <w:bCs/>
      </w:rPr>
      <w:instrText xml:space="preserve"> PAGE  \* Arabic  \* MERGEFORMAT </w:instrText>
    </w:r>
    <w:r w:rsidR="00A05D6A" w:rsidRPr="4DDB1054">
      <w:rPr>
        <w:b/>
        <w:bCs/>
      </w:rPr>
      <w:fldChar w:fldCharType="separate"/>
    </w:r>
    <w:r w:rsidR="4DDB1054" w:rsidRPr="4DDB1054">
      <w:rPr>
        <w:b/>
        <w:bCs/>
      </w:rPr>
      <w:t>1</w:t>
    </w:r>
    <w:r w:rsidR="00A05D6A" w:rsidRPr="4DDB1054">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E57C2" w14:textId="1B16314A" w:rsidR="00DF4D4F" w:rsidRPr="00263D47" w:rsidRDefault="00BD116A" w:rsidP="001B3178">
    <w:pPr>
      <w:pStyle w:val="FooterOdd"/>
    </w:pPr>
    <w:r>
      <w:fldChar w:fldCharType="begin"/>
    </w:r>
    <w:r>
      <w:instrText>SUBJECT   \* MERGEFORMAT</w:instrText>
    </w:r>
    <w:r>
      <w:fldChar w:fldCharType="separate"/>
    </w:r>
    <w:r w:rsidR="00F93268">
      <w:t>Statement 4: Revenue</w:t>
    </w:r>
    <w:r>
      <w:fldChar w:fldCharType="end"/>
    </w:r>
    <w:r w:rsidR="001B3178" w:rsidRPr="00081542">
      <w:t> | </w:t>
    </w:r>
    <w:r w:rsidR="001B3178" w:rsidRPr="00B3705D">
      <w:rPr>
        <w:b/>
        <w:bCs/>
      </w:rPr>
      <w:t xml:space="preserve">Page </w:t>
    </w:r>
    <w:r w:rsidR="001B3178" w:rsidRPr="00B3705D">
      <w:rPr>
        <w:b/>
        <w:bCs/>
      </w:rPr>
      <w:fldChar w:fldCharType="begin"/>
    </w:r>
    <w:r w:rsidR="001B3178" w:rsidRPr="00B3705D">
      <w:rPr>
        <w:b/>
        <w:bCs/>
      </w:rPr>
      <w:instrText xml:space="preserve"> PAGE  \* Arabic  \* MERGEFORMAT </w:instrText>
    </w:r>
    <w:r w:rsidR="001B3178" w:rsidRPr="00B3705D">
      <w:rPr>
        <w:b/>
        <w:bCs/>
      </w:rPr>
      <w:fldChar w:fldCharType="separate"/>
    </w:r>
    <w:r w:rsidR="001B3178">
      <w:rPr>
        <w:b/>
        <w:bCs/>
      </w:rPr>
      <w:t>1</w:t>
    </w:r>
    <w:r w:rsidR="001B3178" w:rsidRPr="00B3705D">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0EF69" w14:textId="73771430" w:rsidR="0007571E" w:rsidRDefault="0007571E" w:rsidP="00360947">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081542">
      <w:t> | </w:t>
    </w:r>
    <w:r w:rsidR="00703100" w:rsidRPr="00703100">
      <w:t>Statement 4: Revenue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4EB20" w14:textId="307CC9BD" w:rsidR="0007571E" w:rsidRDefault="00703100" w:rsidP="009F3CAB">
    <w:pPr>
      <w:pStyle w:val="FooterOdd"/>
    </w:pPr>
    <w:r w:rsidRPr="00703100">
      <w:t>Statement 4: Revenue</w:t>
    </w:r>
    <w:r w:rsidR="0007571E" w:rsidRPr="00081542">
      <w:t> | </w:t>
    </w:r>
    <w:r w:rsidR="0007571E" w:rsidRPr="00B3705D">
      <w:rPr>
        <w:b/>
        <w:bCs/>
      </w:rPr>
      <w:t xml:space="preserve">Page </w:t>
    </w:r>
    <w:r w:rsidR="0007571E" w:rsidRPr="00B3705D">
      <w:rPr>
        <w:b/>
        <w:bCs/>
      </w:rPr>
      <w:fldChar w:fldCharType="begin"/>
    </w:r>
    <w:r w:rsidR="0007571E" w:rsidRPr="00B3705D">
      <w:rPr>
        <w:b/>
        <w:bCs/>
      </w:rPr>
      <w:instrText xml:space="preserve"> PAGE  \* Arabic  \* MERGEFORMAT </w:instrText>
    </w:r>
    <w:r w:rsidR="0007571E" w:rsidRPr="00B3705D">
      <w:rPr>
        <w:b/>
        <w:bCs/>
      </w:rPr>
      <w:fldChar w:fldCharType="separate"/>
    </w:r>
    <w:r w:rsidR="0007571E">
      <w:rPr>
        <w:b/>
        <w:bCs/>
      </w:rPr>
      <w:t>1</w:t>
    </w:r>
    <w:r w:rsidR="0007571E" w:rsidRPr="00B3705D">
      <w:rPr>
        <w:b/>
        <w:bC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12B44" w14:textId="06AD30B1" w:rsidR="0007571E" w:rsidRDefault="00BD116A" w:rsidP="00A02473">
    <w:pPr>
      <w:pStyle w:val="FooterOdd"/>
    </w:pPr>
    <w:r>
      <w:fldChar w:fldCharType="begin"/>
    </w:r>
    <w:r>
      <w:instrText>SUBJECT   \* MERGEFORMAT</w:instrText>
    </w:r>
    <w:r>
      <w:fldChar w:fldCharType="separate"/>
    </w:r>
    <w:r w:rsidR="00F93268">
      <w:t>Statement 4: Revenue</w:t>
    </w:r>
    <w:r>
      <w:fldChar w:fldCharType="end"/>
    </w:r>
    <w:r w:rsidR="00A02473" w:rsidRPr="00081542">
      <w:t> | </w:t>
    </w:r>
    <w:r w:rsidR="00A02473" w:rsidRPr="00B3705D">
      <w:rPr>
        <w:b/>
        <w:bCs/>
      </w:rPr>
      <w:t xml:space="preserve">Page </w:t>
    </w:r>
    <w:r w:rsidR="00A02473" w:rsidRPr="00B3705D">
      <w:rPr>
        <w:b/>
        <w:bCs/>
      </w:rPr>
      <w:fldChar w:fldCharType="begin"/>
    </w:r>
    <w:r w:rsidR="00A02473" w:rsidRPr="00B3705D">
      <w:rPr>
        <w:b/>
        <w:bCs/>
      </w:rPr>
      <w:instrText xml:space="preserve"> PAGE  \* Arabic  \* MERGEFORMAT </w:instrText>
    </w:r>
    <w:r w:rsidR="00A02473" w:rsidRPr="00B3705D">
      <w:rPr>
        <w:b/>
        <w:bCs/>
      </w:rPr>
      <w:fldChar w:fldCharType="separate"/>
    </w:r>
    <w:r w:rsidR="00A02473">
      <w:rPr>
        <w:b/>
        <w:bCs/>
      </w:rPr>
      <w:t>1</w:t>
    </w:r>
    <w:r w:rsidR="00A02473" w:rsidRPr="00B3705D">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911EF" w14:textId="77777777" w:rsidR="00CC4407" w:rsidRPr="003C1CA4" w:rsidRDefault="00CC4407" w:rsidP="00EB6597">
      <w:pPr>
        <w:spacing w:after="0" w:line="240" w:lineRule="auto"/>
        <w:ind w:right="8277"/>
        <w:rPr>
          <w:rFonts w:asciiTheme="majorHAnsi" w:hAnsiTheme="majorHAnsi"/>
          <w:color w:val="E1E3E6" w:themeColor="background2" w:themeTint="33"/>
        </w:rPr>
      </w:pPr>
      <w:r w:rsidRPr="003C1CA4">
        <w:rPr>
          <w:rFonts w:asciiTheme="majorHAnsi" w:hAnsiTheme="majorHAnsi"/>
          <w:color w:val="E1E3E6" w:themeColor="background2" w:themeTint="33"/>
        </w:rPr>
        <w:t>—</w:t>
      </w:r>
    </w:p>
  </w:footnote>
  <w:footnote w:type="continuationSeparator" w:id="0">
    <w:p w14:paraId="0108D16E" w14:textId="77777777" w:rsidR="00CC4407" w:rsidRDefault="00CC4407" w:rsidP="00E40261">
      <w:pPr>
        <w:spacing w:after="0" w:line="240" w:lineRule="auto"/>
      </w:pPr>
      <w:r>
        <w:continuationSeparator/>
      </w:r>
    </w:p>
  </w:footnote>
  <w:footnote w:type="continuationNotice" w:id="1">
    <w:p w14:paraId="0C15B8EA" w14:textId="77777777" w:rsidR="00CC4407" w:rsidRDefault="00CC440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FE513" w14:textId="14248142" w:rsidR="00DF4D4F" w:rsidRDefault="00396205" w:rsidP="001B3178">
    <w:pPr>
      <w:pStyle w:val="GhostLine"/>
    </w:pPr>
    <w:r>
      <w:rPr>
        <w:noProof/>
      </w:rPr>
      <w:drawing>
        <wp:anchor distT="0" distB="0" distL="114300" distR="114300" simplePos="0" relativeHeight="251658244" behindDoc="1" locked="0" layoutInCell="1" allowOverlap="1" wp14:anchorId="577F8FE0" wp14:editId="1489F020">
          <wp:simplePos x="0" y="0"/>
          <wp:positionH relativeFrom="page">
            <wp:align>center</wp:align>
          </wp:positionH>
          <wp:positionV relativeFrom="page">
            <wp:align>center</wp:align>
          </wp:positionV>
          <wp:extent cx="7556400" cy="10692000"/>
          <wp:effectExtent l="0" t="0" r="6985" b="0"/>
          <wp:wrapNone/>
          <wp:docPr id="12038542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796517"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564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41A28" w14:textId="41653FF9" w:rsidR="00DF4D4F" w:rsidRPr="000004EA" w:rsidRDefault="00396205" w:rsidP="001B3178">
    <w:pPr>
      <w:pStyle w:val="GhostLine"/>
    </w:pPr>
    <w:r>
      <w:rPr>
        <w:noProof/>
      </w:rPr>
      <w:drawing>
        <wp:anchor distT="0" distB="0" distL="114300" distR="114300" simplePos="0" relativeHeight="251658240" behindDoc="1" locked="0" layoutInCell="1" allowOverlap="1" wp14:anchorId="6453F9D0" wp14:editId="6A1DD2B9">
          <wp:simplePos x="0" y="0"/>
          <wp:positionH relativeFrom="page">
            <wp:align>center</wp:align>
          </wp:positionH>
          <wp:positionV relativeFrom="page">
            <wp:align>center</wp:align>
          </wp:positionV>
          <wp:extent cx="7560000" cy="10693742"/>
          <wp:effectExtent l="0" t="0" r="3175" b="0"/>
          <wp:wrapNone/>
          <wp:docPr id="112835045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326479"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74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E4EEF" w14:textId="0E698B07" w:rsidR="0007571E" w:rsidRPr="00AA5439" w:rsidRDefault="00101D27" w:rsidP="00AA5439">
    <w:pPr>
      <w:pStyle w:val="HeaderEven"/>
      <w:rPr>
        <w:sz w:val="2"/>
        <w:szCs w:val="2"/>
      </w:rPr>
    </w:pPr>
    <w:r>
      <w:rPr>
        <w:noProof/>
        <w:sz w:val="2"/>
        <w:szCs w:val="2"/>
      </w:rPr>
      <w:drawing>
        <wp:anchor distT="0" distB="0" distL="114300" distR="114300" simplePos="0" relativeHeight="251658247" behindDoc="1" locked="0" layoutInCell="1" allowOverlap="1" wp14:anchorId="5BDB03FC" wp14:editId="7BE4B5AE">
          <wp:simplePos x="0" y="0"/>
          <wp:positionH relativeFrom="page">
            <wp:align>center</wp:align>
          </wp:positionH>
          <wp:positionV relativeFrom="page">
            <wp:align>center</wp:align>
          </wp:positionV>
          <wp:extent cx="7560000" cy="10692000"/>
          <wp:effectExtent l="0" t="0" r="3175" b="0"/>
          <wp:wrapNone/>
          <wp:docPr id="136703352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791311"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07571E" w14:paraId="10417D18" w14:textId="77777777">
      <w:trPr>
        <w:trHeight w:hRule="exact" w:val="340"/>
      </w:trPr>
      <w:tc>
        <w:tcPr>
          <w:tcW w:w="7797" w:type="dxa"/>
        </w:tcPr>
        <w:p w14:paraId="1266E3E5" w14:textId="30DE6FE3" w:rsidR="0007571E" w:rsidRPr="008C56E1" w:rsidRDefault="0007571E" w:rsidP="00F60EA1">
          <w:pPr>
            <w:pStyle w:val="HeaderEven"/>
          </w:pPr>
          <w:r w:rsidRPr="008C56E1">
            <w:rPr>
              <w:noProof/>
              <w:position w:val="-8"/>
            </w:rPr>
            <w:drawing>
              <wp:inline distT="0" distB="0" distL="0" distR="0" wp14:anchorId="4ECA2D36" wp14:editId="1645B772">
                <wp:extent cx="864091" cy="198000"/>
                <wp:effectExtent l="0" t="0" r="0" b="0"/>
                <wp:docPr id="2088838820" name="Picture 20888388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694567" name="Picture 974694567">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81542">
            <w:t> | </w:t>
          </w:r>
          <w:r w:rsidR="00BD116A">
            <w:fldChar w:fldCharType="begin"/>
          </w:r>
          <w:r w:rsidR="00BD116A">
            <w:instrText>TITLE   \* MERGEFORMAT</w:instrText>
          </w:r>
          <w:r w:rsidR="00BD116A">
            <w:fldChar w:fldCharType="separate"/>
          </w:r>
          <w:r w:rsidR="00F93268">
            <w:t>Budget Paper No. 1</w:t>
          </w:r>
          <w:r w:rsidR="00BD116A">
            <w:fldChar w:fldCharType="end"/>
          </w:r>
        </w:p>
      </w:tc>
    </w:tr>
  </w:tbl>
  <w:p w14:paraId="3B68BE56" w14:textId="77777777" w:rsidR="0007571E" w:rsidRPr="00AA5439" w:rsidRDefault="0007571E" w:rsidP="00AA5439">
    <w:pPr>
      <w:pStyle w:val="HeaderEven"/>
      <w:rPr>
        <w:sz w:val="2"/>
        <w:szCs w:val="4"/>
      </w:rPr>
    </w:pPr>
  </w:p>
  <w:p w14:paraId="3C5AC10F" w14:textId="77777777" w:rsidR="0007571E" w:rsidRPr="007703C7" w:rsidRDefault="0007571E" w:rsidP="007703C7">
    <w:pPr>
      <w:pStyle w:val="Header"/>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07571E" w14:paraId="599DFD89" w14:textId="77777777" w:rsidTr="001051B9">
      <w:trPr>
        <w:trHeight w:hRule="exact" w:val="340"/>
      </w:trPr>
      <w:tc>
        <w:tcPr>
          <w:tcW w:w="7797" w:type="dxa"/>
          <w:tcMar>
            <w:left w:w="108" w:type="dxa"/>
            <w:right w:w="108" w:type="dxa"/>
          </w:tcMar>
        </w:tcPr>
        <w:p w14:paraId="0F5C0E51" w14:textId="56B41A21" w:rsidR="0007571E" w:rsidRPr="00D13BF9" w:rsidRDefault="00BD116A" w:rsidP="00D13BF9">
          <w:pPr>
            <w:pStyle w:val="HeaderOdd"/>
          </w:pPr>
          <w:r>
            <w:fldChar w:fldCharType="begin"/>
          </w:r>
          <w:r>
            <w:instrText>TITLE   \* MERGEFORMAT</w:instrText>
          </w:r>
          <w:r>
            <w:fldChar w:fldCharType="separate"/>
          </w:r>
          <w:r w:rsidR="00F93268">
            <w:t>Budget Paper No. 1</w:t>
          </w:r>
          <w:r>
            <w:fldChar w:fldCharType="end"/>
          </w:r>
          <w:r w:rsidR="0007571E" w:rsidRPr="00081542">
            <w:t> | </w:t>
          </w:r>
          <w:r w:rsidR="0007571E" w:rsidRPr="002709D2">
            <w:rPr>
              <w:noProof/>
              <w:position w:val="-8"/>
              <w:vertAlign w:val="subscript"/>
            </w:rPr>
            <w:drawing>
              <wp:inline distT="0" distB="0" distL="0" distR="0" wp14:anchorId="42730549" wp14:editId="12605FBE">
                <wp:extent cx="864091" cy="198000"/>
                <wp:effectExtent l="0" t="0" r="0" b="0"/>
                <wp:docPr id="745915009" name="Picture 7459150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864" name="Picture 1537186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1D145A62" w14:textId="0DD9ED67" w:rsidR="0007571E" w:rsidRPr="00562EDC" w:rsidRDefault="00101D27" w:rsidP="00562EDC">
    <w:pPr>
      <w:pStyle w:val="HeaderOdd"/>
      <w:jc w:val="left"/>
      <w:rPr>
        <w:sz w:val="2"/>
        <w:szCs w:val="4"/>
      </w:rPr>
    </w:pPr>
    <w:r>
      <w:rPr>
        <w:noProof/>
        <w:sz w:val="2"/>
        <w:szCs w:val="2"/>
      </w:rPr>
      <w:drawing>
        <wp:anchor distT="0" distB="0" distL="114300" distR="114300" simplePos="0" relativeHeight="251658248" behindDoc="1" locked="0" layoutInCell="1" allowOverlap="1" wp14:anchorId="714EDECA" wp14:editId="44843FF4">
          <wp:simplePos x="0" y="0"/>
          <wp:positionH relativeFrom="page">
            <wp:align>center</wp:align>
          </wp:positionH>
          <wp:positionV relativeFrom="page">
            <wp:align>center</wp:align>
          </wp:positionV>
          <wp:extent cx="7560000" cy="10692000"/>
          <wp:effectExtent l="0" t="0" r="3175" b="0"/>
          <wp:wrapNone/>
          <wp:docPr id="43404759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791311"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5F0B1" w14:textId="234425BB" w:rsidR="0007571E" w:rsidRDefault="00101D27">
    <w:pPr>
      <w:pStyle w:val="Header"/>
      <w:rPr>
        <w:sz w:val="2"/>
        <w:szCs w:val="2"/>
      </w:rPr>
    </w:pPr>
    <w:r>
      <w:rPr>
        <w:noProof/>
        <w:sz w:val="2"/>
        <w:szCs w:val="2"/>
      </w:rPr>
      <w:drawing>
        <wp:anchor distT="0" distB="0" distL="114300" distR="114300" simplePos="0" relativeHeight="251658246" behindDoc="1" locked="0" layoutInCell="1" allowOverlap="1" wp14:anchorId="690E25BC" wp14:editId="1D44B0F1">
          <wp:simplePos x="0" y="0"/>
          <wp:positionH relativeFrom="page">
            <wp:align>center</wp:align>
          </wp:positionH>
          <wp:positionV relativeFrom="page">
            <wp:align>center</wp:align>
          </wp:positionV>
          <wp:extent cx="7560000" cy="10692000"/>
          <wp:effectExtent l="0" t="0" r="3175" b="0"/>
          <wp:wrapNone/>
          <wp:docPr id="23860002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791311"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5474711D" w14:textId="77777777" w:rsidR="0007571E" w:rsidRPr="005B2F30" w:rsidRDefault="0007571E">
    <w:pPr>
      <w:pStyle w:val="Header"/>
      <w:rPr>
        <w:sz w:val="2"/>
        <w:szCs w:val="2"/>
      </w:rPr>
    </w:pPr>
    <w:r w:rsidRPr="00692105">
      <w:rPr>
        <w:noProof/>
        <w:sz w:val="32"/>
        <w:szCs w:val="32"/>
      </w:rPr>
      <mc:AlternateContent>
        <mc:Choice Requires="wps">
          <w:drawing>
            <wp:anchor distT="0" distB="0" distL="114300" distR="114300" simplePos="0" relativeHeight="251658241" behindDoc="0" locked="0" layoutInCell="1" allowOverlap="1" wp14:anchorId="1B52B366" wp14:editId="4EB909F9">
              <wp:simplePos x="0" y="0"/>
              <wp:positionH relativeFrom="column">
                <wp:posOffset>7560945</wp:posOffset>
              </wp:positionH>
              <wp:positionV relativeFrom="margin">
                <wp:align>bottom</wp:align>
              </wp:positionV>
              <wp:extent cx="399600" cy="4896000"/>
              <wp:effectExtent l="0" t="0" r="635" b="0"/>
              <wp:wrapNone/>
              <wp:docPr id="843381355"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7970C1" w14:textId="32936843" w:rsidR="0007571E" w:rsidRPr="00137C7E" w:rsidRDefault="00BD116A" w:rsidP="001D33D6">
                          <w:pPr>
                            <w:pStyle w:val="HeaderOdd"/>
                          </w:pPr>
                          <w:r>
                            <w:fldChar w:fldCharType="begin"/>
                          </w:r>
                          <w:r>
                            <w:instrText>TITLE   \* MERGEFORMAT</w:instrText>
                          </w:r>
                          <w:r>
                            <w:fldChar w:fldCharType="separate"/>
                          </w:r>
                          <w:r w:rsidR="00F93268">
                            <w:t>Budget Paper No. 1</w:t>
                          </w:r>
                          <w:r>
                            <w:fldChar w:fldCharType="end"/>
                          </w:r>
                          <w:r w:rsidR="0007571E">
                            <w:t xml:space="preserve">  |  </w:t>
                          </w:r>
                          <w:r w:rsidR="0007571E" w:rsidRPr="000635BE">
                            <w:rPr>
                              <w:rFonts w:ascii="Arial Bold" w:hAnsi="Arial Bold"/>
                              <w:b/>
                              <w:bCs/>
                              <w:noProof/>
                              <w:position w:val="-10"/>
                            </w:rPr>
                            <w:drawing>
                              <wp:inline distT="0" distB="0" distL="0" distR="0" wp14:anchorId="4CAD5248" wp14:editId="2AE8B614">
                                <wp:extent cx="1000760" cy="228609"/>
                                <wp:effectExtent l="5080" t="0" r="0" b="0"/>
                                <wp:docPr id="1099365602" name="Picture 10993656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498388" name="Picture 878498388">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1000760" cy="228609"/>
                                        </a:xfrm>
                                        <a:prstGeom prst="rect">
                                          <a:avLst/>
                                        </a:prstGeom>
                                        <a:noFill/>
                                      </pic:spPr>
                                    </pic:pic>
                                  </a:graphicData>
                                </a:graphic>
                              </wp:inline>
                            </w:drawing>
                          </w:r>
                        </w:p>
                      </w:txbxContent>
                    </wps:txbx>
                    <wps:bodyPr rot="0" vert="vert" wrap="square" lIns="0" tIns="0" rIns="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52B366" id="_x0000_t202" coordsize="21600,21600" o:spt="202" path="m,l,21600r21600,l21600,xe">
              <v:stroke joinstyle="miter"/>
              <v:path gradientshapeok="t" o:connecttype="rect"/>
            </v:shapetype>
            <v:shape id="Text Box 6" o:spid="_x0000_s1026" type="#_x0000_t202" alt="Landscape Odd Header" style="position:absolute;margin-left:595.35pt;margin-top:0;width:31.45pt;height:385.5pt;z-index:251658241;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" stroked="f">
              <v:textbox style="layout-flow:vertical" inset="0,0,0,.2mm">
                <w:txbxContent>
                  <w:p w14:paraId="5A7970C1" w14:textId="32936843" w:rsidR="0007571E" w:rsidRPr="00137C7E" w:rsidRDefault="00BD116A" w:rsidP="001D33D6">
                    <w:pPr>
                      <w:pStyle w:val="HeaderOdd"/>
                    </w:pPr>
                    <w:r>
                      <w:fldChar w:fldCharType="begin"/>
                    </w:r>
                    <w:r>
                      <w:instrText>TITLE   \* MERGEFORMAT</w:instrText>
                    </w:r>
                    <w:r>
                      <w:fldChar w:fldCharType="separate"/>
                    </w:r>
                    <w:r w:rsidR="00F93268">
                      <w:t>Budget Paper No. 1</w:t>
                    </w:r>
                    <w:r>
                      <w:fldChar w:fldCharType="end"/>
                    </w:r>
                    <w:r w:rsidR="0007571E">
                      <w:t xml:space="preserve">  |  </w:t>
                    </w:r>
                    <w:r w:rsidR="0007571E" w:rsidRPr="000635BE">
                      <w:rPr>
                        <w:rFonts w:ascii="Arial Bold" w:hAnsi="Arial Bold"/>
                        <w:b/>
                        <w:bCs/>
                        <w:noProof/>
                        <w:position w:val="-10"/>
                      </w:rPr>
                      <w:drawing>
                        <wp:inline distT="0" distB="0" distL="0" distR="0" wp14:anchorId="4CAD5248" wp14:editId="2AE8B614">
                          <wp:extent cx="1000760" cy="228609"/>
                          <wp:effectExtent l="5080" t="0" r="0" b="0"/>
                          <wp:docPr id="1099365602" name="Picture 10993656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498388" name="Picture 878498388">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1000760" cy="228609"/>
                                  </a:xfrm>
                                  <a:prstGeom prst="rect">
                                    <a:avLst/>
                                  </a:prstGeom>
                                  <a:noFill/>
                                </pic:spPr>
                              </pic:pic>
                            </a:graphicData>
                          </a:graphic>
                        </wp:inline>
                      </w:drawing>
                    </w:r>
                  </w:p>
                </w:txbxContent>
              </v:textbox>
              <w10:wrap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A4A8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4E7D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BC0E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74B4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821A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60DD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F2C7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4A2E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16B0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7C75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760FD2"/>
    <w:multiLevelType w:val="hybridMultilevel"/>
    <w:tmpl w:val="19341F16"/>
    <w:lvl w:ilvl="0" w:tplc="12CA1D00">
      <w:start w:val="1"/>
      <w:numFmt w:val="decimal"/>
      <w:lvlText w:val="%1."/>
      <w:lvlJc w:val="left"/>
      <w:pPr>
        <w:ind w:left="1020" w:hanging="360"/>
      </w:pPr>
    </w:lvl>
    <w:lvl w:ilvl="1" w:tplc="CD525C64">
      <w:start w:val="1"/>
      <w:numFmt w:val="decimal"/>
      <w:lvlText w:val="%2."/>
      <w:lvlJc w:val="left"/>
      <w:pPr>
        <w:ind w:left="1020" w:hanging="360"/>
      </w:pPr>
    </w:lvl>
    <w:lvl w:ilvl="2" w:tplc="E662F77A">
      <w:start w:val="1"/>
      <w:numFmt w:val="decimal"/>
      <w:lvlText w:val="%3."/>
      <w:lvlJc w:val="left"/>
      <w:pPr>
        <w:ind w:left="1020" w:hanging="360"/>
      </w:pPr>
    </w:lvl>
    <w:lvl w:ilvl="3" w:tplc="C7DA695E">
      <w:start w:val="1"/>
      <w:numFmt w:val="decimal"/>
      <w:lvlText w:val="%4."/>
      <w:lvlJc w:val="left"/>
      <w:pPr>
        <w:ind w:left="1020" w:hanging="360"/>
      </w:pPr>
    </w:lvl>
    <w:lvl w:ilvl="4" w:tplc="B3E4A21A">
      <w:start w:val="1"/>
      <w:numFmt w:val="decimal"/>
      <w:lvlText w:val="%5."/>
      <w:lvlJc w:val="left"/>
      <w:pPr>
        <w:ind w:left="1020" w:hanging="360"/>
      </w:pPr>
    </w:lvl>
    <w:lvl w:ilvl="5" w:tplc="3D985E64">
      <w:start w:val="1"/>
      <w:numFmt w:val="decimal"/>
      <w:lvlText w:val="%6."/>
      <w:lvlJc w:val="left"/>
      <w:pPr>
        <w:ind w:left="1020" w:hanging="360"/>
      </w:pPr>
    </w:lvl>
    <w:lvl w:ilvl="6" w:tplc="BFD016A8">
      <w:start w:val="1"/>
      <w:numFmt w:val="decimal"/>
      <w:lvlText w:val="%7."/>
      <w:lvlJc w:val="left"/>
      <w:pPr>
        <w:ind w:left="1020" w:hanging="360"/>
      </w:pPr>
    </w:lvl>
    <w:lvl w:ilvl="7" w:tplc="8B1E9B5E">
      <w:start w:val="1"/>
      <w:numFmt w:val="decimal"/>
      <w:lvlText w:val="%8."/>
      <w:lvlJc w:val="left"/>
      <w:pPr>
        <w:ind w:left="1020" w:hanging="360"/>
      </w:pPr>
    </w:lvl>
    <w:lvl w:ilvl="8" w:tplc="07B4CFE6">
      <w:start w:val="1"/>
      <w:numFmt w:val="decimal"/>
      <w:lvlText w:val="%9."/>
      <w:lvlJc w:val="left"/>
      <w:pPr>
        <w:ind w:left="1020" w:hanging="360"/>
      </w:pPr>
    </w:lvl>
  </w:abstractNum>
  <w:abstractNum w:abstractNumId="11"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2"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13" w15:restartNumberingAfterBreak="0">
    <w:nsid w:val="1647577F"/>
    <w:multiLevelType w:val="multilevel"/>
    <w:tmpl w:val="794240C4"/>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3FBD7996"/>
    <w:multiLevelType w:val="multilevel"/>
    <w:tmpl w:val="33DE46A4"/>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6" w15:restartNumberingAfterBreak="0">
    <w:nsid w:val="5FAA4416"/>
    <w:multiLevelType w:val="multilevel"/>
    <w:tmpl w:val="D2300CFC"/>
    <w:lvl w:ilvl="0">
      <w:start w:val="1"/>
      <w:numFmt w:val="decimal"/>
      <w:pStyle w:val="OutlineNumbered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EA3959"/>
    <w:multiLevelType w:val="multilevel"/>
    <w:tmpl w:val="BA54A7CC"/>
    <w:lvl w:ilvl="0">
      <w:start w:val="1"/>
      <w:numFmt w:val="lowerLetter"/>
      <w:lvlRestart w:val="0"/>
      <w:lvlText w:val="(%1)"/>
      <w:lvlJc w:val="left"/>
      <w:pPr>
        <w:tabs>
          <w:tab w:val="num" w:pos="284"/>
        </w:tabs>
        <w:ind w:left="284" w:hanging="284"/>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15:restartNumberingAfterBreak="0">
    <w:nsid w:val="74553C6C"/>
    <w:multiLevelType w:val="multilevel"/>
    <w:tmpl w:val="EF5ADE80"/>
    <w:name w:val="StandardNumberedList"/>
    <w:lvl w:ilvl="0">
      <w:start w:val="1"/>
      <w:numFmt w:val="decimal"/>
      <w:lvlText w:val="%1."/>
      <w:lvlJc w:val="left"/>
      <w:pPr>
        <w:tabs>
          <w:tab w:val="num" w:pos="449"/>
        </w:tabs>
        <w:ind w:left="449" w:hanging="449"/>
      </w:pPr>
    </w:lvl>
    <w:lvl w:ilvl="1">
      <w:start w:val="1"/>
      <w:numFmt w:val="decimal"/>
      <w:pStyle w:val="OutlineNumbered2"/>
      <w:lvlText w:val="%1.%2."/>
      <w:lvlJc w:val="left"/>
      <w:pPr>
        <w:tabs>
          <w:tab w:val="num" w:pos="898"/>
        </w:tabs>
        <w:ind w:left="898" w:hanging="449"/>
      </w:pPr>
    </w:lvl>
    <w:lvl w:ilvl="2">
      <w:start w:val="1"/>
      <w:numFmt w:val="decimal"/>
      <w:pStyle w:val="OutlineNumbered3"/>
      <w:lvlText w:val="%1.%2.%3."/>
      <w:lvlJc w:val="left"/>
      <w:pPr>
        <w:tabs>
          <w:tab w:val="num" w:pos="1347"/>
        </w:tabs>
        <w:ind w:left="1347" w:hanging="449"/>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CF6366D"/>
    <w:multiLevelType w:val="hybridMultilevel"/>
    <w:tmpl w:val="891A534E"/>
    <w:lvl w:ilvl="0" w:tplc="5BD47014">
      <w:start w:val="1"/>
      <w:numFmt w:val="decimal"/>
      <w:lvlText w:val="%1."/>
      <w:lvlJc w:val="left"/>
      <w:pPr>
        <w:ind w:left="1020" w:hanging="360"/>
      </w:pPr>
    </w:lvl>
    <w:lvl w:ilvl="1" w:tplc="533C8532">
      <w:start w:val="1"/>
      <w:numFmt w:val="decimal"/>
      <w:lvlText w:val="%2."/>
      <w:lvlJc w:val="left"/>
      <w:pPr>
        <w:ind w:left="1020" w:hanging="360"/>
      </w:pPr>
    </w:lvl>
    <w:lvl w:ilvl="2" w:tplc="77821C9A">
      <w:start w:val="1"/>
      <w:numFmt w:val="decimal"/>
      <w:lvlText w:val="%3."/>
      <w:lvlJc w:val="left"/>
      <w:pPr>
        <w:ind w:left="1020" w:hanging="360"/>
      </w:pPr>
    </w:lvl>
    <w:lvl w:ilvl="3" w:tplc="A0080528">
      <w:start w:val="1"/>
      <w:numFmt w:val="decimal"/>
      <w:lvlText w:val="%4."/>
      <w:lvlJc w:val="left"/>
      <w:pPr>
        <w:ind w:left="1020" w:hanging="360"/>
      </w:pPr>
    </w:lvl>
    <w:lvl w:ilvl="4" w:tplc="1E46DDF4">
      <w:start w:val="1"/>
      <w:numFmt w:val="decimal"/>
      <w:lvlText w:val="%5."/>
      <w:lvlJc w:val="left"/>
      <w:pPr>
        <w:ind w:left="1020" w:hanging="360"/>
      </w:pPr>
    </w:lvl>
    <w:lvl w:ilvl="5" w:tplc="5F18A080">
      <w:start w:val="1"/>
      <w:numFmt w:val="decimal"/>
      <w:lvlText w:val="%6."/>
      <w:lvlJc w:val="left"/>
      <w:pPr>
        <w:ind w:left="1020" w:hanging="360"/>
      </w:pPr>
    </w:lvl>
    <w:lvl w:ilvl="6" w:tplc="D3ECA0D6">
      <w:start w:val="1"/>
      <w:numFmt w:val="decimal"/>
      <w:lvlText w:val="%7."/>
      <w:lvlJc w:val="left"/>
      <w:pPr>
        <w:ind w:left="1020" w:hanging="360"/>
      </w:pPr>
    </w:lvl>
    <w:lvl w:ilvl="7" w:tplc="ADDEAF40">
      <w:start w:val="1"/>
      <w:numFmt w:val="decimal"/>
      <w:lvlText w:val="%8."/>
      <w:lvlJc w:val="left"/>
      <w:pPr>
        <w:ind w:left="1020" w:hanging="360"/>
      </w:pPr>
    </w:lvl>
    <w:lvl w:ilvl="8" w:tplc="A04AABB0">
      <w:start w:val="1"/>
      <w:numFmt w:val="decimal"/>
      <w:lvlText w:val="%9."/>
      <w:lvlJc w:val="left"/>
      <w:pPr>
        <w:ind w:left="1020" w:hanging="360"/>
      </w:pPr>
    </w:lvl>
  </w:abstractNum>
  <w:num w:numId="1" w16cid:durableId="1403410866">
    <w:abstractNumId w:val="15"/>
  </w:num>
  <w:num w:numId="2" w16cid:durableId="70975900">
    <w:abstractNumId w:val="12"/>
  </w:num>
  <w:num w:numId="3" w16cid:durableId="1903564601">
    <w:abstractNumId w:val="11"/>
  </w:num>
  <w:num w:numId="4" w16cid:durableId="778522229">
    <w:abstractNumId w:val="13"/>
  </w:num>
  <w:num w:numId="5" w16cid:durableId="308556280">
    <w:abstractNumId w:val="17"/>
  </w:num>
  <w:num w:numId="6" w16cid:durableId="772752326">
    <w:abstractNumId w:val="11"/>
  </w:num>
  <w:num w:numId="7" w16cid:durableId="541596858">
    <w:abstractNumId w:val="11"/>
  </w:num>
  <w:num w:numId="8" w16cid:durableId="322590933">
    <w:abstractNumId w:val="9"/>
  </w:num>
  <w:num w:numId="9" w16cid:durableId="1723669811">
    <w:abstractNumId w:val="7"/>
  </w:num>
  <w:num w:numId="10" w16cid:durableId="235865475">
    <w:abstractNumId w:val="6"/>
  </w:num>
  <w:num w:numId="11" w16cid:durableId="1066297075">
    <w:abstractNumId w:val="5"/>
  </w:num>
  <w:num w:numId="12" w16cid:durableId="10422456">
    <w:abstractNumId w:val="4"/>
  </w:num>
  <w:num w:numId="13" w16cid:durableId="4594083">
    <w:abstractNumId w:val="8"/>
  </w:num>
  <w:num w:numId="14" w16cid:durableId="961616114">
    <w:abstractNumId w:val="3"/>
  </w:num>
  <w:num w:numId="15" w16cid:durableId="760225057">
    <w:abstractNumId w:val="2"/>
  </w:num>
  <w:num w:numId="16" w16cid:durableId="1531915683">
    <w:abstractNumId w:val="1"/>
  </w:num>
  <w:num w:numId="17" w16cid:durableId="288900107">
    <w:abstractNumId w:val="0"/>
  </w:num>
  <w:num w:numId="18" w16cid:durableId="131681990">
    <w:abstractNumId w:val="13"/>
  </w:num>
  <w:num w:numId="19" w16cid:durableId="5211629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44135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7239319">
    <w:abstractNumId w:val="18"/>
  </w:num>
  <w:num w:numId="22" w16cid:durableId="1518692781">
    <w:abstractNumId w:val="16"/>
  </w:num>
  <w:num w:numId="23" w16cid:durableId="1394258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740429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106344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669329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999914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365028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92053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445038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13039398">
    <w:abstractNumId w:val="14"/>
  </w:num>
  <w:num w:numId="32" w16cid:durableId="10132611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638349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20212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281662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932040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979706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256604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34583549">
    <w:abstractNumId w:val="10"/>
  </w:num>
  <w:num w:numId="40" w16cid:durableId="2021620598">
    <w:abstractNumId w:val="19"/>
  </w:num>
  <w:num w:numId="41" w16cid:durableId="854666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114692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53898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803362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867959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138530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99845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022382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400887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59958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333196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164812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691446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413096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266488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270306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116513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783423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457311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E512DD"/>
    <w:rsid w:val="000004EA"/>
    <w:rsid w:val="00000502"/>
    <w:rsid w:val="00000751"/>
    <w:rsid w:val="000009E4"/>
    <w:rsid w:val="00000D74"/>
    <w:rsid w:val="00001690"/>
    <w:rsid w:val="00001DAC"/>
    <w:rsid w:val="00001F77"/>
    <w:rsid w:val="00002EBE"/>
    <w:rsid w:val="00003158"/>
    <w:rsid w:val="0000334F"/>
    <w:rsid w:val="0000362C"/>
    <w:rsid w:val="00003ED3"/>
    <w:rsid w:val="0000423E"/>
    <w:rsid w:val="00004B28"/>
    <w:rsid w:val="00005520"/>
    <w:rsid w:val="000063CA"/>
    <w:rsid w:val="000063D6"/>
    <w:rsid w:val="00006514"/>
    <w:rsid w:val="000068E2"/>
    <w:rsid w:val="00006FD7"/>
    <w:rsid w:val="00010042"/>
    <w:rsid w:val="00010343"/>
    <w:rsid w:val="00010E23"/>
    <w:rsid w:val="00011008"/>
    <w:rsid w:val="00011C85"/>
    <w:rsid w:val="00011DBB"/>
    <w:rsid w:val="00012CCF"/>
    <w:rsid w:val="00012DA5"/>
    <w:rsid w:val="00013EA8"/>
    <w:rsid w:val="0001413B"/>
    <w:rsid w:val="000143B5"/>
    <w:rsid w:val="00014463"/>
    <w:rsid w:val="00015EB9"/>
    <w:rsid w:val="00016734"/>
    <w:rsid w:val="00017395"/>
    <w:rsid w:val="00017E33"/>
    <w:rsid w:val="00020333"/>
    <w:rsid w:val="00020963"/>
    <w:rsid w:val="0002114A"/>
    <w:rsid w:val="000214AC"/>
    <w:rsid w:val="00021CA7"/>
    <w:rsid w:val="000223A5"/>
    <w:rsid w:val="000228BA"/>
    <w:rsid w:val="000229E8"/>
    <w:rsid w:val="00023288"/>
    <w:rsid w:val="00023A4D"/>
    <w:rsid w:val="00023BD9"/>
    <w:rsid w:val="00024A7B"/>
    <w:rsid w:val="00024BA4"/>
    <w:rsid w:val="000255A7"/>
    <w:rsid w:val="00025759"/>
    <w:rsid w:val="000259CB"/>
    <w:rsid w:val="00027BF4"/>
    <w:rsid w:val="00027D45"/>
    <w:rsid w:val="00030242"/>
    <w:rsid w:val="00030B16"/>
    <w:rsid w:val="000317F5"/>
    <w:rsid w:val="00031991"/>
    <w:rsid w:val="00031D38"/>
    <w:rsid w:val="00031FD2"/>
    <w:rsid w:val="00033476"/>
    <w:rsid w:val="0003349D"/>
    <w:rsid w:val="00034079"/>
    <w:rsid w:val="00034356"/>
    <w:rsid w:val="000343DB"/>
    <w:rsid w:val="00034C66"/>
    <w:rsid w:val="00034D77"/>
    <w:rsid w:val="00035D8D"/>
    <w:rsid w:val="00035DBE"/>
    <w:rsid w:val="0003652E"/>
    <w:rsid w:val="00036D6E"/>
    <w:rsid w:val="000378FE"/>
    <w:rsid w:val="00040099"/>
    <w:rsid w:val="000403DD"/>
    <w:rsid w:val="0004178C"/>
    <w:rsid w:val="00041A02"/>
    <w:rsid w:val="000437E3"/>
    <w:rsid w:val="000443DB"/>
    <w:rsid w:val="00044CB6"/>
    <w:rsid w:val="00044F75"/>
    <w:rsid w:val="00045C16"/>
    <w:rsid w:val="00046562"/>
    <w:rsid w:val="000465F6"/>
    <w:rsid w:val="00046B8B"/>
    <w:rsid w:val="0004747B"/>
    <w:rsid w:val="000474F9"/>
    <w:rsid w:val="00050635"/>
    <w:rsid w:val="00050D8F"/>
    <w:rsid w:val="00050F11"/>
    <w:rsid w:val="000515DC"/>
    <w:rsid w:val="00052563"/>
    <w:rsid w:val="00053779"/>
    <w:rsid w:val="000545ED"/>
    <w:rsid w:val="0005462B"/>
    <w:rsid w:val="000546EB"/>
    <w:rsid w:val="000556D4"/>
    <w:rsid w:val="00056189"/>
    <w:rsid w:val="000565C5"/>
    <w:rsid w:val="000571AB"/>
    <w:rsid w:val="00057B0A"/>
    <w:rsid w:val="00057D51"/>
    <w:rsid w:val="00060A14"/>
    <w:rsid w:val="00060C19"/>
    <w:rsid w:val="0006133C"/>
    <w:rsid w:val="000613FC"/>
    <w:rsid w:val="000614B6"/>
    <w:rsid w:val="00062060"/>
    <w:rsid w:val="000622DA"/>
    <w:rsid w:val="00062310"/>
    <w:rsid w:val="00062698"/>
    <w:rsid w:val="00062AE9"/>
    <w:rsid w:val="000633F0"/>
    <w:rsid w:val="000635BE"/>
    <w:rsid w:val="00063854"/>
    <w:rsid w:val="000644B8"/>
    <w:rsid w:val="000648E0"/>
    <w:rsid w:val="00064B20"/>
    <w:rsid w:val="00065179"/>
    <w:rsid w:val="0006538E"/>
    <w:rsid w:val="00065F7E"/>
    <w:rsid w:val="0006607C"/>
    <w:rsid w:val="000661E5"/>
    <w:rsid w:val="000678DE"/>
    <w:rsid w:val="00067B00"/>
    <w:rsid w:val="00067CFE"/>
    <w:rsid w:val="00067E19"/>
    <w:rsid w:val="000704DD"/>
    <w:rsid w:val="0007059C"/>
    <w:rsid w:val="00070A3F"/>
    <w:rsid w:val="00072C37"/>
    <w:rsid w:val="00073AE6"/>
    <w:rsid w:val="0007571E"/>
    <w:rsid w:val="00075919"/>
    <w:rsid w:val="00076252"/>
    <w:rsid w:val="00076814"/>
    <w:rsid w:val="000769FD"/>
    <w:rsid w:val="00076CAA"/>
    <w:rsid w:val="00077C2D"/>
    <w:rsid w:val="00080086"/>
    <w:rsid w:val="000802EB"/>
    <w:rsid w:val="0008058E"/>
    <w:rsid w:val="000814CD"/>
    <w:rsid w:val="00081542"/>
    <w:rsid w:val="0008162E"/>
    <w:rsid w:val="000816D6"/>
    <w:rsid w:val="0008192C"/>
    <w:rsid w:val="00081A64"/>
    <w:rsid w:val="00081DA6"/>
    <w:rsid w:val="000821C9"/>
    <w:rsid w:val="00082D3E"/>
    <w:rsid w:val="00083012"/>
    <w:rsid w:val="0008399A"/>
    <w:rsid w:val="000839EB"/>
    <w:rsid w:val="00083F84"/>
    <w:rsid w:val="000845B4"/>
    <w:rsid w:val="0008526B"/>
    <w:rsid w:val="00085417"/>
    <w:rsid w:val="0008597F"/>
    <w:rsid w:val="00085E3E"/>
    <w:rsid w:val="000875A6"/>
    <w:rsid w:val="00087834"/>
    <w:rsid w:val="00090547"/>
    <w:rsid w:val="00090721"/>
    <w:rsid w:val="00091E12"/>
    <w:rsid w:val="00092121"/>
    <w:rsid w:val="000929EA"/>
    <w:rsid w:val="0009402D"/>
    <w:rsid w:val="00094365"/>
    <w:rsid w:val="00094521"/>
    <w:rsid w:val="00095178"/>
    <w:rsid w:val="00095412"/>
    <w:rsid w:val="00095E1A"/>
    <w:rsid w:val="00095EC4"/>
    <w:rsid w:val="00096D18"/>
    <w:rsid w:val="00097A78"/>
    <w:rsid w:val="000A04BF"/>
    <w:rsid w:val="000A0593"/>
    <w:rsid w:val="000A0FEE"/>
    <w:rsid w:val="000A137D"/>
    <w:rsid w:val="000A1900"/>
    <w:rsid w:val="000A216B"/>
    <w:rsid w:val="000A2685"/>
    <w:rsid w:val="000A297A"/>
    <w:rsid w:val="000A2F07"/>
    <w:rsid w:val="000A3215"/>
    <w:rsid w:val="000A3B03"/>
    <w:rsid w:val="000A3B7B"/>
    <w:rsid w:val="000A4760"/>
    <w:rsid w:val="000A4948"/>
    <w:rsid w:val="000A4EA1"/>
    <w:rsid w:val="000A5024"/>
    <w:rsid w:val="000A57C9"/>
    <w:rsid w:val="000A6855"/>
    <w:rsid w:val="000A6DA6"/>
    <w:rsid w:val="000A796D"/>
    <w:rsid w:val="000A797B"/>
    <w:rsid w:val="000B009B"/>
    <w:rsid w:val="000B0132"/>
    <w:rsid w:val="000B0B3E"/>
    <w:rsid w:val="000B10A2"/>
    <w:rsid w:val="000B330B"/>
    <w:rsid w:val="000B38A8"/>
    <w:rsid w:val="000B3CFF"/>
    <w:rsid w:val="000B3DA0"/>
    <w:rsid w:val="000B5066"/>
    <w:rsid w:val="000B538F"/>
    <w:rsid w:val="000B5692"/>
    <w:rsid w:val="000B614E"/>
    <w:rsid w:val="000B70AD"/>
    <w:rsid w:val="000B77A5"/>
    <w:rsid w:val="000B782E"/>
    <w:rsid w:val="000C1D51"/>
    <w:rsid w:val="000C255D"/>
    <w:rsid w:val="000C25CF"/>
    <w:rsid w:val="000C2FDA"/>
    <w:rsid w:val="000C3424"/>
    <w:rsid w:val="000C3E10"/>
    <w:rsid w:val="000C4931"/>
    <w:rsid w:val="000C510F"/>
    <w:rsid w:val="000C563A"/>
    <w:rsid w:val="000C5CEE"/>
    <w:rsid w:val="000C6AB3"/>
    <w:rsid w:val="000D02A9"/>
    <w:rsid w:val="000D1574"/>
    <w:rsid w:val="000D17E3"/>
    <w:rsid w:val="000D351F"/>
    <w:rsid w:val="000D36E7"/>
    <w:rsid w:val="000D3C2F"/>
    <w:rsid w:val="000D4785"/>
    <w:rsid w:val="000D50E3"/>
    <w:rsid w:val="000D5717"/>
    <w:rsid w:val="000D6169"/>
    <w:rsid w:val="000D7427"/>
    <w:rsid w:val="000D78F4"/>
    <w:rsid w:val="000E030E"/>
    <w:rsid w:val="000E105B"/>
    <w:rsid w:val="000E12E3"/>
    <w:rsid w:val="000E149B"/>
    <w:rsid w:val="000E16CA"/>
    <w:rsid w:val="000E16FF"/>
    <w:rsid w:val="000E199B"/>
    <w:rsid w:val="000E1D89"/>
    <w:rsid w:val="000E1D8C"/>
    <w:rsid w:val="000E1F91"/>
    <w:rsid w:val="000E20FC"/>
    <w:rsid w:val="000E4135"/>
    <w:rsid w:val="000E53A0"/>
    <w:rsid w:val="000E665F"/>
    <w:rsid w:val="000E6894"/>
    <w:rsid w:val="000E7012"/>
    <w:rsid w:val="000E711C"/>
    <w:rsid w:val="000F1133"/>
    <w:rsid w:val="000F1D3D"/>
    <w:rsid w:val="000F212D"/>
    <w:rsid w:val="000F24EF"/>
    <w:rsid w:val="000F253E"/>
    <w:rsid w:val="000F3F12"/>
    <w:rsid w:val="000F4E73"/>
    <w:rsid w:val="000F4F63"/>
    <w:rsid w:val="000F5321"/>
    <w:rsid w:val="000F5DE2"/>
    <w:rsid w:val="000F5ED5"/>
    <w:rsid w:val="000F6798"/>
    <w:rsid w:val="000F697A"/>
    <w:rsid w:val="000F720E"/>
    <w:rsid w:val="000F751E"/>
    <w:rsid w:val="000F75EF"/>
    <w:rsid w:val="0010059F"/>
    <w:rsid w:val="00100EDC"/>
    <w:rsid w:val="00100EE3"/>
    <w:rsid w:val="00101D27"/>
    <w:rsid w:val="0010263D"/>
    <w:rsid w:val="0010279C"/>
    <w:rsid w:val="0010356D"/>
    <w:rsid w:val="00103D2A"/>
    <w:rsid w:val="00103F65"/>
    <w:rsid w:val="00104B00"/>
    <w:rsid w:val="001051B9"/>
    <w:rsid w:val="001053E1"/>
    <w:rsid w:val="001054C4"/>
    <w:rsid w:val="00106C80"/>
    <w:rsid w:val="001107A2"/>
    <w:rsid w:val="00111026"/>
    <w:rsid w:val="0011175D"/>
    <w:rsid w:val="0011219E"/>
    <w:rsid w:val="0011373F"/>
    <w:rsid w:val="001142E6"/>
    <w:rsid w:val="0011506F"/>
    <w:rsid w:val="00115449"/>
    <w:rsid w:val="001155C1"/>
    <w:rsid w:val="00115A47"/>
    <w:rsid w:val="00115D77"/>
    <w:rsid w:val="001162D1"/>
    <w:rsid w:val="00116EB7"/>
    <w:rsid w:val="00117B5F"/>
    <w:rsid w:val="00117C72"/>
    <w:rsid w:val="0012192E"/>
    <w:rsid w:val="00121AD4"/>
    <w:rsid w:val="00122048"/>
    <w:rsid w:val="001221FD"/>
    <w:rsid w:val="001227C6"/>
    <w:rsid w:val="00124384"/>
    <w:rsid w:val="00124753"/>
    <w:rsid w:val="001255A3"/>
    <w:rsid w:val="00125617"/>
    <w:rsid w:val="0012599E"/>
    <w:rsid w:val="00126F48"/>
    <w:rsid w:val="00126F6D"/>
    <w:rsid w:val="00130786"/>
    <w:rsid w:val="00130CFC"/>
    <w:rsid w:val="00130D79"/>
    <w:rsid w:val="001310EC"/>
    <w:rsid w:val="0013117F"/>
    <w:rsid w:val="00132575"/>
    <w:rsid w:val="00132B7E"/>
    <w:rsid w:val="001332C0"/>
    <w:rsid w:val="00133345"/>
    <w:rsid w:val="0013539D"/>
    <w:rsid w:val="00135C23"/>
    <w:rsid w:val="0013613B"/>
    <w:rsid w:val="00136E2E"/>
    <w:rsid w:val="001370EE"/>
    <w:rsid w:val="001372D3"/>
    <w:rsid w:val="001411C7"/>
    <w:rsid w:val="001415EB"/>
    <w:rsid w:val="00141A0B"/>
    <w:rsid w:val="00141BEF"/>
    <w:rsid w:val="00141C06"/>
    <w:rsid w:val="00142097"/>
    <w:rsid w:val="00142572"/>
    <w:rsid w:val="00143166"/>
    <w:rsid w:val="001435CF"/>
    <w:rsid w:val="00143768"/>
    <w:rsid w:val="00145420"/>
    <w:rsid w:val="00145A59"/>
    <w:rsid w:val="001460FA"/>
    <w:rsid w:val="001471A7"/>
    <w:rsid w:val="001472CA"/>
    <w:rsid w:val="001476B2"/>
    <w:rsid w:val="00147B8E"/>
    <w:rsid w:val="00147F65"/>
    <w:rsid w:val="0015004D"/>
    <w:rsid w:val="001504FF"/>
    <w:rsid w:val="00150510"/>
    <w:rsid w:val="00150738"/>
    <w:rsid w:val="00150C80"/>
    <w:rsid w:val="001510F3"/>
    <w:rsid w:val="0015188D"/>
    <w:rsid w:val="00151AAF"/>
    <w:rsid w:val="00151F20"/>
    <w:rsid w:val="00152425"/>
    <w:rsid w:val="00153076"/>
    <w:rsid w:val="0015355E"/>
    <w:rsid w:val="001535C8"/>
    <w:rsid w:val="00153D36"/>
    <w:rsid w:val="00153DC5"/>
    <w:rsid w:val="00154011"/>
    <w:rsid w:val="0015420B"/>
    <w:rsid w:val="00154675"/>
    <w:rsid w:val="00155836"/>
    <w:rsid w:val="0015729B"/>
    <w:rsid w:val="00157563"/>
    <w:rsid w:val="00157638"/>
    <w:rsid w:val="00157D05"/>
    <w:rsid w:val="00157EB3"/>
    <w:rsid w:val="00160928"/>
    <w:rsid w:val="001609A9"/>
    <w:rsid w:val="001613FC"/>
    <w:rsid w:val="00162066"/>
    <w:rsid w:val="001622E0"/>
    <w:rsid w:val="00162E71"/>
    <w:rsid w:val="00163CC1"/>
    <w:rsid w:val="00163FEA"/>
    <w:rsid w:val="001643C1"/>
    <w:rsid w:val="0016482F"/>
    <w:rsid w:val="001655F2"/>
    <w:rsid w:val="00165B2F"/>
    <w:rsid w:val="00165F54"/>
    <w:rsid w:val="00165F80"/>
    <w:rsid w:val="001661FA"/>
    <w:rsid w:val="00166D12"/>
    <w:rsid w:val="0016729B"/>
    <w:rsid w:val="00170075"/>
    <w:rsid w:val="0017148E"/>
    <w:rsid w:val="00171988"/>
    <w:rsid w:val="001720AD"/>
    <w:rsid w:val="00172CFE"/>
    <w:rsid w:val="00175C00"/>
    <w:rsid w:val="00175C41"/>
    <w:rsid w:val="00176911"/>
    <w:rsid w:val="00176948"/>
    <w:rsid w:val="0017739D"/>
    <w:rsid w:val="0017777A"/>
    <w:rsid w:val="00177792"/>
    <w:rsid w:val="00177CF8"/>
    <w:rsid w:val="00180124"/>
    <w:rsid w:val="0018086A"/>
    <w:rsid w:val="00180872"/>
    <w:rsid w:val="0018096F"/>
    <w:rsid w:val="001819A4"/>
    <w:rsid w:val="00182834"/>
    <w:rsid w:val="00182CC0"/>
    <w:rsid w:val="0018305D"/>
    <w:rsid w:val="001857EC"/>
    <w:rsid w:val="0018628E"/>
    <w:rsid w:val="001867B9"/>
    <w:rsid w:val="00186B02"/>
    <w:rsid w:val="001876FC"/>
    <w:rsid w:val="00187F00"/>
    <w:rsid w:val="00190446"/>
    <w:rsid w:val="00190454"/>
    <w:rsid w:val="00190615"/>
    <w:rsid w:val="0019115B"/>
    <w:rsid w:val="001913AC"/>
    <w:rsid w:val="00191525"/>
    <w:rsid w:val="00191A84"/>
    <w:rsid w:val="00192A69"/>
    <w:rsid w:val="001937F2"/>
    <w:rsid w:val="00193A71"/>
    <w:rsid w:val="001941B0"/>
    <w:rsid w:val="001949CF"/>
    <w:rsid w:val="00194F42"/>
    <w:rsid w:val="001953BD"/>
    <w:rsid w:val="00196481"/>
    <w:rsid w:val="001970E6"/>
    <w:rsid w:val="00197CA8"/>
    <w:rsid w:val="00197F95"/>
    <w:rsid w:val="001A04C4"/>
    <w:rsid w:val="001A1F4B"/>
    <w:rsid w:val="001A2063"/>
    <w:rsid w:val="001A24A0"/>
    <w:rsid w:val="001A2578"/>
    <w:rsid w:val="001A29B1"/>
    <w:rsid w:val="001A3057"/>
    <w:rsid w:val="001A364A"/>
    <w:rsid w:val="001A3B05"/>
    <w:rsid w:val="001A3DD6"/>
    <w:rsid w:val="001A3F83"/>
    <w:rsid w:val="001A45FE"/>
    <w:rsid w:val="001A4F6B"/>
    <w:rsid w:val="001A547B"/>
    <w:rsid w:val="001A5A92"/>
    <w:rsid w:val="001A697A"/>
    <w:rsid w:val="001A71E4"/>
    <w:rsid w:val="001A740D"/>
    <w:rsid w:val="001A7712"/>
    <w:rsid w:val="001A7EBB"/>
    <w:rsid w:val="001B0147"/>
    <w:rsid w:val="001B080A"/>
    <w:rsid w:val="001B1AF1"/>
    <w:rsid w:val="001B22F1"/>
    <w:rsid w:val="001B2786"/>
    <w:rsid w:val="001B289F"/>
    <w:rsid w:val="001B2D4C"/>
    <w:rsid w:val="001B3178"/>
    <w:rsid w:val="001B3722"/>
    <w:rsid w:val="001B42B7"/>
    <w:rsid w:val="001B4868"/>
    <w:rsid w:val="001B48EE"/>
    <w:rsid w:val="001B4C2E"/>
    <w:rsid w:val="001B5155"/>
    <w:rsid w:val="001B58C8"/>
    <w:rsid w:val="001B594E"/>
    <w:rsid w:val="001B5ABA"/>
    <w:rsid w:val="001B5B57"/>
    <w:rsid w:val="001B61DB"/>
    <w:rsid w:val="001B642B"/>
    <w:rsid w:val="001B71A8"/>
    <w:rsid w:val="001B7232"/>
    <w:rsid w:val="001B79BE"/>
    <w:rsid w:val="001B7DCF"/>
    <w:rsid w:val="001B7EDF"/>
    <w:rsid w:val="001C0273"/>
    <w:rsid w:val="001C035D"/>
    <w:rsid w:val="001C0479"/>
    <w:rsid w:val="001C124B"/>
    <w:rsid w:val="001C13C5"/>
    <w:rsid w:val="001C1788"/>
    <w:rsid w:val="001C2819"/>
    <w:rsid w:val="001C29BA"/>
    <w:rsid w:val="001C2A63"/>
    <w:rsid w:val="001C2B89"/>
    <w:rsid w:val="001C2BDE"/>
    <w:rsid w:val="001C2E6E"/>
    <w:rsid w:val="001C2F91"/>
    <w:rsid w:val="001C3B4C"/>
    <w:rsid w:val="001C3BEE"/>
    <w:rsid w:val="001C461A"/>
    <w:rsid w:val="001C51DC"/>
    <w:rsid w:val="001C5E21"/>
    <w:rsid w:val="001C67A1"/>
    <w:rsid w:val="001C7E98"/>
    <w:rsid w:val="001C7F6A"/>
    <w:rsid w:val="001D09C2"/>
    <w:rsid w:val="001D0BCB"/>
    <w:rsid w:val="001D0C0B"/>
    <w:rsid w:val="001D1230"/>
    <w:rsid w:val="001D12CB"/>
    <w:rsid w:val="001D1454"/>
    <w:rsid w:val="001D18DD"/>
    <w:rsid w:val="001D1D88"/>
    <w:rsid w:val="001D21EC"/>
    <w:rsid w:val="001D231F"/>
    <w:rsid w:val="001D33D6"/>
    <w:rsid w:val="001D3D08"/>
    <w:rsid w:val="001D4258"/>
    <w:rsid w:val="001D48A3"/>
    <w:rsid w:val="001D4C9B"/>
    <w:rsid w:val="001D5813"/>
    <w:rsid w:val="001D5C1E"/>
    <w:rsid w:val="001D688D"/>
    <w:rsid w:val="001D6ACB"/>
    <w:rsid w:val="001E1777"/>
    <w:rsid w:val="001E1830"/>
    <w:rsid w:val="001E1F3A"/>
    <w:rsid w:val="001E2426"/>
    <w:rsid w:val="001E2856"/>
    <w:rsid w:val="001E30B5"/>
    <w:rsid w:val="001E35CB"/>
    <w:rsid w:val="001E38C0"/>
    <w:rsid w:val="001E4164"/>
    <w:rsid w:val="001E41EF"/>
    <w:rsid w:val="001E430E"/>
    <w:rsid w:val="001E4DF2"/>
    <w:rsid w:val="001E52B5"/>
    <w:rsid w:val="001E5538"/>
    <w:rsid w:val="001E657F"/>
    <w:rsid w:val="001E661D"/>
    <w:rsid w:val="001E6815"/>
    <w:rsid w:val="001E698F"/>
    <w:rsid w:val="001E6E3D"/>
    <w:rsid w:val="001E6F8F"/>
    <w:rsid w:val="001E6FD3"/>
    <w:rsid w:val="001F0540"/>
    <w:rsid w:val="001F08E1"/>
    <w:rsid w:val="001F141A"/>
    <w:rsid w:val="001F1BE2"/>
    <w:rsid w:val="001F24CC"/>
    <w:rsid w:val="001F2C70"/>
    <w:rsid w:val="001F2F1B"/>
    <w:rsid w:val="001F370D"/>
    <w:rsid w:val="001F4510"/>
    <w:rsid w:val="001F4DFD"/>
    <w:rsid w:val="001F5D99"/>
    <w:rsid w:val="001F5E97"/>
    <w:rsid w:val="001F680D"/>
    <w:rsid w:val="001F6D2A"/>
    <w:rsid w:val="001F6DD3"/>
    <w:rsid w:val="001F707C"/>
    <w:rsid w:val="0020023E"/>
    <w:rsid w:val="002012E8"/>
    <w:rsid w:val="00201A13"/>
    <w:rsid w:val="00201C22"/>
    <w:rsid w:val="00201EDE"/>
    <w:rsid w:val="00202909"/>
    <w:rsid w:val="00202A73"/>
    <w:rsid w:val="00203169"/>
    <w:rsid w:val="0020317E"/>
    <w:rsid w:val="00203B94"/>
    <w:rsid w:val="00203B9B"/>
    <w:rsid w:val="00204B9F"/>
    <w:rsid w:val="0020510A"/>
    <w:rsid w:val="0020518E"/>
    <w:rsid w:val="0020548B"/>
    <w:rsid w:val="002059CE"/>
    <w:rsid w:val="00205DE8"/>
    <w:rsid w:val="00206849"/>
    <w:rsid w:val="00206A05"/>
    <w:rsid w:val="00206DD7"/>
    <w:rsid w:val="00206EDF"/>
    <w:rsid w:val="0020736B"/>
    <w:rsid w:val="002078FB"/>
    <w:rsid w:val="002079E3"/>
    <w:rsid w:val="00207D2B"/>
    <w:rsid w:val="00207D2F"/>
    <w:rsid w:val="00207F2E"/>
    <w:rsid w:val="002101C4"/>
    <w:rsid w:val="0021028A"/>
    <w:rsid w:val="002108AE"/>
    <w:rsid w:val="0021091B"/>
    <w:rsid w:val="00211A06"/>
    <w:rsid w:val="00211D80"/>
    <w:rsid w:val="002123F7"/>
    <w:rsid w:val="00212499"/>
    <w:rsid w:val="00213F10"/>
    <w:rsid w:val="0021401E"/>
    <w:rsid w:val="00214570"/>
    <w:rsid w:val="002145F2"/>
    <w:rsid w:val="0021511D"/>
    <w:rsid w:val="002157FE"/>
    <w:rsid w:val="00215F2E"/>
    <w:rsid w:val="00216B6A"/>
    <w:rsid w:val="00217A87"/>
    <w:rsid w:val="00217D8D"/>
    <w:rsid w:val="00217EE1"/>
    <w:rsid w:val="00220222"/>
    <w:rsid w:val="0022058E"/>
    <w:rsid w:val="002208F0"/>
    <w:rsid w:val="002215C0"/>
    <w:rsid w:val="00221845"/>
    <w:rsid w:val="002226DC"/>
    <w:rsid w:val="00222CF9"/>
    <w:rsid w:val="00222EDA"/>
    <w:rsid w:val="00223A15"/>
    <w:rsid w:val="00223E0C"/>
    <w:rsid w:val="002246DE"/>
    <w:rsid w:val="00225010"/>
    <w:rsid w:val="0022589A"/>
    <w:rsid w:val="002259F3"/>
    <w:rsid w:val="00225CED"/>
    <w:rsid w:val="00225FA5"/>
    <w:rsid w:val="0022673C"/>
    <w:rsid w:val="00226828"/>
    <w:rsid w:val="00226974"/>
    <w:rsid w:val="00226FB8"/>
    <w:rsid w:val="0022727D"/>
    <w:rsid w:val="00230B04"/>
    <w:rsid w:val="0023108D"/>
    <w:rsid w:val="00231102"/>
    <w:rsid w:val="00231941"/>
    <w:rsid w:val="00232BA5"/>
    <w:rsid w:val="00233230"/>
    <w:rsid w:val="002333C4"/>
    <w:rsid w:val="00233E02"/>
    <w:rsid w:val="00234213"/>
    <w:rsid w:val="00234430"/>
    <w:rsid w:val="00234F88"/>
    <w:rsid w:val="00234FAD"/>
    <w:rsid w:val="00235171"/>
    <w:rsid w:val="00235757"/>
    <w:rsid w:val="00235BDC"/>
    <w:rsid w:val="0023669F"/>
    <w:rsid w:val="00236C1A"/>
    <w:rsid w:val="0023777A"/>
    <w:rsid w:val="002378B6"/>
    <w:rsid w:val="00237F04"/>
    <w:rsid w:val="002400E9"/>
    <w:rsid w:val="00240433"/>
    <w:rsid w:val="00240C68"/>
    <w:rsid w:val="00240E5D"/>
    <w:rsid w:val="0024133D"/>
    <w:rsid w:val="0024181D"/>
    <w:rsid w:val="00241A74"/>
    <w:rsid w:val="00241C8B"/>
    <w:rsid w:val="002422F3"/>
    <w:rsid w:val="002423EF"/>
    <w:rsid w:val="00242462"/>
    <w:rsid w:val="00242479"/>
    <w:rsid w:val="002428F9"/>
    <w:rsid w:val="00242B11"/>
    <w:rsid w:val="00243B98"/>
    <w:rsid w:val="00244345"/>
    <w:rsid w:val="0024521A"/>
    <w:rsid w:val="00246518"/>
    <w:rsid w:val="002465DA"/>
    <w:rsid w:val="002467FF"/>
    <w:rsid w:val="00247587"/>
    <w:rsid w:val="00250208"/>
    <w:rsid w:val="002502DC"/>
    <w:rsid w:val="00251501"/>
    <w:rsid w:val="00251E9B"/>
    <w:rsid w:val="00252755"/>
    <w:rsid w:val="00252C8C"/>
    <w:rsid w:val="00252DCC"/>
    <w:rsid w:val="0025330A"/>
    <w:rsid w:val="00253646"/>
    <w:rsid w:val="00253B6E"/>
    <w:rsid w:val="002540CB"/>
    <w:rsid w:val="0025530F"/>
    <w:rsid w:val="00255830"/>
    <w:rsid w:val="00255D17"/>
    <w:rsid w:val="00257111"/>
    <w:rsid w:val="002573C3"/>
    <w:rsid w:val="00257504"/>
    <w:rsid w:val="00257D09"/>
    <w:rsid w:val="0026218D"/>
    <w:rsid w:val="00262417"/>
    <w:rsid w:val="002627B4"/>
    <w:rsid w:val="00262D3D"/>
    <w:rsid w:val="002634BD"/>
    <w:rsid w:val="00263D47"/>
    <w:rsid w:val="00264011"/>
    <w:rsid w:val="002646E4"/>
    <w:rsid w:val="0026492C"/>
    <w:rsid w:val="00264D12"/>
    <w:rsid w:val="002661BF"/>
    <w:rsid w:val="0026647B"/>
    <w:rsid w:val="002664CF"/>
    <w:rsid w:val="00266691"/>
    <w:rsid w:val="0026679A"/>
    <w:rsid w:val="00266BE3"/>
    <w:rsid w:val="002671B7"/>
    <w:rsid w:val="00267200"/>
    <w:rsid w:val="0026744B"/>
    <w:rsid w:val="00267BDF"/>
    <w:rsid w:val="00267C4B"/>
    <w:rsid w:val="00270185"/>
    <w:rsid w:val="0027019D"/>
    <w:rsid w:val="002709D2"/>
    <w:rsid w:val="00270DBA"/>
    <w:rsid w:val="00271560"/>
    <w:rsid w:val="0027160C"/>
    <w:rsid w:val="00271EEF"/>
    <w:rsid w:val="0027264C"/>
    <w:rsid w:val="0027296D"/>
    <w:rsid w:val="00272D7C"/>
    <w:rsid w:val="00273232"/>
    <w:rsid w:val="0027347B"/>
    <w:rsid w:val="002744BD"/>
    <w:rsid w:val="00275B3D"/>
    <w:rsid w:val="00275DE9"/>
    <w:rsid w:val="00276092"/>
    <w:rsid w:val="00277A2D"/>
    <w:rsid w:val="00280649"/>
    <w:rsid w:val="00281716"/>
    <w:rsid w:val="002818D6"/>
    <w:rsid w:val="00282544"/>
    <w:rsid w:val="00282CF2"/>
    <w:rsid w:val="002854C3"/>
    <w:rsid w:val="00285596"/>
    <w:rsid w:val="00285EC6"/>
    <w:rsid w:val="00286597"/>
    <w:rsid w:val="00286DFB"/>
    <w:rsid w:val="0028783D"/>
    <w:rsid w:val="00287EF9"/>
    <w:rsid w:val="0029015D"/>
    <w:rsid w:val="00290635"/>
    <w:rsid w:val="0029127E"/>
    <w:rsid w:val="00291367"/>
    <w:rsid w:val="00291412"/>
    <w:rsid w:val="0029204B"/>
    <w:rsid w:val="002922A5"/>
    <w:rsid w:val="00293768"/>
    <w:rsid w:val="00293D1E"/>
    <w:rsid w:val="002959EC"/>
    <w:rsid w:val="00295AD2"/>
    <w:rsid w:val="0029630E"/>
    <w:rsid w:val="00296AF7"/>
    <w:rsid w:val="00297185"/>
    <w:rsid w:val="00297E20"/>
    <w:rsid w:val="002A05B9"/>
    <w:rsid w:val="002A118C"/>
    <w:rsid w:val="002A13EB"/>
    <w:rsid w:val="002A191D"/>
    <w:rsid w:val="002A1B37"/>
    <w:rsid w:val="002A1E6A"/>
    <w:rsid w:val="002A29C4"/>
    <w:rsid w:val="002A3CAE"/>
    <w:rsid w:val="002A4003"/>
    <w:rsid w:val="002A400A"/>
    <w:rsid w:val="002A41D3"/>
    <w:rsid w:val="002A4A00"/>
    <w:rsid w:val="002A4D16"/>
    <w:rsid w:val="002A56BC"/>
    <w:rsid w:val="002A5ED9"/>
    <w:rsid w:val="002A6807"/>
    <w:rsid w:val="002A6A16"/>
    <w:rsid w:val="002A70C8"/>
    <w:rsid w:val="002A7A3A"/>
    <w:rsid w:val="002A7A9F"/>
    <w:rsid w:val="002A7D12"/>
    <w:rsid w:val="002B0D4A"/>
    <w:rsid w:val="002B126B"/>
    <w:rsid w:val="002B142A"/>
    <w:rsid w:val="002B14E0"/>
    <w:rsid w:val="002B1734"/>
    <w:rsid w:val="002B191B"/>
    <w:rsid w:val="002B2271"/>
    <w:rsid w:val="002B2730"/>
    <w:rsid w:val="002B2810"/>
    <w:rsid w:val="002B2D32"/>
    <w:rsid w:val="002B2F55"/>
    <w:rsid w:val="002B4606"/>
    <w:rsid w:val="002B4DF5"/>
    <w:rsid w:val="002B523C"/>
    <w:rsid w:val="002B5445"/>
    <w:rsid w:val="002B58F8"/>
    <w:rsid w:val="002B5D4A"/>
    <w:rsid w:val="002B6106"/>
    <w:rsid w:val="002B61F8"/>
    <w:rsid w:val="002B7485"/>
    <w:rsid w:val="002C128E"/>
    <w:rsid w:val="002C1CD1"/>
    <w:rsid w:val="002C2097"/>
    <w:rsid w:val="002C2632"/>
    <w:rsid w:val="002C29D0"/>
    <w:rsid w:val="002C2EB2"/>
    <w:rsid w:val="002C3866"/>
    <w:rsid w:val="002C3DEB"/>
    <w:rsid w:val="002C4AFA"/>
    <w:rsid w:val="002C4F30"/>
    <w:rsid w:val="002C596C"/>
    <w:rsid w:val="002C5C62"/>
    <w:rsid w:val="002C6657"/>
    <w:rsid w:val="002C7097"/>
    <w:rsid w:val="002C7A6D"/>
    <w:rsid w:val="002C7C0A"/>
    <w:rsid w:val="002C7E2F"/>
    <w:rsid w:val="002D01C7"/>
    <w:rsid w:val="002D21CA"/>
    <w:rsid w:val="002D30B6"/>
    <w:rsid w:val="002D3B32"/>
    <w:rsid w:val="002D3BCC"/>
    <w:rsid w:val="002D3D8C"/>
    <w:rsid w:val="002D52D0"/>
    <w:rsid w:val="002D544E"/>
    <w:rsid w:val="002D567D"/>
    <w:rsid w:val="002D6287"/>
    <w:rsid w:val="002D6E2F"/>
    <w:rsid w:val="002D789E"/>
    <w:rsid w:val="002D7AEC"/>
    <w:rsid w:val="002D7CD3"/>
    <w:rsid w:val="002D7EC0"/>
    <w:rsid w:val="002E0458"/>
    <w:rsid w:val="002E071A"/>
    <w:rsid w:val="002E10D6"/>
    <w:rsid w:val="002E2085"/>
    <w:rsid w:val="002E27CD"/>
    <w:rsid w:val="002E3A9A"/>
    <w:rsid w:val="002E3B72"/>
    <w:rsid w:val="002E41D8"/>
    <w:rsid w:val="002E447E"/>
    <w:rsid w:val="002E45BB"/>
    <w:rsid w:val="002E51D2"/>
    <w:rsid w:val="002E53F0"/>
    <w:rsid w:val="002E54CE"/>
    <w:rsid w:val="002E59FC"/>
    <w:rsid w:val="002E5D06"/>
    <w:rsid w:val="002E638A"/>
    <w:rsid w:val="002E70CB"/>
    <w:rsid w:val="002E7B71"/>
    <w:rsid w:val="002F05A5"/>
    <w:rsid w:val="002F06E3"/>
    <w:rsid w:val="002F14C8"/>
    <w:rsid w:val="002F3AF6"/>
    <w:rsid w:val="002F40F3"/>
    <w:rsid w:val="002F47FA"/>
    <w:rsid w:val="002F4C62"/>
    <w:rsid w:val="002F5775"/>
    <w:rsid w:val="002F67C5"/>
    <w:rsid w:val="0030035D"/>
    <w:rsid w:val="00300868"/>
    <w:rsid w:val="003016AD"/>
    <w:rsid w:val="00304565"/>
    <w:rsid w:val="00305105"/>
    <w:rsid w:val="0030614A"/>
    <w:rsid w:val="00306369"/>
    <w:rsid w:val="00307C59"/>
    <w:rsid w:val="00307FC1"/>
    <w:rsid w:val="003102E1"/>
    <w:rsid w:val="00310E55"/>
    <w:rsid w:val="00311C86"/>
    <w:rsid w:val="00312440"/>
    <w:rsid w:val="0031253D"/>
    <w:rsid w:val="00312F12"/>
    <w:rsid w:val="00313774"/>
    <w:rsid w:val="00314DE6"/>
    <w:rsid w:val="00315CE5"/>
    <w:rsid w:val="003160A2"/>
    <w:rsid w:val="00316361"/>
    <w:rsid w:val="00316893"/>
    <w:rsid w:val="00316C77"/>
    <w:rsid w:val="00316EEA"/>
    <w:rsid w:val="00317E86"/>
    <w:rsid w:val="00317ED5"/>
    <w:rsid w:val="003201F8"/>
    <w:rsid w:val="00321B66"/>
    <w:rsid w:val="003223A4"/>
    <w:rsid w:val="00322476"/>
    <w:rsid w:val="00323D8C"/>
    <w:rsid w:val="00324109"/>
    <w:rsid w:val="00324A4B"/>
    <w:rsid w:val="00325B91"/>
    <w:rsid w:val="00325E77"/>
    <w:rsid w:val="00326270"/>
    <w:rsid w:val="003270EC"/>
    <w:rsid w:val="00327616"/>
    <w:rsid w:val="00327C44"/>
    <w:rsid w:val="003303B0"/>
    <w:rsid w:val="0033053D"/>
    <w:rsid w:val="003309BA"/>
    <w:rsid w:val="003313C5"/>
    <w:rsid w:val="0033144D"/>
    <w:rsid w:val="00331592"/>
    <w:rsid w:val="00332195"/>
    <w:rsid w:val="003321CD"/>
    <w:rsid w:val="00332376"/>
    <w:rsid w:val="0033313D"/>
    <w:rsid w:val="00333337"/>
    <w:rsid w:val="00333B32"/>
    <w:rsid w:val="0033478D"/>
    <w:rsid w:val="00334E44"/>
    <w:rsid w:val="003353DC"/>
    <w:rsid w:val="00335C5D"/>
    <w:rsid w:val="00335E10"/>
    <w:rsid w:val="00336CE7"/>
    <w:rsid w:val="00336DF6"/>
    <w:rsid w:val="00337D08"/>
    <w:rsid w:val="00340036"/>
    <w:rsid w:val="00340078"/>
    <w:rsid w:val="00341630"/>
    <w:rsid w:val="003421CD"/>
    <w:rsid w:val="00342310"/>
    <w:rsid w:val="00342D10"/>
    <w:rsid w:val="003437C0"/>
    <w:rsid w:val="003447F6"/>
    <w:rsid w:val="003451F5"/>
    <w:rsid w:val="00345C5A"/>
    <w:rsid w:val="0034629B"/>
    <w:rsid w:val="003464B6"/>
    <w:rsid w:val="003467BF"/>
    <w:rsid w:val="003469C5"/>
    <w:rsid w:val="0034756D"/>
    <w:rsid w:val="003478ED"/>
    <w:rsid w:val="003478FC"/>
    <w:rsid w:val="003506C0"/>
    <w:rsid w:val="00350EEA"/>
    <w:rsid w:val="00352210"/>
    <w:rsid w:val="00353739"/>
    <w:rsid w:val="003546F8"/>
    <w:rsid w:val="00354E5A"/>
    <w:rsid w:val="00354FE3"/>
    <w:rsid w:val="003552AA"/>
    <w:rsid w:val="003568B5"/>
    <w:rsid w:val="00356A89"/>
    <w:rsid w:val="00357203"/>
    <w:rsid w:val="003573A3"/>
    <w:rsid w:val="00357728"/>
    <w:rsid w:val="00357821"/>
    <w:rsid w:val="00357B8C"/>
    <w:rsid w:val="0036009B"/>
    <w:rsid w:val="003602BD"/>
    <w:rsid w:val="00360395"/>
    <w:rsid w:val="00360893"/>
    <w:rsid w:val="00360947"/>
    <w:rsid w:val="00361256"/>
    <w:rsid w:val="003618D7"/>
    <w:rsid w:val="00361E2C"/>
    <w:rsid w:val="003621F4"/>
    <w:rsid w:val="0036227E"/>
    <w:rsid w:val="0036256B"/>
    <w:rsid w:val="00364357"/>
    <w:rsid w:val="00364366"/>
    <w:rsid w:val="003643C7"/>
    <w:rsid w:val="00365038"/>
    <w:rsid w:val="00365678"/>
    <w:rsid w:val="00366129"/>
    <w:rsid w:val="00366275"/>
    <w:rsid w:val="00366E16"/>
    <w:rsid w:val="00366E46"/>
    <w:rsid w:val="00367D69"/>
    <w:rsid w:val="00367E0E"/>
    <w:rsid w:val="003700B7"/>
    <w:rsid w:val="00370656"/>
    <w:rsid w:val="003711EF"/>
    <w:rsid w:val="003724B3"/>
    <w:rsid w:val="00372C7C"/>
    <w:rsid w:val="00372C7E"/>
    <w:rsid w:val="00372E40"/>
    <w:rsid w:val="00373593"/>
    <w:rsid w:val="0037384F"/>
    <w:rsid w:val="00373903"/>
    <w:rsid w:val="00374173"/>
    <w:rsid w:val="003743AC"/>
    <w:rsid w:val="003744B6"/>
    <w:rsid w:val="00374F5E"/>
    <w:rsid w:val="003753AB"/>
    <w:rsid w:val="00375656"/>
    <w:rsid w:val="0037613A"/>
    <w:rsid w:val="00376330"/>
    <w:rsid w:val="00376335"/>
    <w:rsid w:val="003765B2"/>
    <w:rsid w:val="00376627"/>
    <w:rsid w:val="00376721"/>
    <w:rsid w:val="003767AF"/>
    <w:rsid w:val="00377927"/>
    <w:rsid w:val="003808F7"/>
    <w:rsid w:val="00381CBD"/>
    <w:rsid w:val="00381D29"/>
    <w:rsid w:val="00382391"/>
    <w:rsid w:val="003825EF"/>
    <w:rsid w:val="0038264B"/>
    <w:rsid w:val="00382E3D"/>
    <w:rsid w:val="0038357D"/>
    <w:rsid w:val="003837F6"/>
    <w:rsid w:val="00383B67"/>
    <w:rsid w:val="00384028"/>
    <w:rsid w:val="00384120"/>
    <w:rsid w:val="003843B6"/>
    <w:rsid w:val="00386319"/>
    <w:rsid w:val="003865BB"/>
    <w:rsid w:val="00386677"/>
    <w:rsid w:val="003870D9"/>
    <w:rsid w:val="0038781A"/>
    <w:rsid w:val="003878F0"/>
    <w:rsid w:val="00391599"/>
    <w:rsid w:val="00391601"/>
    <w:rsid w:val="00391664"/>
    <w:rsid w:val="0039178C"/>
    <w:rsid w:val="00393BA5"/>
    <w:rsid w:val="00393CE3"/>
    <w:rsid w:val="00394750"/>
    <w:rsid w:val="003948EA"/>
    <w:rsid w:val="00394A73"/>
    <w:rsid w:val="00394AA3"/>
    <w:rsid w:val="003950E4"/>
    <w:rsid w:val="003954B6"/>
    <w:rsid w:val="0039597A"/>
    <w:rsid w:val="00395BEB"/>
    <w:rsid w:val="00396205"/>
    <w:rsid w:val="0039672D"/>
    <w:rsid w:val="00396E38"/>
    <w:rsid w:val="003971CC"/>
    <w:rsid w:val="003971E1"/>
    <w:rsid w:val="003978A4"/>
    <w:rsid w:val="00397F89"/>
    <w:rsid w:val="003A03AC"/>
    <w:rsid w:val="003A05EF"/>
    <w:rsid w:val="003A0E83"/>
    <w:rsid w:val="003A1877"/>
    <w:rsid w:val="003A2000"/>
    <w:rsid w:val="003A24BB"/>
    <w:rsid w:val="003A32EE"/>
    <w:rsid w:val="003A3AC2"/>
    <w:rsid w:val="003A3DA3"/>
    <w:rsid w:val="003A4469"/>
    <w:rsid w:val="003A4EF1"/>
    <w:rsid w:val="003A5070"/>
    <w:rsid w:val="003A5216"/>
    <w:rsid w:val="003A57C9"/>
    <w:rsid w:val="003A5996"/>
    <w:rsid w:val="003A6856"/>
    <w:rsid w:val="003A69FD"/>
    <w:rsid w:val="003A6C53"/>
    <w:rsid w:val="003A6FD8"/>
    <w:rsid w:val="003A7F38"/>
    <w:rsid w:val="003B1074"/>
    <w:rsid w:val="003B2170"/>
    <w:rsid w:val="003B31C5"/>
    <w:rsid w:val="003B321A"/>
    <w:rsid w:val="003B337D"/>
    <w:rsid w:val="003B3670"/>
    <w:rsid w:val="003B3CCB"/>
    <w:rsid w:val="003B3CF2"/>
    <w:rsid w:val="003B4AFA"/>
    <w:rsid w:val="003B504C"/>
    <w:rsid w:val="003B537E"/>
    <w:rsid w:val="003B544E"/>
    <w:rsid w:val="003B5B74"/>
    <w:rsid w:val="003B68E1"/>
    <w:rsid w:val="003B6F32"/>
    <w:rsid w:val="003B7209"/>
    <w:rsid w:val="003B7513"/>
    <w:rsid w:val="003B7B34"/>
    <w:rsid w:val="003C0700"/>
    <w:rsid w:val="003C0B76"/>
    <w:rsid w:val="003C0E81"/>
    <w:rsid w:val="003C1580"/>
    <w:rsid w:val="003C165E"/>
    <w:rsid w:val="003C1BAB"/>
    <w:rsid w:val="003C1CA4"/>
    <w:rsid w:val="003C20AB"/>
    <w:rsid w:val="003C2333"/>
    <w:rsid w:val="003C320E"/>
    <w:rsid w:val="003C3C3B"/>
    <w:rsid w:val="003C3E7A"/>
    <w:rsid w:val="003C4006"/>
    <w:rsid w:val="003C4B7A"/>
    <w:rsid w:val="003C4EDF"/>
    <w:rsid w:val="003C53D7"/>
    <w:rsid w:val="003C5BFE"/>
    <w:rsid w:val="003C6AEC"/>
    <w:rsid w:val="003D0033"/>
    <w:rsid w:val="003D0734"/>
    <w:rsid w:val="003D074E"/>
    <w:rsid w:val="003D09FE"/>
    <w:rsid w:val="003D0EB2"/>
    <w:rsid w:val="003D1EB6"/>
    <w:rsid w:val="003D2F97"/>
    <w:rsid w:val="003D31BC"/>
    <w:rsid w:val="003D3BE0"/>
    <w:rsid w:val="003D4714"/>
    <w:rsid w:val="003D4E70"/>
    <w:rsid w:val="003D51D4"/>
    <w:rsid w:val="003D546F"/>
    <w:rsid w:val="003D548E"/>
    <w:rsid w:val="003D54FD"/>
    <w:rsid w:val="003D5A08"/>
    <w:rsid w:val="003D6FFD"/>
    <w:rsid w:val="003D7851"/>
    <w:rsid w:val="003D788B"/>
    <w:rsid w:val="003E0707"/>
    <w:rsid w:val="003E0A49"/>
    <w:rsid w:val="003E19BA"/>
    <w:rsid w:val="003E277A"/>
    <w:rsid w:val="003E2AA6"/>
    <w:rsid w:val="003E371E"/>
    <w:rsid w:val="003E38DA"/>
    <w:rsid w:val="003E38FD"/>
    <w:rsid w:val="003E3918"/>
    <w:rsid w:val="003E3D39"/>
    <w:rsid w:val="003E420D"/>
    <w:rsid w:val="003E5C62"/>
    <w:rsid w:val="003E5F2A"/>
    <w:rsid w:val="003E61D4"/>
    <w:rsid w:val="003E632B"/>
    <w:rsid w:val="003E63DC"/>
    <w:rsid w:val="003E7C96"/>
    <w:rsid w:val="003F09D3"/>
    <w:rsid w:val="003F0EE5"/>
    <w:rsid w:val="003F29FD"/>
    <w:rsid w:val="003F2BB3"/>
    <w:rsid w:val="003F32CA"/>
    <w:rsid w:val="003F3357"/>
    <w:rsid w:val="003F42F4"/>
    <w:rsid w:val="003F4EBA"/>
    <w:rsid w:val="003F50D8"/>
    <w:rsid w:val="003F5973"/>
    <w:rsid w:val="003F718F"/>
    <w:rsid w:val="00400E4E"/>
    <w:rsid w:val="00401C46"/>
    <w:rsid w:val="00401C73"/>
    <w:rsid w:val="00401CB2"/>
    <w:rsid w:val="00402CD8"/>
    <w:rsid w:val="00402DE4"/>
    <w:rsid w:val="0040324C"/>
    <w:rsid w:val="00403EAD"/>
    <w:rsid w:val="004044F7"/>
    <w:rsid w:val="00404563"/>
    <w:rsid w:val="00404E2E"/>
    <w:rsid w:val="00405BB4"/>
    <w:rsid w:val="00406725"/>
    <w:rsid w:val="00406FC4"/>
    <w:rsid w:val="00407420"/>
    <w:rsid w:val="00407C71"/>
    <w:rsid w:val="00410628"/>
    <w:rsid w:val="004106EE"/>
    <w:rsid w:val="00410AC2"/>
    <w:rsid w:val="004120EF"/>
    <w:rsid w:val="0041228F"/>
    <w:rsid w:val="0041290C"/>
    <w:rsid w:val="00413368"/>
    <w:rsid w:val="00413662"/>
    <w:rsid w:val="00413DAF"/>
    <w:rsid w:val="00414D61"/>
    <w:rsid w:val="00414E8C"/>
    <w:rsid w:val="0041582A"/>
    <w:rsid w:val="004160C2"/>
    <w:rsid w:val="004165D6"/>
    <w:rsid w:val="0041688A"/>
    <w:rsid w:val="00416C10"/>
    <w:rsid w:val="00416C2A"/>
    <w:rsid w:val="00416CD6"/>
    <w:rsid w:val="00416FA9"/>
    <w:rsid w:val="00416FD6"/>
    <w:rsid w:val="00417C88"/>
    <w:rsid w:val="004213BC"/>
    <w:rsid w:val="00421702"/>
    <w:rsid w:val="00422051"/>
    <w:rsid w:val="004233DE"/>
    <w:rsid w:val="004234E6"/>
    <w:rsid w:val="00423612"/>
    <w:rsid w:val="00423775"/>
    <w:rsid w:val="00423C07"/>
    <w:rsid w:val="00423C6D"/>
    <w:rsid w:val="00423D05"/>
    <w:rsid w:val="00424132"/>
    <w:rsid w:val="00424599"/>
    <w:rsid w:val="0042460D"/>
    <w:rsid w:val="00424BCB"/>
    <w:rsid w:val="00425133"/>
    <w:rsid w:val="004257B4"/>
    <w:rsid w:val="00425940"/>
    <w:rsid w:val="00425E82"/>
    <w:rsid w:val="00426067"/>
    <w:rsid w:val="00426212"/>
    <w:rsid w:val="0042662C"/>
    <w:rsid w:val="00426649"/>
    <w:rsid w:val="00426AD6"/>
    <w:rsid w:val="00427595"/>
    <w:rsid w:val="0042785E"/>
    <w:rsid w:val="004279C1"/>
    <w:rsid w:val="0043000F"/>
    <w:rsid w:val="00430D04"/>
    <w:rsid w:val="0043213C"/>
    <w:rsid w:val="00433BD6"/>
    <w:rsid w:val="00433F61"/>
    <w:rsid w:val="00434587"/>
    <w:rsid w:val="00436380"/>
    <w:rsid w:val="00436C7D"/>
    <w:rsid w:val="004408D9"/>
    <w:rsid w:val="004415BA"/>
    <w:rsid w:val="00441EE7"/>
    <w:rsid w:val="00442A19"/>
    <w:rsid w:val="00442BBB"/>
    <w:rsid w:val="00442F50"/>
    <w:rsid w:val="00444178"/>
    <w:rsid w:val="004448E7"/>
    <w:rsid w:val="00444D45"/>
    <w:rsid w:val="004459B4"/>
    <w:rsid w:val="00445C0D"/>
    <w:rsid w:val="00447049"/>
    <w:rsid w:val="0044775A"/>
    <w:rsid w:val="004479B6"/>
    <w:rsid w:val="00447D1D"/>
    <w:rsid w:val="00447E2C"/>
    <w:rsid w:val="00447EF1"/>
    <w:rsid w:val="00447F2A"/>
    <w:rsid w:val="00450323"/>
    <w:rsid w:val="00450B24"/>
    <w:rsid w:val="00450FB9"/>
    <w:rsid w:val="004510EF"/>
    <w:rsid w:val="0045126A"/>
    <w:rsid w:val="00451B05"/>
    <w:rsid w:val="004522A3"/>
    <w:rsid w:val="004534BC"/>
    <w:rsid w:val="00454195"/>
    <w:rsid w:val="00455A0F"/>
    <w:rsid w:val="004564FE"/>
    <w:rsid w:val="00456C6C"/>
    <w:rsid w:val="00460DEC"/>
    <w:rsid w:val="004612E0"/>
    <w:rsid w:val="00461FF7"/>
    <w:rsid w:val="004626B0"/>
    <w:rsid w:val="0046297E"/>
    <w:rsid w:val="00462D85"/>
    <w:rsid w:val="00463012"/>
    <w:rsid w:val="0046391C"/>
    <w:rsid w:val="0046405D"/>
    <w:rsid w:val="0046447F"/>
    <w:rsid w:val="00464DB2"/>
    <w:rsid w:val="00464EDC"/>
    <w:rsid w:val="00465010"/>
    <w:rsid w:val="0046584F"/>
    <w:rsid w:val="004664A7"/>
    <w:rsid w:val="00466C5F"/>
    <w:rsid w:val="00467167"/>
    <w:rsid w:val="00467F88"/>
    <w:rsid w:val="0047007F"/>
    <w:rsid w:val="00470970"/>
    <w:rsid w:val="00470B84"/>
    <w:rsid w:val="00470D4B"/>
    <w:rsid w:val="00471270"/>
    <w:rsid w:val="00471346"/>
    <w:rsid w:val="00471366"/>
    <w:rsid w:val="00472012"/>
    <w:rsid w:val="0047216F"/>
    <w:rsid w:val="00472603"/>
    <w:rsid w:val="00472CB9"/>
    <w:rsid w:val="0047386C"/>
    <w:rsid w:val="004740E6"/>
    <w:rsid w:val="004749C4"/>
    <w:rsid w:val="00474CA5"/>
    <w:rsid w:val="0047555D"/>
    <w:rsid w:val="0047559B"/>
    <w:rsid w:val="00480280"/>
    <w:rsid w:val="0048089C"/>
    <w:rsid w:val="00480B36"/>
    <w:rsid w:val="004815F0"/>
    <w:rsid w:val="00481F8F"/>
    <w:rsid w:val="0048213F"/>
    <w:rsid w:val="00482206"/>
    <w:rsid w:val="004828CB"/>
    <w:rsid w:val="00482E95"/>
    <w:rsid w:val="0048343E"/>
    <w:rsid w:val="00483454"/>
    <w:rsid w:val="0048401B"/>
    <w:rsid w:val="0048456C"/>
    <w:rsid w:val="004851A0"/>
    <w:rsid w:val="0048563A"/>
    <w:rsid w:val="00485829"/>
    <w:rsid w:val="00485C87"/>
    <w:rsid w:val="0048614F"/>
    <w:rsid w:val="00486AC2"/>
    <w:rsid w:val="004870F7"/>
    <w:rsid w:val="00490F50"/>
    <w:rsid w:val="0049104C"/>
    <w:rsid w:val="00491439"/>
    <w:rsid w:val="004920BB"/>
    <w:rsid w:val="0049269F"/>
    <w:rsid w:val="004926D3"/>
    <w:rsid w:val="00492A6B"/>
    <w:rsid w:val="00492C1D"/>
    <w:rsid w:val="0049377F"/>
    <w:rsid w:val="00493B6A"/>
    <w:rsid w:val="00493E0D"/>
    <w:rsid w:val="00493FFD"/>
    <w:rsid w:val="004953E4"/>
    <w:rsid w:val="00496357"/>
    <w:rsid w:val="00496967"/>
    <w:rsid w:val="00496EE2"/>
    <w:rsid w:val="00497583"/>
    <w:rsid w:val="00497CA0"/>
    <w:rsid w:val="004A05D4"/>
    <w:rsid w:val="004A2656"/>
    <w:rsid w:val="004A2CE5"/>
    <w:rsid w:val="004A33F2"/>
    <w:rsid w:val="004A3644"/>
    <w:rsid w:val="004A3764"/>
    <w:rsid w:val="004A397C"/>
    <w:rsid w:val="004A42CD"/>
    <w:rsid w:val="004A4A9D"/>
    <w:rsid w:val="004A4B60"/>
    <w:rsid w:val="004A4C6A"/>
    <w:rsid w:val="004A4D5A"/>
    <w:rsid w:val="004A51F5"/>
    <w:rsid w:val="004A5737"/>
    <w:rsid w:val="004A584B"/>
    <w:rsid w:val="004A5FDD"/>
    <w:rsid w:val="004A7296"/>
    <w:rsid w:val="004A7D27"/>
    <w:rsid w:val="004B070F"/>
    <w:rsid w:val="004B102F"/>
    <w:rsid w:val="004B21DD"/>
    <w:rsid w:val="004B284D"/>
    <w:rsid w:val="004B35F8"/>
    <w:rsid w:val="004B3A13"/>
    <w:rsid w:val="004B3FCD"/>
    <w:rsid w:val="004B5856"/>
    <w:rsid w:val="004B5EFE"/>
    <w:rsid w:val="004B7E30"/>
    <w:rsid w:val="004C032C"/>
    <w:rsid w:val="004C0363"/>
    <w:rsid w:val="004C0371"/>
    <w:rsid w:val="004C0CA9"/>
    <w:rsid w:val="004C0F9A"/>
    <w:rsid w:val="004C15A5"/>
    <w:rsid w:val="004C1732"/>
    <w:rsid w:val="004C1FD6"/>
    <w:rsid w:val="004C384E"/>
    <w:rsid w:val="004C3AB3"/>
    <w:rsid w:val="004C3F27"/>
    <w:rsid w:val="004C4025"/>
    <w:rsid w:val="004C40C8"/>
    <w:rsid w:val="004C4A27"/>
    <w:rsid w:val="004C5670"/>
    <w:rsid w:val="004C7F5A"/>
    <w:rsid w:val="004D0982"/>
    <w:rsid w:val="004D0988"/>
    <w:rsid w:val="004D0B46"/>
    <w:rsid w:val="004D11DD"/>
    <w:rsid w:val="004D170E"/>
    <w:rsid w:val="004D2235"/>
    <w:rsid w:val="004D2BD7"/>
    <w:rsid w:val="004D3030"/>
    <w:rsid w:val="004D33D8"/>
    <w:rsid w:val="004D3688"/>
    <w:rsid w:val="004D5034"/>
    <w:rsid w:val="004D58D0"/>
    <w:rsid w:val="004D6D39"/>
    <w:rsid w:val="004D71B3"/>
    <w:rsid w:val="004D71FE"/>
    <w:rsid w:val="004D7413"/>
    <w:rsid w:val="004D74A8"/>
    <w:rsid w:val="004D79AF"/>
    <w:rsid w:val="004D7A8D"/>
    <w:rsid w:val="004E01C8"/>
    <w:rsid w:val="004E0F37"/>
    <w:rsid w:val="004E1ADC"/>
    <w:rsid w:val="004E3AA7"/>
    <w:rsid w:val="004E54B9"/>
    <w:rsid w:val="004E558F"/>
    <w:rsid w:val="004E5B50"/>
    <w:rsid w:val="004E67E3"/>
    <w:rsid w:val="004E6DD1"/>
    <w:rsid w:val="004E6ED4"/>
    <w:rsid w:val="004E7FE7"/>
    <w:rsid w:val="004F010D"/>
    <w:rsid w:val="004F0477"/>
    <w:rsid w:val="004F0EDC"/>
    <w:rsid w:val="004F14E7"/>
    <w:rsid w:val="004F1998"/>
    <w:rsid w:val="004F27CD"/>
    <w:rsid w:val="004F2BE0"/>
    <w:rsid w:val="004F310B"/>
    <w:rsid w:val="004F3128"/>
    <w:rsid w:val="004F3FD9"/>
    <w:rsid w:val="004F4D27"/>
    <w:rsid w:val="004F4D5F"/>
    <w:rsid w:val="004F5145"/>
    <w:rsid w:val="004F5214"/>
    <w:rsid w:val="004F5710"/>
    <w:rsid w:val="004F5ECB"/>
    <w:rsid w:val="004F6038"/>
    <w:rsid w:val="004F60DD"/>
    <w:rsid w:val="004F61C5"/>
    <w:rsid w:val="004F6C55"/>
    <w:rsid w:val="004F6EBA"/>
    <w:rsid w:val="004F7AB0"/>
    <w:rsid w:val="00500449"/>
    <w:rsid w:val="005005EA"/>
    <w:rsid w:val="00500862"/>
    <w:rsid w:val="00500DD1"/>
    <w:rsid w:val="00500FD4"/>
    <w:rsid w:val="005013E4"/>
    <w:rsid w:val="0050169E"/>
    <w:rsid w:val="00501F1E"/>
    <w:rsid w:val="005029AE"/>
    <w:rsid w:val="00502DF3"/>
    <w:rsid w:val="005034DA"/>
    <w:rsid w:val="0050367F"/>
    <w:rsid w:val="00503CD1"/>
    <w:rsid w:val="00503F9F"/>
    <w:rsid w:val="0050412A"/>
    <w:rsid w:val="00504135"/>
    <w:rsid w:val="005051FE"/>
    <w:rsid w:val="005053A7"/>
    <w:rsid w:val="00505F69"/>
    <w:rsid w:val="005069CD"/>
    <w:rsid w:val="005103F1"/>
    <w:rsid w:val="005104E1"/>
    <w:rsid w:val="005107D9"/>
    <w:rsid w:val="005110DD"/>
    <w:rsid w:val="005111C1"/>
    <w:rsid w:val="00511491"/>
    <w:rsid w:val="0051152F"/>
    <w:rsid w:val="00511DF6"/>
    <w:rsid w:val="00512562"/>
    <w:rsid w:val="00512781"/>
    <w:rsid w:val="00513991"/>
    <w:rsid w:val="00513FCE"/>
    <w:rsid w:val="00514190"/>
    <w:rsid w:val="005151D9"/>
    <w:rsid w:val="00515F34"/>
    <w:rsid w:val="00516046"/>
    <w:rsid w:val="005177E8"/>
    <w:rsid w:val="0052021C"/>
    <w:rsid w:val="00522147"/>
    <w:rsid w:val="00523C6C"/>
    <w:rsid w:val="00523E2F"/>
    <w:rsid w:val="00523EBE"/>
    <w:rsid w:val="005247EF"/>
    <w:rsid w:val="00525F52"/>
    <w:rsid w:val="0052603D"/>
    <w:rsid w:val="00526808"/>
    <w:rsid w:val="00526E37"/>
    <w:rsid w:val="005271F7"/>
    <w:rsid w:val="005274CA"/>
    <w:rsid w:val="00527B8E"/>
    <w:rsid w:val="00527D2A"/>
    <w:rsid w:val="0053089C"/>
    <w:rsid w:val="00530A2E"/>
    <w:rsid w:val="00530B05"/>
    <w:rsid w:val="00531273"/>
    <w:rsid w:val="00531391"/>
    <w:rsid w:val="005313D2"/>
    <w:rsid w:val="00531A44"/>
    <w:rsid w:val="00532259"/>
    <w:rsid w:val="00532A4B"/>
    <w:rsid w:val="00532D52"/>
    <w:rsid w:val="005331CF"/>
    <w:rsid w:val="00533503"/>
    <w:rsid w:val="0053354A"/>
    <w:rsid w:val="00533B95"/>
    <w:rsid w:val="005344AC"/>
    <w:rsid w:val="00535EF5"/>
    <w:rsid w:val="005369ED"/>
    <w:rsid w:val="00536EA6"/>
    <w:rsid w:val="00537793"/>
    <w:rsid w:val="005379EE"/>
    <w:rsid w:val="00537DC8"/>
    <w:rsid w:val="0054065E"/>
    <w:rsid w:val="00542280"/>
    <w:rsid w:val="00542C98"/>
    <w:rsid w:val="00543C69"/>
    <w:rsid w:val="00544B80"/>
    <w:rsid w:val="00545B02"/>
    <w:rsid w:val="00546B83"/>
    <w:rsid w:val="005471FC"/>
    <w:rsid w:val="005474D3"/>
    <w:rsid w:val="00547529"/>
    <w:rsid w:val="005476BD"/>
    <w:rsid w:val="00547A15"/>
    <w:rsid w:val="0055056E"/>
    <w:rsid w:val="00551B16"/>
    <w:rsid w:val="00551CA6"/>
    <w:rsid w:val="00551E91"/>
    <w:rsid w:val="00552F4A"/>
    <w:rsid w:val="00554570"/>
    <w:rsid w:val="005546A9"/>
    <w:rsid w:val="00555173"/>
    <w:rsid w:val="005553A4"/>
    <w:rsid w:val="0055575B"/>
    <w:rsid w:val="00556DEB"/>
    <w:rsid w:val="00557806"/>
    <w:rsid w:val="0055793B"/>
    <w:rsid w:val="005608C7"/>
    <w:rsid w:val="005625D0"/>
    <w:rsid w:val="0056262A"/>
    <w:rsid w:val="00562A0D"/>
    <w:rsid w:val="00562A48"/>
    <w:rsid w:val="00562EDC"/>
    <w:rsid w:val="00562F30"/>
    <w:rsid w:val="00563809"/>
    <w:rsid w:val="00563DDF"/>
    <w:rsid w:val="005642C7"/>
    <w:rsid w:val="00564914"/>
    <w:rsid w:val="00564A4C"/>
    <w:rsid w:val="005653FE"/>
    <w:rsid w:val="00565B0B"/>
    <w:rsid w:val="005666B2"/>
    <w:rsid w:val="00566A71"/>
    <w:rsid w:val="00566B23"/>
    <w:rsid w:val="00566DA9"/>
    <w:rsid w:val="005670B5"/>
    <w:rsid w:val="00567619"/>
    <w:rsid w:val="0057035A"/>
    <w:rsid w:val="005707EF"/>
    <w:rsid w:val="00570D71"/>
    <w:rsid w:val="00570DBC"/>
    <w:rsid w:val="00571396"/>
    <w:rsid w:val="005713E0"/>
    <w:rsid w:val="00573C9E"/>
    <w:rsid w:val="00573E2D"/>
    <w:rsid w:val="00574408"/>
    <w:rsid w:val="00574F6D"/>
    <w:rsid w:val="00575319"/>
    <w:rsid w:val="00576FFF"/>
    <w:rsid w:val="00577E86"/>
    <w:rsid w:val="00577F5B"/>
    <w:rsid w:val="00580067"/>
    <w:rsid w:val="00580721"/>
    <w:rsid w:val="0058076E"/>
    <w:rsid w:val="00580AA6"/>
    <w:rsid w:val="005816D0"/>
    <w:rsid w:val="0058183F"/>
    <w:rsid w:val="00582074"/>
    <w:rsid w:val="005836F2"/>
    <w:rsid w:val="00584185"/>
    <w:rsid w:val="005842EE"/>
    <w:rsid w:val="00584A07"/>
    <w:rsid w:val="00584F93"/>
    <w:rsid w:val="00585213"/>
    <w:rsid w:val="005858D7"/>
    <w:rsid w:val="00585F63"/>
    <w:rsid w:val="00586ADB"/>
    <w:rsid w:val="005870BD"/>
    <w:rsid w:val="005878BD"/>
    <w:rsid w:val="005903D4"/>
    <w:rsid w:val="00591139"/>
    <w:rsid w:val="00592B94"/>
    <w:rsid w:val="00592EE0"/>
    <w:rsid w:val="0059309F"/>
    <w:rsid w:val="005933F3"/>
    <w:rsid w:val="00593873"/>
    <w:rsid w:val="00593C60"/>
    <w:rsid w:val="0059476F"/>
    <w:rsid w:val="00594EA2"/>
    <w:rsid w:val="005951B6"/>
    <w:rsid w:val="005954C5"/>
    <w:rsid w:val="0059552A"/>
    <w:rsid w:val="00595628"/>
    <w:rsid w:val="00595793"/>
    <w:rsid w:val="005957C3"/>
    <w:rsid w:val="00595943"/>
    <w:rsid w:val="00596161"/>
    <w:rsid w:val="00596987"/>
    <w:rsid w:val="00596D9E"/>
    <w:rsid w:val="005A0100"/>
    <w:rsid w:val="005A1748"/>
    <w:rsid w:val="005A3565"/>
    <w:rsid w:val="005A37A4"/>
    <w:rsid w:val="005A3B58"/>
    <w:rsid w:val="005A43A4"/>
    <w:rsid w:val="005A466A"/>
    <w:rsid w:val="005A4BB8"/>
    <w:rsid w:val="005A50D5"/>
    <w:rsid w:val="005A5945"/>
    <w:rsid w:val="005A61FD"/>
    <w:rsid w:val="005A680E"/>
    <w:rsid w:val="005A681D"/>
    <w:rsid w:val="005A6AEC"/>
    <w:rsid w:val="005A6E54"/>
    <w:rsid w:val="005A6F5F"/>
    <w:rsid w:val="005A76C4"/>
    <w:rsid w:val="005A79BB"/>
    <w:rsid w:val="005B23D9"/>
    <w:rsid w:val="005B2C55"/>
    <w:rsid w:val="005B2F30"/>
    <w:rsid w:val="005B2F5B"/>
    <w:rsid w:val="005B3010"/>
    <w:rsid w:val="005B3FD0"/>
    <w:rsid w:val="005B466B"/>
    <w:rsid w:val="005B48A2"/>
    <w:rsid w:val="005B5061"/>
    <w:rsid w:val="005B5BEC"/>
    <w:rsid w:val="005B5FF7"/>
    <w:rsid w:val="005B74F3"/>
    <w:rsid w:val="005C029E"/>
    <w:rsid w:val="005C0C8B"/>
    <w:rsid w:val="005C1969"/>
    <w:rsid w:val="005C1BF9"/>
    <w:rsid w:val="005C2545"/>
    <w:rsid w:val="005C2DB0"/>
    <w:rsid w:val="005C3428"/>
    <w:rsid w:val="005C3973"/>
    <w:rsid w:val="005C3B47"/>
    <w:rsid w:val="005C40BC"/>
    <w:rsid w:val="005C4697"/>
    <w:rsid w:val="005C58EE"/>
    <w:rsid w:val="005C5C83"/>
    <w:rsid w:val="005C6C1E"/>
    <w:rsid w:val="005C75B3"/>
    <w:rsid w:val="005C7A5D"/>
    <w:rsid w:val="005C7FBB"/>
    <w:rsid w:val="005D0250"/>
    <w:rsid w:val="005D04A4"/>
    <w:rsid w:val="005D1425"/>
    <w:rsid w:val="005D1497"/>
    <w:rsid w:val="005D1897"/>
    <w:rsid w:val="005D1E2A"/>
    <w:rsid w:val="005D2389"/>
    <w:rsid w:val="005D23CB"/>
    <w:rsid w:val="005D401E"/>
    <w:rsid w:val="005D53E0"/>
    <w:rsid w:val="005D5EE5"/>
    <w:rsid w:val="005D639E"/>
    <w:rsid w:val="005D67A5"/>
    <w:rsid w:val="005D6ADA"/>
    <w:rsid w:val="005D6E22"/>
    <w:rsid w:val="005D7EAC"/>
    <w:rsid w:val="005E01EF"/>
    <w:rsid w:val="005E09AF"/>
    <w:rsid w:val="005E0BB1"/>
    <w:rsid w:val="005E0E5D"/>
    <w:rsid w:val="005E1D29"/>
    <w:rsid w:val="005E1E27"/>
    <w:rsid w:val="005E21F4"/>
    <w:rsid w:val="005E317C"/>
    <w:rsid w:val="005E34F2"/>
    <w:rsid w:val="005E40C2"/>
    <w:rsid w:val="005E4B28"/>
    <w:rsid w:val="005E4BF8"/>
    <w:rsid w:val="005E4F85"/>
    <w:rsid w:val="005E5265"/>
    <w:rsid w:val="005E58BD"/>
    <w:rsid w:val="005E6DD4"/>
    <w:rsid w:val="005E792C"/>
    <w:rsid w:val="005F0777"/>
    <w:rsid w:val="005F0BF6"/>
    <w:rsid w:val="005F11C1"/>
    <w:rsid w:val="005F1203"/>
    <w:rsid w:val="005F1CAE"/>
    <w:rsid w:val="005F22CB"/>
    <w:rsid w:val="005F3E29"/>
    <w:rsid w:val="005F4B2A"/>
    <w:rsid w:val="005F4CDC"/>
    <w:rsid w:val="005F5478"/>
    <w:rsid w:val="005F5BE2"/>
    <w:rsid w:val="005F5C2E"/>
    <w:rsid w:val="005F64ED"/>
    <w:rsid w:val="006001E8"/>
    <w:rsid w:val="006002C8"/>
    <w:rsid w:val="00601133"/>
    <w:rsid w:val="006013EE"/>
    <w:rsid w:val="00601D42"/>
    <w:rsid w:val="00602399"/>
    <w:rsid w:val="00602C03"/>
    <w:rsid w:val="00602EF8"/>
    <w:rsid w:val="0060305C"/>
    <w:rsid w:val="006047E4"/>
    <w:rsid w:val="00605933"/>
    <w:rsid w:val="00606201"/>
    <w:rsid w:val="00606960"/>
    <w:rsid w:val="00606B0E"/>
    <w:rsid w:val="00606EAA"/>
    <w:rsid w:val="00610D64"/>
    <w:rsid w:val="00610F73"/>
    <w:rsid w:val="00612B6F"/>
    <w:rsid w:val="00613AC1"/>
    <w:rsid w:val="00614554"/>
    <w:rsid w:val="00614FC4"/>
    <w:rsid w:val="006152BF"/>
    <w:rsid w:val="00615D48"/>
    <w:rsid w:val="00615E9A"/>
    <w:rsid w:val="00615F18"/>
    <w:rsid w:val="00616476"/>
    <w:rsid w:val="006164EB"/>
    <w:rsid w:val="006168AB"/>
    <w:rsid w:val="00616CD0"/>
    <w:rsid w:val="0061798D"/>
    <w:rsid w:val="00617F41"/>
    <w:rsid w:val="00620E79"/>
    <w:rsid w:val="006213D5"/>
    <w:rsid w:val="0062174E"/>
    <w:rsid w:val="00622CDB"/>
    <w:rsid w:val="0062333A"/>
    <w:rsid w:val="00623D69"/>
    <w:rsid w:val="006247B6"/>
    <w:rsid w:val="00625179"/>
    <w:rsid w:val="00625215"/>
    <w:rsid w:val="00625496"/>
    <w:rsid w:val="00625539"/>
    <w:rsid w:val="006261BD"/>
    <w:rsid w:val="00627780"/>
    <w:rsid w:val="0063042B"/>
    <w:rsid w:val="00630D12"/>
    <w:rsid w:val="00630D86"/>
    <w:rsid w:val="00630DA0"/>
    <w:rsid w:val="006310DC"/>
    <w:rsid w:val="00631322"/>
    <w:rsid w:val="00631C1D"/>
    <w:rsid w:val="00633665"/>
    <w:rsid w:val="006341D6"/>
    <w:rsid w:val="006354E8"/>
    <w:rsid w:val="006356C4"/>
    <w:rsid w:val="00636040"/>
    <w:rsid w:val="00637397"/>
    <w:rsid w:val="006400F5"/>
    <w:rsid w:val="00641C57"/>
    <w:rsid w:val="00641CDE"/>
    <w:rsid w:val="0064243A"/>
    <w:rsid w:val="00643261"/>
    <w:rsid w:val="0064574E"/>
    <w:rsid w:val="00646032"/>
    <w:rsid w:val="00646A27"/>
    <w:rsid w:val="00647007"/>
    <w:rsid w:val="00647DB4"/>
    <w:rsid w:val="00647DB7"/>
    <w:rsid w:val="00647FC3"/>
    <w:rsid w:val="0065004F"/>
    <w:rsid w:val="006502A6"/>
    <w:rsid w:val="0065073D"/>
    <w:rsid w:val="0065189A"/>
    <w:rsid w:val="00652247"/>
    <w:rsid w:val="00652400"/>
    <w:rsid w:val="00652920"/>
    <w:rsid w:val="00652BCE"/>
    <w:rsid w:val="00653B04"/>
    <w:rsid w:val="00653D2B"/>
    <w:rsid w:val="006541C1"/>
    <w:rsid w:val="00654799"/>
    <w:rsid w:val="00655077"/>
    <w:rsid w:val="0065542D"/>
    <w:rsid w:val="006559A3"/>
    <w:rsid w:val="00655DCA"/>
    <w:rsid w:val="006568AA"/>
    <w:rsid w:val="00656C6E"/>
    <w:rsid w:val="00656EF4"/>
    <w:rsid w:val="00657330"/>
    <w:rsid w:val="00657721"/>
    <w:rsid w:val="00657E84"/>
    <w:rsid w:val="00660DEE"/>
    <w:rsid w:val="00661B45"/>
    <w:rsid w:val="00661BCB"/>
    <w:rsid w:val="0066241B"/>
    <w:rsid w:val="0066313F"/>
    <w:rsid w:val="00664795"/>
    <w:rsid w:val="00664A32"/>
    <w:rsid w:val="00664F1B"/>
    <w:rsid w:val="00664FA4"/>
    <w:rsid w:val="0066504A"/>
    <w:rsid w:val="0066590A"/>
    <w:rsid w:val="00666053"/>
    <w:rsid w:val="00666349"/>
    <w:rsid w:val="00666D0F"/>
    <w:rsid w:val="0066774D"/>
    <w:rsid w:val="00667DD3"/>
    <w:rsid w:val="006705BF"/>
    <w:rsid w:val="00670889"/>
    <w:rsid w:val="00671E28"/>
    <w:rsid w:val="006725E6"/>
    <w:rsid w:val="00672BFB"/>
    <w:rsid w:val="0067348D"/>
    <w:rsid w:val="00673971"/>
    <w:rsid w:val="00673BFC"/>
    <w:rsid w:val="006747BF"/>
    <w:rsid w:val="006749A8"/>
    <w:rsid w:val="006751FB"/>
    <w:rsid w:val="00675AFF"/>
    <w:rsid w:val="0067642D"/>
    <w:rsid w:val="00676888"/>
    <w:rsid w:val="00677EBB"/>
    <w:rsid w:val="00680768"/>
    <w:rsid w:val="0068092C"/>
    <w:rsid w:val="00681DA5"/>
    <w:rsid w:val="00682D05"/>
    <w:rsid w:val="00682E36"/>
    <w:rsid w:val="00683A85"/>
    <w:rsid w:val="00683EA7"/>
    <w:rsid w:val="006847F1"/>
    <w:rsid w:val="00684874"/>
    <w:rsid w:val="00684AD0"/>
    <w:rsid w:val="006868D2"/>
    <w:rsid w:val="00686A5F"/>
    <w:rsid w:val="00687847"/>
    <w:rsid w:val="00687C1A"/>
    <w:rsid w:val="006902FB"/>
    <w:rsid w:val="0069059B"/>
    <w:rsid w:val="00690620"/>
    <w:rsid w:val="00691108"/>
    <w:rsid w:val="00691396"/>
    <w:rsid w:val="00691DDF"/>
    <w:rsid w:val="00692105"/>
    <w:rsid w:val="00692148"/>
    <w:rsid w:val="006925B6"/>
    <w:rsid w:val="00692BED"/>
    <w:rsid w:val="006943C3"/>
    <w:rsid w:val="0069459E"/>
    <w:rsid w:val="00694832"/>
    <w:rsid w:val="0069501D"/>
    <w:rsid w:val="00696578"/>
    <w:rsid w:val="006966C0"/>
    <w:rsid w:val="006968C1"/>
    <w:rsid w:val="0069742D"/>
    <w:rsid w:val="006978CB"/>
    <w:rsid w:val="00697B5C"/>
    <w:rsid w:val="006A118C"/>
    <w:rsid w:val="006A1BC9"/>
    <w:rsid w:val="006A2151"/>
    <w:rsid w:val="006A36FD"/>
    <w:rsid w:val="006A4DAD"/>
    <w:rsid w:val="006A622B"/>
    <w:rsid w:val="006A62F6"/>
    <w:rsid w:val="006A64C3"/>
    <w:rsid w:val="006B0719"/>
    <w:rsid w:val="006B0AD9"/>
    <w:rsid w:val="006B0CE6"/>
    <w:rsid w:val="006B1C94"/>
    <w:rsid w:val="006B2232"/>
    <w:rsid w:val="006B2662"/>
    <w:rsid w:val="006B2BB4"/>
    <w:rsid w:val="006B2D8C"/>
    <w:rsid w:val="006B3D49"/>
    <w:rsid w:val="006B4351"/>
    <w:rsid w:val="006B4460"/>
    <w:rsid w:val="006B446C"/>
    <w:rsid w:val="006B4E87"/>
    <w:rsid w:val="006B6141"/>
    <w:rsid w:val="006B6691"/>
    <w:rsid w:val="006B734B"/>
    <w:rsid w:val="006B7705"/>
    <w:rsid w:val="006B7F47"/>
    <w:rsid w:val="006C040F"/>
    <w:rsid w:val="006C1494"/>
    <w:rsid w:val="006C16C8"/>
    <w:rsid w:val="006C18C5"/>
    <w:rsid w:val="006C1F20"/>
    <w:rsid w:val="006C1FA0"/>
    <w:rsid w:val="006C22F1"/>
    <w:rsid w:val="006C2D55"/>
    <w:rsid w:val="006C3331"/>
    <w:rsid w:val="006C334A"/>
    <w:rsid w:val="006C3700"/>
    <w:rsid w:val="006C3E1F"/>
    <w:rsid w:val="006C4809"/>
    <w:rsid w:val="006C4A90"/>
    <w:rsid w:val="006C5086"/>
    <w:rsid w:val="006C5B92"/>
    <w:rsid w:val="006C5C39"/>
    <w:rsid w:val="006C5DD9"/>
    <w:rsid w:val="006C6527"/>
    <w:rsid w:val="006C6B2B"/>
    <w:rsid w:val="006C7079"/>
    <w:rsid w:val="006C72DA"/>
    <w:rsid w:val="006D03B2"/>
    <w:rsid w:val="006D0408"/>
    <w:rsid w:val="006D1085"/>
    <w:rsid w:val="006D24E1"/>
    <w:rsid w:val="006D3123"/>
    <w:rsid w:val="006D4316"/>
    <w:rsid w:val="006D4A4D"/>
    <w:rsid w:val="006D521F"/>
    <w:rsid w:val="006D67AD"/>
    <w:rsid w:val="006D6FDF"/>
    <w:rsid w:val="006D7D4C"/>
    <w:rsid w:val="006E0F78"/>
    <w:rsid w:val="006E165C"/>
    <w:rsid w:val="006E1F03"/>
    <w:rsid w:val="006E298C"/>
    <w:rsid w:val="006E3577"/>
    <w:rsid w:val="006E3A97"/>
    <w:rsid w:val="006E3D97"/>
    <w:rsid w:val="006E4B35"/>
    <w:rsid w:val="006E5DF4"/>
    <w:rsid w:val="006E782C"/>
    <w:rsid w:val="006E7F46"/>
    <w:rsid w:val="006F0513"/>
    <w:rsid w:val="006F1564"/>
    <w:rsid w:val="006F18F6"/>
    <w:rsid w:val="006F1C65"/>
    <w:rsid w:val="006F214E"/>
    <w:rsid w:val="006F227D"/>
    <w:rsid w:val="006F2649"/>
    <w:rsid w:val="006F3493"/>
    <w:rsid w:val="006F3B5E"/>
    <w:rsid w:val="006F4038"/>
    <w:rsid w:val="006F46B6"/>
    <w:rsid w:val="006F4AD1"/>
    <w:rsid w:val="006F4CEB"/>
    <w:rsid w:val="006F5664"/>
    <w:rsid w:val="006F7148"/>
    <w:rsid w:val="006F773D"/>
    <w:rsid w:val="006F7C7A"/>
    <w:rsid w:val="007001BF"/>
    <w:rsid w:val="00700E19"/>
    <w:rsid w:val="00701F64"/>
    <w:rsid w:val="00702304"/>
    <w:rsid w:val="00703018"/>
    <w:rsid w:val="00703100"/>
    <w:rsid w:val="007033FE"/>
    <w:rsid w:val="007039A6"/>
    <w:rsid w:val="007041F9"/>
    <w:rsid w:val="007046F8"/>
    <w:rsid w:val="00706C24"/>
    <w:rsid w:val="00706C67"/>
    <w:rsid w:val="00706E70"/>
    <w:rsid w:val="00706EB4"/>
    <w:rsid w:val="00707CDB"/>
    <w:rsid w:val="00707E5C"/>
    <w:rsid w:val="00710ACA"/>
    <w:rsid w:val="00711310"/>
    <w:rsid w:val="00712098"/>
    <w:rsid w:val="00712580"/>
    <w:rsid w:val="007127A8"/>
    <w:rsid w:val="0071282E"/>
    <w:rsid w:val="00714FC6"/>
    <w:rsid w:val="007158F4"/>
    <w:rsid w:val="007161DE"/>
    <w:rsid w:val="007200B8"/>
    <w:rsid w:val="007205B6"/>
    <w:rsid w:val="00721051"/>
    <w:rsid w:val="00721441"/>
    <w:rsid w:val="00721F95"/>
    <w:rsid w:val="00721FB2"/>
    <w:rsid w:val="00722536"/>
    <w:rsid w:val="007228DD"/>
    <w:rsid w:val="00722E16"/>
    <w:rsid w:val="00722F6B"/>
    <w:rsid w:val="007232D0"/>
    <w:rsid w:val="00724370"/>
    <w:rsid w:val="0072449F"/>
    <w:rsid w:val="00725643"/>
    <w:rsid w:val="00725696"/>
    <w:rsid w:val="007275C1"/>
    <w:rsid w:val="007278EC"/>
    <w:rsid w:val="00730999"/>
    <w:rsid w:val="00731628"/>
    <w:rsid w:val="00732063"/>
    <w:rsid w:val="0073245B"/>
    <w:rsid w:val="00732577"/>
    <w:rsid w:val="007326BE"/>
    <w:rsid w:val="00732FA9"/>
    <w:rsid w:val="0073470C"/>
    <w:rsid w:val="00734845"/>
    <w:rsid w:val="00734CBC"/>
    <w:rsid w:val="00734D0F"/>
    <w:rsid w:val="00736EBC"/>
    <w:rsid w:val="00737048"/>
    <w:rsid w:val="00737220"/>
    <w:rsid w:val="00737317"/>
    <w:rsid w:val="00737D6B"/>
    <w:rsid w:val="00740C9D"/>
    <w:rsid w:val="00741811"/>
    <w:rsid w:val="0074222C"/>
    <w:rsid w:val="00742978"/>
    <w:rsid w:val="00743ED5"/>
    <w:rsid w:val="007447AD"/>
    <w:rsid w:val="0074482F"/>
    <w:rsid w:val="0074527D"/>
    <w:rsid w:val="00745F83"/>
    <w:rsid w:val="00746279"/>
    <w:rsid w:val="0074773A"/>
    <w:rsid w:val="00747BFB"/>
    <w:rsid w:val="00747C8F"/>
    <w:rsid w:val="0075046D"/>
    <w:rsid w:val="007508AD"/>
    <w:rsid w:val="00750F0B"/>
    <w:rsid w:val="0075134D"/>
    <w:rsid w:val="00751C97"/>
    <w:rsid w:val="007521FE"/>
    <w:rsid w:val="00752A2D"/>
    <w:rsid w:val="00753A8F"/>
    <w:rsid w:val="00753FBF"/>
    <w:rsid w:val="0075480E"/>
    <w:rsid w:val="00754CF2"/>
    <w:rsid w:val="00755110"/>
    <w:rsid w:val="00755D89"/>
    <w:rsid w:val="00755F1F"/>
    <w:rsid w:val="00755F34"/>
    <w:rsid w:val="0075668B"/>
    <w:rsid w:val="007572A4"/>
    <w:rsid w:val="00757675"/>
    <w:rsid w:val="007577B1"/>
    <w:rsid w:val="00760FA5"/>
    <w:rsid w:val="007610C6"/>
    <w:rsid w:val="007612BC"/>
    <w:rsid w:val="007622B6"/>
    <w:rsid w:val="007623D0"/>
    <w:rsid w:val="00762B6B"/>
    <w:rsid w:val="00762BD1"/>
    <w:rsid w:val="0076388D"/>
    <w:rsid w:val="00764129"/>
    <w:rsid w:val="00764D0D"/>
    <w:rsid w:val="00765199"/>
    <w:rsid w:val="00765BD4"/>
    <w:rsid w:val="00766FE4"/>
    <w:rsid w:val="0076764C"/>
    <w:rsid w:val="0076FE4A"/>
    <w:rsid w:val="00770096"/>
    <w:rsid w:val="0077012F"/>
    <w:rsid w:val="007703C7"/>
    <w:rsid w:val="00771252"/>
    <w:rsid w:val="007715D6"/>
    <w:rsid w:val="00771CB8"/>
    <w:rsid w:val="00771CC7"/>
    <w:rsid w:val="00772860"/>
    <w:rsid w:val="0077293E"/>
    <w:rsid w:val="0077385F"/>
    <w:rsid w:val="00774520"/>
    <w:rsid w:val="00774C31"/>
    <w:rsid w:val="00774C40"/>
    <w:rsid w:val="00775325"/>
    <w:rsid w:val="0077574C"/>
    <w:rsid w:val="00775AB6"/>
    <w:rsid w:val="007763F6"/>
    <w:rsid w:val="007776C8"/>
    <w:rsid w:val="00777C10"/>
    <w:rsid w:val="00780043"/>
    <w:rsid w:val="00780B86"/>
    <w:rsid w:val="00780C74"/>
    <w:rsid w:val="00780EAE"/>
    <w:rsid w:val="00781359"/>
    <w:rsid w:val="00781822"/>
    <w:rsid w:val="00781B63"/>
    <w:rsid w:val="00782276"/>
    <w:rsid w:val="00785D96"/>
    <w:rsid w:val="007863A4"/>
    <w:rsid w:val="0078640F"/>
    <w:rsid w:val="00787DEE"/>
    <w:rsid w:val="00787FDA"/>
    <w:rsid w:val="00790339"/>
    <w:rsid w:val="0079068D"/>
    <w:rsid w:val="0079090F"/>
    <w:rsid w:val="00790DC1"/>
    <w:rsid w:val="00791275"/>
    <w:rsid w:val="007913DD"/>
    <w:rsid w:val="00791FF6"/>
    <w:rsid w:val="0079212C"/>
    <w:rsid w:val="00792C5B"/>
    <w:rsid w:val="00792F0C"/>
    <w:rsid w:val="00792F98"/>
    <w:rsid w:val="00793D83"/>
    <w:rsid w:val="007943BA"/>
    <w:rsid w:val="00794FFF"/>
    <w:rsid w:val="00795A22"/>
    <w:rsid w:val="00795B2C"/>
    <w:rsid w:val="00795C9E"/>
    <w:rsid w:val="00795DF8"/>
    <w:rsid w:val="00797A00"/>
    <w:rsid w:val="007A054C"/>
    <w:rsid w:val="007A0C20"/>
    <w:rsid w:val="007A0E55"/>
    <w:rsid w:val="007A15C2"/>
    <w:rsid w:val="007A15F6"/>
    <w:rsid w:val="007A1972"/>
    <w:rsid w:val="007A1B14"/>
    <w:rsid w:val="007A1C8F"/>
    <w:rsid w:val="007A1FE8"/>
    <w:rsid w:val="007A2F50"/>
    <w:rsid w:val="007A393B"/>
    <w:rsid w:val="007A3D5F"/>
    <w:rsid w:val="007A417A"/>
    <w:rsid w:val="007A41F5"/>
    <w:rsid w:val="007A45D1"/>
    <w:rsid w:val="007A4B94"/>
    <w:rsid w:val="007A4CD8"/>
    <w:rsid w:val="007A5714"/>
    <w:rsid w:val="007A617F"/>
    <w:rsid w:val="007A6F0A"/>
    <w:rsid w:val="007A7023"/>
    <w:rsid w:val="007A71F5"/>
    <w:rsid w:val="007A792F"/>
    <w:rsid w:val="007A7BE2"/>
    <w:rsid w:val="007B05DB"/>
    <w:rsid w:val="007B08D2"/>
    <w:rsid w:val="007B1672"/>
    <w:rsid w:val="007B16EA"/>
    <w:rsid w:val="007B185B"/>
    <w:rsid w:val="007B266A"/>
    <w:rsid w:val="007B28B4"/>
    <w:rsid w:val="007B2ED8"/>
    <w:rsid w:val="007B315D"/>
    <w:rsid w:val="007B3960"/>
    <w:rsid w:val="007B5147"/>
    <w:rsid w:val="007B528D"/>
    <w:rsid w:val="007B5A52"/>
    <w:rsid w:val="007B6342"/>
    <w:rsid w:val="007B6828"/>
    <w:rsid w:val="007B6A11"/>
    <w:rsid w:val="007B70DE"/>
    <w:rsid w:val="007B7AB5"/>
    <w:rsid w:val="007B7F36"/>
    <w:rsid w:val="007C006F"/>
    <w:rsid w:val="007C0357"/>
    <w:rsid w:val="007C0A86"/>
    <w:rsid w:val="007C1433"/>
    <w:rsid w:val="007C1C18"/>
    <w:rsid w:val="007C1C7B"/>
    <w:rsid w:val="007C208D"/>
    <w:rsid w:val="007C246D"/>
    <w:rsid w:val="007C34E6"/>
    <w:rsid w:val="007C463A"/>
    <w:rsid w:val="007C5BA0"/>
    <w:rsid w:val="007C5D13"/>
    <w:rsid w:val="007C6250"/>
    <w:rsid w:val="007C6D8D"/>
    <w:rsid w:val="007C707A"/>
    <w:rsid w:val="007C76B5"/>
    <w:rsid w:val="007D0181"/>
    <w:rsid w:val="007D0B33"/>
    <w:rsid w:val="007D0DBF"/>
    <w:rsid w:val="007D1473"/>
    <w:rsid w:val="007D1F17"/>
    <w:rsid w:val="007D234A"/>
    <w:rsid w:val="007D2E3F"/>
    <w:rsid w:val="007D31EE"/>
    <w:rsid w:val="007D3548"/>
    <w:rsid w:val="007D3875"/>
    <w:rsid w:val="007D3EE5"/>
    <w:rsid w:val="007D52CD"/>
    <w:rsid w:val="007D531B"/>
    <w:rsid w:val="007D53C6"/>
    <w:rsid w:val="007D5AEF"/>
    <w:rsid w:val="007D5E46"/>
    <w:rsid w:val="007D6350"/>
    <w:rsid w:val="007D6DCC"/>
    <w:rsid w:val="007D7137"/>
    <w:rsid w:val="007D76D3"/>
    <w:rsid w:val="007D76E1"/>
    <w:rsid w:val="007D7BED"/>
    <w:rsid w:val="007D7F6D"/>
    <w:rsid w:val="007E0204"/>
    <w:rsid w:val="007E03FE"/>
    <w:rsid w:val="007E1572"/>
    <w:rsid w:val="007E239A"/>
    <w:rsid w:val="007E2DA6"/>
    <w:rsid w:val="007E32DE"/>
    <w:rsid w:val="007E388C"/>
    <w:rsid w:val="007E3D81"/>
    <w:rsid w:val="007E484B"/>
    <w:rsid w:val="007E495D"/>
    <w:rsid w:val="007E4EEA"/>
    <w:rsid w:val="007E6E2E"/>
    <w:rsid w:val="007E713D"/>
    <w:rsid w:val="007E75CB"/>
    <w:rsid w:val="007E7B71"/>
    <w:rsid w:val="007E7F7F"/>
    <w:rsid w:val="007F19FB"/>
    <w:rsid w:val="007F2849"/>
    <w:rsid w:val="007F2D9E"/>
    <w:rsid w:val="007F3DB3"/>
    <w:rsid w:val="007F3EE3"/>
    <w:rsid w:val="007F4AD1"/>
    <w:rsid w:val="007F4CB1"/>
    <w:rsid w:val="007F5BCD"/>
    <w:rsid w:val="007F5BFE"/>
    <w:rsid w:val="007F5DD5"/>
    <w:rsid w:val="007F63A5"/>
    <w:rsid w:val="0080223C"/>
    <w:rsid w:val="008022BD"/>
    <w:rsid w:val="008035F3"/>
    <w:rsid w:val="0080361D"/>
    <w:rsid w:val="00803A50"/>
    <w:rsid w:val="00803B1A"/>
    <w:rsid w:val="00804BA9"/>
    <w:rsid w:val="00804CFE"/>
    <w:rsid w:val="00804E9A"/>
    <w:rsid w:val="008053C7"/>
    <w:rsid w:val="00805798"/>
    <w:rsid w:val="00805C4D"/>
    <w:rsid w:val="00805FAA"/>
    <w:rsid w:val="00806D6C"/>
    <w:rsid w:val="00807B7E"/>
    <w:rsid w:val="00810356"/>
    <w:rsid w:val="00811790"/>
    <w:rsid w:val="00812C47"/>
    <w:rsid w:val="00813BF9"/>
    <w:rsid w:val="00813FFB"/>
    <w:rsid w:val="008144C0"/>
    <w:rsid w:val="00814D53"/>
    <w:rsid w:val="00814DE6"/>
    <w:rsid w:val="0081517D"/>
    <w:rsid w:val="0081625B"/>
    <w:rsid w:val="00816294"/>
    <w:rsid w:val="008172EE"/>
    <w:rsid w:val="00817A37"/>
    <w:rsid w:val="008223E5"/>
    <w:rsid w:val="008225D7"/>
    <w:rsid w:val="008240F1"/>
    <w:rsid w:val="008247FD"/>
    <w:rsid w:val="00824E07"/>
    <w:rsid w:val="008253C8"/>
    <w:rsid w:val="008253FB"/>
    <w:rsid w:val="008263EF"/>
    <w:rsid w:val="008264D3"/>
    <w:rsid w:val="00826AE1"/>
    <w:rsid w:val="00827D5B"/>
    <w:rsid w:val="00830BFD"/>
    <w:rsid w:val="00830C2C"/>
    <w:rsid w:val="00831831"/>
    <w:rsid w:val="0083254E"/>
    <w:rsid w:val="00832555"/>
    <w:rsid w:val="00832B56"/>
    <w:rsid w:val="00832E4C"/>
    <w:rsid w:val="0083315D"/>
    <w:rsid w:val="008336E1"/>
    <w:rsid w:val="008339E7"/>
    <w:rsid w:val="0083408A"/>
    <w:rsid w:val="00834260"/>
    <w:rsid w:val="008351E4"/>
    <w:rsid w:val="008352CB"/>
    <w:rsid w:val="008354F0"/>
    <w:rsid w:val="008355C1"/>
    <w:rsid w:val="008356AC"/>
    <w:rsid w:val="00835856"/>
    <w:rsid w:val="0083640E"/>
    <w:rsid w:val="00836DAE"/>
    <w:rsid w:val="008371F7"/>
    <w:rsid w:val="00837275"/>
    <w:rsid w:val="0083761E"/>
    <w:rsid w:val="00837C51"/>
    <w:rsid w:val="00837F3F"/>
    <w:rsid w:val="00840FC1"/>
    <w:rsid w:val="00841720"/>
    <w:rsid w:val="00841F0C"/>
    <w:rsid w:val="00842006"/>
    <w:rsid w:val="0084274A"/>
    <w:rsid w:val="008437E2"/>
    <w:rsid w:val="008438FC"/>
    <w:rsid w:val="00843C9D"/>
    <w:rsid w:val="0084427F"/>
    <w:rsid w:val="008444BF"/>
    <w:rsid w:val="00844E49"/>
    <w:rsid w:val="00845015"/>
    <w:rsid w:val="00845095"/>
    <w:rsid w:val="00845489"/>
    <w:rsid w:val="00847B48"/>
    <w:rsid w:val="00850603"/>
    <w:rsid w:val="008532F5"/>
    <w:rsid w:val="0085385C"/>
    <w:rsid w:val="0085406A"/>
    <w:rsid w:val="00854169"/>
    <w:rsid w:val="008542F6"/>
    <w:rsid w:val="00854835"/>
    <w:rsid w:val="0085490B"/>
    <w:rsid w:val="00854A5F"/>
    <w:rsid w:val="00856C45"/>
    <w:rsid w:val="00856C62"/>
    <w:rsid w:val="00857707"/>
    <w:rsid w:val="00857A75"/>
    <w:rsid w:val="00857E6E"/>
    <w:rsid w:val="00861E69"/>
    <w:rsid w:val="0086363C"/>
    <w:rsid w:val="00863D0E"/>
    <w:rsid w:val="00863D4A"/>
    <w:rsid w:val="008649E7"/>
    <w:rsid w:val="00865284"/>
    <w:rsid w:val="008655A7"/>
    <w:rsid w:val="0086564D"/>
    <w:rsid w:val="008656A6"/>
    <w:rsid w:val="00867A26"/>
    <w:rsid w:val="00870146"/>
    <w:rsid w:val="00870180"/>
    <w:rsid w:val="00870C67"/>
    <w:rsid w:val="00870CB0"/>
    <w:rsid w:val="008719E0"/>
    <w:rsid w:val="008719E5"/>
    <w:rsid w:val="00871E5D"/>
    <w:rsid w:val="0087230F"/>
    <w:rsid w:val="0087257E"/>
    <w:rsid w:val="0087284C"/>
    <w:rsid w:val="00872CEC"/>
    <w:rsid w:val="008732E5"/>
    <w:rsid w:val="00873935"/>
    <w:rsid w:val="00873ADC"/>
    <w:rsid w:val="00873C2F"/>
    <w:rsid w:val="00873CC5"/>
    <w:rsid w:val="00873E3C"/>
    <w:rsid w:val="0087434F"/>
    <w:rsid w:val="00874445"/>
    <w:rsid w:val="008748E1"/>
    <w:rsid w:val="008753A0"/>
    <w:rsid w:val="00875BA4"/>
    <w:rsid w:val="008772E8"/>
    <w:rsid w:val="008777EF"/>
    <w:rsid w:val="00877BB2"/>
    <w:rsid w:val="0088055B"/>
    <w:rsid w:val="008811F1"/>
    <w:rsid w:val="008817F5"/>
    <w:rsid w:val="00881984"/>
    <w:rsid w:val="00881D59"/>
    <w:rsid w:val="00882591"/>
    <w:rsid w:val="00882E88"/>
    <w:rsid w:val="00882EB1"/>
    <w:rsid w:val="00883AAB"/>
    <w:rsid w:val="00883EA4"/>
    <w:rsid w:val="00883EF0"/>
    <w:rsid w:val="00884033"/>
    <w:rsid w:val="008840DE"/>
    <w:rsid w:val="008843D2"/>
    <w:rsid w:val="00884A12"/>
    <w:rsid w:val="008855D0"/>
    <w:rsid w:val="00885620"/>
    <w:rsid w:val="008856A7"/>
    <w:rsid w:val="00885C23"/>
    <w:rsid w:val="00886BD5"/>
    <w:rsid w:val="00886ED0"/>
    <w:rsid w:val="0088723C"/>
    <w:rsid w:val="00887A22"/>
    <w:rsid w:val="0089081D"/>
    <w:rsid w:val="00891E09"/>
    <w:rsid w:val="008920A7"/>
    <w:rsid w:val="008922A6"/>
    <w:rsid w:val="0089242D"/>
    <w:rsid w:val="00892DBF"/>
    <w:rsid w:val="00894602"/>
    <w:rsid w:val="00895B1E"/>
    <w:rsid w:val="00895B7B"/>
    <w:rsid w:val="00895B99"/>
    <w:rsid w:val="0089625E"/>
    <w:rsid w:val="00896E02"/>
    <w:rsid w:val="00896F1A"/>
    <w:rsid w:val="00897152"/>
    <w:rsid w:val="0089798E"/>
    <w:rsid w:val="00897AA3"/>
    <w:rsid w:val="00897EA3"/>
    <w:rsid w:val="008A0C6B"/>
    <w:rsid w:val="008A0DFA"/>
    <w:rsid w:val="008A164C"/>
    <w:rsid w:val="008A1777"/>
    <w:rsid w:val="008A21D0"/>
    <w:rsid w:val="008A2BB5"/>
    <w:rsid w:val="008A3007"/>
    <w:rsid w:val="008A3455"/>
    <w:rsid w:val="008A394B"/>
    <w:rsid w:val="008A3D30"/>
    <w:rsid w:val="008A4A30"/>
    <w:rsid w:val="008A4C4D"/>
    <w:rsid w:val="008A4E8D"/>
    <w:rsid w:val="008A51A0"/>
    <w:rsid w:val="008A5474"/>
    <w:rsid w:val="008A665A"/>
    <w:rsid w:val="008A6682"/>
    <w:rsid w:val="008A6979"/>
    <w:rsid w:val="008A75E0"/>
    <w:rsid w:val="008A7668"/>
    <w:rsid w:val="008A7A3E"/>
    <w:rsid w:val="008B073A"/>
    <w:rsid w:val="008B0D4B"/>
    <w:rsid w:val="008B1407"/>
    <w:rsid w:val="008B30D0"/>
    <w:rsid w:val="008B3732"/>
    <w:rsid w:val="008B3C28"/>
    <w:rsid w:val="008B44F4"/>
    <w:rsid w:val="008B47AE"/>
    <w:rsid w:val="008B52BA"/>
    <w:rsid w:val="008B5C04"/>
    <w:rsid w:val="008B5D4A"/>
    <w:rsid w:val="008B61FA"/>
    <w:rsid w:val="008B6D6F"/>
    <w:rsid w:val="008B70CD"/>
    <w:rsid w:val="008B7BE3"/>
    <w:rsid w:val="008B7C62"/>
    <w:rsid w:val="008C0CC5"/>
    <w:rsid w:val="008C0D53"/>
    <w:rsid w:val="008C0FDF"/>
    <w:rsid w:val="008C2426"/>
    <w:rsid w:val="008C257B"/>
    <w:rsid w:val="008C2959"/>
    <w:rsid w:val="008C2AAD"/>
    <w:rsid w:val="008C3161"/>
    <w:rsid w:val="008C3ACE"/>
    <w:rsid w:val="008C3DA9"/>
    <w:rsid w:val="008C4112"/>
    <w:rsid w:val="008C448D"/>
    <w:rsid w:val="008C44C0"/>
    <w:rsid w:val="008C45D3"/>
    <w:rsid w:val="008C4A6B"/>
    <w:rsid w:val="008C56E1"/>
    <w:rsid w:val="008C575A"/>
    <w:rsid w:val="008C641B"/>
    <w:rsid w:val="008C68C7"/>
    <w:rsid w:val="008C6954"/>
    <w:rsid w:val="008C709D"/>
    <w:rsid w:val="008C7198"/>
    <w:rsid w:val="008C78BF"/>
    <w:rsid w:val="008C7AD9"/>
    <w:rsid w:val="008C7BE5"/>
    <w:rsid w:val="008C7D0A"/>
    <w:rsid w:val="008D0DED"/>
    <w:rsid w:val="008D16B8"/>
    <w:rsid w:val="008D3A32"/>
    <w:rsid w:val="008D3CA1"/>
    <w:rsid w:val="008D3EF8"/>
    <w:rsid w:val="008D3F8A"/>
    <w:rsid w:val="008D41FC"/>
    <w:rsid w:val="008D451F"/>
    <w:rsid w:val="008D45DE"/>
    <w:rsid w:val="008D4EF5"/>
    <w:rsid w:val="008D4FEA"/>
    <w:rsid w:val="008D514D"/>
    <w:rsid w:val="008D5552"/>
    <w:rsid w:val="008D60B5"/>
    <w:rsid w:val="008D6DD5"/>
    <w:rsid w:val="008D6DD9"/>
    <w:rsid w:val="008D7035"/>
    <w:rsid w:val="008D71E5"/>
    <w:rsid w:val="008D7C20"/>
    <w:rsid w:val="008D7CE4"/>
    <w:rsid w:val="008D7E94"/>
    <w:rsid w:val="008E0105"/>
    <w:rsid w:val="008E02CB"/>
    <w:rsid w:val="008E0676"/>
    <w:rsid w:val="008E0F31"/>
    <w:rsid w:val="008E19CE"/>
    <w:rsid w:val="008E1B63"/>
    <w:rsid w:val="008E28F8"/>
    <w:rsid w:val="008E29FC"/>
    <w:rsid w:val="008E3002"/>
    <w:rsid w:val="008E30A3"/>
    <w:rsid w:val="008E354B"/>
    <w:rsid w:val="008E3655"/>
    <w:rsid w:val="008E4205"/>
    <w:rsid w:val="008E4914"/>
    <w:rsid w:val="008E4967"/>
    <w:rsid w:val="008E54B6"/>
    <w:rsid w:val="008E56C4"/>
    <w:rsid w:val="008E5AB4"/>
    <w:rsid w:val="008E60B6"/>
    <w:rsid w:val="008E6953"/>
    <w:rsid w:val="008E6A30"/>
    <w:rsid w:val="008E6C6F"/>
    <w:rsid w:val="008E7225"/>
    <w:rsid w:val="008E7248"/>
    <w:rsid w:val="008E7FBB"/>
    <w:rsid w:val="008F032C"/>
    <w:rsid w:val="008F0904"/>
    <w:rsid w:val="008F1954"/>
    <w:rsid w:val="008F2A24"/>
    <w:rsid w:val="008F36D6"/>
    <w:rsid w:val="008F3AA1"/>
    <w:rsid w:val="008F3B9D"/>
    <w:rsid w:val="008F416C"/>
    <w:rsid w:val="008F46C8"/>
    <w:rsid w:val="008F554F"/>
    <w:rsid w:val="008F55F8"/>
    <w:rsid w:val="008F579A"/>
    <w:rsid w:val="008F62F6"/>
    <w:rsid w:val="008F6555"/>
    <w:rsid w:val="008F6576"/>
    <w:rsid w:val="008F65DB"/>
    <w:rsid w:val="008F6785"/>
    <w:rsid w:val="008F6D40"/>
    <w:rsid w:val="008F70CC"/>
    <w:rsid w:val="008F751E"/>
    <w:rsid w:val="008F78D9"/>
    <w:rsid w:val="008F79FC"/>
    <w:rsid w:val="00900810"/>
    <w:rsid w:val="00900EA5"/>
    <w:rsid w:val="0090190C"/>
    <w:rsid w:val="00901942"/>
    <w:rsid w:val="00901A1C"/>
    <w:rsid w:val="00901DDA"/>
    <w:rsid w:val="00901E4F"/>
    <w:rsid w:val="00902E05"/>
    <w:rsid w:val="00903214"/>
    <w:rsid w:val="00903619"/>
    <w:rsid w:val="00903A97"/>
    <w:rsid w:val="00903D35"/>
    <w:rsid w:val="00904206"/>
    <w:rsid w:val="00904C32"/>
    <w:rsid w:val="00905943"/>
    <w:rsid w:val="00905DE1"/>
    <w:rsid w:val="0090610E"/>
    <w:rsid w:val="00906D32"/>
    <w:rsid w:val="0090737E"/>
    <w:rsid w:val="0091084E"/>
    <w:rsid w:val="00911D1F"/>
    <w:rsid w:val="009125C5"/>
    <w:rsid w:val="00912DF4"/>
    <w:rsid w:val="009136D1"/>
    <w:rsid w:val="0091461C"/>
    <w:rsid w:val="0091461D"/>
    <w:rsid w:val="00914B5C"/>
    <w:rsid w:val="00916061"/>
    <w:rsid w:val="009164A9"/>
    <w:rsid w:val="0091668D"/>
    <w:rsid w:val="0092029E"/>
    <w:rsid w:val="00920EED"/>
    <w:rsid w:val="00922687"/>
    <w:rsid w:val="009237BC"/>
    <w:rsid w:val="00923BFC"/>
    <w:rsid w:val="00925315"/>
    <w:rsid w:val="00925577"/>
    <w:rsid w:val="009264D8"/>
    <w:rsid w:val="009266D5"/>
    <w:rsid w:val="009267F6"/>
    <w:rsid w:val="00926A67"/>
    <w:rsid w:val="00926F0E"/>
    <w:rsid w:val="009270B6"/>
    <w:rsid w:val="00927330"/>
    <w:rsid w:val="00927452"/>
    <w:rsid w:val="00930044"/>
    <w:rsid w:val="0093062F"/>
    <w:rsid w:val="00930D2F"/>
    <w:rsid w:val="009319EC"/>
    <w:rsid w:val="009326A3"/>
    <w:rsid w:val="00932AF8"/>
    <w:rsid w:val="00932E57"/>
    <w:rsid w:val="0093363A"/>
    <w:rsid w:val="0093383E"/>
    <w:rsid w:val="009345C5"/>
    <w:rsid w:val="00934825"/>
    <w:rsid w:val="00935B46"/>
    <w:rsid w:val="00935D57"/>
    <w:rsid w:val="009364E5"/>
    <w:rsid w:val="009366D3"/>
    <w:rsid w:val="00936C58"/>
    <w:rsid w:val="0093711C"/>
    <w:rsid w:val="0093720D"/>
    <w:rsid w:val="00937B7E"/>
    <w:rsid w:val="00937F80"/>
    <w:rsid w:val="009401CC"/>
    <w:rsid w:val="009408D6"/>
    <w:rsid w:val="00941165"/>
    <w:rsid w:val="00941DFC"/>
    <w:rsid w:val="00941F74"/>
    <w:rsid w:val="00942055"/>
    <w:rsid w:val="00942819"/>
    <w:rsid w:val="0094345F"/>
    <w:rsid w:val="0094392C"/>
    <w:rsid w:val="00943C8B"/>
    <w:rsid w:val="009443D0"/>
    <w:rsid w:val="0094473F"/>
    <w:rsid w:val="00945C29"/>
    <w:rsid w:val="00945DCB"/>
    <w:rsid w:val="00947185"/>
    <w:rsid w:val="00947234"/>
    <w:rsid w:val="00947451"/>
    <w:rsid w:val="0094773A"/>
    <w:rsid w:val="00947F4F"/>
    <w:rsid w:val="00951115"/>
    <w:rsid w:val="00951298"/>
    <w:rsid w:val="00951688"/>
    <w:rsid w:val="0095178E"/>
    <w:rsid w:val="00951BC5"/>
    <w:rsid w:val="0095254C"/>
    <w:rsid w:val="0095269D"/>
    <w:rsid w:val="009526DA"/>
    <w:rsid w:val="00952909"/>
    <w:rsid w:val="00952C0A"/>
    <w:rsid w:val="00953323"/>
    <w:rsid w:val="00954127"/>
    <w:rsid w:val="00954D92"/>
    <w:rsid w:val="00954E00"/>
    <w:rsid w:val="00954FF1"/>
    <w:rsid w:val="0095593C"/>
    <w:rsid w:val="00955BF6"/>
    <w:rsid w:val="00956182"/>
    <w:rsid w:val="00956A4A"/>
    <w:rsid w:val="00956ED8"/>
    <w:rsid w:val="00957DDD"/>
    <w:rsid w:val="00960321"/>
    <w:rsid w:val="009605F6"/>
    <w:rsid w:val="009607B2"/>
    <w:rsid w:val="00960DA4"/>
    <w:rsid w:val="00960EBE"/>
    <w:rsid w:val="00960EF3"/>
    <w:rsid w:val="00961A47"/>
    <w:rsid w:val="00962181"/>
    <w:rsid w:val="00962CEF"/>
    <w:rsid w:val="00962E1D"/>
    <w:rsid w:val="009630A7"/>
    <w:rsid w:val="00963286"/>
    <w:rsid w:val="009642E4"/>
    <w:rsid w:val="00964AE7"/>
    <w:rsid w:val="0096505B"/>
    <w:rsid w:val="009652B1"/>
    <w:rsid w:val="00967F38"/>
    <w:rsid w:val="00970117"/>
    <w:rsid w:val="00970738"/>
    <w:rsid w:val="0097099A"/>
    <w:rsid w:val="009709AC"/>
    <w:rsid w:val="00970D29"/>
    <w:rsid w:val="009713F4"/>
    <w:rsid w:val="009721FB"/>
    <w:rsid w:val="00972302"/>
    <w:rsid w:val="00972CD5"/>
    <w:rsid w:val="00973692"/>
    <w:rsid w:val="0097402D"/>
    <w:rsid w:val="00974EB4"/>
    <w:rsid w:val="009750E7"/>
    <w:rsid w:val="00975D84"/>
    <w:rsid w:val="00976132"/>
    <w:rsid w:val="00976A3C"/>
    <w:rsid w:val="00977365"/>
    <w:rsid w:val="00977CAB"/>
    <w:rsid w:val="009802D7"/>
    <w:rsid w:val="009803B6"/>
    <w:rsid w:val="009804F5"/>
    <w:rsid w:val="0098134C"/>
    <w:rsid w:val="009817D6"/>
    <w:rsid w:val="00981960"/>
    <w:rsid w:val="00981E05"/>
    <w:rsid w:val="00982A24"/>
    <w:rsid w:val="009834D9"/>
    <w:rsid w:val="00983764"/>
    <w:rsid w:val="00984147"/>
    <w:rsid w:val="009841C7"/>
    <w:rsid w:val="00985142"/>
    <w:rsid w:val="0098541C"/>
    <w:rsid w:val="0098629D"/>
    <w:rsid w:val="00986948"/>
    <w:rsid w:val="00986D53"/>
    <w:rsid w:val="009874A6"/>
    <w:rsid w:val="00987836"/>
    <w:rsid w:val="00987B44"/>
    <w:rsid w:val="00987D0A"/>
    <w:rsid w:val="00990152"/>
    <w:rsid w:val="00990BC4"/>
    <w:rsid w:val="00990CEE"/>
    <w:rsid w:val="00990D39"/>
    <w:rsid w:val="00991695"/>
    <w:rsid w:val="00992D45"/>
    <w:rsid w:val="00992F1E"/>
    <w:rsid w:val="00993F1D"/>
    <w:rsid w:val="0099457C"/>
    <w:rsid w:val="009947ED"/>
    <w:rsid w:val="009949E4"/>
    <w:rsid w:val="009955E3"/>
    <w:rsid w:val="00995857"/>
    <w:rsid w:val="00997029"/>
    <w:rsid w:val="00997035"/>
    <w:rsid w:val="0099705E"/>
    <w:rsid w:val="0099776B"/>
    <w:rsid w:val="009A037F"/>
    <w:rsid w:val="009A1308"/>
    <w:rsid w:val="009A1954"/>
    <w:rsid w:val="009A1B18"/>
    <w:rsid w:val="009A1D2A"/>
    <w:rsid w:val="009A25C2"/>
    <w:rsid w:val="009A2782"/>
    <w:rsid w:val="009A2982"/>
    <w:rsid w:val="009A553C"/>
    <w:rsid w:val="009A57CE"/>
    <w:rsid w:val="009A5C55"/>
    <w:rsid w:val="009A7286"/>
    <w:rsid w:val="009A7DCC"/>
    <w:rsid w:val="009B01B8"/>
    <w:rsid w:val="009B046E"/>
    <w:rsid w:val="009B08CA"/>
    <w:rsid w:val="009B1006"/>
    <w:rsid w:val="009B12FF"/>
    <w:rsid w:val="009B1736"/>
    <w:rsid w:val="009B17EF"/>
    <w:rsid w:val="009B1ACC"/>
    <w:rsid w:val="009B219F"/>
    <w:rsid w:val="009B286F"/>
    <w:rsid w:val="009B2CFA"/>
    <w:rsid w:val="009B2FD8"/>
    <w:rsid w:val="009B4014"/>
    <w:rsid w:val="009B40D7"/>
    <w:rsid w:val="009B4345"/>
    <w:rsid w:val="009B478B"/>
    <w:rsid w:val="009B47D5"/>
    <w:rsid w:val="009B49AB"/>
    <w:rsid w:val="009B4C9C"/>
    <w:rsid w:val="009B4CEA"/>
    <w:rsid w:val="009B60E3"/>
    <w:rsid w:val="009B63BD"/>
    <w:rsid w:val="009B66B1"/>
    <w:rsid w:val="009B6944"/>
    <w:rsid w:val="009B6B94"/>
    <w:rsid w:val="009B7CE7"/>
    <w:rsid w:val="009C0C72"/>
    <w:rsid w:val="009C0EA4"/>
    <w:rsid w:val="009C116A"/>
    <w:rsid w:val="009C11B1"/>
    <w:rsid w:val="009C150C"/>
    <w:rsid w:val="009C1634"/>
    <w:rsid w:val="009C166A"/>
    <w:rsid w:val="009C29A1"/>
    <w:rsid w:val="009C3252"/>
    <w:rsid w:val="009C3642"/>
    <w:rsid w:val="009C37E9"/>
    <w:rsid w:val="009C3A40"/>
    <w:rsid w:val="009C3A9A"/>
    <w:rsid w:val="009C41A2"/>
    <w:rsid w:val="009C4905"/>
    <w:rsid w:val="009C4EC7"/>
    <w:rsid w:val="009C564D"/>
    <w:rsid w:val="009C5D4E"/>
    <w:rsid w:val="009C65CD"/>
    <w:rsid w:val="009C79EA"/>
    <w:rsid w:val="009C7E0E"/>
    <w:rsid w:val="009D022F"/>
    <w:rsid w:val="009D02B2"/>
    <w:rsid w:val="009D03C1"/>
    <w:rsid w:val="009D08C8"/>
    <w:rsid w:val="009D214D"/>
    <w:rsid w:val="009D2793"/>
    <w:rsid w:val="009D2881"/>
    <w:rsid w:val="009D3109"/>
    <w:rsid w:val="009D44CF"/>
    <w:rsid w:val="009D4582"/>
    <w:rsid w:val="009D4ACD"/>
    <w:rsid w:val="009D4FB1"/>
    <w:rsid w:val="009D50B5"/>
    <w:rsid w:val="009D7662"/>
    <w:rsid w:val="009E0D8B"/>
    <w:rsid w:val="009E197A"/>
    <w:rsid w:val="009E29E0"/>
    <w:rsid w:val="009E2D32"/>
    <w:rsid w:val="009E2DBB"/>
    <w:rsid w:val="009E2ECA"/>
    <w:rsid w:val="009E3779"/>
    <w:rsid w:val="009E422B"/>
    <w:rsid w:val="009E47C4"/>
    <w:rsid w:val="009E4800"/>
    <w:rsid w:val="009E497F"/>
    <w:rsid w:val="009E4A39"/>
    <w:rsid w:val="009E5A57"/>
    <w:rsid w:val="009E5BC9"/>
    <w:rsid w:val="009E5D29"/>
    <w:rsid w:val="009E5DEA"/>
    <w:rsid w:val="009E6649"/>
    <w:rsid w:val="009E6824"/>
    <w:rsid w:val="009E766A"/>
    <w:rsid w:val="009F010B"/>
    <w:rsid w:val="009F0197"/>
    <w:rsid w:val="009F026F"/>
    <w:rsid w:val="009F0375"/>
    <w:rsid w:val="009F0478"/>
    <w:rsid w:val="009F0FD9"/>
    <w:rsid w:val="009F1112"/>
    <w:rsid w:val="009F13E3"/>
    <w:rsid w:val="009F1AE0"/>
    <w:rsid w:val="009F2B9F"/>
    <w:rsid w:val="009F350A"/>
    <w:rsid w:val="009F3CAB"/>
    <w:rsid w:val="009F4491"/>
    <w:rsid w:val="009F4A2F"/>
    <w:rsid w:val="009F4D67"/>
    <w:rsid w:val="009F56B2"/>
    <w:rsid w:val="009F67A3"/>
    <w:rsid w:val="009F773A"/>
    <w:rsid w:val="009F79AE"/>
    <w:rsid w:val="009F79C3"/>
    <w:rsid w:val="00A00305"/>
    <w:rsid w:val="00A011AA"/>
    <w:rsid w:val="00A01665"/>
    <w:rsid w:val="00A0198D"/>
    <w:rsid w:val="00A01DFA"/>
    <w:rsid w:val="00A01E51"/>
    <w:rsid w:val="00A02473"/>
    <w:rsid w:val="00A02841"/>
    <w:rsid w:val="00A02A69"/>
    <w:rsid w:val="00A03907"/>
    <w:rsid w:val="00A03F37"/>
    <w:rsid w:val="00A04475"/>
    <w:rsid w:val="00A044BA"/>
    <w:rsid w:val="00A0458A"/>
    <w:rsid w:val="00A04668"/>
    <w:rsid w:val="00A04C88"/>
    <w:rsid w:val="00A05152"/>
    <w:rsid w:val="00A0524B"/>
    <w:rsid w:val="00A055A8"/>
    <w:rsid w:val="00A05BAA"/>
    <w:rsid w:val="00A05D6A"/>
    <w:rsid w:val="00A06281"/>
    <w:rsid w:val="00A068C4"/>
    <w:rsid w:val="00A06BBA"/>
    <w:rsid w:val="00A06C3E"/>
    <w:rsid w:val="00A07AD6"/>
    <w:rsid w:val="00A07E29"/>
    <w:rsid w:val="00A100D7"/>
    <w:rsid w:val="00A1088A"/>
    <w:rsid w:val="00A11331"/>
    <w:rsid w:val="00A114C0"/>
    <w:rsid w:val="00A11F5D"/>
    <w:rsid w:val="00A14FFB"/>
    <w:rsid w:val="00A16750"/>
    <w:rsid w:val="00A16E22"/>
    <w:rsid w:val="00A17628"/>
    <w:rsid w:val="00A201FF"/>
    <w:rsid w:val="00A2020E"/>
    <w:rsid w:val="00A207ED"/>
    <w:rsid w:val="00A20D1D"/>
    <w:rsid w:val="00A2171F"/>
    <w:rsid w:val="00A218BC"/>
    <w:rsid w:val="00A21F11"/>
    <w:rsid w:val="00A22594"/>
    <w:rsid w:val="00A22FAF"/>
    <w:rsid w:val="00A239D2"/>
    <w:rsid w:val="00A23FC9"/>
    <w:rsid w:val="00A2423F"/>
    <w:rsid w:val="00A24A64"/>
    <w:rsid w:val="00A253CE"/>
    <w:rsid w:val="00A26245"/>
    <w:rsid w:val="00A26482"/>
    <w:rsid w:val="00A267BA"/>
    <w:rsid w:val="00A268AC"/>
    <w:rsid w:val="00A26D2C"/>
    <w:rsid w:val="00A271A0"/>
    <w:rsid w:val="00A27445"/>
    <w:rsid w:val="00A2764E"/>
    <w:rsid w:val="00A27705"/>
    <w:rsid w:val="00A27919"/>
    <w:rsid w:val="00A27B0B"/>
    <w:rsid w:val="00A27E0F"/>
    <w:rsid w:val="00A27FC9"/>
    <w:rsid w:val="00A3104A"/>
    <w:rsid w:val="00A323AF"/>
    <w:rsid w:val="00A32F3B"/>
    <w:rsid w:val="00A32F91"/>
    <w:rsid w:val="00A3327F"/>
    <w:rsid w:val="00A334C9"/>
    <w:rsid w:val="00A3356D"/>
    <w:rsid w:val="00A33AF9"/>
    <w:rsid w:val="00A350DB"/>
    <w:rsid w:val="00A352D0"/>
    <w:rsid w:val="00A35324"/>
    <w:rsid w:val="00A3572F"/>
    <w:rsid w:val="00A3653A"/>
    <w:rsid w:val="00A36880"/>
    <w:rsid w:val="00A36FB0"/>
    <w:rsid w:val="00A37164"/>
    <w:rsid w:val="00A37320"/>
    <w:rsid w:val="00A37958"/>
    <w:rsid w:val="00A37C83"/>
    <w:rsid w:val="00A37ED9"/>
    <w:rsid w:val="00A40341"/>
    <w:rsid w:val="00A40A63"/>
    <w:rsid w:val="00A40E4F"/>
    <w:rsid w:val="00A40FD1"/>
    <w:rsid w:val="00A416DC"/>
    <w:rsid w:val="00A41F25"/>
    <w:rsid w:val="00A42150"/>
    <w:rsid w:val="00A422DA"/>
    <w:rsid w:val="00A4279F"/>
    <w:rsid w:val="00A438C1"/>
    <w:rsid w:val="00A43F7B"/>
    <w:rsid w:val="00A442C4"/>
    <w:rsid w:val="00A444DC"/>
    <w:rsid w:val="00A44789"/>
    <w:rsid w:val="00A44BC1"/>
    <w:rsid w:val="00A44FE0"/>
    <w:rsid w:val="00A451C8"/>
    <w:rsid w:val="00A45847"/>
    <w:rsid w:val="00A461C9"/>
    <w:rsid w:val="00A4708C"/>
    <w:rsid w:val="00A50972"/>
    <w:rsid w:val="00A50BDA"/>
    <w:rsid w:val="00A50EAC"/>
    <w:rsid w:val="00A51491"/>
    <w:rsid w:val="00A517EE"/>
    <w:rsid w:val="00A51A19"/>
    <w:rsid w:val="00A51B9B"/>
    <w:rsid w:val="00A522C0"/>
    <w:rsid w:val="00A52987"/>
    <w:rsid w:val="00A52AFA"/>
    <w:rsid w:val="00A52D54"/>
    <w:rsid w:val="00A539F4"/>
    <w:rsid w:val="00A53A0C"/>
    <w:rsid w:val="00A55049"/>
    <w:rsid w:val="00A5530A"/>
    <w:rsid w:val="00A55472"/>
    <w:rsid w:val="00A5687F"/>
    <w:rsid w:val="00A56F4F"/>
    <w:rsid w:val="00A601C3"/>
    <w:rsid w:val="00A6070A"/>
    <w:rsid w:val="00A60859"/>
    <w:rsid w:val="00A6097F"/>
    <w:rsid w:val="00A6151E"/>
    <w:rsid w:val="00A61A85"/>
    <w:rsid w:val="00A621B0"/>
    <w:rsid w:val="00A6224F"/>
    <w:rsid w:val="00A635AC"/>
    <w:rsid w:val="00A63C97"/>
    <w:rsid w:val="00A64EE2"/>
    <w:rsid w:val="00A65213"/>
    <w:rsid w:val="00A659F1"/>
    <w:rsid w:val="00A6609D"/>
    <w:rsid w:val="00A66523"/>
    <w:rsid w:val="00A66BFE"/>
    <w:rsid w:val="00A67139"/>
    <w:rsid w:val="00A7015E"/>
    <w:rsid w:val="00A70187"/>
    <w:rsid w:val="00A712AF"/>
    <w:rsid w:val="00A71793"/>
    <w:rsid w:val="00A722FE"/>
    <w:rsid w:val="00A72BA4"/>
    <w:rsid w:val="00A7420A"/>
    <w:rsid w:val="00A7453F"/>
    <w:rsid w:val="00A759C7"/>
    <w:rsid w:val="00A77249"/>
    <w:rsid w:val="00A779BB"/>
    <w:rsid w:val="00A80AF5"/>
    <w:rsid w:val="00A80B24"/>
    <w:rsid w:val="00A81102"/>
    <w:rsid w:val="00A813C7"/>
    <w:rsid w:val="00A813EB"/>
    <w:rsid w:val="00A819BF"/>
    <w:rsid w:val="00A822C2"/>
    <w:rsid w:val="00A82B4A"/>
    <w:rsid w:val="00A82D01"/>
    <w:rsid w:val="00A833A2"/>
    <w:rsid w:val="00A83E05"/>
    <w:rsid w:val="00A844E6"/>
    <w:rsid w:val="00A84962"/>
    <w:rsid w:val="00A85845"/>
    <w:rsid w:val="00A859CB"/>
    <w:rsid w:val="00A85CBF"/>
    <w:rsid w:val="00A866D5"/>
    <w:rsid w:val="00A86B91"/>
    <w:rsid w:val="00A86D39"/>
    <w:rsid w:val="00A86E4F"/>
    <w:rsid w:val="00A87063"/>
    <w:rsid w:val="00A87388"/>
    <w:rsid w:val="00A87CF9"/>
    <w:rsid w:val="00A87E8B"/>
    <w:rsid w:val="00A9034B"/>
    <w:rsid w:val="00A90772"/>
    <w:rsid w:val="00A90920"/>
    <w:rsid w:val="00A90FCA"/>
    <w:rsid w:val="00A9164D"/>
    <w:rsid w:val="00A91CEA"/>
    <w:rsid w:val="00A9227E"/>
    <w:rsid w:val="00A92A90"/>
    <w:rsid w:val="00A93A29"/>
    <w:rsid w:val="00A94887"/>
    <w:rsid w:val="00A94F61"/>
    <w:rsid w:val="00A956C7"/>
    <w:rsid w:val="00A95D86"/>
    <w:rsid w:val="00A96DA4"/>
    <w:rsid w:val="00A9722C"/>
    <w:rsid w:val="00A9758C"/>
    <w:rsid w:val="00A9784E"/>
    <w:rsid w:val="00A97F1D"/>
    <w:rsid w:val="00A97F3A"/>
    <w:rsid w:val="00AA042E"/>
    <w:rsid w:val="00AA07D8"/>
    <w:rsid w:val="00AA0BEB"/>
    <w:rsid w:val="00AA1597"/>
    <w:rsid w:val="00AA1A77"/>
    <w:rsid w:val="00AA1A98"/>
    <w:rsid w:val="00AA1AE0"/>
    <w:rsid w:val="00AA1DE1"/>
    <w:rsid w:val="00AA2900"/>
    <w:rsid w:val="00AA2C2D"/>
    <w:rsid w:val="00AA4401"/>
    <w:rsid w:val="00AA4626"/>
    <w:rsid w:val="00AA5439"/>
    <w:rsid w:val="00AA5954"/>
    <w:rsid w:val="00AA5A43"/>
    <w:rsid w:val="00AA5F79"/>
    <w:rsid w:val="00AA61EE"/>
    <w:rsid w:val="00AA68B9"/>
    <w:rsid w:val="00AA71F1"/>
    <w:rsid w:val="00AB12A5"/>
    <w:rsid w:val="00AB160F"/>
    <w:rsid w:val="00AB1F86"/>
    <w:rsid w:val="00AB293C"/>
    <w:rsid w:val="00AB2EDB"/>
    <w:rsid w:val="00AB3ABF"/>
    <w:rsid w:val="00AB4440"/>
    <w:rsid w:val="00AB5E51"/>
    <w:rsid w:val="00AB5EFD"/>
    <w:rsid w:val="00AB5FE0"/>
    <w:rsid w:val="00AB601E"/>
    <w:rsid w:val="00AB63E5"/>
    <w:rsid w:val="00AB6F25"/>
    <w:rsid w:val="00AB70E1"/>
    <w:rsid w:val="00AB7128"/>
    <w:rsid w:val="00AB7CD6"/>
    <w:rsid w:val="00AC03A9"/>
    <w:rsid w:val="00AC0516"/>
    <w:rsid w:val="00AC1290"/>
    <w:rsid w:val="00AC18A9"/>
    <w:rsid w:val="00AC1AEB"/>
    <w:rsid w:val="00AC1E78"/>
    <w:rsid w:val="00AC248A"/>
    <w:rsid w:val="00AC2502"/>
    <w:rsid w:val="00AC2519"/>
    <w:rsid w:val="00AC2FED"/>
    <w:rsid w:val="00AC33DC"/>
    <w:rsid w:val="00AC35C8"/>
    <w:rsid w:val="00AC3AA8"/>
    <w:rsid w:val="00AC428E"/>
    <w:rsid w:val="00AC4FE7"/>
    <w:rsid w:val="00AC4FFA"/>
    <w:rsid w:val="00AC594A"/>
    <w:rsid w:val="00AC67F5"/>
    <w:rsid w:val="00AC69C3"/>
    <w:rsid w:val="00AC746A"/>
    <w:rsid w:val="00AD074B"/>
    <w:rsid w:val="00AD0D99"/>
    <w:rsid w:val="00AD1FD8"/>
    <w:rsid w:val="00AD218C"/>
    <w:rsid w:val="00AD25EB"/>
    <w:rsid w:val="00AD2D6E"/>
    <w:rsid w:val="00AD33DB"/>
    <w:rsid w:val="00AD3A92"/>
    <w:rsid w:val="00AD4527"/>
    <w:rsid w:val="00AD4D41"/>
    <w:rsid w:val="00AD4ECE"/>
    <w:rsid w:val="00AD5839"/>
    <w:rsid w:val="00AD5AF1"/>
    <w:rsid w:val="00AD68DA"/>
    <w:rsid w:val="00AD694F"/>
    <w:rsid w:val="00AD6EC7"/>
    <w:rsid w:val="00AD7F9C"/>
    <w:rsid w:val="00AE0B31"/>
    <w:rsid w:val="00AE1816"/>
    <w:rsid w:val="00AE2385"/>
    <w:rsid w:val="00AE2986"/>
    <w:rsid w:val="00AE2F81"/>
    <w:rsid w:val="00AE3334"/>
    <w:rsid w:val="00AE3E8C"/>
    <w:rsid w:val="00AE4C69"/>
    <w:rsid w:val="00AE6142"/>
    <w:rsid w:val="00AE65BC"/>
    <w:rsid w:val="00AE6BBF"/>
    <w:rsid w:val="00AE6E5E"/>
    <w:rsid w:val="00AE7857"/>
    <w:rsid w:val="00AF00EA"/>
    <w:rsid w:val="00AF1214"/>
    <w:rsid w:val="00AF1858"/>
    <w:rsid w:val="00AF1C90"/>
    <w:rsid w:val="00AF1D0C"/>
    <w:rsid w:val="00AF2335"/>
    <w:rsid w:val="00AF2514"/>
    <w:rsid w:val="00AF3539"/>
    <w:rsid w:val="00AF3826"/>
    <w:rsid w:val="00AF3C7A"/>
    <w:rsid w:val="00AF43D3"/>
    <w:rsid w:val="00AF4D5C"/>
    <w:rsid w:val="00AF4FDC"/>
    <w:rsid w:val="00AF5A48"/>
    <w:rsid w:val="00AF651F"/>
    <w:rsid w:val="00AF65FB"/>
    <w:rsid w:val="00AF6745"/>
    <w:rsid w:val="00AF6A03"/>
    <w:rsid w:val="00AF75F5"/>
    <w:rsid w:val="00AF7640"/>
    <w:rsid w:val="00AF7D59"/>
    <w:rsid w:val="00B0035F"/>
    <w:rsid w:val="00B01797"/>
    <w:rsid w:val="00B0299B"/>
    <w:rsid w:val="00B02B27"/>
    <w:rsid w:val="00B02B9D"/>
    <w:rsid w:val="00B02BF5"/>
    <w:rsid w:val="00B0317D"/>
    <w:rsid w:val="00B03893"/>
    <w:rsid w:val="00B04205"/>
    <w:rsid w:val="00B04ACF"/>
    <w:rsid w:val="00B051A6"/>
    <w:rsid w:val="00B058BE"/>
    <w:rsid w:val="00B05A49"/>
    <w:rsid w:val="00B05D1B"/>
    <w:rsid w:val="00B06C8A"/>
    <w:rsid w:val="00B07329"/>
    <w:rsid w:val="00B103B2"/>
    <w:rsid w:val="00B11597"/>
    <w:rsid w:val="00B11970"/>
    <w:rsid w:val="00B1283C"/>
    <w:rsid w:val="00B12C60"/>
    <w:rsid w:val="00B12D1A"/>
    <w:rsid w:val="00B1318A"/>
    <w:rsid w:val="00B133F7"/>
    <w:rsid w:val="00B135F9"/>
    <w:rsid w:val="00B13603"/>
    <w:rsid w:val="00B13AAF"/>
    <w:rsid w:val="00B14633"/>
    <w:rsid w:val="00B150E0"/>
    <w:rsid w:val="00B1534E"/>
    <w:rsid w:val="00B15690"/>
    <w:rsid w:val="00B15A88"/>
    <w:rsid w:val="00B169AA"/>
    <w:rsid w:val="00B17588"/>
    <w:rsid w:val="00B17EBD"/>
    <w:rsid w:val="00B204C2"/>
    <w:rsid w:val="00B20866"/>
    <w:rsid w:val="00B215AC"/>
    <w:rsid w:val="00B22942"/>
    <w:rsid w:val="00B233F7"/>
    <w:rsid w:val="00B23CD7"/>
    <w:rsid w:val="00B23F24"/>
    <w:rsid w:val="00B24762"/>
    <w:rsid w:val="00B26C0C"/>
    <w:rsid w:val="00B2702D"/>
    <w:rsid w:val="00B272E4"/>
    <w:rsid w:val="00B2786F"/>
    <w:rsid w:val="00B27BF1"/>
    <w:rsid w:val="00B307F6"/>
    <w:rsid w:val="00B31179"/>
    <w:rsid w:val="00B31343"/>
    <w:rsid w:val="00B314EF"/>
    <w:rsid w:val="00B31BF0"/>
    <w:rsid w:val="00B31FF8"/>
    <w:rsid w:val="00B3237D"/>
    <w:rsid w:val="00B32CE0"/>
    <w:rsid w:val="00B3380D"/>
    <w:rsid w:val="00B3426E"/>
    <w:rsid w:val="00B34876"/>
    <w:rsid w:val="00B350B8"/>
    <w:rsid w:val="00B35F7D"/>
    <w:rsid w:val="00B363AD"/>
    <w:rsid w:val="00B36738"/>
    <w:rsid w:val="00B36C8D"/>
    <w:rsid w:val="00B3708C"/>
    <w:rsid w:val="00B376C6"/>
    <w:rsid w:val="00B400C5"/>
    <w:rsid w:val="00B40500"/>
    <w:rsid w:val="00B407E9"/>
    <w:rsid w:val="00B41288"/>
    <w:rsid w:val="00B41C94"/>
    <w:rsid w:val="00B41F2A"/>
    <w:rsid w:val="00B42285"/>
    <w:rsid w:val="00B4334A"/>
    <w:rsid w:val="00B4394E"/>
    <w:rsid w:val="00B464D9"/>
    <w:rsid w:val="00B46ECE"/>
    <w:rsid w:val="00B5019A"/>
    <w:rsid w:val="00B505AF"/>
    <w:rsid w:val="00B51BB3"/>
    <w:rsid w:val="00B51D13"/>
    <w:rsid w:val="00B52252"/>
    <w:rsid w:val="00B52A1C"/>
    <w:rsid w:val="00B52D12"/>
    <w:rsid w:val="00B532D2"/>
    <w:rsid w:val="00B53C0A"/>
    <w:rsid w:val="00B53FE5"/>
    <w:rsid w:val="00B54168"/>
    <w:rsid w:val="00B55139"/>
    <w:rsid w:val="00B553E3"/>
    <w:rsid w:val="00B55D79"/>
    <w:rsid w:val="00B5696B"/>
    <w:rsid w:val="00B57375"/>
    <w:rsid w:val="00B57DE3"/>
    <w:rsid w:val="00B603CF"/>
    <w:rsid w:val="00B61003"/>
    <w:rsid w:val="00B6281E"/>
    <w:rsid w:val="00B62C92"/>
    <w:rsid w:val="00B62ED2"/>
    <w:rsid w:val="00B63BE0"/>
    <w:rsid w:val="00B645A5"/>
    <w:rsid w:val="00B64A19"/>
    <w:rsid w:val="00B64A50"/>
    <w:rsid w:val="00B64B92"/>
    <w:rsid w:val="00B652EA"/>
    <w:rsid w:val="00B67685"/>
    <w:rsid w:val="00B7067E"/>
    <w:rsid w:val="00B70B22"/>
    <w:rsid w:val="00B71558"/>
    <w:rsid w:val="00B71A93"/>
    <w:rsid w:val="00B72A0E"/>
    <w:rsid w:val="00B72F7A"/>
    <w:rsid w:val="00B73910"/>
    <w:rsid w:val="00B73A04"/>
    <w:rsid w:val="00B73B37"/>
    <w:rsid w:val="00B742E3"/>
    <w:rsid w:val="00B74591"/>
    <w:rsid w:val="00B74A3C"/>
    <w:rsid w:val="00B74D1E"/>
    <w:rsid w:val="00B74FBE"/>
    <w:rsid w:val="00B752F3"/>
    <w:rsid w:val="00B754B4"/>
    <w:rsid w:val="00B75873"/>
    <w:rsid w:val="00B75F90"/>
    <w:rsid w:val="00B7671E"/>
    <w:rsid w:val="00B772E2"/>
    <w:rsid w:val="00B81EBB"/>
    <w:rsid w:val="00B82054"/>
    <w:rsid w:val="00B821F9"/>
    <w:rsid w:val="00B8226D"/>
    <w:rsid w:val="00B82E7D"/>
    <w:rsid w:val="00B83555"/>
    <w:rsid w:val="00B85660"/>
    <w:rsid w:val="00B856FF"/>
    <w:rsid w:val="00B8636A"/>
    <w:rsid w:val="00B86AEE"/>
    <w:rsid w:val="00B86EAA"/>
    <w:rsid w:val="00B87202"/>
    <w:rsid w:val="00B90B86"/>
    <w:rsid w:val="00B90FD9"/>
    <w:rsid w:val="00B9145F"/>
    <w:rsid w:val="00B917C0"/>
    <w:rsid w:val="00B918D1"/>
    <w:rsid w:val="00B91992"/>
    <w:rsid w:val="00B91A38"/>
    <w:rsid w:val="00B91AED"/>
    <w:rsid w:val="00B921A1"/>
    <w:rsid w:val="00B9245F"/>
    <w:rsid w:val="00B92B3E"/>
    <w:rsid w:val="00B93C32"/>
    <w:rsid w:val="00B93F1B"/>
    <w:rsid w:val="00B93F97"/>
    <w:rsid w:val="00B94334"/>
    <w:rsid w:val="00B94E09"/>
    <w:rsid w:val="00B96A23"/>
    <w:rsid w:val="00B96F51"/>
    <w:rsid w:val="00B976EA"/>
    <w:rsid w:val="00B97F40"/>
    <w:rsid w:val="00BA0D33"/>
    <w:rsid w:val="00BA0D6D"/>
    <w:rsid w:val="00BA12A7"/>
    <w:rsid w:val="00BA19C6"/>
    <w:rsid w:val="00BA207C"/>
    <w:rsid w:val="00BA219D"/>
    <w:rsid w:val="00BA228A"/>
    <w:rsid w:val="00BA2452"/>
    <w:rsid w:val="00BA2E69"/>
    <w:rsid w:val="00BA2E94"/>
    <w:rsid w:val="00BA3256"/>
    <w:rsid w:val="00BA441B"/>
    <w:rsid w:val="00BA48B3"/>
    <w:rsid w:val="00BA5068"/>
    <w:rsid w:val="00BA599B"/>
    <w:rsid w:val="00BA5DB9"/>
    <w:rsid w:val="00BA7246"/>
    <w:rsid w:val="00BA78B5"/>
    <w:rsid w:val="00BB05AF"/>
    <w:rsid w:val="00BB05CE"/>
    <w:rsid w:val="00BB09DF"/>
    <w:rsid w:val="00BB2055"/>
    <w:rsid w:val="00BB207D"/>
    <w:rsid w:val="00BB2465"/>
    <w:rsid w:val="00BB2683"/>
    <w:rsid w:val="00BB28C0"/>
    <w:rsid w:val="00BB3AE4"/>
    <w:rsid w:val="00BB3FAF"/>
    <w:rsid w:val="00BB47F2"/>
    <w:rsid w:val="00BB4BCD"/>
    <w:rsid w:val="00BB52EC"/>
    <w:rsid w:val="00BB54EE"/>
    <w:rsid w:val="00BB705D"/>
    <w:rsid w:val="00BC0668"/>
    <w:rsid w:val="00BC066B"/>
    <w:rsid w:val="00BC0AA8"/>
    <w:rsid w:val="00BC0CB6"/>
    <w:rsid w:val="00BC12EB"/>
    <w:rsid w:val="00BC21D2"/>
    <w:rsid w:val="00BC2664"/>
    <w:rsid w:val="00BC2A7B"/>
    <w:rsid w:val="00BC2D21"/>
    <w:rsid w:val="00BC4190"/>
    <w:rsid w:val="00BC43A7"/>
    <w:rsid w:val="00BC4DB6"/>
    <w:rsid w:val="00BC4E72"/>
    <w:rsid w:val="00BC5DB7"/>
    <w:rsid w:val="00BC6252"/>
    <w:rsid w:val="00BC7A64"/>
    <w:rsid w:val="00BC7AFA"/>
    <w:rsid w:val="00BD00F8"/>
    <w:rsid w:val="00BD14C6"/>
    <w:rsid w:val="00BD1548"/>
    <w:rsid w:val="00BD2C48"/>
    <w:rsid w:val="00BD2EB5"/>
    <w:rsid w:val="00BD32AB"/>
    <w:rsid w:val="00BD3A17"/>
    <w:rsid w:val="00BD42BC"/>
    <w:rsid w:val="00BD46F8"/>
    <w:rsid w:val="00BD4AB8"/>
    <w:rsid w:val="00BD4F1F"/>
    <w:rsid w:val="00BD54DA"/>
    <w:rsid w:val="00BD54F7"/>
    <w:rsid w:val="00BD6A10"/>
    <w:rsid w:val="00BD6C31"/>
    <w:rsid w:val="00BD6DD8"/>
    <w:rsid w:val="00BD6EA9"/>
    <w:rsid w:val="00BD757D"/>
    <w:rsid w:val="00BE0321"/>
    <w:rsid w:val="00BE0512"/>
    <w:rsid w:val="00BE1508"/>
    <w:rsid w:val="00BE164C"/>
    <w:rsid w:val="00BE1A5A"/>
    <w:rsid w:val="00BE1A60"/>
    <w:rsid w:val="00BE1DAC"/>
    <w:rsid w:val="00BE2420"/>
    <w:rsid w:val="00BE34DB"/>
    <w:rsid w:val="00BE3B0C"/>
    <w:rsid w:val="00BE4005"/>
    <w:rsid w:val="00BE403D"/>
    <w:rsid w:val="00BE5B67"/>
    <w:rsid w:val="00BE6441"/>
    <w:rsid w:val="00BE652F"/>
    <w:rsid w:val="00BE6D1B"/>
    <w:rsid w:val="00BE712B"/>
    <w:rsid w:val="00BE76B8"/>
    <w:rsid w:val="00BE76C0"/>
    <w:rsid w:val="00BE7B60"/>
    <w:rsid w:val="00BE7F18"/>
    <w:rsid w:val="00BF165F"/>
    <w:rsid w:val="00BF168C"/>
    <w:rsid w:val="00BF1E9F"/>
    <w:rsid w:val="00BF25CD"/>
    <w:rsid w:val="00BF3592"/>
    <w:rsid w:val="00BF362B"/>
    <w:rsid w:val="00BF36F0"/>
    <w:rsid w:val="00BF3A3A"/>
    <w:rsid w:val="00BF523A"/>
    <w:rsid w:val="00BF5432"/>
    <w:rsid w:val="00BF5D4B"/>
    <w:rsid w:val="00BF5E1B"/>
    <w:rsid w:val="00BF5E88"/>
    <w:rsid w:val="00BF64F9"/>
    <w:rsid w:val="00BF65C5"/>
    <w:rsid w:val="00BF6751"/>
    <w:rsid w:val="00BF70FC"/>
    <w:rsid w:val="00BF7DEC"/>
    <w:rsid w:val="00C00DBC"/>
    <w:rsid w:val="00C01235"/>
    <w:rsid w:val="00C013AD"/>
    <w:rsid w:val="00C015B6"/>
    <w:rsid w:val="00C015C6"/>
    <w:rsid w:val="00C01A16"/>
    <w:rsid w:val="00C01AF2"/>
    <w:rsid w:val="00C01B3F"/>
    <w:rsid w:val="00C02565"/>
    <w:rsid w:val="00C026AA"/>
    <w:rsid w:val="00C0388A"/>
    <w:rsid w:val="00C039BB"/>
    <w:rsid w:val="00C0400F"/>
    <w:rsid w:val="00C04DAF"/>
    <w:rsid w:val="00C060D7"/>
    <w:rsid w:val="00C06A34"/>
    <w:rsid w:val="00C075D7"/>
    <w:rsid w:val="00C12228"/>
    <w:rsid w:val="00C12817"/>
    <w:rsid w:val="00C12CDD"/>
    <w:rsid w:val="00C13B48"/>
    <w:rsid w:val="00C13E56"/>
    <w:rsid w:val="00C13E6F"/>
    <w:rsid w:val="00C13F69"/>
    <w:rsid w:val="00C14199"/>
    <w:rsid w:val="00C150D9"/>
    <w:rsid w:val="00C152CB"/>
    <w:rsid w:val="00C1559C"/>
    <w:rsid w:val="00C16DD3"/>
    <w:rsid w:val="00C209F1"/>
    <w:rsid w:val="00C21110"/>
    <w:rsid w:val="00C21CFC"/>
    <w:rsid w:val="00C22C5F"/>
    <w:rsid w:val="00C238E7"/>
    <w:rsid w:val="00C239E7"/>
    <w:rsid w:val="00C244B4"/>
    <w:rsid w:val="00C2461D"/>
    <w:rsid w:val="00C24679"/>
    <w:rsid w:val="00C247D7"/>
    <w:rsid w:val="00C24A0B"/>
    <w:rsid w:val="00C24DD4"/>
    <w:rsid w:val="00C25255"/>
    <w:rsid w:val="00C256C6"/>
    <w:rsid w:val="00C26025"/>
    <w:rsid w:val="00C2608D"/>
    <w:rsid w:val="00C26B59"/>
    <w:rsid w:val="00C27AF5"/>
    <w:rsid w:val="00C27C26"/>
    <w:rsid w:val="00C27E7E"/>
    <w:rsid w:val="00C27FAB"/>
    <w:rsid w:val="00C302C3"/>
    <w:rsid w:val="00C3083F"/>
    <w:rsid w:val="00C31675"/>
    <w:rsid w:val="00C31DE5"/>
    <w:rsid w:val="00C32178"/>
    <w:rsid w:val="00C33129"/>
    <w:rsid w:val="00C3337A"/>
    <w:rsid w:val="00C33BC4"/>
    <w:rsid w:val="00C33DBB"/>
    <w:rsid w:val="00C34859"/>
    <w:rsid w:val="00C34BB5"/>
    <w:rsid w:val="00C353AA"/>
    <w:rsid w:val="00C355E0"/>
    <w:rsid w:val="00C35966"/>
    <w:rsid w:val="00C35A74"/>
    <w:rsid w:val="00C36836"/>
    <w:rsid w:val="00C369CD"/>
    <w:rsid w:val="00C37AE3"/>
    <w:rsid w:val="00C37FF0"/>
    <w:rsid w:val="00C406EF"/>
    <w:rsid w:val="00C4095E"/>
    <w:rsid w:val="00C40AE8"/>
    <w:rsid w:val="00C40C42"/>
    <w:rsid w:val="00C40DF8"/>
    <w:rsid w:val="00C40F62"/>
    <w:rsid w:val="00C413C3"/>
    <w:rsid w:val="00C4169F"/>
    <w:rsid w:val="00C41E9E"/>
    <w:rsid w:val="00C42069"/>
    <w:rsid w:val="00C4293F"/>
    <w:rsid w:val="00C430D8"/>
    <w:rsid w:val="00C43133"/>
    <w:rsid w:val="00C43D22"/>
    <w:rsid w:val="00C43DD7"/>
    <w:rsid w:val="00C44195"/>
    <w:rsid w:val="00C449FE"/>
    <w:rsid w:val="00C45070"/>
    <w:rsid w:val="00C45483"/>
    <w:rsid w:val="00C461BE"/>
    <w:rsid w:val="00C46E26"/>
    <w:rsid w:val="00C47DB2"/>
    <w:rsid w:val="00C47EEC"/>
    <w:rsid w:val="00C508BB"/>
    <w:rsid w:val="00C50AAE"/>
    <w:rsid w:val="00C52287"/>
    <w:rsid w:val="00C522E5"/>
    <w:rsid w:val="00C5262D"/>
    <w:rsid w:val="00C543B2"/>
    <w:rsid w:val="00C54F15"/>
    <w:rsid w:val="00C55CB9"/>
    <w:rsid w:val="00C55DF9"/>
    <w:rsid w:val="00C565CA"/>
    <w:rsid w:val="00C56A01"/>
    <w:rsid w:val="00C57178"/>
    <w:rsid w:val="00C57704"/>
    <w:rsid w:val="00C57724"/>
    <w:rsid w:val="00C601D0"/>
    <w:rsid w:val="00C60532"/>
    <w:rsid w:val="00C60E07"/>
    <w:rsid w:val="00C612D1"/>
    <w:rsid w:val="00C614EB"/>
    <w:rsid w:val="00C616AD"/>
    <w:rsid w:val="00C6220C"/>
    <w:rsid w:val="00C62934"/>
    <w:rsid w:val="00C62F44"/>
    <w:rsid w:val="00C63242"/>
    <w:rsid w:val="00C64CC1"/>
    <w:rsid w:val="00C65FE0"/>
    <w:rsid w:val="00C664F3"/>
    <w:rsid w:val="00C66756"/>
    <w:rsid w:val="00C66BDF"/>
    <w:rsid w:val="00C67697"/>
    <w:rsid w:val="00C705CD"/>
    <w:rsid w:val="00C709C7"/>
    <w:rsid w:val="00C70B99"/>
    <w:rsid w:val="00C70F18"/>
    <w:rsid w:val="00C70FD5"/>
    <w:rsid w:val="00C711ED"/>
    <w:rsid w:val="00C712EF"/>
    <w:rsid w:val="00C71621"/>
    <w:rsid w:val="00C71753"/>
    <w:rsid w:val="00C71CA0"/>
    <w:rsid w:val="00C73309"/>
    <w:rsid w:val="00C74457"/>
    <w:rsid w:val="00C748B8"/>
    <w:rsid w:val="00C74911"/>
    <w:rsid w:val="00C7544F"/>
    <w:rsid w:val="00C754E3"/>
    <w:rsid w:val="00C7560C"/>
    <w:rsid w:val="00C75ABC"/>
    <w:rsid w:val="00C75DBF"/>
    <w:rsid w:val="00C767B6"/>
    <w:rsid w:val="00C7718D"/>
    <w:rsid w:val="00C8020A"/>
    <w:rsid w:val="00C804DF"/>
    <w:rsid w:val="00C81B9D"/>
    <w:rsid w:val="00C8274A"/>
    <w:rsid w:val="00C8290A"/>
    <w:rsid w:val="00C834A5"/>
    <w:rsid w:val="00C83A7A"/>
    <w:rsid w:val="00C83CAC"/>
    <w:rsid w:val="00C83F1A"/>
    <w:rsid w:val="00C84B53"/>
    <w:rsid w:val="00C84D1E"/>
    <w:rsid w:val="00C84D83"/>
    <w:rsid w:val="00C857B5"/>
    <w:rsid w:val="00C86519"/>
    <w:rsid w:val="00C8696D"/>
    <w:rsid w:val="00C86A4E"/>
    <w:rsid w:val="00C86BCD"/>
    <w:rsid w:val="00C90871"/>
    <w:rsid w:val="00C91168"/>
    <w:rsid w:val="00C919E0"/>
    <w:rsid w:val="00C91DE5"/>
    <w:rsid w:val="00C92208"/>
    <w:rsid w:val="00C9244B"/>
    <w:rsid w:val="00C92A9F"/>
    <w:rsid w:val="00C93398"/>
    <w:rsid w:val="00C9389A"/>
    <w:rsid w:val="00C941F7"/>
    <w:rsid w:val="00C9484A"/>
    <w:rsid w:val="00C94944"/>
    <w:rsid w:val="00C94AB7"/>
    <w:rsid w:val="00C94C9E"/>
    <w:rsid w:val="00C95BA4"/>
    <w:rsid w:val="00C9717E"/>
    <w:rsid w:val="00C97360"/>
    <w:rsid w:val="00C97B1B"/>
    <w:rsid w:val="00C97BE6"/>
    <w:rsid w:val="00CA03C3"/>
    <w:rsid w:val="00CA0935"/>
    <w:rsid w:val="00CA0AC0"/>
    <w:rsid w:val="00CA168C"/>
    <w:rsid w:val="00CA1694"/>
    <w:rsid w:val="00CA216A"/>
    <w:rsid w:val="00CA2520"/>
    <w:rsid w:val="00CA3ABF"/>
    <w:rsid w:val="00CA3D6B"/>
    <w:rsid w:val="00CA4917"/>
    <w:rsid w:val="00CA4C98"/>
    <w:rsid w:val="00CA4E0C"/>
    <w:rsid w:val="00CA56F3"/>
    <w:rsid w:val="00CA5831"/>
    <w:rsid w:val="00CA5C16"/>
    <w:rsid w:val="00CA5C66"/>
    <w:rsid w:val="00CA6B24"/>
    <w:rsid w:val="00CA7F85"/>
    <w:rsid w:val="00CB0232"/>
    <w:rsid w:val="00CB05D0"/>
    <w:rsid w:val="00CB08DE"/>
    <w:rsid w:val="00CB0916"/>
    <w:rsid w:val="00CB15F0"/>
    <w:rsid w:val="00CB196D"/>
    <w:rsid w:val="00CB1A92"/>
    <w:rsid w:val="00CB1CA1"/>
    <w:rsid w:val="00CB1E28"/>
    <w:rsid w:val="00CB30AF"/>
    <w:rsid w:val="00CB3205"/>
    <w:rsid w:val="00CB553D"/>
    <w:rsid w:val="00CB63B6"/>
    <w:rsid w:val="00CB729A"/>
    <w:rsid w:val="00CC028F"/>
    <w:rsid w:val="00CC05B8"/>
    <w:rsid w:val="00CC0D73"/>
    <w:rsid w:val="00CC321D"/>
    <w:rsid w:val="00CC339A"/>
    <w:rsid w:val="00CC36EA"/>
    <w:rsid w:val="00CC4407"/>
    <w:rsid w:val="00CC47D4"/>
    <w:rsid w:val="00CC4E2D"/>
    <w:rsid w:val="00CC525F"/>
    <w:rsid w:val="00CC57A5"/>
    <w:rsid w:val="00CC5859"/>
    <w:rsid w:val="00CC59AB"/>
    <w:rsid w:val="00CC5ECA"/>
    <w:rsid w:val="00CC6004"/>
    <w:rsid w:val="00CC69DE"/>
    <w:rsid w:val="00CC75BA"/>
    <w:rsid w:val="00CD1907"/>
    <w:rsid w:val="00CD2DBC"/>
    <w:rsid w:val="00CD2EFB"/>
    <w:rsid w:val="00CD32ED"/>
    <w:rsid w:val="00CD35EB"/>
    <w:rsid w:val="00CD3AEB"/>
    <w:rsid w:val="00CD62F2"/>
    <w:rsid w:val="00CD6615"/>
    <w:rsid w:val="00CD7185"/>
    <w:rsid w:val="00CD775A"/>
    <w:rsid w:val="00CD7957"/>
    <w:rsid w:val="00CD7DD8"/>
    <w:rsid w:val="00CD7EF7"/>
    <w:rsid w:val="00CD7FEF"/>
    <w:rsid w:val="00CE1236"/>
    <w:rsid w:val="00CE2885"/>
    <w:rsid w:val="00CE368E"/>
    <w:rsid w:val="00CE3910"/>
    <w:rsid w:val="00CE47A8"/>
    <w:rsid w:val="00CE5284"/>
    <w:rsid w:val="00CE632C"/>
    <w:rsid w:val="00CE653C"/>
    <w:rsid w:val="00CE6FA8"/>
    <w:rsid w:val="00CE7932"/>
    <w:rsid w:val="00CE7A1D"/>
    <w:rsid w:val="00CF0345"/>
    <w:rsid w:val="00CF0C16"/>
    <w:rsid w:val="00CF106E"/>
    <w:rsid w:val="00CF1210"/>
    <w:rsid w:val="00CF15F0"/>
    <w:rsid w:val="00CF44C9"/>
    <w:rsid w:val="00CF59DB"/>
    <w:rsid w:val="00CF5A95"/>
    <w:rsid w:val="00CF6112"/>
    <w:rsid w:val="00CF65F2"/>
    <w:rsid w:val="00CF6A41"/>
    <w:rsid w:val="00CF6DF9"/>
    <w:rsid w:val="00CF7536"/>
    <w:rsid w:val="00CF7822"/>
    <w:rsid w:val="00CF7AA3"/>
    <w:rsid w:val="00CF7F64"/>
    <w:rsid w:val="00D005C8"/>
    <w:rsid w:val="00D007CF"/>
    <w:rsid w:val="00D007FC"/>
    <w:rsid w:val="00D00E73"/>
    <w:rsid w:val="00D0185A"/>
    <w:rsid w:val="00D02529"/>
    <w:rsid w:val="00D03501"/>
    <w:rsid w:val="00D037BD"/>
    <w:rsid w:val="00D03F0C"/>
    <w:rsid w:val="00D067E4"/>
    <w:rsid w:val="00D07AA5"/>
    <w:rsid w:val="00D07ACC"/>
    <w:rsid w:val="00D07C3B"/>
    <w:rsid w:val="00D07C76"/>
    <w:rsid w:val="00D11493"/>
    <w:rsid w:val="00D11578"/>
    <w:rsid w:val="00D119F7"/>
    <w:rsid w:val="00D11E2A"/>
    <w:rsid w:val="00D137D9"/>
    <w:rsid w:val="00D13BF9"/>
    <w:rsid w:val="00D13C27"/>
    <w:rsid w:val="00D144A9"/>
    <w:rsid w:val="00D146A5"/>
    <w:rsid w:val="00D146F0"/>
    <w:rsid w:val="00D1510D"/>
    <w:rsid w:val="00D159C2"/>
    <w:rsid w:val="00D16453"/>
    <w:rsid w:val="00D1656D"/>
    <w:rsid w:val="00D1685E"/>
    <w:rsid w:val="00D17950"/>
    <w:rsid w:val="00D20F17"/>
    <w:rsid w:val="00D21308"/>
    <w:rsid w:val="00D216A4"/>
    <w:rsid w:val="00D21FB0"/>
    <w:rsid w:val="00D2381E"/>
    <w:rsid w:val="00D2494B"/>
    <w:rsid w:val="00D24C37"/>
    <w:rsid w:val="00D26CC8"/>
    <w:rsid w:val="00D27078"/>
    <w:rsid w:val="00D270F4"/>
    <w:rsid w:val="00D271BE"/>
    <w:rsid w:val="00D276AA"/>
    <w:rsid w:val="00D30193"/>
    <w:rsid w:val="00D307C9"/>
    <w:rsid w:val="00D3307A"/>
    <w:rsid w:val="00D33388"/>
    <w:rsid w:val="00D33452"/>
    <w:rsid w:val="00D34D8F"/>
    <w:rsid w:val="00D34E6F"/>
    <w:rsid w:val="00D34F9B"/>
    <w:rsid w:val="00D353FA"/>
    <w:rsid w:val="00D36185"/>
    <w:rsid w:val="00D369E2"/>
    <w:rsid w:val="00D37526"/>
    <w:rsid w:val="00D401EC"/>
    <w:rsid w:val="00D409F8"/>
    <w:rsid w:val="00D40FB1"/>
    <w:rsid w:val="00D422DB"/>
    <w:rsid w:val="00D42DA4"/>
    <w:rsid w:val="00D42EDD"/>
    <w:rsid w:val="00D43439"/>
    <w:rsid w:val="00D43468"/>
    <w:rsid w:val="00D43839"/>
    <w:rsid w:val="00D439CC"/>
    <w:rsid w:val="00D44421"/>
    <w:rsid w:val="00D44AF8"/>
    <w:rsid w:val="00D45275"/>
    <w:rsid w:val="00D465C8"/>
    <w:rsid w:val="00D46AF2"/>
    <w:rsid w:val="00D47A03"/>
    <w:rsid w:val="00D47C6E"/>
    <w:rsid w:val="00D47DEB"/>
    <w:rsid w:val="00D50955"/>
    <w:rsid w:val="00D50B36"/>
    <w:rsid w:val="00D51587"/>
    <w:rsid w:val="00D53A26"/>
    <w:rsid w:val="00D53C22"/>
    <w:rsid w:val="00D53D0B"/>
    <w:rsid w:val="00D54790"/>
    <w:rsid w:val="00D5488E"/>
    <w:rsid w:val="00D554E7"/>
    <w:rsid w:val="00D5569F"/>
    <w:rsid w:val="00D55A27"/>
    <w:rsid w:val="00D55BF8"/>
    <w:rsid w:val="00D5633A"/>
    <w:rsid w:val="00D56962"/>
    <w:rsid w:val="00D56FA2"/>
    <w:rsid w:val="00D571D2"/>
    <w:rsid w:val="00D60078"/>
    <w:rsid w:val="00D61662"/>
    <w:rsid w:val="00D62741"/>
    <w:rsid w:val="00D628B5"/>
    <w:rsid w:val="00D62928"/>
    <w:rsid w:val="00D62F15"/>
    <w:rsid w:val="00D638D6"/>
    <w:rsid w:val="00D63C6B"/>
    <w:rsid w:val="00D64EA9"/>
    <w:rsid w:val="00D64FF9"/>
    <w:rsid w:val="00D651CB"/>
    <w:rsid w:val="00D661F4"/>
    <w:rsid w:val="00D70242"/>
    <w:rsid w:val="00D70438"/>
    <w:rsid w:val="00D713E5"/>
    <w:rsid w:val="00D72A42"/>
    <w:rsid w:val="00D72BE2"/>
    <w:rsid w:val="00D730A8"/>
    <w:rsid w:val="00D733D9"/>
    <w:rsid w:val="00D7384F"/>
    <w:rsid w:val="00D7429A"/>
    <w:rsid w:val="00D7523F"/>
    <w:rsid w:val="00D757CB"/>
    <w:rsid w:val="00D759A7"/>
    <w:rsid w:val="00D76845"/>
    <w:rsid w:val="00D76E47"/>
    <w:rsid w:val="00D76F92"/>
    <w:rsid w:val="00D7773F"/>
    <w:rsid w:val="00D80174"/>
    <w:rsid w:val="00D804E7"/>
    <w:rsid w:val="00D80D29"/>
    <w:rsid w:val="00D80EEE"/>
    <w:rsid w:val="00D81913"/>
    <w:rsid w:val="00D81A31"/>
    <w:rsid w:val="00D82B0F"/>
    <w:rsid w:val="00D8444C"/>
    <w:rsid w:val="00D845FA"/>
    <w:rsid w:val="00D8583A"/>
    <w:rsid w:val="00D85840"/>
    <w:rsid w:val="00D867A5"/>
    <w:rsid w:val="00D86958"/>
    <w:rsid w:val="00D869F0"/>
    <w:rsid w:val="00D87A34"/>
    <w:rsid w:val="00D87BBF"/>
    <w:rsid w:val="00D87DC6"/>
    <w:rsid w:val="00D90440"/>
    <w:rsid w:val="00D9071C"/>
    <w:rsid w:val="00D91871"/>
    <w:rsid w:val="00D91A11"/>
    <w:rsid w:val="00D93046"/>
    <w:rsid w:val="00D93156"/>
    <w:rsid w:val="00D93796"/>
    <w:rsid w:val="00D93E69"/>
    <w:rsid w:val="00D9402E"/>
    <w:rsid w:val="00D95B3B"/>
    <w:rsid w:val="00D96C9E"/>
    <w:rsid w:val="00D96DA7"/>
    <w:rsid w:val="00D9746C"/>
    <w:rsid w:val="00DA0A9C"/>
    <w:rsid w:val="00DA13D0"/>
    <w:rsid w:val="00DA1DFB"/>
    <w:rsid w:val="00DA200E"/>
    <w:rsid w:val="00DA21BE"/>
    <w:rsid w:val="00DA2889"/>
    <w:rsid w:val="00DA336D"/>
    <w:rsid w:val="00DA3404"/>
    <w:rsid w:val="00DA342F"/>
    <w:rsid w:val="00DA3483"/>
    <w:rsid w:val="00DA380D"/>
    <w:rsid w:val="00DA399E"/>
    <w:rsid w:val="00DA3EB0"/>
    <w:rsid w:val="00DA42A3"/>
    <w:rsid w:val="00DA4692"/>
    <w:rsid w:val="00DA51DD"/>
    <w:rsid w:val="00DA54EA"/>
    <w:rsid w:val="00DA5561"/>
    <w:rsid w:val="00DA5775"/>
    <w:rsid w:val="00DA58C6"/>
    <w:rsid w:val="00DA5F0D"/>
    <w:rsid w:val="00DA6F5F"/>
    <w:rsid w:val="00DA747D"/>
    <w:rsid w:val="00DA7980"/>
    <w:rsid w:val="00DB01EC"/>
    <w:rsid w:val="00DB0F19"/>
    <w:rsid w:val="00DB235A"/>
    <w:rsid w:val="00DB23CB"/>
    <w:rsid w:val="00DB391F"/>
    <w:rsid w:val="00DB4C1F"/>
    <w:rsid w:val="00DB513A"/>
    <w:rsid w:val="00DB5371"/>
    <w:rsid w:val="00DB605E"/>
    <w:rsid w:val="00DB66F0"/>
    <w:rsid w:val="00DB6B53"/>
    <w:rsid w:val="00DB6BD2"/>
    <w:rsid w:val="00DB6C19"/>
    <w:rsid w:val="00DB79EC"/>
    <w:rsid w:val="00DC0594"/>
    <w:rsid w:val="00DC0D4A"/>
    <w:rsid w:val="00DC185D"/>
    <w:rsid w:val="00DC1D3A"/>
    <w:rsid w:val="00DC22C5"/>
    <w:rsid w:val="00DC26C3"/>
    <w:rsid w:val="00DC2A86"/>
    <w:rsid w:val="00DC2AFC"/>
    <w:rsid w:val="00DC2B5E"/>
    <w:rsid w:val="00DC2EA0"/>
    <w:rsid w:val="00DC34EE"/>
    <w:rsid w:val="00DC38FD"/>
    <w:rsid w:val="00DC436B"/>
    <w:rsid w:val="00DC4575"/>
    <w:rsid w:val="00DC56A4"/>
    <w:rsid w:val="00DC6611"/>
    <w:rsid w:val="00DC7D49"/>
    <w:rsid w:val="00DD12CF"/>
    <w:rsid w:val="00DD1A90"/>
    <w:rsid w:val="00DD383B"/>
    <w:rsid w:val="00DD4124"/>
    <w:rsid w:val="00DD4199"/>
    <w:rsid w:val="00DD42A7"/>
    <w:rsid w:val="00DD4C21"/>
    <w:rsid w:val="00DD5AF5"/>
    <w:rsid w:val="00DD5F63"/>
    <w:rsid w:val="00DD615E"/>
    <w:rsid w:val="00DD6D8E"/>
    <w:rsid w:val="00DD7615"/>
    <w:rsid w:val="00DE0649"/>
    <w:rsid w:val="00DE168F"/>
    <w:rsid w:val="00DE1D4E"/>
    <w:rsid w:val="00DE1E38"/>
    <w:rsid w:val="00DE2C5E"/>
    <w:rsid w:val="00DE2E46"/>
    <w:rsid w:val="00DE3BB0"/>
    <w:rsid w:val="00DE4164"/>
    <w:rsid w:val="00DE504B"/>
    <w:rsid w:val="00DE6E1C"/>
    <w:rsid w:val="00DE71D2"/>
    <w:rsid w:val="00DE7B2C"/>
    <w:rsid w:val="00DE7DD6"/>
    <w:rsid w:val="00DF137E"/>
    <w:rsid w:val="00DF1557"/>
    <w:rsid w:val="00DF2DF8"/>
    <w:rsid w:val="00DF46DB"/>
    <w:rsid w:val="00DF4CFD"/>
    <w:rsid w:val="00DF4D4F"/>
    <w:rsid w:val="00DF4E40"/>
    <w:rsid w:val="00DF5027"/>
    <w:rsid w:val="00DF562C"/>
    <w:rsid w:val="00DF56BC"/>
    <w:rsid w:val="00DF5A91"/>
    <w:rsid w:val="00DF5F09"/>
    <w:rsid w:val="00DF6063"/>
    <w:rsid w:val="00DF6673"/>
    <w:rsid w:val="00DF7211"/>
    <w:rsid w:val="00E00302"/>
    <w:rsid w:val="00E00D75"/>
    <w:rsid w:val="00E00F22"/>
    <w:rsid w:val="00E01079"/>
    <w:rsid w:val="00E016C7"/>
    <w:rsid w:val="00E018A4"/>
    <w:rsid w:val="00E023C4"/>
    <w:rsid w:val="00E034B9"/>
    <w:rsid w:val="00E03A6F"/>
    <w:rsid w:val="00E05F3F"/>
    <w:rsid w:val="00E06347"/>
    <w:rsid w:val="00E06A04"/>
    <w:rsid w:val="00E06FCB"/>
    <w:rsid w:val="00E102DB"/>
    <w:rsid w:val="00E11FAE"/>
    <w:rsid w:val="00E12152"/>
    <w:rsid w:val="00E129AC"/>
    <w:rsid w:val="00E12EE0"/>
    <w:rsid w:val="00E12F71"/>
    <w:rsid w:val="00E131F6"/>
    <w:rsid w:val="00E1390E"/>
    <w:rsid w:val="00E14136"/>
    <w:rsid w:val="00E14A1A"/>
    <w:rsid w:val="00E14D52"/>
    <w:rsid w:val="00E14FF2"/>
    <w:rsid w:val="00E15101"/>
    <w:rsid w:val="00E154F9"/>
    <w:rsid w:val="00E155B8"/>
    <w:rsid w:val="00E156DC"/>
    <w:rsid w:val="00E16787"/>
    <w:rsid w:val="00E16D39"/>
    <w:rsid w:val="00E16D4D"/>
    <w:rsid w:val="00E16E15"/>
    <w:rsid w:val="00E1787B"/>
    <w:rsid w:val="00E202CD"/>
    <w:rsid w:val="00E20B4F"/>
    <w:rsid w:val="00E21AEF"/>
    <w:rsid w:val="00E21BE5"/>
    <w:rsid w:val="00E21C33"/>
    <w:rsid w:val="00E21D3D"/>
    <w:rsid w:val="00E22988"/>
    <w:rsid w:val="00E22F5D"/>
    <w:rsid w:val="00E2302F"/>
    <w:rsid w:val="00E234B8"/>
    <w:rsid w:val="00E242C7"/>
    <w:rsid w:val="00E24377"/>
    <w:rsid w:val="00E24389"/>
    <w:rsid w:val="00E246AB"/>
    <w:rsid w:val="00E246FD"/>
    <w:rsid w:val="00E2488F"/>
    <w:rsid w:val="00E25134"/>
    <w:rsid w:val="00E2633B"/>
    <w:rsid w:val="00E264F9"/>
    <w:rsid w:val="00E26701"/>
    <w:rsid w:val="00E26EE9"/>
    <w:rsid w:val="00E27140"/>
    <w:rsid w:val="00E277C0"/>
    <w:rsid w:val="00E309B8"/>
    <w:rsid w:val="00E30F03"/>
    <w:rsid w:val="00E313ED"/>
    <w:rsid w:val="00E322D4"/>
    <w:rsid w:val="00E32D9E"/>
    <w:rsid w:val="00E33976"/>
    <w:rsid w:val="00E343E1"/>
    <w:rsid w:val="00E34429"/>
    <w:rsid w:val="00E35802"/>
    <w:rsid w:val="00E35E35"/>
    <w:rsid w:val="00E36363"/>
    <w:rsid w:val="00E367DB"/>
    <w:rsid w:val="00E36EF2"/>
    <w:rsid w:val="00E37168"/>
    <w:rsid w:val="00E3721C"/>
    <w:rsid w:val="00E40261"/>
    <w:rsid w:val="00E403CF"/>
    <w:rsid w:val="00E403F5"/>
    <w:rsid w:val="00E404C5"/>
    <w:rsid w:val="00E40728"/>
    <w:rsid w:val="00E40802"/>
    <w:rsid w:val="00E4165D"/>
    <w:rsid w:val="00E416AA"/>
    <w:rsid w:val="00E41C51"/>
    <w:rsid w:val="00E42F7C"/>
    <w:rsid w:val="00E42FE9"/>
    <w:rsid w:val="00E4362B"/>
    <w:rsid w:val="00E446D1"/>
    <w:rsid w:val="00E44824"/>
    <w:rsid w:val="00E44E09"/>
    <w:rsid w:val="00E4527A"/>
    <w:rsid w:val="00E4542F"/>
    <w:rsid w:val="00E4685E"/>
    <w:rsid w:val="00E469A2"/>
    <w:rsid w:val="00E46E0C"/>
    <w:rsid w:val="00E4721C"/>
    <w:rsid w:val="00E47746"/>
    <w:rsid w:val="00E503FA"/>
    <w:rsid w:val="00E50A5A"/>
    <w:rsid w:val="00E50F0F"/>
    <w:rsid w:val="00E512DD"/>
    <w:rsid w:val="00E514CA"/>
    <w:rsid w:val="00E527AF"/>
    <w:rsid w:val="00E5293B"/>
    <w:rsid w:val="00E53A83"/>
    <w:rsid w:val="00E53CC8"/>
    <w:rsid w:val="00E54AC7"/>
    <w:rsid w:val="00E54C31"/>
    <w:rsid w:val="00E54F1A"/>
    <w:rsid w:val="00E55260"/>
    <w:rsid w:val="00E55600"/>
    <w:rsid w:val="00E559C0"/>
    <w:rsid w:val="00E56265"/>
    <w:rsid w:val="00E565BB"/>
    <w:rsid w:val="00E565C3"/>
    <w:rsid w:val="00E57056"/>
    <w:rsid w:val="00E570DA"/>
    <w:rsid w:val="00E60BAA"/>
    <w:rsid w:val="00E61128"/>
    <w:rsid w:val="00E613AE"/>
    <w:rsid w:val="00E618CD"/>
    <w:rsid w:val="00E623F7"/>
    <w:rsid w:val="00E62695"/>
    <w:rsid w:val="00E63AB3"/>
    <w:rsid w:val="00E64271"/>
    <w:rsid w:val="00E6502B"/>
    <w:rsid w:val="00E65831"/>
    <w:rsid w:val="00E6631A"/>
    <w:rsid w:val="00E66370"/>
    <w:rsid w:val="00E66821"/>
    <w:rsid w:val="00E67406"/>
    <w:rsid w:val="00E6759F"/>
    <w:rsid w:val="00E67A78"/>
    <w:rsid w:val="00E70208"/>
    <w:rsid w:val="00E70282"/>
    <w:rsid w:val="00E709A9"/>
    <w:rsid w:val="00E70AAB"/>
    <w:rsid w:val="00E70F5E"/>
    <w:rsid w:val="00E71045"/>
    <w:rsid w:val="00E71139"/>
    <w:rsid w:val="00E718B5"/>
    <w:rsid w:val="00E71E39"/>
    <w:rsid w:val="00E72150"/>
    <w:rsid w:val="00E7280D"/>
    <w:rsid w:val="00E7372E"/>
    <w:rsid w:val="00E73DE3"/>
    <w:rsid w:val="00E73DF0"/>
    <w:rsid w:val="00E740DF"/>
    <w:rsid w:val="00E74440"/>
    <w:rsid w:val="00E746A8"/>
    <w:rsid w:val="00E747DB"/>
    <w:rsid w:val="00E74ED1"/>
    <w:rsid w:val="00E75265"/>
    <w:rsid w:val="00E757A1"/>
    <w:rsid w:val="00E7620A"/>
    <w:rsid w:val="00E7652A"/>
    <w:rsid w:val="00E765B2"/>
    <w:rsid w:val="00E7695E"/>
    <w:rsid w:val="00E76C75"/>
    <w:rsid w:val="00E77129"/>
    <w:rsid w:val="00E77A0C"/>
    <w:rsid w:val="00E80210"/>
    <w:rsid w:val="00E80C7C"/>
    <w:rsid w:val="00E8187B"/>
    <w:rsid w:val="00E82132"/>
    <w:rsid w:val="00E823DD"/>
    <w:rsid w:val="00E82D48"/>
    <w:rsid w:val="00E83099"/>
    <w:rsid w:val="00E85029"/>
    <w:rsid w:val="00E85088"/>
    <w:rsid w:val="00E8564B"/>
    <w:rsid w:val="00E856B7"/>
    <w:rsid w:val="00E856C4"/>
    <w:rsid w:val="00E8577E"/>
    <w:rsid w:val="00E867F2"/>
    <w:rsid w:val="00E86EE3"/>
    <w:rsid w:val="00E875F8"/>
    <w:rsid w:val="00E87773"/>
    <w:rsid w:val="00E8779C"/>
    <w:rsid w:val="00E902AA"/>
    <w:rsid w:val="00E90CB9"/>
    <w:rsid w:val="00E92409"/>
    <w:rsid w:val="00E931C1"/>
    <w:rsid w:val="00E9342D"/>
    <w:rsid w:val="00E93DAE"/>
    <w:rsid w:val="00E940E4"/>
    <w:rsid w:val="00E9563E"/>
    <w:rsid w:val="00E95C3C"/>
    <w:rsid w:val="00E96845"/>
    <w:rsid w:val="00EA10C4"/>
    <w:rsid w:val="00EA1302"/>
    <w:rsid w:val="00EA1B01"/>
    <w:rsid w:val="00EA1D55"/>
    <w:rsid w:val="00EA1E9D"/>
    <w:rsid w:val="00EA360E"/>
    <w:rsid w:val="00EA3969"/>
    <w:rsid w:val="00EA4735"/>
    <w:rsid w:val="00EA4E06"/>
    <w:rsid w:val="00EA52D6"/>
    <w:rsid w:val="00EA52E4"/>
    <w:rsid w:val="00EA5C26"/>
    <w:rsid w:val="00EA6619"/>
    <w:rsid w:val="00EA751E"/>
    <w:rsid w:val="00EA77C4"/>
    <w:rsid w:val="00EA7B8F"/>
    <w:rsid w:val="00EA7D74"/>
    <w:rsid w:val="00EA7DEA"/>
    <w:rsid w:val="00EB1CE8"/>
    <w:rsid w:val="00EB280C"/>
    <w:rsid w:val="00EB307D"/>
    <w:rsid w:val="00EB3302"/>
    <w:rsid w:val="00EB4088"/>
    <w:rsid w:val="00EB4156"/>
    <w:rsid w:val="00EB4FEA"/>
    <w:rsid w:val="00EB5451"/>
    <w:rsid w:val="00EB566C"/>
    <w:rsid w:val="00EB582E"/>
    <w:rsid w:val="00EB5B8D"/>
    <w:rsid w:val="00EB5BA2"/>
    <w:rsid w:val="00EB5DDA"/>
    <w:rsid w:val="00EB60E8"/>
    <w:rsid w:val="00EB61FF"/>
    <w:rsid w:val="00EB6597"/>
    <w:rsid w:val="00EB65F4"/>
    <w:rsid w:val="00EB6C35"/>
    <w:rsid w:val="00EB6FB5"/>
    <w:rsid w:val="00EC2EB2"/>
    <w:rsid w:val="00EC2F38"/>
    <w:rsid w:val="00EC3693"/>
    <w:rsid w:val="00EC3C41"/>
    <w:rsid w:val="00EC47DA"/>
    <w:rsid w:val="00EC4BA6"/>
    <w:rsid w:val="00EC4FEB"/>
    <w:rsid w:val="00EC59BA"/>
    <w:rsid w:val="00EC5D47"/>
    <w:rsid w:val="00EC645C"/>
    <w:rsid w:val="00EC6799"/>
    <w:rsid w:val="00EC6BDA"/>
    <w:rsid w:val="00EC71DE"/>
    <w:rsid w:val="00EC77F2"/>
    <w:rsid w:val="00ED046B"/>
    <w:rsid w:val="00ED1070"/>
    <w:rsid w:val="00ED1BC8"/>
    <w:rsid w:val="00ED1C16"/>
    <w:rsid w:val="00ED24E1"/>
    <w:rsid w:val="00ED29F4"/>
    <w:rsid w:val="00ED3895"/>
    <w:rsid w:val="00ED4C73"/>
    <w:rsid w:val="00ED75A8"/>
    <w:rsid w:val="00ED78A9"/>
    <w:rsid w:val="00ED7CCC"/>
    <w:rsid w:val="00EE14D2"/>
    <w:rsid w:val="00EE168C"/>
    <w:rsid w:val="00EE1C45"/>
    <w:rsid w:val="00EE240D"/>
    <w:rsid w:val="00EE25A1"/>
    <w:rsid w:val="00EE3262"/>
    <w:rsid w:val="00EE347E"/>
    <w:rsid w:val="00EE35DD"/>
    <w:rsid w:val="00EE378E"/>
    <w:rsid w:val="00EE37D3"/>
    <w:rsid w:val="00EE3D97"/>
    <w:rsid w:val="00EE3D9F"/>
    <w:rsid w:val="00EE44C3"/>
    <w:rsid w:val="00EE4527"/>
    <w:rsid w:val="00EE566B"/>
    <w:rsid w:val="00EE595A"/>
    <w:rsid w:val="00EE5FF2"/>
    <w:rsid w:val="00EE6E74"/>
    <w:rsid w:val="00EE75AE"/>
    <w:rsid w:val="00EF048F"/>
    <w:rsid w:val="00EF0B4F"/>
    <w:rsid w:val="00EF1A7F"/>
    <w:rsid w:val="00EF1B7E"/>
    <w:rsid w:val="00EF1FEF"/>
    <w:rsid w:val="00EF2B84"/>
    <w:rsid w:val="00EF338C"/>
    <w:rsid w:val="00EF4C8A"/>
    <w:rsid w:val="00EF5858"/>
    <w:rsid w:val="00EF5B71"/>
    <w:rsid w:val="00EF65F3"/>
    <w:rsid w:val="00EF7B2E"/>
    <w:rsid w:val="00F004A9"/>
    <w:rsid w:val="00F0098F"/>
    <w:rsid w:val="00F0144F"/>
    <w:rsid w:val="00F015C0"/>
    <w:rsid w:val="00F019C9"/>
    <w:rsid w:val="00F01EB7"/>
    <w:rsid w:val="00F0345D"/>
    <w:rsid w:val="00F03842"/>
    <w:rsid w:val="00F03C2E"/>
    <w:rsid w:val="00F0491E"/>
    <w:rsid w:val="00F05C2F"/>
    <w:rsid w:val="00F0638E"/>
    <w:rsid w:val="00F06CC2"/>
    <w:rsid w:val="00F07005"/>
    <w:rsid w:val="00F10A57"/>
    <w:rsid w:val="00F10A84"/>
    <w:rsid w:val="00F11365"/>
    <w:rsid w:val="00F113BD"/>
    <w:rsid w:val="00F11687"/>
    <w:rsid w:val="00F136B0"/>
    <w:rsid w:val="00F137BD"/>
    <w:rsid w:val="00F13C72"/>
    <w:rsid w:val="00F13D60"/>
    <w:rsid w:val="00F13EE7"/>
    <w:rsid w:val="00F140F0"/>
    <w:rsid w:val="00F15210"/>
    <w:rsid w:val="00F16018"/>
    <w:rsid w:val="00F169EC"/>
    <w:rsid w:val="00F16C8D"/>
    <w:rsid w:val="00F16D64"/>
    <w:rsid w:val="00F1733A"/>
    <w:rsid w:val="00F17488"/>
    <w:rsid w:val="00F17CF5"/>
    <w:rsid w:val="00F17DF0"/>
    <w:rsid w:val="00F20BA2"/>
    <w:rsid w:val="00F212EA"/>
    <w:rsid w:val="00F21A95"/>
    <w:rsid w:val="00F21B0E"/>
    <w:rsid w:val="00F22295"/>
    <w:rsid w:val="00F224C1"/>
    <w:rsid w:val="00F22903"/>
    <w:rsid w:val="00F22FF5"/>
    <w:rsid w:val="00F23122"/>
    <w:rsid w:val="00F23D5D"/>
    <w:rsid w:val="00F24C97"/>
    <w:rsid w:val="00F2505F"/>
    <w:rsid w:val="00F25435"/>
    <w:rsid w:val="00F26026"/>
    <w:rsid w:val="00F26A27"/>
    <w:rsid w:val="00F271F9"/>
    <w:rsid w:val="00F279D8"/>
    <w:rsid w:val="00F27E22"/>
    <w:rsid w:val="00F27F8B"/>
    <w:rsid w:val="00F30070"/>
    <w:rsid w:val="00F30DBB"/>
    <w:rsid w:val="00F3178B"/>
    <w:rsid w:val="00F31924"/>
    <w:rsid w:val="00F31F1D"/>
    <w:rsid w:val="00F323C2"/>
    <w:rsid w:val="00F32D00"/>
    <w:rsid w:val="00F33076"/>
    <w:rsid w:val="00F33135"/>
    <w:rsid w:val="00F350D9"/>
    <w:rsid w:val="00F3518D"/>
    <w:rsid w:val="00F35A16"/>
    <w:rsid w:val="00F35A3C"/>
    <w:rsid w:val="00F362DE"/>
    <w:rsid w:val="00F3672D"/>
    <w:rsid w:val="00F36ACB"/>
    <w:rsid w:val="00F3743A"/>
    <w:rsid w:val="00F3762A"/>
    <w:rsid w:val="00F4028A"/>
    <w:rsid w:val="00F4182D"/>
    <w:rsid w:val="00F429F1"/>
    <w:rsid w:val="00F443CD"/>
    <w:rsid w:val="00F4508B"/>
    <w:rsid w:val="00F450E5"/>
    <w:rsid w:val="00F45744"/>
    <w:rsid w:val="00F466AF"/>
    <w:rsid w:val="00F46EBF"/>
    <w:rsid w:val="00F47BD7"/>
    <w:rsid w:val="00F47ED4"/>
    <w:rsid w:val="00F502A6"/>
    <w:rsid w:val="00F50631"/>
    <w:rsid w:val="00F50BF3"/>
    <w:rsid w:val="00F50D7C"/>
    <w:rsid w:val="00F515AA"/>
    <w:rsid w:val="00F51843"/>
    <w:rsid w:val="00F51DA2"/>
    <w:rsid w:val="00F51F93"/>
    <w:rsid w:val="00F52BDB"/>
    <w:rsid w:val="00F530A4"/>
    <w:rsid w:val="00F5344A"/>
    <w:rsid w:val="00F546BA"/>
    <w:rsid w:val="00F55119"/>
    <w:rsid w:val="00F5525E"/>
    <w:rsid w:val="00F554A8"/>
    <w:rsid w:val="00F5627B"/>
    <w:rsid w:val="00F5630F"/>
    <w:rsid w:val="00F563AC"/>
    <w:rsid w:val="00F5670C"/>
    <w:rsid w:val="00F568CB"/>
    <w:rsid w:val="00F579B5"/>
    <w:rsid w:val="00F60275"/>
    <w:rsid w:val="00F60EA1"/>
    <w:rsid w:val="00F6102F"/>
    <w:rsid w:val="00F61220"/>
    <w:rsid w:val="00F61A3E"/>
    <w:rsid w:val="00F6290F"/>
    <w:rsid w:val="00F63ABA"/>
    <w:rsid w:val="00F64461"/>
    <w:rsid w:val="00F649E1"/>
    <w:rsid w:val="00F64EC7"/>
    <w:rsid w:val="00F65537"/>
    <w:rsid w:val="00F65D04"/>
    <w:rsid w:val="00F66089"/>
    <w:rsid w:val="00F715C5"/>
    <w:rsid w:val="00F716F6"/>
    <w:rsid w:val="00F71B2C"/>
    <w:rsid w:val="00F71DD1"/>
    <w:rsid w:val="00F72113"/>
    <w:rsid w:val="00F7251F"/>
    <w:rsid w:val="00F7273D"/>
    <w:rsid w:val="00F72791"/>
    <w:rsid w:val="00F73188"/>
    <w:rsid w:val="00F73544"/>
    <w:rsid w:val="00F73E33"/>
    <w:rsid w:val="00F74343"/>
    <w:rsid w:val="00F75C91"/>
    <w:rsid w:val="00F75C9C"/>
    <w:rsid w:val="00F76A89"/>
    <w:rsid w:val="00F773FD"/>
    <w:rsid w:val="00F77ABF"/>
    <w:rsid w:val="00F800D5"/>
    <w:rsid w:val="00F801CF"/>
    <w:rsid w:val="00F82208"/>
    <w:rsid w:val="00F82C7D"/>
    <w:rsid w:val="00F82D4A"/>
    <w:rsid w:val="00F8396E"/>
    <w:rsid w:val="00F839D7"/>
    <w:rsid w:val="00F83B91"/>
    <w:rsid w:val="00F847CC"/>
    <w:rsid w:val="00F84F40"/>
    <w:rsid w:val="00F85371"/>
    <w:rsid w:val="00F85390"/>
    <w:rsid w:val="00F85472"/>
    <w:rsid w:val="00F85689"/>
    <w:rsid w:val="00F85DE4"/>
    <w:rsid w:val="00F86025"/>
    <w:rsid w:val="00F8689D"/>
    <w:rsid w:val="00F86F16"/>
    <w:rsid w:val="00F86FCA"/>
    <w:rsid w:val="00F87CDD"/>
    <w:rsid w:val="00F90D46"/>
    <w:rsid w:val="00F90EE5"/>
    <w:rsid w:val="00F91A5C"/>
    <w:rsid w:val="00F91C32"/>
    <w:rsid w:val="00F91D3D"/>
    <w:rsid w:val="00F920B8"/>
    <w:rsid w:val="00F92230"/>
    <w:rsid w:val="00F922E0"/>
    <w:rsid w:val="00F92C47"/>
    <w:rsid w:val="00F93268"/>
    <w:rsid w:val="00F93512"/>
    <w:rsid w:val="00F9446A"/>
    <w:rsid w:val="00F94B46"/>
    <w:rsid w:val="00F95A53"/>
    <w:rsid w:val="00F95AAE"/>
    <w:rsid w:val="00F96ACD"/>
    <w:rsid w:val="00F970AD"/>
    <w:rsid w:val="00F97B2E"/>
    <w:rsid w:val="00FA048C"/>
    <w:rsid w:val="00FA06B6"/>
    <w:rsid w:val="00FA1B27"/>
    <w:rsid w:val="00FA1DCC"/>
    <w:rsid w:val="00FA1FCD"/>
    <w:rsid w:val="00FA21EF"/>
    <w:rsid w:val="00FA2C14"/>
    <w:rsid w:val="00FA361B"/>
    <w:rsid w:val="00FA3C6B"/>
    <w:rsid w:val="00FA4229"/>
    <w:rsid w:val="00FA4C94"/>
    <w:rsid w:val="00FA54E0"/>
    <w:rsid w:val="00FA73E4"/>
    <w:rsid w:val="00FA7D31"/>
    <w:rsid w:val="00FB0850"/>
    <w:rsid w:val="00FB0A4B"/>
    <w:rsid w:val="00FB0CE0"/>
    <w:rsid w:val="00FB0E83"/>
    <w:rsid w:val="00FB19AB"/>
    <w:rsid w:val="00FB27AB"/>
    <w:rsid w:val="00FB29BF"/>
    <w:rsid w:val="00FB2F1F"/>
    <w:rsid w:val="00FB32D0"/>
    <w:rsid w:val="00FB35C4"/>
    <w:rsid w:val="00FB36E4"/>
    <w:rsid w:val="00FB3B23"/>
    <w:rsid w:val="00FB3C35"/>
    <w:rsid w:val="00FB490D"/>
    <w:rsid w:val="00FB4970"/>
    <w:rsid w:val="00FB49C1"/>
    <w:rsid w:val="00FB4C22"/>
    <w:rsid w:val="00FB4E35"/>
    <w:rsid w:val="00FB4E60"/>
    <w:rsid w:val="00FB542D"/>
    <w:rsid w:val="00FB5CF2"/>
    <w:rsid w:val="00FB5DDD"/>
    <w:rsid w:val="00FB6D36"/>
    <w:rsid w:val="00FB6FED"/>
    <w:rsid w:val="00FB7132"/>
    <w:rsid w:val="00FB76C7"/>
    <w:rsid w:val="00FB7B55"/>
    <w:rsid w:val="00FC0E8D"/>
    <w:rsid w:val="00FC0F6C"/>
    <w:rsid w:val="00FC153D"/>
    <w:rsid w:val="00FC1B2E"/>
    <w:rsid w:val="00FC1B9E"/>
    <w:rsid w:val="00FC1C0F"/>
    <w:rsid w:val="00FC1C9D"/>
    <w:rsid w:val="00FC2318"/>
    <w:rsid w:val="00FC3874"/>
    <w:rsid w:val="00FC3A4F"/>
    <w:rsid w:val="00FC3DD1"/>
    <w:rsid w:val="00FC3F09"/>
    <w:rsid w:val="00FC4021"/>
    <w:rsid w:val="00FC415A"/>
    <w:rsid w:val="00FC5CE3"/>
    <w:rsid w:val="00FC628F"/>
    <w:rsid w:val="00FC6920"/>
    <w:rsid w:val="00FC7371"/>
    <w:rsid w:val="00FC7697"/>
    <w:rsid w:val="00FC7CA4"/>
    <w:rsid w:val="00FD0506"/>
    <w:rsid w:val="00FD0567"/>
    <w:rsid w:val="00FD0741"/>
    <w:rsid w:val="00FD090A"/>
    <w:rsid w:val="00FD0954"/>
    <w:rsid w:val="00FD0DFE"/>
    <w:rsid w:val="00FD1038"/>
    <w:rsid w:val="00FD23D1"/>
    <w:rsid w:val="00FD26BC"/>
    <w:rsid w:val="00FD272A"/>
    <w:rsid w:val="00FD2858"/>
    <w:rsid w:val="00FD321C"/>
    <w:rsid w:val="00FD3BCD"/>
    <w:rsid w:val="00FD4061"/>
    <w:rsid w:val="00FD4EF3"/>
    <w:rsid w:val="00FD51BF"/>
    <w:rsid w:val="00FD5B7D"/>
    <w:rsid w:val="00FD5D87"/>
    <w:rsid w:val="00FD60B5"/>
    <w:rsid w:val="00FD68CF"/>
    <w:rsid w:val="00FD69A5"/>
    <w:rsid w:val="00FD7040"/>
    <w:rsid w:val="00FD7CDE"/>
    <w:rsid w:val="00FE1A46"/>
    <w:rsid w:val="00FE25C0"/>
    <w:rsid w:val="00FE2956"/>
    <w:rsid w:val="00FE2971"/>
    <w:rsid w:val="00FE2BB1"/>
    <w:rsid w:val="00FE3C88"/>
    <w:rsid w:val="00FE42FF"/>
    <w:rsid w:val="00FE48A3"/>
    <w:rsid w:val="00FE4E11"/>
    <w:rsid w:val="00FE50B8"/>
    <w:rsid w:val="00FE5801"/>
    <w:rsid w:val="00FE688E"/>
    <w:rsid w:val="00FE6FB9"/>
    <w:rsid w:val="00FE76B0"/>
    <w:rsid w:val="00FE7E9B"/>
    <w:rsid w:val="00FF213D"/>
    <w:rsid w:val="00FF298C"/>
    <w:rsid w:val="00FF2B14"/>
    <w:rsid w:val="00FF35E3"/>
    <w:rsid w:val="00FF5719"/>
    <w:rsid w:val="00FF5C6A"/>
    <w:rsid w:val="00FF61E5"/>
    <w:rsid w:val="00FF6290"/>
    <w:rsid w:val="00FF63A0"/>
    <w:rsid w:val="00FF6775"/>
    <w:rsid w:val="00FF6A75"/>
    <w:rsid w:val="00FF79D9"/>
    <w:rsid w:val="01CE9153"/>
    <w:rsid w:val="031404E6"/>
    <w:rsid w:val="034B15D7"/>
    <w:rsid w:val="053780BD"/>
    <w:rsid w:val="057F034B"/>
    <w:rsid w:val="05F85581"/>
    <w:rsid w:val="07C45E0D"/>
    <w:rsid w:val="087A4941"/>
    <w:rsid w:val="08C9FB22"/>
    <w:rsid w:val="08CDD7DF"/>
    <w:rsid w:val="08D17DAD"/>
    <w:rsid w:val="09AB6B75"/>
    <w:rsid w:val="09C6D67B"/>
    <w:rsid w:val="0A1FB08B"/>
    <w:rsid w:val="0A505EF1"/>
    <w:rsid w:val="0A69895E"/>
    <w:rsid w:val="0B09379B"/>
    <w:rsid w:val="0E2DC8AE"/>
    <w:rsid w:val="0E59C334"/>
    <w:rsid w:val="0E9CB104"/>
    <w:rsid w:val="0F4BC533"/>
    <w:rsid w:val="0F98ADCC"/>
    <w:rsid w:val="0FB4F30D"/>
    <w:rsid w:val="10AE2486"/>
    <w:rsid w:val="1147343D"/>
    <w:rsid w:val="116225CC"/>
    <w:rsid w:val="12791A01"/>
    <w:rsid w:val="12B4DB1D"/>
    <w:rsid w:val="1384C850"/>
    <w:rsid w:val="13A837CA"/>
    <w:rsid w:val="1431F7E8"/>
    <w:rsid w:val="14CF5562"/>
    <w:rsid w:val="158D5FA5"/>
    <w:rsid w:val="16F832AA"/>
    <w:rsid w:val="18CA0F58"/>
    <w:rsid w:val="1913D97E"/>
    <w:rsid w:val="194C4254"/>
    <w:rsid w:val="19F830B6"/>
    <w:rsid w:val="1A6F3803"/>
    <w:rsid w:val="1CAF6B98"/>
    <w:rsid w:val="1D12E08E"/>
    <w:rsid w:val="1E2CA127"/>
    <w:rsid w:val="1ECBD385"/>
    <w:rsid w:val="1ECCA39C"/>
    <w:rsid w:val="217062D1"/>
    <w:rsid w:val="226B251D"/>
    <w:rsid w:val="2276AB0A"/>
    <w:rsid w:val="230B8EC8"/>
    <w:rsid w:val="230D7D7F"/>
    <w:rsid w:val="2471C98D"/>
    <w:rsid w:val="258B8AA8"/>
    <w:rsid w:val="27CFDA84"/>
    <w:rsid w:val="28393449"/>
    <w:rsid w:val="2A4CF5E8"/>
    <w:rsid w:val="2A721A24"/>
    <w:rsid w:val="2ABC9BF3"/>
    <w:rsid w:val="2C5E12FE"/>
    <w:rsid w:val="2CC2B36C"/>
    <w:rsid w:val="2CC36B00"/>
    <w:rsid w:val="2EEB477D"/>
    <w:rsid w:val="2EF130DE"/>
    <w:rsid w:val="2F2D8F4E"/>
    <w:rsid w:val="2F3076AC"/>
    <w:rsid w:val="2F57005E"/>
    <w:rsid w:val="2FF06398"/>
    <w:rsid w:val="30F97215"/>
    <w:rsid w:val="31062981"/>
    <w:rsid w:val="312A9873"/>
    <w:rsid w:val="32256DBF"/>
    <w:rsid w:val="3344F658"/>
    <w:rsid w:val="33749157"/>
    <w:rsid w:val="33791C30"/>
    <w:rsid w:val="33B7DB5C"/>
    <w:rsid w:val="35705148"/>
    <w:rsid w:val="35AAD056"/>
    <w:rsid w:val="37A76F73"/>
    <w:rsid w:val="387B30EA"/>
    <w:rsid w:val="391ED454"/>
    <w:rsid w:val="392A4648"/>
    <w:rsid w:val="39906E56"/>
    <w:rsid w:val="3A22BF46"/>
    <w:rsid w:val="3A7C00C9"/>
    <w:rsid w:val="3B475213"/>
    <w:rsid w:val="3B5781C4"/>
    <w:rsid w:val="3B8DB387"/>
    <w:rsid w:val="3BD7C5CC"/>
    <w:rsid w:val="3DF9C53C"/>
    <w:rsid w:val="3DFAA0F8"/>
    <w:rsid w:val="420D3299"/>
    <w:rsid w:val="432960C8"/>
    <w:rsid w:val="43355073"/>
    <w:rsid w:val="44064F72"/>
    <w:rsid w:val="4614ABDA"/>
    <w:rsid w:val="465D4E8A"/>
    <w:rsid w:val="472394AA"/>
    <w:rsid w:val="47AF8C08"/>
    <w:rsid w:val="482BF023"/>
    <w:rsid w:val="48827643"/>
    <w:rsid w:val="48880C31"/>
    <w:rsid w:val="48C0CB4E"/>
    <w:rsid w:val="4A4E7F65"/>
    <w:rsid w:val="4B081DC9"/>
    <w:rsid w:val="4B2D7504"/>
    <w:rsid w:val="4C0C2002"/>
    <w:rsid w:val="4C3811C6"/>
    <w:rsid w:val="4D133588"/>
    <w:rsid w:val="4DDB1054"/>
    <w:rsid w:val="4EDC48EF"/>
    <w:rsid w:val="4F303EE2"/>
    <w:rsid w:val="5011E3C6"/>
    <w:rsid w:val="5107CC4D"/>
    <w:rsid w:val="5119A276"/>
    <w:rsid w:val="51877E71"/>
    <w:rsid w:val="51F9E833"/>
    <w:rsid w:val="52BBF0C7"/>
    <w:rsid w:val="532E6891"/>
    <w:rsid w:val="540AA3C1"/>
    <w:rsid w:val="5608B1AF"/>
    <w:rsid w:val="5856222E"/>
    <w:rsid w:val="58F22C1D"/>
    <w:rsid w:val="59A36EE8"/>
    <w:rsid w:val="5A285CFA"/>
    <w:rsid w:val="5A49B402"/>
    <w:rsid w:val="5B11F3B7"/>
    <w:rsid w:val="5B312750"/>
    <w:rsid w:val="5B81B2F6"/>
    <w:rsid w:val="5C2C676A"/>
    <w:rsid w:val="5CE56724"/>
    <w:rsid w:val="5D1735A0"/>
    <w:rsid w:val="5D3B1000"/>
    <w:rsid w:val="5EF1D2D0"/>
    <w:rsid w:val="61371093"/>
    <w:rsid w:val="622CFFB4"/>
    <w:rsid w:val="6241A397"/>
    <w:rsid w:val="62868C82"/>
    <w:rsid w:val="62BC985F"/>
    <w:rsid w:val="62C27F0F"/>
    <w:rsid w:val="6326037B"/>
    <w:rsid w:val="65013066"/>
    <w:rsid w:val="6519987E"/>
    <w:rsid w:val="6593611F"/>
    <w:rsid w:val="66455291"/>
    <w:rsid w:val="6692A2D8"/>
    <w:rsid w:val="66E72308"/>
    <w:rsid w:val="670D8171"/>
    <w:rsid w:val="67F822CE"/>
    <w:rsid w:val="6854E8CD"/>
    <w:rsid w:val="68DE9161"/>
    <w:rsid w:val="69A26617"/>
    <w:rsid w:val="69FC0C39"/>
    <w:rsid w:val="6A42A601"/>
    <w:rsid w:val="6A8C3656"/>
    <w:rsid w:val="6AEB2444"/>
    <w:rsid w:val="6B706E6E"/>
    <w:rsid w:val="6D4D7B20"/>
    <w:rsid w:val="6E2B0238"/>
    <w:rsid w:val="6F592EDF"/>
    <w:rsid w:val="70101E67"/>
    <w:rsid w:val="70748994"/>
    <w:rsid w:val="718ECD6B"/>
    <w:rsid w:val="71E30395"/>
    <w:rsid w:val="730EAC41"/>
    <w:rsid w:val="74F89904"/>
    <w:rsid w:val="75455357"/>
    <w:rsid w:val="774837C0"/>
    <w:rsid w:val="78216C4A"/>
    <w:rsid w:val="78FB01C5"/>
    <w:rsid w:val="790CDDEF"/>
    <w:rsid w:val="79B05039"/>
    <w:rsid w:val="79BC2AB4"/>
    <w:rsid w:val="7A0F0266"/>
    <w:rsid w:val="7A182241"/>
    <w:rsid w:val="7A86BCC1"/>
    <w:rsid w:val="7B8A998F"/>
    <w:rsid w:val="7D54756E"/>
    <w:rsid w:val="7E9BD209"/>
    <w:rsid w:val="7FC21FB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6DBFB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qFormat="1"/>
    <w:lsdException w:name="toc 3" w:semiHidden="1" w:uiPriority="2"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A90"/>
    <w:pPr>
      <w:spacing w:before="240" w:after="240" w:line="240" w:lineRule="exact"/>
    </w:pPr>
    <w:rPr>
      <w:rFonts w:ascii="Book Antiqua" w:eastAsia="Times New Roman" w:hAnsi="Book Antiqua" w:cs="Times New Roman"/>
      <w:sz w:val="19"/>
      <w:szCs w:val="20"/>
      <w:lang w:eastAsia="en-AU"/>
    </w:rPr>
  </w:style>
  <w:style w:type="paragraph" w:styleId="Heading1">
    <w:name w:val="heading 1"/>
    <w:basedOn w:val="HeadingBase"/>
    <w:next w:val="Normal"/>
    <w:link w:val="Heading1Char"/>
    <w:qFormat/>
    <w:rsid w:val="00DD1A90"/>
    <w:pPr>
      <w:spacing w:after="240"/>
      <w:outlineLvl w:val="0"/>
    </w:pPr>
    <w:rPr>
      <w:rFonts w:ascii="Arial Bold" w:hAnsi="Arial Bold"/>
      <w:b/>
      <w:kern w:val="34"/>
      <w:sz w:val="36"/>
    </w:rPr>
  </w:style>
  <w:style w:type="paragraph" w:styleId="Heading2">
    <w:name w:val="heading 2"/>
    <w:basedOn w:val="HeadingBase"/>
    <w:next w:val="Normal"/>
    <w:link w:val="Heading2Char"/>
    <w:qFormat/>
    <w:rsid w:val="00DD1A90"/>
    <w:pPr>
      <w:spacing w:before="240" w:after="240"/>
      <w:outlineLvl w:val="1"/>
    </w:pPr>
    <w:rPr>
      <w:rFonts w:ascii="Arial Bold" w:hAnsi="Arial Bold"/>
      <w:b/>
      <w:sz w:val="26"/>
    </w:rPr>
  </w:style>
  <w:style w:type="paragraph" w:styleId="Heading3">
    <w:name w:val="heading 3"/>
    <w:basedOn w:val="HeadingBase"/>
    <w:next w:val="Normal"/>
    <w:link w:val="Heading3Char"/>
    <w:qFormat/>
    <w:rsid w:val="00DD1A90"/>
    <w:pPr>
      <w:spacing w:before="120" w:after="120"/>
      <w:outlineLvl w:val="2"/>
    </w:pPr>
    <w:rPr>
      <w:rFonts w:ascii="Arial Bold" w:hAnsi="Arial Bold"/>
      <w:b/>
      <w:sz w:val="22"/>
    </w:rPr>
  </w:style>
  <w:style w:type="paragraph" w:styleId="Heading4">
    <w:name w:val="heading 4"/>
    <w:basedOn w:val="HeadingBase"/>
    <w:next w:val="Normal"/>
    <w:link w:val="Heading4Char"/>
    <w:qFormat/>
    <w:rsid w:val="00DD1A90"/>
    <w:pPr>
      <w:spacing w:after="120"/>
      <w:outlineLvl w:val="3"/>
    </w:pPr>
    <w:rPr>
      <w:rFonts w:ascii="Arial Bold" w:hAnsi="Arial Bold"/>
      <w:b/>
      <w:sz w:val="20"/>
    </w:rPr>
  </w:style>
  <w:style w:type="paragraph" w:styleId="Heading5">
    <w:name w:val="heading 5"/>
    <w:basedOn w:val="HeadingBase"/>
    <w:next w:val="Normal"/>
    <w:link w:val="Heading5Char"/>
    <w:qFormat/>
    <w:rsid w:val="00DD1A90"/>
    <w:pPr>
      <w:spacing w:after="120"/>
      <w:outlineLvl w:val="4"/>
    </w:pPr>
    <w:rPr>
      <w:bCs/>
      <w:i/>
      <w:iCs/>
      <w:sz w:val="20"/>
      <w:szCs w:val="26"/>
    </w:rPr>
  </w:style>
  <w:style w:type="paragraph" w:styleId="Heading6">
    <w:name w:val="heading 6"/>
    <w:basedOn w:val="HeadingBase"/>
    <w:next w:val="Normal"/>
    <w:link w:val="Heading6Char"/>
    <w:rsid w:val="00DD1A90"/>
    <w:pPr>
      <w:spacing w:after="120"/>
      <w:outlineLvl w:val="5"/>
    </w:pPr>
    <w:rPr>
      <w:bCs/>
      <w:sz w:val="20"/>
      <w:szCs w:val="22"/>
    </w:rPr>
  </w:style>
  <w:style w:type="paragraph" w:styleId="Heading7">
    <w:name w:val="heading 7"/>
    <w:basedOn w:val="HeadingBase"/>
    <w:next w:val="Normal"/>
    <w:link w:val="Heading7Char"/>
    <w:rsid w:val="00DD1A90"/>
    <w:pPr>
      <w:spacing w:before="120"/>
      <w:outlineLvl w:val="6"/>
    </w:pPr>
    <w:rPr>
      <w:sz w:val="20"/>
      <w:szCs w:val="24"/>
    </w:rPr>
  </w:style>
  <w:style w:type="paragraph" w:styleId="Heading8">
    <w:name w:val="heading 8"/>
    <w:basedOn w:val="HeadingBase"/>
    <w:next w:val="Normal"/>
    <w:link w:val="Heading8Char"/>
    <w:rsid w:val="00DD1A90"/>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rsid w:val="00DD1A90"/>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link w:val="HeaderChar"/>
    <w:rsid w:val="00DD1A90"/>
    <w:pPr>
      <w:tabs>
        <w:tab w:val="center" w:pos="4153"/>
        <w:tab w:val="right" w:pos="8306"/>
      </w:tabs>
    </w:pPr>
  </w:style>
  <w:style w:type="character" w:customStyle="1" w:styleId="HeaderChar">
    <w:name w:val="Header Char"/>
    <w:basedOn w:val="DefaultParagraphFont"/>
    <w:link w:val="Header"/>
    <w:rsid w:val="00DD1A90"/>
    <w:rPr>
      <w:rFonts w:ascii="Arial" w:eastAsia="Times New Roman" w:hAnsi="Arial" w:cs="Times New Roman"/>
      <w:color w:val="002A54" w:themeColor="text2"/>
      <w:sz w:val="18"/>
      <w:szCs w:val="20"/>
      <w:lang w:eastAsia="en-AU"/>
    </w:rPr>
  </w:style>
  <w:style w:type="paragraph" w:styleId="Footer">
    <w:name w:val="footer"/>
    <w:basedOn w:val="FooterBase"/>
    <w:link w:val="FooterChar"/>
    <w:rsid w:val="00DD1A90"/>
    <w:pPr>
      <w:tabs>
        <w:tab w:val="center" w:pos="4153"/>
        <w:tab w:val="right" w:pos="8306"/>
      </w:tabs>
    </w:pPr>
  </w:style>
  <w:style w:type="character" w:customStyle="1" w:styleId="FooterChar">
    <w:name w:val="Footer Char"/>
    <w:basedOn w:val="DefaultParagraphFont"/>
    <w:link w:val="Footer"/>
    <w:rsid w:val="00DD1A90"/>
    <w:rPr>
      <w:rFonts w:ascii="Arial" w:eastAsia="Times New Roman" w:hAnsi="Arial" w:cs="Times New Roman"/>
      <w:color w:val="002A54" w:themeColor="text2"/>
      <w:sz w:val="20"/>
      <w:szCs w:val="20"/>
      <w:lang w:eastAsia="en-AU"/>
    </w:rPr>
  </w:style>
  <w:style w:type="paragraph" w:customStyle="1" w:styleId="SecurityClassificationHeader">
    <w:name w:val="Security Classification Header"/>
    <w:link w:val="SecurityClassificationHeaderChar"/>
    <w:rsid w:val="00DD1A90"/>
    <w:pPr>
      <w:spacing w:before="240" w:after="60"/>
      <w:jc w:val="center"/>
    </w:pPr>
    <w:rPr>
      <w:rFonts w:ascii="Calibri" w:eastAsia="Times New Roman" w:hAnsi="Calibri" w:cs="Calibri"/>
      <w:b/>
      <w:caps/>
      <w:color w:val="002A54" w:themeColor="text2"/>
      <w:sz w:val="24"/>
      <w:szCs w:val="20"/>
      <w:lang w:eastAsia="en-AU"/>
    </w:rPr>
  </w:style>
  <w:style w:type="character" w:customStyle="1" w:styleId="SecurityClassificationHeaderChar">
    <w:name w:val="Security Classification Header Char"/>
    <w:basedOn w:val="HeaderChar"/>
    <w:link w:val="SecurityClassificationHeader"/>
    <w:rsid w:val="00DD1A90"/>
    <w:rPr>
      <w:rFonts w:ascii="Calibri" w:eastAsia="Times New Roman" w:hAnsi="Calibri" w:cs="Calibri"/>
      <w:b/>
      <w:caps/>
      <w:color w:val="002A54" w:themeColor="text2"/>
      <w:sz w:val="24"/>
      <w:szCs w:val="20"/>
      <w:lang w:eastAsia="en-AU"/>
    </w:rPr>
  </w:style>
  <w:style w:type="paragraph" w:customStyle="1" w:styleId="SecurityClassificationFooter">
    <w:name w:val="Security Classification Footer"/>
    <w:link w:val="SecurityClassificationFooterChar"/>
    <w:rsid w:val="00DD1A90"/>
    <w:pPr>
      <w:spacing w:before="60" w:after="240"/>
      <w:jc w:val="center"/>
    </w:pPr>
    <w:rPr>
      <w:rFonts w:ascii="Calibri" w:eastAsia="Times New Roman" w:hAnsi="Calibri" w:cs="Calibri"/>
      <w:b/>
      <w:caps/>
      <w:color w:val="002A54" w:themeColor="text2"/>
      <w:sz w:val="24"/>
      <w:szCs w:val="20"/>
      <w:lang w:eastAsia="en-AU"/>
    </w:rPr>
  </w:style>
  <w:style w:type="character" w:customStyle="1" w:styleId="SecurityClassificationFooterChar">
    <w:name w:val="Security Classification Footer Char"/>
    <w:basedOn w:val="HeaderChar"/>
    <w:link w:val="SecurityClassificationFooter"/>
    <w:rsid w:val="00DD1A90"/>
    <w:rPr>
      <w:rFonts w:ascii="Calibri" w:eastAsia="Times New Roman" w:hAnsi="Calibri" w:cs="Calibri"/>
      <w:b/>
      <w:caps/>
      <w:color w:val="002A54" w:themeColor="text2"/>
      <w:sz w:val="24"/>
      <w:szCs w:val="20"/>
      <w:lang w:eastAsia="en-AU"/>
    </w:rPr>
  </w:style>
  <w:style w:type="paragraph" w:customStyle="1" w:styleId="DLMSecurityHeader">
    <w:name w:val="DLM Security Header"/>
    <w:link w:val="DLMSecurityHeaderChar"/>
    <w:rsid w:val="00DD1A90"/>
    <w:pPr>
      <w:spacing w:before="60" w:after="240"/>
      <w:jc w:val="center"/>
    </w:pPr>
    <w:rPr>
      <w:rFonts w:ascii="Calibri" w:eastAsia="Times New Roman" w:hAnsi="Calibri" w:cs="Calibri"/>
      <w:b/>
      <w:caps/>
      <w:color w:val="002A54" w:themeColor="text2"/>
      <w:sz w:val="24"/>
      <w:szCs w:val="20"/>
      <w:lang w:eastAsia="en-AU"/>
    </w:rPr>
  </w:style>
  <w:style w:type="character" w:customStyle="1" w:styleId="DLMSecurityHeaderChar">
    <w:name w:val="DLM Security Header Char"/>
    <w:basedOn w:val="HeaderChar"/>
    <w:link w:val="DLMSecurityHeader"/>
    <w:rsid w:val="00DD1A90"/>
    <w:rPr>
      <w:rFonts w:ascii="Calibri" w:eastAsia="Times New Roman" w:hAnsi="Calibri" w:cs="Calibri"/>
      <w:b/>
      <w:caps/>
      <w:color w:val="002A54" w:themeColor="text2"/>
      <w:sz w:val="24"/>
      <w:szCs w:val="20"/>
      <w:lang w:eastAsia="en-AU"/>
    </w:rPr>
  </w:style>
  <w:style w:type="paragraph" w:customStyle="1" w:styleId="DLMSecurityFooter">
    <w:name w:val="DLM Security Footer"/>
    <w:link w:val="DLMSecurityFooterChar"/>
    <w:rsid w:val="00DD1A90"/>
    <w:pPr>
      <w:spacing w:before="240" w:after="60"/>
      <w:jc w:val="center"/>
    </w:pPr>
    <w:rPr>
      <w:rFonts w:ascii="Calibri" w:eastAsia="Times New Roman" w:hAnsi="Calibri" w:cs="Calibri"/>
      <w:b/>
      <w:caps/>
      <w:color w:val="002A54" w:themeColor="text2"/>
      <w:sz w:val="24"/>
      <w:szCs w:val="20"/>
      <w:lang w:eastAsia="en-AU"/>
    </w:rPr>
  </w:style>
  <w:style w:type="character" w:customStyle="1" w:styleId="DLMSecurityFooterChar">
    <w:name w:val="DLM Security Footer Char"/>
    <w:basedOn w:val="HeaderChar"/>
    <w:link w:val="DLMSecurityFooter"/>
    <w:rsid w:val="00DD1A90"/>
    <w:rPr>
      <w:rFonts w:ascii="Calibri" w:eastAsia="Times New Roman" w:hAnsi="Calibri" w:cs="Calibri"/>
      <w:b/>
      <w:caps/>
      <w:color w:val="002A54" w:themeColor="text2"/>
      <w:sz w:val="24"/>
      <w:szCs w:val="20"/>
      <w:lang w:eastAsia="en-AU"/>
    </w:rPr>
  </w:style>
  <w:style w:type="paragraph" w:customStyle="1" w:styleId="Classification">
    <w:name w:val="Classification"/>
    <w:basedOn w:val="HeadingBase"/>
    <w:rsid w:val="00DD1A90"/>
    <w:pPr>
      <w:jc w:val="center"/>
    </w:pPr>
    <w:rPr>
      <w:rFonts w:ascii="Arial Bold" w:hAnsi="Arial Bold"/>
      <w:b/>
      <w:caps/>
      <w:sz w:val="22"/>
    </w:rPr>
  </w:style>
  <w:style w:type="paragraph" w:customStyle="1" w:styleId="FileProperties">
    <w:name w:val="File Properties"/>
    <w:basedOn w:val="Normal"/>
    <w:rsid w:val="00DD1A90"/>
    <w:pPr>
      <w:spacing w:before="0"/>
    </w:pPr>
    <w:rPr>
      <w:i/>
    </w:rPr>
  </w:style>
  <w:style w:type="paragraph" w:customStyle="1" w:styleId="AlphaParagraph">
    <w:name w:val="Alpha Paragraph"/>
    <w:basedOn w:val="Normal"/>
    <w:rsid w:val="00DD1A90"/>
    <w:pPr>
      <w:numPr>
        <w:numId w:val="1"/>
      </w:numPr>
      <w:tabs>
        <w:tab w:val="clear" w:pos="567"/>
        <w:tab w:val="num" w:pos="360"/>
      </w:tabs>
      <w:ind w:left="0" w:firstLine="0"/>
    </w:pPr>
  </w:style>
  <w:style w:type="paragraph" w:customStyle="1" w:styleId="HeadingBase">
    <w:name w:val="Heading Base"/>
    <w:link w:val="HeadingBaseChar"/>
    <w:rsid w:val="00DD1A90"/>
    <w:pPr>
      <w:keepNext/>
      <w:spacing w:after="0" w:line="240" w:lineRule="auto"/>
    </w:pPr>
    <w:rPr>
      <w:rFonts w:ascii="Arial" w:eastAsia="Times New Roman" w:hAnsi="Arial" w:cs="Times New Roman"/>
      <w:sz w:val="24"/>
      <w:szCs w:val="20"/>
      <w:lang w:eastAsia="en-AU"/>
    </w:rPr>
  </w:style>
  <w:style w:type="paragraph" w:customStyle="1" w:styleId="Heading1-Statement">
    <w:name w:val="Heading 1 - Statement"/>
    <w:basedOn w:val="Heading1"/>
    <w:next w:val="Normal"/>
    <w:autoRedefine/>
    <w:qFormat/>
    <w:rsid w:val="00DD1A90"/>
    <w:rPr>
      <w:bCs/>
      <w:color w:val="002A54" w:themeColor="text2"/>
      <w:szCs w:val="52"/>
    </w:rPr>
  </w:style>
  <w:style w:type="paragraph" w:customStyle="1" w:styleId="BoxText">
    <w:name w:val="Box Text"/>
    <w:basedOn w:val="Normal"/>
    <w:link w:val="BoxTextChar"/>
    <w:qFormat/>
    <w:rsid w:val="00DD1A90"/>
    <w:pPr>
      <w:spacing w:before="120" w:after="120" w:line="240" w:lineRule="auto"/>
    </w:pPr>
  </w:style>
  <w:style w:type="paragraph" w:customStyle="1" w:styleId="BoxBullet">
    <w:name w:val="Box Bullet"/>
    <w:basedOn w:val="BoxText"/>
    <w:rsid w:val="00DD1A90"/>
    <w:pPr>
      <w:numPr>
        <w:numId w:val="2"/>
      </w:numPr>
    </w:pPr>
  </w:style>
  <w:style w:type="paragraph" w:customStyle="1" w:styleId="BoxHeading">
    <w:name w:val="Box Heading"/>
    <w:basedOn w:val="HeadingBase"/>
    <w:next w:val="BoxText"/>
    <w:rsid w:val="00DD1A90"/>
    <w:pPr>
      <w:spacing w:before="120" w:after="120"/>
    </w:pPr>
    <w:rPr>
      <w:b/>
      <w:sz w:val="20"/>
    </w:rPr>
  </w:style>
  <w:style w:type="character" w:customStyle="1" w:styleId="Heading6Char">
    <w:name w:val="Heading 6 Char"/>
    <w:basedOn w:val="DefaultParagraphFont"/>
    <w:link w:val="Heading6"/>
    <w:rsid w:val="00DD1A90"/>
    <w:rPr>
      <w:rFonts w:ascii="Arial" w:eastAsia="Times New Roman" w:hAnsi="Arial" w:cs="Times New Roman"/>
      <w:bCs/>
      <w:sz w:val="20"/>
      <w:lang w:eastAsia="en-AU"/>
    </w:rPr>
  </w:style>
  <w:style w:type="paragraph" w:customStyle="1" w:styleId="Bullet">
    <w:name w:val="Bullet"/>
    <w:basedOn w:val="Normal"/>
    <w:link w:val="BulletChar"/>
    <w:qFormat/>
    <w:rsid w:val="00DD1A90"/>
    <w:pPr>
      <w:numPr>
        <w:numId w:val="7"/>
      </w:numPr>
      <w:spacing w:after="160"/>
      <w:ind w:left="284" w:hanging="284"/>
    </w:pPr>
  </w:style>
  <w:style w:type="paragraph" w:styleId="Caption">
    <w:name w:val="caption"/>
    <w:basedOn w:val="Normal"/>
    <w:next w:val="Normal"/>
    <w:rsid w:val="00DD1A90"/>
    <w:rPr>
      <w:b/>
      <w:bCs/>
    </w:rPr>
  </w:style>
  <w:style w:type="paragraph" w:customStyle="1" w:styleId="ChartandTableFootnote">
    <w:name w:val="Chart and Table Footnote"/>
    <w:basedOn w:val="HeadingBase"/>
    <w:next w:val="Normal"/>
    <w:link w:val="ChartandTableFootnoteChar"/>
    <w:rsid w:val="00DD1A90"/>
    <w:pPr>
      <w:keepNext w:val="0"/>
      <w:tabs>
        <w:tab w:val="left" w:pos="709"/>
      </w:tabs>
      <w:spacing w:before="30"/>
      <w:ind w:left="709" w:hanging="709"/>
    </w:pPr>
    <w:rPr>
      <w:color w:val="000000"/>
      <w:sz w:val="16"/>
    </w:rPr>
  </w:style>
  <w:style w:type="paragraph" w:customStyle="1" w:styleId="ChartandTableFootnoteAlpha">
    <w:name w:val="Chart and Table Footnote Alpha"/>
    <w:basedOn w:val="HeadingBase"/>
    <w:next w:val="Normal"/>
    <w:rsid w:val="00DD1A90"/>
    <w:pPr>
      <w:keepNext w:val="0"/>
      <w:numPr>
        <w:numId w:val="20"/>
      </w:numPr>
      <w:spacing w:before="30"/>
    </w:pPr>
    <w:rPr>
      <w:color w:val="000000"/>
      <w:sz w:val="16"/>
    </w:rPr>
  </w:style>
  <w:style w:type="paragraph" w:customStyle="1" w:styleId="ChartGraphic">
    <w:name w:val="Chart Graphic"/>
    <w:basedOn w:val="HeadingBase"/>
    <w:rsid w:val="00DD1A90"/>
    <w:rPr>
      <w:sz w:val="20"/>
    </w:rPr>
  </w:style>
  <w:style w:type="paragraph" w:customStyle="1" w:styleId="TableLine">
    <w:name w:val="Table Line"/>
    <w:basedOn w:val="Normal"/>
    <w:next w:val="Normal"/>
    <w:autoRedefine/>
    <w:rsid w:val="00DD1A90"/>
    <w:pPr>
      <w:pBdr>
        <w:bottom w:val="single" w:sz="4" w:space="2" w:color="626A77" w:themeColor="background2" w:themeShade="E6"/>
      </w:pBdr>
      <w:spacing w:before="0" w:line="240" w:lineRule="auto"/>
    </w:pPr>
    <w:rPr>
      <w:noProof/>
      <w:sz w:val="4"/>
      <w:szCs w:val="4"/>
    </w:rPr>
  </w:style>
  <w:style w:type="paragraph" w:customStyle="1" w:styleId="ChartSecondHeading">
    <w:name w:val="Chart Second Heading"/>
    <w:basedOn w:val="HeadingBase"/>
    <w:next w:val="ChartGraphic"/>
    <w:rsid w:val="00DD1A90"/>
    <w:pPr>
      <w:spacing w:after="60"/>
    </w:pPr>
    <w:rPr>
      <w:sz w:val="19"/>
    </w:rPr>
  </w:style>
  <w:style w:type="character" w:styleId="CommentReference">
    <w:name w:val="annotation reference"/>
    <w:basedOn w:val="DefaultParagraphFont"/>
    <w:semiHidden/>
    <w:rsid w:val="00DD1A90"/>
    <w:rPr>
      <w:sz w:val="16"/>
      <w:szCs w:val="16"/>
    </w:rPr>
  </w:style>
  <w:style w:type="paragraph" w:styleId="CommentSubject">
    <w:name w:val="annotation subject"/>
    <w:basedOn w:val="CommentText"/>
    <w:next w:val="CommentText"/>
    <w:link w:val="CommentSubjectChar"/>
    <w:semiHidden/>
    <w:rsid w:val="00DD1A90"/>
    <w:rPr>
      <w:b/>
      <w:bCs/>
    </w:rPr>
  </w:style>
  <w:style w:type="character" w:customStyle="1" w:styleId="CommentSubjectChar">
    <w:name w:val="Comment Subject Char"/>
    <w:basedOn w:val="CommentTextChar"/>
    <w:link w:val="CommentSubject"/>
    <w:semiHidden/>
    <w:rsid w:val="00DD1A90"/>
    <w:rPr>
      <w:rFonts w:ascii="Book Antiqua" w:eastAsia="Times New Roman" w:hAnsi="Book Antiqua" w:cs="Times New Roman"/>
      <w:b/>
      <w:bCs/>
      <w:sz w:val="19"/>
      <w:szCs w:val="20"/>
      <w:lang w:eastAsia="en-AU"/>
    </w:rPr>
  </w:style>
  <w:style w:type="paragraph" w:customStyle="1" w:styleId="ContentsHeading">
    <w:name w:val="Contents Heading"/>
    <w:basedOn w:val="Heading1"/>
    <w:next w:val="Normal"/>
    <w:rsid w:val="00DD1A90"/>
    <w:pPr>
      <w:spacing w:after="720"/>
      <w:outlineLvl w:val="9"/>
    </w:pPr>
  </w:style>
  <w:style w:type="character" w:styleId="Strong">
    <w:name w:val="Strong"/>
    <w:basedOn w:val="DefaultParagraphFont"/>
    <w:uiPriority w:val="22"/>
    <w:qFormat/>
    <w:rsid w:val="00DD1A90"/>
    <w:rPr>
      <w:b/>
      <w:bCs/>
      <w:color w:val="auto"/>
    </w:rPr>
  </w:style>
  <w:style w:type="paragraph" w:customStyle="1" w:styleId="Dash">
    <w:name w:val="Dash"/>
    <w:basedOn w:val="Normal"/>
    <w:link w:val="DashChar"/>
    <w:qFormat/>
    <w:rsid w:val="00DD1A90"/>
    <w:pPr>
      <w:numPr>
        <w:ilvl w:val="1"/>
        <w:numId w:val="7"/>
      </w:numPr>
      <w:tabs>
        <w:tab w:val="left" w:pos="567"/>
      </w:tabs>
    </w:pPr>
  </w:style>
  <w:style w:type="paragraph" w:styleId="DocumentMap">
    <w:name w:val="Document Map"/>
    <w:basedOn w:val="Normal"/>
    <w:link w:val="DocumentMapChar"/>
    <w:semiHidden/>
    <w:rsid w:val="00DD1A90"/>
    <w:pPr>
      <w:shd w:val="clear" w:color="auto" w:fill="000080"/>
    </w:pPr>
    <w:rPr>
      <w:rFonts w:ascii="Tahoma" w:hAnsi="Tahoma" w:cs="Tahoma"/>
    </w:rPr>
  </w:style>
  <w:style w:type="character" w:customStyle="1" w:styleId="DocumentMapChar">
    <w:name w:val="Document Map Char"/>
    <w:basedOn w:val="DefaultParagraphFont"/>
    <w:link w:val="DocumentMap"/>
    <w:semiHidden/>
    <w:rsid w:val="00DD1A90"/>
    <w:rPr>
      <w:rFonts w:ascii="Tahoma" w:eastAsia="Times New Roman" w:hAnsi="Tahoma" w:cs="Tahoma"/>
      <w:sz w:val="19"/>
      <w:szCs w:val="20"/>
      <w:shd w:val="clear" w:color="auto" w:fill="000080"/>
      <w:lang w:eastAsia="en-AU"/>
    </w:rPr>
  </w:style>
  <w:style w:type="paragraph" w:customStyle="1" w:styleId="DoubleDot">
    <w:name w:val="Double Dot"/>
    <w:basedOn w:val="Normal"/>
    <w:rsid w:val="00DD1A90"/>
    <w:pPr>
      <w:numPr>
        <w:ilvl w:val="2"/>
        <w:numId w:val="7"/>
      </w:numPr>
      <w:tabs>
        <w:tab w:val="clear" w:pos="850"/>
        <w:tab w:val="num" w:pos="360"/>
        <w:tab w:val="left" w:pos="851"/>
      </w:tabs>
    </w:pPr>
  </w:style>
  <w:style w:type="paragraph" w:customStyle="1" w:styleId="FigureHeading">
    <w:name w:val="Figure Heading"/>
    <w:basedOn w:val="HeadingBase"/>
    <w:next w:val="ChartGraphic"/>
    <w:rsid w:val="00DD1A90"/>
    <w:pPr>
      <w:spacing w:before="120" w:after="20"/>
    </w:pPr>
    <w:rPr>
      <w:b/>
      <w:sz w:val="20"/>
    </w:rPr>
  </w:style>
  <w:style w:type="paragraph" w:customStyle="1" w:styleId="FooterBase">
    <w:name w:val="Footer Base"/>
    <w:rsid w:val="00DD1A90"/>
    <w:pPr>
      <w:spacing w:after="0" w:line="240" w:lineRule="auto"/>
      <w:jc w:val="center"/>
    </w:pPr>
    <w:rPr>
      <w:rFonts w:ascii="Arial" w:eastAsia="Times New Roman" w:hAnsi="Arial" w:cs="Times New Roman"/>
      <w:color w:val="002A54" w:themeColor="text2"/>
      <w:sz w:val="20"/>
      <w:szCs w:val="20"/>
      <w:lang w:eastAsia="en-AU"/>
    </w:rPr>
  </w:style>
  <w:style w:type="paragraph" w:customStyle="1" w:styleId="FooterEven">
    <w:name w:val="Footer Even"/>
    <w:basedOn w:val="Footer"/>
    <w:rsid w:val="00DD1A90"/>
    <w:pPr>
      <w:pBdr>
        <w:top w:val="single" w:sz="4" w:space="10" w:color="002A54" w:themeColor="text2"/>
      </w:pBdr>
      <w:jc w:val="left"/>
    </w:pPr>
    <w:rPr>
      <w:sz w:val="18"/>
    </w:rPr>
  </w:style>
  <w:style w:type="paragraph" w:customStyle="1" w:styleId="FooterOdd">
    <w:name w:val="Footer Odd"/>
    <w:basedOn w:val="Footer"/>
    <w:qFormat/>
    <w:rsid w:val="00DD1A90"/>
    <w:pPr>
      <w:pBdr>
        <w:top w:val="single" w:sz="4" w:space="10" w:color="002A54" w:themeColor="text2"/>
      </w:pBdr>
      <w:jc w:val="right"/>
    </w:pPr>
    <w:rPr>
      <w:sz w:val="18"/>
    </w:rPr>
  </w:style>
  <w:style w:type="character" w:styleId="FootnoteReference">
    <w:name w:val="footnote reference"/>
    <w:basedOn w:val="DefaultParagraphFont"/>
    <w:rsid w:val="00DD1A90"/>
    <w:rPr>
      <w:vertAlign w:val="superscript"/>
    </w:rPr>
  </w:style>
  <w:style w:type="paragraph" w:styleId="FootnoteText">
    <w:name w:val="footnote text"/>
    <w:basedOn w:val="Normal"/>
    <w:link w:val="FootnoteTextChar"/>
    <w:rsid w:val="00DD1A90"/>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DD1A90"/>
    <w:rPr>
      <w:rFonts w:ascii="Book Antiqua" w:eastAsia="Times New Roman" w:hAnsi="Book Antiqua" w:cs="Times New Roman"/>
      <w:sz w:val="18"/>
      <w:szCs w:val="20"/>
      <w:lang w:eastAsia="en-AU"/>
    </w:rPr>
  </w:style>
  <w:style w:type="character" w:customStyle="1" w:styleId="FramedHeader">
    <w:name w:val="Framed Header"/>
    <w:basedOn w:val="DefaultParagraphFont"/>
    <w:rsid w:val="00DD1A90"/>
    <w:rPr>
      <w:rFonts w:ascii="Book Antiqua" w:hAnsi="Book Antiqua"/>
      <w:i/>
      <w:dstrike w:val="0"/>
      <w:color w:val="auto"/>
      <w:sz w:val="20"/>
      <w:vertAlign w:val="baseline"/>
    </w:rPr>
  </w:style>
  <w:style w:type="paragraph" w:customStyle="1" w:styleId="HeaderBase">
    <w:name w:val="Header Base"/>
    <w:rsid w:val="00DD1A90"/>
    <w:pPr>
      <w:spacing w:after="0" w:line="240" w:lineRule="auto"/>
    </w:pPr>
    <w:rPr>
      <w:rFonts w:ascii="Arial" w:eastAsia="Times New Roman" w:hAnsi="Arial" w:cs="Times New Roman"/>
      <w:color w:val="002A54" w:themeColor="text2"/>
      <w:sz w:val="18"/>
      <w:szCs w:val="20"/>
      <w:lang w:eastAsia="en-AU"/>
    </w:rPr>
  </w:style>
  <w:style w:type="paragraph" w:customStyle="1" w:styleId="HeaderEven">
    <w:name w:val="Header Even"/>
    <w:basedOn w:val="HeaderBase"/>
    <w:rsid w:val="00DD1A90"/>
  </w:style>
  <w:style w:type="paragraph" w:customStyle="1" w:styleId="HeaderOdd">
    <w:name w:val="Header Odd"/>
    <w:basedOn w:val="HeaderBase"/>
    <w:rsid w:val="00DD1A90"/>
    <w:pPr>
      <w:jc w:val="right"/>
    </w:pPr>
  </w:style>
  <w:style w:type="character" w:customStyle="1" w:styleId="Heading1Char">
    <w:name w:val="Heading 1 Char"/>
    <w:basedOn w:val="DefaultParagraphFont"/>
    <w:link w:val="Heading1"/>
    <w:rsid w:val="00DD1A90"/>
    <w:rPr>
      <w:rFonts w:ascii="Arial Bold" w:eastAsia="Times New Roman" w:hAnsi="Arial Bold" w:cs="Times New Roman"/>
      <w:b/>
      <w:kern w:val="34"/>
      <w:sz w:val="36"/>
      <w:szCs w:val="20"/>
      <w:lang w:eastAsia="en-AU"/>
    </w:rPr>
  </w:style>
  <w:style w:type="character" w:customStyle="1" w:styleId="Heading2Char">
    <w:name w:val="Heading 2 Char"/>
    <w:basedOn w:val="DefaultParagraphFont"/>
    <w:link w:val="Heading2"/>
    <w:rsid w:val="00DD1A90"/>
    <w:rPr>
      <w:rFonts w:ascii="Arial Bold" w:eastAsia="Times New Roman" w:hAnsi="Arial Bold" w:cs="Times New Roman"/>
      <w:b/>
      <w:sz w:val="26"/>
      <w:szCs w:val="20"/>
      <w:lang w:eastAsia="en-AU"/>
    </w:rPr>
  </w:style>
  <w:style w:type="character" w:customStyle="1" w:styleId="Heading3Char">
    <w:name w:val="Heading 3 Char"/>
    <w:basedOn w:val="DefaultParagraphFont"/>
    <w:link w:val="Heading3"/>
    <w:rsid w:val="00DD1A90"/>
    <w:rPr>
      <w:rFonts w:ascii="Arial Bold" w:eastAsia="Times New Roman" w:hAnsi="Arial Bold" w:cs="Times New Roman"/>
      <w:b/>
      <w:szCs w:val="20"/>
      <w:lang w:eastAsia="en-AU"/>
    </w:rPr>
  </w:style>
  <w:style w:type="paragraph" w:customStyle="1" w:styleId="Heading3noTOC">
    <w:name w:val="Heading 3 no TOC"/>
    <w:basedOn w:val="Heading3"/>
    <w:rsid w:val="00DD1A90"/>
    <w:pPr>
      <w:outlineLvl w:val="9"/>
    </w:pPr>
  </w:style>
  <w:style w:type="character" w:customStyle="1" w:styleId="Heading4Char">
    <w:name w:val="Heading 4 Char"/>
    <w:basedOn w:val="DefaultParagraphFont"/>
    <w:link w:val="Heading4"/>
    <w:rsid w:val="00DD1A90"/>
    <w:rPr>
      <w:rFonts w:ascii="Arial Bold" w:eastAsia="Times New Roman" w:hAnsi="Arial Bold" w:cs="Times New Roman"/>
      <w:b/>
      <w:sz w:val="20"/>
      <w:szCs w:val="20"/>
      <w:lang w:eastAsia="en-AU"/>
    </w:rPr>
  </w:style>
  <w:style w:type="character" w:customStyle="1" w:styleId="Heading5Char">
    <w:name w:val="Heading 5 Char"/>
    <w:basedOn w:val="DefaultParagraphFont"/>
    <w:link w:val="Heading5"/>
    <w:rsid w:val="00DD1A90"/>
    <w:rPr>
      <w:rFonts w:ascii="Arial" w:eastAsia="Times New Roman" w:hAnsi="Arial" w:cs="Times New Roman"/>
      <w:bCs/>
      <w:i/>
      <w:iCs/>
      <w:sz w:val="20"/>
      <w:szCs w:val="26"/>
      <w:lang w:eastAsia="en-AU"/>
    </w:rPr>
  </w:style>
  <w:style w:type="character" w:customStyle="1" w:styleId="Heading7Char">
    <w:name w:val="Heading 7 Char"/>
    <w:basedOn w:val="DefaultParagraphFont"/>
    <w:link w:val="Heading7"/>
    <w:rsid w:val="00DD1A90"/>
    <w:rPr>
      <w:rFonts w:ascii="Arial" w:eastAsia="Times New Roman" w:hAnsi="Arial" w:cs="Times New Roman"/>
      <w:sz w:val="20"/>
      <w:szCs w:val="24"/>
      <w:lang w:eastAsia="en-AU"/>
    </w:rPr>
  </w:style>
  <w:style w:type="character" w:customStyle="1" w:styleId="Heading8Char">
    <w:name w:val="Heading 8 Char"/>
    <w:basedOn w:val="DefaultParagraphFont"/>
    <w:link w:val="Heading8"/>
    <w:rsid w:val="00DD1A90"/>
    <w:rPr>
      <w:rFonts w:ascii="Times New Roman" w:eastAsia="Times New Roman" w:hAnsi="Times New Roman" w:cs="Times New Roman"/>
      <w:i/>
      <w:iCs/>
      <w:sz w:val="16"/>
      <w:szCs w:val="24"/>
      <w:lang w:eastAsia="en-AU"/>
    </w:rPr>
  </w:style>
  <w:style w:type="character" w:customStyle="1" w:styleId="HiddenSequenceCode">
    <w:name w:val="Hidden Sequence Code"/>
    <w:basedOn w:val="DefaultParagraphFont"/>
    <w:rsid w:val="00DD1A90"/>
    <w:rPr>
      <w:rFonts w:ascii="Times New Roman" w:hAnsi="Times New Roman"/>
      <w:vanish/>
      <w:sz w:val="16"/>
    </w:rPr>
  </w:style>
  <w:style w:type="character" w:styleId="Hyperlink">
    <w:name w:val="Hyperlink"/>
    <w:basedOn w:val="DefaultParagraphFont"/>
    <w:uiPriority w:val="99"/>
    <w:unhideWhenUsed/>
    <w:rsid w:val="00DD1A90"/>
    <w:rPr>
      <w:color w:val="auto"/>
      <w:u w:val="single"/>
    </w:rPr>
  </w:style>
  <w:style w:type="paragraph" w:styleId="Index4">
    <w:name w:val="index 4"/>
    <w:basedOn w:val="Normal"/>
    <w:next w:val="Normal"/>
    <w:autoRedefine/>
    <w:semiHidden/>
    <w:rsid w:val="00DD1A90"/>
    <w:pPr>
      <w:ind w:left="800" w:hanging="200"/>
    </w:pPr>
  </w:style>
  <w:style w:type="paragraph" w:styleId="Index5">
    <w:name w:val="index 5"/>
    <w:basedOn w:val="Normal"/>
    <w:next w:val="Normal"/>
    <w:autoRedefine/>
    <w:semiHidden/>
    <w:rsid w:val="00DD1A90"/>
    <w:pPr>
      <w:ind w:left="1000" w:hanging="200"/>
    </w:pPr>
  </w:style>
  <w:style w:type="paragraph" w:styleId="Index6">
    <w:name w:val="index 6"/>
    <w:basedOn w:val="Normal"/>
    <w:next w:val="Normal"/>
    <w:autoRedefine/>
    <w:semiHidden/>
    <w:rsid w:val="00DD1A90"/>
    <w:pPr>
      <w:ind w:left="1200" w:hanging="200"/>
    </w:pPr>
  </w:style>
  <w:style w:type="paragraph" w:styleId="Index7">
    <w:name w:val="index 7"/>
    <w:basedOn w:val="Normal"/>
    <w:next w:val="Normal"/>
    <w:autoRedefine/>
    <w:semiHidden/>
    <w:rsid w:val="00DD1A90"/>
    <w:pPr>
      <w:ind w:left="1400" w:hanging="200"/>
    </w:pPr>
  </w:style>
  <w:style w:type="paragraph" w:styleId="Index8">
    <w:name w:val="index 8"/>
    <w:basedOn w:val="Normal"/>
    <w:next w:val="Normal"/>
    <w:autoRedefine/>
    <w:semiHidden/>
    <w:rsid w:val="00DD1A90"/>
    <w:pPr>
      <w:ind w:left="1600" w:hanging="200"/>
    </w:pPr>
  </w:style>
  <w:style w:type="paragraph" w:styleId="Index9">
    <w:name w:val="index 9"/>
    <w:basedOn w:val="Normal"/>
    <w:next w:val="Normal"/>
    <w:autoRedefine/>
    <w:semiHidden/>
    <w:rsid w:val="00DD1A90"/>
    <w:pPr>
      <w:ind w:left="1800" w:hanging="200"/>
    </w:pPr>
  </w:style>
  <w:style w:type="paragraph" w:styleId="MacroText">
    <w:name w:val="macro"/>
    <w:link w:val="MacroTextChar"/>
    <w:unhideWhenUsed/>
    <w:rsid w:val="00DD1A90"/>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DD1A90"/>
    <w:rPr>
      <w:rFonts w:ascii="Courier New" w:eastAsia="Times New Roman" w:hAnsi="Courier New" w:cs="Courier New"/>
      <w:sz w:val="20"/>
      <w:szCs w:val="20"/>
      <w:lang w:eastAsia="en-AU"/>
    </w:rPr>
  </w:style>
  <w:style w:type="paragraph" w:styleId="NormalIndent">
    <w:name w:val="Normal Indent"/>
    <w:basedOn w:val="Normal"/>
    <w:rsid w:val="00DD1A90"/>
    <w:pPr>
      <w:ind w:left="567"/>
    </w:pPr>
  </w:style>
  <w:style w:type="paragraph" w:customStyle="1" w:styleId="NoteTableHeading">
    <w:name w:val="Note Table Heading"/>
    <w:basedOn w:val="HeadingBase"/>
    <w:next w:val="Normal"/>
    <w:rsid w:val="00DD1A90"/>
    <w:pPr>
      <w:spacing w:before="240"/>
    </w:pPr>
    <w:rPr>
      <w:b/>
      <w:sz w:val="20"/>
    </w:rPr>
  </w:style>
  <w:style w:type="paragraph" w:customStyle="1" w:styleId="OverviewParagraph">
    <w:name w:val="Overview Paragraph"/>
    <w:basedOn w:val="Normal"/>
    <w:rsid w:val="00DD1A90"/>
    <w:pPr>
      <w:spacing w:before="120" w:after="120" w:line="240" w:lineRule="auto"/>
    </w:pPr>
  </w:style>
  <w:style w:type="character" w:styleId="PageNumber">
    <w:name w:val="page number"/>
    <w:basedOn w:val="DefaultParagraphFont"/>
    <w:rsid w:val="00DD1A90"/>
    <w:rPr>
      <w:rFonts w:ascii="Arial" w:hAnsi="Arial" w:cs="Arial"/>
    </w:rPr>
  </w:style>
  <w:style w:type="paragraph" w:customStyle="1" w:styleId="SingleParagraph">
    <w:name w:val="Single Paragraph"/>
    <w:basedOn w:val="Normal"/>
    <w:rsid w:val="00DD1A90"/>
    <w:pPr>
      <w:spacing w:before="0" w:after="0"/>
    </w:pPr>
  </w:style>
  <w:style w:type="paragraph" w:customStyle="1" w:styleId="Source">
    <w:name w:val="Source"/>
    <w:basedOn w:val="Normal"/>
    <w:rsid w:val="00DD1A90"/>
    <w:pPr>
      <w:tabs>
        <w:tab w:val="left" w:pos="709"/>
      </w:tabs>
      <w:spacing w:before="30" w:line="240" w:lineRule="auto"/>
      <w:ind w:left="709" w:hanging="709"/>
    </w:pPr>
    <w:rPr>
      <w:rFonts w:ascii="Arial" w:hAnsi="Arial"/>
      <w:sz w:val="16"/>
    </w:rPr>
  </w:style>
  <w:style w:type="paragraph" w:customStyle="1" w:styleId="TableColumnHeadingBase">
    <w:name w:val="Table Column Heading Base"/>
    <w:basedOn w:val="Normal"/>
    <w:rsid w:val="00DD1A90"/>
    <w:pPr>
      <w:spacing w:before="40" w:after="40" w:line="240" w:lineRule="auto"/>
    </w:pPr>
    <w:rPr>
      <w:rFonts w:ascii="Arial Bold" w:hAnsi="Arial Bold"/>
      <w:b/>
      <w:sz w:val="16"/>
    </w:rPr>
  </w:style>
  <w:style w:type="paragraph" w:customStyle="1" w:styleId="TableColumnHeadingCentred">
    <w:name w:val="Table Column Heading Centred"/>
    <w:basedOn w:val="TableColumnHeadingBase"/>
    <w:next w:val="Normal"/>
    <w:rsid w:val="00DD1A90"/>
    <w:pPr>
      <w:jc w:val="center"/>
    </w:pPr>
  </w:style>
  <w:style w:type="paragraph" w:customStyle="1" w:styleId="TableColumnHeadingLeft">
    <w:name w:val="Table Column Heading Left"/>
    <w:basedOn w:val="TableColumnHeadingBase"/>
    <w:next w:val="Normal"/>
    <w:rsid w:val="00DD1A90"/>
  </w:style>
  <w:style w:type="paragraph" w:customStyle="1" w:styleId="TableColumnHeadingRight">
    <w:name w:val="Table Column Heading Right"/>
    <w:basedOn w:val="TableColumnHeadingBase"/>
    <w:next w:val="Normal"/>
    <w:rsid w:val="00DD1A90"/>
    <w:pPr>
      <w:jc w:val="right"/>
    </w:pPr>
  </w:style>
  <w:style w:type="paragraph" w:customStyle="1" w:styleId="TableGraphic">
    <w:name w:val="Table Graphic"/>
    <w:basedOn w:val="Normal"/>
    <w:next w:val="Normal"/>
    <w:rsid w:val="00DD1A90"/>
    <w:pPr>
      <w:spacing w:after="0" w:line="240" w:lineRule="auto"/>
      <w:ind w:right="-113"/>
    </w:pPr>
  </w:style>
  <w:style w:type="table" w:styleId="TableGrid">
    <w:name w:val="Table Grid"/>
    <w:basedOn w:val="TableNormal"/>
    <w:rsid w:val="00DD1A90"/>
    <w:pPr>
      <w:spacing w:after="240" w:line="260" w:lineRule="exac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Base"/>
    <w:next w:val="TableGraphic"/>
    <w:qFormat/>
    <w:rsid w:val="00DD1A90"/>
    <w:pPr>
      <w:spacing w:before="120" w:after="20"/>
    </w:pPr>
    <w:rPr>
      <w:b/>
      <w:sz w:val="20"/>
    </w:rPr>
  </w:style>
  <w:style w:type="paragraph" w:customStyle="1" w:styleId="TableHeadingcontinued">
    <w:name w:val="Table Heading continued"/>
    <w:basedOn w:val="HeadingBase"/>
    <w:next w:val="TableGraphic"/>
    <w:rsid w:val="00DD1A90"/>
    <w:pPr>
      <w:spacing w:before="120" w:after="20"/>
    </w:pPr>
    <w:rPr>
      <w:rFonts w:ascii="Arial Bold" w:hAnsi="Arial Bold"/>
      <w:b/>
      <w:sz w:val="20"/>
    </w:rPr>
  </w:style>
  <w:style w:type="paragraph" w:styleId="TableofFigures">
    <w:name w:val="table of figures"/>
    <w:basedOn w:val="Normal"/>
    <w:next w:val="Normal"/>
    <w:rsid w:val="00DD1A90"/>
  </w:style>
  <w:style w:type="paragraph" w:customStyle="1" w:styleId="TableTextBase">
    <w:name w:val="Table Text Base"/>
    <w:basedOn w:val="Normal"/>
    <w:rsid w:val="00DD1A90"/>
    <w:pPr>
      <w:spacing w:before="20" w:after="20" w:line="240" w:lineRule="auto"/>
    </w:pPr>
    <w:rPr>
      <w:rFonts w:ascii="Arial" w:hAnsi="Arial"/>
      <w:sz w:val="16"/>
    </w:rPr>
  </w:style>
  <w:style w:type="paragraph" w:customStyle="1" w:styleId="TableTextCentred">
    <w:name w:val="Table Text Centred"/>
    <w:basedOn w:val="TableTextBase"/>
    <w:rsid w:val="00DD1A90"/>
    <w:pPr>
      <w:jc w:val="center"/>
    </w:pPr>
  </w:style>
  <w:style w:type="paragraph" w:customStyle="1" w:styleId="TableTextIndented">
    <w:name w:val="Table Text Indented"/>
    <w:basedOn w:val="TableTextBase"/>
    <w:rsid w:val="00DD1A90"/>
    <w:pPr>
      <w:ind w:left="284"/>
    </w:pPr>
  </w:style>
  <w:style w:type="paragraph" w:customStyle="1" w:styleId="TableTextLeft">
    <w:name w:val="Table Text Left"/>
    <w:basedOn w:val="TableTextBase"/>
    <w:rsid w:val="00DD1A90"/>
  </w:style>
  <w:style w:type="paragraph" w:customStyle="1" w:styleId="TableTextRight">
    <w:name w:val="Table Text Right"/>
    <w:basedOn w:val="TableTextBase"/>
    <w:rsid w:val="00DD1A90"/>
    <w:pPr>
      <w:jc w:val="right"/>
    </w:pPr>
  </w:style>
  <w:style w:type="paragraph" w:styleId="TOAHeading">
    <w:name w:val="toa heading"/>
    <w:basedOn w:val="Normal"/>
    <w:next w:val="Normal"/>
    <w:rsid w:val="00DD1A90"/>
    <w:pPr>
      <w:spacing w:before="120"/>
    </w:pPr>
    <w:rPr>
      <w:rFonts w:ascii="Arial" w:hAnsi="Arial" w:cs="Arial"/>
      <w:b/>
      <w:bCs/>
      <w:sz w:val="24"/>
      <w:szCs w:val="24"/>
    </w:rPr>
  </w:style>
  <w:style w:type="paragraph" w:styleId="TOC1">
    <w:name w:val="toc 1"/>
    <w:basedOn w:val="HeaderBase"/>
    <w:next w:val="Normal"/>
    <w:uiPriority w:val="39"/>
    <w:rsid w:val="00DD1A90"/>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uiPriority w:val="39"/>
    <w:qFormat/>
    <w:rsid w:val="00DD1A90"/>
    <w:pPr>
      <w:keepNext w:val="0"/>
      <w:tabs>
        <w:tab w:val="left" w:pos="992"/>
        <w:tab w:val="right" w:leader="dot" w:pos="7700"/>
      </w:tabs>
      <w:spacing w:before="60" w:after="60"/>
      <w:ind w:right="851"/>
    </w:pPr>
    <w:rPr>
      <w:sz w:val="18"/>
    </w:rPr>
  </w:style>
  <w:style w:type="paragraph" w:styleId="TOC3">
    <w:name w:val="toc 3"/>
    <w:basedOn w:val="HeadingBase"/>
    <w:next w:val="Normal"/>
    <w:uiPriority w:val="2"/>
    <w:unhideWhenUsed/>
    <w:rsid w:val="00DD1A90"/>
    <w:pPr>
      <w:tabs>
        <w:tab w:val="right" w:leader="dot" w:pos="7700"/>
      </w:tabs>
      <w:spacing w:before="40"/>
      <w:ind w:left="992" w:right="851" w:hanging="992"/>
    </w:pPr>
    <w:rPr>
      <w:sz w:val="20"/>
    </w:rPr>
  </w:style>
  <w:style w:type="paragraph" w:styleId="TOC4">
    <w:name w:val="toc 4"/>
    <w:basedOn w:val="HeadingBase"/>
    <w:next w:val="Normal"/>
    <w:uiPriority w:val="2"/>
    <w:unhideWhenUsed/>
    <w:rsid w:val="00DD1A90"/>
    <w:pPr>
      <w:tabs>
        <w:tab w:val="right" w:leader="dot" w:pos="7700"/>
      </w:tabs>
      <w:spacing w:before="40"/>
      <w:ind w:right="851"/>
    </w:pPr>
    <w:rPr>
      <w:sz w:val="20"/>
    </w:rPr>
  </w:style>
  <w:style w:type="paragraph" w:styleId="TOC5">
    <w:name w:val="toc 5"/>
    <w:basedOn w:val="Normal"/>
    <w:next w:val="Normal"/>
    <w:autoRedefine/>
    <w:uiPriority w:val="2"/>
    <w:semiHidden/>
    <w:rsid w:val="00DD1A90"/>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DD1A90"/>
    <w:pPr>
      <w:tabs>
        <w:tab w:val="left" w:pos="851"/>
      </w:tabs>
      <w:ind w:left="851" w:hanging="851"/>
    </w:pPr>
    <w:rPr>
      <w:color w:val="000000"/>
    </w:rPr>
  </w:style>
  <w:style w:type="paragraph" w:styleId="TOC7">
    <w:name w:val="toc 7"/>
    <w:basedOn w:val="Normal"/>
    <w:next w:val="Normal"/>
    <w:autoRedefine/>
    <w:uiPriority w:val="2"/>
    <w:semiHidden/>
    <w:rsid w:val="00DD1A90"/>
    <w:pPr>
      <w:ind w:left="1200"/>
    </w:pPr>
  </w:style>
  <w:style w:type="paragraph" w:styleId="TOC8">
    <w:name w:val="toc 8"/>
    <w:basedOn w:val="Normal"/>
    <w:next w:val="Normal"/>
    <w:autoRedefine/>
    <w:uiPriority w:val="2"/>
    <w:semiHidden/>
    <w:rsid w:val="00DD1A90"/>
    <w:pPr>
      <w:ind w:left="1400"/>
    </w:pPr>
  </w:style>
  <w:style w:type="paragraph" w:styleId="TOC9">
    <w:name w:val="toc 9"/>
    <w:basedOn w:val="Normal"/>
    <w:next w:val="Normal"/>
    <w:autoRedefine/>
    <w:uiPriority w:val="2"/>
    <w:semiHidden/>
    <w:rsid w:val="00DD1A90"/>
    <w:pPr>
      <w:ind w:left="1600"/>
    </w:pPr>
  </w:style>
  <w:style w:type="paragraph" w:customStyle="1" w:styleId="TPHeading1">
    <w:name w:val="TP Heading 1"/>
    <w:basedOn w:val="HeadingBase"/>
    <w:semiHidden/>
    <w:rsid w:val="00DD1A90"/>
    <w:pPr>
      <w:spacing w:before="60" w:after="60"/>
      <w:ind w:left="1134"/>
    </w:pPr>
    <w:rPr>
      <w:rFonts w:ascii="Arial Bold" w:hAnsi="Arial Bold"/>
      <w:b/>
      <w:caps/>
      <w:spacing w:val="-10"/>
      <w:sz w:val="28"/>
    </w:rPr>
  </w:style>
  <w:style w:type="paragraph" w:customStyle="1" w:styleId="TPHeading2">
    <w:name w:val="TP Heading 2"/>
    <w:basedOn w:val="HeadingBase"/>
    <w:semiHidden/>
    <w:rsid w:val="00DD1A90"/>
    <w:pPr>
      <w:ind w:left="1134"/>
    </w:pPr>
    <w:rPr>
      <w:caps/>
      <w:spacing w:val="-10"/>
      <w:sz w:val="28"/>
    </w:rPr>
  </w:style>
  <w:style w:type="paragraph" w:customStyle="1" w:styleId="TPHeading3">
    <w:name w:val="TP Heading 3"/>
    <w:basedOn w:val="HeadingBase"/>
    <w:semiHidden/>
    <w:rsid w:val="00DD1A90"/>
    <w:pPr>
      <w:ind w:left="1134"/>
    </w:pPr>
    <w:rPr>
      <w:caps/>
      <w:spacing w:val="-10"/>
    </w:rPr>
  </w:style>
  <w:style w:type="paragraph" w:customStyle="1" w:styleId="TPHeading3bold">
    <w:name w:val="TP Heading 3 bold"/>
    <w:basedOn w:val="TPHeading3"/>
    <w:semiHidden/>
    <w:rsid w:val="00DD1A90"/>
    <w:rPr>
      <w:rFonts w:cs="Arial"/>
      <w:b/>
      <w:sz w:val="22"/>
      <w:szCs w:val="22"/>
    </w:rPr>
  </w:style>
  <w:style w:type="paragraph" w:customStyle="1" w:styleId="TPHEADING3boldspace">
    <w:name w:val="TP HEADING 3 bold space"/>
    <w:basedOn w:val="TPHeading3bold"/>
    <w:semiHidden/>
    <w:rsid w:val="00DD1A90"/>
    <w:pPr>
      <w:spacing w:after="120"/>
    </w:pPr>
  </w:style>
  <w:style w:type="paragraph" w:customStyle="1" w:styleId="TPHEADING3space">
    <w:name w:val="TP HEADING 3 space"/>
    <w:basedOn w:val="TPHeading3"/>
    <w:semiHidden/>
    <w:rsid w:val="00DD1A90"/>
    <w:pPr>
      <w:spacing w:before="120" w:after="120"/>
    </w:pPr>
    <w:rPr>
      <w:rFonts w:cs="Arial"/>
      <w:sz w:val="22"/>
      <w:szCs w:val="22"/>
    </w:rPr>
  </w:style>
  <w:style w:type="paragraph" w:customStyle="1" w:styleId="TPHeading4">
    <w:name w:val="TP Heading 4"/>
    <w:basedOn w:val="TPHeading3"/>
    <w:semiHidden/>
    <w:rsid w:val="00DD1A90"/>
    <w:rPr>
      <w:sz w:val="20"/>
    </w:rPr>
  </w:style>
  <w:style w:type="paragraph" w:customStyle="1" w:styleId="TPHEADING4space">
    <w:name w:val="TP HEADING 4 space"/>
    <w:basedOn w:val="TPHEADING3space"/>
    <w:semiHidden/>
    <w:rsid w:val="00DD1A90"/>
  </w:style>
  <w:style w:type="paragraph" w:customStyle="1" w:styleId="ChartLine">
    <w:name w:val="Chart Line"/>
    <w:basedOn w:val="Normal"/>
    <w:autoRedefine/>
    <w:qFormat/>
    <w:rsid w:val="00DD1A90"/>
    <w:pPr>
      <w:pBdr>
        <w:bottom w:val="single" w:sz="4" w:space="2" w:color="626A77" w:themeColor="background2" w:themeShade="E6"/>
      </w:pBdr>
      <w:spacing w:before="0" w:line="240" w:lineRule="auto"/>
    </w:pPr>
    <w:rPr>
      <w:noProof/>
      <w:sz w:val="4"/>
      <w:szCs w:val="4"/>
    </w:rPr>
  </w:style>
  <w:style w:type="paragraph" w:customStyle="1" w:styleId="ChartMainHeading">
    <w:name w:val="Chart Main Heading"/>
    <w:basedOn w:val="Normal"/>
    <w:next w:val="ChartGraphic"/>
    <w:rsid w:val="00DD1A90"/>
    <w:pPr>
      <w:keepNext/>
      <w:spacing w:before="120" w:after="20" w:line="240" w:lineRule="auto"/>
    </w:pPr>
    <w:rPr>
      <w:rFonts w:asciiTheme="majorHAnsi" w:hAnsiTheme="majorHAnsi"/>
      <w:b/>
      <w:sz w:val="20"/>
    </w:rPr>
  </w:style>
  <w:style w:type="character" w:customStyle="1" w:styleId="BoxHeading-Continued">
    <w:name w:val="Box Heading - Continued"/>
    <w:uiPriority w:val="1"/>
    <w:qFormat/>
    <w:rsid w:val="00DD1A90"/>
    <w:rPr>
      <w:sz w:val="16"/>
    </w:rPr>
  </w:style>
  <w:style w:type="paragraph" w:customStyle="1" w:styleId="Box-continuedon">
    <w:name w:val="Box - continued on"/>
    <w:basedOn w:val="Normal"/>
    <w:qFormat/>
    <w:rsid w:val="00DD1A90"/>
    <w:pPr>
      <w:jc w:val="right"/>
    </w:pPr>
    <w:rPr>
      <w:rFonts w:asciiTheme="majorHAnsi" w:hAnsiTheme="majorHAnsi" w:cstheme="majorHAnsi"/>
      <w:i/>
      <w:iCs/>
      <w:sz w:val="18"/>
      <w:szCs w:val="24"/>
    </w:rPr>
  </w:style>
  <w:style w:type="paragraph" w:customStyle="1" w:styleId="BoxHeading2">
    <w:name w:val="Box Heading 2"/>
    <w:basedOn w:val="BoxHeading"/>
    <w:autoRedefine/>
    <w:rsid w:val="00DD1A90"/>
    <w:pPr>
      <w:spacing w:after="0"/>
    </w:pPr>
    <w:rPr>
      <w:b w:val="0"/>
      <w:bCs/>
      <w:szCs w:val="14"/>
    </w:rPr>
  </w:style>
  <w:style w:type="character" w:customStyle="1" w:styleId="Heading9Char">
    <w:name w:val="Heading 9 Char"/>
    <w:basedOn w:val="DefaultParagraphFont"/>
    <w:link w:val="Heading9"/>
    <w:uiPriority w:val="9"/>
    <w:rsid w:val="00DD1A90"/>
    <w:rPr>
      <w:rFonts w:ascii="Cambria" w:eastAsia="Times New Roman" w:hAnsi="Cambria" w:cs="Times New Roman"/>
      <w:lang w:eastAsia="en-AU"/>
    </w:rPr>
  </w:style>
  <w:style w:type="paragraph" w:customStyle="1" w:styleId="GhostLine">
    <w:name w:val="Ghost Line"/>
    <w:basedOn w:val="NoSpacing"/>
    <w:qFormat/>
    <w:rsid w:val="00DD1A90"/>
    <w:pPr>
      <w:jc w:val="both"/>
    </w:pPr>
    <w:rPr>
      <w:rFonts w:ascii="Book Antiqua" w:hAnsi="Book Antiqua"/>
      <w:sz w:val="2"/>
    </w:rPr>
  </w:style>
  <w:style w:type="paragraph" w:styleId="NoSpacing">
    <w:name w:val="No Spacing"/>
    <w:uiPriority w:val="1"/>
    <w:qFormat/>
    <w:rsid w:val="00DD1A90"/>
    <w:pPr>
      <w:spacing w:after="0" w:line="240" w:lineRule="auto"/>
    </w:pPr>
    <w:rPr>
      <w:rFonts w:eastAsia="Times New Roman" w:cs="Times New Roman"/>
      <w:sz w:val="19"/>
      <w:szCs w:val="20"/>
      <w:lang w:eastAsia="en-AU"/>
    </w:rPr>
  </w:style>
  <w:style w:type="character" w:customStyle="1" w:styleId="BoxTextChar">
    <w:name w:val="Box Text Char"/>
    <w:basedOn w:val="DefaultParagraphFont"/>
    <w:link w:val="BoxText"/>
    <w:rsid w:val="00DD1A90"/>
    <w:rPr>
      <w:rFonts w:ascii="Book Antiqua" w:eastAsia="Times New Roman" w:hAnsi="Book Antiqua" w:cs="Times New Roman"/>
      <w:sz w:val="19"/>
      <w:szCs w:val="20"/>
      <w:lang w:eastAsia="en-AU"/>
    </w:rPr>
  </w:style>
  <w:style w:type="character" w:customStyle="1" w:styleId="A5">
    <w:name w:val="A5"/>
    <w:uiPriority w:val="99"/>
    <w:rsid w:val="00DD1A90"/>
    <w:rPr>
      <w:rFonts w:cs="Swiss 721 BT"/>
      <w:color w:val="000000"/>
      <w:sz w:val="20"/>
      <w:szCs w:val="20"/>
    </w:rPr>
  </w:style>
  <w:style w:type="paragraph" w:customStyle="1" w:styleId="CreativeCommonsNormal">
    <w:name w:val="Creative Commons Normal"/>
    <w:basedOn w:val="Normal"/>
    <w:qFormat/>
    <w:rsid w:val="00DD1A90"/>
    <w:pPr>
      <w:spacing w:before="120" w:after="120"/>
    </w:pPr>
  </w:style>
  <w:style w:type="paragraph" w:customStyle="1" w:styleId="CreativeCommonsH1">
    <w:name w:val="Creative Commons H1"/>
    <w:basedOn w:val="Normal"/>
    <w:qFormat/>
    <w:rsid w:val="00DD1A90"/>
    <w:pPr>
      <w:spacing w:before="180" w:after="120"/>
    </w:pPr>
    <w:rPr>
      <w:b/>
      <w:bCs/>
    </w:rPr>
  </w:style>
  <w:style w:type="paragraph" w:customStyle="1" w:styleId="CreativeCommonsIndented">
    <w:name w:val="Creative Commons Indented"/>
    <w:basedOn w:val="CreativeCommonsNormal"/>
    <w:qFormat/>
    <w:rsid w:val="00DD1A90"/>
    <w:pPr>
      <w:ind w:left="567"/>
    </w:pPr>
  </w:style>
  <w:style w:type="paragraph" w:customStyle="1" w:styleId="OutlineNumbered1">
    <w:name w:val="Outline Numbered 1"/>
    <w:basedOn w:val="Normal"/>
    <w:link w:val="OutlineNumbered1Char"/>
    <w:qFormat/>
    <w:rsid w:val="00DD1A90"/>
    <w:pPr>
      <w:numPr>
        <w:numId w:val="22"/>
      </w:numPr>
    </w:pPr>
  </w:style>
  <w:style w:type="character" w:customStyle="1" w:styleId="OutlineNumbered1Char">
    <w:name w:val="Outline Numbered 1 Char"/>
    <w:basedOn w:val="DefaultParagraphFont"/>
    <w:link w:val="OutlineNumbered1"/>
    <w:rsid w:val="00DD1A90"/>
    <w:rPr>
      <w:rFonts w:ascii="Book Antiqua" w:eastAsia="Times New Roman" w:hAnsi="Book Antiqua" w:cs="Times New Roman"/>
      <w:sz w:val="19"/>
      <w:szCs w:val="20"/>
      <w:lang w:eastAsia="en-AU"/>
    </w:rPr>
  </w:style>
  <w:style w:type="paragraph" w:customStyle="1" w:styleId="OutlineNumbered2">
    <w:name w:val="Outline Numbered 2"/>
    <w:basedOn w:val="Normal"/>
    <w:link w:val="OutlineNumbered2Char"/>
    <w:qFormat/>
    <w:rsid w:val="00DD1A90"/>
    <w:pPr>
      <w:numPr>
        <w:ilvl w:val="1"/>
        <w:numId w:val="21"/>
      </w:numPr>
    </w:pPr>
  </w:style>
  <w:style w:type="paragraph" w:customStyle="1" w:styleId="OutlineNumbered3">
    <w:name w:val="Outline Numbered 3"/>
    <w:basedOn w:val="Normal"/>
    <w:link w:val="OutlineNumbered3Char"/>
    <w:qFormat/>
    <w:rsid w:val="00DD1A90"/>
    <w:pPr>
      <w:numPr>
        <w:ilvl w:val="2"/>
        <w:numId w:val="21"/>
      </w:numPr>
    </w:pPr>
  </w:style>
  <w:style w:type="character" w:styleId="Emphasis">
    <w:name w:val="Emphasis"/>
    <w:basedOn w:val="DefaultParagraphFont"/>
    <w:uiPriority w:val="20"/>
    <w:qFormat/>
    <w:rsid w:val="00DD1A90"/>
    <w:rPr>
      <w:i/>
      <w:iCs/>
    </w:rPr>
  </w:style>
  <w:style w:type="character" w:customStyle="1" w:styleId="BulletChar">
    <w:name w:val="Bullet Char"/>
    <w:link w:val="Bullet"/>
    <w:qFormat/>
    <w:locked/>
    <w:rsid w:val="00DF4D4F"/>
    <w:rPr>
      <w:rFonts w:ascii="Book Antiqua" w:eastAsia="Times New Roman" w:hAnsi="Book Antiqua" w:cs="Times New Roman"/>
      <w:sz w:val="19"/>
      <w:szCs w:val="20"/>
      <w:lang w:eastAsia="en-AU"/>
    </w:rPr>
  </w:style>
  <w:style w:type="character" w:customStyle="1" w:styleId="ChartandTableFootnoteChar">
    <w:name w:val="Chart and Table Footnote Char"/>
    <w:basedOn w:val="DefaultParagraphFont"/>
    <w:link w:val="ChartandTableFootnote"/>
    <w:rsid w:val="00DF4D4F"/>
    <w:rPr>
      <w:rFonts w:ascii="Arial" w:eastAsia="Times New Roman" w:hAnsi="Arial" w:cs="Times New Roman"/>
      <w:color w:val="000000"/>
      <w:sz w:val="16"/>
      <w:szCs w:val="20"/>
      <w:lang w:eastAsia="en-AU"/>
    </w:rPr>
  </w:style>
  <w:style w:type="paragraph" w:customStyle="1" w:styleId="ChartandTableFootnoteAlphaSmall">
    <w:name w:val="Chart and Table Footnote Alpha Small"/>
    <w:basedOn w:val="HeadingBase"/>
    <w:next w:val="Normal"/>
    <w:link w:val="ChartandTableFootnoteAlphaSmallChar"/>
    <w:rsid w:val="00DF4D4F"/>
    <w:pPr>
      <w:keepNext w:val="0"/>
      <w:tabs>
        <w:tab w:val="num" w:pos="284"/>
      </w:tabs>
      <w:ind w:left="284" w:hanging="284"/>
      <w:jc w:val="both"/>
    </w:pPr>
    <w:rPr>
      <w:rFonts w:cs="Arial"/>
      <w:color w:val="000000"/>
      <w:sz w:val="15"/>
      <w:szCs w:val="15"/>
    </w:rPr>
  </w:style>
  <w:style w:type="character" w:customStyle="1" w:styleId="ChartandTableFootnoteAlphaSmallChar">
    <w:name w:val="Chart and Table Footnote Alpha Small Char"/>
    <w:link w:val="ChartandTableFootnoteAlphaSmall"/>
    <w:rsid w:val="00DF4D4F"/>
    <w:rPr>
      <w:rFonts w:ascii="Arial" w:eastAsia="Times New Roman" w:hAnsi="Arial" w:cs="Arial"/>
      <w:color w:val="000000"/>
      <w:sz w:val="15"/>
      <w:szCs w:val="15"/>
      <w:lang w:eastAsia="en-AU"/>
    </w:rPr>
  </w:style>
  <w:style w:type="paragraph" w:styleId="Revision">
    <w:name w:val="Revision"/>
    <w:hidden/>
    <w:uiPriority w:val="99"/>
    <w:semiHidden/>
    <w:rsid w:val="00DF4D4F"/>
    <w:pPr>
      <w:spacing w:after="0" w:line="240" w:lineRule="auto"/>
    </w:pPr>
    <w:rPr>
      <w:rFonts w:ascii="Book Antiqua" w:eastAsia="Times New Roman" w:hAnsi="Book Antiqua" w:cs="Times New Roman"/>
      <w:sz w:val="20"/>
      <w:szCs w:val="20"/>
      <w:lang w:eastAsia="en-AU"/>
    </w:rPr>
  </w:style>
  <w:style w:type="character" w:customStyle="1" w:styleId="DashChar">
    <w:name w:val="Dash Char"/>
    <w:basedOn w:val="DefaultParagraphFont"/>
    <w:link w:val="Dash"/>
    <w:rsid w:val="00DF4D4F"/>
    <w:rPr>
      <w:rFonts w:ascii="Book Antiqua" w:eastAsia="Times New Roman" w:hAnsi="Book Antiqua" w:cs="Times New Roman"/>
      <w:sz w:val="19"/>
      <w:szCs w:val="20"/>
      <w:lang w:eastAsia="en-AU"/>
    </w:rPr>
  </w:style>
  <w:style w:type="character" w:customStyle="1" w:styleId="HeadingBaseChar">
    <w:name w:val="Heading Base Char"/>
    <w:basedOn w:val="DefaultParagraphFont"/>
    <w:link w:val="HeadingBase"/>
    <w:rsid w:val="00DF4D4F"/>
    <w:rPr>
      <w:rFonts w:ascii="Arial" w:eastAsia="Times New Roman" w:hAnsi="Arial" w:cs="Times New Roman"/>
      <w:sz w:val="24"/>
      <w:szCs w:val="20"/>
      <w:lang w:eastAsia="en-AU"/>
    </w:rPr>
  </w:style>
  <w:style w:type="character" w:customStyle="1" w:styleId="OutlineNumbered2Char">
    <w:name w:val="Outline Numbered 2 Char"/>
    <w:basedOn w:val="ChartandTableFootnoteChar"/>
    <w:link w:val="OutlineNumbered2"/>
    <w:rsid w:val="00DF4D4F"/>
    <w:rPr>
      <w:rFonts w:ascii="Book Antiqua" w:eastAsia="Times New Roman" w:hAnsi="Book Antiqua" w:cs="Times New Roman"/>
      <w:color w:val="000000"/>
      <w:sz w:val="19"/>
      <w:szCs w:val="20"/>
      <w:lang w:eastAsia="en-AU"/>
    </w:rPr>
  </w:style>
  <w:style w:type="character" w:customStyle="1" w:styleId="OutlineNumbered3Char">
    <w:name w:val="Outline Numbered 3 Char"/>
    <w:basedOn w:val="ChartandTableFootnoteChar"/>
    <w:link w:val="OutlineNumbered3"/>
    <w:rsid w:val="00DF4D4F"/>
    <w:rPr>
      <w:rFonts w:ascii="Book Antiqua" w:eastAsia="Times New Roman" w:hAnsi="Book Antiqua" w:cs="Times New Roman"/>
      <w:color w:val="000000"/>
      <w:sz w:val="19"/>
      <w:szCs w:val="20"/>
      <w:lang w:eastAsia="en-AU"/>
    </w:rPr>
  </w:style>
  <w:style w:type="character" w:styleId="FollowedHyperlink">
    <w:name w:val="FollowedHyperlink"/>
    <w:basedOn w:val="DefaultParagraphFont"/>
    <w:uiPriority w:val="99"/>
    <w:semiHidden/>
    <w:unhideWhenUsed/>
    <w:rsid w:val="00DF4D4F"/>
    <w:rPr>
      <w:color w:val="E61E26" w:themeColor="followedHyperlink"/>
      <w:u w:val="single"/>
    </w:rPr>
  </w:style>
  <w:style w:type="paragraph" w:styleId="Bibliography">
    <w:name w:val="Bibliography"/>
    <w:basedOn w:val="Normal"/>
    <w:next w:val="Normal"/>
    <w:uiPriority w:val="37"/>
    <w:semiHidden/>
    <w:unhideWhenUsed/>
    <w:rsid w:val="00DF4D4F"/>
  </w:style>
  <w:style w:type="paragraph" w:styleId="BlockText">
    <w:name w:val="Block Text"/>
    <w:basedOn w:val="Normal"/>
    <w:uiPriority w:val="99"/>
    <w:semiHidden/>
    <w:unhideWhenUsed/>
    <w:rsid w:val="00DF4D4F"/>
    <w:pPr>
      <w:pBdr>
        <w:top w:val="single" w:sz="2" w:space="10" w:color="0364C3" w:themeColor="accent1"/>
        <w:left w:val="single" w:sz="2" w:space="10" w:color="0364C3" w:themeColor="accent1"/>
        <w:bottom w:val="single" w:sz="2" w:space="10" w:color="0364C3" w:themeColor="accent1"/>
        <w:right w:val="single" w:sz="2" w:space="10" w:color="0364C3" w:themeColor="accent1"/>
      </w:pBdr>
      <w:ind w:left="1152" w:right="1152"/>
    </w:pPr>
    <w:rPr>
      <w:rFonts w:asciiTheme="minorHAnsi" w:eastAsiaTheme="minorEastAsia" w:hAnsiTheme="minorHAnsi" w:cstheme="minorBidi"/>
      <w:i/>
      <w:iCs/>
      <w:color w:val="0364C3" w:themeColor="accent1"/>
    </w:rPr>
  </w:style>
  <w:style w:type="paragraph" w:styleId="BodyText">
    <w:name w:val="Body Text"/>
    <w:basedOn w:val="Normal"/>
    <w:link w:val="BodyTextChar"/>
    <w:uiPriority w:val="99"/>
    <w:semiHidden/>
    <w:unhideWhenUsed/>
    <w:rsid w:val="00DF4D4F"/>
    <w:pPr>
      <w:spacing w:after="120"/>
    </w:pPr>
  </w:style>
  <w:style w:type="character" w:customStyle="1" w:styleId="BodyTextChar">
    <w:name w:val="Body Text Char"/>
    <w:basedOn w:val="DefaultParagraphFont"/>
    <w:link w:val="BodyText"/>
    <w:uiPriority w:val="99"/>
    <w:semiHidden/>
    <w:rsid w:val="00DF4D4F"/>
    <w:rPr>
      <w:rFonts w:ascii="Book Antiqua" w:eastAsia="Times New Roman" w:hAnsi="Book Antiqua" w:cs="Times New Roman"/>
      <w:sz w:val="19"/>
      <w:szCs w:val="20"/>
      <w:lang w:eastAsia="en-AU"/>
    </w:rPr>
  </w:style>
  <w:style w:type="paragraph" w:styleId="BodyText2">
    <w:name w:val="Body Text 2"/>
    <w:basedOn w:val="Normal"/>
    <w:link w:val="BodyText2Char"/>
    <w:uiPriority w:val="99"/>
    <w:semiHidden/>
    <w:unhideWhenUsed/>
    <w:rsid w:val="00DF4D4F"/>
    <w:pPr>
      <w:spacing w:after="120" w:line="480" w:lineRule="auto"/>
    </w:pPr>
  </w:style>
  <w:style w:type="character" w:customStyle="1" w:styleId="BodyText2Char">
    <w:name w:val="Body Text 2 Char"/>
    <w:basedOn w:val="DefaultParagraphFont"/>
    <w:link w:val="BodyText2"/>
    <w:uiPriority w:val="99"/>
    <w:semiHidden/>
    <w:rsid w:val="00DF4D4F"/>
    <w:rPr>
      <w:rFonts w:ascii="Book Antiqua" w:eastAsia="Times New Roman" w:hAnsi="Book Antiqua" w:cs="Times New Roman"/>
      <w:sz w:val="19"/>
      <w:szCs w:val="20"/>
      <w:lang w:eastAsia="en-AU"/>
    </w:rPr>
  </w:style>
  <w:style w:type="paragraph" w:styleId="BodyText3">
    <w:name w:val="Body Text 3"/>
    <w:basedOn w:val="Normal"/>
    <w:link w:val="BodyText3Char"/>
    <w:uiPriority w:val="99"/>
    <w:semiHidden/>
    <w:unhideWhenUsed/>
    <w:rsid w:val="00DF4D4F"/>
    <w:pPr>
      <w:spacing w:after="120"/>
    </w:pPr>
    <w:rPr>
      <w:sz w:val="16"/>
      <w:szCs w:val="16"/>
    </w:rPr>
  </w:style>
  <w:style w:type="character" w:customStyle="1" w:styleId="BodyText3Char">
    <w:name w:val="Body Text 3 Char"/>
    <w:basedOn w:val="DefaultParagraphFont"/>
    <w:link w:val="BodyText3"/>
    <w:uiPriority w:val="99"/>
    <w:semiHidden/>
    <w:rsid w:val="00DF4D4F"/>
    <w:rPr>
      <w:rFonts w:ascii="Book Antiqua" w:eastAsia="Times New Roman" w:hAnsi="Book Antiqua" w:cs="Times New Roman"/>
      <w:sz w:val="16"/>
      <w:szCs w:val="16"/>
      <w:lang w:eastAsia="en-AU"/>
    </w:rPr>
  </w:style>
  <w:style w:type="paragraph" w:styleId="BodyTextFirstIndent">
    <w:name w:val="Body Text First Indent"/>
    <w:basedOn w:val="BodyText"/>
    <w:link w:val="BodyTextFirstIndentChar"/>
    <w:uiPriority w:val="99"/>
    <w:semiHidden/>
    <w:unhideWhenUsed/>
    <w:rsid w:val="00DF4D4F"/>
    <w:pPr>
      <w:spacing w:after="240"/>
      <w:ind w:firstLine="360"/>
    </w:pPr>
  </w:style>
  <w:style w:type="character" w:customStyle="1" w:styleId="BodyTextFirstIndentChar">
    <w:name w:val="Body Text First Indent Char"/>
    <w:basedOn w:val="BodyTextChar"/>
    <w:link w:val="BodyTextFirstIndent"/>
    <w:uiPriority w:val="99"/>
    <w:semiHidden/>
    <w:rsid w:val="00DF4D4F"/>
    <w:rPr>
      <w:rFonts w:ascii="Book Antiqua" w:eastAsia="Times New Roman" w:hAnsi="Book Antiqua" w:cs="Times New Roman"/>
      <w:sz w:val="19"/>
      <w:szCs w:val="20"/>
      <w:lang w:eastAsia="en-AU"/>
    </w:rPr>
  </w:style>
  <w:style w:type="paragraph" w:styleId="BodyTextIndent">
    <w:name w:val="Body Text Indent"/>
    <w:basedOn w:val="Normal"/>
    <w:link w:val="BodyTextIndentChar"/>
    <w:uiPriority w:val="99"/>
    <w:semiHidden/>
    <w:unhideWhenUsed/>
    <w:rsid w:val="00DF4D4F"/>
    <w:pPr>
      <w:spacing w:after="120"/>
      <w:ind w:left="283"/>
    </w:pPr>
  </w:style>
  <w:style w:type="character" w:customStyle="1" w:styleId="BodyTextIndentChar">
    <w:name w:val="Body Text Indent Char"/>
    <w:basedOn w:val="DefaultParagraphFont"/>
    <w:link w:val="BodyTextIndent"/>
    <w:uiPriority w:val="99"/>
    <w:semiHidden/>
    <w:rsid w:val="00DF4D4F"/>
    <w:rPr>
      <w:rFonts w:ascii="Book Antiqua" w:eastAsia="Times New Roman" w:hAnsi="Book Antiqua" w:cs="Times New Roman"/>
      <w:sz w:val="19"/>
      <w:szCs w:val="20"/>
      <w:lang w:eastAsia="en-AU"/>
    </w:rPr>
  </w:style>
  <w:style w:type="paragraph" w:styleId="BodyTextFirstIndent2">
    <w:name w:val="Body Text First Indent 2"/>
    <w:basedOn w:val="BodyTextIndent"/>
    <w:link w:val="BodyTextFirstIndent2Char"/>
    <w:uiPriority w:val="99"/>
    <w:semiHidden/>
    <w:unhideWhenUsed/>
    <w:rsid w:val="00DF4D4F"/>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F4D4F"/>
    <w:rPr>
      <w:rFonts w:ascii="Book Antiqua" w:eastAsia="Times New Roman" w:hAnsi="Book Antiqua" w:cs="Times New Roman"/>
      <w:sz w:val="19"/>
      <w:szCs w:val="20"/>
      <w:lang w:eastAsia="en-AU"/>
    </w:rPr>
  </w:style>
  <w:style w:type="paragraph" w:styleId="BodyTextIndent2">
    <w:name w:val="Body Text Indent 2"/>
    <w:basedOn w:val="Normal"/>
    <w:link w:val="BodyTextIndent2Char"/>
    <w:uiPriority w:val="99"/>
    <w:semiHidden/>
    <w:unhideWhenUsed/>
    <w:rsid w:val="00DF4D4F"/>
    <w:pPr>
      <w:spacing w:after="120" w:line="480" w:lineRule="auto"/>
      <w:ind w:left="283"/>
    </w:pPr>
  </w:style>
  <w:style w:type="character" w:customStyle="1" w:styleId="BodyTextIndent2Char">
    <w:name w:val="Body Text Indent 2 Char"/>
    <w:basedOn w:val="DefaultParagraphFont"/>
    <w:link w:val="BodyTextIndent2"/>
    <w:uiPriority w:val="99"/>
    <w:semiHidden/>
    <w:rsid w:val="00DF4D4F"/>
    <w:rPr>
      <w:rFonts w:ascii="Book Antiqua" w:eastAsia="Times New Roman" w:hAnsi="Book Antiqua" w:cs="Times New Roman"/>
      <w:sz w:val="19"/>
      <w:szCs w:val="20"/>
      <w:lang w:eastAsia="en-AU"/>
    </w:rPr>
  </w:style>
  <w:style w:type="paragraph" w:styleId="BodyTextIndent3">
    <w:name w:val="Body Text Indent 3"/>
    <w:basedOn w:val="Normal"/>
    <w:link w:val="BodyTextIndent3Char"/>
    <w:uiPriority w:val="99"/>
    <w:semiHidden/>
    <w:unhideWhenUsed/>
    <w:rsid w:val="00DF4D4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F4D4F"/>
    <w:rPr>
      <w:rFonts w:ascii="Book Antiqua" w:eastAsia="Times New Roman" w:hAnsi="Book Antiqua" w:cs="Times New Roman"/>
      <w:sz w:val="16"/>
      <w:szCs w:val="16"/>
      <w:lang w:eastAsia="en-AU"/>
    </w:rPr>
  </w:style>
  <w:style w:type="paragraph" w:styleId="Closing">
    <w:name w:val="Closing"/>
    <w:basedOn w:val="Normal"/>
    <w:link w:val="ClosingChar"/>
    <w:uiPriority w:val="99"/>
    <w:semiHidden/>
    <w:unhideWhenUsed/>
    <w:rsid w:val="00DF4D4F"/>
    <w:pPr>
      <w:spacing w:before="0" w:after="0" w:line="240" w:lineRule="auto"/>
      <w:ind w:left="4252"/>
    </w:pPr>
  </w:style>
  <w:style w:type="character" w:customStyle="1" w:styleId="ClosingChar">
    <w:name w:val="Closing Char"/>
    <w:basedOn w:val="DefaultParagraphFont"/>
    <w:link w:val="Closing"/>
    <w:uiPriority w:val="99"/>
    <w:semiHidden/>
    <w:rsid w:val="00DF4D4F"/>
    <w:rPr>
      <w:rFonts w:ascii="Book Antiqua" w:eastAsia="Times New Roman" w:hAnsi="Book Antiqua" w:cs="Times New Roman"/>
      <w:sz w:val="19"/>
      <w:szCs w:val="20"/>
      <w:lang w:eastAsia="en-AU"/>
    </w:rPr>
  </w:style>
  <w:style w:type="paragraph" w:styleId="Date">
    <w:name w:val="Date"/>
    <w:basedOn w:val="Normal"/>
    <w:next w:val="Normal"/>
    <w:link w:val="DateChar"/>
    <w:uiPriority w:val="99"/>
    <w:semiHidden/>
    <w:unhideWhenUsed/>
    <w:rsid w:val="00DF4D4F"/>
  </w:style>
  <w:style w:type="character" w:customStyle="1" w:styleId="DateChar">
    <w:name w:val="Date Char"/>
    <w:basedOn w:val="DefaultParagraphFont"/>
    <w:link w:val="Date"/>
    <w:uiPriority w:val="99"/>
    <w:semiHidden/>
    <w:rsid w:val="00DF4D4F"/>
    <w:rPr>
      <w:rFonts w:ascii="Book Antiqua" w:eastAsia="Times New Roman" w:hAnsi="Book Antiqua" w:cs="Times New Roman"/>
      <w:sz w:val="19"/>
      <w:szCs w:val="20"/>
      <w:lang w:eastAsia="en-AU"/>
    </w:rPr>
  </w:style>
  <w:style w:type="paragraph" w:styleId="E-mailSignature">
    <w:name w:val="E-mail Signature"/>
    <w:basedOn w:val="Normal"/>
    <w:link w:val="E-mailSignatureChar"/>
    <w:uiPriority w:val="99"/>
    <w:semiHidden/>
    <w:unhideWhenUsed/>
    <w:rsid w:val="00DF4D4F"/>
    <w:pPr>
      <w:spacing w:before="0" w:after="0" w:line="240" w:lineRule="auto"/>
    </w:pPr>
  </w:style>
  <w:style w:type="character" w:customStyle="1" w:styleId="E-mailSignatureChar">
    <w:name w:val="E-mail Signature Char"/>
    <w:basedOn w:val="DefaultParagraphFont"/>
    <w:link w:val="E-mailSignature"/>
    <w:uiPriority w:val="99"/>
    <w:semiHidden/>
    <w:rsid w:val="00DF4D4F"/>
    <w:rPr>
      <w:rFonts w:ascii="Book Antiqua" w:eastAsia="Times New Roman" w:hAnsi="Book Antiqua" w:cs="Times New Roman"/>
      <w:sz w:val="19"/>
      <w:szCs w:val="20"/>
      <w:lang w:eastAsia="en-AU"/>
    </w:rPr>
  </w:style>
  <w:style w:type="paragraph" w:styleId="EnvelopeAddress">
    <w:name w:val="envelope address"/>
    <w:basedOn w:val="Normal"/>
    <w:uiPriority w:val="99"/>
    <w:semiHidden/>
    <w:unhideWhenUsed/>
    <w:rsid w:val="00DF4D4F"/>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F4D4F"/>
    <w:pPr>
      <w:spacing w:before="0" w:after="0" w:line="240" w:lineRule="auto"/>
    </w:pPr>
    <w:rPr>
      <w:rFonts w:asciiTheme="majorHAnsi" w:eastAsiaTheme="majorEastAsia" w:hAnsiTheme="majorHAnsi" w:cstheme="majorBidi"/>
      <w:sz w:val="20"/>
    </w:rPr>
  </w:style>
  <w:style w:type="paragraph" w:styleId="HTMLAddress">
    <w:name w:val="HTML Address"/>
    <w:basedOn w:val="Normal"/>
    <w:link w:val="HTMLAddressChar"/>
    <w:uiPriority w:val="99"/>
    <w:semiHidden/>
    <w:unhideWhenUsed/>
    <w:rsid w:val="00DF4D4F"/>
    <w:pPr>
      <w:spacing w:before="0" w:after="0" w:line="240" w:lineRule="auto"/>
    </w:pPr>
    <w:rPr>
      <w:i/>
      <w:iCs/>
    </w:rPr>
  </w:style>
  <w:style w:type="character" w:customStyle="1" w:styleId="HTMLAddressChar">
    <w:name w:val="HTML Address Char"/>
    <w:basedOn w:val="DefaultParagraphFont"/>
    <w:link w:val="HTMLAddress"/>
    <w:uiPriority w:val="99"/>
    <w:semiHidden/>
    <w:rsid w:val="00DF4D4F"/>
    <w:rPr>
      <w:rFonts w:ascii="Book Antiqua" w:eastAsia="Times New Roman" w:hAnsi="Book Antiqua" w:cs="Times New Roman"/>
      <w:i/>
      <w:iCs/>
      <w:sz w:val="19"/>
      <w:szCs w:val="20"/>
      <w:lang w:eastAsia="en-AU"/>
    </w:rPr>
  </w:style>
  <w:style w:type="paragraph" w:styleId="HTMLPreformatted">
    <w:name w:val="HTML Preformatted"/>
    <w:basedOn w:val="Normal"/>
    <w:link w:val="HTMLPreformattedChar"/>
    <w:uiPriority w:val="99"/>
    <w:semiHidden/>
    <w:unhideWhenUsed/>
    <w:rsid w:val="00DF4D4F"/>
    <w:pPr>
      <w:spacing w:before="0"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DF4D4F"/>
    <w:rPr>
      <w:rFonts w:ascii="Consolas" w:eastAsia="Times New Roman" w:hAnsi="Consolas" w:cs="Times New Roman"/>
      <w:sz w:val="20"/>
      <w:szCs w:val="20"/>
      <w:lang w:eastAsia="en-AU"/>
    </w:rPr>
  </w:style>
  <w:style w:type="paragraph" w:styleId="List">
    <w:name w:val="List"/>
    <w:basedOn w:val="Normal"/>
    <w:uiPriority w:val="99"/>
    <w:semiHidden/>
    <w:unhideWhenUsed/>
    <w:rsid w:val="00DF4D4F"/>
    <w:pPr>
      <w:ind w:left="283" w:hanging="283"/>
      <w:contextualSpacing/>
    </w:pPr>
  </w:style>
  <w:style w:type="paragraph" w:styleId="List2">
    <w:name w:val="List 2"/>
    <w:basedOn w:val="Normal"/>
    <w:uiPriority w:val="99"/>
    <w:semiHidden/>
    <w:unhideWhenUsed/>
    <w:rsid w:val="00DF4D4F"/>
    <w:pPr>
      <w:ind w:left="566" w:hanging="283"/>
      <w:contextualSpacing/>
    </w:pPr>
  </w:style>
  <w:style w:type="paragraph" w:styleId="List3">
    <w:name w:val="List 3"/>
    <w:basedOn w:val="Normal"/>
    <w:uiPriority w:val="99"/>
    <w:semiHidden/>
    <w:unhideWhenUsed/>
    <w:rsid w:val="00DF4D4F"/>
    <w:pPr>
      <w:ind w:left="849" w:hanging="283"/>
      <w:contextualSpacing/>
    </w:pPr>
  </w:style>
  <w:style w:type="paragraph" w:styleId="List4">
    <w:name w:val="List 4"/>
    <w:basedOn w:val="Normal"/>
    <w:uiPriority w:val="99"/>
    <w:semiHidden/>
    <w:unhideWhenUsed/>
    <w:rsid w:val="00DF4D4F"/>
    <w:pPr>
      <w:ind w:left="1132" w:hanging="283"/>
      <w:contextualSpacing/>
    </w:pPr>
  </w:style>
  <w:style w:type="paragraph" w:styleId="List5">
    <w:name w:val="List 5"/>
    <w:basedOn w:val="Normal"/>
    <w:uiPriority w:val="99"/>
    <w:semiHidden/>
    <w:unhideWhenUsed/>
    <w:rsid w:val="00DF4D4F"/>
    <w:pPr>
      <w:ind w:left="1415" w:hanging="283"/>
      <w:contextualSpacing/>
    </w:pPr>
  </w:style>
  <w:style w:type="paragraph" w:styleId="ListBullet">
    <w:name w:val="List Bullet"/>
    <w:basedOn w:val="Normal"/>
    <w:uiPriority w:val="99"/>
    <w:semiHidden/>
    <w:unhideWhenUsed/>
    <w:rsid w:val="00DF4D4F"/>
    <w:pPr>
      <w:tabs>
        <w:tab w:val="num" w:pos="360"/>
      </w:tabs>
      <w:ind w:left="360" w:hanging="360"/>
      <w:contextualSpacing/>
    </w:pPr>
  </w:style>
  <w:style w:type="paragraph" w:styleId="ListBullet2">
    <w:name w:val="List Bullet 2"/>
    <w:basedOn w:val="Normal"/>
    <w:uiPriority w:val="99"/>
    <w:semiHidden/>
    <w:unhideWhenUsed/>
    <w:rsid w:val="00DF4D4F"/>
    <w:pPr>
      <w:tabs>
        <w:tab w:val="num" w:pos="643"/>
      </w:tabs>
      <w:ind w:left="643" w:hanging="360"/>
      <w:contextualSpacing/>
    </w:pPr>
  </w:style>
  <w:style w:type="paragraph" w:styleId="ListBullet3">
    <w:name w:val="List Bullet 3"/>
    <w:basedOn w:val="Normal"/>
    <w:uiPriority w:val="99"/>
    <w:semiHidden/>
    <w:unhideWhenUsed/>
    <w:rsid w:val="00DF4D4F"/>
    <w:pPr>
      <w:tabs>
        <w:tab w:val="num" w:pos="926"/>
      </w:tabs>
      <w:ind w:left="926" w:hanging="360"/>
      <w:contextualSpacing/>
    </w:pPr>
  </w:style>
  <w:style w:type="paragraph" w:styleId="ListBullet4">
    <w:name w:val="List Bullet 4"/>
    <w:basedOn w:val="Normal"/>
    <w:uiPriority w:val="99"/>
    <w:semiHidden/>
    <w:unhideWhenUsed/>
    <w:rsid w:val="00DF4D4F"/>
    <w:pPr>
      <w:tabs>
        <w:tab w:val="num" w:pos="1209"/>
      </w:tabs>
      <w:ind w:left="1209" w:hanging="360"/>
      <w:contextualSpacing/>
    </w:pPr>
  </w:style>
  <w:style w:type="paragraph" w:styleId="ListBullet5">
    <w:name w:val="List Bullet 5"/>
    <w:basedOn w:val="Normal"/>
    <w:uiPriority w:val="99"/>
    <w:semiHidden/>
    <w:unhideWhenUsed/>
    <w:rsid w:val="00DF4D4F"/>
    <w:pPr>
      <w:tabs>
        <w:tab w:val="num" w:pos="1492"/>
      </w:tabs>
      <w:ind w:left="1492" w:hanging="360"/>
      <w:contextualSpacing/>
    </w:pPr>
  </w:style>
  <w:style w:type="paragraph" w:styleId="ListContinue">
    <w:name w:val="List Continue"/>
    <w:basedOn w:val="Normal"/>
    <w:uiPriority w:val="99"/>
    <w:semiHidden/>
    <w:unhideWhenUsed/>
    <w:rsid w:val="00DF4D4F"/>
    <w:pPr>
      <w:spacing w:after="120"/>
      <w:ind w:left="283"/>
      <w:contextualSpacing/>
    </w:pPr>
  </w:style>
  <w:style w:type="paragraph" w:styleId="ListContinue2">
    <w:name w:val="List Continue 2"/>
    <w:basedOn w:val="Normal"/>
    <w:uiPriority w:val="99"/>
    <w:semiHidden/>
    <w:unhideWhenUsed/>
    <w:rsid w:val="00DF4D4F"/>
    <w:pPr>
      <w:spacing w:after="120"/>
      <w:ind w:left="566"/>
      <w:contextualSpacing/>
    </w:pPr>
  </w:style>
  <w:style w:type="paragraph" w:styleId="ListContinue3">
    <w:name w:val="List Continue 3"/>
    <w:basedOn w:val="Normal"/>
    <w:uiPriority w:val="99"/>
    <w:semiHidden/>
    <w:unhideWhenUsed/>
    <w:rsid w:val="00DF4D4F"/>
    <w:pPr>
      <w:spacing w:after="120"/>
      <w:ind w:left="849"/>
      <w:contextualSpacing/>
    </w:pPr>
  </w:style>
  <w:style w:type="paragraph" w:styleId="ListContinue4">
    <w:name w:val="List Continue 4"/>
    <w:basedOn w:val="Normal"/>
    <w:uiPriority w:val="99"/>
    <w:semiHidden/>
    <w:unhideWhenUsed/>
    <w:rsid w:val="00DF4D4F"/>
    <w:pPr>
      <w:spacing w:after="120"/>
      <w:ind w:left="1132"/>
      <w:contextualSpacing/>
    </w:pPr>
  </w:style>
  <w:style w:type="paragraph" w:styleId="ListContinue5">
    <w:name w:val="List Continue 5"/>
    <w:basedOn w:val="Normal"/>
    <w:uiPriority w:val="99"/>
    <w:semiHidden/>
    <w:unhideWhenUsed/>
    <w:rsid w:val="00DF4D4F"/>
    <w:pPr>
      <w:spacing w:after="120"/>
      <w:ind w:left="1415"/>
      <w:contextualSpacing/>
    </w:pPr>
  </w:style>
  <w:style w:type="paragraph" w:styleId="ListNumber">
    <w:name w:val="List Number"/>
    <w:basedOn w:val="Normal"/>
    <w:uiPriority w:val="99"/>
    <w:semiHidden/>
    <w:unhideWhenUsed/>
    <w:rsid w:val="00DF4D4F"/>
    <w:pPr>
      <w:tabs>
        <w:tab w:val="num" w:pos="360"/>
      </w:tabs>
      <w:ind w:left="360" w:hanging="360"/>
      <w:contextualSpacing/>
    </w:pPr>
  </w:style>
  <w:style w:type="paragraph" w:styleId="ListNumber2">
    <w:name w:val="List Number 2"/>
    <w:basedOn w:val="Normal"/>
    <w:uiPriority w:val="99"/>
    <w:semiHidden/>
    <w:unhideWhenUsed/>
    <w:rsid w:val="00DF4D4F"/>
    <w:pPr>
      <w:tabs>
        <w:tab w:val="num" w:pos="643"/>
      </w:tabs>
      <w:ind w:left="643" w:hanging="360"/>
      <w:contextualSpacing/>
    </w:pPr>
  </w:style>
  <w:style w:type="paragraph" w:styleId="ListNumber3">
    <w:name w:val="List Number 3"/>
    <w:basedOn w:val="Normal"/>
    <w:uiPriority w:val="99"/>
    <w:semiHidden/>
    <w:unhideWhenUsed/>
    <w:rsid w:val="00DF4D4F"/>
    <w:pPr>
      <w:tabs>
        <w:tab w:val="num" w:pos="926"/>
      </w:tabs>
      <w:ind w:left="926" w:hanging="360"/>
      <w:contextualSpacing/>
    </w:pPr>
  </w:style>
  <w:style w:type="paragraph" w:styleId="ListNumber4">
    <w:name w:val="List Number 4"/>
    <w:basedOn w:val="Normal"/>
    <w:uiPriority w:val="99"/>
    <w:semiHidden/>
    <w:unhideWhenUsed/>
    <w:rsid w:val="00DF4D4F"/>
    <w:pPr>
      <w:tabs>
        <w:tab w:val="num" w:pos="1209"/>
      </w:tabs>
      <w:ind w:left="1209" w:hanging="360"/>
      <w:contextualSpacing/>
    </w:pPr>
  </w:style>
  <w:style w:type="paragraph" w:styleId="ListNumber5">
    <w:name w:val="List Number 5"/>
    <w:basedOn w:val="Normal"/>
    <w:uiPriority w:val="99"/>
    <w:semiHidden/>
    <w:unhideWhenUsed/>
    <w:rsid w:val="00DF4D4F"/>
    <w:pPr>
      <w:tabs>
        <w:tab w:val="num" w:pos="1492"/>
      </w:tabs>
      <w:ind w:left="1492" w:hanging="360"/>
      <w:contextualSpacing/>
    </w:pPr>
  </w:style>
  <w:style w:type="paragraph" w:styleId="MessageHeader">
    <w:name w:val="Message Header"/>
    <w:basedOn w:val="Normal"/>
    <w:link w:val="MessageHeaderChar"/>
    <w:uiPriority w:val="99"/>
    <w:semiHidden/>
    <w:unhideWhenUsed/>
    <w:rsid w:val="00DF4D4F"/>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F4D4F"/>
    <w:rPr>
      <w:rFonts w:asciiTheme="majorHAnsi" w:eastAsiaTheme="majorEastAsia" w:hAnsiTheme="majorHAnsi" w:cstheme="majorBidi"/>
      <w:sz w:val="24"/>
      <w:szCs w:val="24"/>
      <w:shd w:val="pct20" w:color="auto" w:fill="auto"/>
      <w:lang w:eastAsia="en-AU"/>
    </w:rPr>
  </w:style>
  <w:style w:type="paragraph" w:styleId="NoteHeading">
    <w:name w:val="Note Heading"/>
    <w:basedOn w:val="Normal"/>
    <w:next w:val="Normal"/>
    <w:link w:val="NoteHeadingChar"/>
    <w:uiPriority w:val="99"/>
    <w:semiHidden/>
    <w:unhideWhenUsed/>
    <w:rsid w:val="00DF4D4F"/>
    <w:pPr>
      <w:spacing w:before="0" w:after="0" w:line="240" w:lineRule="auto"/>
    </w:pPr>
  </w:style>
  <w:style w:type="character" w:customStyle="1" w:styleId="NoteHeadingChar">
    <w:name w:val="Note Heading Char"/>
    <w:basedOn w:val="DefaultParagraphFont"/>
    <w:link w:val="NoteHeading"/>
    <w:uiPriority w:val="99"/>
    <w:semiHidden/>
    <w:rsid w:val="00DF4D4F"/>
    <w:rPr>
      <w:rFonts w:ascii="Book Antiqua" w:eastAsia="Times New Roman" w:hAnsi="Book Antiqua" w:cs="Times New Roman"/>
      <w:sz w:val="19"/>
      <w:szCs w:val="20"/>
      <w:lang w:eastAsia="en-AU"/>
    </w:rPr>
  </w:style>
  <w:style w:type="paragraph" w:styleId="PlainText">
    <w:name w:val="Plain Text"/>
    <w:basedOn w:val="Normal"/>
    <w:link w:val="PlainTextChar"/>
    <w:uiPriority w:val="99"/>
    <w:semiHidden/>
    <w:unhideWhenUsed/>
    <w:rsid w:val="00DF4D4F"/>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F4D4F"/>
    <w:rPr>
      <w:rFonts w:ascii="Consolas" w:eastAsia="Times New Roman" w:hAnsi="Consolas" w:cs="Times New Roman"/>
      <w:sz w:val="21"/>
      <w:szCs w:val="21"/>
      <w:lang w:eastAsia="en-AU"/>
    </w:rPr>
  </w:style>
  <w:style w:type="paragraph" w:styleId="Salutation">
    <w:name w:val="Salutation"/>
    <w:basedOn w:val="Normal"/>
    <w:next w:val="Normal"/>
    <w:link w:val="SalutationChar"/>
    <w:uiPriority w:val="99"/>
    <w:semiHidden/>
    <w:unhideWhenUsed/>
    <w:rsid w:val="00DF4D4F"/>
  </w:style>
  <w:style w:type="character" w:customStyle="1" w:styleId="SalutationChar">
    <w:name w:val="Salutation Char"/>
    <w:basedOn w:val="DefaultParagraphFont"/>
    <w:link w:val="Salutation"/>
    <w:uiPriority w:val="99"/>
    <w:semiHidden/>
    <w:rsid w:val="00DF4D4F"/>
    <w:rPr>
      <w:rFonts w:ascii="Book Antiqua" w:eastAsia="Times New Roman" w:hAnsi="Book Antiqua" w:cs="Times New Roman"/>
      <w:sz w:val="19"/>
      <w:szCs w:val="20"/>
      <w:lang w:eastAsia="en-AU"/>
    </w:rPr>
  </w:style>
  <w:style w:type="paragraph" w:styleId="Signature">
    <w:name w:val="Signature"/>
    <w:basedOn w:val="Normal"/>
    <w:link w:val="SignatureChar"/>
    <w:uiPriority w:val="99"/>
    <w:semiHidden/>
    <w:unhideWhenUsed/>
    <w:rsid w:val="00DF4D4F"/>
    <w:pPr>
      <w:spacing w:before="0" w:after="0" w:line="240" w:lineRule="auto"/>
      <w:ind w:left="4252"/>
    </w:pPr>
  </w:style>
  <w:style w:type="character" w:customStyle="1" w:styleId="SignatureChar">
    <w:name w:val="Signature Char"/>
    <w:basedOn w:val="DefaultParagraphFont"/>
    <w:link w:val="Signature"/>
    <w:uiPriority w:val="99"/>
    <w:semiHidden/>
    <w:rsid w:val="00DF4D4F"/>
    <w:rPr>
      <w:rFonts w:ascii="Book Antiqua" w:eastAsia="Times New Roman" w:hAnsi="Book Antiqua" w:cs="Times New Roman"/>
      <w:sz w:val="19"/>
      <w:szCs w:val="20"/>
      <w:lang w:eastAsia="en-AU"/>
    </w:rPr>
  </w:style>
  <w:style w:type="paragraph" w:styleId="TOCHeading">
    <w:name w:val="TOC Heading"/>
    <w:basedOn w:val="Heading1"/>
    <w:next w:val="Normal"/>
    <w:uiPriority w:val="39"/>
    <w:semiHidden/>
    <w:unhideWhenUsed/>
    <w:qFormat/>
    <w:rsid w:val="00DF4D4F"/>
    <w:pPr>
      <w:keepLines/>
      <w:spacing w:before="240" w:after="0" w:line="240" w:lineRule="exact"/>
      <w:outlineLvl w:val="9"/>
    </w:pPr>
    <w:rPr>
      <w:rFonts w:asciiTheme="majorHAnsi" w:eastAsiaTheme="majorEastAsia" w:hAnsiTheme="majorHAnsi" w:cstheme="majorBidi"/>
      <w:b w:val="0"/>
      <w:color w:val="024A91" w:themeColor="accent1" w:themeShade="BF"/>
      <w:kern w:val="0"/>
      <w:sz w:val="32"/>
      <w:szCs w:val="32"/>
    </w:rPr>
  </w:style>
  <w:style w:type="paragraph" w:styleId="CommentText">
    <w:name w:val="annotation text"/>
    <w:basedOn w:val="Normal"/>
    <w:link w:val="CommentTextChar"/>
    <w:rsid w:val="00DD1A90"/>
  </w:style>
  <w:style w:type="character" w:customStyle="1" w:styleId="CommentTextChar">
    <w:name w:val="Comment Text Char"/>
    <w:basedOn w:val="DefaultParagraphFont"/>
    <w:link w:val="CommentText"/>
    <w:rsid w:val="00DD1A90"/>
    <w:rPr>
      <w:rFonts w:ascii="Book Antiqua" w:eastAsia="Times New Roman" w:hAnsi="Book Antiqua" w:cs="Times New Roman"/>
      <w:sz w:val="19"/>
      <w:szCs w:val="20"/>
      <w:lang w:eastAsia="en-AU"/>
    </w:rPr>
  </w:style>
  <w:style w:type="paragraph" w:customStyle="1" w:styleId="ChartHeading">
    <w:name w:val="Chart Heading"/>
    <w:basedOn w:val="HeadingBase"/>
    <w:next w:val="ChartGraphic"/>
    <w:qFormat/>
    <w:rsid w:val="00424BCB"/>
    <w:pPr>
      <w:spacing w:before="120" w:after="20"/>
    </w:pPr>
    <w:rPr>
      <w:b/>
      <w:sz w:val="20"/>
    </w:rPr>
  </w:style>
  <w:style w:type="paragraph" w:customStyle="1" w:styleId="ChartandTableFootnoteSmall">
    <w:name w:val="Chart and Table Footnote Small"/>
    <w:basedOn w:val="HeadingBase"/>
    <w:next w:val="Normal"/>
    <w:rsid w:val="00DD1A90"/>
    <w:pPr>
      <w:keepNext w:val="0"/>
      <w:tabs>
        <w:tab w:val="left" w:pos="284"/>
      </w:tabs>
      <w:jc w:val="both"/>
    </w:pPr>
    <w:rPr>
      <w:color w:val="000000"/>
      <w:sz w:val="15"/>
    </w:rPr>
  </w:style>
  <w:style w:type="paragraph" w:styleId="NormalWeb">
    <w:name w:val="Normal (Web)"/>
    <w:basedOn w:val="Normal"/>
    <w:uiPriority w:val="99"/>
    <w:semiHidden/>
    <w:unhideWhenUsed/>
    <w:rsid w:val="005A76C4"/>
    <w:rPr>
      <w:rFonts w:ascii="Times New Roman" w:hAnsi="Times New Roman"/>
      <w:sz w:val="24"/>
      <w:szCs w:val="24"/>
    </w:rPr>
  </w:style>
  <w:style w:type="character" w:styleId="Mention">
    <w:name w:val="Mention"/>
    <w:basedOn w:val="DefaultParagraphFont"/>
    <w:uiPriority w:val="99"/>
    <w:unhideWhenUsed/>
    <w:rsid w:val="00B363AD"/>
    <w:rPr>
      <w:color w:val="2B579A"/>
      <w:shd w:val="clear" w:color="auto" w:fill="E1DFDD"/>
    </w:rPr>
  </w:style>
  <w:style w:type="character" w:styleId="UnresolvedMention">
    <w:name w:val="Unresolved Mention"/>
    <w:basedOn w:val="DefaultParagraphFont"/>
    <w:uiPriority w:val="99"/>
    <w:semiHidden/>
    <w:unhideWhenUsed/>
    <w:rsid w:val="00D238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386">
      <w:bodyDiv w:val="1"/>
      <w:marLeft w:val="0"/>
      <w:marRight w:val="0"/>
      <w:marTop w:val="0"/>
      <w:marBottom w:val="0"/>
      <w:divBdr>
        <w:top w:val="none" w:sz="0" w:space="0" w:color="auto"/>
        <w:left w:val="none" w:sz="0" w:space="0" w:color="auto"/>
        <w:bottom w:val="none" w:sz="0" w:space="0" w:color="auto"/>
        <w:right w:val="none" w:sz="0" w:space="0" w:color="auto"/>
      </w:divBdr>
    </w:div>
    <w:div w:id="80680457">
      <w:bodyDiv w:val="1"/>
      <w:marLeft w:val="0"/>
      <w:marRight w:val="0"/>
      <w:marTop w:val="0"/>
      <w:marBottom w:val="0"/>
      <w:divBdr>
        <w:top w:val="none" w:sz="0" w:space="0" w:color="auto"/>
        <w:left w:val="none" w:sz="0" w:space="0" w:color="auto"/>
        <w:bottom w:val="none" w:sz="0" w:space="0" w:color="auto"/>
        <w:right w:val="none" w:sz="0" w:space="0" w:color="auto"/>
      </w:divBdr>
    </w:div>
    <w:div w:id="92285206">
      <w:bodyDiv w:val="1"/>
      <w:marLeft w:val="0"/>
      <w:marRight w:val="0"/>
      <w:marTop w:val="0"/>
      <w:marBottom w:val="0"/>
      <w:divBdr>
        <w:top w:val="none" w:sz="0" w:space="0" w:color="auto"/>
        <w:left w:val="none" w:sz="0" w:space="0" w:color="auto"/>
        <w:bottom w:val="none" w:sz="0" w:space="0" w:color="auto"/>
        <w:right w:val="none" w:sz="0" w:space="0" w:color="auto"/>
      </w:divBdr>
    </w:div>
    <w:div w:id="114637127">
      <w:bodyDiv w:val="1"/>
      <w:marLeft w:val="0"/>
      <w:marRight w:val="0"/>
      <w:marTop w:val="0"/>
      <w:marBottom w:val="0"/>
      <w:divBdr>
        <w:top w:val="none" w:sz="0" w:space="0" w:color="auto"/>
        <w:left w:val="none" w:sz="0" w:space="0" w:color="auto"/>
        <w:bottom w:val="none" w:sz="0" w:space="0" w:color="auto"/>
        <w:right w:val="none" w:sz="0" w:space="0" w:color="auto"/>
      </w:divBdr>
    </w:div>
    <w:div w:id="143278026">
      <w:bodyDiv w:val="1"/>
      <w:marLeft w:val="0"/>
      <w:marRight w:val="0"/>
      <w:marTop w:val="0"/>
      <w:marBottom w:val="0"/>
      <w:divBdr>
        <w:top w:val="none" w:sz="0" w:space="0" w:color="auto"/>
        <w:left w:val="none" w:sz="0" w:space="0" w:color="auto"/>
        <w:bottom w:val="none" w:sz="0" w:space="0" w:color="auto"/>
        <w:right w:val="none" w:sz="0" w:space="0" w:color="auto"/>
      </w:divBdr>
    </w:div>
    <w:div w:id="256788243">
      <w:bodyDiv w:val="1"/>
      <w:marLeft w:val="0"/>
      <w:marRight w:val="0"/>
      <w:marTop w:val="0"/>
      <w:marBottom w:val="0"/>
      <w:divBdr>
        <w:top w:val="none" w:sz="0" w:space="0" w:color="auto"/>
        <w:left w:val="none" w:sz="0" w:space="0" w:color="auto"/>
        <w:bottom w:val="none" w:sz="0" w:space="0" w:color="auto"/>
        <w:right w:val="none" w:sz="0" w:space="0" w:color="auto"/>
      </w:divBdr>
    </w:div>
    <w:div w:id="274949740">
      <w:bodyDiv w:val="1"/>
      <w:marLeft w:val="0"/>
      <w:marRight w:val="0"/>
      <w:marTop w:val="0"/>
      <w:marBottom w:val="0"/>
      <w:divBdr>
        <w:top w:val="none" w:sz="0" w:space="0" w:color="auto"/>
        <w:left w:val="none" w:sz="0" w:space="0" w:color="auto"/>
        <w:bottom w:val="none" w:sz="0" w:space="0" w:color="auto"/>
        <w:right w:val="none" w:sz="0" w:space="0" w:color="auto"/>
      </w:divBdr>
    </w:div>
    <w:div w:id="508714680">
      <w:bodyDiv w:val="1"/>
      <w:marLeft w:val="0"/>
      <w:marRight w:val="0"/>
      <w:marTop w:val="0"/>
      <w:marBottom w:val="0"/>
      <w:divBdr>
        <w:top w:val="none" w:sz="0" w:space="0" w:color="auto"/>
        <w:left w:val="none" w:sz="0" w:space="0" w:color="auto"/>
        <w:bottom w:val="none" w:sz="0" w:space="0" w:color="auto"/>
        <w:right w:val="none" w:sz="0" w:space="0" w:color="auto"/>
      </w:divBdr>
    </w:div>
    <w:div w:id="604196359">
      <w:bodyDiv w:val="1"/>
      <w:marLeft w:val="0"/>
      <w:marRight w:val="0"/>
      <w:marTop w:val="0"/>
      <w:marBottom w:val="0"/>
      <w:divBdr>
        <w:top w:val="none" w:sz="0" w:space="0" w:color="auto"/>
        <w:left w:val="none" w:sz="0" w:space="0" w:color="auto"/>
        <w:bottom w:val="none" w:sz="0" w:space="0" w:color="auto"/>
        <w:right w:val="none" w:sz="0" w:space="0" w:color="auto"/>
      </w:divBdr>
    </w:div>
    <w:div w:id="620189783">
      <w:bodyDiv w:val="1"/>
      <w:marLeft w:val="0"/>
      <w:marRight w:val="0"/>
      <w:marTop w:val="0"/>
      <w:marBottom w:val="0"/>
      <w:divBdr>
        <w:top w:val="none" w:sz="0" w:space="0" w:color="auto"/>
        <w:left w:val="none" w:sz="0" w:space="0" w:color="auto"/>
        <w:bottom w:val="none" w:sz="0" w:space="0" w:color="auto"/>
        <w:right w:val="none" w:sz="0" w:space="0" w:color="auto"/>
      </w:divBdr>
    </w:div>
    <w:div w:id="699859313">
      <w:bodyDiv w:val="1"/>
      <w:marLeft w:val="0"/>
      <w:marRight w:val="0"/>
      <w:marTop w:val="0"/>
      <w:marBottom w:val="0"/>
      <w:divBdr>
        <w:top w:val="none" w:sz="0" w:space="0" w:color="auto"/>
        <w:left w:val="none" w:sz="0" w:space="0" w:color="auto"/>
        <w:bottom w:val="none" w:sz="0" w:space="0" w:color="auto"/>
        <w:right w:val="none" w:sz="0" w:space="0" w:color="auto"/>
      </w:divBdr>
    </w:div>
    <w:div w:id="724137778">
      <w:bodyDiv w:val="1"/>
      <w:marLeft w:val="0"/>
      <w:marRight w:val="0"/>
      <w:marTop w:val="0"/>
      <w:marBottom w:val="0"/>
      <w:divBdr>
        <w:top w:val="none" w:sz="0" w:space="0" w:color="auto"/>
        <w:left w:val="none" w:sz="0" w:space="0" w:color="auto"/>
        <w:bottom w:val="none" w:sz="0" w:space="0" w:color="auto"/>
        <w:right w:val="none" w:sz="0" w:space="0" w:color="auto"/>
      </w:divBdr>
    </w:div>
    <w:div w:id="783574616">
      <w:bodyDiv w:val="1"/>
      <w:marLeft w:val="0"/>
      <w:marRight w:val="0"/>
      <w:marTop w:val="0"/>
      <w:marBottom w:val="0"/>
      <w:divBdr>
        <w:top w:val="none" w:sz="0" w:space="0" w:color="auto"/>
        <w:left w:val="none" w:sz="0" w:space="0" w:color="auto"/>
        <w:bottom w:val="none" w:sz="0" w:space="0" w:color="auto"/>
        <w:right w:val="none" w:sz="0" w:space="0" w:color="auto"/>
      </w:divBdr>
    </w:div>
    <w:div w:id="812254078">
      <w:bodyDiv w:val="1"/>
      <w:marLeft w:val="0"/>
      <w:marRight w:val="0"/>
      <w:marTop w:val="0"/>
      <w:marBottom w:val="0"/>
      <w:divBdr>
        <w:top w:val="none" w:sz="0" w:space="0" w:color="auto"/>
        <w:left w:val="none" w:sz="0" w:space="0" w:color="auto"/>
        <w:bottom w:val="none" w:sz="0" w:space="0" w:color="auto"/>
        <w:right w:val="none" w:sz="0" w:space="0" w:color="auto"/>
      </w:divBdr>
    </w:div>
    <w:div w:id="863901598">
      <w:bodyDiv w:val="1"/>
      <w:marLeft w:val="0"/>
      <w:marRight w:val="0"/>
      <w:marTop w:val="0"/>
      <w:marBottom w:val="0"/>
      <w:divBdr>
        <w:top w:val="none" w:sz="0" w:space="0" w:color="auto"/>
        <w:left w:val="none" w:sz="0" w:space="0" w:color="auto"/>
        <w:bottom w:val="none" w:sz="0" w:space="0" w:color="auto"/>
        <w:right w:val="none" w:sz="0" w:space="0" w:color="auto"/>
      </w:divBdr>
    </w:div>
    <w:div w:id="949896939">
      <w:bodyDiv w:val="1"/>
      <w:marLeft w:val="0"/>
      <w:marRight w:val="0"/>
      <w:marTop w:val="0"/>
      <w:marBottom w:val="0"/>
      <w:divBdr>
        <w:top w:val="none" w:sz="0" w:space="0" w:color="auto"/>
        <w:left w:val="none" w:sz="0" w:space="0" w:color="auto"/>
        <w:bottom w:val="none" w:sz="0" w:space="0" w:color="auto"/>
        <w:right w:val="none" w:sz="0" w:space="0" w:color="auto"/>
      </w:divBdr>
    </w:div>
    <w:div w:id="962418808">
      <w:bodyDiv w:val="1"/>
      <w:marLeft w:val="0"/>
      <w:marRight w:val="0"/>
      <w:marTop w:val="0"/>
      <w:marBottom w:val="0"/>
      <w:divBdr>
        <w:top w:val="none" w:sz="0" w:space="0" w:color="auto"/>
        <w:left w:val="none" w:sz="0" w:space="0" w:color="auto"/>
        <w:bottom w:val="none" w:sz="0" w:space="0" w:color="auto"/>
        <w:right w:val="none" w:sz="0" w:space="0" w:color="auto"/>
      </w:divBdr>
    </w:div>
    <w:div w:id="1045177549">
      <w:bodyDiv w:val="1"/>
      <w:marLeft w:val="0"/>
      <w:marRight w:val="0"/>
      <w:marTop w:val="0"/>
      <w:marBottom w:val="0"/>
      <w:divBdr>
        <w:top w:val="none" w:sz="0" w:space="0" w:color="auto"/>
        <w:left w:val="none" w:sz="0" w:space="0" w:color="auto"/>
        <w:bottom w:val="none" w:sz="0" w:space="0" w:color="auto"/>
        <w:right w:val="none" w:sz="0" w:space="0" w:color="auto"/>
      </w:divBdr>
    </w:div>
    <w:div w:id="1056970448">
      <w:bodyDiv w:val="1"/>
      <w:marLeft w:val="0"/>
      <w:marRight w:val="0"/>
      <w:marTop w:val="0"/>
      <w:marBottom w:val="0"/>
      <w:divBdr>
        <w:top w:val="none" w:sz="0" w:space="0" w:color="auto"/>
        <w:left w:val="none" w:sz="0" w:space="0" w:color="auto"/>
        <w:bottom w:val="none" w:sz="0" w:space="0" w:color="auto"/>
        <w:right w:val="none" w:sz="0" w:space="0" w:color="auto"/>
      </w:divBdr>
    </w:div>
    <w:div w:id="1103383869">
      <w:bodyDiv w:val="1"/>
      <w:marLeft w:val="0"/>
      <w:marRight w:val="0"/>
      <w:marTop w:val="0"/>
      <w:marBottom w:val="0"/>
      <w:divBdr>
        <w:top w:val="none" w:sz="0" w:space="0" w:color="auto"/>
        <w:left w:val="none" w:sz="0" w:space="0" w:color="auto"/>
        <w:bottom w:val="none" w:sz="0" w:space="0" w:color="auto"/>
        <w:right w:val="none" w:sz="0" w:space="0" w:color="auto"/>
      </w:divBdr>
    </w:div>
    <w:div w:id="1112898027">
      <w:bodyDiv w:val="1"/>
      <w:marLeft w:val="0"/>
      <w:marRight w:val="0"/>
      <w:marTop w:val="0"/>
      <w:marBottom w:val="0"/>
      <w:divBdr>
        <w:top w:val="none" w:sz="0" w:space="0" w:color="auto"/>
        <w:left w:val="none" w:sz="0" w:space="0" w:color="auto"/>
        <w:bottom w:val="none" w:sz="0" w:space="0" w:color="auto"/>
        <w:right w:val="none" w:sz="0" w:space="0" w:color="auto"/>
      </w:divBdr>
    </w:div>
    <w:div w:id="1176380193">
      <w:bodyDiv w:val="1"/>
      <w:marLeft w:val="0"/>
      <w:marRight w:val="0"/>
      <w:marTop w:val="0"/>
      <w:marBottom w:val="0"/>
      <w:divBdr>
        <w:top w:val="none" w:sz="0" w:space="0" w:color="auto"/>
        <w:left w:val="none" w:sz="0" w:space="0" w:color="auto"/>
        <w:bottom w:val="none" w:sz="0" w:space="0" w:color="auto"/>
        <w:right w:val="none" w:sz="0" w:space="0" w:color="auto"/>
      </w:divBdr>
    </w:div>
    <w:div w:id="1248029987">
      <w:bodyDiv w:val="1"/>
      <w:marLeft w:val="0"/>
      <w:marRight w:val="0"/>
      <w:marTop w:val="0"/>
      <w:marBottom w:val="0"/>
      <w:divBdr>
        <w:top w:val="none" w:sz="0" w:space="0" w:color="auto"/>
        <w:left w:val="none" w:sz="0" w:space="0" w:color="auto"/>
        <w:bottom w:val="none" w:sz="0" w:space="0" w:color="auto"/>
        <w:right w:val="none" w:sz="0" w:space="0" w:color="auto"/>
      </w:divBdr>
    </w:div>
    <w:div w:id="1254827351">
      <w:bodyDiv w:val="1"/>
      <w:marLeft w:val="0"/>
      <w:marRight w:val="0"/>
      <w:marTop w:val="0"/>
      <w:marBottom w:val="0"/>
      <w:divBdr>
        <w:top w:val="none" w:sz="0" w:space="0" w:color="auto"/>
        <w:left w:val="none" w:sz="0" w:space="0" w:color="auto"/>
        <w:bottom w:val="none" w:sz="0" w:space="0" w:color="auto"/>
        <w:right w:val="none" w:sz="0" w:space="0" w:color="auto"/>
      </w:divBdr>
    </w:div>
    <w:div w:id="1272860716">
      <w:bodyDiv w:val="1"/>
      <w:marLeft w:val="0"/>
      <w:marRight w:val="0"/>
      <w:marTop w:val="0"/>
      <w:marBottom w:val="0"/>
      <w:divBdr>
        <w:top w:val="none" w:sz="0" w:space="0" w:color="auto"/>
        <w:left w:val="none" w:sz="0" w:space="0" w:color="auto"/>
        <w:bottom w:val="none" w:sz="0" w:space="0" w:color="auto"/>
        <w:right w:val="none" w:sz="0" w:space="0" w:color="auto"/>
      </w:divBdr>
    </w:div>
    <w:div w:id="1279141899">
      <w:bodyDiv w:val="1"/>
      <w:marLeft w:val="0"/>
      <w:marRight w:val="0"/>
      <w:marTop w:val="0"/>
      <w:marBottom w:val="0"/>
      <w:divBdr>
        <w:top w:val="none" w:sz="0" w:space="0" w:color="auto"/>
        <w:left w:val="none" w:sz="0" w:space="0" w:color="auto"/>
        <w:bottom w:val="none" w:sz="0" w:space="0" w:color="auto"/>
        <w:right w:val="none" w:sz="0" w:space="0" w:color="auto"/>
      </w:divBdr>
    </w:div>
    <w:div w:id="1332106486">
      <w:bodyDiv w:val="1"/>
      <w:marLeft w:val="0"/>
      <w:marRight w:val="0"/>
      <w:marTop w:val="0"/>
      <w:marBottom w:val="0"/>
      <w:divBdr>
        <w:top w:val="none" w:sz="0" w:space="0" w:color="auto"/>
        <w:left w:val="none" w:sz="0" w:space="0" w:color="auto"/>
        <w:bottom w:val="none" w:sz="0" w:space="0" w:color="auto"/>
        <w:right w:val="none" w:sz="0" w:space="0" w:color="auto"/>
      </w:divBdr>
    </w:div>
    <w:div w:id="1392730917">
      <w:bodyDiv w:val="1"/>
      <w:marLeft w:val="0"/>
      <w:marRight w:val="0"/>
      <w:marTop w:val="0"/>
      <w:marBottom w:val="0"/>
      <w:divBdr>
        <w:top w:val="none" w:sz="0" w:space="0" w:color="auto"/>
        <w:left w:val="none" w:sz="0" w:space="0" w:color="auto"/>
        <w:bottom w:val="none" w:sz="0" w:space="0" w:color="auto"/>
        <w:right w:val="none" w:sz="0" w:space="0" w:color="auto"/>
      </w:divBdr>
    </w:div>
    <w:div w:id="1400517141">
      <w:bodyDiv w:val="1"/>
      <w:marLeft w:val="0"/>
      <w:marRight w:val="0"/>
      <w:marTop w:val="0"/>
      <w:marBottom w:val="0"/>
      <w:divBdr>
        <w:top w:val="none" w:sz="0" w:space="0" w:color="auto"/>
        <w:left w:val="none" w:sz="0" w:space="0" w:color="auto"/>
        <w:bottom w:val="none" w:sz="0" w:space="0" w:color="auto"/>
        <w:right w:val="none" w:sz="0" w:space="0" w:color="auto"/>
      </w:divBdr>
    </w:div>
    <w:div w:id="1528982918">
      <w:bodyDiv w:val="1"/>
      <w:marLeft w:val="0"/>
      <w:marRight w:val="0"/>
      <w:marTop w:val="0"/>
      <w:marBottom w:val="0"/>
      <w:divBdr>
        <w:top w:val="none" w:sz="0" w:space="0" w:color="auto"/>
        <w:left w:val="none" w:sz="0" w:space="0" w:color="auto"/>
        <w:bottom w:val="none" w:sz="0" w:space="0" w:color="auto"/>
        <w:right w:val="none" w:sz="0" w:space="0" w:color="auto"/>
      </w:divBdr>
    </w:div>
    <w:div w:id="1535002711">
      <w:bodyDiv w:val="1"/>
      <w:marLeft w:val="0"/>
      <w:marRight w:val="0"/>
      <w:marTop w:val="0"/>
      <w:marBottom w:val="0"/>
      <w:divBdr>
        <w:top w:val="none" w:sz="0" w:space="0" w:color="auto"/>
        <w:left w:val="none" w:sz="0" w:space="0" w:color="auto"/>
        <w:bottom w:val="none" w:sz="0" w:space="0" w:color="auto"/>
        <w:right w:val="none" w:sz="0" w:space="0" w:color="auto"/>
      </w:divBdr>
    </w:div>
    <w:div w:id="1562058289">
      <w:bodyDiv w:val="1"/>
      <w:marLeft w:val="0"/>
      <w:marRight w:val="0"/>
      <w:marTop w:val="0"/>
      <w:marBottom w:val="0"/>
      <w:divBdr>
        <w:top w:val="none" w:sz="0" w:space="0" w:color="auto"/>
        <w:left w:val="none" w:sz="0" w:space="0" w:color="auto"/>
        <w:bottom w:val="none" w:sz="0" w:space="0" w:color="auto"/>
        <w:right w:val="none" w:sz="0" w:space="0" w:color="auto"/>
      </w:divBdr>
    </w:div>
    <w:div w:id="1578250952">
      <w:bodyDiv w:val="1"/>
      <w:marLeft w:val="0"/>
      <w:marRight w:val="0"/>
      <w:marTop w:val="0"/>
      <w:marBottom w:val="0"/>
      <w:divBdr>
        <w:top w:val="none" w:sz="0" w:space="0" w:color="auto"/>
        <w:left w:val="none" w:sz="0" w:space="0" w:color="auto"/>
        <w:bottom w:val="none" w:sz="0" w:space="0" w:color="auto"/>
        <w:right w:val="none" w:sz="0" w:space="0" w:color="auto"/>
      </w:divBdr>
    </w:div>
    <w:div w:id="1605915252">
      <w:bodyDiv w:val="1"/>
      <w:marLeft w:val="0"/>
      <w:marRight w:val="0"/>
      <w:marTop w:val="0"/>
      <w:marBottom w:val="0"/>
      <w:divBdr>
        <w:top w:val="none" w:sz="0" w:space="0" w:color="auto"/>
        <w:left w:val="none" w:sz="0" w:space="0" w:color="auto"/>
        <w:bottom w:val="none" w:sz="0" w:space="0" w:color="auto"/>
        <w:right w:val="none" w:sz="0" w:space="0" w:color="auto"/>
      </w:divBdr>
    </w:div>
    <w:div w:id="1700399936">
      <w:bodyDiv w:val="1"/>
      <w:marLeft w:val="0"/>
      <w:marRight w:val="0"/>
      <w:marTop w:val="0"/>
      <w:marBottom w:val="0"/>
      <w:divBdr>
        <w:top w:val="none" w:sz="0" w:space="0" w:color="auto"/>
        <w:left w:val="none" w:sz="0" w:space="0" w:color="auto"/>
        <w:bottom w:val="none" w:sz="0" w:space="0" w:color="auto"/>
        <w:right w:val="none" w:sz="0" w:space="0" w:color="auto"/>
      </w:divBdr>
    </w:div>
    <w:div w:id="1705322901">
      <w:bodyDiv w:val="1"/>
      <w:marLeft w:val="0"/>
      <w:marRight w:val="0"/>
      <w:marTop w:val="0"/>
      <w:marBottom w:val="0"/>
      <w:divBdr>
        <w:top w:val="none" w:sz="0" w:space="0" w:color="auto"/>
        <w:left w:val="none" w:sz="0" w:space="0" w:color="auto"/>
        <w:bottom w:val="none" w:sz="0" w:space="0" w:color="auto"/>
        <w:right w:val="none" w:sz="0" w:space="0" w:color="auto"/>
      </w:divBdr>
    </w:div>
    <w:div w:id="1760370931">
      <w:bodyDiv w:val="1"/>
      <w:marLeft w:val="0"/>
      <w:marRight w:val="0"/>
      <w:marTop w:val="0"/>
      <w:marBottom w:val="0"/>
      <w:divBdr>
        <w:top w:val="none" w:sz="0" w:space="0" w:color="auto"/>
        <w:left w:val="none" w:sz="0" w:space="0" w:color="auto"/>
        <w:bottom w:val="none" w:sz="0" w:space="0" w:color="auto"/>
        <w:right w:val="none" w:sz="0" w:space="0" w:color="auto"/>
      </w:divBdr>
    </w:div>
    <w:div w:id="1786343775">
      <w:bodyDiv w:val="1"/>
      <w:marLeft w:val="0"/>
      <w:marRight w:val="0"/>
      <w:marTop w:val="0"/>
      <w:marBottom w:val="0"/>
      <w:divBdr>
        <w:top w:val="none" w:sz="0" w:space="0" w:color="auto"/>
        <w:left w:val="none" w:sz="0" w:space="0" w:color="auto"/>
        <w:bottom w:val="none" w:sz="0" w:space="0" w:color="auto"/>
        <w:right w:val="none" w:sz="0" w:space="0" w:color="auto"/>
      </w:divBdr>
    </w:div>
    <w:div w:id="1819808476">
      <w:bodyDiv w:val="1"/>
      <w:marLeft w:val="0"/>
      <w:marRight w:val="0"/>
      <w:marTop w:val="0"/>
      <w:marBottom w:val="0"/>
      <w:divBdr>
        <w:top w:val="none" w:sz="0" w:space="0" w:color="auto"/>
        <w:left w:val="none" w:sz="0" w:space="0" w:color="auto"/>
        <w:bottom w:val="none" w:sz="0" w:space="0" w:color="auto"/>
        <w:right w:val="none" w:sz="0" w:space="0" w:color="auto"/>
      </w:divBdr>
    </w:div>
    <w:div w:id="1866673205">
      <w:bodyDiv w:val="1"/>
      <w:marLeft w:val="0"/>
      <w:marRight w:val="0"/>
      <w:marTop w:val="0"/>
      <w:marBottom w:val="0"/>
      <w:divBdr>
        <w:top w:val="none" w:sz="0" w:space="0" w:color="auto"/>
        <w:left w:val="none" w:sz="0" w:space="0" w:color="auto"/>
        <w:bottom w:val="none" w:sz="0" w:space="0" w:color="auto"/>
        <w:right w:val="none" w:sz="0" w:space="0" w:color="auto"/>
      </w:divBdr>
    </w:div>
    <w:div w:id="1949269808">
      <w:bodyDiv w:val="1"/>
      <w:marLeft w:val="0"/>
      <w:marRight w:val="0"/>
      <w:marTop w:val="0"/>
      <w:marBottom w:val="0"/>
      <w:divBdr>
        <w:top w:val="none" w:sz="0" w:space="0" w:color="auto"/>
        <w:left w:val="none" w:sz="0" w:space="0" w:color="auto"/>
        <w:bottom w:val="none" w:sz="0" w:space="0" w:color="auto"/>
        <w:right w:val="none" w:sz="0" w:space="0" w:color="auto"/>
      </w:divBdr>
    </w:div>
    <w:div w:id="1986084563">
      <w:bodyDiv w:val="1"/>
      <w:marLeft w:val="0"/>
      <w:marRight w:val="0"/>
      <w:marTop w:val="0"/>
      <w:marBottom w:val="0"/>
      <w:divBdr>
        <w:top w:val="none" w:sz="0" w:space="0" w:color="auto"/>
        <w:left w:val="none" w:sz="0" w:space="0" w:color="auto"/>
        <w:bottom w:val="none" w:sz="0" w:space="0" w:color="auto"/>
        <w:right w:val="none" w:sz="0" w:space="0" w:color="auto"/>
      </w:divBdr>
    </w:div>
    <w:div w:id="2023512369">
      <w:bodyDiv w:val="1"/>
      <w:marLeft w:val="0"/>
      <w:marRight w:val="0"/>
      <w:marTop w:val="0"/>
      <w:marBottom w:val="0"/>
      <w:divBdr>
        <w:top w:val="none" w:sz="0" w:space="0" w:color="auto"/>
        <w:left w:val="none" w:sz="0" w:space="0" w:color="auto"/>
        <w:bottom w:val="none" w:sz="0" w:space="0" w:color="auto"/>
        <w:right w:val="none" w:sz="0" w:space="0" w:color="auto"/>
      </w:divBdr>
    </w:div>
    <w:div w:id="2034572695">
      <w:bodyDiv w:val="1"/>
      <w:marLeft w:val="0"/>
      <w:marRight w:val="0"/>
      <w:marTop w:val="0"/>
      <w:marBottom w:val="0"/>
      <w:divBdr>
        <w:top w:val="none" w:sz="0" w:space="0" w:color="auto"/>
        <w:left w:val="none" w:sz="0" w:space="0" w:color="auto"/>
        <w:bottom w:val="none" w:sz="0" w:space="0" w:color="auto"/>
        <w:right w:val="none" w:sz="0" w:space="0" w:color="auto"/>
      </w:divBdr>
    </w:div>
    <w:div w:id="2117823624">
      <w:bodyDiv w:val="1"/>
      <w:marLeft w:val="0"/>
      <w:marRight w:val="0"/>
      <w:marTop w:val="0"/>
      <w:marBottom w:val="0"/>
      <w:divBdr>
        <w:top w:val="none" w:sz="0" w:space="0" w:color="auto"/>
        <w:left w:val="none" w:sz="0" w:space="0" w:color="auto"/>
        <w:bottom w:val="none" w:sz="0" w:space="0" w:color="auto"/>
        <w:right w:val="none" w:sz="0" w:space="0" w:color="auto"/>
      </w:divBdr>
    </w:div>
    <w:div w:id="213617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image" Target="media/image6.e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image" Target="media/image5.emf"/><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yperlink" Target="http://www.budget.gov.au"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Budget">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5788</Words>
  <Characters>32996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Budget Paper No. 1</vt:lpstr>
    </vt:vector>
  </TitlesOfParts>
  <Company/>
  <LinksUpToDate>false</LinksUpToDate>
  <CharactersWithSpaces>38707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Paper No. 1</dc:title>
  <dc:subject>Statement 4: Revenue</dc:subject>
  <dc:creator>Australian Government</dc:creator>
  <cp:keywords/>
  <dc:description/>
  <cp:lastModifiedBy/>
  <cp:revision>1</cp:revision>
  <dcterms:created xsi:type="dcterms:W3CDTF">2025-03-24T01:45:00Z</dcterms:created>
  <dcterms:modified xsi:type="dcterms:W3CDTF">2025-03-24T01:46:00Z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2025-03-24T01:45:27Z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965abff8-7b2b-40cf-8ec7-d09b48882638</vt:lpwstr>
  </property>
  <property fmtid="{D5CDD505-2E9C-101B-9397-08002B2CF9AE}" pid="8" name="MSIP_Label_4f932d64-9ab1-4d9b-81d2-a3a8b82dd47d_ContentBits">
    <vt:lpwstr>0</vt:lpwstr>
  </property>
</Properties>
</file>