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7DDE" w14:textId="61DA769D" w:rsidR="00397CED" w:rsidRPr="00CE091F" w:rsidRDefault="00397CED" w:rsidP="001B4567">
      <w:pPr>
        <w:pStyle w:val="Heading1-Statement"/>
        <w:rPr>
          <w:rStyle w:val="Strong"/>
          <w:rFonts w:ascii="Book Antiqua" w:hAnsi="Book Antiqua"/>
          <w:sz w:val="19"/>
          <w:szCs w:val="20"/>
        </w:rPr>
      </w:pPr>
      <w:r w:rsidRPr="00CE091F">
        <w:t>Statement 7:</w:t>
      </w:r>
      <w:r w:rsidRPr="00CE091F">
        <w:rPr>
          <w:rStyle w:val="Strong"/>
        </w:rPr>
        <w:t xml:space="preserve"> </w:t>
      </w:r>
      <w:r w:rsidRPr="00CE091F" w:rsidDel="006167A2">
        <w:rPr>
          <w:rStyle w:val="Strong"/>
        </w:rPr>
        <w:br/>
      </w:r>
      <w:r w:rsidRPr="00CE091F">
        <w:t xml:space="preserve">Forecasting </w:t>
      </w:r>
      <w:r w:rsidRPr="001B4567">
        <w:t>Performance</w:t>
      </w:r>
      <w:r w:rsidRPr="00CE091F">
        <w:t xml:space="preserve"> </w:t>
      </w:r>
      <w:r w:rsidRPr="00CE091F">
        <w:br/>
        <w:t>and Sensitivity Analysis</w:t>
      </w:r>
    </w:p>
    <w:p w14:paraId="3ABA6E76" w14:textId="38FA8475" w:rsidR="00397CED" w:rsidRPr="00CE091F" w:rsidRDefault="00397CED" w:rsidP="007344E7">
      <w:pPr>
        <w:rPr>
          <w:b/>
        </w:rPr>
      </w:pPr>
      <w:r w:rsidRPr="00CE091F">
        <w:t xml:space="preserve">Economic and fiscal forecasts and projections in the Budget are underpinned by a range of assumptions and judgements based on </w:t>
      </w:r>
      <w:r w:rsidR="003B4186" w:rsidRPr="00CE091F">
        <w:t>the</w:t>
      </w:r>
      <w:r w:rsidRPr="00CE091F">
        <w:t xml:space="preserve"> best available information at the time of preparation. In practice, economic and fiscal circumstances can evolve in ways that differ from expectations. </w:t>
      </w:r>
    </w:p>
    <w:p w14:paraId="1D2C8347" w14:textId="77777777" w:rsidR="00397CED" w:rsidRPr="00CE091F" w:rsidRDefault="00397CED" w:rsidP="00397CED">
      <w:r w:rsidRPr="00CE091F">
        <w:t xml:space="preserve">This </w:t>
      </w:r>
      <w:r w:rsidRPr="00CE091F" w:rsidDel="002E6AE1">
        <w:t xml:space="preserve">statement </w:t>
      </w:r>
      <w:r w:rsidRPr="00CE091F">
        <w:t xml:space="preserve">assesses: </w:t>
      </w:r>
    </w:p>
    <w:p w14:paraId="4FB50F89" w14:textId="77777777" w:rsidR="00397CED" w:rsidRPr="00CE091F" w:rsidRDefault="00397CED" w:rsidP="00397CED">
      <w:pPr>
        <w:pStyle w:val="Bullet-numbered"/>
      </w:pPr>
      <w:r w:rsidRPr="00CE091F">
        <w:t>The performance of past forecasts based on the variance between forecasts and actuals.</w:t>
      </w:r>
    </w:p>
    <w:p w14:paraId="7021E551" w14:textId="77777777" w:rsidR="00397CED" w:rsidRPr="00CE091F" w:rsidRDefault="00397CED" w:rsidP="00397CED">
      <w:pPr>
        <w:pStyle w:val="Bullet-numbered"/>
      </w:pPr>
      <w:r w:rsidRPr="00CE091F">
        <w:t xml:space="preserve">The uncertainty around current forecasts using confidence interval analysis. </w:t>
      </w:r>
    </w:p>
    <w:p w14:paraId="5F673981" w14:textId="77777777" w:rsidR="00397CED" w:rsidRPr="00CE091F" w:rsidRDefault="00397CED" w:rsidP="00397CED">
      <w:pPr>
        <w:pStyle w:val="Bullet-numbered"/>
      </w:pPr>
      <w:r w:rsidRPr="00CE091F">
        <w:t xml:space="preserve">The sensitivity of current forecasts to changes in key assumptions: </w:t>
      </w:r>
    </w:p>
    <w:p w14:paraId="1615E50E" w14:textId="77777777" w:rsidR="00397CED" w:rsidRPr="00CE091F" w:rsidRDefault="00397CED" w:rsidP="00397CED">
      <w:pPr>
        <w:pStyle w:val="Dash"/>
        <w:numPr>
          <w:ilvl w:val="1"/>
          <w:numId w:val="3"/>
        </w:numPr>
        <w:tabs>
          <w:tab w:val="left" w:pos="567"/>
        </w:tabs>
      </w:pPr>
      <w:r w:rsidRPr="00CE091F">
        <w:t xml:space="preserve">Iron ore prices </w:t>
      </w:r>
    </w:p>
    <w:p w14:paraId="6100FFBC" w14:textId="267BD8CF" w:rsidR="00397CED" w:rsidRPr="008541FB" w:rsidRDefault="00397CED" w:rsidP="00397CED">
      <w:pPr>
        <w:pStyle w:val="Dash"/>
        <w:numPr>
          <w:ilvl w:val="1"/>
          <w:numId w:val="3"/>
        </w:numPr>
        <w:tabs>
          <w:tab w:val="left" w:pos="567"/>
        </w:tabs>
        <w:rPr>
          <w:i/>
          <w:iCs/>
        </w:rPr>
      </w:pPr>
      <w:r w:rsidRPr="00CE091F">
        <w:t>Yields on Australian Government Securities.</w:t>
      </w:r>
      <w:r w:rsidRPr="00CE091F">
        <w:rPr>
          <w:i/>
        </w:rPr>
        <w:t xml:space="preserve"> </w:t>
      </w:r>
    </w:p>
    <w:p w14:paraId="7E5FAB3B" w14:textId="1A721AD3" w:rsidR="00397CED" w:rsidRPr="00CE091F" w:rsidRDefault="00397CED" w:rsidP="000F53B8">
      <w:r w:rsidRPr="00CE091F">
        <w:t>The fiscal impact of key developments and Australia</w:t>
      </w:r>
      <w:r w:rsidR="00E23819">
        <w:t>’</w:t>
      </w:r>
      <w:r w:rsidRPr="00CE091F">
        <w:t xml:space="preserve">s climate change outlook are considered in </w:t>
      </w:r>
      <w:r w:rsidRPr="00CE091F">
        <w:rPr>
          <w:rStyle w:val="Emphasis"/>
        </w:rPr>
        <w:t>Budget Statement 3: Fiscal Strategy and Outlook.</w:t>
      </w:r>
    </w:p>
    <w:p w14:paraId="3738F1C4" w14:textId="7704F86C" w:rsidR="00397CED" w:rsidRPr="008541FB" w:rsidRDefault="00397CED" w:rsidP="00397CED">
      <w:r w:rsidRPr="00CE091F">
        <w:t>Forecasts are based on assumptions and judgements. Forecast accuracy depends on whether assumptions and judgements prove to be correct, and the reliability of the modelled economic and fiscal relationships.</w:t>
      </w:r>
      <w:r w:rsidRPr="00CE091F">
        <w:rPr>
          <w:i/>
        </w:rPr>
        <w:t xml:space="preserve"> </w:t>
      </w:r>
    </w:p>
    <w:p w14:paraId="726666B3" w14:textId="77777777" w:rsidR="00397CED" w:rsidRPr="008541FB" w:rsidRDefault="00397CED" w:rsidP="00397CED">
      <w:pPr>
        <w:rPr>
          <w:i/>
        </w:rPr>
      </w:pPr>
      <w:r w:rsidRPr="008541FB">
        <w:rPr>
          <w:i/>
        </w:rPr>
        <w:br w:type="page"/>
      </w:r>
    </w:p>
    <w:p w14:paraId="5D7EDB62" w14:textId="77777777" w:rsidR="00397CED" w:rsidRPr="008541FB" w:rsidRDefault="00397CED" w:rsidP="00397CED">
      <w:pPr>
        <w:rPr>
          <w:i/>
        </w:rPr>
      </w:pPr>
    </w:p>
    <w:p w14:paraId="66B33044" w14:textId="77777777" w:rsidR="00397CED" w:rsidRPr="008541FB" w:rsidRDefault="00397CED" w:rsidP="00397CED">
      <w:pPr>
        <w:rPr>
          <w:i/>
        </w:rPr>
        <w:sectPr w:rsidR="00397CED" w:rsidRPr="008541FB" w:rsidSect="00A73ED3">
          <w:headerReference w:type="even" r:id="rId7"/>
          <w:headerReference w:type="default" r:id="rId8"/>
          <w:footerReference w:type="default" r:id="rId9"/>
          <w:headerReference w:type="first" r:id="rId10"/>
          <w:footerReference w:type="first" r:id="rId11"/>
          <w:footnotePr>
            <w:numStart w:val="49"/>
          </w:footnotePr>
          <w:pgSz w:w="11906" w:h="16838" w:code="9"/>
          <w:pgMar w:top="2835" w:right="2098" w:bottom="2466" w:left="2098" w:header="1814" w:footer="1814" w:gutter="0"/>
          <w:pgNumType w:start="167"/>
          <w:cols w:space="708"/>
          <w:titlePg/>
          <w:docGrid w:linePitch="360"/>
        </w:sectPr>
      </w:pPr>
    </w:p>
    <w:p w14:paraId="034F8F9A" w14:textId="5B0F5A38" w:rsidR="00397CED" w:rsidRPr="00CE091F" w:rsidRDefault="00397CED" w:rsidP="001F520E">
      <w:pPr>
        <w:pStyle w:val="Heading1"/>
      </w:pPr>
      <w:r w:rsidRPr="00CE091F">
        <w:lastRenderedPageBreak/>
        <w:t>Statement contents</w:t>
      </w:r>
    </w:p>
    <w:p w14:paraId="5D0483F0" w14:textId="6FB78D32" w:rsidR="00372060" w:rsidRDefault="00397CED">
      <w:pPr>
        <w:pStyle w:val="TOC1"/>
        <w:rPr>
          <w:rFonts w:asciiTheme="minorHAnsi" w:eastAsiaTheme="minorEastAsia" w:hAnsiTheme="minorHAnsi" w:cstheme="minorBidi"/>
          <w:b w:val="0"/>
          <w:noProof/>
          <w:kern w:val="2"/>
          <w:sz w:val="24"/>
          <w:szCs w:val="24"/>
          <w14:ligatures w14:val="standardContextual"/>
        </w:rPr>
      </w:pPr>
      <w:r w:rsidRPr="00CE091F">
        <w:fldChar w:fldCharType="begin"/>
      </w:r>
      <w:r w:rsidRPr="00CE091F">
        <w:instrText xml:space="preserve"> TOC \h \z \u \t "</w:instrText>
      </w:r>
      <w:r w:rsidR="002C21E1">
        <w:instrText>Heading 1</w:instrText>
      </w:r>
      <w:r w:rsidR="0069590A">
        <w:instrText>,1,</w:instrText>
      </w:r>
      <w:r w:rsidRPr="00CE091F">
        <w:instrText xml:space="preserve">Heading 2,1,Heading 3,2" </w:instrText>
      </w:r>
      <w:r w:rsidRPr="00CE091F">
        <w:fldChar w:fldCharType="separate"/>
      </w:r>
      <w:hyperlink w:anchor="_Toc193529662" w:history="1"/>
      <w:hyperlink w:anchor="_Toc193529663" w:history="1">
        <w:r w:rsidR="00372060" w:rsidRPr="004B2009">
          <w:rPr>
            <w:rStyle w:val="Hyperlink"/>
            <w:noProof/>
          </w:rPr>
          <w:t>Assessing past forecasting performance</w:t>
        </w:r>
        <w:r w:rsidR="00372060">
          <w:rPr>
            <w:noProof/>
            <w:webHidden/>
          </w:rPr>
          <w:tab/>
        </w:r>
        <w:r w:rsidR="00372060">
          <w:rPr>
            <w:noProof/>
            <w:webHidden/>
          </w:rPr>
          <w:fldChar w:fldCharType="begin"/>
        </w:r>
        <w:r w:rsidR="00372060">
          <w:rPr>
            <w:noProof/>
            <w:webHidden/>
          </w:rPr>
          <w:instrText xml:space="preserve"> PAGEREF _Toc193529663 \h </w:instrText>
        </w:r>
        <w:r w:rsidR="00372060">
          <w:rPr>
            <w:noProof/>
            <w:webHidden/>
          </w:rPr>
        </w:r>
        <w:r w:rsidR="00372060">
          <w:rPr>
            <w:noProof/>
            <w:webHidden/>
          </w:rPr>
          <w:fldChar w:fldCharType="separate"/>
        </w:r>
        <w:r w:rsidR="004405CC">
          <w:rPr>
            <w:noProof/>
            <w:webHidden/>
          </w:rPr>
          <w:t>171</w:t>
        </w:r>
        <w:r w:rsidR="00372060">
          <w:rPr>
            <w:noProof/>
            <w:webHidden/>
          </w:rPr>
          <w:fldChar w:fldCharType="end"/>
        </w:r>
      </w:hyperlink>
    </w:p>
    <w:p w14:paraId="11467C8F" w14:textId="68D1B160"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64" w:history="1">
        <w:r w:rsidR="00372060" w:rsidRPr="004B2009">
          <w:rPr>
            <w:rStyle w:val="Hyperlink"/>
            <w:noProof/>
          </w:rPr>
          <w:t>Economic forecasting performance</w:t>
        </w:r>
        <w:r w:rsidR="00372060">
          <w:rPr>
            <w:noProof/>
            <w:webHidden/>
          </w:rPr>
          <w:tab/>
        </w:r>
        <w:r w:rsidR="00372060">
          <w:rPr>
            <w:noProof/>
            <w:webHidden/>
          </w:rPr>
          <w:fldChar w:fldCharType="begin"/>
        </w:r>
        <w:r w:rsidR="00372060">
          <w:rPr>
            <w:noProof/>
            <w:webHidden/>
          </w:rPr>
          <w:instrText xml:space="preserve"> PAGEREF _Toc193529664 \h </w:instrText>
        </w:r>
        <w:r w:rsidR="00372060">
          <w:rPr>
            <w:noProof/>
            <w:webHidden/>
          </w:rPr>
        </w:r>
        <w:r w:rsidR="00372060">
          <w:rPr>
            <w:noProof/>
            <w:webHidden/>
          </w:rPr>
          <w:fldChar w:fldCharType="separate"/>
        </w:r>
        <w:r w:rsidR="004405CC">
          <w:rPr>
            <w:noProof/>
            <w:webHidden/>
          </w:rPr>
          <w:t>172</w:t>
        </w:r>
        <w:r w:rsidR="00372060">
          <w:rPr>
            <w:noProof/>
            <w:webHidden/>
          </w:rPr>
          <w:fldChar w:fldCharType="end"/>
        </w:r>
      </w:hyperlink>
    </w:p>
    <w:p w14:paraId="582542C7" w14:textId="2BA1D381"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65" w:history="1">
        <w:r w:rsidR="00372060" w:rsidRPr="004B2009">
          <w:rPr>
            <w:rStyle w:val="Hyperlink"/>
            <w:noProof/>
          </w:rPr>
          <w:t>Fiscal forecasting performance</w:t>
        </w:r>
        <w:r w:rsidR="00372060">
          <w:rPr>
            <w:noProof/>
            <w:webHidden/>
          </w:rPr>
          <w:tab/>
        </w:r>
        <w:r w:rsidR="00372060">
          <w:rPr>
            <w:noProof/>
            <w:webHidden/>
          </w:rPr>
          <w:fldChar w:fldCharType="begin"/>
        </w:r>
        <w:r w:rsidR="00372060">
          <w:rPr>
            <w:noProof/>
            <w:webHidden/>
          </w:rPr>
          <w:instrText xml:space="preserve"> PAGEREF _Toc193529665 \h </w:instrText>
        </w:r>
        <w:r w:rsidR="00372060">
          <w:rPr>
            <w:noProof/>
            <w:webHidden/>
          </w:rPr>
        </w:r>
        <w:r w:rsidR="00372060">
          <w:rPr>
            <w:noProof/>
            <w:webHidden/>
          </w:rPr>
          <w:fldChar w:fldCharType="separate"/>
        </w:r>
        <w:r w:rsidR="004405CC">
          <w:rPr>
            <w:noProof/>
            <w:webHidden/>
          </w:rPr>
          <w:t>173</w:t>
        </w:r>
        <w:r w:rsidR="00372060">
          <w:rPr>
            <w:noProof/>
            <w:webHidden/>
          </w:rPr>
          <w:fldChar w:fldCharType="end"/>
        </w:r>
      </w:hyperlink>
    </w:p>
    <w:p w14:paraId="287FBB6A" w14:textId="6473CCB5" w:rsidR="00372060" w:rsidRDefault="00893EC2">
      <w:pPr>
        <w:pStyle w:val="TOC1"/>
        <w:rPr>
          <w:rFonts w:asciiTheme="minorHAnsi" w:eastAsiaTheme="minorEastAsia" w:hAnsiTheme="minorHAnsi" w:cstheme="minorBidi"/>
          <w:b w:val="0"/>
          <w:noProof/>
          <w:kern w:val="2"/>
          <w:sz w:val="24"/>
          <w:szCs w:val="24"/>
          <w14:ligatures w14:val="standardContextual"/>
        </w:rPr>
      </w:pPr>
      <w:hyperlink w:anchor="_Toc193529666" w:history="1">
        <w:r w:rsidR="00372060" w:rsidRPr="004B2009">
          <w:rPr>
            <w:rStyle w:val="Hyperlink"/>
            <w:noProof/>
          </w:rPr>
          <w:t>Assessing forecast uncertainty – confidence interval analysis</w:t>
        </w:r>
        <w:r w:rsidR="00372060">
          <w:rPr>
            <w:noProof/>
            <w:webHidden/>
          </w:rPr>
          <w:tab/>
        </w:r>
        <w:r w:rsidR="00372060">
          <w:rPr>
            <w:noProof/>
            <w:webHidden/>
          </w:rPr>
          <w:fldChar w:fldCharType="begin"/>
        </w:r>
        <w:r w:rsidR="00372060">
          <w:rPr>
            <w:noProof/>
            <w:webHidden/>
          </w:rPr>
          <w:instrText xml:space="preserve"> PAGEREF _Toc193529666 \h </w:instrText>
        </w:r>
        <w:r w:rsidR="00372060">
          <w:rPr>
            <w:noProof/>
            <w:webHidden/>
          </w:rPr>
        </w:r>
        <w:r w:rsidR="00372060">
          <w:rPr>
            <w:noProof/>
            <w:webHidden/>
          </w:rPr>
          <w:fldChar w:fldCharType="separate"/>
        </w:r>
        <w:r w:rsidR="004405CC">
          <w:rPr>
            <w:noProof/>
            <w:webHidden/>
          </w:rPr>
          <w:t>178</w:t>
        </w:r>
        <w:r w:rsidR="00372060">
          <w:rPr>
            <w:noProof/>
            <w:webHidden/>
          </w:rPr>
          <w:fldChar w:fldCharType="end"/>
        </w:r>
      </w:hyperlink>
    </w:p>
    <w:p w14:paraId="4745934B" w14:textId="7B2E56F8"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67" w:history="1">
        <w:r w:rsidR="00372060" w:rsidRPr="004B2009">
          <w:rPr>
            <w:rStyle w:val="Hyperlink"/>
            <w:noProof/>
          </w:rPr>
          <w:t>Economic uncertainty based on historical forecast errors</w:t>
        </w:r>
        <w:r w:rsidR="00372060">
          <w:rPr>
            <w:noProof/>
            <w:webHidden/>
          </w:rPr>
          <w:tab/>
        </w:r>
        <w:r w:rsidR="00372060">
          <w:rPr>
            <w:noProof/>
            <w:webHidden/>
          </w:rPr>
          <w:fldChar w:fldCharType="begin"/>
        </w:r>
        <w:r w:rsidR="00372060">
          <w:rPr>
            <w:noProof/>
            <w:webHidden/>
          </w:rPr>
          <w:instrText xml:space="preserve"> PAGEREF _Toc193529667 \h </w:instrText>
        </w:r>
        <w:r w:rsidR="00372060">
          <w:rPr>
            <w:noProof/>
            <w:webHidden/>
          </w:rPr>
        </w:r>
        <w:r w:rsidR="00372060">
          <w:rPr>
            <w:noProof/>
            <w:webHidden/>
          </w:rPr>
          <w:fldChar w:fldCharType="separate"/>
        </w:r>
        <w:r w:rsidR="004405CC">
          <w:rPr>
            <w:noProof/>
            <w:webHidden/>
          </w:rPr>
          <w:t>179</w:t>
        </w:r>
        <w:r w:rsidR="00372060">
          <w:rPr>
            <w:noProof/>
            <w:webHidden/>
          </w:rPr>
          <w:fldChar w:fldCharType="end"/>
        </w:r>
      </w:hyperlink>
    </w:p>
    <w:p w14:paraId="53309084" w14:textId="0555FE65"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68" w:history="1">
        <w:r w:rsidR="00372060" w:rsidRPr="004B2009">
          <w:rPr>
            <w:rStyle w:val="Hyperlink"/>
            <w:noProof/>
          </w:rPr>
          <w:t>Fiscal uncertainty based on historical forecast errors</w:t>
        </w:r>
        <w:r w:rsidR="00372060">
          <w:rPr>
            <w:noProof/>
            <w:webHidden/>
          </w:rPr>
          <w:tab/>
        </w:r>
        <w:r w:rsidR="00372060">
          <w:rPr>
            <w:noProof/>
            <w:webHidden/>
          </w:rPr>
          <w:fldChar w:fldCharType="begin"/>
        </w:r>
        <w:r w:rsidR="00372060">
          <w:rPr>
            <w:noProof/>
            <w:webHidden/>
          </w:rPr>
          <w:instrText xml:space="preserve"> PAGEREF _Toc193529668 \h </w:instrText>
        </w:r>
        <w:r w:rsidR="00372060">
          <w:rPr>
            <w:noProof/>
            <w:webHidden/>
          </w:rPr>
        </w:r>
        <w:r w:rsidR="00372060">
          <w:rPr>
            <w:noProof/>
            <w:webHidden/>
          </w:rPr>
          <w:fldChar w:fldCharType="separate"/>
        </w:r>
        <w:r w:rsidR="004405CC">
          <w:rPr>
            <w:noProof/>
            <w:webHidden/>
          </w:rPr>
          <w:t>181</w:t>
        </w:r>
        <w:r w:rsidR="00372060">
          <w:rPr>
            <w:noProof/>
            <w:webHidden/>
          </w:rPr>
          <w:fldChar w:fldCharType="end"/>
        </w:r>
      </w:hyperlink>
    </w:p>
    <w:p w14:paraId="092503DB" w14:textId="45298D5A" w:rsidR="00372060" w:rsidRDefault="00893EC2">
      <w:pPr>
        <w:pStyle w:val="TOC1"/>
        <w:rPr>
          <w:rFonts w:asciiTheme="minorHAnsi" w:eastAsiaTheme="minorEastAsia" w:hAnsiTheme="minorHAnsi" w:cstheme="minorBidi"/>
          <w:b w:val="0"/>
          <w:noProof/>
          <w:kern w:val="2"/>
          <w:sz w:val="24"/>
          <w:szCs w:val="24"/>
          <w14:ligatures w14:val="standardContextual"/>
        </w:rPr>
      </w:pPr>
      <w:hyperlink w:anchor="_Toc193529669" w:history="1">
        <w:r w:rsidR="00372060" w:rsidRPr="004B2009">
          <w:rPr>
            <w:rStyle w:val="Hyperlink"/>
            <w:noProof/>
          </w:rPr>
          <w:t>Assessing current forecasts through sensitivity analysis</w:t>
        </w:r>
        <w:r w:rsidR="00372060">
          <w:rPr>
            <w:noProof/>
            <w:webHidden/>
          </w:rPr>
          <w:tab/>
        </w:r>
        <w:r w:rsidR="00372060">
          <w:rPr>
            <w:noProof/>
            <w:webHidden/>
          </w:rPr>
          <w:fldChar w:fldCharType="begin"/>
        </w:r>
        <w:r w:rsidR="00372060">
          <w:rPr>
            <w:noProof/>
            <w:webHidden/>
          </w:rPr>
          <w:instrText xml:space="preserve"> PAGEREF _Toc193529669 \h </w:instrText>
        </w:r>
        <w:r w:rsidR="00372060">
          <w:rPr>
            <w:noProof/>
            <w:webHidden/>
          </w:rPr>
        </w:r>
        <w:r w:rsidR="00372060">
          <w:rPr>
            <w:noProof/>
            <w:webHidden/>
          </w:rPr>
          <w:fldChar w:fldCharType="separate"/>
        </w:r>
        <w:r w:rsidR="004405CC">
          <w:rPr>
            <w:noProof/>
            <w:webHidden/>
          </w:rPr>
          <w:t>184</w:t>
        </w:r>
        <w:r w:rsidR="00372060">
          <w:rPr>
            <w:noProof/>
            <w:webHidden/>
          </w:rPr>
          <w:fldChar w:fldCharType="end"/>
        </w:r>
      </w:hyperlink>
    </w:p>
    <w:p w14:paraId="6C118B3F" w14:textId="0C5A137C"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70" w:history="1">
        <w:r w:rsidR="00372060" w:rsidRPr="004B2009">
          <w:rPr>
            <w:rStyle w:val="Hyperlink"/>
            <w:noProof/>
          </w:rPr>
          <w:t>Movements in iron ore prices</w:t>
        </w:r>
        <w:r w:rsidR="00372060">
          <w:rPr>
            <w:noProof/>
            <w:webHidden/>
          </w:rPr>
          <w:tab/>
        </w:r>
        <w:r w:rsidR="00372060">
          <w:rPr>
            <w:noProof/>
            <w:webHidden/>
          </w:rPr>
          <w:fldChar w:fldCharType="begin"/>
        </w:r>
        <w:r w:rsidR="00372060">
          <w:rPr>
            <w:noProof/>
            <w:webHidden/>
          </w:rPr>
          <w:instrText xml:space="preserve"> PAGEREF _Toc193529670 \h </w:instrText>
        </w:r>
        <w:r w:rsidR="00372060">
          <w:rPr>
            <w:noProof/>
            <w:webHidden/>
          </w:rPr>
        </w:r>
        <w:r w:rsidR="00372060">
          <w:rPr>
            <w:noProof/>
            <w:webHidden/>
          </w:rPr>
          <w:fldChar w:fldCharType="separate"/>
        </w:r>
        <w:r w:rsidR="004405CC">
          <w:rPr>
            <w:noProof/>
            <w:webHidden/>
          </w:rPr>
          <w:t>184</w:t>
        </w:r>
        <w:r w:rsidR="00372060">
          <w:rPr>
            <w:noProof/>
            <w:webHidden/>
          </w:rPr>
          <w:fldChar w:fldCharType="end"/>
        </w:r>
      </w:hyperlink>
    </w:p>
    <w:p w14:paraId="7817F3E8" w14:textId="7B668868" w:rsidR="00372060" w:rsidRDefault="00893EC2">
      <w:pPr>
        <w:pStyle w:val="TOC2"/>
        <w:rPr>
          <w:rFonts w:asciiTheme="minorHAnsi" w:eastAsiaTheme="minorEastAsia" w:hAnsiTheme="minorHAnsi" w:cstheme="minorBidi"/>
          <w:noProof/>
          <w:kern w:val="2"/>
          <w:sz w:val="24"/>
          <w:szCs w:val="24"/>
          <w14:ligatures w14:val="standardContextual"/>
        </w:rPr>
      </w:pPr>
      <w:hyperlink w:anchor="_Toc193529671" w:history="1">
        <w:r w:rsidR="00372060" w:rsidRPr="004B2009">
          <w:rPr>
            <w:rStyle w:val="Hyperlink"/>
            <w:noProof/>
          </w:rPr>
          <w:t>Movements in yields</w:t>
        </w:r>
        <w:r w:rsidR="00372060">
          <w:rPr>
            <w:noProof/>
            <w:webHidden/>
          </w:rPr>
          <w:tab/>
        </w:r>
        <w:r w:rsidR="00372060">
          <w:rPr>
            <w:noProof/>
            <w:webHidden/>
          </w:rPr>
          <w:fldChar w:fldCharType="begin"/>
        </w:r>
        <w:r w:rsidR="00372060">
          <w:rPr>
            <w:noProof/>
            <w:webHidden/>
          </w:rPr>
          <w:instrText xml:space="preserve"> PAGEREF _Toc193529671 \h </w:instrText>
        </w:r>
        <w:r w:rsidR="00372060">
          <w:rPr>
            <w:noProof/>
            <w:webHidden/>
          </w:rPr>
        </w:r>
        <w:r w:rsidR="00372060">
          <w:rPr>
            <w:noProof/>
            <w:webHidden/>
          </w:rPr>
          <w:fldChar w:fldCharType="separate"/>
        </w:r>
        <w:r w:rsidR="004405CC">
          <w:rPr>
            <w:noProof/>
            <w:webHidden/>
          </w:rPr>
          <w:t>186</w:t>
        </w:r>
        <w:r w:rsidR="00372060">
          <w:rPr>
            <w:noProof/>
            <w:webHidden/>
          </w:rPr>
          <w:fldChar w:fldCharType="end"/>
        </w:r>
      </w:hyperlink>
    </w:p>
    <w:p w14:paraId="46C516E1" w14:textId="49F50D95" w:rsidR="00D92AA7" w:rsidRPr="00CE091F" w:rsidRDefault="00397CED" w:rsidP="00D92AA7">
      <w:pPr>
        <w:pStyle w:val="TOC1"/>
        <w:rPr>
          <w:rFonts w:cstheme="minorHAnsi"/>
          <w:b w:val="0"/>
          <w:lang w:val="en-US"/>
        </w:rPr>
        <w:sectPr w:rsidR="00D92AA7" w:rsidRPr="00CE091F" w:rsidSect="003353DC">
          <w:headerReference w:type="even" r:id="rId12"/>
          <w:headerReference w:type="default" r:id="rId13"/>
          <w:footerReference w:type="even" r:id="rId14"/>
          <w:footerReference w:type="default" r:id="rId15"/>
          <w:headerReference w:type="first" r:id="rId16"/>
          <w:footerReference w:type="first" r:id="rId17"/>
          <w:pgSz w:w="11906" w:h="16838" w:code="9"/>
          <w:pgMar w:top="2756" w:right="2098" w:bottom="2466" w:left="2098" w:header="1814" w:footer="1814" w:gutter="0"/>
          <w:cols w:space="708"/>
          <w:titlePg/>
          <w:docGrid w:linePitch="360"/>
        </w:sectPr>
      </w:pPr>
      <w:r w:rsidRPr="00CE091F">
        <w:rPr>
          <w:rFonts w:cstheme="minorHAnsi"/>
          <w:b w:val="0"/>
          <w:lang w:val="en-US"/>
        </w:rPr>
        <w:fldChar w:fldCharType="end"/>
      </w:r>
    </w:p>
    <w:p w14:paraId="7D3A9282" w14:textId="77777777" w:rsidR="002615E4" w:rsidRDefault="002615E4" w:rsidP="00422EB8">
      <w:pPr>
        <w:pStyle w:val="Heading1"/>
        <w:rPr>
          <w:rFonts w:cstheme="minorHAnsi"/>
          <w:lang w:val="en-US"/>
        </w:rPr>
        <w:sectPr w:rsidR="002615E4" w:rsidSect="005219A4">
          <w:footnotePr>
            <w:numStart w:val="2"/>
          </w:footnotePr>
          <w:type w:val="continuous"/>
          <w:pgSz w:w="11906" w:h="16838" w:code="9"/>
          <w:pgMar w:top="2835" w:right="2098" w:bottom="2466" w:left="2098" w:header="1814" w:footer="1814" w:gutter="0"/>
          <w:cols w:space="708"/>
          <w:titlePg/>
          <w:docGrid w:linePitch="360"/>
        </w:sectPr>
      </w:pPr>
    </w:p>
    <w:p w14:paraId="25A94087" w14:textId="485AB645" w:rsidR="00397CED" w:rsidRPr="00CE091F" w:rsidRDefault="00397CED" w:rsidP="00422EB8">
      <w:pPr>
        <w:pStyle w:val="Heading1"/>
      </w:pPr>
      <w:bookmarkStart w:id="0" w:name="_Toc193529662"/>
      <w:r w:rsidRPr="00CE091F">
        <w:lastRenderedPageBreak/>
        <w:t xml:space="preserve">Statement </w:t>
      </w:r>
      <w:r w:rsidR="0098617B" w:rsidRPr="00CE091F">
        <w:t>7</w:t>
      </w:r>
      <w:r w:rsidRPr="00CE091F">
        <w:t>: Forecasting Performance and Sensitivity Analysis</w:t>
      </w:r>
      <w:bookmarkEnd w:id="0"/>
    </w:p>
    <w:p w14:paraId="691D4AFD" w14:textId="77777777" w:rsidR="00397CED" w:rsidRPr="00CE091F" w:rsidRDefault="00397CED" w:rsidP="00397CED">
      <w:pPr>
        <w:pStyle w:val="Heading2"/>
      </w:pPr>
      <w:bookmarkStart w:id="1" w:name="_Toc193529544"/>
      <w:bookmarkStart w:id="2" w:name="_Toc193529663"/>
      <w:r w:rsidRPr="00CE091F">
        <w:t>Assessing past forecasting performance</w:t>
      </w:r>
      <w:bookmarkEnd w:id="1"/>
      <w:bookmarkEnd w:id="2"/>
    </w:p>
    <w:p w14:paraId="23D2C4D9" w14:textId="075764A2" w:rsidR="00397CED" w:rsidRPr="00CE091F" w:rsidRDefault="00397CED" w:rsidP="00397CED">
      <w:r w:rsidRPr="00CE091F">
        <w:t>This section assesses the variance between historical forecasts and outcomes (forecast errors) for real and nominal GDP, tax receipts, non</w:t>
      </w:r>
      <w:r w:rsidR="00E23819">
        <w:noBreakHyphen/>
      </w:r>
      <w:r w:rsidRPr="00CE091F">
        <w:t xml:space="preserve">tax receipts, payments and the underlying cash balance. </w:t>
      </w:r>
    </w:p>
    <w:p w14:paraId="67D672C0" w14:textId="77777777" w:rsidR="00397CED" w:rsidRPr="00CE091F" w:rsidRDefault="00397CED" w:rsidP="00397CED">
      <w:r w:rsidRPr="00CE091F">
        <w:t xml:space="preserve">Forecasts are prepared using a range of techniques: </w:t>
      </w:r>
    </w:p>
    <w:p w14:paraId="28FD1940" w14:textId="2DD3C411" w:rsidR="00397CED" w:rsidRPr="008541FB" w:rsidRDefault="00397CED" w:rsidP="00397CED">
      <w:pPr>
        <w:pStyle w:val="Bullet"/>
        <w:numPr>
          <w:ilvl w:val="0"/>
          <w:numId w:val="3"/>
        </w:numPr>
        <w:tabs>
          <w:tab w:val="clear" w:pos="283"/>
          <w:tab w:val="num" w:pos="850"/>
        </w:tabs>
        <w:ind w:left="284" w:hanging="284"/>
      </w:pPr>
      <w:r w:rsidRPr="00CE091F">
        <w:t>Macroeconomic forecasts are prepared consistent with a national accounting framework using econometric models, analysis and professional judgement.</w:t>
      </w:r>
    </w:p>
    <w:p w14:paraId="10BE7C80" w14:textId="283A586E" w:rsidR="00397CED" w:rsidRPr="008541FB" w:rsidRDefault="00397CED" w:rsidP="00397CED">
      <w:pPr>
        <w:pStyle w:val="Bullet"/>
        <w:numPr>
          <w:ilvl w:val="0"/>
          <w:numId w:val="3"/>
        </w:numPr>
        <w:tabs>
          <w:tab w:val="clear" w:pos="283"/>
          <w:tab w:val="num" w:pos="850"/>
        </w:tabs>
        <w:ind w:left="284" w:hanging="284"/>
      </w:pPr>
      <w:r w:rsidRPr="00CE091F">
        <w:t xml:space="preserve">Tax receipts forecasts are generally prepared using a </w:t>
      </w:r>
      <w:r w:rsidR="00E23819">
        <w:t>‘</w:t>
      </w:r>
      <w:r w:rsidRPr="00CE091F">
        <w:t>base plus growth</w:t>
      </w:r>
      <w:r w:rsidR="00E23819">
        <w:t>’</w:t>
      </w:r>
      <w:r w:rsidRPr="00CE091F">
        <w:t xml:space="preserve"> methodology. The last outcome for each head of revenue is the base to which growth rates are applied, using appropriate economic parameters. Forecasts are then updated to include costings of new policy.</w:t>
      </w:r>
    </w:p>
    <w:p w14:paraId="76BB0294" w14:textId="0D5B6ABE" w:rsidR="00397CED" w:rsidRPr="00CE091F" w:rsidRDefault="00397CED" w:rsidP="00397CED">
      <w:pPr>
        <w:pStyle w:val="Bullet"/>
        <w:numPr>
          <w:ilvl w:val="0"/>
          <w:numId w:val="3"/>
        </w:numPr>
        <w:tabs>
          <w:tab w:val="clear" w:pos="283"/>
          <w:tab w:val="num" w:pos="850"/>
        </w:tabs>
        <w:ind w:left="284" w:hanging="284"/>
      </w:pPr>
      <w:r w:rsidRPr="00CE091F">
        <w:t xml:space="preserve">Payments forecasts are generally prepared through analysis of payment program data, costings for new policies and historical trends in programs, in consultation with relevant agencies. </w:t>
      </w:r>
    </w:p>
    <w:p w14:paraId="7574B82B" w14:textId="77777777" w:rsidR="00397CED" w:rsidRPr="008541FB" w:rsidRDefault="00397CED" w:rsidP="00397CED">
      <w:pPr>
        <w:spacing w:before="0" w:after="160" w:line="259" w:lineRule="auto"/>
        <w:rPr>
          <w:rFonts w:ascii="Arial Bold" w:hAnsi="Arial Bold"/>
          <w:b/>
          <w:sz w:val="22"/>
        </w:rPr>
      </w:pPr>
      <w:r w:rsidRPr="008541FB">
        <w:br w:type="page"/>
      </w:r>
    </w:p>
    <w:p w14:paraId="1952FA37" w14:textId="34F74694" w:rsidR="00397CED" w:rsidRPr="00CE091F" w:rsidRDefault="00EE7C18" w:rsidP="007C227C">
      <w:pPr>
        <w:pStyle w:val="Heading3"/>
      </w:pPr>
      <w:bookmarkStart w:id="3" w:name="_Toc166243154"/>
      <w:bookmarkStart w:id="4" w:name="_Toc193529664"/>
      <w:r w:rsidRPr="00CE091F">
        <w:lastRenderedPageBreak/>
        <w:t>E</w:t>
      </w:r>
      <w:r w:rsidR="00397CED" w:rsidRPr="00CE091F">
        <w:t>conomic forecasting performance</w:t>
      </w:r>
      <w:bookmarkEnd w:id="3"/>
      <w:bookmarkEnd w:id="4"/>
    </w:p>
    <w:p w14:paraId="1F55D212" w14:textId="7502478B" w:rsidR="00C350B3" w:rsidRPr="00CE091F" w:rsidRDefault="00C350B3" w:rsidP="00C350B3">
      <w:r w:rsidRPr="00CE091F">
        <w:t>Real GDP forecasts incorporate technical assumptions for exchange rates, interest rates and commodity prices. The forecasts are informed by a macroeconomic model and incorporate long</w:t>
      </w:r>
      <w:r w:rsidR="00E23819">
        <w:noBreakHyphen/>
      </w:r>
      <w:r w:rsidRPr="00CE091F">
        <w:t>term trend assumptions, and judgements about how domestic and international developments might affect Australia</w:t>
      </w:r>
      <w:r w:rsidR="00E23819">
        <w:t>’</w:t>
      </w:r>
      <w:r w:rsidRPr="00CE091F">
        <w:t>s economy.</w:t>
      </w:r>
    </w:p>
    <w:p w14:paraId="3A68B7F5" w14:textId="3CC77EF6" w:rsidR="00C350B3" w:rsidRPr="00CE091F" w:rsidRDefault="449B43AF" w:rsidP="066A3A9E">
      <w:pPr>
        <w:rPr>
          <w:rFonts w:ascii="Times New Roman" w:eastAsiaTheme="minorEastAsia" w:hAnsi="Times New Roman"/>
          <w:sz w:val="24"/>
          <w:szCs w:val="24"/>
        </w:rPr>
      </w:pPr>
      <w:r w:rsidRPr="00CE091F">
        <w:t>Real GDP grew by 1.4 per cent in 2023</w:t>
      </w:r>
      <w:r w:rsidR="00B53771">
        <w:t>–</w:t>
      </w:r>
      <w:r w:rsidRPr="00CE091F">
        <w:t>24, which is broadly consistent with the 1½ per cent growth forecast at the</w:t>
      </w:r>
      <w:r w:rsidR="00072363">
        <w:t xml:space="preserve"> </w:t>
      </w:r>
      <w:r w:rsidRPr="00CE091F">
        <w:t>2023</w:t>
      </w:r>
      <w:r w:rsidR="001A35A8">
        <w:t>–</w:t>
      </w:r>
      <w:r w:rsidRPr="00CE091F">
        <w:t>24 Budget (Chart 7.1).</w:t>
      </w:r>
    </w:p>
    <w:p w14:paraId="5E660D6A" w14:textId="77777777" w:rsidR="00397CED" w:rsidRPr="00CE091F" w:rsidRDefault="00397CED" w:rsidP="00397CED">
      <w:pPr>
        <w:pStyle w:val="ChartHeading"/>
      </w:pPr>
      <w:r w:rsidRPr="00CE091F">
        <w:t xml:space="preserve">Chart </w:t>
      </w:r>
      <w:r w:rsidR="005E1BC8" w:rsidRPr="00CE091F">
        <w:t>7</w:t>
      </w:r>
      <w:r w:rsidRPr="00CE091F">
        <w:t>.1: Comparison of forecasts and outcomes for real GDP growth</w:t>
      </w:r>
    </w:p>
    <w:p w14:paraId="0C1D8C6E" w14:textId="45E4F781" w:rsidR="00C350B3" w:rsidRPr="00CE091F" w:rsidRDefault="00C350B3" w:rsidP="00C350B3">
      <w:pPr>
        <w:pStyle w:val="ChartGraphic"/>
      </w:pPr>
      <w:r w:rsidRPr="00CE091F">
        <w:t xml:space="preserve"> </w:t>
      </w:r>
      <w:bookmarkStart w:id="5" w:name="_1803983688"/>
      <w:bookmarkEnd w:id="5"/>
      <w:r w:rsidR="00893EC2">
        <w:pict w14:anchorId="5ACEA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Budget year forecasts for real GDP growth and the latest published outcomes for the period 2003-04 to 2023-24." style="width:367.5pt;height:198pt">
            <v:imagedata r:id="rId18" o:title=""/>
          </v:shape>
        </w:pict>
      </w:r>
    </w:p>
    <w:p w14:paraId="64A1012B" w14:textId="77777777" w:rsidR="00C350B3" w:rsidRPr="00CE091F" w:rsidRDefault="00C350B3" w:rsidP="00C350B3">
      <w:pPr>
        <w:pStyle w:val="ChartandTableFootnote"/>
        <w:rPr>
          <w:color w:val="auto"/>
        </w:rPr>
      </w:pPr>
      <w:r w:rsidRPr="00CE091F">
        <w:rPr>
          <w:color w:val="auto"/>
        </w:rPr>
        <w:t xml:space="preserve">Note: </w:t>
      </w:r>
      <w:r w:rsidRPr="00CE091F">
        <w:rPr>
          <w:color w:val="auto"/>
        </w:rPr>
        <w:tab/>
        <w:t>Outcome is as published in the December quarter 2024 National Accounts. Forecast is that published in the Budget for that year. For 2022–23, the forecast is from the March 2022–23 Budget.</w:t>
      </w:r>
    </w:p>
    <w:p w14:paraId="0FB6CB15" w14:textId="77777777" w:rsidR="00397CED" w:rsidRPr="00CE091F" w:rsidRDefault="00397CED" w:rsidP="00397CED">
      <w:pPr>
        <w:pStyle w:val="ChartandTableFootnote"/>
        <w:rPr>
          <w:color w:val="auto"/>
        </w:rPr>
      </w:pPr>
      <w:bookmarkStart w:id="6" w:name="_1776777374"/>
      <w:bookmarkEnd w:id="6"/>
      <w:r w:rsidRPr="00CE091F">
        <w:rPr>
          <w:color w:val="auto"/>
        </w:rPr>
        <w:t xml:space="preserve">Source: </w:t>
      </w:r>
      <w:r w:rsidRPr="00CE091F">
        <w:rPr>
          <w:color w:val="auto"/>
        </w:rPr>
        <w:tab/>
        <w:t xml:space="preserve">ABS Australian National Accounts: National Income, Expenditure and Product and Budget papers. </w:t>
      </w:r>
    </w:p>
    <w:p w14:paraId="72998CCA" w14:textId="77777777" w:rsidR="00397CED" w:rsidRPr="00CE091F" w:rsidRDefault="00397CED" w:rsidP="00397CED">
      <w:pPr>
        <w:pStyle w:val="ChartLine"/>
      </w:pPr>
    </w:p>
    <w:p w14:paraId="07BB0903" w14:textId="02522573" w:rsidR="00C350B3" w:rsidRPr="00CE091F" w:rsidRDefault="00C350B3" w:rsidP="00C350B3">
      <w:r w:rsidRPr="00CE091F">
        <w:t>Price movements underpinning nominal GDP forecasts create greater uncertainty compared with real GDP forecasts. Price uncertainty relates to domestic prices and wages, exchange rates, prices of imported goods, and world prices for Australia</w:t>
      </w:r>
      <w:r w:rsidR="00E23819">
        <w:t>’</w:t>
      </w:r>
      <w:r w:rsidRPr="00CE091F">
        <w:t>s exports including commodities. Since the early 2000s, nominal GDP forecast errors have largely reflected volatility in global commodity prices. Recent years have experienced higher</w:t>
      </w:r>
      <w:r w:rsidR="00E23819">
        <w:noBreakHyphen/>
      </w:r>
      <w:r w:rsidRPr="00CE091F">
        <w:t>than</w:t>
      </w:r>
      <w:r w:rsidR="00E23819">
        <w:noBreakHyphen/>
      </w:r>
      <w:r w:rsidRPr="00CE091F">
        <w:t>usual volatility in commodity export prices, which generally remained above assumed conservative anchor prices and glide paths for an extended period, partly due to the ongoing tensions in the Middle East and Ukraine.</w:t>
      </w:r>
    </w:p>
    <w:p w14:paraId="2D5573A9" w14:textId="26A8400A" w:rsidR="00C350B3" w:rsidRPr="00CE091F" w:rsidRDefault="00C350B3" w:rsidP="00C350B3">
      <w:pPr>
        <w:spacing w:before="0" w:after="0" w:line="240" w:lineRule="auto"/>
      </w:pPr>
      <w:r w:rsidRPr="00CE091F">
        <w:t>Nominal GDP grew by 4.1 per cent in 2023–24 rather than the 1¼ per cent growth forecast at the 2023–24 Budget (Chart 7.2). This underestimation of nominal GDP growth largely reflected higher</w:t>
      </w:r>
      <w:r w:rsidR="00E23819">
        <w:noBreakHyphen/>
      </w:r>
      <w:r w:rsidRPr="00CE091F">
        <w:t>than</w:t>
      </w:r>
      <w:r w:rsidR="00E23819">
        <w:noBreakHyphen/>
      </w:r>
      <w:r w:rsidRPr="00CE091F">
        <w:t xml:space="preserve">expected commodity prices. </w:t>
      </w:r>
    </w:p>
    <w:p w14:paraId="4242DD61" w14:textId="77777777" w:rsidR="00C350B3" w:rsidRPr="00CE091F" w:rsidRDefault="00C350B3" w:rsidP="00C350B3">
      <w:pPr>
        <w:spacing w:before="0" w:after="0" w:line="240" w:lineRule="auto"/>
      </w:pPr>
    </w:p>
    <w:p w14:paraId="1A33BAEA" w14:textId="77777777" w:rsidR="00397CED" w:rsidRPr="00CE091F" w:rsidRDefault="00397CED" w:rsidP="00397CED">
      <w:pPr>
        <w:pStyle w:val="ChartHeading"/>
      </w:pPr>
      <w:r w:rsidRPr="00CE091F">
        <w:lastRenderedPageBreak/>
        <w:t xml:space="preserve">Chart </w:t>
      </w:r>
      <w:r w:rsidR="00250516" w:rsidRPr="00CE091F">
        <w:t>7</w:t>
      </w:r>
      <w:r w:rsidRPr="00CE091F">
        <w:t>.2: Comparison of forecasts and outcomes for nominal GDP growth</w:t>
      </w:r>
    </w:p>
    <w:p w14:paraId="4D967355" w14:textId="34D6B2C1" w:rsidR="00C350B3" w:rsidRPr="00CE091F" w:rsidRDefault="00C350B3" w:rsidP="00B553DE">
      <w:pPr>
        <w:pStyle w:val="ChartGraphic"/>
      </w:pPr>
      <w:r w:rsidRPr="00CE091F">
        <w:t xml:space="preserve">   </w:t>
      </w:r>
      <w:bookmarkStart w:id="7" w:name="_1803886684"/>
      <w:bookmarkStart w:id="8" w:name="_1803983690"/>
      <w:bookmarkEnd w:id="7"/>
      <w:bookmarkEnd w:id="8"/>
      <w:r w:rsidR="00893EC2">
        <w:rPr>
          <w:noProof/>
        </w:rPr>
        <w:pict w14:anchorId="7925A924">
          <v:shape id="_x0000_i1026" type="#_x0000_t75" alt="This chart shows the Budget year forecasts for nominal GDP growth and the Final Budget Outcome from 2003-04 to 2023-24." style="width:369pt;height:198pt">
            <v:imagedata r:id="rId19" o:title=""/>
          </v:shape>
        </w:pict>
      </w:r>
    </w:p>
    <w:p w14:paraId="1FD352EE" w14:textId="77777777" w:rsidR="00C350B3" w:rsidRPr="00CE091F" w:rsidRDefault="00C350B3" w:rsidP="00C350B3">
      <w:pPr>
        <w:pStyle w:val="ChartandTableFootnote"/>
        <w:rPr>
          <w:color w:val="auto"/>
        </w:rPr>
      </w:pPr>
      <w:r w:rsidRPr="00CE091F">
        <w:rPr>
          <w:color w:val="auto"/>
        </w:rPr>
        <w:t xml:space="preserve">Note: </w:t>
      </w:r>
      <w:r w:rsidRPr="00CE091F">
        <w:rPr>
          <w:color w:val="auto"/>
        </w:rPr>
        <w:tab/>
        <w:t>Outcome is as published in the December quarter 2024 National Accounts. Forecast is that published in the Budget for that year. For 2022–23, the forecast is from the March 2022–23 Budget.</w:t>
      </w:r>
    </w:p>
    <w:p w14:paraId="09214024"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ABS Australian National Accounts: National Income, Expenditure and Product and Budget papers.</w:t>
      </w:r>
    </w:p>
    <w:p w14:paraId="55860013" w14:textId="14705847" w:rsidR="00397CED" w:rsidRPr="008541FB" w:rsidRDefault="00397CED" w:rsidP="00397CED">
      <w:pPr>
        <w:pStyle w:val="ChartLine"/>
      </w:pPr>
    </w:p>
    <w:p w14:paraId="10BDBE22" w14:textId="70735AD4" w:rsidR="00397CED" w:rsidRPr="00CE091F" w:rsidRDefault="00397CED" w:rsidP="00397CED">
      <w:pPr>
        <w:pStyle w:val="Heading3"/>
      </w:pPr>
      <w:bookmarkStart w:id="9" w:name="_1709800536"/>
      <w:bookmarkStart w:id="10" w:name="_Toc116037824"/>
      <w:bookmarkStart w:id="11" w:name="_Toc116037697"/>
      <w:bookmarkStart w:id="12" w:name="_Toc116040759"/>
      <w:bookmarkStart w:id="13" w:name="_Toc193529665"/>
      <w:bookmarkEnd w:id="9"/>
      <w:r w:rsidRPr="00CE091F">
        <w:t>Fiscal forecasting performance</w:t>
      </w:r>
      <w:bookmarkEnd w:id="10"/>
      <w:bookmarkEnd w:id="11"/>
      <w:bookmarkEnd w:id="12"/>
      <w:bookmarkEnd w:id="13"/>
      <w:r w:rsidRPr="00CE091F">
        <w:t xml:space="preserve"> </w:t>
      </w:r>
    </w:p>
    <w:p w14:paraId="5A33E109" w14:textId="4B9F8C2A" w:rsidR="00397CED" w:rsidRPr="00CE091F" w:rsidRDefault="00397CED" w:rsidP="00397CED">
      <w:r w:rsidRPr="00CE091F">
        <w:t xml:space="preserve">Fiscal forecast errors are driven by economic and demographic forecast errors, along with unanticipated changes in demand for government programs. Government policies announced after the Budget can also affect fiscal forecast errors. Further information on Budget outcomes can be found in the </w:t>
      </w:r>
      <w:r w:rsidRPr="00CE091F">
        <w:rPr>
          <w:rStyle w:val="Emphasis"/>
        </w:rPr>
        <w:t>202</w:t>
      </w:r>
      <w:r w:rsidR="00DD6689" w:rsidRPr="00CE091F">
        <w:rPr>
          <w:rStyle w:val="Emphasis"/>
        </w:rPr>
        <w:t>3</w:t>
      </w:r>
      <w:r w:rsidRPr="00CE091F">
        <w:rPr>
          <w:rStyle w:val="Emphasis"/>
        </w:rPr>
        <w:t>–2</w:t>
      </w:r>
      <w:r w:rsidR="00DD6689" w:rsidRPr="00CE091F">
        <w:rPr>
          <w:rStyle w:val="Emphasis"/>
        </w:rPr>
        <w:t>4</w:t>
      </w:r>
      <w:r w:rsidRPr="00CE091F">
        <w:rPr>
          <w:rStyle w:val="Emphasis"/>
        </w:rPr>
        <w:t> Final Budget Outcome.</w:t>
      </w:r>
    </w:p>
    <w:p w14:paraId="134D0970" w14:textId="2FE49D4D" w:rsidR="00397CED" w:rsidRPr="00CE091F" w:rsidRDefault="00397CED" w:rsidP="00397CED">
      <w:pPr>
        <w:pStyle w:val="Heading4"/>
      </w:pPr>
      <w:r w:rsidRPr="00CE091F">
        <w:t>Total receipts</w:t>
      </w:r>
    </w:p>
    <w:p w14:paraId="0D6FC823" w14:textId="6186ACE5" w:rsidR="00397CED" w:rsidRPr="00CE091F" w:rsidRDefault="00397CED" w:rsidP="00397CED">
      <w:r w:rsidRPr="00CE091F">
        <w:t>Total receipts are comprised of tax and non</w:t>
      </w:r>
      <w:r w:rsidR="00E23819">
        <w:noBreakHyphen/>
      </w:r>
      <w:r w:rsidRPr="00CE091F">
        <w:t xml:space="preserve">tax receipts (for example, dividends from investment funds). Tax receipts account for over </w:t>
      </w:r>
      <w:r w:rsidR="3B2311FD" w:rsidRPr="00CE091F">
        <w:t>90</w:t>
      </w:r>
      <w:r w:rsidRPr="00CE091F">
        <w:t xml:space="preserve"> per cent of total receipts and are therefore </w:t>
      </w:r>
      <w:r w:rsidRPr="00CE091F" w:rsidDel="00882DFF">
        <w:t>the</w:t>
      </w:r>
      <w:r w:rsidRPr="00CE091F">
        <w:t xml:space="preserve"> main driver of forecasting performance. </w:t>
      </w:r>
    </w:p>
    <w:p w14:paraId="145D8DE8" w14:textId="2DC04743" w:rsidR="00397CED" w:rsidRPr="008541FB" w:rsidRDefault="00397CED" w:rsidP="00397CED">
      <w:r w:rsidRPr="00CE091F" w:rsidDel="00B30353">
        <w:t>T</w:t>
      </w:r>
      <w:r w:rsidRPr="00CE091F">
        <w:t xml:space="preserve">otal receipts grew </w:t>
      </w:r>
      <w:r w:rsidR="00E062AD" w:rsidRPr="00CE091F">
        <w:t>6.0</w:t>
      </w:r>
      <w:r w:rsidRPr="00CE091F">
        <w:t> per cent in 202</w:t>
      </w:r>
      <w:r w:rsidR="00DD6689" w:rsidRPr="00CE091F">
        <w:t>3</w:t>
      </w:r>
      <w:r w:rsidRPr="00CE091F">
        <w:t>–2</w:t>
      </w:r>
      <w:r w:rsidR="00DD6689" w:rsidRPr="00CE091F">
        <w:t>4</w:t>
      </w:r>
      <w:r w:rsidRPr="00CE091F">
        <w:t xml:space="preserve"> rather than the </w:t>
      </w:r>
      <w:r w:rsidR="0042452E" w:rsidRPr="00CE091F">
        <w:t>5</w:t>
      </w:r>
      <w:r w:rsidRPr="00CE091F">
        <w:t>.</w:t>
      </w:r>
      <w:r w:rsidR="0042452E" w:rsidRPr="00CE091F">
        <w:t>1</w:t>
      </w:r>
      <w:r w:rsidRPr="00CE091F">
        <w:t xml:space="preserve"> per cent </w:t>
      </w:r>
      <w:r w:rsidR="0042452E" w:rsidRPr="00CE091F">
        <w:t xml:space="preserve">increase </w:t>
      </w:r>
      <w:r w:rsidRPr="00CE091F">
        <w:t>forecast at the</w:t>
      </w:r>
      <w:r w:rsidR="00DD6689" w:rsidRPr="00CE091F">
        <w:t xml:space="preserve"> </w:t>
      </w:r>
      <w:r w:rsidRPr="00CE091F">
        <w:t>202</w:t>
      </w:r>
      <w:r w:rsidR="00DD6689" w:rsidRPr="00CE091F">
        <w:t>3</w:t>
      </w:r>
      <w:r w:rsidRPr="00CE091F">
        <w:t>–2</w:t>
      </w:r>
      <w:r w:rsidR="00DD6689" w:rsidRPr="00CE091F">
        <w:t>4</w:t>
      </w:r>
      <w:r w:rsidRPr="00CE091F">
        <w:t xml:space="preserve"> Budget. Total receipts were </w:t>
      </w:r>
      <w:r w:rsidR="00DB2B54" w:rsidRPr="00CE091F">
        <w:t>$20.4</w:t>
      </w:r>
      <w:r w:rsidRPr="00CE091F">
        <w:t> billion higher than forecast.</w:t>
      </w:r>
    </w:p>
    <w:p w14:paraId="6419B0AE" w14:textId="4CBA9A5A" w:rsidR="00397CED" w:rsidRPr="00CE091F" w:rsidRDefault="00397CED" w:rsidP="00397CED">
      <w:pPr>
        <w:pStyle w:val="Heading4"/>
        <w:rPr>
          <w:sz w:val="22"/>
        </w:rPr>
      </w:pPr>
      <w:r w:rsidRPr="00CE091F">
        <w:t>Tax receipts</w:t>
      </w:r>
    </w:p>
    <w:p w14:paraId="489BF447" w14:textId="3D9FC138" w:rsidR="00397CED" w:rsidRPr="00CE091F" w:rsidRDefault="00397CED" w:rsidP="00397CED">
      <w:r w:rsidRPr="00CE091F">
        <w:t xml:space="preserve">Tax receipts grew </w:t>
      </w:r>
      <w:r w:rsidR="003C4263" w:rsidRPr="00CE091F">
        <w:t>5.3</w:t>
      </w:r>
      <w:r w:rsidRPr="00CE091F">
        <w:t> per cent in 202</w:t>
      </w:r>
      <w:r w:rsidR="003C4263" w:rsidRPr="00CE091F">
        <w:t>3</w:t>
      </w:r>
      <w:r w:rsidRPr="00CE091F">
        <w:t>–2</w:t>
      </w:r>
      <w:r w:rsidR="004816FB" w:rsidRPr="00CE091F">
        <w:t>4</w:t>
      </w:r>
      <w:r w:rsidRPr="00CE091F">
        <w:t xml:space="preserve"> rather than the </w:t>
      </w:r>
      <w:r w:rsidR="004816FB" w:rsidRPr="00CE091F">
        <w:t>4</w:t>
      </w:r>
      <w:r w:rsidRPr="00CE091F">
        <w:t xml:space="preserve">.8 per cent </w:t>
      </w:r>
      <w:r w:rsidR="004816FB" w:rsidRPr="00CE091F">
        <w:t>in</w:t>
      </w:r>
      <w:r w:rsidRPr="00CE091F">
        <w:t>crease forecast at the 202</w:t>
      </w:r>
      <w:r w:rsidR="00781C24" w:rsidRPr="00CE091F">
        <w:t>3</w:t>
      </w:r>
      <w:r w:rsidRPr="00CE091F">
        <w:t>–2</w:t>
      </w:r>
      <w:r w:rsidR="00781C24" w:rsidRPr="00CE091F">
        <w:t>4</w:t>
      </w:r>
      <w:r w:rsidRPr="00CE091F">
        <w:t> Budget (Chart </w:t>
      </w:r>
      <w:r w:rsidR="009F1F00" w:rsidRPr="00CE091F">
        <w:t>7.</w:t>
      </w:r>
      <w:r w:rsidRPr="00CE091F">
        <w:t>3). Tax receipts were $</w:t>
      </w:r>
      <w:r w:rsidR="00BB4559" w:rsidRPr="00CE091F">
        <w:t>17.1</w:t>
      </w:r>
      <w:r w:rsidRPr="00CE091F">
        <w:t> billion higher than forecast.</w:t>
      </w:r>
      <w:r w:rsidRPr="00CE091F">
        <w:rPr>
          <w:b/>
        </w:rPr>
        <w:t xml:space="preserve"> </w:t>
      </w:r>
      <w:r w:rsidRPr="00CE091F">
        <w:t>This outcome reflected</w:t>
      </w:r>
      <w:r w:rsidRPr="00CE091F" w:rsidDel="0064002E">
        <w:t xml:space="preserve"> </w:t>
      </w:r>
      <w:r w:rsidRPr="00CE091F">
        <w:t>higher</w:t>
      </w:r>
      <w:r w:rsidR="00E23819">
        <w:noBreakHyphen/>
      </w:r>
      <w:r w:rsidRPr="00CE091F">
        <w:t>than</w:t>
      </w:r>
      <w:r w:rsidR="00E23819">
        <w:noBreakHyphen/>
      </w:r>
      <w:r w:rsidRPr="00CE091F">
        <w:t xml:space="preserve">expected company tax receipts and </w:t>
      </w:r>
      <w:r w:rsidR="00F10767" w:rsidRPr="00CE091F">
        <w:t xml:space="preserve">gross income tax withholding </w:t>
      </w:r>
      <w:r w:rsidR="00E022AA" w:rsidRPr="00CE091F">
        <w:t>receipts</w:t>
      </w:r>
      <w:r w:rsidR="00C86D78" w:rsidRPr="00CE091F">
        <w:t xml:space="preserve"> partially offset by </w:t>
      </w:r>
      <w:r w:rsidR="002F34BB" w:rsidRPr="00CE091F">
        <w:t>weaker</w:t>
      </w:r>
      <w:r w:rsidR="00E23819">
        <w:noBreakHyphen/>
      </w:r>
      <w:r w:rsidR="002F34BB" w:rsidRPr="00CE091F">
        <w:t>than</w:t>
      </w:r>
      <w:r w:rsidR="00E23819">
        <w:noBreakHyphen/>
      </w:r>
      <w:r w:rsidR="002F34BB" w:rsidRPr="00CE091F">
        <w:t xml:space="preserve">expected </w:t>
      </w:r>
      <w:r w:rsidR="0024702E" w:rsidRPr="00CE091F">
        <w:t xml:space="preserve">excise and customs duty receipts and </w:t>
      </w:r>
      <w:r w:rsidR="002F34BB" w:rsidRPr="00CE091F">
        <w:t>superannuation fund taxes</w:t>
      </w:r>
      <w:r w:rsidR="00E022AA" w:rsidRPr="00CE091F">
        <w:t>.</w:t>
      </w:r>
    </w:p>
    <w:p w14:paraId="21F7254E" w14:textId="454AD216" w:rsidR="00397CED" w:rsidRPr="00CE091F" w:rsidRDefault="00397CED" w:rsidP="00397CED">
      <w:pPr>
        <w:pStyle w:val="ChartHeading"/>
      </w:pPr>
      <w:r w:rsidRPr="00CE091F">
        <w:lastRenderedPageBreak/>
        <w:t xml:space="preserve">Chart </w:t>
      </w:r>
      <w:r w:rsidR="009F1F00" w:rsidRPr="00CE091F">
        <w:t>7.</w:t>
      </w:r>
      <w:r w:rsidRPr="00CE091F">
        <w:t>3: Comparison of forecasts and outcomes for tax receipts growth</w:t>
      </w:r>
    </w:p>
    <w:p w14:paraId="215EEF30" w14:textId="6A22A6EC" w:rsidR="00397CED" w:rsidRPr="00CE091F" w:rsidRDefault="00893EC2" w:rsidP="00397CED">
      <w:pPr>
        <w:pStyle w:val="ChartGraphic"/>
      </w:pPr>
      <w:bookmarkStart w:id="14" w:name="_1802180839"/>
      <w:bookmarkStart w:id="15" w:name="_1803203700"/>
      <w:bookmarkStart w:id="16" w:name="_1803717659"/>
      <w:bookmarkStart w:id="17" w:name="_1803798177"/>
      <w:bookmarkStart w:id="18" w:name="_1803983692"/>
      <w:bookmarkEnd w:id="14"/>
      <w:bookmarkEnd w:id="15"/>
      <w:bookmarkEnd w:id="16"/>
      <w:bookmarkEnd w:id="17"/>
      <w:bookmarkEnd w:id="18"/>
      <w:r>
        <w:pict w14:anchorId="13F99DAD">
          <v:shape id="_x0000_i1027" type="#_x0000_t75" alt="This chart shows the Budget year forecasts for tax receipts growth and the Final Budget Outcome (FBO) from 2003-04 to 2023-24. Throughout this period, forecasts have both under and overestimated actual growth in tax receipts. For 2023-24, the 2023-24 Budget forecast tax receipts to increase by 4.8 per cent compared to 2022-23. From the 2023-24 FBO, tax receipts grew by 5.3 per cent in 2023-24. The difference between these two figures represent the forecast error for 2023-24." style="width:365.25pt;height:221.25pt">
            <v:imagedata r:id="rId20" o:title=""/>
          </v:shape>
        </w:pict>
      </w:r>
    </w:p>
    <w:p w14:paraId="520AD3B6"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0468CDB4" w14:textId="77777777" w:rsidR="00397CED" w:rsidRPr="00CE091F" w:rsidRDefault="00397CED" w:rsidP="00397CED">
      <w:pPr>
        <w:pStyle w:val="ChartLine"/>
      </w:pPr>
    </w:p>
    <w:p w14:paraId="43A82B09" w14:textId="7A9F1F82" w:rsidR="00397CED" w:rsidRPr="00CE091F" w:rsidRDefault="00397CED" w:rsidP="00397CED">
      <w:r w:rsidRPr="00CE091F">
        <w:t>On average, nominal GDP forecast errors magnify tax receipts forecast errors, owing to Australia</w:t>
      </w:r>
      <w:r w:rsidR="00E23819">
        <w:t>’</w:t>
      </w:r>
      <w:r w:rsidRPr="00CE091F">
        <w:t>s progressive personal income tax system (Chart </w:t>
      </w:r>
      <w:r w:rsidR="009F1F00" w:rsidRPr="00CE091F">
        <w:t>7.</w:t>
      </w:r>
      <w:r w:rsidRPr="00CE091F">
        <w:t>4).</w:t>
      </w:r>
    </w:p>
    <w:p w14:paraId="686BB8A2" w14:textId="6C7D8526" w:rsidR="00397CED" w:rsidRPr="00CE091F" w:rsidRDefault="00397CED" w:rsidP="00012942">
      <w:pPr>
        <w:pStyle w:val="ChartHeading"/>
      </w:pPr>
      <w:r w:rsidRPr="00CE091F">
        <w:t xml:space="preserve">Chart </w:t>
      </w:r>
      <w:r w:rsidR="009F1F00" w:rsidRPr="00CE091F">
        <w:t>7.</w:t>
      </w:r>
      <w:r w:rsidRPr="00CE091F">
        <w:t>4: Forecast errors for nominal non</w:t>
      </w:r>
      <w:r w:rsidR="00E23819">
        <w:noBreakHyphen/>
      </w:r>
      <w:r w:rsidRPr="00CE091F">
        <w:t>farm GDP and tax receipts growth</w:t>
      </w:r>
      <w:r w:rsidRPr="00B53314">
        <w:rPr>
          <w:rFonts w:ascii="Arial Bold" w:hAnsi="Arial Bold"/>
          <w:vertAlign w:val="superscript"/>
        </w:rPr>
        <w:t>(a)</w:t>
      </w:r>
    </w:p>
    <w:p w14:paraId="6D2AB74B" w14:textId="3C12157D" w:rsidR="00E4277C" w:rsidRPr="00CE091F" w:rsidRDefault="00893EC2" w:rsidP="00E4277C">
      <w:pPr>
        <w:pStyle w:val="ChartGraphic"/>
      </w:pPr>
      <w:bookmarkStart w:id="19" w:name="_1803983694"/>
      <w:bookmarkEnd w:id="19"/>
      <w:r>
        <w:pict w14:anchorId="3346BECA">
          <v:shape id="_x0000_i1028" type="#_x0000_t75" alt="This chart plots the Budget forecast errors on nominal non-farm GDP growth and on tax receipts growth (excluding capital gains tax) from 2003-04 to 2023-24. There is a strong positive correlation between the two errors, indicating tax receipts forecasts are heavily dependent on economic forecasts. In 2023-24, the forecast error on tax receipts growth was around 0.8 percentage points, while the forecast error on nominal non-farm GDP growth was around 2.8 percentage points." style="width:375pt;height:231.75pt">
            <v:imagedata r:id="rId21" o:title=""/>
          </v:shape>
        </w:pict>
      </w:r>
    </w:p>
    <w:p w14:paraId="079706EE" w14:textId="6BF6E4D9" w:rsidR="00397CED" w:rsidRPr="00CE091F" w:rsidRDefault="00397CED" w:rsidP="00397CED">
      <w:pPr>
        <w:pStyle w:val="ChartandTableFootnoteAlpha"/>
        <w:rPr>
          <w:color w:val="auto"/>
        </w:rPr>
      </w:pPr>
      <w:r w:rsidRPr="00CE091F">
        <w:rPr>
          <w:color w:val="auto"/>
        </w:rPr>
        <w:t xml:space="preserve">Excludes </w:t>
      </w:r>
      <w:r w:rsidR="00175513" w:rsidRPr="00CE091F">
        <w:rPr>
          <w:color w:val="auto"/>
        </w:rPr>
        <w:t>c</w:t>
      </w:r>
      <w:r w:rsidR="00F21E68" w:rsidRPr="00CE091F">
        <w:rPr>
          <w:color w:val="auto"/>
        </w:rPr>
        <w:t xml:space="preserve">apital </w:t>
      </w:r>
      <w:r w:rsidR="00175513" w:rsidRPr="00CE091F">
        <w:rPr>
          <w:color w:val="auto"/>
        </w:rPr>
        <w:t>g</w:t>
      </w:r>
      <w:r w:rsidR="00F21E68" w:rsidRPr="00CE091F">
        <w:rPr>
          <w:color w:val="auto"/>
        </w:rPr>
        <w:t>ain</w:t>
      </w:r>
      <w:r w:rsidR="00D20E6E" w:rsidRPr="00CE091F">
        <w:rPr>
          <w:color w:val="auto"/>
        </w:rPr>
        <w:t>s</w:t>
      </w:r>
      <w:r w:rsidR="00F21E68" w:rsidRPr="00CE091F">
        <w:rPr>
          <w:color w:val="auto"/>
        </w:rPr>
        <w:t xml:space="preserve"> </w:t>
      </w:r>
      <w:r w:rsidR="00175513" w:rsidRPr="00CE091F">
        <w:rPr>
          <w:color w:val="auto"/>
        </w:rPr>
        <w:t>t</w:t>
      </w:r>
      <w:r w:rsidR="00F21E68" w:rsidRPr="00CE091F">
        <w:rPr>
          <w:color w:val="auto"/>
        </w:rPr>
        <w:t>ax</w:t>
      </w:r>
      <w:r w:rsidRPr="00CE091F">
        <w:rPr>
          <w:color w:val="auto"/>
        </w:rPr>
        <w:t xml:space="preserve">. </w:t>
      </w:r>
    </w:p>
    <w:p w14:paraId="47F19767" w14:textId="3035A979" w:rsidR="00397CED" w:rsidRPr="00CE091F" w:rsidRDefault="00397CED" w:rsidP="00397CED">
      <w:pPr>
        <w:pStyle w:val="ChartandTableFootnote"/>
        <w:rPr>
          <w:color w:val="auto"/>
        </w:rPr>
      </w:pPr>
      <w:r w:rsidRPr="00CE091F">
        <w:rPr>
          <w:color w:val="auto"/>
        </w:rPr>
        <w:t xml:space="preserve">Source: </w:t>
      </w:r>
      <w:r w:rsidRPr="00CE091F">
        <w:rPr>
          <w:color w:val="auto"/>
        </w:rPr>
        <w:tab/>
        <w:t>ABS Australian National Accounts: National Income, Expenditure and Product</w:t>
      </w:r>
      <w:r w:rsidR="004D0360" w:rsidRPr="00CE091F">
        <w:rPr>
          <w:color w:val="auto"/>
        </w:rPr>
        <w:t>;</w:t>
      </w:r>
      <w:r w:rsidRPr="00CE091F">
        <w:rPr>
          <w:color w:val="auto"/>
        </w:rPr>
        <w:t xml:space="preserve"> and Treasury. </w:t>
      </w:r>
      <w:bookmarkStart w:id="20" w:name="_1709800579"/>
      <w:bookmarkStart w:id="21" w:name="_1709800642"/>
      <w:bookmarkEnd w:id="20"/>
      <w:bookmarkEnd w:id="21"/>
    </w:p>
    <w:p w14:paraId="1A4A1413" w14:textId="59AFEA41" w:rsidR="00397CED" w:rsidRPr="008541FB" w:rsidRDefault="00397CED" w:rsidP="00397CED">
      <w:pPr>
        <w:pStyle w:val="ChartLine"/>
      </w:pPr>
    </w:p>
    <w:p w14:paraId="26F0E596" w14:textId="7E0D2777" w:rsidR="00397CED" w:rsidRPr="00CE091F" w:rsidRDefault="00397CED" w:rsidP="00397CED">
      <w:pPr>
        <w:pStyle w:val="Heading4"/>
      </w:pPr>
      <w:r w:rsidRPr="00CE091F">
        <w:lastRenderedPageBreak/>
        <w:t>Non</w:t>
      </w:r>
      <w:r w:rsidR="00E23819">
        <w:noBreakHyphen/>
      </w:r>
      <w:r w:rsidRPr="00CE091F">
        <w:t>tax receipts</w:t>
      </w:r>
    </w:p>
    <w:p w14:paraId="2500ABC7" w14:textId="3F6C37BF" w:rsidR="00F41F75" w:rsidRPr="00CE091F" w:rsidRDefault="00F41F75" w:rsidP="00F41F75">
      <w:r w:rsidRPr="00CE091F">
        <w:t>Forecast variances in non</w:t>
      </w:r>
      <w:r w:rsidR="00E23819">
        <w:noBreakHyphen/>
      </w:r>
      <w:r w:rsidRPr="00CE091F">
        <w:t>tax receipts are generally driven by financial market volatility which impacts investment earnings and resource royalties.</w:t>
      </w:r>
    </w:p>
    <w:p w14:paraId="06063547" w14:textId="45845556" w:rsidR="00F41F75" w:rsidRPr="00CE091F" w:rsidRDefault="00F41F75" w:rsidP="00F41F75">
      <w:r w:rsidRPr="00CE091F">
        <w:t>Non</w:t>
      </w:r>
      <w:r w:rsidR="00E23819">
        <w:noBreakHyphen/>
      </w:r>
      <w:r w:rsidRPr="00CE091F">
        <w:t>tax receipts grew by 14.5</w:t>
      </w:r>
      <w:r w:rsidR="00B116D2">
        <w:t> </w:t>
      </w:r>
      <w:r w:rsidRPr="00CE091F">
        <w:t>per</w:t>
      </w:r>
      <w:r w:rsidR="00B116D2">
        <w:t> </w:t>
      </w:r>
      <w:r w:rsidRPr="00CE091F">
        <w:t>cent in 2023–24 rather than the 9.1</w:t>
      </w:r>
      <w:r w:rsidR="00B116D2">
        <w:t> </w:t>
      </w:r>
      <w:r w:rsidRPr="00CE091F">
        <w:t>per</w:t>
      </w:r>
      <w:r w:rsidR="00B116D2">
        <w:t> </w:t>
      </w:r>
      <w:r w:rsidRPr="00CE091F">
        <w:t>cent forecast at the 2023–24 Budget (Chart 7.5). Non</w:t>
      </w:r>
      <w:r w:rsidR="00E23819">
        <w:noBreakHyphen/>
      </w:r>
      <w:r w:rsidRPr="00CE091F">
        <w:t>tax receipts were $3.3</w:t>
      </w:r>
      <w:r w:rsidR="00B116D2">
        <w:t> </w:t>
      </w:r>
      <w:r w:rsidRPr="00CE091F">
        <w:t>billion higher in 2023–24 than forecast in the 2023–24 Budget. This increase largely reflects variations in returns on investments, including higher</w:t>
      </w:r>
      <w:r w:rsidR="00E23819">
        <w:noBreakHyphen/>
      </w:r>
      <w:r w:rsidRPr="00CE091F">
        <w:t>than</w:t>
      </w:r>
      <w:r w:rsidR="00E23819">
        <w:noBreakHyphen/>
      </w:r>
      <w:r w:rsidRPr="00CE091F">
        <w:t>estimated earnings from interest on cash deposits due to the rise in short</w:t>
      </w:r>
      <w:r w:rsidR="00E23819">
        <w:noBreakHyphen/>
      </w:r>
      <w:r w:rsidRPr="00CE091F">
        <w:t>term interest rates, and higher</w:t>
      </w:r>
      <w:r w:rsidR="00E23819">
        <w:noBreakHyphen/>
      </w:r>
      <w:r w:rsidRPr="00CE091F">
        <w:t>than</w:t>
      </w:r>
      <w:r w:rsidR="00E23819">
        <w:noBreakHyphen/>
      </w:r>
      <w:r w:rsidRPr="00CE091F">
        <w:t>estimated earnings from the Future Fund and other Australian Government Investment Funds. The sale of non</w:t>
      </w:r>
      <w:r w:rsidR="00E23819">
        <w:noBreakHyphen/>
      </w:r>
      <w:r w:rsidRPr="00CE091F">
        <w:t>financial assets through the 3.4/3.7 GHz Spectrum Auctions also contributed to the increases in non</w:t>
      </w:r>
      <w:r w:rsidR="00E23819">
        <w:noBreakHyphen/>
      </w:r>
      <w:r w:rsidRPr="00CE091F">
        <w:t>tax receipts</w:t>
      </w:r>
      <w:r w:rsidR="00D7116C">
        <w:t xml:space="preserve">. </w:t>
      </w:r>
    </w:p>
    <w:p w14:paraId="2CFCBEE2" w14:textId="7886D8A4" w:rsidR="00397CED" w:rsidRPr="00CE091F" w:rsidRDefault="00397CED" w:rsidP="00397CED">
      <w:pPr>
        <w:pStyle w:val="ChartHeading"/>
      </w:pPr>
      <w:r w:rsidRPr="00CE091F">
        <w:t xml:space="preserve">Chart </w:t>
      </w:r>
      <w:r w:rsidR="009F1F00" w:rsidRPr="00CE091F">
        <w:t>7.</w:t>
      </w:r>
      <w:r w:rsidRPr="00CE091F">
        <w:t>5: Comparison of forecasts and outcomes for non</w:t>
      </w:r>
      <w:r w:rsidR="00E23819">
        <w:noBreakHyphen/>
      </w:r>
      <w:r w:rsidRPr="00CE091F">
        <w:t>tax receipts growth</w:t>
      </w:r>
    </w:p>
    <w:p w14:paraId="7733A151" w14:textId="516D2EA6" w:rsidR="00397CED" w:rsidRPr="00CE091F" w:rsidRDefault="00893EC2" w:rsidP="00F60A08">
      <w:pPr>
        <w:pStyle w:val="ChartGraphic"/>
      </w:pPr>
      <w:bookmarkStart w:id="22" w:name="_1802180841"/>
      <w:bookmarkStart w:id="23" w:name="_1803203702"/>
      <w:bookmarkStart w:id="24" w:name="_1803717661"/>
      <w:bookmarkStart w:id="25" w:name="_1803798179"/>
      <w:bookmarkStart w:id="26" w:name="_1803983696"/>
      <w:bookmarkEnd w:id="22"/>
      <w:bookmarkEnd w:id="23"/>
      <w:bookmarkEnd w:id="24"/>
      <w:bookmarkEnd w:id="25"/>
      <w:bookmarkEnd w:id="26"/>
      <w:r>
        <w:pict w14:anchorId="4940AE57">
          <v:shape id="_x0000_i1029" type="#_x0000_t75" alt="This chart shows the Budget year forecasts for annual non-tax receipts growth and the Final Budget Outcome (FBO) from 2003-04 to 2023-24. Over time, growth in non-tax receipts has been volatile, with growth varying between negative 14 per cent and positive 27 per cent. Forecast growth has not well approximated final outcomes. The 2023-24 Final Budget Outcome (FBO) showed that non-tax receipts increased by 14.5 per cent, compared to the forecast increase of 9.1 per cent." style="width:367.5pt;height:198pt">
            <v:imagedata r:id="rId22" o:title=""/>
          </v:shape>
        </w:pict>
      </w:r>
    </w:p>
    <w:p w14:paraId="12C089A1"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7F6C99DC" w14:textId="402C4984" w:rsidR="00397CED" w:rsidRPr="008541FB" w:rsidRDefault="00397CED" w:rsidP="00397CED">
      <w:pPr>
        <w:pStyle w:val="ChartLine"/>
      </w:pPr>
    </w:p>
    <w:p w14:paraId="04578BDB" w14:textId="1DE047B9" w:rsidR="00397CED" w:rsidRPr="00CE091F" w:rsidRDefault="00397CED" w:rsidP="00397CED">
      <w:pPr>
        <w:pStyle w:val="Heading4"/>
      </w:pPr>
      <w:r w:rsidRPr="00CE091F">
        <w:t>Payments</w:t>
      </w:r>
    </w:p>
    <w:p w14:paraId="1AAD15CD" w14:textId="63AD0CEC" w:rsidR="008071AE" w:rsidRPr="00CE091F" w:rsidRDefault="00397CED" w:rsidP="008071AE">
      <w:r w:rsidRPr="00CE091F" w:rsidDel="008071AE">
        <w:t xml:space="preserve">Payments forecasting performance is affected by growth in indexation factors (for example, CPI growth) and demand for government programs. </w:t>
      </w:r>
      <w:r w:rsidR="008071AE" w:rsidRPr="00CE091F">
        <w:t>Demand</w:t>
      </w:r>
      <w:r w:rsidR="00E23819">
        <w:noBreakHyphen/>
      </w:r>
      <w:r w:rsidR="008071AE" w:rsidRPr="00CE091F">
        <w:t>driven programs, such as payments to individuals for social welfare, form the bulk of Australian Government expenditure and vary with economic conditions.</w:t>
      </w:r>
    </w:p>
    <w:p w14:paraId="4EB290EF" w14:textId="127D7B13" w:rsidR="008071AE" w:rsidRPr="00CE091F" w:rsidRDefault="008071AE" w:rsidP="008071AE">
      <w:r w:rsidRPr="00CE091F">
        <w:t>Payments increased by 7.2</w:t>
      </w:r>
      <w:r w:rsidR="00150802">
        <w:t> </w:t>
      </w:r>
      <w:r w:rsidRPr="00CE091F">
        <w:t>per</w:t>
      </w:r>
      <w:r w:rsidR="00150802">
        <w:t> </w:t>
      </w:r>
      <w:r w:rsidRPr="00CE091F">
        <w:t>cent in 2023–24 rather than the 8.0</w:t>
      </w:r>
      <w:r w:rsidR="00150802">
        <w:t> </w:t>
      </w:r>
      <w:r w:rsidRPr="00CE091F">
        <w:t>per</w:t>
      </w:r>
      <w:r w:rsidR="00150802">
        <w:t> </w:t>
      </w:r>
      <w:r w:rsidRPr="00CE091F">
        <w:t>cent forecast at the 2023–24 Budget (Chart 7.6). Payments were $9.3</w:t>
      </w:r>
      <w:r w:rsidR="00150802">
        <w:t> </w:t>
      </w:r>
      <w:r w:rsidRPr="00CE091F">
        <w:t>billion lower in</w:t>
      </w:r>
      <w:r w:rsidR="00CC5401">
        <w:t xml:space="preserve"> </w:t>
      </w:r>
      <w:r w:rsidRPr="00CE091F">
        <w:t xml:space="preserve">2023–24 than forecast in the 2023–24 Budget. This decrease largely reflects delays in milestone payments under National Partnership Payment programs. Decreases to payments also resulted from a decline in the expected number of recipients and average payment rates across </w:t>
      </w:r>
      <w:proofErr w:type="gramStart"/>
      <w:r w:rsidRPr="00CE091F">
        <w:t>a number of</w:t>
      </w:r>
      <w:proofErr w:type="gramEnd"/>
      <w:r w:rsidRPr="00CE091F">
        <w:t xml:space="preserve"> programs including Student Payments and Family Tax Benefits, reflecting strong labour </w:t>
      </w:r>
      <w:r w:rsidRPr="00CE091F">
        <w:lastRenderedPageBreak/>
        <w:t>market performance. In addition, lower than projected demand for medical services contributed to a decrease in payments under the Medical Benefits program.</w:t>
      </w:r>
    </w:p>
    <w:p w14:paraId="47FF7D8F" w14:textId="334B3B1D" w:rsidR="00397CED" w:rsidRPr="00CE091F" w:rsidRDefault="00397CED" w:rsidP="00397CED">
      <w:pPr>
        <w:pStyle w:val="ChartHeading"/>
      </w:pPr>
      <w:bookmarkStart w:id="27" w:name="_Toc116037825"/>
      <w:r w:rsidRPr="00CE091F">
        <w:t xml:space="preserve">Chart </w:t>
      </w:r>
      <w:r w:rsidR="009F1F00" w:rsidRPr="00CE091F">
        <w:t>7.</w:t>
      </w:r>
      <w:r w:rsidRPr="00CE091F">
        <w:t>6: Comparison of forecasts and outcomes for payments growth</w:t>
      </w:r>
      <w:bookmarkEnd w:id="27"/>
      <w:r w:rsidRPr="00CE091F">
        <w:t xml:space="preserve"> </w:t>
      </w:r>
    </w:p>
    <w:p w14:paraId="2F80B908" w14:textId="59BB9D65" w:rsidR="00397CED" w:rsidRPr="00CE091F" w:rsidRDefault="00893EC2" w:rsidP="00DA4B45">
      <w:pPr>
        <w:pStyle w:val="ChartGraphic"/>
      </w:pPr>
      <w:bookmarkStart w:id="28" w:name="_1802180843"/>
      <w:bookmarkStart w:id="29" w:name="_1803203704"/>
      <w:bookmarkStart w:id="30" w:name="_1803717663"/>
      <w:bookmarkStart w:id="31" w:name="_1803798181"/>
      <w:bookmarkStart w:id="32" w:name="_1803983698"/>
      <w:bookmarkEnd w:id="28"/>
      <w:bookmarkEnd w:id="29"/>
      <w:bookmarkEnd w:id="30"/>
      <w:bookmarkEnd w:id="31"/>
      <w:bookmarkEnd w:id="32"/>
      <w:r>
        <w:pict w14:anchorId="22595FC4">
          <v:shape id="_x0000_i1030" type="#_x0000_t75" alt="This chart shows the Budget year forecasts for annual payments growth and the Final Budget Outcome from 2003-04 to 2023-24. Payments growth has historically been relatively stable between 5 and 7 per cent a year, except for the 2012-13 period where a 1 per cent increase in growth was seen and the 2019-2021 period where an average growth of 17 per cent was seen across the 2 years. Outside these periods, forecast growth has well approximated final outcomes. For the latest published result in 2023-24, payments growth was 7.2 per cent compared to the forecast of 8.0 per cent." style="width:367.5pt;height:192.75pt">
            <v:imagedata r:id="rId23" o:title=""/>
          </v:shape>
        </w:pict>
      </w:r>
    </w:p>
    <w:p w14:paraId="784738D3" w14:textId="69CDF942" w:rsidR="00397CED" w:rsidRPr="008541FB"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5F5BFD72" w14:textId="77777777" w:rsidR="00397CED" w:rsidRPr="008541FB" w:rsidRDefault="00397CED" w:rsidP="00397CED">
      <w:pPr>
        <w:pStyle w:val="ChartLine"/>
      </w:pPr>
    </w:p>
    <w:p w14:paraId="6716F5EC" w14:textId="308E9A9B" w:rsidR="00397CED" w:rsidRPr="00CE091F" w:rsidRDefault="00397CED" w:rsidP="00397CED">
      <w:pPr>
        <w:pStyle w:val="Heading4"/>
      </w:pPr>
      <w:r w:rsidRPr="00CE091F">
        <w:t>Underlying cash balance</w:t>
      </w:r>
    </w:p>
    <w:p w14:paraId="76E55412" w14:textId="52B589B0" w:rsidR="00397CED" w:rsidRPr="00CE091F" w:rsidRDefault="00397CED" w:rsidP="00397CED">
      <w:pPr>
        <w:rPr>
          <w:szCs w:val="19"/>
        </w:rPr>
      </w:pPr>
      <w:r w:rsidRPr="00CE091F">
        <w:rPr>
          <w:szCs w:val="19"/>
        </w:rPr>
        <w:t>Underlying cash balance</w:t>
      </w:r>
      <w:r w:rsidR="007473FF" w:rsidRPr="00CE091F">
        <w:rPr>
          <w:szCs w:val="19"/>
        </w:rPr>
        <w:t xml:space="preserve"> </w:t>
      </w:r>
      <w:r w:rsidRPr="00CE091F">
        <w:rPr>
          <w:szCs w:val="19"/>
        </w:rPr>
        <w:t>forecasting performance is driven by the forecast errors of total receipts and payments.</w:t>
      </w:r>
    </w:p>
    <w:p w14:paraId="56D7219C" w14:textId="094AC0E8" w:rsidR="00397CED" w:rsidRPr="00CE091F" w:rsidRDefault="00397CED" w:rsidP="00397CED">
      <w:r w:rsidRPr="00CE091F">
        <w:t>The underlying cash surplus was 0.</w:t>
      </w:r>
      <w:r w:rsidR="00947F3B" w:rsidRPr="00CE091F">
        <w:t>6</w:t>
      </w:r>
      <w:r w:rsidRPr="00CE091F">
        <w:t> per cent of GDP in 202</w:t>
      </w:r>
      <w:r w:rsidR="003D54EA" w:rsidRPr="00CE091F">
        <w:t>3</w:t>
      </w:r>
      <w:r w:rsidRPr="00CE091F">
        <w:t>–2</w:t>
      </w:r>
      <w:r w:rsidR="003D54EA" w:rsidRPr="00CE091F">
        <w:t>4</w:t>
      </w:r>
      <w:r w:rsidRPr="00CE091F">
        <w:t xml:space="preserve"> rather than the forecast deficit of </w:t>
      </w:r>
      <w:r w:rsidR="00947F3B" w:rsidRPr="00CE091F">
        <w:t>0.5</w:t>
      </w:r>
      <w:r w:rsidRPr="00CE091F">
        <w:t xml:space="preserve"> per cent of GDP </w:t>
      </w:r>
      <w:r w:rsidRPr="00CE091F">
        <w:rPr>
          <w:szCs w:val="19"/>
        </w:rPr>
        <w:t>(Chart </w:t>
      </w:r>
      <w:r w:rsidR="009F1F00" w:rsidRPr="00CE091F">
        <w:rPr>
          <w:szCs w:val="19"/>
        </w:rPr>
        <w:t>7.</w:t>
      </w:r>
      <w:r w:rsidRPr="00CE091F">
        <w:rPr>
          <w:szCs w:val="19"/>
        </w:rPr>
        <w:t>7)</w:t>
      </w:r>
      <w:r w:rsidRPr="00CE091F">
        <w:t>. The underlying cash balance was $</w:t>
      </w:r>
      <w:r w:rsidR="00B01FE7" w:rsidRPr="00CE091F">
        <w:t>29.7</w:t>
      </w:r>
      <w:r w:rsidRPr="00CE091F">
        <w:t xml:space="preserve"> billion </w:t>
      </w:r>
      <w:r w:rsidR="0037490E" w:rsidRPr="00CE091F">
        <w:t xml:space="preserve">higher </w:t>
      </w:r>
      <w:r w:rsidRPr="00CE091F">
        <w:t xml:space="preserve">than forecast. </w:t>
      </w:r>
      <w:r w:rsidR="000D75C3" w:rsidRPr="00CE091F">
        <w:t xml:space="preserve">The </w:t>
      </w:r>
      <w:r w:rsidR="00880BB6" w:rsidRPr="00CE091F">
        <w:t>better</w:t>
      </w:r>
      <w:r w:rsidR="00E23819">
        <w:noBreakHyphen/>
      </w:r>
      <w:r w:rsidR="00880BB6" w:rsidRPr="00CE091F">
        <w:t>than expected underlying cash balance outcome in 202</w:t>
      </w:r>
      <w:r w:rsidR="00C16434" w:rsidRPr="00CE091F">
        <w:t>3</w:t>
      </w:r>
      <w:r w:rsidR="00383B16" w:rsidRPr="00CE091F">
        <w:t>–</w:t>
      </w:r>
      <w:r w:rsidR="00880BB6" w:rsidRPr="00CE091F">
        <w:t>2</w:t>
      </w:r>
      <w:r w:rsidR="00C16434" w:rsidRPr="00CE091F">
        <w:t>4</w:t>
      </w:r>
      <w:r w:rsidR="00880BB6" w:rsidRPr="00CE091F">
        <w:t xml:space="preserve"> largely reflected higher</w:t>
      </w:r>
      <w:r w:rsidR="00E23819">
        <w:noBreakHyphen/>
      </w:r>
      <w:r w:rsidR="00880BB6" w:rsidRPr="00CE091F">
        <w:t>than</w:t>
      </w:r>
      <w:r w:rsidR="00E23819">
        <w:noBreakHyphen/>
      </w:r>
      <w:r w:rsidR="00880BB6" w:rsidRPr="00CE091F">
        <w:t>expected receipts</w:t>
      </w:r>
      <w:r w:rsidR="005223AD" w:rsidRPr="00CE091F">
        <w:t xml:space="preserve"> (</w:t>
      </w:r>
      <w:r w:rsidR="009B66BD" w:rsidRPr="00CE091F">
        <w:t>$20.</w:t>
      </w:r>
      <w:r w:rsidR="009B66BD" w:rsidRPr="00885C7A">
        <w:t>4</w:t>
      </w:r>
      <w:r w:rsidR="00885C7A">
        <w:t> </w:t>
      </w:r>
      <w:r w:rsidR="009B66BD" w:rsidRPr="00885C7A">
        <w:t>billion</w:t>
      </w:r>
      <w:r w:rsidR="009B66BD" w:rsidRPr="00CE091F">
        <w:t>) and lower</w:t>
      </w:r>
      <w:r w:rsidR="00E23819">
        <w:noBreakHyphen/>
      </w:r>
      <w:r w:rsidR="009B66BD" w:rsidRPr="00CE091F">
        <w:t>than</w:t>
      </w:r>
      <w:r w:rsidR="00E23819">
        <w:noBreakHyphen/>
      </w:r>
      <w:r w:rsidR="009B66BD" w:rsidRPr="00CE091F">
        <w:t>expected payments ($9.3</w:t>
      </w:r>
      <w:r w:rsidR="00DE5521" w:rsidRPr="00CE091F">
        <w:t> </w:t>
      </w:r>
      <w:r w:rsidR="009B66BD" w:rsidRPr="00CE091F">
        <w:t>billion)</w:t>
      </w:r>
      <w:r w:rsidR="0003055A" w:rsidRPr="00CE091F">
        <w:t>.</w:t>
      </w:r>
    </w:p>
    <w:p w14:paraId="16314D3E" w14:textId="3D5D4233" w:rsidR="00397CED" w:rsidRPr="00CE091F" w:rsidRDefault="00397CED" w:rsidP="00397CED">
      <w:pPr>
        <w:pStyle w:val="ChartHeading"/>
      </w:pPr>
      <w:bookmarkStart w:id="33" w:name="_Toc116037826"/>
      <w:r w:rsidRPr="00CE091F">
        <w:lastRenderedPageBreak/>
        <w:t xml:space="preserve">Chart </w:t>
      </w:r>
      <w:r w:rsidR="009F1F00" w:rsidRPr="00CE091F">
        <w:t>7.</w:t>
      </w:r>
      <w:r w:rsidRPr="00CE091F">
        <w:t>7: Comparison of forecasts and outcomes for underlying cash balance</w:t>
      </w:r>
      <w:bookmarkEnd w:id="33"/>
      <w:r w:rsidRPr="00CE091F">
        <w:t xml:space="preserve"> </w:t>
      </w:r>
    </w:p>
    <w:p w14:paraId="7C6D08C1" w14:textId="22654397" w:rsidR="00397CED" w:rsidRPr="00CE091F" w:rsidRDefault="00893EC2" w:rsidP="00B244F3">
      <w:pPr>
        <w:pStyle w:val="ChartGraphic"/>
      </w:pPr>
      <w:bookmarkStart w:id="34" w:name="_1802180845"/>
      <w:bookmarkStart w:id="35" w:name="_1803203706"/>
      <w:bookmarkStart w:id="36" w:name="_1803717665"/>
      <w:bookmarkStart w:id="37" w:name="_1803798183"/>
      <w:bookmarkStart w:id="38" w:name="_1803983701"/>
      <w:bookmarkEnd w:id="34"/>
      <w:bookmarkEnd w:id="35"/>
      <w:bookmarkEnd w:id="36"/>
      <w:bookmarkEnd w:id="37"/>
      <w:bookmarkEnd w:id="38"/>
      <w:r>
        <w:pict w14:anchorId="207422BC">
          <v:shape id="_x0000_i1031" type="#_x0000_t75" alt="This chart shows the Budget year forecasts for the underlying cash balance and the Final Budget Outcome (FBO) from 2003-04 to 2023-24. Throughout this period forecasts have both under and overestimated the underlying cash balance. In particular, forecasts underestimated the underlying cash balance in the early 2000s and since the COVID-19 pandemic, and overestimated the underlying cash balance in the early 2010s. The underlying cash surplus was 0.6 per cent of GDP in 2023-24 rather than the forecast deficit of 0.5 per cent of GDP." style="width:369pt;height:192.75pt">
            <v:imagedata r:id="rId24" o:title=""/>
          </v:shape>
        </w:pict>
      </w:r>
    </w:p>
    <w:p w14:paraId="7DF5CE05"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59ED8409" w14:textId="77777777" w:rsidR="00397CED" w:rsidRPr="00CE091F" w:rsidRDefault="00397CED" w:rsidP="00397CED">
      <w:pPr>
        <w:pStyle w:val="ChartLine"/>
      </w:pPr>
    </w:p>
    <w:p w14:paraId="0BE5A51E" w14:textId="42ED008A" w:rsidR="00EC202A" w:rsidRPr="00CE091F" w:rsidRDefault="001102A1" w:rsidP="00397CED">
      <w:r w:rsidRPr="00CE091F">
        <w:t>In the past two decades, outside major downturns, t</w:t>
      </w:r>
      <w:r w:rsidR="00753840" w:rsidRPr="00CE091F">
        <w:t>he underlying cash balance forecast error largely reflect</w:t>
      </w:r>
      <w:r w:rsidR="004B61DE" w:rsidRPr="00CE091F">
        <w:t>ed</w:t>
      </w:r>
      <w:r w:rsidR="00753840" w:rsidRPr="00CE091F">
        <w:t xml:space="preserve"> forecast errors of total receipts (Chart 7</w:t>
      </w:r>
      <w:r w:rsidR="00EC202A" w:rsidRPr="00CE091F">
        <w:t>.8</w:t>
      </w:r>
      <w:r w:rsidR="00753840" w:rsidRPr="00CE091F">
        <w:t xml:space="preserve">). </w:t>
      </w:r>
      <w:bookmarkStart w:id="39" w:name="_Toc99026273"/>
      <w:bookmarkStart w:id="40" w:name="_Toc116037828"/>
      <w:bookmarkStart w:id="41" w:name="_Toc116037698"/>
      <w:bookmarkStart w:id="42" w:name="_Toc116040760"/>
    </w:p>
    <w:p w14:paraId="0F2AD5B6" w14:textId="1A7735E3" w:rsidR="00397CED" w:rsidRPr="00CE091F" w:rsidRDefault="00397CED" w:rsidP="00397CED">
      <w:r w:rsidRPr="00CE091F">
        <w:t xml:space="preserve">Large forecast errors for payments in 2008–09 and 2019–20 reflected unexpected Government payment assistance during the Global Financial Crisis and COVID–19. Overestimates of receipts tend to coincide with underestimates of payments during economic shocks, magnifying underlying cash balance forecast errors. </w:t>
      </w:r>
    </w:p>
    <w:p w14:paraId="6DDF4AEC" w14:textId="6E9288CE" w:rsidR="00397CED" w:rsidRPr="00CE091F" w:rsidRDefault="00397CED" w:rsidP="00397CED">
      <w:pPr>
        <w:pStyle w:val="ChartHeading"/>
        <w:rPr>
          <w:rFonts w:eastAsiaTheme="minorHAnsi"/>
        </w:rPr>
      </w:pPr>
      <w:bookmarkStart w:id="43" w:name="_Toc116037827"/>
      <w:r w:rsidRPr="00CE091F">
        <w:rPr>
          <w:rFonts w:eastAsiaTheme="minorHAnsi"/>
        </w:rPr>
        <w:t xml:space="preserve">Chart </w:t>
      </w:r>
      <w:r w:rsidR="009F1F00" w:rsidRPr="00CE091F">
        <w:rPr>
          <w:rFonts w:eastAsiaTheme="minorHAnsi"/>
        </w:rPr>
        <w:t>7.</w:t>
      </w:r>
      <w:r w:rsidRPr="00CE091F">
        <w:rPr>
          <w:rFonts w:eastAsiaTheme="minorHAnsi"/>
        </w:rPr>
        <w:t>8: Total</w:t>
      </w:r>
      <w:r w:rsidRPr="00CE091F" w:rsidDel="00E044E3">
        <w:rPr>
          <w:rFonts w:eastAsiaTheme="minorHAnsi"/>
        </w:rPr>
        <w:t xml:space="preserve"> r</w:t>
      </w:r>
      <w:r w:rsidRPr="00CE091F">
        <w:rPr>
          <w:rFonts w:eastAsiaTheme="minorHAnsi"/>
        </w:rPr>
        <w:t>eceipts, payments, and underlying cash balance forecast error</w:t>
      </w:r>
      <w:bookmarkEnd w:id="43"/>
      <w:r w:rsidRPr="00CE091F">
        <w:rPr>
          <w:rFonts w:eastAsiaTheme="minorHAnsi"/>
        </w:rPr>
        <w:t>s</w:t>
      </w:r>
    </w:p>
    <w:p w14:paraId="7BA68166" w14:textId="6A19D6CD" w:rsidR="00397CED" w:rsidRPr="00CE091F" w:rsidRDefault="00893EC2" w:rsidP="00397CED">
      <w:pPr>
        <w:pStyle w:val="ChartandTableFootnote"/>
        <w:rPr>
          <w:color w:val="auto"/>
        </w:rPr>
      </w:pPr>
      <w:bookmarkStart w:id="44" w:name="_1744535406"/>
      <w:bookmarkStart w:id="45" w:name="_1802180847"/>
      <w:bookmarkStart w:id="46" w:name="_1803203708"/>
      <w:bookmarkStart w:id="47" w:name="_1803717667"/>
      <w:bookmarkStart w:id="48" w:name="_1803798185"/>
      <w:bookmarkStart w:id="49" w:name="_1803983703"/>
      <w:bookmarkEnd w:id="44"/>
      <w:bookmarkEnd w:id="45"/>
      <w:bookmarkEnd w:id="46"/>
      <w:bookmarkEnd w:id="47"/>
      <w:bookmarkEnd w:id="48"/>
      <w:bookmarkEnd w:id="49"/>
      <w:r>
        <w:rPr>
          <w:color w:val="auto"/>
        </w:rPr>
        <w:pict w14:anchorId="5A8637DC">
          <v:shape id="_x0000_i1032" type="#_x0000_t75" alt="This chart shows the contribution of forecast errors in total receipts and payments to the forecast errors of the underlying cash balance. Outside major downturns, forecast errors for the underlying cash balance largely reflect forecast errors in total receipts. However there are large forecast errors for payments in 2008-09 during the Global Financial Crisis and 2019-20 during the COVID-19 pandemic. Overestimates in receipts tend to coincide with underestimates in payments during these shocks, which increases underlying cash balance forecast errors." style="width:369.75pt;height:219.75pt">
            <v:imagedata r:id="rId25" o:title=""/>
          </v:shape>
        </w:pict>
      </w:r>
      <w:r w:rsidR="73C77224" w:rsidRPr="00CE091F" w:rsidDel="007B366C">
        <w:rPr>
          <w:color w:val="auto"/>
        </w:rPr>
        <w:t xml:space="preserve"> </w:t>
      </w:r>
    </w:p>
    <w:p w14:paraId="4D714EB8" w14:textId="698864C4" w:rsidR="007B366C" w:rsidRPr="00B761B8" w:rsidRDefault="007B366C" w:rsidP="007B366C">
      <w:pPr>
        <w:pStyle w:val="ChartandTableFootnote"/>
        <w:rPr>
          <w:color w:val="auto"/>
        </w:rPr>
      </w:pPr>
      <w:r w:rsidRPr="00CE091F">
        <w:rPr>
          <w:color w:val="auto"/>
        </w:rPr>
        <w:t xml:space="preserve">Source: </w:t>
      </w:r>
      <w:r w:rsidRPr="00CE091F">
        <w:rPr>
          <w:color w:val="auto"/>
        </w:rPr>
        <w:tab/>
        <w:t xml:space="preserve">Budget papers and Treasury. </w:t>
      </w:r>
    </w:p>
    <w:p w14:paraId="33ACBA96" w14:textId="09FA7C8A" w:rsidR="00397CED" w:rsidRPr="00CE091F" w:rsidRDefault="00397CED" w:rsidP="00DA6CB2">
      <w:pPr>
        <w:pStyle w:val="Heading2"/>
      </w:pPr>
      <w:bookmarkStart w:id="50" w:name="_Toc193529666"/>
      <w:r w:rsidRPr="00CE091F">
        <w:lastRenderedPageBreak/>
        <w:t>Assessing forecast uncertainty – confidence interval analysis</w:t>
      </w:r>
      <w:bookmarkEnd w:id="39"/>
      <w:bookmarkEnd w:id="40"/>
      <w:bookmarkEnd w:id="41"/>
      <w:bookmarkEnd w:id="42"/>
      <w:bookmarkEnd w:id="50"/>
    </w:p>
    <w:p w14:paraId="047EDB19" w14:textId="33BC0327" w:rsidR="00397CED" w:rsidRPr="00CE091F" w:rsidRDefault="00397CED" w:rsidP="00397CED">
      <w:pPr>
        <w:keepNext/>
        <w:keepLines/>
      </w:pPr>
      <w:r w:rsidRPr="00CE091F">
        <w:t>Confidence intervals illustrate the uncertainty around current forecasts based on the historical distribution of forecast errors. Confidence interval analysis assumes that future forecast errors are consistent with the distribution of past forecast errors</w:t>
      </w:r>
      <w:r w:rsidR="00750180">
        <w:t>.</w:t>
      </w:r>
      <w:r w:rsidRPr="00CE091F">
        <w:rPr>
          <w:vertAlign w:val="superscript"/>
        </w:rPr>
        <w:footnoteReference w:id="2"/>
      </w:r>
      <w:r w:rsidRPr="00CE091F">
        <w:t xml:space="preserve"> Based on past forecasting performance, there is a 70 and 90 per cent probability that the actual outcome will lie within the 70 and 90 per cent confidence interval bands.</w:t>
      </w:r>
    </w:p>
    <w:p w14:paraId="11A7EFF4" w14:textId="46D8E5F3" w:rsidR="00397CED" w:rsidRPr="008541FB" w:rsidRDefault="00397CED" w:rsidP="00397CED">
      <w:r w:rsidRPr="00CE091F">
        <w:t xml:space="preserve">Future forecast errors may not have the same distribution as historical forecast errors. </w:t>
      </w:r>
      <w:r w:rsidRPr="00CE091F" w:rsidDel="00F644F5">
        <w:t xml:space="preserve">The large forecast errors </w:t>
      </w:r>
      <w:r w:rsidRPr="00CE091F">
        <w:t>in </w:t>
      </w:r>
      <w:r w:rsidRPr="00CE091F" w:rsidDel="00F644F5">
        <w:t>2019</w:t>
      </w:r>
      <w:r w:rsidRPr="00CE091F">
        <w:t>–</w:t>
      </w:r>
      <w:r w:rsidRPr="00CE091F" w:rsidDel="00F644F5">
        <w:t>20</w:t>
      </w:r>
      <w:r w:rsidRPr="00CE091F">
        <w:t xml:space="preserve"> and 2020–21,</w:t>
      </w:r>
      <w:r w:rsidRPr="00CE091F" w:rsidDel="00F644F5">
        <w:t xml:space="preserve"> </w:t>
      </w:r>
      <w:r w:rsidRPr="00CE091F">
        <w:t xml:space="preserve">related </w:t>
      </w:r>
      <w:r w:rsidRPr="00CE091F" w:rsidDel="00F644F5">
        <w:t xml:space="preserve">to </w:t>
      </w:r>
      <w:r w:rsidRPr="00CE091F">
        <w:t>the</w:t>
      </w:r>
      <w:r w:rsidRPr="00CE091F" w:rsidDel="00F644F5">
        <w:t xml:space="preserve"> </w:t>
      </w:r>
      <w:r w:rsidRPr="00CE091F">
        <w:t>COVID–19 pandemic,</w:t>
      </w:r>
      <w:r w:rsidRPr="00CE091F" w:rsidDel="00F644F5">
        <w:t xml:space="preserve"> are </w:t>
      </w:r>
      <w:r w:rsidRPr="00CE091F">
        <w:t xml:space="preserve">an example of events not previously captured in the historical error sample. Large disruptive events are difficult to predict and could occur again in the future. </w:t>
      </w:r>
      <w:bookmarkStart w:id="51" w:name="_Toc99026274"/>
      <w:bookmarkStart w:id="52" w:name="_Toc116037829"/>
      <w:bookmarkStart w:id="53" w:name="_Toc116037699"/>
      <w:bookmarkStart w:id="54" w:name="_Toc116040761"/>
    </w:p>
    <w:p w14:paraId="75917373" w14:textId="77777777" w:rsidR="001714AE" w:rsidRDefault="001714AE">
      <w:pPr>
        <w:spacing w:before="0" w:after="160" w:line="259" w:lineRule="auto"/>
        <w:rPr>
          <w:rFonts w:ascii="Arial Bold" w:hAnsi="Arial Bold"/>
          <w:b/>
          <w:sz w:val="22"/>
        </w:rPr>
      </w:pPr>
      <w:r>
        <w:br w:type="page"/>
      </w:r>
    </w:p>
    <w:p w14:paraId="72AD1B03" w14:textId="5B6B84F7" w:rsidR="00397CED" w:rsidRPr="00CE091F" w:rsidRDefault="00397CED" w:rsidP="00397CED">
      <w:pPr>
        <w:pStyle w:val="Heading3"/>
      </w:pPr>
      <w:bookmarkStart w:id="55" w:name="_Toc193529667"/>
      <w:r w:rsidRPr="00CE091F">
        <w:lastRenderedPageBreak/>
        <w:t>Economic uncertainty based on historical forecast errors</w:t>
      </w:r>
      <w:bookmarkEnd w:id="51"/>
      <w:bookmarkEnd w:id="52"/>
      <w:bookmarkEnd w:id="53"/>
      <w:bookmarkEnd w:id="54"/>
      <w:bookmarkEnd w:id="55"/>
    </w:p>
    <w:p w14:paraId="657C5BE4" w14:textId="79F16BDA" w:rsidR="00397CED" w:rsidRPr="00CE091F" w:rsidRDefault="00E0317E" w:rsidP="001714AE">
      <w:pPr>
        <w:rPr>
          <w:rFonts w:ascii="Arial" w:hAnsi="Arial"/>
          <w:b/>
          <w:sz w:val="20"/>
        </w:rPr>
      </w:pPr>
      <w:r w:rsidRPr="00CE091F">
        <w:t xml:space="preserve">Average annualised growth in real GDP in the three years to 2026–27 is expected to be around </w:t>
      </w:r>
      <w:r w:rsidRPr="00CE091F" w:rsidDel="00C851EA">
        <w:t>2</w:t>
      </w:r>
      <w:r w:rsidRPr="00CE091F">
        <w:t> per cent. The 70 per cent confidence interval ranges from 1</w:t>
      </w:r>
      <w:r w:rsidR="00CB4BAC" w:rsidRPr="00EC428E">
        <w:rPr>
          <w:rFonts w:asciiTheme="minorHAnsi" w:hAnsiTheme="minorHAnsi" w:cs="Fira Code"/>
        </w:rPr>
        <w:t>¼</w:t>
      </w:r>
      <w:r w:rsidRPr="00CE091F">
        <w:t> per cent to 2¾</w:t>
      </w:r>
      <w:r w:rsidRPr="00CE091F" w:rsidDel="000937B2">
        <w:t> </w:t>
      </w:r>
      <w:r w:rsidRPr="00CE091F">
        <w:t>per cent. The 90 per cent confidence interval ranges from 1 per cent to 3</w:t>
      </w:r>
      <w:r w:rsidRPr="00CE091F" w:rsidDel="00C851EA">
        <w:t> </w:t>
      </w:r>
      <w:r w:rsidRPr="00CE091F">
        <w:t>per cent (Chart 7.9).</w:t>
      </w:r>
    </w:p>
    <w:p w14:paraId="6EDE298B" w14:textId="6785B519" w:rsidR="00397CED" w:rsidRPr="00CE091F" w:rsidRDefault="00397CED" w:rsidP="00397CED">
      <w:pPr>
        <w:pStyle w:val="ChartHeading"/>
      </w:pPr>
      <w:r w:rsidRPr="00CE091F">
        <w:t xml:space="preserve">Chart </w:t>
      </w:r>
      <w:r w:rsidR="009F1F00" w:rsidRPr="00CE091F">
        <w:t>7.</w:t>
      </w:r>
      <w:r w:rsidRPr="00CE091F">
        <w:t>9: Confidence intervals around real GDP growth rate forecasts</w:t>
      </w:r>
    </w:p>
    <w:p w14:paraId="5BECB307" w14:textId="2C230792" w:rsidR="00397CED" w:rsidRPr="00CE091F" w:rsidRDefault="00893EC2" w:rsidP="006A6AB3">
      <w:pPr>
        <w:pStyle w:val="ChartGraphic"/>
      </w:pPr>
      <w:bookmarkStart w:id="56" w:name="_1803886772"/>
      <w:bookmarkEnd w:id="56"/>
      <w:r>
        <w:rPr>
          <w:noProof/>
        </w:rPr>
        <w:pict w14:anchorId="46D9C9E4">
          <v:shape id="_x0000_i1033" type="#_x0000_t75" alt="This chart shows confidence intervals around the Budget forecast for average annualised real GDP growth.&#10;&#10;The Budget forecast for average annualised real GDP growth in the three years to 2026-27 is expected to be around 2 per cent, with the 70 per cent confidence interval ranging from 1 1/4 to 2 3/4 per cent, and the 90 per cent confidence interval ranging from 1 to 3 per cent." style="width:5in;height:202.5pt">
            <v:imagedata r:id="rId26" o:title=""/>
          </v:shape>
        </w:pict>
      </w:r>
    </w:p>
    <w:p w14:paraId="229D055C" w14:textId="2AC76453" w:rsidR="00397CED" w:rsidRPr="00CE091F" w:rsidRDefault="00397CED" w:rsidP="00397CED">
      <w:pPr>
        <w:pStyle w:val="ChartandTableFootnote"/>
        <w:rPr>
          <w:color w:val="auto"/>
        </w:rPr>
      </w:pPr>
      <w:r w:rsidRPr="00CE091F">
        <w:rPr>
          <w:color w:val="auto"/>
        </w:rPr>
        <w:t xml:space="preserve">Note: </w:t>
      </w:r>
      <w:r w:rsidRPr="00CE091F">
        <w:rPr>
          <w:color w:val="auto"/>
        </w:rPr>
        <w:tab/>
        <w:t>The</w:t>
      </w:r>
      <w:r w:rsidRPr="00CE091F" w:rsidDel="00DC514F">
        <w:rPr>
          <w:color w:val="auto"/>
        </w:rPr>
        <w:t xml:space="preserve"> </w:t>
      </w:r>
      <w:r w:rsidRPr="00CE091F">
        <w:rPr>
          <w:color w:val="auto"/>
        </w:rPr>
        <w:t>line shows the outcomes and the 202</w:t>
      </w:r>
      <w:r w:rsidR="00D963AB" w:rsidRPr="00CE091F">
        <w:rPr>
          <w:color w:val="auto"/>
        </w:rPr>
        <w:t>5</w:t>
      </w:r>
      <w:r w:rsidRPr="00CE091F">
        <w:rPr>
          <w:color w:val="auto"/>
        </w:rPr>
        <w:t>–2</w:t>
      </w:r>
      <w:r w:rsidR="00D963AB" w:rsidRPr="00CE091F">
        <w:rPr>
          <w:color w:val="auto"/>
        </w:rPr>
        <w:t>6</w:t>
      </w:r>
      <w:r w:rsidRPr="00CE091F">
        <w:rPr>
          <w:color w:val="auto"/>
        </w:rPr>
        <w:t> Budget forecasts. Annual growth rates are reported for the outcomes. Average annualised growth rates from 20</w:t>
      </w:r>
      <w:r w:rsidR="00D963AB" w:rsidRPr="00CE091F">
        <w:rPr>
          <w:color w:val="auto"/>
        </w:rPr>
        <w:t>23</w:t>
      </w:r>
      <w:r w:rsidRPr="00CE091F">
        <w:rPr>
          <w:color w:val="auto"/>
        </w:rPr>
        <w:t>–</w:t>
      </w:r>
      <w:r w:rsidRPr="00CE091F" w:rsidDel="00D80297">
        <w:rPr>
          <w:color w:val="auto"/>
        </w:rPr>
        <w:t>2</w:t>
      </w:r>
      <w:r w:rsidR="00D963AB" w:rsidRPr="00CE091F">
        <w:rPr>
          <w:color w:val="auto"/>
        </w:rPr>
        <w:t>4</w:t>
      </w:r>
      <w:r w:rsidRPr="00CE091F">
        <w:rPr>
          <w:color w:val="auto"/>
        </w:rPr>
        <w:t xml:space="preserve"> are reported for 202</w:t>
      </w:r>
      <w:r w:rsidR="00D963AB" w:rsidRPr="00CE091F">
        <w:rPr>
          <w:color w:val="auto"/>
        </w:rPr>
        <w:t>4</w:t>
      </w:r>
      <w:r w:rsidRPr="00CE091F">
        <w:rPr>
          <w:color w:val="auto"/>
        </w:rPr>
        <w:t>–2</w:t>
      </w:r>
      <w:r w:rsidR="00D963AB" w:rsidRPr="00CE091F">
        <w:rPr>
          <w:color w:val="auto"/>
        </w:rPr>
        <w:t>5</w:t>
      </w:r>
      <w:r w:rsidRPr="00CE091F">
        <w:rPr>
          <w:color w:val="auto"/>
        </w:rPr>
        <w:t xml:space="preserve"> onwards. Confidence intervals are based on the root mean squared errors (RMSEs) of Budget forecasts from 1998–99 onwards and are a statistical assessment that does not take account of any change in circumstance in the economic outlook. (f) are forecasts.</w:t>
      </w:r>
    </w:p>
    <w:p w14:paraId="7CE370E3" w14:textId="77777777" w:rsidR="00397CED" w:rsidRPr="00CE091F" w:rsidRDefault="00397CED" w:rsidP="00397CED">
      <w:pPr>
        <w:pStyle w:val="ChartandTableFootnote"/>
        <w:rPr>
          <w:color w:val="auto"/>
        </w:rPr>
      </w:pPr>
      <w:r w:rsidRPr="00CE091F">
        <w:rPr>
          <w:color w:val="auto"/>
        </w:rPr>
        <w:t>Source:</w:t>
      </w:r>
      <w:r w:rsidRPr="00CE091F">
        <w:rPr>
          <w:color w:val="auto"/>
        </w:rPr>
        <w:tab/>
        <w:t>ABS Australian National Accounts: National Income, Expenditure and Product and Treasury.</w:t>
      </w:r>
    </w:p>
    <w:p w14:paraId="3C6EA5D5" w14:textId="77777777" w:rsidR="00397CED" w:rsidRPr="00CE091F" w:rsidRDefault="00397CED" w:rsidP="00397CED">
      <w:pPr>
        <w:pStyle w:val="ChartLine"/>
      </w:pPr>
    </w:p>
    <w:p w14:paraId="706515D9" w14:textId="77777777" w:rsidR="00591E50" w:rsidRDefault="00591E50">
      <w:pPr>
        <w:spacing w:before="0" w:after="160" w:line="259" w:lineRule="auto"/>
      </w:pPr>
      <w:r>
        <w:br w:type="page"/>
      </w:r>
    </w:p>
    <w:p w14:paraId="7BDCAF79" w14:textId="4C3CD791" w:rsidR="00397CED" w:rsidRPr="00CE091F" w:rsidRDefault="00397CED" w:rsidP="00397CED">
      <w:r w:rsidRPr="00CE091F">
        <w:lastRenderedPageBreak/>
        <w:t>The confidence intervals around the nominal GDP forecasts are wider than those around the real GDP forecasts, reflecting the additional uncertainty around domestic prices and commodity prices. Average annualised growth in nominal GDP in the three years to</w:t>
      </w:r>
      <w:r w:rsidR="002C09C2">
        <w:t xml:space="preserve"> </w:t>
      </w:r>
      <w:r w:rsidR="002C09C2">
        <w:br/>
      </w:r>
      <w:r w:rsidR="00BF0FCB" w:rsidRPr="00CE091F">
        <w:t>202</w:t>
      </w:r>
      <w:r w:rsidR="00591E50">
        <w:t>6</w:t>
      </w:r>
      <w:r w:rsidR="00BF0FCB" w:rsidRPr="00CE091F">
        <w:rPr>
          <w:rFonts w:ascii="Times New Roman" w:hAnsi="Times New Roman"/>
        </w:rPr>
        <w:t>–</w:t>
      </w:r>
      <w:r w:rsidR="00BF0FCB" w:rsidRPr="00CE091F">
        <w:t>2</w:t>
      </w:r>
      <w:r w:rsidR="00591E50">
        <w:t>7</w:t>
      </w:r>
      <w:r w:rsidRPr="00CE091F">
        <w:t xml:space="preserve"> is expected to be around </w:t>
      </w:r>
      <w:r w:rsidR="00BF0FCB" w:rsidRPr="00CE091F">
        <w:t>3¾ </w:t>
      </w:r>
      <w:r w:rsidRPr="00CE091F">
        <w:t xml:space="preserve">per cent, with the 70 per cent confidence interval ranging from </w:t>
      </w:r>
      <w:r w:rsidR="00C56846" w:rsidRPr="00CE091F">
        <w:t xml:space="preserve">1½ </w:t>
      </w:r>
      <w:r w:rsidRPr="00CE091F">
        <w:t xml:space="preserve">per cent to </w:t>
      </w:r>
      <w:r w:rsidR="00BF0FCB" w:rsidRPr="00CE091F">
        <w:t>6</w:t>
      </w:r>
      <w:r w:rsidRPr="00CE091F">
        <w:t xml:space="preserve"> per cent. The 90 per cent confidence interval ranges from </w:t>
      </w:r>
      <w:r w:rsidR="00AF0937">
        <w:t>zero</w:t>
      </w:r>
      <w:r w:rsidRPr="00CE091F">
        <w:t xml:space="preserve"> to </w:t>
      </w:r>
      <w:r w:rsidR="00C56846" w:rsidRPr="00CE091F">
        <w:t xml:space="preserve">7½ </w:t>
      </w:r>
      <w:r w:rsidRPr="00CE091F">
        <w:t>per cent (Chart </w:t>
      </w:r>
      <w:r w:rsidR="009F1F00" w:rsidRPr="00CE091F">
        <w:t>7.</w:t>
      </w:r>
      <w:r w:rsidRPr="00CE091F">
        <w:t>10).</w:t>
      </w:r>
    </w:p>
    <w:p w14:paraId="5C449FA7" w14:textId="75AF3B76" w:rsidR="00397CED" w:rsidRPr="00CE091F" w:rsidRDefault="00397CED" w:rsidP="00397CED">
      <w:pPr>
        <w:pStyle w:val="ChartHeading"/>
      </w:pPr>
      <w:r w:rsidRPr="00CE091F">
        <w:t xml:space="preserve">Chart </w:t>
      </w:r>
      <w:r w:rsidR="009F1F00" w:rsidRPr="00CE091F">
        <w:t>7.</w:t>
      </w:r>
      <w:r w:rsidRPr="00CE091F">
        <w:t xml:space="preserve">10: Confidence intervals around nominal GDP growth rate forecasts </w:t>
      </w:r>
    </w:p>
    <w:p w14:paraId="4FADBCAF" w14:textId="0A322ED7" w:rsidR="00397CED" w:rsidRPr="00CE091F" w:rsidRDefault="00893EC2" w:rsidP="00886B1D">
      <w:pPr>
        <w:pStyle w:val="ChartGraphic"/>
      </w:pPr>
      <w:bookmarkStart w:id="57" w:name="_1803886089"/>
      <w:bookmarkEnd w:id="57"/>
      <w:r>
        <w:rPr>
          <w:noProof/>
        </w:rPr>
        <w:pict w14:anchorId="6C1F5CA6">
          <v:shape id="_x0000_i1034" type="#_x0000_t75" alt="This chart shows the confidence intervals around the Budget forecast for average annualised nominal GDP growth. The Budget forecast for average annualised nominal GDP growth in the three years to 2026-27 is expected to be around 3 3/4 per cent, with the 70 per cent confidence interval ranging from 1 1/2 per cent  to 6 per cent, and the 90 per cent confidence interval ranging from 0 per cent to 7 1/2 per cent." style="width:362.25pt;height:195pt">
            <v:imagedata r:id="rId27" o:title=""/>
          </v:shape>
        </w:pict>
      </w:r>
    </w:p>
    <w:p w14:paraId="572C5872" w14:textId="49E7CE26" w:rsidR="00397CED" w:rsidRPr="00CE091F" w:rsidRDefault="00397CED" w:rsidP="00397CED">
      <w:pPr>
        <w:pStyle w:val="ChartandTableFootnote"/>
        <w:rPr>
          <w:color w:val="auto"/>
        </w:rPr>
      </w:pPr>
      <w:r w:rsidRPr="00CE091F">
        <w:rPr>
          <w:color w:val="auto"/>
        </w:rPr>
        <w:t xml:space="preserve">Note: </w:t>
      </w:r>
      <w:r w:rsidRPr="00CE091F">
        <w:rPr>
          <w:color w:val="auto"/>
        </w:rPr>
        <w:tab/>
        <w:t>The</w:t>
      </w:r>
      <w:r w:rsidRPr="00CE091F" w:rsidDel="00DC514F">
        <w:rPr>
          <w:color w:val="auto"/>
        </w:rPr>
        <w:t xml:space="preserve"> </w:t>
      </w:r>
      <w:r w:rsidRPr="00CE091F">
        <w:rPr>
          <w:color w:val="auto"/>
        </w:rPr>
        <w:t>line shows the outcomes and the 202</w:t>
      </w:r>
      <w:r w:rsidR="00D963AB" w:rsidRPr="00CE091F">
        <w:rPr>
          <w:color w:val="auto"/>
        </w:rPr>
        <w:t>5</w:t>
      </w:r>
      <w:r w:rsidRPr="00CE091F">
        <w:rPr>
          <w:color w:val="auto"/>
        </w:rPr>
        <w:t>–2</w:t>
      </w:r>
      <w:r w:rsidR="00D963AB" w:rsidRPr="00CE091F">
        <w:rPr>
          <w:color w:val="auto"/>
        </w:rPr>
        <w:t>6</w:t>
      </w:r>
      <w:r w:rsidRPr="00CE091F">
        <w:rPr>
          <w:color w:val="auto"/>
        </w:rPr>
        <w:t> Budget forecasts. Annual growth rates are reported for the outcomes. Average annualised growth rates from 202</w:t>
      </w:r>
      <w:r w:rsidR="00D963AB" w:rsidRPr="00CE091F">
        <w:rPr>
          <w:color w:val="auto"/>
        </w:rPr>
        <w:t>3</w:t>
      </w:r>
      <w:r w:rsidRPr="00CE091F">
        <w:rPr>
          <w:color w:val="auto"/>
        </w:rPr>
        <w:t>–</w:t>
      </w:r>
      <w:r w:rsidRPr="00CE091F" w:rsidDel="00D80297">
        <w:rPr>
          <w:color w:val="auto"/>
        </w:rPr>
        <w:t>2</w:t>
      </w:r>
      <w:r w:rsidR="00D963AB" w:rsidRPr="00CE091F">
        <w:rPr>
          <w:color w:val="auto"/>
        </w:rPr>
        <w:t>4</w:t>
      </w:r>
      <w:r w:rsidRPr="00CE091F">
        <w:rPr>
          <w:color w:val="auto"/>
        </w:rPr>
        <w:t xml:space="preserve"> are reported for 202</w:t>
      </w:r>
      <w:r w:rsidR="00D963AB" w:rsidRPr="00CE091F">
        <w:rPr>
          <w:color w:val="auto"/>
        </w:rPr>
        <w:t>4</w:t>
      </w:r>
      <w:r w:rsidRPr="00CE091F">
        <w:rPr>
          <w:color w:val="auto"/>
        </w:rPr>
        <w:t>–2</w:t>
      </w:r>
      <w:r w:rsidR="00D963AB" w:rsidRPr="00CE091F">
        <w:rPr>
          <w:color w:val="auto"/>
        </w:rPr>
        <w:t>5</w:t>
      </w:r>
      <w:r w:rsidRPr="00CE091F">
        <w:rPr>
          <w:color w:val="auto"/>
        </w:rPr>
        <w:t xml:space="preserve"> onwards. Confidence intervals are based on the root mean squared errors (RMSEs) of Budget forecasts from 1998–99 onwards and are a statistical assessment that does not take account of any change in circumstance in the economic outlook. (f) are forecasts.</w:t>
      </w:r>
    </w:p>
    <w:p w14:paraId="5B49E335" w14:textId="70DFF94A" w:rsidR="00397CED" w:rsidRPr="008541FB" w:rsidRDefault="00397CED" w:rsidP="00397CED">
      <w:pPr>
        <w:pStyle w:val="ChartandTableFootnote"/>
        <w:rPr>
          <w:color w:val="auto"/>
        </w:rPr>
      </w:pPr>
      <w:r w:rsidRPr="00CE091F">
        <w:rPr>
          <w:color w:val="auto"/>
        </w:rPr>
        <w:t xml:space="preserve">Source: </w:t>
      </w:r>
      <w:r w:rsidRPr="00CE091F">
        <w:rPr>
          <w:color w:val="auto"/>
        </w:rPr>
        <w:tab/>
        <w:t>ABS Australian National Accounts: National Income, Expenditure and Product and Treasury.</w:t>
      </w:r>
      <w:r w:rsidRPr="008541FB">
        <w:rPr>
          <w:color w:val="auto"/>
        </w:rPr>
        <w:t xml:space="preserve"> </w:t>
      </w:r>
    </w:p>
    <w:p w14:paraId="3C9E4145" w14:textId="77777777" w:rsidR="00397CED" w:rsidRPr="008541FB" w:rsidRDefault="00397CED" w:rsidP="00397CED">
      <w:pPr>
        <w:pStyle w:val="ChartLine"/>
      </w:pPr>
    </w:p>
    <w:p w14:paraId="1E3AC5D1" w14:textId="77777777" w:rsidR="00397CED" w:rsidRPr="008541FB" w:rsidRDefault="00397CED" w:rsidP="00757423">
      <w:bookmarkStart w:id="58" w:name="_Toc449783849"/>
      <w:bookmarkStart w:id="59" w:name="_Toc3880938"/>
      <w:bookmarkStart w:id="60" w:name="_Toc3881104"/>
      <w:bookmarkStart w:id="61" w:name="_Toc3881281"/>
      <w:bookmarkStart w:id="62" w:name="_Toc52642838"/>
      <w:bookmarkStart w:id="63" w:name="_Toc99026275"/>
      <w:bookmarkStart w:id="64" w:name="_Toc116037830"/>
      <w:bookmarkStart w:id="65" w:name="_Toc116037700"/>
      <w:bookmarkStart w:id="66" w:name="_Toc116040762"/>
      <w:r w:rsidRPr="008541FB">
        <w:br w:type="page"/>
      </w:r>
    </w:p>
    <w:p w14:paraId="4FC39CEB" w14:textId="12736B16" w:rsidR="00397CED" w:rsidRPr="00CE091F" w:rsidRDefault="00397CED" w:rsidP="00397CED">
      <w:pPr>
        <w:pStyle w:val="Heading3"/>
      </w:pPr>
      <w:bookmarkStart w:id="67" w:name="_Toc193529668"/>
      <w:r w:rsidRPr="00CE091F">
        <w:lastRenderedPageBreak/>
        <w:t xml:space="preserve">Fiscal </w:t>
      </w:r>
      <w:bookmarkEnd w:id="58"/>
      <w:bookmarkEnd w:id="59"/>
      <w:bookmarkEnd w:id="60"/>
      <w:bookmarkEnd w:id="61"/>
      <w:bookmarkEnd w:id="62"/>
      <w:r w:rsidRPr="00CE091F">
        <w:t>uncertainty based on historical forecast errors</w:t>
      </w:r>
      <w:bookmarkEnd w:id="63"/>
      <w:bookmarkEnd w:id="64"/>
      <w:bookmarkEnd w:id="65"/>
      <w:bookmarkEnd w:id="66"/>
      <w:bookmarkEnd w:id="67"/>
    </w:p>
    <w:p w14:paraId="1E67D3D7" w14:textId="77777777" w:rsidR="00397CED" w:rsidRPr="00CE091F" w:rsidRDefault="00397CED" w:rsidP="00397CED">
      <w:r w:rsidRPr="00CE091F">
        <w:t xml:space="preserve">Fiscal estimates are based on economic and demographic forecasts as well as estimates </w:t>
      </w:r>
      <w:r w:rsidRPr="00CE091F" w:rsidDel="00102053">
        <w:t xml:space="preserve">of </w:t>
      </w:r>
      <w:r w:rsidRPr="00CE091F">
        <w:t xml:space="preserve">spending and revenue measures. </w:t>
      </w:r>
    </w:p>
    <w:p w14:paraId="1036AB3C" w14:textId="77777777" w:rsidR="00397CED" w:rsidRPr="00CE091F" w:rsidRDefault="00397CED" w:rsidP="00397CED">
      <w:pPr>
        <w:rPr>
          <w:rFonts w:eastAsiaTheme="minorHAnsi"/>
        </w:rPr>
      </w:pPr>
      <w:r w:rsidRPr="00CE091F">
        <w:t xml:space="preserve">Historical variations caused by subsequent policy decisions not known at the time of forecast are excluded because these decisions do not reflect forecasting errors based on available information at the time of preparation. Payment estimates do not exclude the public debt interest associated with these subsequent policy decisions because this cannot be separately identified. </w:t>
      </w:r>
    </w:p>
    <w:p w14:paraId="1C53E541" w14:textId="77777777" w:rsidR="00397CED" w:rsidRPr="00CE091F" w:rsidRDefault="00397CED" w:rsidP="00397CED">
      <w:pPr>
        <w:pStyle w:val="Heading4"/>
        <w:keepNext w:val="0"/>
      </w:pPr>
      <w:r w:rsidRPr="00CE091F">
        <w:t>Total receipts</w:t>
      </w:r>
    </w:p>
    <w:p w14:paraId="598EBAE4" w14:textId="2C81E06F" w:rsidR="00397CED" w:rsidRPr="00CE091F" w:rsidRDefault="00397CED" w:rsidP="00397CED">
      <w:r w:rsidRPr="00CE091F">
        <w:t>Total receipts (including GST)</w:t>
      </w:r>
      <w:r w:rsidRPr="00CE091F">
        <w:rPr>
          <w:rStyle w:val="FootnoteReference"/>
        </w:rPr>
        <w:t xml:space="preserve"> </w:t>
      </w:r>
      <w:r w:rsidRPr="00CE091F">
        <w:t>are expected to be around</w:t>
      </w:r>
      <w:r w:rsidRPr="00CE091F" w:rsidDel="00001CB0">
        <w:t xml:space="preserve"> </w:t>
      </w:r>
      <w:r w:rsidR="00AD6744" w:rsidRPr="00CE091F">
        <w:t>25.5</w:t>
      </w:r>
      <w:r w:rsidRPr="00CE091F">
        <w:t> per cent of GDP in 202</w:t>
      </w:r>
      <w:r w:rsidR="00C60F94" w:rsidRPr="00CE091F">
        <w:t>5</w:t>
      </w:r>
      <w:r w:rsidRPr="00CE091F">
        <w:t>–2</w:t>
      </w:r>
      <w:r w:rsidR="00C60F94" w:rsidRPr="00CE091F">
        <w:t>6</w:t>
      </w:r>
      <w:r w:rsidRPr="00CE091F">
        <w:t>, with the 70 per cent confidence interval ranging from</w:t>
      </w:r>
      <w:r w:rsidR="004B33F5" w:rsidRPr="00CE091F">
        <w:t xml:space="preserve"> 24.0</w:t>
      </w:r>
      <w:r w:rsidRPr="00CE091F">
        <w:t xml:space="preserve"> per cent to </w:t>
      </w:r>
      <w:r w:rsidR="004B33F5" w:rsidRPr="00CE091F">
        <w:t>27.1</w:t>
      </w:r>
      <w:r w:rsidRPr="00CE091F">
        <w:t xml:space="preserve"> per cent of GDP. The 90 per cent confidence interval ranges from </w:t>
      </w:r>
      <w:r w:rsidR="004B33F5" w:rsidRPr="00CE091F">
        <w:t>23.1</w:t>
      </w:r>
      <w:r w:rsidR="00C60F94" w:rsidRPr="00CE091F">
        <w:t xml:space="preserve"> </w:t>
      </w:r>
      <w:r w:rsidRPr="00CE091F">
        <w:t xml:space="preserve">per cent to </w:t>
      </w:r>
      <w:r w:rsidR="004B33F5" w:rsidRPr="00CE091F">
        <w:t>28.0</w:t>
      </w:r>
      <w:r w:rsidRPr="00CE091F">
        <w:t> per cent in 202</w:t>
      </w:r>
      <w:r w:rsidR="00C60F94" w:rsidRPr="00CE091F">
        <w:t>5</w:t>
      </w:r>
      <w:r w:rsidRPr="00CE091F">
        <w:t>–2</w:t>
      </w:r>
      <w:r w:rsidR="00C60F94" w:rsidRPr="00CE091F">
        <w:t>6</w:t>
      </w:r>
      <w:r w:rsidRPr="00CE091F">
        <w:t xml:space="preserve">. </w:t>
      </w:r>
      <w:r w:rsidR="004537EC" w:rsidRPr="00CE091F">
        <w:br/>
      </w:r>
      <w:r w:rsidRPr="00CE091F">
        <w:t>The</w:t>
      </w:r>
      <w:r w:rsidRPr="00CE091F" w:rsidDel="00A00AE8">
        <w:t xml:space="preserve"> </w:t>
      </w:r>
      <w:r w:rsidRPr="00CE091F">
        <w:t>uncertainty around receipts forecasts increases with time (Chart </w:t>
      </w:r>
      <w:r w:rsidR="009F1F00" w:rsidRPr="00CE091F">
        <w:t>7.</w:t>
      </w:r>
      <w:r w:rsidRPr="00CE091F">
        <w:t xml:space="preserve">11). </w:t>
      </w:r>
    </w:p>
    <w:p w14:paraId="53A49338" w14:textId="0D8BC6E3" w:rsidR="00397CED" w:rsidRPr="00CE091F" w:rsidRDefault="00397CED" w:rsidP="00397CED">
      <w:pPr>
        <w:pStyle w:val="ChartHeading"/>
        <w:rPr>
          <w:vertAlign w:val="superscript"/>
        </w:rPr>
      </w:pPr>
      <w:r w:rsidRPr="00CE091F">
        <w:t xml:space="preserve">Chart </w:t>
      </w:r>
      <w:r w:rsidR="009F1F00" w:rsidRPr="00CE091F">
        <w:t>7.</w:t>
      </w:r>
      <w:r w:rsidRPr="00CE091F">
        <w:t>11: Confidence intervals around total receipts forecasts</w:t>
      </w:r>
      <w:r w:rsidRPr="00CE091F">
        <w:rPr>
          <w:vertAlign w:val="superscript"/>
        </w:rPr>
        <w:t>(a)</w:t>
      </w:r>
    </w:p>
    <w:p w14:paraId="6BB0B5BD" w14:textId="0950205C" w:rsidR="00397CED" w:rsidRPr="00CE091F" w:rsidRDefault="00893EC2" w:rsidP="00E80BCE">
      <w:pPr>
        <w:pStyle w:val="ChartGraphic"/>
      </w:pPr>
      <w:bookmarkStart w:id="68" w:name="_1709801136"/>
      <w:bookmarkStart w:id="69" w:name="_1803824866"/>
      <w:bookmarkStart w:id="70" w:name="_1803983709"/>
      <w:bookmarkEnd w:id="68"/>
      <w:bookmarkEnd w:id="69"/>
      <w:bookmarkEnd w:id="70"/>
      <w:r>
        <w:pict w14:anchorId="76DFF893">
          <v:shape id="_x0000_i1035" type="#_x0000_t75" alt="This chart shows the confidence intervals around the Budget forecast for average annualised nominal GDP growth. The Budget forecast for average annualised nominal GDP growth in the three years to 2026-27 is expected to be around 3 3/4 per cent, with the 70 per cent confidence interval ranging from 1 1/2 per cent  to 6 per cent, and the 90 per cent confidence interval ranging from 0 per cent to 7 1/2 per cent." style="width:367.5pt;height:237pt">
            <v:imagedata r:id="rId28" o:title=""/>
          </v:shape>
        </w:pict>
      </w:r>
    </w:p>
    <w:p w14:paraId="7539112A" w14:textId="77777777" w:rsidR="00397CED" w:rsidRPr="00CE091F" w:rsidRDefault="00397CED" w:rsidP="00397CED">
      <w:pPr>
        <w:pStyle w:val="ChartandTableFootnoteAlpha"/>
        <w:numPr>
          <w:ilvl w:val="0"/>
          <w:numId w:val="19"/>
        </w:numPr>
        <w:rPr>
          <w:color w:val="auto"/>
        </w:rPr>
      </w:pPr>
      <w:r w:rsidRPr="00CE091F">
        <w:rPr>
          <w:color w:val="auto"/>
        </w:rPr>
        <w:t>Includes Future Fund earnings from 2020–21 onwards.</w:t>
      </w:r>
    </w:p>
    <w:p w14:paraId="29545BB0" w14:textId="56639B2B" w:rsidR="00397CED" w:rsidRPr="00CE091F" w:rsidRDefault="00397CED" w:rsidP="00397CED">
      <w:pPr>
        <w:pStyle w:val="ChartandTableFootnote"/>
        <w:ind w:right="57"/>
        <w:rPr>
          <w:color w:val="auto"/>
        </w:rPr>
      </w:pPr>
      <w:r w:rsidRPr="00CE091F">
        <w:rPr>
          <w:color w:val="auto"/>
        </w:rPr>
        <w:t xml:space="preserve">Note: </w:t>
      </w:r>
      <w:r w:rsidRPr="00CE091F">
        <w:rPr>
          <w:color w:val="auto"/>
        </w:rPr>
        <w:tab/>
        <w:t>The central line shows outcomes and the 202</w:t>
      </w:r>
      <w:r w:rsidR="007C3600" w:rsidRPr="00CE091F">
        <w:rPr>
          <w:color w:val="auto"/>
        </w:rPr>
        <w:t>5</w:t>
      </w:r>
      <w:r w:rsidRPr="00CE091F">
        <w:rPr>
          <w:color w:val="auto"/>
        </w:rPr>
        <w:t>–2</w:t>
      </w:r>
      <w:r w:rsidR="007C3600" w:rsidRPr="00CE091F">
        <w:rPr>
          <w:color w:val="auto"/>
        </w:rPr>
        <w:t>6</w:t>
      </w:r>
      <w:r w:rsidRPr="00CE091F">
        <w:rPr>
          <w:color w:val="auto"/>
        </w:rPr>
        <w:t xml:space="preserve"> Budget forecasts. Confidence intervals use Root Mean Square Errors (RMSE) for Budget forecasts from the 1999–2000 Budget onwards. </w:t>
      </w:r>
      <w:r w:rsidRPr="00CE091F">
        <w:rPr>
          <w:color w:val="auto"/>
        </w:rPr>
        <w:br/>
        <w:t xml:space="preserve">(f) are forecasts. </w:t>
      </w:r>
    </w:p>
    <w:p w14:paraId="244E4A47"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6A844960" w14:textId="77777777" w:rsidR="00397CED" w:rsidRPr="00CE091F" w:rsidRDefault="00397CED" w:rsidP="00397CED">
      <w:pPr>
        <w:pStyle w:val="ChartLine"/>
      </w:pPr>
    </w:p>
    <w:p w14:paraId="6FFFE1EE" w14:textId="77777777" w:rsidR="00397CED" w:rsidRPr="00CE091F" w:rsidRDefault="00397CED" w:rsidP="00397CED">
      <w:pPr>
        <w:spacing w:before="0" w:after="160" w:line="259" w:lineRule="auto"/>
        <w:rPr>
          <w:rFonts w:ascii="Arial Bold" w:hAnsi="Arial Bold"/>
          <w:b/>
          <w:sz w:val="20"/>
        </w:rPr>
      </w:pPr>
      <w:bookmarkStart w:id="71" w:name="_Toc448910754"/>
      <w:bookmarkStart w:id="72" w:name="_Toc52369754"/>
      <w:r w:rsidRPr="00CE091F">
        <w:br w:type="page"/>
      </w:r>
    </w:p>
    <w:p w14:paraId="468B638B" w14:textId="77777777" w:rsidR="00397CED" w:rsidRPr="00CE091F" w:rsidRDefault="00397CED" w:rsidP="00397CED">
      <w:pPr>
        <w:pStyle w:val="Heading4"/>
      </w:pPr>
      <w:r w:rsidRPr="00CE091F">
        <w:lastRenderedPageBreak/>
        <w:t>Payments</w:t>
      </w:r>
      <w:bookmarkEnd w:id="71"/>
      <w:bookmarkEnd w:id="72"/>
    </w:p>
    <w:p w14:paraId="6C769D8A" w14:textId="28F65CB1" w:rsidR="00397CED" w:rsidRPr="00CE091F" w:rsidRDefault="00397CED" w:rsidP="00397CED">
      <w:pPr>
        <w:widowControl w:val="0"/>
      </w:pPr>
      <w:r w:rsidRPr="00CE091F">
        <w:t xml:space="preserve">The confidence interval for payments is narrower than receipts because there is greater certainty around payments forecasts. Payments (including GST) are expected to be around </w:t>
      </w:r>
      <w:r w:rsidR="00917742" w:rsidRPr="00CE091F">
        <w:t>2</w:t>
      </w:r>
      <w:r w:rsidR="003D6912" w:rsidRPr="00CE091F">
        <w:t>7.0</w:t>
      </w:r>
      <w:r w:rsidRPr="00CE091F">
        <w:t> per cent of GDP in 202</w:t>
      </w:r>
      <w:r w:rsidR="00212267" w:rsidRPr="00CE091F">
        <w:t>5</w:t>
      </w:r>
      <w:r w:rsidRPr="00CE091F">
        <w:t>–2</w:t>
      </w:r>
      <w:r w:rsidR="00212267" w:rsidRPr="00CE091F">
        <w:t>6</w:t>
      </w:r>
      <w:r w:rsidRPr="00CE091F">
        <w:t xml:space="preserve">, with the 70 per cent confidence interval ranging from </w:t>
      </w:r>
      <w:r w:rsidR="003D6912" w:rsidRPr="00CE091F">
        <w:t>26.5</w:t>
      </w:r>
      <w:r w:rsidRPr="00CE091F">
        <w:t> per cent to </w:t>
      </w:r>
      <w:r w:rsidR="003D6912" w:rsidRPr="00CE091F">
        <w:t>27.5</w:t>
      </w:r>
      <w:r w:rsidRPr="00CE091F">
        <w:t xml:space="preserve"> per cent of GDP. The 90 per cent confidence interval ranges from </w:t>
      </w:r>
      <w:r w:rsidR="003D6912" w:rsidRPr="00CE091F">
        <w:t>26.2</w:t>
      </w:r>
      <w:r w:rsidRPr="00CE091F">
        <w:t xml:space="preserve"> per cent to </w:t>
      </w:r>
      <w:r w:rsidR="003D6912" w:rsidRPr="00CE091F">
        <w:t>27.</w:t>
      </w:r>
      <w:r w:rsidR="00993404" w:rsidRPr="00CE091F">
        <w:t>8</w:t>
      </w:r>
      <w:r w:rsidRPr="00CE091F">
        <w:t> per cent in 202</w:t>
      </w:r>
      <w:r w:rsidR="00BD4464" w:rsidRPr="00CE091F">
        <w:t>5</w:t>
      </w:r>
      <w:r w:rsidRPr="00CE091F">
        <w:t>–2</w:t>
      </w:r>
      <w:r w:rsidR="00BD4464" w:rsidRPr="00CE091F">
        <w:t>6</w:t>
      </w:r>
      <w:r w:rsidRPr="00CE091F">
        <w:t xml:space="preserve"> (Chart </w:t>
      </w:r>
      <w:r w:rsidR="009F1F00" w:rsidRPr="00CE091F">
        <w:t>7.</w:t>
      </w:r>
      <w:r w:rsidRPr="00CE091F">
        <w:t>12).</w:t>
      </w:r>
    </w:p>
    <w:p w14:paraId="1D86B35E" w14:textId="513C11BD" w:rsidR="00397CED" w:rsidRPr="00CE091F" w:rsidRDefault="00397CED" w:rsidP="00397CED">
      <w:pPr>
        <w:pStyle w:val="ChartHeading"/>
        <w:rPr>
          <w:vertAlign w:val="superscript"/>
        </w:rPr>
      </w:pPr>
      <w:r w:rsidRPr="00CE091F">
        <w:t xml:space="preserve">Chart </w:t>
      </w:r>
      <w:r w:rsidR="009F1F00" w:rsidRPr="00CE091F">
        <w:t>7.</w:t>
      </w:r>
      <w:r w:rsidRPr="00CE091F">
        <w:t>12: Confidence intervals around payments forecasts</w:t>
      </w:r>
      <w:r w:rsidRPr="00CE091F">
        <w:rPr>
          <w:vertAlign w:val="superscript"/>
        </w:rPr>
        <w:t>(a)</w:t>
      </w:r>
    </w:p>
    <w:p w14:paraId="539BD6EB" w14:textId="3E636F2E" w:rsidR="00397CED" w:rsidRPr="00CE091F" w:rsidRDefault="00893EC2" w:rsidP="00397CED">
      <w:pPr>
        <w:pStyle w:val="ChartGraphic"/>
      </w:pPr>
      <w:bookmarkStart w:id="73" w:name="_1803983711"/>
      <w:bookmarkEnd w:id="73"/>
      <w:r>
        <w:pict w14:anchorId="58C95234">
          <v:shape id="_x0000_i1036" type="#_x0000_t75" alt="This chart shows confidence intervals around the Budget forecast for payments as a percentage of GDP. Payments (including GST) are expected to be around 26.2 per cent of GDP in 2024–25 increasing to 27.0 per cent in 2025–26. The 70 per cent confidence interval grows in width from 0.6 percentage points in 2024–25 to 1.2 percentage points in 2026–27. The 90 per cent confidence interval grows in width from 1.0 percentage points in 2024–25 to 1.8 percentage points in 2026–27." style="width:366pt;height:237.75pt">
            <v:imagedata r:id="rId29" o:title=""/>
          </v:shape>
        </w:pict>
      </w:r>
    </w:p>
    <w:p w14:paraId="1C90D0F0" w14:textId="77777777" w:rsidR="00397CED" w:rsidRPr="00CE091F" w:rsidRDefault="00397CED" w:rsidP="00C3710C">
      <w:pPr>
        <w:pStyle w:val="ChartandTableFootnoteAlpha"/>
        <w:numPr>
          <w:ilvl w:val="0"/>
          <w:numId w:val="38"/>
        </w:numPr>
        <w:rPr>
          <w:color w:val="auto"/>
        </w:rPr>
      </w:pPr>
      <w:r w:rsidRPr="00CE091F">
        <w:rPr>
          <w:color w:val="auto"/>
        </w:rPr>
        <w:t>Includes GST payments.</w:t>
      </w:r>
    </w:p>
    <w:p w14:paraId="7AAC3950" w14:textId="1321F09E" w:rsidR="00397CED" w:rsidRPr="00CE091F" w:rsidRDefault="00397CED" w:rsidP="00397CED">
      <w:pPr>
        <w:pStyle w:val="ChartandTableFootnote"/>
        <w:ind w:right="57"/>
        <w:rPr>
          <w:color w:val="auto"/>
        </w:rPr>
      </w:pPr>
      <w:r w:rsidRPr="00CE091F">
        <w:rPr>
          <w:color w:val="auto"/>
        </w:rPr>
        <w:t xml:space="preserve">Note: </w:t>
      </w:r>
      <w:r w:rsidRPr="00CE091F">
        <w:rPr>
          <w:color w:val="auto"/>
        </w:rPr>
        <w:tab/>
        <w:t>The central line shows outcomes and the 202</w:t>
      </w:r>
      <w:r w:rsidR="00BD4464" w:rsidRPr="00CE091F">
        <w:rPr>
          <w:color w:val="auto"/>
        </w:rPr>
        <w:t>5</w:t>
      </w:r>
      <w:r w:rsidRPr="00CE091F">
        <w:rPr>
          <w:color w:val="auto"/>
        </w:rPr>
        <w:t>–2</w:t>
      </w:r>
      <w:r w:rsidR="00BD4464" w:rsidRPr="00CE091F">
        <w:rPr>
          <w:color w:val="auto"/>
        </w:rPr>
        <w:t>6</w:t>
      </w:r>
      <w:r w:rsidRPr="00CE091F">
        <w:rPr>
          <w:color w:val="auto"/>
        </w:rPr>
        <w:t xml:space="preserve"> Budget forecasts. Confidence intervals use Root Mean Square Errors (RMSE) for Budget forecasts from the 1999–2000 Budget onwards. </w:t>
      </w:r>
      <w:r w:rsidRPr="00CE091F">
        <w:rPr>
          <w:color w:val="auto"/>
        </w:rPr>
        <w:br/>
        <w:t xml:space="preserve">(f) are forecasts. </w:t>
      </w:r>
    </w:p>
    <w:p w14:paraId="3C1F9FC2"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 xml:space="preserve">Budget papers and Treasury. </w:t>
      </w:r>
    </w:p>
    <w:p w14:paraId="2440AC52" w14:textId="77777777" w:rsidR="00397CED" w:rsidRPr="00CE091F" w:rsidRDefault="00397CED" w:rsidP="00397CED">
      <w:pPr>
        <w:pStyle w:val="ChartLine"/>
      </w:pPr>
    </w:p>
    <w:p w14:paraId="601F8D45" w14:textId="77777777" w:rsidR="00397CED" w:rsidRPr="00CE091F" w:rsidRDefault="00397CED" w:rsidP="00397CED">
      <w:pPr>
        <w:spacing w:before="0" w:after="160" w:line="259" w:lineRule="auto"/>
        <w:rPr>
          <w:rFonts w:ascii="Arial Bold" w:hAnsi="Arial Bold"/>
          <w:b/>
          <w:sz w:val="20"/>
        </w:rPr>
      </w:pPr>
      <w:bookmarkStart w:id="74" w:name="_Toc52369755"/>
      <w:r w:rsidRPr="00CE091F">
        <w:br w:type="page"/>
      </w:r>
    </w:p>
    <w:p w14:paraId="357B74D9" w14:textId="77777777" w:rsidR="00397CED" w:rsidRPr="00CE091F" w:rsidRDefault="00397CED" w:rsidP="00397CED">
      <w:pPr>
        <w:pStyle w:val="Heading4"/>
      </w:pPr>
      <w:r w:rsidRPr="00CE091F">
        <w:lastRenderedPageBreak/>
        <w:t>Underlying cash balance</w:t>
      </w:r>
      <w:bookmarkEnd w:id="74"/>
    </w:p>
    <w:p w14:paraId="5C3E6812" w14:textId="28C3D0CF" w:rsidR="00397CED" w:rsidRPr="00CE091F" w:rsidRDefault="00397CED" w:rsidP="00397CED">
      <w:pPr>
        <w:ind w:right="113"/>
      </w:pPr>
      <w:r w:rsidRPr="00CE091F">
        <w:t>The underlying cash deficit in 202</w:t>
      </w:r>
      <w:r w:rsidR="00B94BEB" w:rsidRPr="00CE091F">
        <w:t>5</w:t>
      </w:r>
      <w:r w:rsidRPr="00CE091F">
        <w:t>–2</w:t>
      </w:r>
      <w:r w:rsidR="00B94BEB" w:rsidRPr="00CE091F">
        <w:t>6</w:t>
      </w:r>
      <w:r w:rsidRPr="00CE091F">
        <w:t xml:space="preserve"> is expected to be</w:t>
      </w:r>
      <w:r w:rsidRPr="00CE091F" w:rsidDel="00160B1E">
        <w:t xml:space="preserve"> </w:t>
      </w:r>
      <w:r w:rsidR="00A9014B" w:rsidRPr="00CE091F">
        <w:t>1.</w:t>
      </w:r>
      <w:r w:rsidR="00114BFE" w:rsidRPr="00CE091F">
        <w:t>5</w:t>
      </w:r>
      <w:r w:rsidRPr="00CE091F">
        <w:t> per cent of GDP, with the 70 per cent confidence interval ranging from a deficit of</w:t>
      </w:r>
      <w:r w:rsidR="0021307C" w:rsidRPr="00CE091F">
        <w:t xml:space="preserve"> </w:t>
      </w:r>
      <w:r w:rsidR="00FF5A7A" w:rsidRPr="00CE091F">
        <w:t>3</w:t>
      </w:r>
      <w:r w:rsidR="0021307C" w:rsidRPr="00CE091F">
        <w:t>.</w:t>
      </w:r>
      <w:r w:rsidR="00FF5A7A" w:rsidRPr="00CE091F">
        <w:t>3</w:t>
      </w:r>
      <w:r w:rsidRPr="00CE091F">
        <w:t xml:space="preserve"> per cent to a surplus of </w:t>
      </w:r>
      <w:r w:rsidR="00C254E7" w:rsidRPr="00CE091F">
        <w:t>0.</w:t>
      </w:r>
      <w:r w:rsidR="00FF5A7A" w:rsidRPr="00CE091F">
        <w:t>3</w:t>
      </w:r>
      <w:r w:rsidRPr="00CE091F">
        <w:t xml:space="preserve"> per cent of GDP. The 90 per cent confidence interval ranges from a deficit of </w:t>
      </w:r>
      <w:r w:rsidR="00833B77" w:rsidRPr="00CE091F">
        <w:t>4</w:t>
      </w:r>
      <w:r w:rsidR="00C254E7" w:rsidRPr="00CE091F">
        <w:t>.</w:t>
      </w:r>
      <w:r w:rsidR="00833B77" w:rsidRPr="00CE091F">
        <w:t>3</w:t>
      </w:r>
      <w:r w:rsidRPr="00CE091F">
        <w:t> per cent to a surplus of</w:t>
      </w:r>
      <w:r w:rsidRPr="00CE091F" w:rsidDel="00C21438">
        <w:t xml:space="preserve"> </w:t>
      </w:r>
      <w:r w:rsidR="00C254E7" w:rsidRPr="00CE091F">
        <w:t>1.</w:t>
      </w:r>
      <w:r w:rsidR="00833B77" w:rsidRPr="00CE091F">
        <w:t>4</w:t>
      </w:r>
      <w:r w:rsidRPr="00CE091F">
        <w:t> per cent in 202</w:t>
      </w:r>
      <w:r w:rsidR="00B94BEB" w:rsidRPr="00CE091F">
        <w:t>5</w:t>
      </w:r>
      <w:r w:rsidRPr="00CE091F">
        <w:t>–2</w:t>
      </w:r>
      <w:r w:rsidR="00B94BEB" w:rsidRPr="00CE091F">
        <w:t>6</w:t>
      </w:r>
      <w:r w:rsidRPr="00CE091F">
        <w:t xml:space="preserve">. </w:t>
      </w:r>
    </w:p>
    <w:p w14:paraId="612B6011" w14:textId="7B2E5D34" w:rsidR="00397CED" w:rsidRPr="00CE091F" w:rsidRDefault="00397CED" w:rsidP="00397CED">
      <w:pPr>
        <w:ind w:right="113"/>
      </w:pPr>
      <w:r w:rsidRPr="00CE091F">
        <w:t xml:space="preserve">The uncertainty around underlying cash balance forecasts reflects forecast errors in receipts and payments which increase </w:t>
      </w:r>
      <w:r w:rsidR="00AF0937">
        <w:t>further out in</w:t>
      </w:r>
      <w:r w:rsidRPr="00CE091F">
        <w:t xml:space="preserve"> time (Chart </w:t>
      </w:r>
      <w:r w:rsidR="009F1F00" w:rsidRPr="00CE091F">
        <w:t>7.</w:t>
      </w:r>
      <w:r w:rsidRPr="00CE091F" w:rsidDel="00B448DB">
        <w:t>1</w:t>
      </w:r>
      <w:r w:rsidRPr="00CE091F">
        <w:t xml:space="preserve">3). </w:t>
      </w:r>
    </w:p>
    <w:p w14:paraId="58114ABC" w14:textId="77976B02" w:rsidR="00397CED" w:rsidRPr="00CE091F" w:rsidRDefault="00397CED" w:rsidP="00397CED">
      <w:pPr>
        <w:pStyle w:val="ChartHeading"/>
      </w:pPr>
      <w:r w:rsidRPr="00CE091F">
        <w:t xml:space="preserve">Chart </w:t>
      </w:r>
      <w:r w:rsidR="009F1F00" w:rsidRPr="00CE091F">
        <w:t>7.</w:t>
      </w:r>
      <w:r w:rsidRPr="00CE091F" w:rsidDel="00B448DB">
        <w:t>1</w:t>
      </w:r>
      <w:r w:rsidRPr="00CE091F">
        <w:t>3: Confidence intervals around the underlying cash balance forecasts</w:t>
      </w:r>
    </w:p>
    <w:p w14:paraId="2A6CF0FB" w14:textId="4456C4C4" w:rsidR="00397CED" w:rsidRPr="00CE091F" w:rsidRDefault="00893EC2" w:rsidP="00396FD6">
      <w:pPr>
        <w:pStyle w:val="ChartGraphic"/>
      </w:pPr>
      <w:bookmarkStart w:id="75" w:name="_1776759155"/>
      <w:bookmarkStart w:id="76" w:name="_1803983713"/>
      <w:bookmarkEnd w:id="75"/>
      <w:bookmarkEnd w:id="76"/>
      <w:r>
        <w:pict w14:anchorId="341FD5B8">
          <v:shape id="_x0000_i1037" type="#_x0000_t75" alt="This chart shows confidence intervals around the Budget forecast for the underlying cash balance as a percentage of GDP. The underlying cash balance is expected to be in a deficit of 1.0 per cent of GDP in 2024–25, expanding to a deficit of 1.2 per cent of GDP in 2026–27. The width of 70 per cent confidence interval grows from 1.2 percentage points in 2024–25 to 4.9 percentage points in 2026–27. The width of the 90 per cent confidence interval grows from 1.9 percentage points in 2024–25 to 7.8 percentage points in 2026–27." style="width:365.25pt;height:231.75pt">
            <v:imagedata r:id="rId30" o:title=""/>
          </v:shape>
        </w:pict>
      </w:r>
    </w:p>
    <w:p w14:paraId="30658921" w14:textId="1800FAE5" w:rsidR="00397CED" w:rsidRPr="00CE091F" w:rsidRDefault="00397CED" w:rsidP="00397CED">
      <w:pPr>
        <w:pStyle w:val="ChartandTableFootnote"/>
        <w:ind w:right="57"/>
        <w:rPr>
          <w:color w:val="auto"/>
        </w:rPr>
      </w:pPr>
      <w:r w:rsidRPr="00CE091F">
        <w:rPr>
          <w:color w:val="auto"/>
        </w:rPr>
        <w:t xml:space="preserve">Note: </w:t>
      </w:r>
      <w:r w:rsidRPr="00CE091F">
        <w:rPr>
          <w:color w:val="auto"/>
        </w:rPr>
        <w:tab/>
        <w:t>The central line shows outcomes and the 202</w:t>
      </w:r>
      <w:r w:rsidR="00AB5912" w:rsidRPr="00CE091F">
        <w:rPr>
          <w:color w:val="auto"/>
        </w:rPr>
        <w:t>5</w:t>
      </w:r>
      <w:r w:rsidRPr="00CE091F">
        <w:rPr>
          <w:color w:val="auto"/>
        </w:rPr>
        <w:t>–2</w:t>
      </w:r>
      <w:r w:rsidR="00AB5912" w:rsidRPr="00CE091F">
        <w:rPr>
          <w:color w:val="auto"/>
        </w:rPr>
        <w:t>6</w:t>
      </w:r>
      <w:r w:rsidRPr="00CE091F">
        <w:rPr>
          <w:color w:val="auto"/>
        </w:rPr>
        <w:t xml:space="preserve"> Budget forecasts. Confidence intervals use Root Mean Square Errors (RMSE) for Budget forecasts from the 1999–2000 Budget onwards. </w:t>
      </w:r>
      <w:r w:rsidRPr="00CE091F">
        <w:rPr>
          <w:color w:val="auto"/>
        </w:rPr>
        <w:br/>
        <w:t xml:space="preserve">(f) are forecasts. </w:t>
      </w:r>
    </w:p>
    <w:p w14:paraId="424A7674" w14:textId="77777777" w:rsidR="00397CED" w:rsidRPr="00CE091F" w:rsidRDefault="00397CED" w:rsidP="00397CED">
      <w:pPr>
        <w:pStyle w:val="ChartandTableFootnote"/>
        <w:ind w:left="0" w:firstLine="0"/>
        <w:rPr>
          <w:color w:val="auto"/>
        </w:rPr>
      </w:pPr>
      <w:r w:rsidRPr="00CE091F">
        <w:rPr>
          <w:color w:val="auto"/>
        </w:rPr>
        <w:t xml:space="preserve">Source: </w:t>
      </w:r>
      <w:r w:rsidRPr="00CE091F">
        <w:rPr>
          <w:color w:val="auto"/>
        </w:rPr>
        <w:tab/>
        <w:t xml:space="preserve">Budget papers and Treasury. </w:t>
      </w:r>
      <w:bookmarkStart w:id="77" w:name="_Toc449783850"/>
      <w:bookmarkStart w:id="78" w:name="_Toc3880939"/>
      <w:bookmarkStart w:id="79" w:name="_Toc3881105"/>
      <w:bookmarkStart w:id="80" w:name="_Toc3881282"/>
      <w:bookmarkStart w:id="81" w:name="_Toc52642839"/>
      <w:bookmarkStart w:id="82" w:name="_Toc99026276"/>
      <w:bookmarkStart w:id="83" w:name="_Toc116037831"/>
      <w:bookmarkStart w:id="84" w:name="_Toc116037701"/>
      <w:bookmarkStart w:id="85" w:name="_Toc116040763"/>
    </w:p>
    <w:p w14:paraId="3DAF1436" w14:textId="378C0A49" w:rsidR="00397CED" w:rsidRPr="008541FB" w:rsidRDefault="00397CED" w:rsidP="00397CED">
      <w:pPr>
        <w:pStyle w:val="ChartLine"/>
      </w:pPr>
    </w:p>
    <w:p w14:paraId="00A72DD1" w14:textId="77777777" w:rsidR="00397CED" w:rsidRPr="008541FB" w:rsidRDefault="00397CED" w:rsidP="00397CED">
      <w:pPr>
        <w:spacing w:before="0" w:after="160" w:line="259" w:lineRule="auto"/>
        <w:rPr>
          <w:rFonts w:ascii="Arial Bold" w:hAnsi="Arial Bold"/>
          <w:b/>
          <w:sz w:val="26"/>
        </w:rPr>
      </w:pPr>
      <w:r w:rsidRPr="008541FB">
        <w:br w:type="page"/>
      </w:r>
    </w:p>
    <w:p w14:paraId="2895685E" w14:textId="3FD05CFC" w:rsidR="00397CED" w:rsidRPr="00CE091F" w:rsidRDefault="00397CED" w:rsidP="00397CED">
      <w:pPr>
        <w:pStyle w:val="Heading2"/>
        <w:spacing w:before="480"/>
      </w:pPr>
      <w:bookmarkStart w:id="86" w:name="_Toc193529669"/>
      <w:r w:rsidRPr="00CE091F">
        <w:lastRenderedPageBreak/>
        <w:t>Assessing current forecasts through sensitivity analysis</w:t>
      </w:r>
      <w:bookmarkEnd w:id="77"/>
      <w:bookmarkEnd w:id="78"/>
      <w:bookmarkEnd w:id="79"/>
      <w:bookmarkEnd w:id="80"/>
      <w:bookmarkEnd w:id="81"/>
      <w:bookmarkEnd w:id="82"/>
      <w:bookmarkEnd w:id="83"/>
      <w:bookmarkEnd w:id="84"/>
      <w:bookmarkEnd w:id="85"/>
      <w:bookmarkEnd w:id="86"/>
    </w:p>
    <w:p w14:paraId="06D1B5E5" w14:textId="0E6FC90F" w:rsidR="00397CED" w:rsidRPr="00CE091F" w:rsidRDefault="00397CED" w:rsidP="00397CED">
      <w:r w:rsidRPr="00CE091F">
        <w:t>Sensitivity analysis allows for an assessment of the impact of key assumptions. The following sensitivity analyses are considered due to their variability and importance for the</w:t>
      </w:r>
      <w:r w:rsidR="00956383">
        <w:t> </w:t>
      </w:r>
      <w:r w:rsidRPr="00CE091F">
        <w:t xml:space="preserve">Budget: </w:t>
      </w:r>
    </w:p>
    <w:p w14:paraId="363BC5B5" w14:textId="77777777" w:rsidR="00397CED" w:rsidRPr="00CE091F" w:rsidRDefault="00397CED" w:rsidP="00397CED">
      <w:pPr>
        <w:pStyle w:val="Bullet"/>
        <w:numPr>
          <w:ilvl w:val="0"/>
          <w:numId w:val="3"/>
        </w:numPr>
        <w:tabs>
          <w:tab w:val="clear" w:pos="283"/>
          <w:tab w:val="num" w:pos="850"/>
        </w:tabs>
        <w:ind w:left="284" w:hanging="284"/>
      </w:pPr>
      <w:r w:rsidRPr="00CE091F">
        <w:t>Higher and lower iron ore prices.</w:t>
      </w:r>
    </w:p>
    <w:p w14:paraId="2E1C72BB" w14:textId="77777777" w:rsidR="00397CED" w:rsidRPr="00CE091F" w:rsidRDefault="00397CED" w:rsidP="00397CED">
      <w:pPr>
        <w:pStyle w:val="Bullet"/>
        <w:numPr>
          <w:ilvl w:val="0"/>
          <w:numId w:val="3"/>
        </w:numPr>
        <w:tabs>
          <w:tab w:val="clear" w:pos="283"/>
          <w:tab w:val="num" w:pos="850"/>
        </w:tabs>
        <w:ind w:left="284" w:hanging="284"/>
      </w:pPr>
      <w:r w:rsidRPr="00CE091F">
        <w:t>Higher and lower yields over the medium term.</w:t>
      </w:r>
    </w:p>
    <w:p w14:paraId="146A341F" w14:textId="58AB545D" w:rsidR="00397CED" w:rsidRPr="008541FB" w:rsidRDefault="00397CED" w:rsidP="00397CED">
      <w:r w:rsidRPr="00CE091F">
        <w:t>For</w:t>
      </w:r>
      <w:r w:rsidR="003238D9">
        <w:t xml:space="preserve"> </w:t>
      </w:r>
      <w:r w:rsidRPr="00CE091F">
        <w:t>illustrative purposes, the upper and lower sensitivities are broadly symmetric, even where not equally probable.</w:t>
      </w:r>
      <w:r w:rsidRPr="008541FB">
        <w:t xml:space="preserve"> </w:t>
      </w:r>
    </w:p>
    <w:p w14:paraId="495E47FA" w14:textId="0BA8755E" w:rsidR="00397CED" w:rsidRPr="00CE091F" w:rsidRDefault="00397CED" w:rsidP="00397CED">
      <w:pPr>
        <w:pStyle w:val="Heading3"/>
        <w:keepLines/>
      </w:pPr>
      <w:bookmarkStart w:id="87" w:name="_Toc99026277"/>
      <w:bookmarkStart w:id="88" w:name="_Toc116037832"/>
      <w:bookmarkStart w:id="89" w:name="_Toc116037702"/>
      <w:bookmarkStart w:id="90" w:name="_Toc116040764"/>
      <w:bookmarkStart w:id="91" w:name="_Toc193529670"/>
      <w:r w:rsidRPr="00CE091F">
        <w:t>Movements in iron ore price</w:t>
      </w:r>
      <w:bookmarkEnd w:id="87"/>
      <w:bookmarkEnd w:id="88"/>
      <w:bookmarkEnd w:id="89"/>
      <w:bookmarkEnd w:id="90"/>
      <w:r w:rsidRPr="00CE091F">
        <w:t>s</w:t>
      </w:r>
      <w:bookmarkEnd w:id="91"/>
    </w:p>
    <w:p w14:paraId="40FC1CEF" w14:textId="2704960E" w:rsidR="00397CED" w:rsidRPr="00CE091F" w:rsidRDefault="00397CED" w:rsidP="00397CED">
      <w:bookmarkStart w:id="92" w:name="_Toc116037833"/>
      <w:bookmarkStart w:id="93" w:name="_Toc99026278"/>
      <w:r w:rsidRPr="00CE091F">
        <w:t>The forecasts for nominal GDP and tax receipts are sensitive to commodity price assumptions, particularly iron ore prices. Iron ore is Australia</w:t>
      </w:r>
      <w:r w:rsidR="00E23819">
        <w:t>’</w:t>
      </w:r>
      <w:r w:rsidRPr="00CE091F">
        <w:t xml:space="preserve">s largest export by value, representing </w:t>
      </w:r>
      <w:r w:rsidR="00026223" w:rsidRPr="00CE091F">
        <w:t>21</w:t>
      </w:r>
      <w:r w:rsidRPr="00CE091F">
        <w:t> per cent of the total value of goods and services</w:t>
      </w:r>
      <w:r w:rsidRPr="00CE091F" w:rsidDel="00F53F7C">
        <w:t xml:space="preserve"> </w:t>
      </w:r>
      <w:r w:rsidRPr="00CE091F">
        <w:t>exports in</w:t>
      </w:r>
      <w:r w:rsidR="00DA649F" w:rsidRPr="00CE091F">
        <w:t xml:space="preserve"> </w:t>
      </w:r>
      <w:r w:rsidRPr="00CE091F">
        <w:t>202</w:t>
      </w:r>
      <w:r w:rsidR="00121585" w:rsidRPr="00CE091F">
        <w:t>3</w:t>
      </w:r>
      <w:r w:rsidRPr="00CE091F">
        <w:t>–2</w:t>
      </w:r>
      <w:r w:rsidR="00121585" w:rsidRPr="00CE091F">
        <w:t>4</w:t>
      </w:r>
      <w:r w:rsidRPr="00CE091F">
        <w:t xml:space="preserve">. See </w:t>
      </w:r>
      <w:r w:rsidRPr="00CE091F">
        <w:rPr>
          <w:rStyle w:val="Emphasis"/>
        </w:rPr>
        <w:t>Budget Statement 2: Economic Outlook</w:t>
      </w:r>
      <w:r w:rsidRPr="00CE091F">
        <w:rPr>
          <w:i/>
        </w:rPr>
        <w:t xml:space="preserve"> </w:t>
      </w:r>
      <w:r w:rsidRPr="00CE091F">
        <w:t xml:space="preserve">for more information on </w:t>
      </w:r>
      <w:r w:rsidR="009A7C56" w:rsidRPr="00CE091F">
        <w:t xml:space="preserve">the commodity price assumptions </w:t>
      </w:r>
      <w:r w:rsidR="006E18EF" w:rsidRPr="00CE091F">
        <w:t xml:space="preserve">incorporated into the </w:t>
      </w:r>
      <w:r w:rsidR="00B25B89" w:rsidRPr="00CE091F">
        <w:t>economic outlook</w:t>
      </w:r>
      <w:r w:rsidRPr="00CE091F">
        <w:t xml:space="preserve">. </w:t>
      </w:r>
    </w:p>
    <w:p w14:paraId="22EED1DF" w14:textId="721C3008" w:rsidR="00397CED" w:rsidRPr="00CE091F" w:rsidRDefault="00397CED" w:rsidP="00397CED">
      <w:r w:rsidRPr="00CE091F">
        <w:t xml:space="preserve">Iron ore prices are volatile and sensitive to </w:t>
      </w:r>
      <w:r w:rsidRPr="00CE091F" w:rsidDel="00EE6EBE">
        <w:t xml:space="preserve">global </w:t>
      </w:r>
      <w:r w:rsidRPr="00CE091F">
        <w:t>market developments. Table </w:t>
      </w:r>
      <w:r w:rsidR="009F1F00" w:rsidRPr="00CE091F">
        <w:t>7.</w:t>
      </w:r>
      <w:r w:rsidRPr="00CE091F">
        <w:t xml:space="preserve">1 considers the impact of a permanent US$10 per tonne increase and decrease in the iron ore </w:t>
      </w:r>
      <w:r w:rsidR="00106FCA" w:rsidRPr="00CE091F">
        <w:t xml:space="preserve">spot </w:t>
      </w:r>
      <w:r w:rsidRPr="00CE091F">
        <w:t xml:space="preserve">price on nominal GDP and tax receipts relative to the Budget baseline forecast. </w:t>
      </w:r>
    </w:p>
    <w:p w14:paraId="604500B1" w14:textId="67986A24" w:rsidR="002B54ED" w:rsidRDefault="00397CED" w:rsidP="002B54ED">
      <w:pPr>
        <w:pStyle w:val="TableHeading"/>
        <w:rPr>
          <w:rFonts w:asciiTheme="minorHAnsi" w:eastAsiaTheme="minorHAnsi" w:hAnsiTheme="minorHAnsi" w:cstheme="minorBidi"/>
          <w:sz w:val="22"/>
          <w:szCs w:val="22"/>
          <w:lang w:eastAsia="en-US"/>
        </w:rPr>
      </w:pPr>
      <w:r w:rsidRPr="00CE091F">
        <w:t xml:space="preserve">Table </w:t>
      </w:r>
      <w:r w:rsidR="009F1F00" w:rsidRPr="00CE091F">
        <w:t>7.</w:t>
      </w:r>
      <w:r w:rsidRPr="00CE091F">
        <w:t>1: Scenario analysis of a US$10 per tonne movement in iron ore prices</w:t>
      </w:r>
    </w:p>
    <w:tbl>
      <w:tblPr>
        <w:tblW w:w="5000" w:type="pct"/>
        <w:tblCellMar>
          <w:left w:w="0" w:type="dxa"/>
          <w:right w:w="28" w:type="dxa"/>
        </w:tblCellMar>
        <w:tblLook w:val="04A0" w:firstRow="1" w:lastRow="0" w:firstColumn="1" w:lastColumn="0" w:noHBand="0" w:noVBand="1"/>
      </w:tblPr>
      <w:tblGrid>
        <w:gridCol w:w="1726"/>
        <w:gridCol w:w="715"/>
        <w:gridCol w:w="714"/>
        <w:gridCol w:w="714"/>
        <w:gridCol w:w="715"/>
        <w:gridCol w:w="270"/>
        <w:gridCol w:w="714"/>
        <w:gridCol w:w="714"/>
        <w:gridCol w:w="714"/>
        <w:gridCol w:w="714"/>
      </w:tblGrid>
      <w:tr w:rsidR="002B54ED" w:rsidRPr="002B54ED" w14:paraId="0ECD2A54" w14:textId="77777777" w:rsidTr="002B54ED">
        <w:trPr>
          <w:divId w:val="1236092021"/>
          <w:trHeight w:hRule="exact" w:val="260"/>
        </w:trPr>
        <w:tc>
          <w:tcPr>
            <w:tcW w:w="1119" w:type="pct"/>
            <w:tcBorders>
              <w:top w:val="single" w:sz="4" w:space="0" w:color="293F5B"/>
              <w:left w:val="nil"/>
              <w:bottom w:val="nil"/>
              <w:right w:val="nil"/>
            </w:tcBorders>
            <w:shd w:val="clear" w:color="auto" w:fill="auto"/>
            <w:noWrap/>
            <w:vAlign w:val="bottom"/>
            <w:hideMark/>
          </w:tcPr>
          <w:p w14:paraId="693FFC43" w14:textId="411F13BD" w:rsidR="002B54ED" w:rsidRPr="002B54ED" w:rsidRDefault="002B54ED" w:rsidP="002B54ED">
            <w:pPr>
              <w:spacing w:before="0" w:after="0" w:line="240" w:lineRule="auto"/>
              <w:rPr>
                <w:rFonts w:ascii="Arial" w:hAnsi="Arial" w:cs="Arial"/>
                <w:color w:val="000000"/>
                <w:sz w:val="16"/>
                <w:szCs w:val="16"/>
              </w:rPr>
            </w:pPr>
            <w:r w:rsidRPr="002B54ED">
              <w:rPr>
                <w:rFonts w:ascii="Arial" w:hAnsi="Arial" w:cs="Arial"/>
                <w:color w:val="000000"/>
                <w:sz w:val="16"/>
                <w:szCs w:val="16"/>
              </w:rPr>
              <w:t> </w:t>
            </w:r>
          </w:p>
        </w:tc>
        <w:tc>
          <w:tcPr>
            <w:tcW w:w="1853" w:type="pct"/>
            <w:gridSpan w:val="4"/>
            <w:tcBorders>
              <w:top w:val="single" w:sz="4" w:space="0" w:color="293F5B"/>
              <w:left w:val="nil"/>
              <w:bottom w:val="single" w:sz="4" w:space="0" w:color="293F5B"/>
              <w:right w:val="nil"/>
            </w:tcBorders>
            <w:shd w:val="clear" w:color="auto" w:fill="auto"/>
            <w:noWrap/>
            <w:vAlign w:val="bottom"/>
            <w:hideMark/>
          </w:tcPr>
          <w:p w14:paraId="56BD811D" w14:textId="77777777" w:rsidR="002B54ED" w:rsidRPr="002B54ED" w:rsidRDefault="002B54ED" w:rsidP="002B54ED">
            <w:pPr>
              <w:spacing w:before="0" w:after="0" w:line="240" w:lineRule="auto"/>
              <w:jc w:val="center"/>
              <w:rPr>
                <w:rFonts w:ascii="Arial" w:hAnsi="Arial" w:cs="Arial"/>
                <w:color w:val="000000"/>
                <w:sz w:val="16"/>
                <w:szCs w:val="16"/>
              </w:rPr>
            </w:pPr>
            <w:r w:rsidRPr="002B54ED">
              <w:rPr>
                <w:rFonts w:ascii="Arial" w:hAnsi="Arial" w:cs="Arial"/>
                <w:color w:val="000000"/>
                <w:sz w:val="16"/>
                <w:szCs w:val="16"/>
              </w:rPr>
              <w:t>US$10/tonne FOB</w:t>
            </w:r>
            <w:r w:rsidRPr="002B54ED">
              <w:rPr>
                <w:rFonts w:ascii="Arial" w:hAnsi="Arial" w:cs="Arial"/>
                <w:color w:val="000000"/>
                <w:sz w:val="16"/>
                <w:szCs w:val="16"/>
                <w:vertAlign w:val="superscript"/>
              </w:rPr>
              <w:t>(a)</w:t>
            </w:r>
            <w:r w:rsidRPr="002B54ED">
              <w:rPr>
                <w:rFonts w:ascii="Arial" w:hAnsi="Arial" w:cs="Arial"/>
                <w:color w:val="000000"/>
                <w:sz w:val="16"/>
                <w:szCs w:val="16"/>
              </w:rPr>
              <w:t xml:space="preserve"> increase</w:t>
            </w:r>
          </w:p>
        </w:tc>
        <w:tc>
          <w:tcPr>
            <w:tcW w:w="175" w:type="pct"/>
            <w:tcBorders>
              <w:top w:val="single" w:sz="4" w:space="0" w:color="293F5B"/>
              <w:left w:val="nil"/>
              <w:bottom w:val="nil"/>
              <w:right w:val="nil"/>
            </w:tcBorders>
            <w:shd w:val="clear" w:color="auto" w:fill="auto"/>
            <w:noWrap/>
            <w:vAlign w:val="bottom"/>
            <w:hideMark/>
          </w:tcPr>
          <w:p w14:paraId="3F0F0928" w14:textId="77777777" w:rsidR="002B54ED" w:rsidRPr="002B54ED" w:rsidRDefault="002B54ED" w:rsidP="002B54ED">
            <w:pPr>
              <w:spacing w:before="0" w:after="0" w:line="240" w:lineRule="auto"/>
              <w:jc w:val="center"/>
              <w:rPr>
                <w:rFonts w:ascii="Arial" w:hAnsi="Arial" w:cs="Arial"/>
                <w:color w:val="000000"/>
                <w:sz w:val="16"/>
                <w:szCs w:val="16"/>
              </w:rPr>
            </w:pPr>
            <w:r w:rsidRPr="002B54ED">
              <w:rPr>
                <w:rFonts w:ascii="Arial" w:hAnsi="Arial" w:cs="Arial"/>
                <w:color w:val="000000"/>
                <w:sz w:val="16"/>
                <w:szCs w:val="16"/>
              </w:rPr>
              <w:t> </w:t>
            </w:r>
          </w:p>
        </w:tc>
        <w:tc>
          <w:tcPr>
            <w:tcW w:w="1853" w:type="pct"/>
            <w:gridSpan w:val="4"/>
            <w:tcBorders>
              <w:top w:val="single" w:sz="4" w:space="0" w:color="293F5B"/>
              <w:left w:val="nil"/>
              <w:bottom w:val="single" w:sz="4" w:space="0" w:color="293F5B"/>
              <w:right w:val="nil"/>
            </w:tcBorders>
            <w:shd w:val="clear" w:color="auto" w:fill="auto"/>
            <w:noWrap/>
            <w:vAlign w:val="bottom"/>
            <w:hideMark/>
          </w:tcPr>
          <w:p w14:paraId="3EDF1248" w14:textId="77777777" w:rsidR="002B54ED" w:rsidRPr="002B54ED" w:rsidRDefault="002B54ED" w:rsidP="002B54ED">
            <w:pPr>
              <w:spacing w:before="0" w:after="0" w:line="240" w:lineRule="auto"/>
              <w:jc w:val="center"/>
              <w:rPr>
                <w:rFonts w:ascii="Arial" w:hAnsi="Arial" w:cs="Arial"/>
                <w:color w:val="000000"/>
                <w:sz w:val="16"/>
                <w:szCs w:val="16"/>
              </w:rPr>
            </w:pPr>
            <w:r w:rsidRPr="002B54ED">
              <w:rPr>
                <w:rFonts w:ascii="Arial" w:hAnsi="Arial" w:cs="Arial"/>
                <w:color w:val="000000"/>
                <w:sz w:val="16"/>
                <w:szCs w:val="16"/>
              </w:rPr>
              <w:t>US$10/tonne FOB decrease</w:t>
            </w:r>
          </w:p>
        </w:tc>
      </w:tr>
      <w:tr w:rsidR="002B54ED" w:rsidRPr="002B54ED" w14:paraId="5991A5A9" w14:textId="77777777" w:rsidTr="002B54ED">
        <w:trPr>
          <w:divId w:val="1236092021"/>
          <w:trHeight w:hRule="exact" w:val="225"/>
        </w:trPr>
        <w:tc>
          <w:tcPr>
            <w:tcW w:w="1119" w:type="pct"/>
            <w:tcBorders>
              <w:top w:val="nil"/>
              <w:left w:val="nil"/>
              <w:bottom w:val="nil"/>
              <w:right w:val="nil"/>
            </w:tcBorders>
            <w:shd w:val="clear" w:color="auto" w:fill="auto"/>
            <w:noWrap/>
            <w:vAlign w:val="bottom"/>
            <w:hideMark/>
          </w:tcPr>
          <w:p w14:paraId="6FDD87A5" w14:textId="77777777" w:rsidR="002B54ED" w:rsidRPr="002B54ED" w:rsidRDefault="002B54ED" w:rsidP="002B54ED">
            <w:pPr>
              <w:spacing w:before="0" w:after="0" w:line="240" w:lineRule="auto"/>
              <w:jc w:val="center"/>
              <w:rPr>
                <w:rFonts w:ascii="Arial" w:hAnsi="Arial" w:cs="Arial"/>
                <w:color w:val="000000"/>
                <w:sz w:val="16"/>
                <w:szCs w:val="16"/>
              </w:rPr>
            </w:pPr>
          </w:p>
        </w:tc>
        <w:tc>
          <w:tcPr>
            <w:tcW w:w="464" w:type="pct"/>
            <w:tcBorders>
              <w:top w:val="nil"/>
              <w:left w:val="nil"/>
              <w:bottom w:val="single" w:sz="4" w:space="0" w:color="293F5B"/>
              <w:right w:val="nil"/>
            </w:tcBorders>
            <w:shd w:val="clear" w:color="auto" w:fill="auto"/>
            <w:noWrap/>
            <w:vAlign w:val="bottom"/>
            <w:hideMark/>
          </w:tcPr>
          <w:p w14:paraId="20A9A873" w14:textId="45403F98"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2025</w:t>
            </w:r>
            <w:r w:rsidR="00E23819">
              <w:rPr>
                <w:rFonts w:ascii="Arial" w:hAnsi="Arial" w:cs="Arial"/>
                <w:color w:val="000000"/>
                <w:sz w:val="16"/>
                <w:szCs w:val="16"/>
              </w:rPr>
              <w:noBreakHyphen/>
            </w:r>
            <w:r w:rsidRPr="002B54ED">
              <w:rPr>
                <w:rFonts w:ascii="Arial" w:hAnsi="Arial" w:cs="Arial"/>
                <w:color w:val="000000"/>
                <w:sz w:val="16"/>
                <w:szCs w:val="16"/>
              </w:rPr>
              <w:t>26</w:t>
            </w:r>
          </w:p>
        </w:tc>
        <w:tc>
          <w:tcPr>
            <w:tcW w:w="463" w:type="pct"/>
            <w:tcBorders>
              <w:top w:val="nil"/>
              <w:left w:val="nil"/>
              <w:bottom w:val="single" w:sz="4" w:space="0" w:color="293F5B"/>
              <w:right w:val="nil"/>
            </w:tcBorders>
            <w:shd w:val="clear" w:color="auto" w:fill="auto"/>
            <w:noWrap/>
            <w:vAlign w:val="bottom"/>
            <w:hideMark/>
          </w:tcPr>
          <w:p w14:paraId="27AFFFA6" w14:textId="0E9353DE"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2026</w:t>
            </w:r>
            <w:r w:rsidR="00E23819">
              <w:rPr>
                <w:rFonts w:ascii="Arial" w:hAnsi="Arial" w:cs="Arial"/>
                <w:color w:val="000000"/>
                <w:sz w:val="16"/>
                <w:szCs w:val="16"/>
              </w:rPr>
              <w:noBreakHyphen/>
            </w:r>
            <w:r w:rsidRPr="002B54ED">
              <w:rPr>
                <w:rFonts w:ascii="Arial" w:hAnsi="Arial" w:cs="Arial"/>
                <w:color w:val="000000"/>
                <w:sz w:val="16"/>
                <w:szCs w:val="16"/>
              </w:rPr>
              <w:t>27</w:t>
            </w:r>
          </w:p>
        </w:tc>
        <w:tc>
          <w:tcPr>
            <w:tcW w:w="463" w:type="pct"/>
            <w:tcBorders>
              <w:top w:val="nil"/>
              <w:left w:val="nil"/>
              <w:bottom w:val="single" w:sz="4" w:space="0" w:color="293F5B"/>
              <w:right w:val="nil"/>
            </w:tcBorders>
            <w:shd w:val="clear" w:color="auto" w:fill="auto"/>
            <w:noWrap/>
            <w:vAlign w:val="bottom"/>
            <w:hideMark/>
          </w:tcPr>
          <w:p w14:paraId="25EF3BCD" w14:textId="71E0D0C6"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2027</w:t>
            </w:r>
            <w:r w:rsidR="00E23819">
              <w:rPr>
                <w:rFonts w:ascii="Arial" w:hAnsi="Arial" w:cs="Arial"/>
                <w:color w:val="000000"/>
                <w:sz w:val="16"/>
                <w:szCs w:val="16"/>
              </w:rPr>
              <w:noBreakHyphen/>
            </w:r>
            <w:r w:rsidRPr="002B54ED">
              <w:rPr>
                <w:rFonts w:ascii="Arial" w:hAnsi="Arial" w:cs="Arial"/>
                <w:color w:val="000000"/>
                <w:sz w:val="16"/>
                <w:szCs w:val="16"/>
              </w:rPr>
              <w:t>28</w:t>
            </w:r>
          </w:p>
        </w:tc>
        <w:tc>
          <w:tcPr>
            <w:tcW w:w="464" w:type="pct"/>
            <w:tcBorders>
              <w:top w:val="nil"/>
              <w:left w:val="nil"/>
              <w:bottom w:val="single" w:sz="4" w:space="0" w:color="293F5B"/>
              <w:right w:val="nil"/>
            </w:tcBorders>
            <w:shd w:val="clear" w:color="auto" w:fill="auto"/>
            <w:noWrap/>
            <w:vAlign w:val="bottom"/>
            <w:hideMark/>
          </w:tcPr>
          <w:p w14:paraId="65D5FFA9" w14:textId="62BD6FA1"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2028</w:t>
            </w:r>
            <w:r w:rsidR="00E23819">
              <w:rPr>
                <w:rFonts w:ascii="Arial" w:hAnsi="Arial" w:cs="Arial"/>
                <w:color w:val="000000"/>
                <w:sz w:val="16"/>
                <w:szCs w:val="16"/>
              </w:rPr>
              <w:noBreakHyphen/>
            </w:r>
            <w:r w:rsidRPr="002B54ED">
              <w:rPr>
                <w:rFonts w:ascii="Arial" w:hAnsi="Arial" w:cs="Arial"/>
                <w:color w:val="000000"/>
                <w:sz w:val="16"/>
                <w:szCs w:val="16"/>
              </w:rPr>
              <w:t>29</w:t>
            </w:r>
          </w:p>
        </w:tc>
        <w:tc>
          <w:tcPr>
            <w:tcW w:w="175" w:type="pct"/>
            <w:tcBorders>
              <w:top w:val="nil"/>
              <w:left w:val="nil"/>
              <w:bottom w:val="nil"/>
              <w:right w:val="nil"/>
            </w:tcBorders>
            <w:shd w:val="clear" w:color="auto" w:fill="auto"/>
            <w:noWrap/>
            <w:vAlign w:val="bottom"/>
            <w:hideMark/>
          </w:tcPr>
          <w:p w14:paraId="5DBDEE94" w14:textId="77777777" w:rsidR="002B54ED" w:rsidRPr="002B54ED" w:rsidRDefault="002B54ED" w:rsidP="002B54ED">
            <w:pPr>
              <w:spacing w:before="0" w:after="0" w:line="240" w:lineRule="auto"/>
              <w:jc w:val="right"/>
              <w:rPr>
                <w:rFonts w:ascii="Arial" w:hAnsi="Arial" w:cs="Arial"/>
                <w:color w:val="000000"/>
                <w:sz w:val="16"/>
                <w:szCs w:val="16"/>
              </w:rPr>
            </w:pPr>
          </w:p>
        </w:tc>
        <w:tc>
          <w:tcPr>
            <w:tcW w:w="463" w:type="pct"/>
            <w:tcBorders>
              <w:top w:val="nil"/>
              <w:left w:val="nil"/>
              <w:bottom w:val="single" w:sz="4" w:space="0" w:color="293F5B"/>
              <w:right w:val="nil"/>
            </w:tcBorders>
            <w:shd w:val="clear" w:color="auto" w:fill="auto"/>
            <w:noWrap/>
            <w:vAlign w:val="bottom"/>
            <w:hideMark/>
          </w:tcPr>
          <w:p w14:paraId="5A768B17" w14:textId="2BEB0C4B"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2025</w:t>
            </w:r>
            <w:r w:rsidR="00E23819">
              <w:rPr>
                <w:rFonts w:ascii="Arial" w:hAnsi="Arial" w:cs="Arial"/>
                <w:color w:val="000000"/>
                <w:sz w:val="16"/>
                <w:szCs w:val="16"/>
              </w:rPr>
              <w:noBreakHyphen/>
            </w:r>
            <w:r w:rsidRPr="002B54ED">
              <w:rPr>
                <w:rFonts w:ascii="Arial" w:hAnsi="Arial" w:cs="Arial"/>
                <w:color w:val="000000"/>
                <w:sz w:val="16"/>
                <w:szCs w:val="16"/>
              </w:rPr>
              <w:t>26</w:t>
            </w:r>
          </w:p>
        </w:tc>
        <w:tc>
          <w:tcPr>
            <w:tcW w:w="463" w:type="pct"/>
            <w:tcBorders>
              <w:top w:val="nil"/>
              <w:left w:val="nil"/>
              <w:bottom w:val="single" w:sz="4" w:space="0" w:color="293F5B"/>
              <w:right w:val="nil"/>
            </w:tcBorders>
            <w:shd w:val="clear" w:color="auto" w:fill="auto"/>
            <w:noWrap/>
            <w:vAlign w:val="bottom"/>
            <w:hideMark/>
          </w:tcPr>
          <w:p w14:paraId="10C2DDB4" w14:textId="7DF0812B"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2026</w:t>
            </w:r>
            <w:r w:rsidR="00E23819">
              <w:rPr>
                <w:rFonts w:ascii="Arial" w:hAnsi="Arial" w:cs="Arial"/>
                <w:color w:val="000000"/>
                <w:sz w:val="16"/>
                <w:szCs w:val="16"/>
              </w:rPr>
              <w:noBreakHyphen/>
            </w:r>
            <w:r w:rsidRPr="002B54ED">
              <w:rPr>
                <w:rFonts w:ascii="Arial" w:hAnsi="Arial" w:cs="Arial"/>
                <w:color w:val="000000"/>
                <w:sz w:val="16"/>
                <w:szCs w:val="16"/>
              </w:rPr>
              <w:t>27</w:t>
            </w:r>
          </w:p>
        </w:tc>
        <w:tc>
          <w:tcPr>
            <w:tcW w:w="463" w:type="pct"/>
            <w:tcBorders>
              <w:top w:val="nil"/>
              <w:left w:val="nil"/>
              <w:bottom w:val="single" w:sz="4" w:space="0" w:color="293F5B"/>
              <w:right w:val="nil"/>
            </w:tcBorders>
            <w:shd w:val="clear" w:color="auto" w:fill="auto"/>
            <w:noWrap/>
            <w:vAlign w:val="bottom"/>
            <w:hideMark/>
          </w:tcPr>
          <w:p w14:paraId="1EC00EE5" w14:textId="04990074"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2027</w:t>
            </w:r>
            <w:r w:rsidR="00E23819">
              <w:rPr>
                <w:rFonts w:ascii="Arial" w:hAnsi="Arial" w:cs="Arial"/>
                <w:color w:val="000000"/>
                <w:sz w:val="16"/>
                <w:szCs w:val="16"/>
              </w:rPr>
              <w:noBreakHyphen/>
            </w:r>
            <w:r w:rsidRPr="002B54ED">
              <w:rPr>
                <w:rFonts w:ascii="Arial" w:hAnsi="Arial" w:cs="Arial"/>
                <w:color w:val="000000"/>
                <w:sz w:val="16"/>
                <w:szCs w:val="16"/>
              </w:rPr>
              <w:t>28</w:t>
            </w:r>
          </w:p>
        </w:tc>
        <w:tc>
          <w:tcPr>
            <w:tcW w:w="464" w:type="pct"/>
            <w:tcBorders>
              <w:top w:val="nil"/>
              <w:left w:val="nil"/>
              <w:bottom w:val="single" w:sz="4" w:space="0" w:color="293F5B"/>
              <w:right w:val="nil"/>
            </w:tcBorders>
            <w:shd w:val="clear" w:color="auto" w:fill="auto"/>
            <w:noWrap/>
            <w:vAlign w:val="bottom"/>
            <w:hideMark/>
          </w:tcPr>
          <w:p w14:paraId="49082C20" w14:textId="7EA170F0"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2028</w:t>
            </w:r>
            <w:r w:rsidR="00E23819">
              <w:rPr>
                <w:rFonts w:ascii="Arial" w:hAnsi="Arial" w:cs="Arial"/>
                <w:color w:val="000000"/>
                <w:sz w:val="16"/>
                <w:szCs w:val="16"/>
              </w:rPr>
              <w:noBreakHyphen/>
            </w:r>
            <w:r w:rsidRPr="002B54ED">
              <w:rPr>
                <w:rFonts w:ascii="Arial" w:hAnsi="Arial" w:cs="Arial"/>
                <w:color w:val="000000"/>
                <w:sz w:val="16"/>
                <w:szCs w:val="16"/>
              </w:rPr>
              <w:t>29</w:t>
            </w:r>
          </w:p>
        </w:tc>
      </w:tr>
      <w:tr w:rsidR="002B54ED" w:rsidRPr="002B54ED" w14:paraId="25A16F52" w14:textId="77777777" w:rsidTr="002B54ED">
        <w:trPr>
          <w:divId w:val="1236092021"/>
          <w:trHeight w:hRule="exact" w:val="225"/>
        </w:trPr>
        <w:tc>
          <w:tcPr>
            <w:tcW w:w="1119" w:type="pct"/>
            <w:tcBorders>
              <w:top w:val="nil"/>
              <w:left w:val="nil"/>
              <w:bottom w:val="nil"/>
              <w:right w:val="nil"/>
            </w:tcBorders>
            <w:shd w:val="clear" w:color="auto" w:fill="auto"/>
            <w:noWrap/>
            <w:vAlign w:val="bottom"/>
            <w:hideMark/>
          </w:tcPr>
          <w:p w14:paraId="438D1CA9" w14:textId="77777777" w:rsidR="002B54ED" w:rsidRPr="002B54ED" w:rsidRDefault="002B54ED" w:rsidP="002B54ED">
            <w:pPr>
              <w:spacing w:before="0" w:after="0" w:line="240" w:lineRule="auto"/>
              <w:rPr>
                <w:rFonts w:ascii="Arial" w:hAnsi="Arial" w:cs="Arial"/>
                <w:color w:val="000000"/>
                <w:sz w:val="16"/>
                <w:szCs w:val="16"/>
              </w:rPr>
            </w:pPr>
            <w:r w:rsidRPr="002B54ED">
              <w:rPr>
                <w:rFonts w:ascii="Arial" w:hAnsi="Arial" w:cs="Arial"/>
                <w:color w:val="000000"/>
                <w:sz w:val="16"/>
                <w:szCs w:val="16"/>
              </w:rPr>
              <w:t>Nominal GDP ($billion)</w:t>
            </w:r>
          </w:p>
        </w:tc>
        <w:tc>
          <w:tcPr>
            <w:tcW w:w="464" w:type="pct"/>
            <w:tcBorders>
              <w:top w:val="nil"/>
              <w:left w:val="nil"/>
              <w:bottom w:val="nil"/>
              <w:right w:val="nil"/>
            </w:tcBorders>
            <w:shd w:val="clear" w:color="auto" w:fill="auto"/>
            <w:noWrap/>
            <w:vAlign w:val="bottom"/>
            <w:hideMark/>
          </w:tcPr>
          <w:p w14:paraId="17915830"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5.2</w:t>
            </w:r>
          </w:p>
        </w:tc>
        <w:tc>
          <w:tcPr>
            <w:tcW w:w="463" w:type="pct"/>
            <w:tcBorders>
              <w:top w:val="nil"/>
              <w:left w:val="nil"/>
              <w:bottom w:val="nil"/>
              <w:right w:val="nil"/>
            </w:tcBorders>
            <w:shd w:val="clear" w:color="auto" w:fill="auto"/>
            <w:noWrap/>
            <w:vAlign w:val="bottom"/>
            <w:hideMark/>
          </w:tcPr>
          <w:p w14:paraId="3DF0E648"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2.7</w:t>
            </w:r>
          </w:p>
        </w:tc>
        <w:tc>
          <w:tcPr>
            <w:tcW w:w="463" w:type="pct"/>
            <w:tcBorders>
              <w:top w:val="nil"/>
              <w:left w:val="nil"/>
              <w:bottom w:val="nil"/>
              <w:right w:val="nil"/>
            </w:tcBorders>
            <w:shd w:val="clear" w:color="auto" w:fill="auto"/>
            <w:noWrap/>
            <w:vAlign w:val="bottom"/>
            <w:hideMark/>
          </w:tcPr>
          <w:p w14:paraId="5DBF1E83"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5.6</w:t>
            </w:r>
          </w:p>
        </w:tc>
        <w:tc>
          <w:tcPr>
            <w:tcW w:w="464" w:type="pct"/>
            <w:tcBorders>
              <w:top w:val="nil"/>
              <w:left w:val="nil"/>
              <w:bottom w:val="nil"/>
              <w:right w:val="nil"/>
            </w:tcBorders>
            <w:shd w:val="clear" w:color="auto" w:fill="auto"/>
            <w:noWrap/>
            <w:vAlign w:val="bottom"/>
            <w:hideMark/>
          </w:tcPr>
          <w:p w14:paraId="080276F0"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10.4</w:t>
            </w:r>
          </w:p>
        </w:tc>
        <w:tc>
          <w:tcPr>
            <w:tcW w:w="175" w:type="pct"/>
            <w:tcBorders>
              <w:top w:val="nil"/>
              <w:left w:val="nil"/>
              <w:bottom w:val="nil"/>
              <w:right w:val="nil"/>
            </w:tcBorders>
            <w:shd w:val="clear" w:color="auto" w:fill="auto"/>
            <w:noWrap/>
            <w:vAlign w:val="bottom"/>
            <w:hideMark/>
          </w:tcPr>
          <w:p w14:paraId="61998584" w14:textId="77777777" w:rsidR="002B54ED" w:rsidRPr="002B54ED" w:rsidRDefault="002B54ED" w:rsidP="002B54ED">
            <w:pPr>
              <w:spacing w:before="0" w:after="0" w:line="240" w:lineRule="auto"/>
              <w:jc w:val="right"/>
              <w:rPr>
                <w:rFonts w:ascii="Arial" w:hAnsi="Arial" w:cs="Arial"/>
                <w:color w:val="000000"/>
                <w:sz w:val="16"/>
                <w:szCs w:val="16"/>
              </w:rPr>
            </w:pPr>
          </w:p>
        </w:tc>
        <w:tc>
          <w:tcPr>
            <w:tcW w:w="463" w:type="pct"/>
            <w:tcBorders>
              <w:top w:val="nil"/>
              <w:left w:val="nil"/>
              <w:bottom w:val="nil"/>
              <w:right w:val="nil"/>
            </w:tcBorders>
            <w:shd w:val="clear" w:color="auto" w:fill="auto"/>
            <w:noWrap/>
            <w:vAlign w:val="bottom"/>
            <w:hideMark/>
          </w:tcPr>
          <w:p w14:paraId="59A3F8DC" w14:textId="69AD9F5A"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5.2</w:t>
            </w:r>
          </w:p>
        </w:tc>
        <w:tc>
          <w:tcPr>
            <w:tcW w:w="463" w:type="pct"/>
            <w:tcBorders>
              <w:top w:val="nil"/>
              <w:left w:val="nil"/>
              <w:bottom w:val="nil"/>
              <w:right w:val="nil"/>
            </w:tcBorders>
            <w:shd w:val="clear" w:color="auto" w:fill="auto"/>
            <w:noWrap/>
            <w:vAlign w:val="bottom"/>
            <w:hideMark/>
          </w:tcPr>
          <w:p w14:paraId="028EFCF2" w14:textId="2ABA4E6D"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2.7</w:t>
            </w:r>
          </w:p>
        </w:tc>
        <w:tc>
          <w:tcPr>
            <w:tcW w:w="463" w:type="pct"/>
            <w:tcBorders>
              <w:top w:val="nil"/>
              <w:left w:val="nil"/>
              <w:bottom w:val="nil"/>
              <w:right w:val="nil"/>
            </w:tcBorders>
            <w:shd w:val="clear" w:color="auto" w:fill="auto"/>
            <w:noWrap/>
            <w:vAlign w:val="bottom"/>
            <w:hideMark/>
          </w:tcPr>
          <w:p w14:paraId="428A8E68" w14:textId="127DD7A6"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5.6</w:t>
            </w:r>
          </w:p>
        </w:tc>
        <w:tc>
          <w:tcPr>
            <w:tcW w:w="464" w:type="pct"/>
            <w:tcBorders>
              <w:top w:val="nil"/>
              <w:left w:val="nil"/>
              <w:bottom w:val="nil"/>
              <w:right w:val="nil"/>
            </w:tcBorders>
            <w:shd w:val="clear" w:color="auto" w:fill="auto"/>
            <w:noWrap/>
            <w:vAlign w:val="bottom"/>
            <w:hideMark/>
          </w:tcPr>
          <w:p w14:paraId="5885F1FD" w14:textId="62489386"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10.4</w:t>
            </w:r>
          </w:p>
        </w:tc>
      </w:tr>
      <w:tr w:rsidR="002B54ED" w:rsidRPr="002B54ED" w14:paraId="68A3C26F" w14:textId="77777777" w:rsidTr="002B54ED">
        <w:trPr>
          <w:divId w:val="1236092021"/>
          <w:trHeight w:hRule="exact" w:val="225"/>
        </w:trPr>
        <w:tc>
          <w:tcPr>
            <w:tcW w:w="1119" w:type="pct"/>
            <w:tcBorders>
              <w:top w:val="nil"/>
              <w:left w:val="nil"/>
              <w:bottom w:val="single" w:sz="4" w:space="0" w:color="293F5B"/>
              <w:right w:val="nil"/>
            </w:tcBorders>
            <w:shd w:val="clear" w:color="auto" w:fill="auto"/>
            <w:noWrap/>
            <w:vAlign w:val="bottom"/>
            <w:hideMark/>
          </w:tcPr>
          <w:p w14:paraId="3D3872A8" w14:textId="77777777" w:rsidR="002B54ED" w:rsidRPr="002B54ED" w:rsidRDefault="002B54ED" w:rsidP="002B54ED">
            <w:pPr>
              <w:spacing w:before="0" w:after="0" w:line="240" w:lineRule="auto"/>
              <w:rPr>
                <w:rFonts w:ascii="Arial" w:hAnsi="Arial" w:cs="Arial"/>
                <w:color w:val="000000"/>
                <w:sz w:val="16"/>
                <w:szCs w:val="16"/>
              </w:rPr>
            </w:pPr>
            <w:r w:rsidRPr="002B54ED">
              <w:rPr>
                <w:rFonts w:ascii="Arial" w:hAnsi="Arial" w:cs="Arial"/>
                <w:color w:val="000000"/>
                <w:sz w:val="16"/>
                <w:szCs w:val="16"/>
              </w:rPr>
              <w:t>Tax receipts ($billion)</w:t>
            </w:r>
          </w:p>
        </w:tc>
        <w:tc>
          <w:tcPr>
            <w:tcW w:w="464" w:type="pct"/>
            <w:tcBorders>
              <w:top w:val="nil"/>
              <w:left w:val="nil"/>
              <w:bottom w:val="single" w:sz="4" w:space="0" w:color="293F5B"/>
              <w:right w:val="nil"/>
            </w:tcBorders>
            <w:shd w:val="clear" w:color="auto" w:fill="auto"/>
            <w:noWrap/>
            <w:vAlign w:val="bottom"/>
            <w:hideMark/>
          </w:tcPr>
          <w:p w14:paraId="39937704"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0.4</w:t>
            </w:r>
          </w:p>
        </w:tc>
        <w:tc>
          <w:tcPr>
            <w:tcW w:w="463" w:type="pct"/>
            <w:tcBorders>
              <w:top w:val="nil"/>
              <w:left w:val="nil"/>
              <w:bottom w:val="single" w:sz="4" w:space="0" w:color="293F5B"/>
              <w:right w:val="nil"/>
            </w:tcBorders>
            <w:shd w:val="clear" w:color="auto" w:fill="auto"/>
            <w:noWrap/>
            <w:vAlign w:val="bottom"/>
            <w:hideMark/>
          </w:tcPr>
          <w:p w14:paraId="6949A214"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0.5</w:t>
            </w:r>
          </w:p>
        </w:tc>
        <w:tc>
          <w:tcPr>
            <w:tcW w:w="463" w:type="pct"/>
            <w:tcBorders>
              <w:top w:val="nil"/>
              <w:left w:val="nil"/>
              <w:bottom w:val="single" w:sz="4" w:space="0" w:color="293F5B"/>
              <w:right w:val="nil"/>
            </w:tcBorders>
            <w:shd w:val="clear" w:color="auto" w:fill="auto"/>
            <w:noWrap/>
            <w:vAlign w:val="bottom"/>
            <w:hideMark/>
          </w:tcPr>
          <w:p w14:paraId="48DBB9FF"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0.5</w:t>
            </w:r>
          </w:p>
        </w:tc>
        <w:tc>
          <w:tcPr>
            <w:tcW w:w="464" w:type="pct"/>
            <w:tcBorders>
              <w:top w:val="nil"/>
              <w:left w:val="nil"/>
              <w:bottom w:val="single" w:sz="4" w:space="0" w:color="293F5B"/>
              <w:right w:val="nil"/>
            </w:tcBorders>
            <w:shd w:val="clear" w:color="auto" w:fill="auto"/>
            <w:noWrap/>
            <w:vAlign w:val="bottom"/>
            <w:hideMark/>
          </w:tcPr>
          <w:p w14:paraId="307B5895"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2.1</w:t>
            </w:r>
          </w:p>
        </w:tc>
        <w:tc>
          <w:tcPr>
            <w:tcW w:w="175" w:type="pct"/>
            <w:tcBorders>
              <w:top w:val="nil"/>
              <w:left w:val="nil"/>
              <w:bottom w:val="single" w:sz="4" w:space="0" w:color="293F5B"/>
              <w:right w:val="nil"/>
            </w:tcBorders>
            <w:shd w:val="clear" w:color="auto" w:fill="auto"/>
            <w:noWrap/>
            <w:vAlign w:val="bottom"/>
            <w:hideMark/>
          </w:tcPr>
          <w:p w14:paraId="07022A05" w14:textId="77777777" w:rsidR="002B54ED" w:rsidRPr="002B54ED" w:rsidRDefault="002B54ED" w:rsidP="002B54ED">
            <w:pPr>
              <w:spacing w:before="0" w:after="0" w:line="240" w:lineRule="auto"/>
              <w:jc w:val="right"/>
              <w:rPr>
                <w:rFonts w:ascii="Arial" w:hAnsi="Arial" w:cs="Arial"/>
                <w:color w:val="000000"/>
                <w:sz w:val="16"/>
                <w:szCs w:val="16"/>
              </w:rPr>
            </w:pPr>
            <w:r w:rsidRPr="002B54ED">
              <w:rPr>
                <w:rFonts w:ascii="Arial" w:hAnsi="Arial" w:cs="Arial"/>
                <w:color w:val="000000"/>
                <w:sz w:val="16"/>
                <w:szCs w:val="16"/>
              </w:rPr>
              <w:t> </w:t>
            </w:r>
          </w:p>
        </w:tc>
        <w:tc>
          <w:tcPr>
            <w:tcW w:w="463" w:type="pct"/>
            <w:tcBorders>
              <w:top w:val="nil"/>
              <w:left w:val="nil"/>
              <w:bottom w:val="single" w:sz="4" w:space="0" w:color="293F5B"/>
              <w:right w:val="nil"/>
            </w:tcBorders>
            <w:shd w:val="clear" w:color="auto" w:fill="auto"/>
            <w:noWrap/>
            <w:vAlign w:val="bottom"/>
            <w:hideMark/>
          </w:tcPr>
          <w:p w14:paraId="7912A5C7" w14:textId="47F5F50B"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0.4</w:t>
            </w:r>
          </w:p>
        </w:tc>
        <w:tc>
          <w:tcPr>
            <w:tcW w:w="463" w:type="pct"/>
            <w:tcBorders>
              <w:top w:val="nil"/>
              <w:left w:val="nil"/>
              <w:bottom w:val="single" w:sz="4" w:space="0" w:color="293F5B"/>
              <w:right w:val="nil"/>
            </w:tcBorders>
            <w:shd w:val="clear" w:color="auto" w:fill="auto"/>
            <w:noWrap/>
            <w:vAlign w:val="bottom"/>
            <w:hideMark/>
          </w:tcPr>
          <w:p w14:paraId="5B6ECAB0" w14:textId="7937CD2B"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0.5</w:t>
            </w:r>
          </w:p>
        </w:tc>
        <w:tc>
          <w:tcPr>
            <w:tcW w:w="463" w:type="pct"/>
            <w:tcBorders>
              <w:top w:val="nil"/>
              <w:left w:val="nil"/>
              <w:bottom w:val="single" w:sz="4" w:space="0" w:color="293F5B"/>
              <w:right w:val="nil"/>
            </w:tcBorders>
            <w:shd w:val="clear" w:color="auto" w:fill="auto"/>
            <w:noWrap/>
            <w:vAlign w:val="bottom"/>
            <w:hideMark/>
          </w:tcPr>
          <w:p w14:paraId="4462A478" w14:textId="235CD2BC"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0.5</w:t>
            </w:r>
          </w:p>
        </w:tc>
        <w:tc>
          <w:tcPr>
            <w:tcW w:w="464" w:type="pct"/>
            <w:tcBorders>
              <w:top w:val="nil"/>
              <w:left w:val="nil"/>
              <w:bottom w:val="single" w:sz="4" w:space="0" w:color="293F5B"/>
              <w:right w:val="nil"/>
            </w:tcBorders>
            <w:shd w:val="clear" w:color="auto" w:fill="auto"/>
            <w:noWrap/>
            <w:vAlign w:val="bottom"/>
            <w:hideMark/>
          </w:tcPr>
          <w:p w14:paraId="174C63F7" w14:textId="0330A0CC" w:rsidR="002B54ED" w:rsidRPr="002B54ED" w:rsidRDefault="00E23819" w:rsidP="002B54E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B54ED" w:rsidRPr="002B54ED">
              <w:rPr>
                <w:rFonts w:ascii="Arial" w:hAnsi="Arial" w:cs="Arial"/>
                <w:color w:val="000000"/>
                <w:sz w:val="16"/>
                <w:szCs w:val="16"/>
              </w:rPr>
              <w:t>2.1</w:t>
            </w:r>
          </w:p>
        </w:tc>
      </w:tr>
    </w:tbl>
    <w:p w14:paraId="11C14337" w14:textId="7530AE37" w:rsidR="00397CED" w:rsidRPr="00CE091F" w:rsidRDefault="00781275" w:rsidP="00781275">
      <w:pPr>
        <w:pStyle w:val="ChartandTableFootnoteAlpha"/>
        <w:numPr>
          <w:ilvl w:val="0"/>
          <w:numId w:val="0"/>
        </w:numPr>
        <w:spacing w:before="0"/>
        <w:rPr>
          <w:color w:val="auto"/>
        </w:rPr>
      </w:pPr>
      <w:r>
        <w:rPr>
          <w:color w:val="auto"/>
        </w:rPr>
        <w:t>a)</w:t>
      </w:r>
      <w:r w:rsidR="00397CED" w:rsidRPr="00CE091F">
        <w:rPr>
          <w:color w:val="auto"/>
        </w:rPr>
        <w:t xml:space="preserve"> Prices are presented in free</w:t>
      </w:r>
      <w:r w:rsidR="00E23819">
        <w:rPr>
          <w:color w:val="auto"/>
        </w:rPr>
        <w:noBreakHyphen/>
      </w:r>
      <w:r w:rsidR="00397CED" w:rsidRPr="00CE091F">
        <w:rPr>
          <w:color w:val="auto"/>
        </w:rPr>
        <w:t>on</w:t>
      </w:r>
      <w:r w:rsidR="00E23819">
        <w:rPr>
          <w:color w:val="auto"/>
        </w:rPr>
        <w:noBreakHyphen/>
      </w:r>
      <w:r w:rsidR="00397CED" w:rsidRPr="00CE091F">
        <w:rPr>
          <w:color w:val="auto"/>
        </w:rPr>
        <w:t>board (FOB) terms which exclude the cost of freight.</w:t>
      </w:r>
      <w:r w:rsidR="003A1626" w:rsidRPr="00CE091F">
        <w:rPr>
          <w:color w:val="auto"/>
        </w:rPr>
        <w:t xml:space="preserve"> </w:t>
      </w:r>
    </w:p>
    <w:p w14:paraId="3E3C4157" w14:textId="77777777" w:rsidR="00397CED" w:rsidRPr="00CE091F" w:rsidRDefault="00397CED" w:rsidP="00397CED">
      <w:pPr>
        <w:pStyle w:val="ChartandTableFootnote"/>
        <w:rPr>
          <w:color w:val="auto"/>
        </w:rPr>
      </w:pPr>
      <w:r w:rsidRPr="00CE091F">
        <w:rPr>
          <w:color w:val="auto"/>
        </w:rPr>
        <w:t xml:space="preserve">Source: </w:t>
      </w:r>
      <w:r w:rsidRPr="00CE091F">
        <w:rPr>
          <w:color w:val="auto"/>
        </w:rPr>
        <w:tab/>
        <w:t>Treasury.</w:t>
      </w:r>
    </w:p>
    <w:p w14:paraId="28A36E77" w14:textId="77777777" w:rsidR="00397CED" w:rsidRPr="00CE091F" w:rsidRDefault="00397CED" w:rsidP="00FB1244">
      <w:pPr>
        <w:pStyle w:val="TableLine"/>
      </w:pPr>
    </w:p>
    <w:p w14:paraId="20D18620" w14:textId="28B253FE" w:rsidR="00397CED" w:rsidRPr="00CE091F" w:rsidRDefault="00397CED" w:rsidP="00397CED">
      <w:r w:rsidRPr="00CE091F">
        <w:t xml:space="preserve">The effects of a US$10 per tonne increase and decrease in the iron ore price are broadly symmetric. </w:t>
      </w:r>
      <w:r w:rsidR="00ED209C" w:rsidRPr="00CE091F">
        <w:t xml:space="preserve">The following discussion focuses mainly on an increase for illustrative purposes. </w:t>
      </w:r>
      <w:r w:rsidR="00542EC8" w:rsidRPr="00CE091F">
        <w:t>A US$10</w:t>
      </w:r>
      <w:r w:rsidR="00BE03AF">
        <w:t> </w:t>
      </w:r>
      <w:r w:rsidR="00542EC8" w:rsidRPr="00CE091F">
        <w:t>pe</w:t>
      </w:r>
      <w:r w:rsidR="00BE03AF">
        <w:t>r </w:t>
      </w:r>
      <w:r w:rsidR="00542EC8" w:rsidRPr="00CE091F">
        <w:t>tonne increase in the iron ore price increases nominal GDP by around $</w:t>
      </w:r>
      <w:r w:rsidR="002C797E" w:rsidRPr="00CE091F">
        <w:t>5.</w:t>
      </w:r>
      <w:r w:rsidR="00200848" w:rsidRPr="00CE091F">
        <w:t>2</w:t>
      </w:r>
      <w:r w:rsidR="00BE03AF">
        <w:t> </w:t>
      </w:r>
      <w:r w:rsidR="00542EC8" w:rsidRPr="00CE091F">
        <w:t>billion in 202</w:t>
      </w:r>
      <w:r w:rsidR="00200848" w:rsidRPr="00CE091F">
        <w:t>5</w:t>
      </w:r>
      <w:r w:rsidR="00542EC8" w:rsidRPr="00CE091F">
        <w:t>–2</w:t>
      </w:r>
      <w:r w:rsidR="00200848" w:rsidRPr="00CE091F">
        <w:t>6</w:t>
      </w:r>
      <w:r w:rsidR="00542EC8" w:rsidRPr="00CE091F">
        <w:t>, rising to around $</w:t>
      </w:r>
      <w:r w:rsidR="00364418" w:rsidRPr="00CE091F">
        <w:t>10.4</w:t>
      </w:r>
      <w:r w:rsidR="00BE03AF">
        <w:t> </w:t>
      </w:r>
      <w:r w:rsidR="00542EC8" w:rsidRPr="00CE091F">
        <w:t>billion in 202</w:t>
      </w:r>
      <w:r w:rsidR="002C797E" w:rsidRPr="00CE091F">
        <w:t>8</w:t>
      </w:r>
      <w:r w:rsidR="00542EC8" w:rsidRPr="00CE091F">
        <w:t>–2</w:t>
      </w:r>
      <w:r w:rsidR="002C797E" w:rsidRPr="00CE091F">
        <w:t>9</w:t>
      </w:r>
      <w:r w:rsidR="00542EC8" w:rsidRPr="00CE091F">
        <w:t>.</w:t>
      </w:r>
    </w:p>
    <w:p w14:paraId="25E89645" w14:textId="6D94A805" w:rsidR="0074228E" w:rsidRPr="00CE091F" w:rsidRDefault="00040C22" w:rsidP="00397CED">
      <w:r w:rsidRPr="00CE091F">
        <w:t>The economic response to a permanent change in the price of iron ore is derived from a generic terms of trade shock using a forward</w:t>
      </w:r>
      <w:r w:rsidR="00E23819">
        <w:noBreakHyphen/>
      </w:r>
      <w:r w:rsidRPr="00CE091F">
        <w:t>looking macroeconomic model. Higher iron ore export prices lead to a higher terms of trade, which leads directly to higher output prices and nominal GDP. The volume of output and exports in the mining sector increase in response to higher iron ore prices. However, an appreciation in the exchange rate leads to a substitution to imports which partially offsets the increase in exports and GDP</w:t>
      </w:r>
      <w:r w:rsidR="001F0C7E" w:rsidRPr="00CE091F">
        <w:t>. Th</w:t>
      </w:r>
      <w:r w:rsidR="00CF7118" w:rsidRPr="00CE091F">
        <w:t>is change in</w:t>
      </w:r>
      <w:r w:rsidR="001C276B">
        <w:t xml:space="preserve"> the</w:t>
      </w:r>
      <w:r w:rsidR="00CF7118" w:rsidRPr="00CE091F">
        <w:t xml:space="preserve"> exchange rate also</w:t>
      </w:r>
      <w:r w:rsidRPr="00CE091F">
        <w:t xml:space="preserve"> acts to reduce domestic inflation through lower import prices.</w:t>
      </w:r>
    </w:p>
    <w:p w14:paraId="56F42135" w14:textId="111C745B" w:rsidR="00397CED" w:rsidRPr="00CE091F" w:rsidRDefault="00397CED" w:rsidP="00397CED">
      <w:pPr>
        <w:ind w:right="170"/>
      </w:pPr>
      <w:bookmarkStart w:id="94" w:name="_Toc116037837"/>
      <w:bookmarkEnd w:id="92"/>
      <w:r w:rsidRPr="00CE091F">
        <w:lastRenderedPageBreak/>
        <w:t xml:space="preserve">A US$10 per tonne increase in the assumed price for iron ore exports is expected to result in an increase in tax receipts of around </w:t>
      </w:r>
      <w:r w:rsidR="006F20A7" w:rsidRPr="00CE091F">
        <w:t>$</w:t>
      </w:r>
      <w:r w:rsidR="005E02A3" w:rsidRPr="00CE091F">
        <w:t>0.4</w:t>
      </w:r>
      <w:r w:rsidRPr="00CE091F">
        <w:t xml:space="preserve"> billion </w:t>
      </w:r>
      <w:r w:rsidR="001D692D" w:rsidRPr="00CE091F">
        <w:t xml:space="preserve">in 2025–26 </w:t>
      </w:r>
      <w:r w:rsidR="00FC5B7F" w:rsidRPr="00CE091F">
        <w:t>and $0.5</w:t>
      </w:r>
      <w:r w:rsidR="00BE03AF">
        <w:t> </w:t>
      </w:r>
      <w:r w:rsidR="00FC5B7F" w:rsidRPr="00CE091F">
        <w:t>billion</w:t>
      </w:r>
      <w:r w:rsidR="063468D0" w:rsidRPr="00CE091F">
        <w:t xml:space="preserve"> </w:t>
      </w:r>
      <w:r w:rsidRPr="00CE091F">
        <w:t>in</w:t>
      </w:r>
      <w:r w:rsidR="467E5099" w:rsidRPr="00CE091F">
        <w:t xml:space="preserve"> both </w:t>
      </w:r>
      <w:r w:rsidR="001857C0" w:rsidRPr="00CE091F">
        <w:t xml:space="preserve">2026–27 </w:t>
      </w:r>
      <w:r w:rsidRPr="00CE091F">
        <w:t>and</w:t>
      </w:r>
      <w:r w:rsidR="00F97EA2" w:rsidRPr="00CE091F">
        <w:t xml:space="preserve"> 2027</w:t>
      </w:r>
      <w:r w:rsidR="00E23819">
        <w:noBreakHyphen/>
      </w:r>
      <w:r w:rsidR="00F97EA2" w:rsidRPr="00CE091F">
        <w:t>28</w:t>
      </w:r>
      <w:r w:rsidRPr="00CE091F">
        <w:t>, before increasing to $</w:t>
      </w:r>
      <w:r w:rsidR="008302BB" w:rsidRPr="00CE091F">
        <w:t>2.</w:t>
      </w:r>
      <w:r w:rsidR="00F97EA2" w:rsidRPr="00CE091F">
        <w:t>1</w:t>
      </w:r>
      <w:r w:rsidRPr="00CE091F">
        <w:t> billion in 202</w:t>
      </w:r>
      <w:r w:rsidR="00F97EA2" w:rsidRPr="00CE091F">
        <w:t>8</w:t>
      </w:r>
      <w:r w:rsidRPr="00CE091F">
        <w:t>–2</w:t>
      </w:r>
      <w:r w:rsidR="00F97EA2" w:rsidRPr="00CE091F">
        <w:t>9</w:t>
      </w:r>
      <w:r w:rsidRPr="00CE091F">
        <w:t xml:space="preserve">. An increase in iron ore prices increases mining company profits and therefore company tax receipts. This builds over time as </w:t>
      </w:r>
      <w:r w:rsidR="007A79F0" w:rsidRPr="00CE091F">
        <w:t xml:space="preserve">tax </w:t>
      </w:r>
      <w:r w:rsidRPr="00CE091F">
        <w:t>receipts incorporate the</w:t>
      </w:r>
      <w:r w:rsidR="00407190" w:rsidRPr="00CE091F">
        <w:t xml:space="preserve"> full impact </w:t>
      </w:r>
      <w:r w:rsidR="00F852A8" w:rsidRPr="00CE091F">
        <w:t xml:space="preserve">of </w:t>
      </w:r>
      <w:r w:rsidR="007F424B" w:rsidRPr="00CE091F">
        <w:t xml:space="preserve">the </w:t>
      </w:r>
      <w:r w:rsidR="0015561E" w:rsidRPr="00CE091F">
        <w:t xml:space="preserve">iron ore price increase </w:t>
      </w:r>
      <w:r w:rsidR="003747E8" w:rsidRPr="00CE091F">
        <w:t xml:space="preserve">on </w:t>
      </w:r>
      <w:r w:rsidR="0015561E" w:rsidRPr="00CE091F">
        <w:t xml:space="preserve">nominal GDP </w:t>
      </w:r>
      <w:r w:rsidR="00960564" w:rsidRPr="00CE091F">
        <w:t>and due to the</w:t>
      </w:r>
      <w:r w:rsidRPr="00CE091F">
        <w:t xml:space="preserve"> lag between when profits are realised and tax is paid by companies</w:t>
      </w:r>
      <w:r w:rsidR="00DD4E02" w:rsidRPr="00CE091F">
        <w:t xml:space="preserve">. </w:t>
      </w:r>
      <w:r w:rsidR="002142BE" w:rsidRPr="00CE091F">
        <w:t>The l</w:t>
      </w:r>
      <w:r w:rsidRPr="00CE091F">
        <w:t>ower domestic prices result in lower individuals and other withholding taxes and indirect tax receipts, partially offsetting the increase in company tax</w:t>
      </w:r>
      <w:r w:rsidR="00FF3A65" w:rsidRPr="00CE091F">
        <w:t xml:space="preserve"> receipts</w:t>
      </w:r>
      <w:r w:rsidRPr="00CE091F">
        <w:t>.</w:t>
      </w:r>
      <w:r w:rsidRPr="00CE091F" w:rsidDel="00003D7C">
        <w:t xml:space="preserve"> </w:t>
      </w:r>
      <w:bookmarkStart w:id="95" w:name="_Toc133235096"/>
      <w:bookmarkEnd w:id="93"/>
      <w:bookmarkEnd w:id="94"/>
    </w:p>
    <w:p w14:paraId="6EAADD12" w14:textId="77777777" w:rsidR="00397CED" w:rsidRPr="00CE091F" w:rsidRDefault="00397CED" w:rsidP="00397CED">
      <w:pPr>
        <w:spacing w:before="0" w:after="160" w:line="259" w:lineRule="auto"/>
        <w:rPr>
          <w:rFonts w:ascii="Arial Bold" w:hAnsi="Arial Bold"/>
          <w:b/>
          <w:sz w:val="22"/>
        </w:rPr>
      </w:pPr>
      <w:r w:rsidRPr="00CE091F">
        <w:br w:type="page"/>
      </w:r>
    </w:p>
    <w:p w14:paraId="2BEFEE2E" w14:textId="58366662" w:rsidR="00397CED" w:rsidRPr="00CE091F" w:rsidRDefault="00397CED" w:rsidP="00397CED">
      <w:pPr>
        <w:pStyle w:val="Heading3"/>
      </w:pPr>
      <w:bookmarkStart w:id="96" w:name="_Toc193529671"/>
      <w:r w:rsidRPr="00CE091F">
        <w:lastRenderedPageBreak/>
        <w:t xml:space="preserve">Movements in </w:t>
      </w:r>
      <w:bookmarkEnd w:id="95"/>
      <w:r w:rsidRPr="00CE091F">
        <w:t>yields</w:t>
      </w:r>
      <w:bookmarkEnd w:id="96"/>
    </w:p>
    <w:p w14:paraId="2E913141" w14:textId="05B0E74D" w:rsidR="00397CED" w:rsidRPr="00CE091F" w:rsidRDefault="00397CED" w:rsidP="00397CED">
      <w:r w:rsidRPr="00CE091F">
        <w:t xml:space="preserve">Government borrowing costs are sensitive to yields on Australian Government Securities and the level of debt. See </w:t>
      </w:r>
      <w:r w:rsidRPr="00CE091F">
        <w:rPr>
          <w:rStyle w:val="Emphasis"/>
        </w:rPr>
        <w:t>Budget Statement </w:t>
      </w:r>
      <w:r w:rsidR="00444B6F" w:rsidRPr="00CE091F">
        <w:rPr>
          <w:rStyle w:val="Emphasis"/>
        </w:rPr>
        <w:t>6</w:t>
      </w:r>
      <w:r w:rsidRPr="00CE091F">
        <w:rPr>
          <w:rStyle w:val="Emphasis"/>
        </w:rPr>
        <w:t>: Debt Statement</w:t>
      </w:r>
      <w:r w:rsidRPr="00CE091F">
        <w:rPr>
          <w:i/>
        </w:rPr>
        <w:t xml:space="preserve"> </w:t>
      </w:r>
      <w:r w:rsidRPr="00CE091F">
        <w:t xml:space="preserve">for further information on yields. Given the uncertainty surrounding the global and domestic outlook and the impact on yields, Treasury makes the following technical assumptions: </w:t>
      </w:r>
    </w:p>
    <w:p w14:paraId="131B5C97" w14:textId="2D5C364F" w:rsidR="00397CED" w:rsidRPr="00CE091F" w:rsidRDefault="00397CED" w:rsidP="006017B6">
      <w:pPr>
        <w:pStyle w:val="Bullet"/>
      </w:pPr>
      <w:r w:rsidRPr="00CE091F">
        <w:t xml:space="preserve">Over the forward estimates, government bond yields are fixed at rates observed immediately prior to the Budget update. </w:t>
      </w:r>
    </w:p>
    <w:p w14:paraId="1BBBB565" w14:textId="24D39CCF" w:rsidR="00397CED" w:rsidRPr="00CE091F" w:rsidRDefault="00397CED" w:rsidP="00397CED">
      <w:pPr>
        <w:pStyle w:val="Bullet"/>
        <w:numPr>
          <w:ilvl w:val="0"/>
          <w:numId w:val="3"/>
        </w:numPr>
        <w:tabs>
          <w:tab w:val="clear" w:pos="283"/>
          <w:tab w:val="num" w:pos="850"/>
        </w:tabs>
        <w:ind w:left="284" w:hanging="284"/>
      </w:pPr>
      <w:r w:rsidRPr="00CE091F">
        <w:t>After the forward estimates, the 10</w:t>
      </w:r>
      <w:r w:rsidR="00E23819">
        <w:noBreakHyphen/>
      </w:r>
      <w:r w:rsidRPr="00CE091F">
        <w:t>year bond yield converges linearly towards the long</w:t>
      </w:r>
      <w:r w:rsidR="00E23819">
        <w:noBreakHyphen/>
      </w:r>
      <w:r w:rsidRPr="00CE091F">
        <w:t>run nominal GDP growth rate over 15</w:t>
      </w:r>
      <w:r w:rsidR="009356C1">
        <w:t xml:space="preserve"> </w:t>
      </w:r>
      <w:r w:rsidRPr="00CE091F">
        <w:t>years. This is broadly consistent with the approaches of comparable advanced economies. The yields on other bond tenors are assumed to maintain their historical relativity to the 10</w:t>
      </w:r>
      <w:r w:rsidR="00E23819">
        <w:noBreakHyphen/>
      </w:r>
      <w:r w:rsidRPr="00CE091F">
        <w:t xml:space="preserve">year bond yield. </w:t>
      </w:r>
    </w:p>
    <w:p w14:paraId="0B2AA170" w14:textId="051F13AC" w:rsidR="00397CED" w:rsidRPr="00CE091F" w:rsidRDefault="00397CED" w:rsidP="00397CED">
      <w:r w:rsidRPr="00CE091F">
        <w:t>The higher yield assumption has bond yields increasing by 100 basis points by 30 June 202</w:t>
      </w:r>
      <w:r w:rsidR="00DB3CBF" w:rsidRPr="00CE091F">
        <w:t>6</w:t>
      </w:r>
      <w:r w:rsidRPr="00CE091F">
        <w:t>. Yields are then held constant over the remainder of the forward estimates to 202</w:t>
      </w:r>
      <w:r w:rsidR="00DB3CBF" w:rsidRPr="00CE091F">
        <w:t>8</w:t>
      </w:r>
      <w:r w:rsidRPr="00CE091F">
        <w:t>–2</w:t>
      </w:r>
      <w:r w:rsidR="00DB3CBF" w:rsidRPr="00CE091F">
        <w:t>9</w:t>
      </w:r>
      <w:r w:rsidRPr="00CE091F">
        <w:t>, before linearly converging to the long</w:t>
      </w:r>
      <w:r w:rsidR="00E23819">
        <w:noBreakHyphen/>
      </w:r>
      <w:r w:rsidRPr="00CE091F">
        <w:t>run yield assumption of nominal GDP growth over 15</w:t>
      </w:r>
      <w:r w:rsidR="009356C1">
        <w:t xml:space="preserve"> </w:t>
      </w:r>
      <w:r w:rsidRPr="00CE091F">
        <w:t>years. The lower yield sensitivity is symmetric (Chart </w:t>
      </w:r>
      <w:r w:rsidR="009F1F00" w:rsidRPr="00CE091F">
        <w:t>7.</w:t>
      </w:r>
      <w:r w:rsidRPr="00CE091F">
        <w:t>14). Other economic parameters are assumed to remain unchanged from baseline forecasts to isolate the direct impact on fiscal aggregates.</w:t>
      </w:r>
    </w:p>
    <w:p w14:paraId="7D7FEC92" w14:textId="504C9D86" w:rsidR="00397CED" w:rsidRPr="00CE091F" w:rsidRDefault="00397CED" w:rsidP="00397CED">
      <w:pPr>
        <w:pStyle w:val="ChartHeading"/>
      </w:pPr>
      <w:r w:rsidRPr="00CE091F">
        <w:t xml:space="preserve">Chart </w:t>
      </w:r>
      <w:r w:rsidR="009F1F00" w:rsidRPr="00CE091F">
        <w:t>7.</w:t>
      </w:r>
      <w:r w:rsidRPr="00CE091F">
        <w:t>14: Baseline and alternative movements in the 10</w:t>
      </w:r>
      <w:r w:rsidR="00E23819">
        <w:noBreakHyphen/>
      </w:r>
      <w:r w:rsidRPr="00CE091F">
        <w:t xml:space="preserve">year bond yield </w:t>
      </w:r>
    </w:p>
    <w:p w14:paraId="2FA3A7A8" w14:textId="5FCA767E" w:rsidR="00397CED" w:rsidRPr="00CE091F" w:rsidRDefault="00893EC2" w:rsidP="00CF4941">
      <w:pPr>
        <w:pStyle w:val="ChartGraphic"/>
      </w:pPr>
      <w:bookmarkStart w:id="97" w:name="_1803983715"/>
      <w:bookmarkEnd w:id="97"/>
      <w:r>
        <w:pict w14:anchorId="0C637D4C">
          <v:shape id="_x0000_i1038" type="#_x0000_t75" alt="The baseline yield assumption is that the 10-year yield remains at around 4.4% over the period to 2028-29. The higher yield assumption has the 10-year bond yield rising to 5.4% by 30 June 2026. The lower yield assumption falling to 3.4% by 30 June 2026. In all scenarios, the 10-year yield is held constant over the period to 2028–29, before linearly converging towards the long run yield assumption of nominal GDP growth over 15 years." style="width:373.5pt;height:223.5pt">
            <v:imagedata r:id="rId31" o:title=""/>
          </v:shape>
        </w:pict>
      </w:r>
    </w:p>
    <w:p w14:paraId="3463B35F" w14:textId="77777777" w:rsidR="00397CED" w:rsidRPr="00CE091F" w:rsidRDefault="00397CED" w:rsidP="00397CED">
      <w:pPr>
        <w:pStyle w:val="ChartandTableFootnote"/>
        <w:rPr>
          <w:color w:val="auto"/>
        </w:rPr>
      </w:pPr>
      <w:bookmarkStart w:id="98" w:name="_1727880749"/>
      <w:bookmarkStart w:id="99" w:name="_1727940191"/>
      <w:bookmarkStart w:id="100" w:name="_1727950797"/>
      <w:bookmarkEnd w:id="98"/>
      <w:bookmarkEnd w:id="99"/>
      <w:bookmarkEnd w:id="100"/>
      <w:r w:rsidRPr="00CE091F">
        <w:rPr>
          <w:color w:val="auto"/>
        </w:rPr>
        <w:t xml:space="preserve">Source: </w:t>
      </w:r>
      <w:r w:rsidRPr="00CE091F">
        <w:rPr>
          <w:color w:val="auto"/>
        </w:rPr>
        <w:tab/>
        <w:t>Treasury.</w:t>
      </w:r>
    </w:p>
    <w:p w14:paraId="6FE50718" w14:textId="77777777" w:rsidR="00397CED" w:rsidRPr="00CE091F" w:rsidRDefault="00397CED" w:rsidP="00FB1244">
      <w:pPr>
        <w:pStyle w:val="ChartLine"/>
      </w:pPr>
    </w:p>
    <w:p w14:paraId="404E1DC7" w14:textId="77777777" w:rsidR="00397CED" w:rsidRPr="00CE091F" w:rsidRDefault="00397CED" w:rsidP="00397CED">
      <w:pPr>
        <w:spacing w:before="0" w:after="160" w:line="259" w:lineRule="auto"/>
      </w:pPr>
      <w:bookmarkStart w:id="101" w:name="_1700568839"/>
      <w:bookmarkStart w:id="102" w:name="_1700573370"/>
      <w:bookmarkStart w:id="103" w:name="_1700647015"/>
      <w:bookmarkStart w:id="104" w:name="_1700646965"/>
      <w:bookmarkStart w:id="105" w:name="_1707640144"/>
      <w:bookmarkStart w:id="106" w:name="_1707746801"/>
      <w:bookmarkStart w:id="107" w:name="_1707825457"/>
      <w:bookmarkStart w:id="108" w:name="_1709480198"/>
      <w:bookmarkEnd w:id="101"/>
      <w:bookmarkEnd w:id="102"/>
      <w:bookmarkEnd w:id="103"/>
      <w:bookmarkEnd w:id="104"/>
      <w:bookmarkEnd w:id="105"/>
      <w:bookmarkEnd w:id="106"/>
      <w:bookmarkEnd w:id="107"/>
      <w:bookmarkEnd w:id="108"/>
      <w:r w:rsidRPr="00CE091F">
        <w:t xml:space="preserve">Higher yields increase public debt interest payments and receipts earned on investments. As government interest bearing liabilities usually exceed interest bearing assets, higher </w:t>
      </w:r>
      <w:r w:rsidRPr="00CE091F">
        <w:lastRenderedPageBreak/>
        <w:t>yields lead to a deterioration in the underlying cash balance. Lower yields have the reverse effect, improving the underlying cash balance.</w:t>
      </w:r>
    </w:p>
    <w:p w14:paraId="0FD93117" w14:textId="56AA4C60" w:rsidR="00397CED" w:rsidRPr="00CE091F" w:rsidRDefault="00397CED" w:rsidP="00397CED">
      <w:r w:rsidRPr="00CE091F">
        <w:t xml:space="preserve">The higher yield assumption results in a deterioration to the underlying cash balance of </w:t>
      </w:r>
      <w:r w:rsidR="004C31F7" w:rsidRPr="00CE091F">
        <w:t>0.3</w:t>
      </w:r>
      <w:r w:rsidRPr="00CE091F">
        <w:t> percentage points of GDP by 20</w:t>
      </w:r>
      <w:r w:rsidR="00CB7353" w:rsidRPr="00CE091F">
        <w:t>35</w:t>
      </w:r>
      <w:r w:rsidRPr="00CE091F">
        <w:t>–3</w:t>
      </w:r>
      <w:r w:rsidR="00CB7353" w:rsidRPr="00CE091F">
        <w:t>6</w:t>
      </w:r>
      <w:r w:rsidRPr="00CE091F">
        <w:t xml:space="preserve"> and increases gross debt by </w:t>
      </w:r>
      <w:r w:rsidR="008C57E8" w:rsidRPr="00CE091F">
        <w:t>2.1</w:t>
      </w:r>
      <w:r w:rsidRPr="00CE091F">
        <w:t xml:space="preserve"> percentage points of GDP </w:t>
      </w:r>
      <w:proofErr w:type="gramStart"/>
      <w:r w:rsidRPr="00CE091F">
        <w:t>at</w:t>
      </w:r>
      <w:proofErr w:type="gramEnd"/>
      <w:r w:rsidRPr="00CE091F">
        <w:t xml:space="preserve"> 30 June 203</w:t>
      </w:r>
      <w:r w:rsidR="00CB7353" w:rsidRPr="00CE091F">
        <w:t>6</w:t>
      </w:r>
      <w:r w:rsidRPr="00CE091F">
        <w:t xml:space="preserve"> (Chart </w:t>
      </w:r>
      <w:r w:rsidR="009F1F00" w:rsidRPr="00CE091F">
        <w:t>7.</w:t>
      </w:r>
      <w:r w:rsidRPr="00CE091F">
        <w:t>15).</w:t>
      </w:r>
    </w:p>
    <w:p w14:paraId="1A3CF202" w14:textId="7A08A7AA" w:rsidR="00397CED" w:rsidRPr="00CE091F" w:rsidRDefault="00397CED" w:rsidP="00397CED">
      <w:r w:rsidRPr="00CE091F">
        <w:t xml:space="preserve">The lower yield assumption results in an improvement to the underlying cash balance of </w:t>
      </w:r>
      <w:r w:rsidR="008C57E8" w:rsidRPr="00CE091F">
        <w:t>0.2</w:t>
      </w:r>
      <w:r w:rsidRPr="00CE091F">
        <w:t> percentage points of GDP by 203</w:t>
      </w:r>
      <w:r w:rsidR="00AD63B4" w:rsidRPr="00CE091F">
        <w:t>5</w:t>
      </w:r>
      <w:r w:rsidRPr="00CE091F">
        <w:t>–3</w:t>
      </w:r>
      <w:r w:rsidR="00AD63B4" w:rsidRPr="00CE091F">
        <w:t>6</w:t>
      </w:r>
      <w:r w:rsidRPr="00CE091F">
        <w:t xml:space="preserve">. Under the lower yield assumption, cumulative improvements to the underlying cash balance reduce gross debt by </w:t>
      </w:r>
      <w:r w:rsidR="008C57E8" w:rsidRPr="00CE091F">
        <w:t>2.1</w:t>
      </w:r>
      <w:r w:rsidRPr="00CE091F">
        <w:t xml:space="preserve"> percentage points of GDP </w:t>
      </w:r>
      <w:proofErr w:type="gramStart"/>
      <w:r w:rsidRPr="00CE091F">
        <w:t>at</w:t>
      </w:r>
      <w:proofErr w:type="gramEnd"/>
      <w:r w:rsidRPr="00CE091F">
        <w:t xml:space="preserve"> 30 June 2</w:t>
      </w:r>
      <w:r w:rsidR="00AD63B4" w:rsidRPr="00CE091F">
        <w:t>036</w:t>
      </w:r>
      <w:r w:rsidRPr="00CE091F">
        <w:t>.</w:t>
      </w:r>
    </w:p>
    <w:p w14:paraId="2F1D087A" w14:textId="6EC7138F" w:rsidR="00397CED" w:rsidRPr="00CE091F" w:rsidRDefault="00397CED" w:rsidP="00397CED">
      <w:pPr>
        <w:pStyle w:val="ChartHeading"/>
        <w:rPr>
          <w:rFonts w:eastAsiaTheme="minorHAnsi"/>
        </w:rPr>
      </w:pPr>
      <w:r w:rsidRPr="00CE091F">
        <w:t xml:space="preserve">Chart </w:t>
      </w:r>
      <w:r w:rsidR="009F1F00" w:rsidRPr="00CE091F">
        <w:t>7.</w:t>
      </w:r>
      <w:r w:rsidRPr="00CE091F">
        <w:t>15: Gross debt</w:t>
      </w:r>
    </w:p>
    <w:p w14:paraId="07DAEA52" w14:textId="0D2836CE" w:rsidR="00397CED" w:rsidRPr="00CE091F" w:rsidRDefault="00893EC2" w:rsidP="00845A8D">
      <w:pPr>
        <w:pStyle w:val="ChartGraphic"/>
        <w:rPr>
          <w:rFonts w:eastAsiaTheme="minorHAnsi"/>
        </w:rPr>
      </w:pPr>
      <w:bookmarkStart w:id="109" w:name="_1803983717"/>
      <w:bookmarkEnd w:id="109"/>
      <w:r>
        <w:rPr>
          <w:rFonts w:eastAsiaTheme="minorHAnsi"/>
        </w:rPr>
        <w:pict w14:anchorId="481C9FB8">
          <v:shape id="_x0000_i1039" type="#_x0000_t75" alt="The chart compares gross debt as a share of GDP from 2024-25 to 2035-36 under the baseline, higher yield and lower yield assumptions. Under the baseline, gross debt-to-GDP peaks at 37.0 per cent in 2029-30, and falls to 31.9 per cent in 2035-36. Under the lower yield assumption it peaks at 36.2 in 2027-28 and falls to 29.9 per cent in 2035-36. Under the higher yield assumption it peaks at 37.9 in 2030-31 and falls to 34.0 per cent in 2035-36." style="width:367.5pt;height:227.25pt">
            <v:imagedata r:id="rId32" o:title=""/>
          </v:shape>
        </w:pict>
      </w:r>
    </w:p>
    <w:p w14:paraId="5BD88D59" w14:textId="48AE1AAC" w:rsidR="00397CED" w:rsidRPr="00CE091F" w:rsidRDefault="00397CED" w:rsidP="005A30C4">
      <w:pPr>
        <w:pStyle w:val="ChartandTableFootnote"/>
        <w:ind w:left="0" w:firstLine="0"/>
        <w:rPr>
          <w:color w:val="auto"/>
        </w:rPr>
      </w:pPr>
      <w:r w:rsidRPr="00CE091F">
        <w:rPr>
          <w:color w:val="auto"/>
        </w:rPr>
        <w:t xml:space="preserve">Source: </w:t>
      </w:r>
      <w:r w:rsidRPr="00CE091F">
        <w:rPr>
          <w:color w:val="auto"/>
        </w:rPr>
        <w:tab/>
        <w:t>Australian Office of Financial Management and Treasury.</w:t>
      </w:r>
    </w:p>
    <w:p w14:paraId="1A5D6AB4" w14:textId="2C68CC5C" w:rsidR="00476C6B" w:rsidRPr="00476C6B" w:rsidRDefault="00476C6B" w:rsidP="007C51F3">
      <w:pPr>
        <w:pStyle w:val="ChartLine"/>
      </w:pPr>
    </w:p>
    <w:sectPr w:rsidR="00476C6B" w:rsidRPr="00476C6B" w:rsidSect="002615E4">
      <w:footnotePr>
        <w:numStart w:val="2"/>
      </w:footnotePr>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21FF" w14:textId="77777777" w:rsidR="00CE6372" w:rsidRDefault="00CE6372" w:rsidP="00E40261">
      <w:pPr>
        <w:spacing w:after="0" w:line="240" w:lineRule="auto"/>
      </w:pPr>
      <w:r>
        <w:separator/>
      </w:r>
    </w:p>
  </w:endnote>
  <w:endnote w:type="continuationSeparator" w:id="0">
    <w:p w14:paraId="4C928D8F" w14:textId="77777777" w:rsidR="00CE6372" w:rsidRDefault="00CE6372" w:rsidP="00E40261">
      <w:pPr>
        <w:spacing w:after="0" w:line="240" w:lineRule="auto"/>
      </w:pPr>
      <w:r>
        <w:continuationSeparator/>
      </w:r>
    </w:p>
  </w:endnote>
  <w:endnote w:type="continuationNotice" w:id="1">
    <w:p w14:paraId="140FF781" w14:textId="77777777" w:rsidR="00CE6372" w:rsidRDefault="00CE63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ira Code">
    <w:charset w:val="00"/>
    <w:family w:val="modern"/>
    <w:pitch w:val="fixed"/>
    <w:sig w:usb0="E00002EF" w:usb1="1200F8F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EA5B" w14:textId="440213F4" w:rsidR="00397CED" w:rsidRDefault="00893EC2" w:rsidP="002A6A16">
    <w:pPr>
      <w:pStyle w:val="FooterOdd"/>
    </w:pPr>
    <w:r>
      <w:fldChar w:fldCharType="begin"/>
    </w:r>
    <w:r>
      <w:instrText>SUBJECT   \* MERGEFORMAT</w:instrText>
    </w:r>
    <w:r>
      <w:fldChar w:fldCharType="separate"/>
    </w:r>
    <w:r w:rsidR="004405CC">
      <w:t>Statement 7: Forecasting Performance and Sensitivity Analysis</w:t>
    </w:r>
    <w:r>
      <w:fldChar w:fldCharType="end"/>
    </w:r>
    <w:r w:rsidR="00397CED" w:rsidRPr="00B3705D">
      <w:t xml:space="preserve">  |  </w:t>
    </w:r>
    <w:r w:rsidR="00397CED" w:rsidRPr="00B3705D">
      <w:rPr>
        <w:b/>
        <w:bCs/>
      </w:rPr>
      <w:t xml:space="preserve">Page </w:t>
    </w:r>
    <w:r w:rsidR="00397CED" w:rsidRPr="00B3705D">
      <w:rPr>
        <w:b/>
        <w:bCs/>
      </w:rPr>
      <w:fldChar w:fldCharType="begin"/>
    </w:r>
    <w:r w:rsidR="00397CED" w:rsidRPr="00B3705D">
      <w:rPr>
        <w:b/>
        <w:bCs/>
      </w:rPr>
      <w:instrText xml:space="preserve"> PAGE  \* Arabic  \* MERGEFORMAT </w:instrText>
    </w:r>
    <w:r w:rsidR="00397CED" w:rsidRPr="00B3705D">
      <w:rPr>
        <w:b/>
        <w:bCs/>
      </w:rPr>
      <w:fldChar w:fldCharType="separate"/>
    </w:r>
    <w:r w:rsidR="00397CED">
      <w:rPr>
        <w:b/>
        <w:bCs/>
      </w:rPr>
      <w:t>1</w:t>
    </w:r>
    <w:r w:rsidR="00397CED"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E110" w14:textId="6AE43F75" w:rsidR="00397CED" w:rsidRDefault="00893EC2" w:rsidP="00360947">
    <w:pPr>
      <w:pStyle w:val="FooterOdd"/>
    </w:pPr>
    <w:r>
      <w:fldChar w:fldCharType="begin"/>
    </w:r>
    <w:r>
      <w:instrText>SUBJECT   \* MERGEFORMAT</w:instrText>
    </w:r>
    <w:r>
      <w:fldChar w:fldCharType="separate"/>
    </w:r>
    <w:r w:rsidR="004405CC">
      <w:t>Statement 7: Forecasting Performance and Sensitivity Analysis</w:t>
    </w:r>
    <w:r>
      <w:fldChar w:fldCharType="end"/>
    </w:r>
    <w:r w:rsidR="00C3710C" w:rsidRPr="00081542">
      <w:t> </w:t>
    </w:r>
    <w:r w:rsidR="00397CED" w:rsidRPr="00B3705D">
      <w:t>|</w:t>
    </w:r>
    <w:r w:rsidR="00C3710C" w:rsidRPr="00081542">
      <w:t> </w:t>
    </w:r>
    <w:r w:rsidR="00397CED" w:rsidRPr="00B3705D">
      <w:rPr>
        <w:b/>
        <w:bCs/>
      </w:rPr>
      <w:t xml:space="preserve">Page </w:t>
    </w:r>
    <w:r w:rsidR="00397CED" w:rsidRPr="00B3705D">
      <w:rPr>
        <w:b/>
        <w:bCs/>
      </w:rPr>
      <w:fldChar w:fldCharType="begin"/>
    </w:r>
    <w:r w:rsidR="00397CED" w:rsidRPr="00B3705D">
      <w:rPr>
        <w:b/>
        <w:bCs/>
      </w:rPr>
      <w:instrText xml:space="preserve"> PAGE  \* Arabic  \* MERGEFORMAT </w:instrText>
    </w:r>
    <w:r w:rsidR="00397CED" w:rsidRPr="00B3705D">
      <w:rPr>
        <w:b/>
        <w:bCs/>
      </w:rPr>
      <w:fldChar w:fldCharType="separate"/>
    </w:r>
    <w:r w:rsidR="00397CED">
      <w:rPr>
        <w:b/>
        <w:bCs/>
      </w:rPr>
      <w:t>1</w:t>
    </w:r>
    <w:r w:rsidR="00397CED"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C029" w14:textId="5FBE17C7"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893EC2">
      <w:fldChar w:fldCharType="begin"/>
    </w:r>
    <w:r w:rsidR="00893EC2">
      <w:instrText>SUBJECT   \* MERGEFORMAT</w:instrText>
    </w:r>
    <w:r w:rsidR="00893EC2">
      <w:fldChar w:fldCharType="separate"/>
    </w:r>
    <w:r w:rsidR="004405CC">
      <w:t>Statement 7: Forecasting Performance and Sensitivity Analysis</w:t>
    </w:r>
    <w:r w:rsidR="00893EC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4755" w14:textId="7F51E71C" w:rsidR="0007571E" w:rsidRDefault="00893EC2" w:rsidP="009F3CAB">
    <w:pPr>
      <w:pStyle w:val="FooterOdd"/>
    </w:pPr>
    <w:r>
      <w:fldChar w:fldCharType="begin"/>
    </w:r>
    <w:r>
      <w:instrText>SUBJECT   \* MERGEFORMAT</w:instrText>
    </w:r>
    <w:r>
      <w:fldChar w:fldCharType="separate"/>
    </w:r>
    <w:r w:rsidR="004405CC">
      <w:t>Statement 7: Forecasting Performance and Sensitivity Analysis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BC00" w14:textId="44C8273F" w:rsidR="0007571E" w:rsidRDefault="00893EC2" w:rsidP="00D92AA7">
    <w:pPr>
      <w:pStyle w:val="FooterOdd"/>
    </w:pPr>
    <w:r>
      <w:fldChar w:fldCharType="begin"/>
    </w:r>
    <w:r>
      <w:instrText>SUBJECT   \* MERGEFORMAT</w:instrText>
    </w:r>
    <w:r>
      <w:fldChar w:fldCharType="separate"/>
    </w:r>
    <w:r w:rsidR="004405CC">
      <w:t>Statement 7: Forecasting Performance and Sensitivity Analysis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0D41" w14:textId="77777777" w:rsidR="00CE6372" w:rsidRPr="003C1CA4" w:rsidRDefault="00CE6372"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20D06B6" w14:textId="77777777" w:rsidR="00CE6372" w:rsidRDefault="00CE6372" w:rsidP="00E40261">
      <w:pPr>
        <w:spacing w:after="0" w:line="240" w:lineRule="auto"/>
      </w:pPr>
      <w:r>
        <w:continuationSeparator/>
      </w:r>
    </w:p>
  </w:footnote>
  <w:footnote w:type="continuationNotice" w:id="1">
    <w:p w14:paraId="15BAEBA4" w14:textId="77777777" w:rsidR="00CE6372" w:rsidRDefault="00CE6372">
      <w:pPr>
        <w:spacing w:before="0" w:after="0" w:line="240" w:lineRule="auto"/>
      </w:pPr>
    </w:p>
  </w:footnote>
  <w:footnote w:id="2">
    <w:p w14:paraId="0658145A" w14:textId="05A364B8" w:rsidR="00397CED" w:rsidRPr="009678A6" w:rsidRDefault="00DC2F8D" w:rsidP="00397CED">
      <w:pPr>
        <w:pStyle w:val="FootnoteText"/>
      </w:pPr>
      <w:r w:rsidRPr="00DC2F8D">
        <w:footnoteRef/>
      </w:r>
      <w:r w:rsidR="00397CED" w:rsidRPr="009678A6">
        <w:t xml:space="preserve"> </w:t>
      </w:r>
      <w:r w:rsidR="00397CED" w:rsidRPr="00CE091F">
        <w:tab/>
        <w:t xml:space="preserve">See Treasury Working Paper: </w:t>
      </w:r>
      <w:r w:rsidR="00397CED" w:rsidRPr="00CE091F">
        <w:rPr>
          <w:rStyle w:val="Emphasis"/>
        </w:rPr>
        <w:t>Estimates of </w:t>
      </w:r>
      <w:r w:rsidR="003362D3">
        <w:rPr>
          <w:rStyle w:val="Emphasis"/>
        </w:rPr>
        <w:t>u</w:t>
      </w:r>
      <w:r w:rsidR="00397CED" w:rsidRPr="00CE091F">
        <w:rPr>
          <w:rStyle w:val="Emphasis"/>
        </w:rPr>
        <w:t xml:space="preserve">ncertainty around </w:t>
      </w:r>
      <w:r w:rsidR="003362D3">
        <w:rPr>
          <w:rStyle w:val="Emphasis"/>
        </w:rPr>
        <w:t>b</w:t>
      </w:r>
      <w:r w:rsidR="00397CED" w:rsidRPr="00CE091F">
        <w:rPr>
          <w:rStyle w:val="Emphasis"/>
        </w:rPr>
        <w:t xml:space="preserve">udget </w:t>
      </w:r>
      <w:r w:rsidR="003362D3">
        <w:rPr>
          <w:rStyle w:val="Emphasis"/>
        </w:rPr>
        <w:t>f</w:t>
      </w:r>
      <w:r w:rsidR="00397CED" w:rsidRPr="00CE091F">
        <w:rPr>
          <w:rStyle w:val="Emphasis"/>
        </w:rPr>
        <w:t>orecasts (2013).</w:t>
      </w:r>
      <w:r w:rsidR="00397CED" w:rsidRPr="00CE091F">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C6FA" w14:textId="6B44F3ED" w:rsidR="00397CED" w:rsidRPr="00AA5439" w:rsidRDefault="00C109F6" w:rsidP="00AA5439">
    <w:pPr>
      <w:pStyle w:val="HeaderEven"/>
      <w:rPr>
        <w:sz w:val="2"/>
        <w:szCs w:val="2"/>
      </w:rPr>
    </w:pPr>
    <w:r>
      <w:rPr>
        <w:noProof/>
        <w:sz w:val="2"/>
        <w:szCs w:val="2"/>
      </w:rPr>
      <w:drawing>
        <wp:anchor distT="0" distB="0" distL="114300" distR="114300" simplePos="0" relativeHeight="251658244" behindDoc="1" locked="0" layoutInCell="1" allowOverlap="1" wp14:anchorId="2FFD0491" wp14:editId="4D0BEEC1">
          <wp:simplePos x="0" y="0"/>
          <wp:positionH relativeFrom="page">
            <wp:align>center</wp:align>
          </wp:positionH>
          <wp:positionV relativeFrom="page">
            <wp:align>center</wp:align>
          </wp:positionV>
          <wp:extent cx="7558405" cy="10691495"/>
          <wp:effectExtent l="0" t="0" r="4445" b="0"/>
          <wp:wrapNone/>
          <wp:docPr id="12117880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8749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p w14:paraId="33E72410" w14:textId="77777777" w:rsidR="00397CED" w:rsidRPr="00AA5439" w:rsidRDefault="00397CED" w:rsidP="00AA5439">
    <w:pPr>
      <w:pStyle w:val="HeaderEven"/>
      <w:rPr>
        <w:sz w:val="2"/>
        <w:szCs w:val="4"/>
      </w:rPr>
    </w:pPr>
  </w:p>
  <w:p w14:paraId="455F38FA" w14:textId="77777777" w:rsidR="00397CED" w:rsidRPr="007703C7" w:rsidRDefault="00397CED"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97CED" w14:paraId="5AE9CDC0" w14:textId="77777777" w:rsidTr="002A6A16">
      <w:trPr>
        <w:trHeight w:hRule="exact" w:val="340"/>
      </w:trPr>
      <w:tc>
        <w:tcPr>
          <w:tcW w:w="7797" w:type="dxa"/>
        </w:tcPr>
        <w:p w14:paraId="011D44EC" w14:textId="258504EC" w:rsidR="00397CED" w:rsidRDefault="00893EC2" w:rsidP="000635BE">
          <w:pPr>
            <w:pStyle w:val="HeaderOdd"/>
          </w:pPr>
          <w:r>
            <w:fldChar w:fldCharType="begin"/>
          </w:r>
          <w:r>
            <w:instrText>TITLE   \* MERGEFORMAT</w:instrText>
          </w:r>
          <w:r>
            <w:fldChar w:fldCharType="separate"/>
          </w:r>
          <w:r w:rsidR="004405CC">
            <w:t>Budget Paper No. 1</w:t>
          </w:r>
          <w:r>
            <w:fldChar w:fldCharType="end"/>
          </w:r>
          <w:r w:rsidR="00397CED">
            <w:t xml:space="preserve">  |  </w:t>
          </w:r>
          <w:r w:rsidR="00397CED" w:rsidRPr="00D47C6E">
            <w:rPr>
              <w:noProof/>
              <w:position w:val="-6"/>
            </w:rPr>
            <w:drawing>
              <wp:inline distT="0" distB="0" distL="0" distR="0" wp14:anchorId="0F4621DA" wp14:editId="108D6FFB">
                <wp:extent cx="860400" cy="144000"/>
                <wp:effectExtent l="0" t="0" r="0" b="8890"/>
                <wp:docPr id="763929370" name="Picture 763929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0400" cy="144000"/>
                        </a:xfrm>
                        <a:prstGeom prst="rect">
                          <a:avLst/>
                        </a:prstGeom>
                      </pic:spPr>
                    </pic:pic>
                  </a:graphicData>
                </a:graphic>
              </wp:inline>
            </w:drawing>
          </w:r>
        </w:p>
      </w:tc>
    </w:tr>
  </w:tbl>
  <w:p w14:paraId="56872B8C" w14:textId="77777777" w:rsidR="00397CED" w:rsidRPr="00AA5439" w:rsidRDefault="00397CED" w:rsidP="00AA5439">
    <w:pPr>
      <w:pStyle w:val="Header"/>
      <w:rPr>
        <w:sz w:val="2"/>
        <w:szCs w:val="2"/>
      </w:rPr>
    </w:pPr>
    <w:r>
      <w:rPr>
        <w:noProof/>
      </w:rPr>
      <w:drawing>
        <wp:anchor distT="0" distB="0" distL="114300" distR="114300" simplePos="0" relativeHeight="251658242" behindDoc="1" locked="1" layoutInCell="1" allowOverlap="1" wp14:anchorId="1D0DA41D" wp14:editId="2F5D9B4B">
          <wp:simplePos x="0" y="0"/>
          <wp:positionH relativeFrom="page">
            <wp:posOffset>0</wp:posOffset>
          </wp:positionH>
          <wp:positionV relativeFrom="page">
            <wp:posOffset>0</wp:posOffset>
          </wp:positionV>
          <wp:extent cx="7560000" cy="10692000"/>
          <wp:effectExtent l="0" t="0" r="3175" b="0"/>
          <wp:wrapNone/>
          <wp:docPr id="201140176" name="Picture 201140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02C1" w14:textId="49051280" w:rsidR="00397CED" w:rsidRDefault="00C85931">
    <w:pPr>
      <w:pStyle w:val="Header"/>
      <w:rPr>
        <w:sz w:val="2"/>
        <w:szCs w:val="2"/>
      </w:rPr>
    </w:pPr>
    <w:r>
      <w:rPr>
        <w:noProof/>
        <w:sz w:val="2"/>
        <w:szCs w:val="2"/>
      </w:rPr>
      <w:drawing>
        <wp:anchor distT="0" distB="0" distL="114300" distR="114300" simplePos="0" relativeHeight="251658243" behindDoc="1" locked="0" layoutInCell="1" allowOverlap="1" wp14:anchorId="5F98C490" wp14:editId="59BFD343">
          <wp:simplePos x="1334770" y="1151890"/>
          <wp:positionH relativeFrom="page">
            <wp:align>center</wp:align>
          </wp:positionH>
          <wp:positionV relativeFrom="page">
            <wp:align>center</wp:align>
          </wp:positionV>
          <wp:extent cx="7558405" cy="10691495"/>
          <wp:effectExtent l="0" t="0" r="4445" b="0"/>
          <wp:wrapNone/>
          <wp:docPr id="16462427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6576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p w14:paraId="5C0087F8" w14:textId="77777777" w:rsidR="00397CED" w:rsidRDefault="00397CED">
    <w:pPr>
      <w:pStyle w:val="Header"/>
      <w:rPr>
        <w:sz w:val="2"/>
        <w:szCs w:val="2"/>
      </w:rPr>
    </w:pPr>
  </w:p>
  <w:p w14:paraId="1B6D177A" w14:textId="77777777" w:rsidR="00397CED" w:rsidRPr="005B2F30" w:rsidRDefault="00397CED">
    <w:pPr>
      <w:pStyle w:val="Header"/>
      <w:rPr>
        <w:sz w:val="2"/>
        <w:szCs w:val="2"/>
      </w:rPr>
    </w:pPr>
    <w:r w:rsidRPr="00692105">
      <w:rPr>
        <w:noProof/>
        <w:sz w:val="32"/>
        <w:szCs w:val="32"/>
      </w:rPr>
      <mc:AlternateContent>
        <mc:Choice Requires="wps">
          <w:drawing>
            <wp:anchor distT="0" distB="0" distL="114300" distR="114300" simplePos="0" relativeHeight="251658241" behindDoc="0" locked="0" layoutInCell="1" allowOverlap="1" wp14:anchorId="68872F18" wp14:editId="25269DD6">
              <wp:simplePos x="0" y="0"/>
              <wp:positionH relativeFrom="column">
                <wp:posOffset>7560945</wp:posOffset>
              </wp:positionH>
              <wp:positionV relativeFrom="margin">
                <wp:align>bottom</wp:align>
              </wp:positionV>
              <wp:extent cx="399600" cy="4896000"/>
              <wp:effectExtent l="0" t="0" r="635" b="0"/>
              <wp:wrapNone/>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84CE3" w14:textId="20714F45" w:rsidR="00397CED" w:rsidRPr="00137C7E" w:rsidRDefault="00893EC2" w:rsidP="001D33D6">
                          <w:pPr>
                            <w:pStyle w:val="HeaderOdd"/>
                          </w:pPr>
                          <w:r>
                            <w:fldChar w:fldCharType="begin"/>
                          </w:r>
                          <w:r>
                            <w:instrText>TITLE   \* MERGEFORMAT</w:instrText>
                          </w:r>
                          <w:r>
                            <w:fldChar w:fldCharType="separate"/>
                          </w:r>
                          <w:r w:rsidR="004405CC">
                            <w:t>Budget Paper No. 1</w:t>
                          </w:r>
                          <w:r>
                            <w:fldChar w:fldCharType="end"/>
                          </w:r>
                          <w:r w:rsidR="00397CED">
                            <w:t xml:space="preserve">  |  </w:t>
                          </w:r>
                          <w:r w:rsidR="00397CED" w:rsidRPr="000635BE">
                            <w:rPr>
                              <w:rFonts w:ascii="Arial Bold" w:hAnsi="Arial Bold"/>
                              <w:b/>
                              <w:bCs/>
                              <w:noProof/>
                              <w:position w:val="-10"/>
                            </w:rPr>
                            <w:drawing>
                              <wp:inline distT="0" distB="0" distL="0" distR="0" wp14:anchorId="5B1DF651" wp14:editId="277F77F7">
                                <wp:extent cx="1000760" cy="228609"/>
                                <wp:effectExtent l="5080" t="0" r="0" b="0"/>
                                <wp:docPr id="1141690107" name="Picture 1141690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72F18" id="_x0000_t202" coordsize="21600,21600" o:spt="202" path="m,l,21600r21600,l21600,xe">
              <v:stroke joinstyle="miter"/>
              <v:path gradientshapeok="t" o:connecttype="rect"/>
            </v:shapetype>
            <v:shape id="Text Box 28" o:spid="_x0000_s1026" type="#_x0000_t202" alt="&quot;&quot;"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7A984CE3" w14:textId="20714F45" w:rsidR="00397CED" w:rsidRPr="00137C7E" w:rsidRDefault="00893EC2" w:rsidP="001D33D6">
                    <w:pPr>
                      <w:pStyle w:val="HeaderOdd"/>
                    </w:pPr>
                    <w:r>
                      <w:fldChar w:fldCharType="begin"/>
                    </w:r>
                    <w:r>
                      <w:instrText>TITLE   \* MERGEFORMAT</w:instrText>
                    </w:r>
                    <w:r>
                      <w:fldChar w:fldCharType="separate"/>
                    </w:r>
                    <w:r w:rsidR="004405CC">
                      <w:t>Budget Paper No. 1</w:t>
                    </w:r>
                    <w:r>
                      <w:fldChar w:fldCharType="end"/>
                    </w:r>
                    <w:r w:rsidR="00397CED">
                      <w:t xml:space="preserve">  |  </w:t>
                    </w:r>
                    <w:r w:rsidR="00397CED" w:rsidRPr="000635BE">
                      <w:rPr>
                        <w:rFonts w:ascii="Arial Bold" w:hAnsi="Arial Bold"/>
                        <w:b/>
                        <w:bCs/>
                        <w:noProof/>
                        <w:position w:val="-10"/>
                      </w:rPr>
                      <w:drawing>
                        <wp:inline distT="0" distB="0" distL="0" distR="0" wp14:anchorId="5B1DF651" wp14:editId="277F77F7">
                          <wp:extent cx="1000760" cy="228609"/>
                          <wp:effectExtent l="5080" t="0" r="0" b="0"/>
                          <wp:docPr id="1141690107" name="Picture 1141690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4D7D" w14:textId="12A0F5FB" w:rsidR="0007571E" w:rsidRPr="00AA5439" w:rsidRDefault="00B97842" w:rsidP="00AA5439">
    <w:pPr>
      <w:pStyle w:val="HeaderEven"/>
      <w:rPr>
        <w:sz w:val="2"/>
        <w:szCs w:val="2"/>
      </w:rPr>
    </w:pPr>
    <w:r>
      <w:rPr>
        <w:noProof/>
        <w:sz w:val="2"/>
        <w:szCs w:val="2"/>
      </w:rPr>
      <w:drawing>
        <wp:anchor distT="0" distB="0" distL="114300" distR="114300" simplePos="0" relativeHeight="251658246" behindDoc="1" locked="0" layoutInCell="1" allowOverlap="1" wp14:anchorId="5FF30BFC" wp14:editId="7B34ADB4">
          <wp:simplePos x="0" y="0"/>
          <wp:positionH relativeFrom="page">
            <wp:align>center</wp:align>
          </wp:positionH>
          <wp:positionV relativeFrom="page">
            <wp:align>center</wp:align>
          </wp:positionV>
          <wp:extent cx="7558767" cy="10692000"/>
          <wp:effectExtent l="0" t="0" r="4445" b="0"/>
          <wp:wrapNone/>
          <wp:docPr id="14090388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7983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6C6BD92" w14:textId="77777777" w:rsidTr="00E222EC">
      <w:trPr>
        <w:trHeight w:hRule="exact" w:val="340"/>
      </w:trPr>
      <w:tc>
        <w:tcPr>
          <w:tcW w:w="7797" w:type="dxa"/>
        </w:tcPr>
        <w:p w14:paraId="283A7C7E" w14:textId="6E500EB0" w:rsidR="0007571E" w:rsidRPr="008C56E1" w:rsidRDefault="0007571E" w:rsidP="00F60EA1">
          <w:pPr>
            <w:pStyle w:val="HeaderEven"/>
          </w:pPr>
          <w:r w:rsidRPr="008C56E1">
            <w:rPr>
              <w:noProof/>
              <w:position w:val="-8"/>
            </w:rPr>
            <w:drawing>
              <wp:inline distT="0" distB="0" distL="0" distR="0" wp14:anchorId="11CD8DF9" wp14:editId="3655B8D6">
                <wp:extent cx="864091" cy="198000"/>
                <wp:effectExtent l="0" t="0" r="0" b="0"/>
                <wp:docPr id="1443728957" name="Picture 1443728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3841" name="Picture 12779384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893EC2">
            <w:fldChar w:fldCharType="begin"/>
          </w:r>
          <w:r w:rsidR="00893EC2">
            <w:instrText>TITLE   \* MERGEFORMAT</w:instrText>
          </w:r>
          <w:r w:rsidR="00893EC2">
            <w:fldChar w:fldCharType="separate"/>
          </w:r>
          <w:r w:rsidR="004405CC">
            <w:t>Budget Paper No. 1</w:t>
          </w:r>
          <w:r w:rsidR="00893EC2">
            <w:fldChar w:fldCharType="end"/>
          </w:r>
        </w:p>
      </w:tc>
    </w:tr>
  </w:tbl>
  <w:p w14:paraId="71637509" w14:textId="77777777" w:rsidR="0007571E" w:rsidRPr="00AA5439" w:rsidRDefault="0007571E" w:rsidP="00AA5439">
    <w:pPr>
      <w:pStyle w:val="HeaderEven"/>
      <w:rPr>
        <w:sz w:val="2"/>
        <w:szCs w:val="4"/>
      </w:rPr>
    </w:pPr>
  </w:p>
  <w:p w14:paraId="0F8DC2CC" w14:textId="77777777" w:rsidR="0007571E" w:rsidRPr="007703C7" w:rsidRDefault="0007571E"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06F71C8" w14:textId="77777777" w:rsidTr="001051B9">
      <w:trPr>
        <w:trHeight w:hRule="exact" w:val="340"/>
      </w:trPr>
      <w:tc>
        <w:tcPr>
          <w:tcW w:w="7797" w:type="dxa"/>
          <w:tcMar>
            <w:left w:w="108" w:type="dxa"/>
            <w:right w:w="108" w:type="dxa"/>
          </w:tcMar>
        </w:tcPr>
        <w:p w14:paraId="04DF954E" w14:textId="77E58ADD" w:rsidR="0007571E" w:rsidRPr="00D13BF9" w:rsidRDefault="00893EC2" w:rsidP="00D13BF9">
          <w:pPr>
            <w:pStyle w:val="HeaderOdd"/>
          </w:pPr>
          <w:r>
            <w:fldChar w:fldCharType="begin"/>
          </w:r>
          <w:r>
            <w:instrText>TITLE   \* MERGEFORMAT</w:instrText>
          </w:r>
          <w:r>
            <w:fldChar w:fldCharType="separate"/>
          </w:r>
          <w:r w:rsidR="004405CC">
            <w:t>Budget Paper No. 1</w:t>
          </w:r>
          <w:r>
            <w:fldChar w:fldCharType="end"/>
          </w:r>
          <w:r w:rsidR="0007571E" w:rsidRPr="00081542">
            <w:t> | </w:t>
          </w:r>
          <w:r w:rsidR="0007571E" w:rsidRPr="002709D2">
            <w:rPr>
              <w:noProof/>
              <w:position w:val="-8"/>
              <w:vertAlign w:val="subscript"/>
            </w:rPr>
            <w:drawing>
              <wp:inline distT="0" distB="0" distL="0" distR="0" wp14:anchorId="5A2A4D63" wp14:editId="11A0B7E5">
                <wp:extent cx="864091" cy="198000"/>
                <wp:effectExtent l="0" t="0" r="0" b="0"/>
                <wp:docPr id="1847467822" name="Picture 1847467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58017" name="Picture 6324580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E6CD216" w14:textId="1F990CB4" w:rsidR="0007571E" w:rsidRPr="00562EDC" w:rsidRDefault="00B97842" w:rsidP="00562EDC">
    <w:pPr>
      <w:pStyle w:val="HeaderOdd"/>
      <w:jc w:val="left"/>
      <w:rPr>
        <w:sz w:val="2"/>
        <w:szCs w:val="4"/>
      </w:rPr>
    </w:pPr>
    <w:r>
      <w:rPr>
        <w:noProof/>
        <w:sz w:val="2"/>
        <w:szCs w:val="2"/>
      </w:rPr>
      <w:drawing>
        <wp:anchor distT="0" distB="0" distL="114300" distR="114300" simplePos="0" relativeHeight="251658247" behindDoc="1" locked="0" layoutInCell="1" allowOverlap="1" wp14:anchorId="7AE1008E" wp14:editId="1C7FCE47">
          <wp:simplePos x="0" y="0"/>
          <wp:positionH relativeFrom="page">
            <wp:align>center</wp:align>
          </wp:positionH>
          <wp:positionV relativeFrom="page">
            <wp:align>center</wp:align>
          </wp:positionV>
          <wp:extent cx="7558767" cy="10692000"/>
          <wp:effectExtent l="0" t="0" r="4445" b="0"/>
          <wp:wrapNone/>
          <wp:docPr id="21392512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01096"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46E7" w14:textId="4EE22502" w:rsidR="0007571E" w:rsidRPr="005B2F30" w:rsidRDefault="00B97842" w:rsidP="00345F10">
    <w:pPr>
      <w:rPr>
        <w:sz w:val="2"/>
        <w:szCs w:val="2"/>
      </w:rPr>
    </w:pPr>
    <w:r>
      <w:rPr>
        <w:noProof/>
        <w:sz w:val="2"/>
        <w:szCs w:val="2"/>
      </w:rPr>
      <w:drawing>
        <wp:anchor distT="0" distB="0" distL="114300" distR="114300" simplePos="0" relativeHeight="251658245" behindDoc="1" locked="0" layoutInCell="1" allowOverlap="1" wp14:anchorId="2759B499" wp14:editId="65890868">
          <wp:simplePos x="0" y="0"/>
          <wp:positionH relativeFrom="page">
            <wp:align>center</wp:align>
          </wp:positionH>
          <wp:positionV relativeFrom="page">
            <wp:align>center</wp:align>
          </wp:positionV>
          <wp:extent cx="7558767" cy="10692000"/>
          <wp:effectExtent l="0" t="0" r="4445" b="0"/>
          <wp:wrapNone/>
          <wp:docPr id="5663500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9534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r w:rsidR="0007571E" w:rsidRPr="00692105">
      <w:rPr>
        <w:noProof/>
        <w:sz w:val="32"/>
        <w:szCs w:val="32"/>
      </w:rPr>
      <mc:AlternateContent>
        <mc:Choice Requires="wps">
          <w:drawing>
            <wp:anchor distT="0" distB="0" distL="114300" distR="114300" simplePos="0" relativeHeight="251658240" behindDoc="0" locked="0" layoutInCell="1" allowOverlap="1" wp14:anchorId="06C48214" wp14:editId="3BBEFE20">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EA91A" w14:textId="72400CE5" w:rsidR="0007571E" w:rsidRPr="00137C7E" w:rsidRDefault="00893EC2" w:rsidP="001D33D6">
                          <w:pPr>
                            <w:pStyle w:val="HeaderOdd"/>
                          </w:pPr>
                          <w:r>
                            <w:fldChar w:fldCharType="begin"/>
                          </w:r>
                          <w:r>
                            <w:instrText>TITLE   \* MERGEFORMAT</w:instrText>
                          </w:r>
                          <w:r>
                            <w:fldChar w:fldCharType="separate"/>
                          </w:r>
                          <w:r w:rsidR="004405CC">
                            <w:t>Budget Paper No. 1</w:t>
                          </w:r>
                          <w:r>
                            <w:fldChar w:fldCharType="end"/>
                          </w:r>
                          <w:r w:rsidR="0007571E">
                            <w:t xml:space="preserve">  |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48214" id="_x0000_t202" coordsize="21600,21600" o:spt="202" path="m,l,21600r21600,l21600,xe">
              <v:stroke joinstyle="miter"/>
              <v:path gradientshapeok="t" o:connecttype="rect"/>
            </v:shapetype>
            <v:shape id="Text Box 6" o:spid="_x0000_s1027"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7E5EA91A" w14:textId="72400CE5" w:rsidR="0007571E" w:rsidRPr="00137C7E" w:rsidRDefault="00893EC2" w:rsidP="001D33D6">
                    <w:pPr>
                      <w:pStyle w:val="HeaderOdd"/>
                    </w:pPr>
                    <w:r>
                      <w:fldChar w:fldCharType="begin"/>
                    </w:r>
                    <w:r>
                      <w:instrText>TITLE   \* MERGEFORMAT</w:instrText>
                    </w:r>
                    <w:r>
                      <w:fldChar w:fldCharType="separate"/>
                    </w:r>
                    <w:r w:rsidR="004405CC">
                      <w:t>Budget Paper No. 1</w:t>
                    </w:r>
                    <w:r>
                      <w:fldChar w:fldCharType="end"/>
                    </w:r>
                    <w:r w:rsidR="0007571E">
                      <w:t xml:space="preserve">  |  </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D5820"/>
    <w:multiLevelType w:val="hybridMultilevel"/>
    <w:tmpl w:val="1FB85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0EDA672C"/>
    <w:multiLevelType w:val="hybridMultilevel"/>
    <w:tmpl w:val="7666B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A061A85"/>
    <w:multiLevelType w:val="hybridMultilevel"/>
    <w:tmpl w:val="93EE751E"/>
    <w:lvl w:ilvl="0" w:tplc="118217FC">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CA3E65"/>
    <w:multiLevelType w:val="multilevel"/>
    <w:tmpl w:val="4F363DBC"/>
    <w:lvl w:ilvl="0">
      <w:start w:val="1"/>
      <w:numFmt w:val="lowerLetter"/>
      <w:lvlText w:val="%1)"/>
      <w:lvlJc w:val="left"/>
      <w:pPr>
        <w:tabs>
          <w:tab w:val="num" w:pos="567"/>
        </w:tabs>
        <w:ind w:left="567" w:hanging="283"/>
      </w:pPr>
      <w:rPr>
        <w:b w:val="0"/>
        <w:i w:val="0"/>
      </w:rPr>
    </w:lvl>
    <w:lvl w:ilvl="1">
      <w:start w:val="1"/>
      <w:numFmt w:val="bullet"/>
      <w:lvlText w:val="–"/>
      <w:lvlJc w:val="left"/>
      <w:pPr>
        <w:tabs>
          <w:tab w:val="num" w:pos="851"/>
        </w:tabs>
        <w:ind w:left="851" w:hanging="284"/>
      </w:pPr>
      <w:rPr>
        <w:rFonts w:ascii="Times New Roman" w:hAnsi="Times New Roman" w:cs="Times New Roman"/>
        <w:b w:val="0"/>
        <w:i w:val="0"/>
      </w:rPr>
    </w:lvl>
    <w:lvl w:ilvl="2">
      <w:start w:val="1"/>
      <w:numFmt w:val="bullet"/>
      <w:lvlText w:val=":"/>
      <w:lvlJc w:val="left"/>
      <w:pPr>
        <w:tabs>
          <w:tab w:val="num" w:pos="1134"/>
        </w:tabs>
        <w:ind w:left="1134" w:hanging="283"/>
      </w:pPr>
      <w:rPr>
        <w:rFonts w:ascii="Times New Roman" w:hAnsi="Times New Roman" w:cs="Times New Roman"/>
        <w:b w:val="0"/>
        <w:i w:val="0"/>
      </w:rPr>
    </w:lvl>
    <w:lvl w:ilvl="3">
      <w:start w:val="1"/>
      <w:numFmt w:val="decimal"/>
      <w:lvlText w:val="(%4)"/>
      <w:lvlJc w:val="left"/>
      <w:pPr>
        <w:tabs>
          <w:tab w:val="num" w:pos="1724"/>
        </w:tabs>
        <w:ind w:left="1724" w:hanging="360"/>
      </w:pPr>
      <w:rPr>
        <w:b w:val="0"/>
        <w:i w:val="0"/>
      </w:rPr>
    </w:lvl>
    <w:lvl w:ilvl="4">
      <w:start w:val="1"/>
      <w:numFmt w:val="lowerLetter"/>
      <w:lvlText w:val="(%5)"/>
      <w:lvlJc w:val="left"/>
      <w:pPr>
        <w:tabs>
          <w:tab w:val="num" w:pos="2084"/>
        </w:tabs>
        <w:ind w:left="2084" w:hanging="360"/>
      </w:pPr>
      <w:rPr>
        <w:b w:val="0"/>
        <w:i w:val="0"/>
      </w:rPr>
    </w:lvl>
    <w:lvl w:ilvl="5">
      <w:start w:val="1"/>
      <w:numFmt w:val="lowerRoman"/>
      <w:lvlText w:val="(%6)"/>
      <w:lvlJc w:val="left"/>
      <w:pPr>
        <w:tabs>
          <w:tab w:val="num" w:pos="2444"/>
        </w:tabs>
        <w:ind w:left="2444" w:hanging="360"/>
      </w:pPr>
      <w:rPr>
        <w:b w:val="0"/>
        <w:i w:val="0"/>
      </w:rPr>
    </w:lvl>
    <w:lvl w:ilvl="6">
      <w:start w:val="1"/>
      <w:numFmt w:val="decimal"/>
      <w:lvlText w:val="%7."/>
      <w:lvlJc w:val="left"/>
      <w:pPr>
        <w:tabs>
          <w:tab w:val="num" w:pos="2804"/>
        </w:tabs>
        <w:ind w:left="2804" w:hanging="360"/>
      </w:pPr>
      <w:rPr>
        <w:b w:val="0"/>
        <w:i w:val="0"/>
      </w:rPr>
    </w:lvl>
    <w:lvl w:ilvl="7">
      <w:start w:val="1"/>
      <w:numFmt w:val="lowerLetter"/>
      <w:lvlText w:val="%8."/>
      <w:lvlJc w:val="left"/>
      <w:pPr>
        <w:tabs>
          <w:tab w:val="num" w:pos="3164"/>
        </w:tabs>
        <w:ind w:left="3164" w:hanging="360"/>
      </w:pPr>
      <w:rPr>
        <w:b w:val="0"/>
        <w:i w:val="0"/>
      </w:rPr>
    </w:lvl>
    <w:lvl w:ilvl="8">
      <w:start w:val="1"/>
      <w:numFmt w:val="lowerRoman"/>
      <w:lvlText w:val="%9."/>
      <w:lvlJc w:val="left"/>
      <w:pPr>
        <w:tabs>
          <w:tab w:val="num" w:pos="3524"/>
        </w:tabs>
        <w:ind w:left="3524" w:hanging="360"/>
      </w:pPr>
      <w:rPr>
        <w:b w:val="0"/>
        <w:i w:val="0"/>
      </w:rPr>
    </w:lvl>
  </w:abstractNum>
  <w:abstractNum w:abstractNumId="17" w15:restartNumberingAfterBreak="0">
    <w:nsid w:val="3B2E19AC"/>
    <w:multiLevelType w:val="singleLevel"/>
    <w:tmpl w:val="A4CE0080"/>
    <w:lvl w:ilvl="0">
      <w:start w:val="1"/>
      <w:numFmt w:val="lowerLetter"/>
      <w:lvlText w:val="(%1)"/>
      <w:lvlJc w:val="left"/>
      <w:pPr>
        <w:ind w:left="360" w:hanging="360"/>
      </w:pPr>
      <w:rPr>
        <w:rFonts w:hint="default"/>
        <w:b w:val="0"/>
        <w:i w:val="0"/>
        <w:color w:val="000000"/>
        <w:sz w:val="16"/>
      </w:rPr>
    </w:lvl>
  </w:abstractNum>
  <w:abstractNum w:abstractNumId="18" w15:restartNumberingAfterBreak="0">
    <w:nsid w:val="3FBD7996"/>
    <w:multiLevelType w:val="multilevel"/>
    <w:tmpl w:val="4F1EBB74"/>
    <w:name w:val="StandardBulletedList"/>
    <w:lvl w:ilvl="0">
      <w:start w:val="1"/>
      <w:numFmt w:val="bullet"/>
      <w:lvlText w:val="•"/>
      <w:lvlJc w:val="left"/>
      <w:pPr>
        <w:tabs>
          <w:tab w:val="num" w:pos="1134"/>
        </w:tabs>
        <w:ind w:left="1134" w:hanging="567"/>
      </w:pPr>
      <w:rPr>
        <w:rFonts w:ascii="Times New Roman" w:hAnsi="Times New Roman" w:cs="Times New Roman" w:hint="default"/>
        <w:b w:val="0"/>
        <w:bCs w:val="0"/>
      </w:rPr>
    </w:lvl>
    <w:lvl w:ilvl="1">
      <w:start w:val="1"/>
      <w:numFmt w:val="bullet"/>
      <w:lvlText w:val="–"/>
      <w:lvlJc w:val="left"/>
      <w:pPr>
        <w:tabs>
          <w:tab w:val="num" w:pos="1701"/>
        </w:tabs>
        <w:ind w:left="1701" w:hanging="567"/>
      </w:pPr>
      <w:rPr>
        <w:rFonts w:ascii="Times New Roman" w:hAnsi="Times New Roman" w:cs="Times New Roman" w:hint="default"/>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9"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514458C"/>
    <w:multiLevelType w:val="multilevel"/>
    <w:tmpl w:val="F77E4924"/>
    <w:lvl w:ilvl="0">
      <w:start w:val="1"/>
      <w:numFmt w:val="lowerLetter"/>
      <w:lvlText w:val="%1)"/>
      <w:lvlJc w:val="left"/>
      <w:pPr>
        <w:tabs>
          <w:tab w:val="num" w:pos="733"/>
        </w:tabs>
        <w:ind w:left="733" w:hanging="449"/>
      </w:pPr>
    </w:lvl>
    <w:lvl w:ilvl="1">
      <w:start w:val="1"/>
      <w:numFmt w:val="decimal"/>
      <w:lvlText w:val="%1.%2."/>
      <w:lvlJc w:val="left"/>
      <w:pPr>
        <w:tabs>
          <w:tab w:val="num" w:pos="1182"/>
        </w:tabs>
        <w:ind w:left="1182" w:hanging="449"/>
      </w:pPr>
    </w:lvl>
    <w:lvl w:ilvl="2">
      <w:start w:val="1"/>
      <w:numFmt w:val="decimal"/>
      <w:lvlText w:val="%1.%2.%3."/>
      <w:lvlJc w:val="left"/>
      <w:pPr>
        <w:tabs>
          <w:tab w:val="num" w:pos="1631"/>
        </w:tabs>
        <w:ind w:left="1631" w:hanging="449"/>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21" w15:restartNumberingAfterBreak="0">
    <w:nsid w:val="49A91B02"/>
    <w:multiLevelType w:val="hybridMultilevel"/>
    <w:tmpl w:val="BCFCB748"/>
    <w:lvl w:ilvl="0" w:tplc="4C443D04">
      <w:numFmt w:val="bullet"/>
      <w:lvlText w:val=""/>
      <w:lvlJc w:val="left"/>
      <w:pPr>
        <w:ind w:left="720" w:hanging="360"/>
      </w:pPr>
      <w:rPr>
        <w:rFonts w:ascii="Symbol" w:eastAsiaTheme="minorHAnsi" w:hAnsi="Symbol" w:cstheme="minorBidi" w:hint="default"/>
      </w:rPr>
    </w:lvl>
    <w:lvl w:ilvl="1" w:tplc="A140A01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14CDB"/>
    <w:multiLevelType w:val="hybridMultilevel"/>
    <w:tmpl w:val="4F4A2B2A"/>
    <w:lvl w:ilvl="0" w:tplc="95B6E22A">
      <w:start w:val="1"/>
      <w:numFmt w:val="decimal"/>
      <w:pStyle w:val="Bulle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6B711D92"/>
    <w:multiLevelType w:val="hybridMultilevel"/>
    <w:tmpl w:val="657A850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6598C"/>
    <w:multiLevelType w:val="hybridMultilevel"/>
    <w:tmpl w:val="2928350A"/>
    <w:lvl w:ilvl="0" w:tplc="B734C55E">
      <w:start w:val="8"/>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9"/>
  </w:num>
  <w:num w:numId="2" w16cid:durableId="70975900">
    <w:abstractNumId w:val="13"/>
  </w:num>
  <w:num w:numId="3" w16cid:durableId="1903564601">
    <w:abstractNumId w:val="11"/>
  </w:num>
  <w:num w:numId="4" w16cid:durableId="778522229">
    <w:abstractNumId w:val="14"/>
  </w:num>
  <w:num w:numId="5" w16cid:durableId="308556280">
    <w:abstractNumId w:val="24"/>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4"/>
  </w:num>
  <w:num w:numId="19" w16cid:durableId="521162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7"/>
  </w:num>
  <w:num w:numId="22" w16cid:durableId="1518692781">
    <w:abstractNumId w:val="23"/>
  </w:num>
  <w:num w:numId="23" w16cid:durableId="1605185036">
    <w:abstractNumId w:val="22"/>
  </w:num>
  <w:num w:numId="24" w16cid:durableId="1005134862">
    <w:abstractNumId w:val="17"/>
  </w:num>
  <w:num w:numId="25" w16cid:durableId="915093649">
    <w:abstractNumId w:val="17"/>
    <w:lvlOverride w:ilvl="0">
      <w:startOverride w:val="1"/>
    </w:lvlOverride>
  </w:num>
  <w:num w:numId="26" w16cid:durableId="1835493924">
    <w:abstractNumId w:val="17"/>
    <w:lvlOverride w:ilvl="0">
      <w:startOverride w:val="1"/>
    </w:lvlOverride>
  </w:num>
  <w:num w:numId="27" w16cid:durableId="954554763">
    <w:abstractNumId w:val="17"/>
    <w:lvlOverride w:ilvl="0">
      <w:startOverride w:val="1"/>
    </w:lvlOverride>
  </w:num>
  <w:num w:numId="28" w16cid:durableId="349183860">
    <w:abstractNumId w:val="12"/>
  </w:num>
  <w:num w:numId="29" w16cid:durableId="1555190083">
    <w:abstractNumId w:val="10"/>
  </w:num>
  <w:num w:numId="30" w16cid:durableId="1238827261">
    <w:abstractNumId w:val="25"/>
  </w:num>
  <w:num w:numId="31" w16cid:durableId="1520467779">
    <w:abstractNumId w:val="20"/>
  </w:num>
  <w:num w:numId="32" w16cid:durableId="153188300">
    <w:abstractNumId w:val="15"/>
  </w:num>
  <w:num w:numId="33" w16cid:durableId="400565252">
    <w:abstractNumId w:val="16"/>
  </w:num>
  <w:num w:numId="34" w16cid:durableId="1646740194">
    <w:abstractNumId w:val="21"/>
  </w:num>
  <w:num w:numId="35" w16cid:durableId="709958064">
    <w:abstractNumId w:val="26"/>
  </w:num>
  <w:num w:numId="36" w16cid:durableId="1601646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03690">
    <w:abstractNumId w:val="18"/>
  </w:num>
  <w:num w:numId="38" w16cid:durableId="187647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65"/>
  </w:hdrShapeDefaults>
  <w:footnotePr>
    <w:numStart w:val="49"/>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57986"/>
    <w:rsid w:val="000004EA"/>
    <w:rsid w:val="00000AB0"/>
    <w:rsid w:val="00003482"/>
    <w:rsid w:val="0001041D"/>
    <w:rsid w:val="000112F3"/>
    <w:rsid w:val="0001173C"/>
    <w:rsid w:val="00011DBB"/>
    <w:rsid w:val="0001252C"/>
    <w:rsid w:val="00012942"/>
    <w:rsid w:val="00013938"/>
    <w:rsid w:val="00013EA8"/>
    <w:rsid w:val="00014A46"/>
    <w:rsid w:val="0001723C"/>
    <w:rsid w:val="00020B5B"/>
    <w:rsid w:val="00020F4A"/>
    <w:rsid w:val="00021A4F"/>
    <w:rsid w:val="00021AEF"/>
    <w:rsid w:val="000231AA"/>
    <w:rsid w:val="00024BA4"/>
    <w:rsid w:val="00025C89"/>
    <w:rsid w:val="00025D4A"/>
    <w:rsid w:val="00026223"/>
    <w:rsid w:val="00027AB1"/>
    <w:rsid w:val="00027F5B"/>
    <w:rsid w:val="0003055A"/>
    <w:rsid w:val="000328F7"/>
    <w:rsid w:val="00034A60"/>
    <w:rsid w:val="00035D8D"/>
    <w:rsid w:val="00035EB7"/>
    <w:rsid w:val="0003629D"/>
    <w:rsid w:val="00036563"/>
    <w:rsid w:val="000379D1"/>
    <w:rsid w:val="00040C22"/>
    <w:rsid w:val="00040ED3"/>
    <w:rsid w:val="00041406"/>
    <w:rsid w:val="000457C8"/>
    <w:rsid w:val="00047F0D"/>
    <w:rsid w:val="000511B5"/>
    <w:rsid w:val="000524DB"/>
    <w:rsid w:val="000536D3"/>
    <w:rsid w:val="000546EB"/>
    <w:rsid w:val="0005546E"/>
    <w:rsid w:val="00061147"/>
    <w:rsid w:val="00062060"/>
    <w:rsid w:val="000622DA"/>
    <w:rsid w:val="00062A20"/>
    <w:rsid w:val="000635BE"/>
    <w:rsid w:val="0007090D"/>
    <w:rsid w:val="00071541"/>
    <w:rsid w:val="00071B2C"/>
    <w:rsid w:val="00072363"/>
    <w:rsid w:val="00072E8B"/>
    <w:rsid w:val="0007308C"/>
    <w:rsid w:val="00073183"/>
    <w:rsid w:val="0007476A"/>
    <w:rsid w:val="00074899"/>
    <w:rsid w:val="0007571E"/>
    <w:rsid w:val="00075775"/>
    <w:rsid w:val="00075B5D"/>
    <w:rsid w:val="000767E5"/>
    <w:rsid w:val="000774BA"/>
    <w:rsid w:val="00080A9A"/>
    <w:rsid w:val="00080CBC"/>
    <w:rsid w:val="00081542"/>
    <w:rsid w:val="000834A6"/>
    <w:rsid w:val="00083662"/>
    <w:rsid w:val="0008399A"/>
    <w:rsid w:val="00084228"/>
    <w:rsid w:val="000857D4"/>
    <w:rsid w:val="0008597F"/>
    <w:rsid w:val="00085DD7"/>
    <w:rsid w:val="00090721"/>
    <w:rsid w:val="0009177A"/>
    <w:rsid w:val="00091C8C"/>
    <w:rsid w:val="00092488"/>
    <w:rsid w:val="0009258C"/>
    <w:rsid w:val="0009434F"/>
    <w:rsid w:val="0009443D"/>
    <w:rsid w:val="00095349"/>
    <w:rsid w:val="000964CE"/>
    <w:rsid w:val="00096D40"/>
    <w:rsid w:val="000A0EE5"/>
    <w:rsid w:val="000A1A80"/>
    <w:rsid w:val="000A1F30"/>
    <w:rsid w:val="000A232E"/>
    <w:rsid w:val="000A4760"/>
    <w:rsid w:val="000A54E4"/>
    <w:rsid w:val="000A5C77"/>
    <w:rsid w:val="000A7127"/>
    <w:rsid w:val="000A792E"/>
    <w:rsid w:val="000B149C"/>
    <w:rsid w:val="000B19C0"/>
    <w:rsid w:val="000B1B7F"/>
    <w:rsid w:val="000B1EC3"/>
    <w:rsid w:val="000B38A8"/>
    <w:rsid w:val="000B3BB4"/>
    <w:rsid w:val="000B541D"/>
    <w:rsid w:val="000B7A74"/>
    <w:rsid w:val="000C0086"/>
    <w:rsid w:val="000C12D0"/>
    <w:rsid w:val="000C25CF"/>
    <w:rsid w:val="000C457D"/>
    <w:rsid w:val="000C66EE"/>
    <w:rsid w:val="000D17FD"/>
    <w:rsid w:val="000D75C3"/>
    <w:rsid w:val="000D78F4"/>
    <w:rsid w:val="000E105B"/>
    <w:rsid w:val="000E149B"/>
    <w:rsid w:val="000E2B3F"/>
    <w:rsid w:val="000E4112"/>
    <w:rsid w:val="000E472D"/>
    <w:rsid w:val="000E4DAD"/>
    <w:rsid w:val="000E57BB"/>
    <w:rsid w:val="000E5C9B"/>
    <w:rsid w:val="000E68C4"/>
    <w:rsid w:val="000E73F2"/>
    <w:rsid w:val="000F1980"/>
    <w:rsid w:val="000F2437"/>
    <w:rsid w:val="000F2BA3"/>
    <w:rsid w:val="000F2C7D"/>
    <w:rsid w:val="000F33C8"/>
    <w:rsid w:val="000F46C4"/>
    <w:rsid w:val="000F4A68"/>
    <w:rsid w:val="000F4EE2"/>
    <w:rsid w:val="000F53B8"/>
    <w:rsid w:val="000F57F6"/>
    <w:rsid w:val="000F5873"/>
    <w:rsid w:val="000F58C9"/>
    <w:rsid w:val="000F5E2D"/>
    <w:rsid w:val="000F7504"/>
    <w:rsid w:val="000F86FD"/>
    <w:rsid w:val="00100266"/>
    <w:rsid w:val="00101C1F"/>
    <w:rsid w:val="00101EC4"/>
    <w:rsid w:val="00103F65"/>
    <w:rsid w:val="00104102"/>
    <w:rsid w:val="00104D90"/>
    <w:rsid w:val="001051B9"/>
    <w:rsid w:val="00105A06"/>
    <w:rsid w:val="00105E88"/>
    <w:rsid w:val="00106FCA"/>
    <w:rsid w:val="00107609"/>
    <w:rsid w:val="001102A1"/>
    <w:rsid w:val="0011175D"/>
    <w:rsid w:val="0011308A"/>
    <w:rsid w:val="00114BFE"/>
    <w:rsid w:val="00114EEC"/>
    <w:rsid w:val="0011503E"/>
    <w:rsid w:val="00117B5F"/>
    <w:rsid w:val="00120F3C"/>
    <w:rsid w:val="0012109C"/>
    <w:rsid w:val="00121585"/>
    <w:rsid w:val="00121DF4"/>
    <w:rsid w:val="0012419A"/>
    <w:rsid w:val="00127F13"/>
    <w:rsid w:val="00130C4C"/>
    <w:rsid w:val="00132A9D"/>
    <w:rsid w:val="0013360C"/>
    <w:rsid w:val="001343BD"/>
    <w:rsid w:val="0013481D"/>
    <w:rsid w:val="001408E3"/>
    <w:rsid w:val="00141006"/>
    <w:rsid w:val="00141280"/>
    <w:rsid w:val="0014175D"/>
    <w:rsid w:val="00142832"/>
    <w:rsid w:val="00142B1F"/>
    <w:rsid w:val="001431AA"/>
    <w:rsid w:val="00143D49"/>
    <w:rsid w:val="0014452E"/>
    <w:rsid w:val="001454D5"/>
    <w:rsid w:val="00146A6C"/>
    <w:rsid w:val="001472CA"/>
    <w:rsid w:val="0014760B"/>
    <w:rsid w:val="00150323"/>
    <w:rsid w:val="00150482"/>
    <w:rsid w:val="00150802"/>
    <w:rsid w:val="00151EDA"/>
    <w:rsid w:val="00152D53"/>
    <w:rsid w:val="001536DB"/>
    <w:rsid w:val="00155294"/>
    <w:rsid w:val="0015561E"/>
    <w:rsid w:val="001561D9"/>
    <w:rsid w:val="001579D4"/>
    <w:rsid w:val="001579EE"/>
    <w:rsid w:val="00157D97"/>
    <w:rsid w:val="00160512"/>
    <w:rsid w:val="0016051E"/>
    <w:rsid w:val="00160928"/>
    <w:rsid w:val="00162EF5"/>
    <w:rsid w:val="001632FD"/>
    <w:rsid w:val="00163A5A"/>
    <w:rsid w:val="001663E1"/>
    <w:rsid w:val="001714AE"/>
    <w:rsid w:val="00172CFE"/>
    <w:rsid w:val="00173F7C"/>
    <w:rsid w:val="00175513"/>
    <w:rsid w:val="00177B21"/>
    <w:rsid w:val="00181A45"/>
    <w:rsid w:val="0018225A"/>
    <w:rsid w:val="0018429D"/>
    <w:rsid w:val="00185638"/>
    <w:rsid w:val="001857C0"/>
    <w:rsid w:val="0018694A"/>
    <w:rsid w:val="001901A8"/>
    <w:rsid w:val="0019115B"/>
    <w:rsid w:val="001914FE"/>
    <w:rsid w:val="00191525"/>
    <w:rsid w:val="001929BF"/>
    <w:rsid w:val="00194303"/>
    <w:rsid w:val="00195C88"/>
    <w:rsid w:val="00196003"/>
    <w:rsid w:val="001961AD"/>
    <w:rsid w:val="001970E6"/>
    <w:rsid w:val="00197BAC"/>
    <w:rsid w:val="001A232E"/>
    <w:rsid w:val="001A2538"/>
    <w:rsid w:val="001A25E0"/>
    <w:rsid w:val="001A35A8"/>
    <w:rsid w:val="001A5A92"/>
    <w:rsid w:val="001A5E6D"/>
    <w:rsid w:val="001A6867"/>
    <w:rsid w:val="001A6A58"/>
    <w:rsid w:val="001A6BF4"/>
    <w:rsid w:val="001A722E"/>
    <w:rsid w:val="001A7701"/>
    <w:rsid w:val="001A7712"/>
    <w:rsid w:val="001B0A47"/>
    <w:rsid w:val="001B1BF3"/>
    <w:rsid w:val="001B3722"/>
    <w:rsid w:val="001B3FF0"/>
    <w:rsid w:val="001B4567"/>
    <w:rsid w:val="001B4D28"/>
    <w:rsid w:val="001B7232"/>
    <w:rsid w:val="001B7A21"/>
    <w:rsid w:val="001C0621"/>
    <w:rsid w:val="001C06EB"/>
    <w:rsid w:val="001C10F8"/>
    <w:rsid w:val="001C1F5F"/>
    <w:rsid w:val="001C2181"/>
    <w:rsid w:val="001C276B"/>
    <w:rsid w:val="001C29BA"/>
    <w:rsid w:val="001C3B4C"/>
    <w:rsid w:val="001C44E0"/>
    <w:rsid w:val="001C5E21"/>
    <w:rsid w:val="001D00F9"/>
    <w:rsid w:val="001D2292"/>
    <w:rsid w:val="001D22BB"/>
    <w:rsid w:val="001D33D6"/>
    <w:rsid w:val="001D3F8D"/>
    <w:rsid w:val="001D3FCE"/>
    <w:rsid w:val="001D4663"/>
    <w:rsid w:val="001D46C4"/>
    <w:rsid w:val="001D5642"/>
    <w:rsid w:val="001D628A"/>
    <w:rsid w:val="001D692D"/>
    <w:rsid w:val="001D69CF"/>
    <w:rsid w:val="001D6E41"/>
    <w:rsid w:val="001D7B80"/>
    <w:rsid w:val="001E22BD"/>
    <w:rsid w:val="001E27B1"/>
    <w:rsid w:val="001E3FFA"/>
    <w:rsid w:val="001E430E"/>
    <w:rsid w:val="001E512C"/>
    <w:rsid w:val="001E6537"/>
    <w:rsid w:val="001E6FD3"/>
    <w:rsid w:val="001E7F68"/>
    <w:rsid w:val="001F08E1"/>
    <w:rsid w:val="001F092F"/>
    <w:rsid w:val="001F0C7E"/>
    <w:rsid w:val="001F1CA9"/>
    <w:rsid w:val="001F2726"/>
    <w:rsid w:val="001F2A83"/>
    <w:rsid w:val="001F45C7"/>
    <w:rsid w:val="001F520E"/>
    <w:rsid w:val="001F59C3"/>
    <w:rsid w:val="001F6238"/>
    <w:rsid w:val="00200023"/>
    <w:rsid w:val="00200848"/>
    <w:rsid w:val="00201D26"/>
    <w:rsid w:val="00202022"/>
    <w:rsid w:val="002028CF"/>
    <w:rsid w:val="00203780"/>
    <w:rsid w:val="00203B39"/>
    <w:rsid w:val="0020421F"/>
    <w:rsid w:val="00204BE7"/>
    <w:rsid w:val="002057A2"/>
    <w:rsid w:val="002057DE"/>
    <w:rsid w:val="0020662C"/>
    <w:rsid w:val="0020679D"/>
    <w:rsid w:val="00206A05"/>
    <w:rsid w:val="0020736B"/>
    <w:rsid w:val="002073E5"/>
    <w:rsid w:val="002079F8"/>
    <w:rsid w:val="00212038"/>
    <w:rsid w:val="00212267"/>
    <w:rsid w:val="0021307C"/>
    <w:rsid w:val="00213EBA"/>
    <w:rsid w:val="002142BE"/>
    <w:rsid w:val="002149A8"/>
    <w:rsid w:val="002151EF"/>
    <w:rsid w:val="002155C3"/>
    <w:rsid w:val="002166D1"/>
    <w:rsid w:val="002211B5"/>
    <w:rsid w:val="0022345E"/>
    <w:rsid w:val="0022384F"/>
    <w:rsid w:val="00223F8D"/>
    <w:rsid w:val="0022441C"/>
    <w:rsid w:val="00224DD7"/>
    <w:rsid w:val="00225592"/>
    <w:rsid w:val="00225ACE"/>
    <w:rsid w:val="002266E9"/>
    <w:rsid w:val="0022684E"/>
    <w:rsid w:val="00226BFC"/>
    <w:rsid w:val="0022718E"/>
    <w:rsid w:val="00227381"/>
    <w:rsid w:val="00233D33"/>
    <w:rsid w:val="00235A9C"/>
    <w:rsid w:val="00236E6A"/>
    <w:rsid w:val="00237F04"/>
    <w:rsid w:val="00242462"/>
    <w:rsid w:val="00242479"/>
    <w:rsid w:val="00242F1E"/>
    <w:rsid w:val="0024521A"/>
    <w:rsid w:val="00245299"/>
    <w:rsid w:val="0024702E"/>
    <w:rsid w:val="00247FBE"/>
    <w:rsid w:val="00250208"/>
    <w:rsid w:val="00250516"/>
    <w:rsid w:val="002507DC"/>
    <w:rsid w:val="00251887"/>
    <w:rsid w:val="00252B01"/>
    <w:rsid w:val="00253A2B"/>
    <w:rsid w:val="00253B4C"/>
    <w:rsid w:val="00254422"/>
    <w:rsid w:val="00255658"/>
    <w:rsid w:val="00256612"/>
    <w:rsid w:val="002615E4"/>
    <w:rsid w:val="00261B87"/>
    <w:rsid w:val="0026338F"/>
    <w:rsid w:val="002661BF"/>
    <w:rsid w:val="00267200"/>
    <w:rsid w:val="002709D2"/>
    <w:rsid w:val="00275666"/>
    <w:rsid w:val="002757AA"/>
    <w:rsid w:val="00275DFB"/>
    <w:rsid w:val="002770C4"/>
    <w:rsid w:val="00280336"/>
    <w:rsid w:val="00281716"/>
    <w:rsid w:val="00281F20"/>
    <w:rsid w:val="00283A94"/>
    <w:rsid w:val="0028444F"/>
    <w:rsid w:val="00285E8F"/>
    <w:rsid w:val="002863ED"/>
    <w:rsid w:val="002864DB"/>
    <w:rsid w:val="00286BE7"/>
    <w:rsid w:val="00286E8C"/>
    <w:rsid w:val="00287660"/>
    <w:rsid w:val="002929F6"/>
    <w:rsid w:val="00293B20"/>
    <w:rsid w:val="00294A3D"/>
    <w:rsid w:val="002976F0"/>
    <w:rsid w:val="002A1140"/>
    <w:rsid w:val="002A117B"/>
    <w:rsid w:val="002A317F"/>
    <w:rsid w:val="002A41D8"/>
    <w:rsid w:val="002A5227"/>
    <w:rsid w:val="002A53D0"/>
    <w:rsid w:val="002A546D"/>
    <w:rsid w:val="002A5BFC"/>
    <w:rsid w:val="002A6A16"/>
    <w:rsid w:val="002A6E04"/>
    <w:rsid w:val="002B19C4"/>
    <w:rsid w:val="002B2063"/>
    <w:rsid w:val="002B216E"/>
    <w:rsid w:val="002B391B"/>
    <w:rsid w:val="002B4CDF"/>
    <w:rsid w:val="002B54ED"/>
    <w:rsid w:val="002B6106"/>
    <w:rsid w:val="002B6598"/>
    <w:rsid w:val="002C09C2"/>
    <w:rsid w:val="002C2097"/>
    <w:rsid w:val="002C21E1"/>
    <w:rsid w:val="002C281C"/>
    <w:rsid w:val="002C2C0D"/>
    <w:rsid w:val="002C3DEB"/>
    <w:rsid w:val="002C596C"/>
    <w:rsid w:val="002C797E"/>
    <w:rsid w:val="002D2C64"/>
    <w:rsid w:val="002D3D8C"/>
    <w:rsid w:val="002D53E8"/>
    <w:rsid w:val="002D583B"/>
    <w:rsid w:val="002D6B26"/>
    <w:rsid w:val="002D789E"/>
    <w:rsid w:val="002E076C"/>
    <w:rsid w:val="002E10D6"/>
    <w:rsid w:val="002E1DED"/>
    <w:rsid w:val="002E638A"/>
    <w:rsid w:val="002E750E"/>
    <w:rsid w:val="002E7AC9"/>
    <w:rsid w:val="002E7B71"/>
    <w:rsid w:val="002F0592"/>
    <w:rsid w:val="002F2E53"/>
    <w:rsid w:val="002F34BB"/>
    <w:rsid w:val="002F40F3"/>
    <w:rsid w:val="002F787E"/>
    <w:rsid w:val="0030008D"/>
    <w:rsid w:val="0030104B"/>
    <w:rsid w:val="00304565"/>
    <w:rsid w:val="00305105"/>
    <w:rsid w:val="00311924"/>
    <w:rsid w:val="00314147"/>
    <w:rsid w:val="00315012"/>
    <w:rsid w:val="003168A8"/>
    <w:rsid w:val="0031694D"/>
    <w:rsid w:val="00321EF5"/>
    <w:rsid w:val="003238D9"/>
    <w:rsid w:val="00324F85"/>
    <w:rsid w:val="00325779"/>
    <w:rsid w:val="00326C83"/>
    <w:rsid w:val="00327084"/>
    <w:rsid w:val="00327190"/>
    <w:rsid w:val="003303B0"/>
    <w:rsid w:val="00331501"/>
    <w:rsid w:val="003338CD"/>
    <w:rsid w:val="00335222"/>
    <w:rsid w:val="003353DC"/>
    <w:rsid w:val="003362D3"/>
    <w:rsid w:val="0034008A"/>
    <w:rsid w:val="003409BB"/>
    <w:rsid w:val="0034112A"/>
    <w:rsid w:val="003421CD"/>
    <w:rsid w:val="00344B61"/>
    <w:rsid w:val="003451F5"/>
    <w:rsid w:val="003456FD"/>
    <w:rsid w:val="00345F10"/>
    <w:rsid w:val="003467E8"/>
    <w:rsid w:val="00346E98"/>
    <w:rsid w:val="003478ED"/>
    <w:rsid w:val="003506C0"/>
    <w:rsid w:val="003518B6"/>
    <w:rsid w:val="00353467"/>
    <w:rsid w:val="003539AE"/>
    <w:rsid w:val="00354822"/>
    <w:rsid w:val="00355C3F"/>
    <w:rsid w:val="003574AE"/>
    <w:rsid w:val="00360947"/>
    <w:rsid w:val="00360E92"/>
    <w:rsid w:val="00361FB0"/>
    <w:rsid w:val="00362EAD"/>
    <w:rsid w:val="00364418"/>
    <w:rsid w:val="0036562D"/>
    <w:rsid w:val="0036776C"/>
    <w:rsid w:val="00370DD7"/>
    <w:rsid w:val="00372060"/>
    <w:rsid w:val="00372DEF"/>
    <w:rsid w:val="003747E8"/>
    <w:rsid w:val="0037490E"/>
    <w:rsid w:val="00376330"/>
    <w:rsid w:val="003768AD"/>
    <w:rsid w:val="00376E33"/>
    <w:rsid w:val="00377239"/>
    <w:rsid w:val="00377927"/>
    <w:rsid w:val="003801D9"/>
    <w:rsid w:val="0038144A"/>
    <w:rsid w:val="00381B12"/>
    <w:rsid w:val="00381D29"/>
    <w:rsid w:val="00382E3D"/>
    <w:rsid w:val="00383B16"/>
    <w:rsid w:val="00384200"/>
    <w:rsid w:val="00385BE9"/>
    <w:rsid w:val="00385F31"/>
    <w:rsid w:val="003863B8"/>
    <w:rsid w:val="00386FFB"/>
    <w:rsid w:val="00391AF1"/>
    <w:rsid w:val="00393D01"/>
    <w:rsid w:val="0039400A"/>
    <w:rsid w:val="003950E4"/>
    <w:rsid w:val="00396A73"/>
    <w:rsid w:val="00396FD6"/>
    <w:rsid w:val="00397CED"/>
    <w:rsid w:val="003A1626"/>
    <w:rsid w:val="003A3AC2"/>
    <w:rsid w:val="003A3DC6"/>
    <w:rsid w:val="003A47D2"/>
    <w:rsid w:val="003A520F"/>
    <w:rsid w:val="003A5322"/>
    <w:rsid w:val="003A57C9"/>
    <w:rsid w:val="003A5DCE"/>
    <w:rsid w:val="003A645C"/>
    <w:rsid w:val="003B0460"/>
    <w:rsid w:val="003B08E8"/>
    <w:rsid w:val="003B0D5D"/>
    <w:rsid w:val="003B2787"/>
    <w:rsid w:val="003B2D21"/>
    <w:rsid w:val="003B3670"/>
    <w:rsid w:val="003B4179"/>
    <w:rsid w:val="003B4186"/>
    <w:rsid w:val="003B5C39"/>
    <w:rsid w:val="003B619C"/>
    <w:rsid w:val="003B66EF"/>
    <w:rsid w:val="003B7E79"/>
    <w:rsid w:val="003C0AEB"/>
    <w:rsid w:val="003C1580"/>
    <w:rsid w:val="003C180D"/>
    <w:rsid w:val="003C1CA4"/>
    <w:rsid w:val="003C4263"/>
    <w:rsid w:val="003C4B7B"/>
    <w:rsid w:val="003C75A1"/>
    <w:rsid w:val="003D138F"/>
    <w:rsid w:val="003D1E37"/>
    <w:rsid w:val="003D54EA"/>
    <w:rsid w:val="003D6912"/>
    <w:rsid w:val="003D7647"/>
    <w:rsid w:val="003E0125"/>
    <w:rsid w:val="003E0B25"/>
    <w:rsid w:val="003E0FF0"/>
    <w:rsid w:val="003E1218"/>
    <w:rsid w:val="003E1868"/>
    <w:rsid w:val="003E190B"/>
    <w:rsid w:val="003E3499"/>
    <w:rsid w:val="003E446C"/>
    <w:rsid w:val="003E476C"/>
    <w:rsid w:val="003E4AD1"/>
    <w:rsid w:val="003E632B"/>
    <w:rsid w:val="003E6564"/>
    <w:rsid w:val="003E6E37"/>
    <w:rsid w:val="003E7768"/>
    <w:rsid w:val="003E7DB9"/>
    <w:rsid w:val="003F0E85"/>
    <w:rsid w:val="003F36AD"/>
    <w:rsid w:val="003F42F4"/>
    <w:rsid w:val="003F49E3"/>
    <w:rsid w:val="003F5EAC"/>
    <w:rsid w:val="003F6560"/>
    <w:rsid w:val="00407190"/>
    <w:rsid w:val="00407308"/>
    <w:rsid w:val="0040764C"/>
    <w:rsid w:val="00410AC2"/>
    <w:rsid w:val="00410C43"/>
    <w:rsid w:val="00411384"/>
    <w:rsid w:val="00411D74"/>
    <w:rsid w:val="00414D61"/>
    <w:rsid w:val="00420D4D"/>
    <w:rsid w:val="00422EB8"/>
    <w:rsid w:val="004233DE"/>
    <w:rsid w:val="00423B47"/>
    <w:rsid w:val="0042401F"/>
    <w:rsid w:val="0042452E"/>
    <w:rsid w:val="004245B9"/>
    <w:rsid w:val="00425ED6"/>
    <w:rsid w:val="0042627A"/>
    <w:rsid w:val="0042740D"/>
    <w:rsid w:val="00430D04"/>
    <w:rsid w:val="00432587"/>
    <w:rsid w:val="004325C7"/>
    <w:rsid w:val="00432E03"/>
    <w:rsid w:val="004334E0"/>
    <w:rsid w:val="00433F31"/>
    <w:rsid w:val="00433F61"/>
    <w:rsid w:val="0043494F"/>
    <w:rsid w:val="00437A9A"/>
    <w:rsid w:val="00440523"/>
    <w:rsid w:val="004405CC"/>
    <w:rsid w:val="004419C0"/>
    <w:rsid w:val="00442314"/>
    <w:rsid w:val="00443B2F"/>
    <w:rsid w:val="00443F03"/>
    <w:rsid w:val="00444532"/>
    <w:rsid w:val="00444B6F"/>
    <w:rsid w:val="00444E2A"/>
    <w:rsid w:val="00445B09"/>
    <w:rsid w:val="00446DB8"/>
    <w:rsid w:val="00447494"/>
    <w:rsid w:val="004479B6"/>
    <w:rsid w:val="00447D57"/>
    <w:rsid w:val="00447E2C"/>
    <w:rsid w:val="00450E47"/>
    <w:rsid w:val="00451BDA"/>
    <w:rsid w:val="00452363"/>
    <w:rsid w:val="004537EC"/>
    <w:rsid w:val="004549DC"/>
    <w:rsid w:val="004556E0"/>
    <w:rsid w:val="00455AE3"/>
    <w:rsid w:val="00456294"/>
    <w:rsid w:val="004627D1"/>
    <w:rsid w:val="004634A9"/>
    <w:rsid w:val="0046391C"/>
    <w:rsid w:val="00466683"/>
    <w:rsid w:val="00466D67"/>
    <w:rsid w:val="004670C5"/>
    <w:rsid w:val="004736B1"/>
    <w:rsid w:val="00474248"/>
    <w:rsid w:val="00474730"/>
    <w:rsid w:val="0047483A"/>
    <w:rsid w:val="0047574D"/>
    <w:rsid w:val="00476C6B"/>
    <w:rsid w:val="00477688"/>
    <w:rsid w:val="00477D4C"/>
    <w:rsid w:val="00480520"/>
    <w:rsid w:val="004807AA"/>
    <w:rsid w:val="004816FB"/>
    <w:rsid w:val="00483C6E"/>
    <w:rsid w:val="004841E9"/>
    <w:rsid w:val="0048425C"/>
    <w:rsid w:val="0048563A"/>
    <w:rsid w:val="00485ABF"/>
    <w:rsid w:val="004861C3"/>
    <w:rsid w:val="00487864"/>
    <w:rsid w:val="00490F14"/>
    <w:rsid w:val="00491D04"/>
    <w:rsid w:val="00491D0D"/>
    <w:rsid w:val="0049221F"/>
    <w:rsid w:val="0049226F"/>
    <w:rsid w:val="004926D2"/>
    <w:rsid w:val="004938DB"/>
    <w:rsid w:val="00494F9F"/>
    <w:rsid w:val="004960D5"/>
    <w:rsid w:val="00496627"/>
    <w:rsid w:val="00496E1B"/>
    <w:rsid w:val="004A02C9"/>
    <w:rsid w:val="004A23F3"/>
    <w:rsid w:val="004A2B3A"/>
    <w:rsid w:val="004A3D10"/>
    <w:rsid w:val="004A3F5A"/>
    <w:rsid w:val="004A505D"/>
    <w:rsid w:val="004A5FDD"/>
    <w:rsid w:val="004A6834"/>
    <w:rsid w:val="004A755D"/>
    <w:rsid w:val="004B1BC4"/>
    <w:rsid w:val="004B33F5"/>
    <w:rsid w:val="004B61DE"/>
    <w:rsid w:val="004B752B"/>
    <w:rsid w:val="004B7E05"/>
    <w:rsid w:val="004C31F7"/>
    <w:rsid w:val="004C3CB4"/>
    <w:rsid w:val="004C3F27"/>
    <w:rsid w:val="004C40C8"/>
    <w:rsid w:val="004C6CE0"/>
    <w:rsid w:val="004C73A6"/>
    <w:rsid w:val="004D0360"/>
    <w:rsid w:val="004D2811"/>
    <w:rsid w:val="004D5380"/>
    <w:rsid w:val="004D6A32"/>
    <w:rsid w:val="004D6D46"/>
    <w:rsid w:val="004D78A4"/>
    <w:rsid w:val="004E023B"/>
    <w:rsid w:val="004E106A"/>
    <w:rsid w:val="004E25B8"/>
    <w:rsid w:val="004E3C71"/>
    <w:rsid w:val="004E42B7"/>
    <w:rsid w:val="004E471D"/>
    <w:rsid w:val="004E4CFC"/>
    <w:rsid w:val="004E5F2A"/>
    <w:rsid w:val="004F2441"/>
    <w:rsid w:val="004F3AE1"/>
    <w:rsid w:val="004F3FD9"/>
    <w:rsid w:val="004F5675"/>
    <w:rsid w:val="004F60DD"/>
    <w:rsid w:val="0050019C"/>
    <w:rsid w:val="00501ED2"/>
    <w:rsid w:val="00502345"/>
    <w:rsid w:val="00503ACF"/>
    <w:rsid w:val="005047D5"/>
    <w:rsid w:val="00507082"/>
    <w:rsid w:val="005073DA"/>
    <w:rsid w:val="00511197"/>
    <w:rsid w:val="005120A9"/>
    <w:rsid w:val="00512E78"/>
    <w:rsid w:val="00513FCE"/>
    <w:rsid w:val="00514998"/>
    <w:rsid w:val="005151D9"/>
    <w:rsid w:val="00515392"/>
    <w:rsid w:val="00515BD6"/>
    <w:rsid w:val="00515E40"/>
    <w:rsid w:val="00517983"/>
    <w:rsid w:val="005203A6"/>
    <w:rsid w:val="005219A4"/>
    <w:rsid w:val="005223AD"/>
    <w:rsid w:val="005236CB"/>
    <w:rsid w:val="005243B1"/>
    <w:rsid w:val="00524889"/>
    <w:rsid w:val="00524AA1"/>
    <w:rsid w:val="00524D32"/>
    <w:rsid w:val="00526330"/>
    <w:rsid w:val="00527754"/>
    <w:rsid w:val="00532259"/>
    <w:rsid w:val="00533308"/>
    <w:rsid w:val="00534AAD"/>
    <w:rsid w:val="00535383"/>
    <w:rsid w:val="00536675"/>
    <w:rsid w:val="00536FAB"/>
    <w:rsid w:val="0053733F"/>
    <w:rsid w:val="00537BE3"/>
    <w:rsid w:val="00537DBA"/>
    <w:rsid w:val="00537E61"/>
    <w:rsid w:val="00542691"/>
    <w:rsid w:val="00542EC8"/>
    <w:rsid w:val="00543CBE"/>
    <w:rsid w:val="00546A2E"/>
    <w:rsid w:val="0054741F"/>
    <w:rsid w:val="005476BD"/>
    <w:rsid w:val="00547E12"/>
    <w:rsid w:val="00551E91"/>
    <w:rsid w:val="00552852"/>
    <w:rsid w:val="00553450"/>
    <w:rsid w:val="0055407C"/>
    <w:rsid w:val="00554A1C"/>
    <w:rsid w:val="00555B90"/>
    <w:rsid w:val="00556118"/>
    <w:rsid w:val="0055652E"/>
    <w:rsid w:val="00556B96"/>
    <w:rsid w:val="00557806"/>
    <w:rsid w:val="00562EDC"/>
    <w:rsid w:val="005642C7"/>
    <w:rsid w:val="00565226"/>
    <w:rsid w:val="00565698"/>
    <w:rsid w:val="00565783"/>
    <w:rsid w:val="00566A71"/>
    <w:rsid w:val="0057367F"/>
    <w:rsid w:val="00573E2D"/>
    <w:rsid w:val="0057538A"/>
    <w:rsid w:val="005767D2"/>
    <w:rsid w:val="00580067"/>
    <w:rsid w:val="00580164"/>
    <w:rsid w:val="00580F22"/>
    <w:rsid w:val="005813F7"/>
    <w:rsid w:val="00581EFB"/>
    <w:rsid w:val="00582D80"/>
    <w:rsid w:val="00582DA8"/>
    <w:rsid w:val="005858AC"/>
    <w:rsid w:val="005904EF"/>
    <w:rsid w:val="00590CFF"/>
    <w:rsid w:val="00591A12"/>
    <w:rsid w:val="00591B71"/>
    <w:rsid w:val="00591E50"/>
    <w:rsid w:val="00596995"/>
    <w:rsid w:val="005A016C"/>
    <w:rsid w:val="005A134E"/>
    <w:rsid w:val="005A1748"/>
    <w:rsid w:val="005A1FCC"/>
    <w:rsid w:val="005A2BA3"/>
    <w:rsid w:val="005A30C4"/>
    <w:rsid w:val="005A43A4"/>
    <w:rsid w:val="005A4CC4"/>
    <w:rsid w:val="005A5233"/>
    <w:rsid w:val="005A62A5"/>
    <w:rsid w:val="005A6846"/>
    <w:rsid w:val="005A6F5F"/>
    <w:rsid w:val="005A7370"/>
    <w:rsid w:val="005B1C1E"/>
    <w:rsid w:val="005B2F30"/>
    <w:rsid w:val="005B3010"/>
    <w:rsid w:val="005B3721"/>
    <w:rsid w:val="005B4AF2"/>
    <w:rsid w:val="005B4F4A"/>
    <w:rsid w:val="005B5341"/>
    <w:rsid w:val="005B6264"/>
    <w:rsid w:val="005B62F6"/>
    <w:rsid w:val="005B6F0B"/>
    <w:rsid w:val="005B71BB"/>
    <w:rsid w:val="005B7576"/>
    <w:rsid w:val="005C43A9"/>
    <w:rsid w:val="005C4C15"/>
    <w:rsid w:val="005C5AD3"/>
    <w:rsid w:val="005C6519"/>
    <w:rsid w:val="005D0CEE"/>
    <w:rsid w:val="005D1BCC"/>
    <w:rsid w:val="005D23CB"/>
    <w:rsid w:val="005D25F4"/>
    <w:rsid w:val="005D48A0"/>
    <w:rsid w:val="005D6ADA"/>
    <w:rsid w:val="005D7242"/>
    <w:rsid w:val="005D7A4D"/>
    <w:rsid w:val="005E02A3"/>
    <w:rsid w:val="005E115F"/>
    <w:rsid w:val="005E1BC8"/>
    <w:rsid w:val="005E1D17"/>
    <w:rsid w:val="005E2EE7"/>
    <w:rsid w:val="005E2FEB"/>
    <w:rsid w:val="005E3EE9"/>
    <w:rsid w:val="005E3EF2"/>
    <w:rsid w:val="005E48EA"/>
    <w:rsid w:val="005E4F85"/>
    <w:rsid w:val="005E588A"/>
    <w:rsid w:val="005E792C"/>
    <w:rsid w:val="005E7986"/>
    <w:rsid w:val="005F0777"/>
    <w:rsid w:val="005F1493"/>
    <w:rsid w:val="005F18DC"/>
    <w:rsid w:val="005F281C"/>
    <w:rsid w:val="005F31BB"/>
    <w:rsid w:val="005F36E9"/>
    <w:rsid w:val="005F52C1"/>
    <w:rsid w:val="005F7B75"/>
    <w:rsid w:val="00600FAE"/>
    <w:rsid w:val="006017B6"/>
    <w:rsid w:val="00601C98"/>
    <w:rsid w:val="00602646"/>
    <w:rsid w:val="0060305C"/>
    <w:rsid w:val="00604D98"/>
    <w:rsid w:val="006056E4"/>
    <w:rsid w:val="00606637"/>
    <w:rsid w:val="00606C73"/>
    <w:rsid w:val="0061155C"/>
    <w:rsid w:val="00612D06"/>
    <w:rsid w:val="00614554"/>
    <w:rsid w:val="00614FC4"/>
    <w:rsid w:val="00615867"/>
    <w:rsid w:val="00616FB1"/>
    <w:rsid w:val="00620BE7"/>
    <w:rsid w:val="006212F2"/>
    <w:rsid w:val="00622CDB"/>
    <w:rsid w:val="00622D43"/>
    <w:rsid w:val="00622DF2"/>
    <w:rsid w:val="00623145"/>
    <w:rsid w:val="006250D0"/>
    <w:rsid w:val="00626ECF"/>
    <w:rsid w:val="006301CA"/>
    <w:rsid w:val="00631D2F"/>
    <w:rsid w:val="00632F04"/>
    <w:rsid w:val="0063558E"/>
    <w:rsid w:val="00635826"/>
    <w:rsid w:val="00635B4B"/>
    <w:rsid w:val="00636506"/>
    <w:rsid w:val="00637370"/>
    <w:rsid w:val="00637847"/>
    <w:rsid w:val="00641A1A"/>
    <w:rsid w:val="00644DEE"/>
    <w:rsid w:val="00645330"/>
    <w:rsid w:val="006463CD"/>
    <w:rsid w:val="00646612"/>
    <w:rsid w:val="00646A27"/>
    <w:rsid w:val="00646C4B"/>
    <w:rsid w:val="00647279"/>
    <w:rsid w:val="0064761B"/>
    <w:rsid w:val="00650694"/>
    <w:rsid w:val="00650EC5"/>
    <w:rsid w:val="006530DD"/>
    <w:rsid w:val="0065396F"/>
    <w:rsid w:val="00653CE5"/>
    <w:rsid w:val="00653D2B"/>
    <w:rsid w:val="00654F2D"/>
    <w:rsid w:val="006550BB"/>
    <w:rsid w:val="006568AA"/>
    <w:rsid w:val="00657591"/>
    <w:rsid w:val="0065765E"/>
    <w:rsid w:val="00657986"/>
    <w:rsid w:val="006608D7"/>
    <w:rsid w:val="0066168A"/>
    <w:rsid w:val="00661BF0"/>
    <w:rsid w:val="0066235A"/>
    <w:rsid w:val="006633C0"/>
    <w:rsid w:val="00663AF6"/>
    <w:rsid w:val="006640EC"/>
    <w:rsid w:val="0066413E"/>
    <w:rsid w:val="00664F1B"/>
    <w:rsid w:val="006654C4"/>
    <w:rsid w:val="00666D0F"/>
    <w:rsid w:val="0066714F"/>
    <w:rsid w:val="00667BDE"/>
    <w:rsid w:val="0067031E"/>
    <w:rsid w:val="00671500"/>
    <w:rsid w:val="006765D2"/>
    <w:rsid w:val="0067739E"/>
    <w:rsid w:val="00677EBB"/>
    <w:rsid w:val="00680768"/>
    <w:rsid w:val="00682B7F"/>
    <w:rsid w:val="00682D05"/>
    <w:rsid w:val="00684C60"/>
    <w:rsid w:val="00684FE8"/>
    <w:rsid w:val="006852C2"/>
    <w:rsid w:val="00686A22"/>
    <w:rsid w:val="0068745B"/>
    <w:rsid w:val="00687C1A"/>
    <w:rsid w:val="00690937"/>
    <w:rsid w:val="00691396"/>
    <w:rsid w:val="00692105"/>
    <w:rsid w:val="00692BED"/>
    <w:rsid w:val="00693BB7"/>
    <w:rsid w:val="00693EC0"/>
    <w:rsid w:val="006943AD"/>
    <w:rsid w:val="0069590A"/>
    <w:rsid w:val="00696D81"/>
    <w:rsid w:val="0069742D"/>
    <w:rsid w:val="006976E7"/>
    <w:rsid w:val="006A0307"/>
    <w:rsid w:val="006A1746"/>
    <w:rsid w:val="006A2B22"/>
    <w:rsid w:val="006A45E8"/>
    <w:rsid w:val="006A4EEC"/>
    <w:rsid w:val="006A6590"/>
    <w:rsid w:val="006A6AB3"/>
    <w:rsid w:val="006A6B2D"/>
    <w:rsid w:val="006B045E"/>
    <w:rsid w:val="006B0DCE"/>
    <w:rsid w:val="006B270B"/>
    <w:rsid w:val="006B2E29"/>
    <w:rsid w:val="006B4074"/>
    <w:rsid w:val="006B6D17"/>
    <w:rsid w:val="006C1494"/>
    <w:rsid w:val="006C3E1F"/>
    <w:rsid w:val="006C40F3"/>
    <w:rsid w:val="006C4809"/>
    <w:rsid w:val="006C4A90"/>
    <w:rsid w:val="006C723A"/>
    <w:rsid w:val="006C7A85"/>
    <w:rsid w:val="006D02C4"/>
    <w:rsid w:val="006D1892"/>
    <w:rsid w:val="006D2D57"/>
    <w:rsid w:val="006D3730"/>
    <w:rsid w:val="006D3AF4"/>
    <w:rsid w:val="006D3AF8"/>
    <w:rsid w:val="006D4A4D"/>
    <w:rsid w:val="006D650E"/>
    <w:rsid w:val="006D6606"/>
    <w:rsid w:val="006D6B3D"/>
    <w:rsid w:val="006D7D4C"/>
    <w:rsid w:val="006E018B"/>
    <w:rsid w:val="006E18EF"/>
    <w:rsid w:val="006E202D"/>
    <w:rsid w:val="006E22DB"/>
    <w:rsid w:val="006E57E2"/>
    <w:rsid w:val="006E5A1C"/>
    <w:rsid w:val="006E7F46"/>
    <w:rsid w:val="006E7FC6"/>
    <w:rsid w:val="006F17F8"/>
    <w:rsid w:val="006F20A7"/>
    <w:rsid w:val="006F3017"/>
    <w:rsid w:val="006F46B6"/>
    <w:rsid w:val="006F4A4C"/>
    <w:rsid w:val="006F5353"/>
    <w:rsid w:val="006F61AE"/>
    <w:rsid w:val="006F71B1"/>
    <w:rsid w:val="006F7874"/>
    <w:rsid w:val="006F7D14"/>
    <w:rsid w:val="007001FB"/>
    <w:rsid w:val="00700F8A"/>
    <w:rsid w:val="007016D0"/>
    <w:rsid w:val="00701C80"/>
    <w:rsid w:val="00702304"/>
    <w:rsid w:val="00702B46"/>
    <w:rsid w:val="00702C93"/>
    <w:rsid w:val="007044A6"/>
    <w:rsid w:val="00704777"/>
    <w:rsid w:val="00704E19"/>
    <w:rsid w:val="00705272"/>
    <w:rsid w:val="007107E1"/>
    <w:rsid w:val="0071393B"/>
    <w:rsid w:val="00714025"/>
    <w:rsid w:val="0071411A"/>
    <w:rsid w:val="00715D9B"/>
    <w:rsid w:val="00717E48"/>
    <w:rsid w:val="007223F6"/>
    <w:rsid w:val="0072449F"/>
    <w:rsid w:val="007247DD"/>
    <w:rsid w:val="00724805"/>
    <w:rsid w:val="00724D09"/>
    <w:rsid w:val="007255EA"/>
    <w:rsid w:val="007262FA"/>
    <w:rsid w:val="007330F4"/>
    <w:rsid w:val="007344E7"/>
    <w:rsid w:val="007346F2"/>
    <w:rsid w:val="0073497B"/>
    <w:rsid w:val="007357A9"/>
    <w:rsid w:val="007376B2"/>
    <w:rsid w:val="0073786C"/>
    <w:rsid w:val="00741D9A"/>
    <w:rsid w:val="0074228E"/>
    <w:rsid w:val="00742CFE"/>
    <w:rsid w:val="00743D4C"/>
    <w:rsid w:val="007442CF"/>
    <w:rsid w:val="00745247"/>
    <w:rsid w:val="0074527D"/>
    <w:rsid w:val="00745DB1"/>
    <w:rsid w:val="007473FF"/>
    <w:rsid w:val="007479EC"/>
    <w:rsid w:val="00750180"/>
    <w:rsid w:val="007510B6"/>
    <w:rsid w:val="00751129"/>
    <w:rsid w:val="00751513"/>
    <w:rsid w:val="007524B9"/>
    <w:rsid w:val="00753840"/>
    <w:rsid w:val="00754CF2"/>
    <w:rsid w:val="00755F34"/>
    <w:rsid w:val="00756631"/>
    <w:rsid w:val="00757423"/>
    <w:rsid w:val="00757662"/>
    <w:rsid w:val="007577B1"/>
    <w:rsid w:val="0076054A"/>
    <w:rsid w:val="00761A88"/>
    <w:rsid w:val="0076264B"/>
    <w:rsid w:val="00763B3F"/>
    <w:rsid w:val="00764440"/>
    <w:rsid w:val="007662FA"/>
    <w:rsid w:val="007663DD"/>
    <w:rsid w:val="007703C7"/>
    <w:rsid w:val="00774B13"/>
    <w:rsid w:val="00775EA8"/>
    <w:rsid w:val="00776DF6"/>
    <w:rsid w:val="007810A0"/>
    <w:rsid w:val="00781275"/>
    <w:rsid w:val="00781A39"/>
    <w:rsid w:val="00781C24"/>
    <w:rsid w:val="00781C43"/>
    <w:rsid w:val="00782563"/>
    <w:rsid w:val="00782930"/>
    <w:rsid w:val="00787DEE"/>
    <w:rsid w:val="00791275"/>
    <w:rsid w:val="007913DD"/>
    <w:rsid w:val="00792577"/>
    <w:rsid w:val="00792E4C"/>
    <w:rsid w:val="00792F0C"/>
    <w:rsid w:val="007932E0"/>
    <w:rsid w:val="00795CBB"/>
    <w:rsid w:val="00796C5F"/>
    <w:rsid w:val="00797F88"/>
    <w:rsid w:val="007A082F"/>
    <w:rsid w:val="007A0F61"/>
    <w:rsid w:val="007A1927"/>
    <w:rsid w:val="007A1F29"/>
    <w:rsid w:val="007A26C9"/>
    <w:rsid w:val="007A5203"/>
    <w:rsid w:val="007A5300"/>
    <w:rsid w:val="007A6F4F"/>
    <w:rsid w:val="007A79F0"/>
    <w:rsid w:val="007B366C"/>
    <w:rsid w:val="007B3AAF"/>
    <w:rsid w:val="007B5C8F"/>
    <w:rsid w:val="007B6F6D"/>
    <w:rsid w:val="007C04AE"/>
    <w:rsid w:val="007C227C"/>
    <w:rsid w:val="007C264A"/>
    <w:rsid w:val="007C34E6"/>
    <w:rsid w:val="007C3600"/>
    <w:rsid w:val="007C4CFC"/>
    <w:rsid w:val="007C51F3"/>
    <w:rsid w:val="007C584F"/>
    <w:rsid w:val="007C5F4E"/>
    <w:rsid w:val="007C7AC7"/>
    <w:rsid w:val="007C7C12"/>
    <w:rsid w:val="007D0D46"/>
    <w:rsid w:val="007D13C6"/>
    <w:rsid w:val="007D1C3C"/>
    <w:rsid w:val="007D20D7"/>
    <w:rsid w:val="007D215C"/>
    <w:rsid w:val="007D2837"/>
    <w:rsid w:val="007D3067"/>
    <w:rsid w:val="007D57CC"/>
    <w:rsid w:val="007D5A8E"/>
    <w:rsid w:val="007D5AEF"/>
    <w:rsid w:val="007D62FB"/>
    <w:rsid w:val="007D7A7D"/>
    <w:rsid w:val="007E1F29"/>
    <w:rsid w:val="007E2D2B"/>
    <w:rsid w:val="007E368F"/>
    <w:rsid w:val="007E6B0B"/>
    <w:rsid w:val="007E77E1"/>
    <w:rsid w:val="007F1D16"/>
    <w:rsid w:val="007F424B"/>
    <w:rsid w:val="007F56E1"/>
    <w:rsid w:val="007F6479"/>
    <w:rsid w:val="007F71C8"/>
    <w:rsid w:val="00800B05"/>
    <w:rsid w:val="0080105A"/>
    <w:rsid w:val="008013DB"/>
    <w:rsid w:val="008013E2"/>
    <w:rsid w:val="008051EC"/>
    <w:rsid w:val="008052FF"/>
    <w:rsid w:val="00805BB8"/>
    <w:rsid w:val="008060BD"/>
    <w:rsid w:val="00806586"/>
    <w:rsid w:val="0080702D"/>
    <w:rsid w:val="008071AE"/>
    <w:rsid w:val="008078FF"/>
    <w:rsid w:val="00810868"/>
    <w:rsid w:val="0081238A"/>
    <w:rsid w:val="008125A6"/>
    <w:rsid w:val="00813C7B"/>
    <w:rsid w:val="008155D8"/>
    <w:rsid w:val="008156BB"/>
    <w:rsid w:val="00816FDD"/>
    <w:rsid w:val="0081749C"/>
    <w:rsid w:val="00817A09"/>
    <w:rsid w:val="00817E2D"/>
    <w:rsid w:val="00817E43"/>
    <w:rsid w:val="00820727"/>
    <w:rsid w:val="008212A6"/>
    <w:rsid w:val="0082264E"/>
    <w:rsid w:val="00822D3C"/>
    <w:rsid w:val="008240F1"/>
    <w:rsid w:val="00824CD3"/>
    <w:rsid w:val="00824DDB"/>
    <w:rsid w:val="00824E07"/>
    <w:rsid w:val="00824E15"/>
    <w:rsid w:val="008253FB"/>
    <w:rsid w:val="00825C95"/>
    <w:rsid w:val="00826CDA"/>
    <w:rsid w:val="008302BB"/>
    <w:rsid w:val="008336E1"/>
    <w:rsid w:val="00833B77"/>
    <w:rsid w:val="0083423F"/>
    <w:rsid w:val="0083750A"/>
    <w:rsid w:val="00840EBE"/>
    <w:rsid w:val="0084225D"/>
    <w:rsid w:val="0084403A"/>
    <w:rsid w:val="0084413D"/>
    <w:rsid w:val="00844E37"/>
    <w:rsid w:val="00845A8D"/>
    <w:rsid w:val="008461D7"/>
    <w:rsid w:val="00846394"/>
    <w:rsid w:val="00847F36"/>
    <w:rsid w:val="00850371"/>
    <w:rsid w:val="00853E27"/>
    <w:rsid w:val="008541FB"/>
    <w:rsid w:val="0085680B"/>
    <w:rsid w:val="00856C62"/>
    <w:rsid w:val="00856FF3"/>
    <w:rsid w:val="008575F7"/>
    <w:rsid w:val="00860CF9"/>
    <w:rsid w:val="008613E6"/>
    <w:rsid w:val="008628B0"/>
    <w:rsid w:val="00862C4A"/>
    <w:rsid w:val="00863254"/>
    <w:rsid w:val="00863B90"/>
    <w:rsid w:val="0086524A"/>
    <w:rsid w:val="008655C1"/>
    <w:rsid w:val="00866014"/>
    <w:rsid w:val="00866C98"/>
    <w:rsid w:val="0087230F"/>
    <w:rsid w:val="00873330"/>
    <w:rsid w:val="00875474"/>
    <w:rsid w:val="00875C10"/>
    <w:rsid w:val="0087788E"/>
    <w:rsid w:val="00877D2C"/>
    <w:rsid w:val="00880BB6"/>
    <w:rsid w:val="00881924"/>
    <w:rsid w:val="00881984"/>
    <w:rsid w:val="00881A63"/>
    <w:rsid w:val="00881D59"/>
    <w:rsid w:val="0088237E"/>
    <w:rsid w:val="00882D4C"/>
    <w:rsid w:val="008838C7"/>
    <w:rsid w:val="00885620"/>
    <w:rsid w:val="00885C7A"/>
    <w:rsid w:val="00886B1D"/>
    <w:rsid w:val="0088703A"/>
    <w:rsid w:val="00887168"/>
    <w:rsid w:val="00893D11"/>
    <w:rsid w:val="00893EC2"/>
    <w:rsid w:val="00894B42"/>
    <w:rsid w:val="00895752"/>
    <w:rsid w:val="00895EB2"/>
    <w:rsid w:val="00897C5A"/>
    <w:rsid w:val="008A164C"/>
    <w:rsid w:val="008A198B"/>
    <w:rsid w:val="008A66F0"/>
    <w:rsid w:val="008A712C"/>
    <w:rsid w:val="008A7A3E"/>
    <w:rsid w:val="008A7C40"/>
    <w:rsid w:val="008B08C0"/>
    <w:rsid w:val="008B1297"/>
    <w:rsid w:val="008B3F3D"/>
    <w:rsid w:val="008B49C1"/>
    <w:rsid w:val="008B607D"/>
    <w:rsid w:val="008B6427"/>
    <w:rsid w:val="008B68ED"/>
    <w:rsid w:val="008C094B"/>
    <w:rsid w:val="008C13BE"/>
    <w:rsid w:val="008C2AAD"/>
    <w:rsid w:val="008C3094"/>
    <w:rsid w:val="008C5124"/>
    <w:rsid w:val="008C56E1"/>
    <w:rsid w:val="008C57E8"/>
    <w:rsid w:val="008C5DD8"/>
    <w:rsid w:val="008D06FC"/>
    <w:rsid w:val="008D0D13"/>
    <w:rsid w:val="008D238B"/>
    <w:rsid w:val="008D3CA1"/>
    <w:rsid w:val="008D3EF8"/>
    <w:rsid w:val="008D3F8A"/>
    <w:rsid w:val="008D45DE"/>
    <w:rsid w:val="008D6D71"/>
    <w:rsid w:val="008D6E33"/>
    <w:rsid w:val="008D70B9"/>
    <w:rsid w:val="008D71E5"/>
    <w:rsid w:val="008D7A2F"/>
    <w:rsid w:val="008D7CE4"/>
    <w:rsid w:val="008E19CE"/>
    <w:rsid w:val="008E3F22"/>
    <w:rsid w:val="008E4013"/>
    <w:rsid w:val="008E483D"/>
    <w:rsid w:val="008E4940"/>
    <w:rsid w:val="008E4967"/>
    <w:rsid w:val="008E56EF"/>
    <w:rsid w:val="008E70C5"/>
    <w:rsid w:val="008E7225"/>
    <w:rsid w:val="008E74D3"/>
    <w:rsid w:val="008E7BEC"/>
    <w:rsid w:val="008F0BE3"/>
    <w:rsid w:val="008F44B7"/>
    <w:rsid w:val="008F5568"/>
    <w:rsid w:val="008F55F8"/>
    <w:rsid w:val="008F57A7"/>
    <w:rsid w:val="008F70FD"/>
    <w:rsid w:val="009009F4"/>
    <w:rsid w:val="00900F7B"/>
    <w:rsid w:val="009010AA"/>
    <w:rsid w:val="00902BBD"/>
    <w:rsid w:val="0090384F"/>
    <w:rsid w:val="00903CDA"/>
    <w:rsid w:val="00903DDB"/>
    <w:rsid w:val="00905896"/>
    <w:rsid w:val="00905DA8"/>
    <w:rsid w:val="00906365"/>
    <w:rsid w:val="00906B3B"/>
    <w:rsid w:val="00910278"/>
    <w:rsid w:val="00915FD4"/>
    <w:rsid w:val="00917742"/>
    <w:rsid w:val="0092079F"/>
    <w:rsid w:val="0092101B"/>
    <w:rsid w:val="0092141B"/>
    <w:rsid w:val="00921C69"/>
    <w:rsid w:val="00921D5A"/>
    <w:rsid w:val="009240B3"/>
    <w:rsid w:val="00924726"/>
    <w:rsid w:val="0092479C"/>
    <w:rsid w:val="0092546F"/>
    <w:rsid w:val="0092709F"/>
    <w:rsid w:val="00927114"/>
    <w:rsid w:val="00927A5E"/>
    <w:rsid w:val="009307DA"/>
    <w:rsid w:val="00931E02"/>
    <w:rsid w:val="00931E76"/>
    <w:rsid w:val="009320B7"/>
    <w:rsid w:val="0093363A"/>
    <w:rsid w:val="009345C5"/>
    <w:rsid w:val="009356C1"/>
    <w:rsid w:val="00935888"/>
    <w:rsid w:val="00935A33"/>
    <w:rsid w:val="00937AEC"/>
    <w:rsid w:val="009401CC"/>
    <w:rsid w:val="0094094E"/>
    <w:rsid w:val="0094193D"/>
    <w:rsid w:val="00942D07"/>
    <w:rsid w:val="00943189"/>
    <w:rsid w:val="0094345F"/>
    <w:rsid w:val="00943C8B"/>
    <w:rsid w:val="00944228"/>
    <w:rsid w:val="00945C29"/>
    <w:rsid w:val="0094794A"/>
    <w:rsid w:val="00947DBA"/>
    <w:rsid w:val="00947F3B"/>
    <w:rsid w:val="0095018C"/>
    <w:rsid w:val="00950754"/>
    <w:rsid w:val="00951CDF"/>
    <w:rsid w:val="0095231C"/>
    <w:rsid w:val="0095269D"/>
    <w:rsid w:val="009526DA"/>
    <w:rsid w:val="009541F5"/>
    <w:rsid w:val="00955180"/>
    <w:rsid w:val="009553B1"/>
    <w:rsid w:val="009562D3"/>
    <w:rsid w:val="00956383"/>
    <w:rsid w:val="00957DE4"/>
    <w:rsid w:val="00960136"/>
    <w:rsid w:val="00960564"/>
    <w:rsid w:val="009613DD"/>
    <w:rsid w:val="00963712"/>
    <w:rsid w:val="009648FD"/>
    <w:rsid w:val="00965C7E"/>
    <w:rsid w:val="00966A24"/>
    <w:rsid w:val="009678A6"/>
    <w:rsid w:val="00970761"/>
    <w:rsid w:val="009724A7"/>
    <w:rsid w:val="00972A5E"/>
    <w:rsid w:val="00973CAC"/>
    <w:rsid w:val="009741B7"/>
    <w:rsid w:val="00976008"/>
    <w:rsid w:val="009804F5"/>
    <w:rsid w:val="00980DB6"/>
    <w:rsid w:val="00981E05"/>
    <w:rsid w:val="009836A9"/>
    <w:rsid w:val="0098617B"/>
    <w:rsid w:val="0098629D"/>
    <w:rsid w:val="00986382"/>
    <w:rsid w:val="00986408"/>
    <w:rsid w:val="009876E0"/>
    <w:rsid w:val="009910D4"/>
    <w:rsid w:val="0099138B"/>
    <w:rsid w:val="009919B0"/>
    <w:rsid w:val="00993062"/>
    <w:rsid w:val="00993404"/>
    <w:rsid w:val="009944E4"/>
    <w:rsid w:val="00995A09"/>
    <w:rsid w:val="00997029"/>
    <w:rsid w:val="00997B8C"/>
    <w:rsid w:val="00997C81"/>
    <w:rsid w:val="00997F21"/>
    <w:rsid w:val="009A09E4"/>
    <w:rsid w:val="009A0A6A"/>
    <w:rsid w:val="009A1673"/>
    <w:rsid w:val="009A2133"/>
    <w:rsid w:val="009A38C7"/>
    <w:rsid w:val="009A461D"/>
    <w:rsid w:val="009A4795"/>
    <w:rsid w:val="009A4BF6"/>
    <w:rsid w:val="009A4CAC"/>
    <w:rsid w:val="009A553C"/>
    <w:rsid w:val="009A5EE6"/>
    <w:rsid w:val="009A79E1"/>
    <w:rsid w:val="009A7C56"/>
    <w:rsid w:val="009A7DCC"/>
    <w:rsid w:val="009B0703"/>
    <w:rsid w:val="009B095A"/>
    <w:rsid w:val="009B0D49"/>
    <w:rsid w:val="009B257D"/>
    <w:rsid w:val="009B286F"/>
    <w:rsid w:val="009B2CFA"/>
    <w:rsid w:val="009B2DDF"/>
    <w:rsid w:val="009B66BD"/>
    <w:rsid w:val="009B70C7"/>
    <w:rsid w:val="009C02C1"/>
    <w:rsid w:val="009C23F0"/>
    <w:rsid w:val="009C37E9"/>
    <w:rsid w:val="009C3A40"/>
    <w:rsid w:val="009C4539"/>
    <w:rsid w:val="009C4905"/>
    <w:rsid w:val="009C6D5C"/>
    <w:rsid w:val="009C730D"/>
    <w:rsid w:val="009C740E"/>
    <w:rsid w:val="009C7EF3"/>
    <w:rsid w:val="009D0B7F"/>
    <w:rsid w:val="009D226D"/>
    <w:rsid w:val="009D2BDD"/>
    <w:rsid w:val="009D44CF"/>
    <w:rsid w:val="009D4ACD"/>
    <w:rsid w:val="009D5E7E"/>
    <w:rsid w:val="009D6898"/>
    <w:rsid w:val="009D7662"/>
    <w:rsid w:val="009D79C6"/>
    <w:rsid w:val="009E0C44"/>
    <w:rsid w:val="009E2C63"/>
    <w:rsid w:val="009E3006"/>
    <w:rsid w:val="009E3030"/>
    <w:rsid w:val="009E400B"/>
    <w:rsid w:val="009E4E02"/>
    <w:rsid w:val="009E6451"/>
    <w:rsid w:val="009E766A"/>
    <w:rsid w:val="009F1F00"/>
    <w:rsid w:val="009F2DE8"/>
    <w:rsid w:val="009F3CAB"/>
    <w:rsid w:val="009F41AA"/>
    <w:rsid w:val="009F4329"/>
    <w:rsid w:val="009F4D67"/>
    <w:rsid w:val="009F58D8"/>
    <w:rsid w:val="009F60F7"/>
    <w:rsid w:val="009F79B5"/>
    <w:rsid w:val="009F7BE1"/>
    <w:rsid w:val="00A022CB"/>
    <w:rsid w:val="00A03231"/>
    <w:rsid w:val="00A04475"/>
    <w:rsid w:val="00A0604B"/>
    <w:rsid w:val="00A06CFE"/>
    <w:rsid w:val="00A10299"/>
    <w:rsid w:val="00A11125"/>
    <w:rsid w:val="00A11F5D"/>
    <w:rsid w:val="00A12496"/>
    <w:rsid w:val="00A12A67"/>
    <w:rsid w:val="00A14062"/>
    <w:rsid w:val="00A140E7"/>
    <w:rsid w:val="00A145FE"/>
    <w:rsid w:val="00A1537E"/>
    <w:rsid w:val="00A1576F"/>
    <w:rsid w:val="00A158D5"/>
    <w:rsid w:val="00A168BE"/>
    <w:rsid w:val="00A17ED9"/>
    <w:rsid w:val="00A211BF"/>
    <w:rsid w:val="00A216C1"/>
    <w:rsid w:val="00A24269"/>
    <w:rsid w:val="00A25266"/>
    <w:rsid w:val="00A26055"/>
    <w:rsid w:val="00A261F4"/>
    <w:rsid w:val="00A26245"/>
    <w:rsid w:val="00A267BA"/>
    <w:rsid w:val="00A268AC"/>
    <w:rsid w:val="00A27919"/>
    <w:rsid w:val="00A27F17"/>
    <w:rsid w:val="00A31C0A"/>
    <w:rsid w:val="00A32DC0"/>
    <w:rsid w:val="00A359A4"/>
    <w:rsid w:val="00A36817"/>
    <w:rsid w:val="00A36880"/>
    <w:rsid w:val="00A37292"/>
    <w:rsid w:val="00A40703"/>
    <w:rsid w:val="00A40A63"/>
    <w:rsid w:val="00A4371D"/>
    <w:rsid w:val="00A43E18"/>
    <w:rsid w:val="00A44677"/>
    <w:rsid w:val="00A47D65"/>
    <w:rsid w:val="00A52AFA"/>
    <w:rsid w:val="00A53AF6"/>
    <w:rsid w:val="00A57F23"/>
    <w:rsid w:val="00A61D07"/>
    <w:rsid w:val="00A61FAC"/>
    <w:rsid w:val="00A63F93"/>
    <w:rsid w:val="00A64E7B"/>
    <w:rsid w:val="00A64FA5"/>
    <w:rsid w:val="00A655CA"/>
    <w:rsid w:val="00A667A4"/>
    <w:rsid w:val="00A674F3"/>
    <w:rsid w:val="00A70546"/>
    <w:rsid w:val="00A73ED3"/>
    <w:rsid w:val="00A76727"/>
    <w:rsid w:val="00A778ED"/>
    <w:rsid w:val="00A80AD5"/>
    <w:rsid w:val="00A813C7"/>
    <w:rsid w:val="00A819BF"/>
    <w:rsid w:val="00A830A0"/>
    <w:rsid w:val="00A830DC"/>
    <w:rsid w:val="00A835EC"/>
    <w:rsid w:val="00A841FF"/>
    <w:rsid w:val="00A84875"/>
    <w:rsid w:val="00A85845"/>
    <w:rsid w:val="00A86775"/>
    <w:rsid w:val="00A86AF1"/>
    <w:rsid w:val="00A86D81"/>
    <w:rsid w:val="00A86E82"/>
    <w:rsid w:val="00A87063"/>
    <w:rsid w:val="00A87588"/>
    <w:rsid w:val="00A87D98"/>
    <w:rsid w:val="00A9014B"/>
    <w:rsid w:val="00A92AE6"/>
    <w:rsid w:val="00A9431F"/>
    <w:rsid w:val="00A94DA6"/>
    <w:rsid w:val="00A959A8"/>
    <w:rsid w:val="00A96223"/>
    <w:rsid w:val="00A968AD"/>
    <w:rsid w:val="00AA1232"/>
    <w:rsid w:val="00AA15C9"/>
    <w:rsid w:val="00AA28D5"/>
    <w:rsid w:val="00AA29A4"/>
    <w:rsid w:val="00AA5016"/>
    <w:rsid w:val="00AA5439"/>
    <w:rsid w:val="00AA5E51"/>
    <w:rsid w:val="00AA7172"/>
    <w:rsid w:val="00AA71F1"/>
    <w:rsid w:val="00AB3ED8"/>
    <w:rsid w:val="00AB4593"/>
    <w:rsid w:val="00AB5297"/>
    <w:rsid w:val="00AB579F"/>
    <w:rsid w:val="00AB5912"/>
    <w:rsid w:val="00AB5CF1"/>
    <w:rsid w:val="00AB5E51"/>
    <w:rsid w:val="00AB63E5"/>
    <w:rsid w:val="00AB7A2E"/>
    <w:rsid w:val="00AC189B"/>
    <w:rsid w:val="00AC214E"/>
    <w:rsid w:val="00AC2FED"/>
    <w:rsid w:val="00AC41D6"/>
    <w:rsid w:val="00AC46E4"/>
    <w:rsid w:val="00AC7146"/>
    <w:rsid w:val="00AD085D"/>
    <w:rsid w:val="00AD250F"/>
    <w:rsid w:val="00AD3D0A"/>
    <w:rsid w:val="00AD4427"/>
    <w:rsid w:val="00AD5CE7"/>
    <w:rsid w:val="00AD63B4"/>
    <w:rsid w:val="00AD6744"/>
    <w:rsid w:val="00AD68DA"/>
    <w:rsid w:val="00AD6908"/>
    <w:rsid w:val="00AD751B"/>
    <w:rsid w:val="00AE053A"/>
    <w:rsid w:val="00AE0E81"/>
    <w:rsid w:val="00AE3201"/>
    <w:rsid w:val="00AE58FF"/>
    <w:rsid w:val="00AE5931"/>
    <w:rsid w:val="00AE6C10"/>
    <w:rsid w:val="00AF0937"/>
    <w:rsid w:val="00AF1732"/>
    <w:rsid w:val="00AF2A23"/>
    <w:rsid w:val="00AF3AB7"/>
    <w:rsid w:val="00AF5200"/>
    <w:rsid w:val="00AF5473"/>
    <w:rsid w:val="00AF654A"/>
    <w:rsid w:val="00AF77AB"/>
    <w:rsid w:val="00B0174F"/>
    <w:rsid w:val="00B01FE7"/>
    <w:rsid w:val="00B02FE3"/>
    <w:rsid w:val="00B03898"/>
    <w:rsid w:val="00B051A6"/>
    <w:rsid w:val="00B0533E"/>
    <w:rsid w:val="00B05A49"/>
    <w:rsid w:val="00B05E37"/>
    <w:rsid w:val="00B070C5"/>
    <w:rsid w:val="00B116D2"/>
    <w:rsid w:val="00B11F9B"/>
    <w:rsid w:val="00B123FA"/>
    <w:rsid w:val="00B13470"/>
    <w:rsid w:val="00B1508C"/>
    <w:rsid w:val="00B17447"/>
    <w:rsid w:val="00B17EA0"/>
    <w:rsid w:val="00B20FF3"/>
    <w:rsid w:val="00B21656"/>
    <w:rsid w:val="00B22904"/>
    <w:rsid w:val="00B22B12"/>
    <w:rsid w:val="00B23A3B"/>
    <w:rsid w:val="00B23DE5"/>
    <w:rsid w:val="00B242A0"/>
    <w:rsid w:val="00B244F3"/>
    <w:rsid w:val="00B25B89"/>
    <w:rsid w:val="00B26C0C"/>
    <w:rsid w:val="00B27879"/>
    <w:rsid w:val="00B30202"/>
    <w:rsid w:val="00B30815"/>
    <w:rsid w:val="00B30841"/>
    <w:rsid w:val="00B32042"/>
    <w:rsid w:val="00B329D9"/>
    <w:rsid w:val="00B32AE9"/>
    <w:rsid w:val="00B33976"/>
    <w:rsid w:val="00B37858"/>
    <w:rsid w:val="00B37F3D"/>
    <w:rsid w:val="00B40FB9"/>
    <w:rsid w:val="00B4145C"/>
    <w:rsid w:val="00B43A3C"/>
    <w:rsid w:val="00B43B83"/>
    <w:rsid w:val="00B445A0"/>
    <w:rsid w:val="00B45067"/>
    <w:rsid w:val="00B456A2"/>
    <w:rsid w:val="00B45D39"/>
    <w:rsid w:val="00B45EEB"/>
    <w:rsid w:val="00B45F83"/>
    <w:rsid w:val="00B477D7"/>
    <w:rsid w:val="00B5094A"/>
    <w:rsid w:val="00B53314"/>
    <w:rsid w:val="00B5358F"/>
    <w:rsid w:val="00B53771"/>
    <w:rsid w:val="00B53D2E"/>
    <w:rsid w:val="00B5500B"/>
    <w:rsid w:val="00B553DE"/>
    <w:rsid w:val="00B579BB"/>
    <w:rsid w:val="00B57B2A"/>
    <w:rsid w:val="00B57FCC"/>
    <w:rsid w:val="00B622B4"/>
    <w:rsid w:val="00B6255C"/>
    <w:rsid w:val="00B62ED2"/>
    <w:rsid w:val="00B63197"/>
    <w:rsid w:val="00B64900"/>
    <w:rsid w:val="00B649B1"/>
    <w:rsid w:val="00B64A19"/>
    <w:rsid w:val="00B64EB2"/>
    <w:rsid w:val="00B65CB4"/>
    <w:rsid w:val="00B671D1"/>
    <w:rsid w:val="00B7067E"/>
    <w:rsid w:val="00B70771"/>
    <w:rsid w:val="00B70AAC"/>
    <w:rsid w:val="00B70CAE"/>
    <w:rsid w:val="00B72E0D"/>
    <w:rsid w:val="00B742E3"/>
    <w:rsid w:val="00B743B3"/>
    <w:rsid w:val="00B74FFC"/>
    <w:rsid w:val="00B75873"/>
    <w:rsid w:val="00B761B8"/>
    <w:rsid w:val="00B804CE"/>
    <w:rsid w:val="00B815AA"/>
    <w:rsid w:val="00B819B2"/>
    <w:rsid w:val="00B825FD"/>
    <w:rsid w:val="00B82E3E"/>
    <w:rsid w:val="00B83D4E"/>
    <w:rsid w:val="00B84564"/>
    <w:rsid w:val="00B846A3"/>
    <w:rsid w:val="00B86733"/>
    <w:rsid w:val="00B87585"/>
    <w:rsid w:val="00B90AAC"/>
    <w:rsid w:val="00B91A81"/>
    <w:rsid w:val="00B91AED"/>
    <w:rsid w:val="00B92FD5"/>
    <w:rsid w:val="00B93439"/>
    <w:rsid w:val="00B9383D"/>
    <w:rsid w:val="00B94BEB"/>
    <w:rsid w:val="00B95866"/>
    <w:rsid w:val="00B96A23"/>
    <w:rsid w:val="00B9726B"/>
    <w:rsid w:val="00B97842"/>
    <w:rsid w:val="00BA2A53"/>
    <w:rsid w:val="00BA39DA"/>
    <w:rsid w:val="00BA4E73"/>
    <w:rsid w:val="00BA5F20"/>
    <w:rsid w:val="00BA6880"/>
    <w:rsid w:val="00BA7246"/>
    <w:rsid w:val="00BA7744"/>
    <w:rsid w:val="00BB207D"/>
    <w:rsid w:val="00BB2439"/>
    <w:rsid w:val="00BB33F7"/>
    <w:rsid w:val="00BB4559"/>
    <w:rsid w:val="00BB497E"/>
    <w:rsid w:val="00BB52EC"/>
    <w:rsid w:val="00BC0181"/>
    <w:rsid w:val="00BC0C51"/>
    <w:rsid w:val="00BC0FEF"/>
    <w:rsid w:val="00BC2212"/>
    <w:rsid w:val="00BC3DE3"/>
    <w:rsid w:val="00BC44D7"/>
    <w:rsid w:val="00BC467B"/>
    <w:rsid w:val="00BC4E72"/>
    <w:rsid w:val="00BC6652"/>
    <w:rsid w:val="00BC6A5F"/>
    <w:rsid w:val="00BC7508"/>
    <w:rsid w:val="00BD19CB"/>
    <w:rsid w:val="00BD32AB"/>
    <w:rsid w:val="00BD4464"/>
    <w:rsid w:val="00BD6214"/>
    <w:rsid w:val="00BD6694"/>
    <w:rsid w:val="00BD7071"/>
    <w:rsid w:val="00BD719D"/>
    <w:rsid w:val="00BE03AF"/>
    <w:rsid w:val="00BE178D"/>
    <w:rsid w:val="00BE2420"/>
    <w:rsid w:val="00BE29A9"/>
    <w:rsid w:val="00BE52FE"/>
    <w:rsid w:val="00BE5656"/>
    <w:rsid w:val="00BE568B"/>
    <w:rsid w:val="00BE5A67"/>
    <w:rsid w:val="00BE712B"/>
    <w:rsid w:val="00BE7666"/>
    <w:rsid w:val="00BF0A87"/>
    <w:rsid w:val="00BF0FCB"/>
    <w:rsid w:val="00BF30F2"/>
    <w:rsid w:val="00BF3BF2"/>
    <w:rsid w:val="00BF412B"/>
    <w:rsid w:val="00BF51D5"/>
    <w:rsid w:val="00BF5E88"/>
    <w:rsid w:val="00BF651C"/>
    <w:rsid w:val="00BF65C5"/>
    <w:rsid w:val="00BF680C"/>
    <w:rsid w:val="00BF6EA9"/>
    <w:rsid w:val="00C00B7A"/>
    <w:rsid w:val="00C018BC"/>
    <w:rsid w:val="00C03821"/>
    <w:rsid w:val="00C03F90"/>
    <w:rsid w:val="00C0437D"/>
    <w:rsid w:val="00C04E43"/>
    <w:rsid w:val="00C05FB3"/>
    <w:rsid w:val="00C060D7"/>
    <w:rsid w:val="00C066FA"/>
    <w:rsid w:val="00C06F5F"/>
    <w:rsid w:val="00C07AAC"/>
    <w:rsid w:val="00C109F6"/>
    <w:rsid w:val="00C111D6"/>
    <w:rsid w:val="00C121D4"/>
    <w:rsid w:val="00C12C97"/>
    <w:rsid w:val="00C1381F"/>
    <w:rsid w:val="00C15546"/>
    <w:rsid w:val="00C16434"/>
    <w:rsid w:val="00C21110"/>
    <w:rsid w:val="00C218B1"/>
    <w:rsid w:val="00C220B4"/>
    <w:rsid w:val="00C2289B"/>
    <w:rsid w:val="00C231BC"/>
    <w:rsid w:val="00C23366"/>
    <w:rsid w:val="00C24C2A"/>
    <w:rsid w:val="00C254E7"/>
    <w:rsid w:val="00C256C6"/>
    <w:rsid w:val="00C273A3"/>
    <w:rsid w:val="00C321C3"/>
    <w:rsid w:val="00C32B44"/>
    <w:rsid w:val="00C33129"/>
    <w:rsid w:val="00C34FB9"/>
    <w:rsid w:val="00C350B3"/>
    <w:rsid w:val="00C36705"/>
    <w:rsid w:val="00C3710C"/>
    <w:rsid w:val="00C37E24"/>
    <w:rsid w:val="00C37E2F"/>
    <w:rsid w:val="00C40BED"/>
    <w:rsid w:val="00C4293F"/>
    <w:rsid w:val="00C4376E"/>
    <w:rsid w:val="00C44195"/>
    <w:rsid w:val="00C44709"/>
    <w:rsid w:val="00C45359"/>
    <w:rsid w:val="00C461BE"/>
    <w:rsid w:val="00C46E26"/>
    <w:rsid w:val="00C46F5A"/>
    <w:rsid w:val="00C52F16"/>
    <w:rsid w:val="00C561C1"/>
    <w:rsid w:val="00C56846"/>
    <w:rsid w:val="00C56A01"/>
    <w:rsid w:val="00C57664"/>
    <w:rsid w:val="00C57C6A"/>
    <w:rsid w:val="00C601D0"/>
    <w:rsid w:val="00C6095B"/>
    <w:rsid w:val="00C60F94"/>
    <w:rsid w:val="00C63C20"/>
    <w:rsid w:val="00C64CC1"/>
    <w:rsid w:val="00C650CA"/>
    <w:rsid w:val="00C662D8"/>
    <w:rsid w:val="00C7391F"/>
    <w:rsid w:val="00C73947"/>
    <w:rsid w:val="00C73DD4"/>
    <w:rsid w:val="00C741E8"/>
    <w:rsid w:val="00C74F89"/>
    <w:rsid w:val="00C75ABC"/>
    <w:rsid w:val="00C76511"/>
    <w:rsid w:val="00C8037E"/>
    <w:rsid w:val="00C81934"/>
    <w:rsid w:val="00C82A2C"/>
    <w:rsid w:val="00C83615"/>
    <w:rsid w:val="00C849B9"/>
    <w:rsid w:val="00C85340"/>
    <w:rsid w:val="00C85343"/>
    <w:rsid w:val="00C85931"/>
    <w:rsid w:val="00C86D78"/>
    <w:rsid w:val="00C87C6E"/>
    <w:rsid w:val="00C9175D"/>
    <w:rsid w:val="00C93398"/>
    <w:rsid w:val="00C9347F"/>
    <w:rsid w:val="00C9389A"/>
    <w:rsid w:val="00C94AB7"/>
    <w:rsid w:val="00C95C01"/>
    <w:rsid w:val="00C9617A"/>
    <w:rsid w:val="00C97360"/>
    <w:rsid w:val="00C9793A"/>
    <w:rsid w:val="00CA0893"/>
    <w:rsid w:val="00CA2C53"/>
    <w:rsid w:val="00CA2CDB"/>
    <w:rsid w:val="00CA633B"/>
    <w:rsid w:val="00CA72A4"/>
    <w:rsid w:val="00CB10B4"/>
    <w:rsid w:val="00CB12DC"/>
    <w:rsid w:val="00CB24FF"/>
    <w:rsid w:val="00CB3D17"/>
    <w:rsid w:val="00CB437A"/>
    <w:rsid w:val="00CB4BAC"/>
    <w:rsid w:val="00CB56E2"/>
    <w:rsid w:val="00CB65A6"/>
    <w:rsid w:val="00CB6D22"/>
    <w:rsid w:val="00CB6E36"/>
    <w:rsid w:val="00CB7353"/>
    <w:rsid w:val="00CB73DE"/>
    <w:rsid w:val="00CB7598"/>
    <w:rsid w:val="00CB7F0B"/>
    <w:rsid w:val="00CB7FAD"/>
    <w:rsid w:val="00CC12CA"/>
    <w:rsid w:val="00CC1504"/>
    <w:rsid w:val="00CC1F59"/>
    <w:rsid w:val="00CC2247"/>
    <w:rsid w:val="00CC5401"/>
    <w:rsid w:val="00CC6004"/>
    <w:rsid w:val="00CC7289"/>
    <w:rsid w:val="00CC7C87"/>
    <w:rsid w:val="00CD019B"/>
    <w:rsid w:val="00CD2507"/>
    <w:rsid w:val="00CD2555"/>
    <w:rsid w:val="00CD34C9"/>
    <w:rsid w:val="00CD47D9"/>
    <w:rsid w:val="00CD63F4"/>
    <w:rsid w:val="00CD6D3E"/>
    <w:rsid w:val="00CE0011"/>
    <w:rsid w:val="00CE005D"/>
    <w:rsid w:val="00CE0305"/>
    <w:rsid w:val="00CE091F"/>
    <w:rsid w:val="00CE2D4A"/>
    <w:rsid w:val="00CE38F7"/>
    <w:rsid w:val="00CE5B4F"/>
    <w:rsid w:val="00CE6295"/>
    <w:rsid w:val="00CE6372"/>
    <w:rsid w:val="00CE799C"/>
    <w:rsid w:val="00CF11A2"/>
    <w:rsid w:val="00CF1302"/>
    <w:rsid w:val="00CF2506"/>
    <w:rsid w:val="00CF2C9A"/>
    <w:rsid w:val="00CF3477"/>
    <w:rsid w:val="00CF34CD"/>
    <w:rsid w:val="00CF365C"/>
    <w:rsid w:val="00CF4941"/>
    <w:rsid w:val="00CF6112"/>
    <w:rsid w:val="00CF67AC"/>
    <w:rsid w:val="00CF7118"/>
    <w:rsid w:val="00D013BD"/>
    <w:rsid w:val="00D05F4E"/>
    <w:rsid w:val="00D10957"/>
    <w:rsid w:val="00D11C7D"/>
    <w:rsid w:val="00D11DD1"/>
    <w:rsid w:val="00D11E21"/>
    <w:rsid w:val="00D12C1F"/>
    <w:rsid w:val="00D13BF9"/>
    <w:rsid w:val="00D142B1"/>
    <w:rsid w:val="00D146F0"/>
    <w:rsid w:val="00D146F7"/>
    <w:rsid w:val="00D14E8F"/>
    <w:rsid w:val="00D16152"/>
    <w:rsid w:val="00D16239"/>
    <w:rsid w:val="00D1656D"/>
    <w:rsid w:val="00D1685E"/>
    <w:rsid w:val="00D16B5C"/>
    <w:rsid w:val="00D17209"/>
    <w:rsid w:val="00D20E6E"/>
    <w:rsid w:val="00D24E6C"/>
    <w:rsid w:val="00D25AD9"/>
    <w:rsid w:val="00D26F84"/>
    <w:rsid w:val="00D27050"/>
    <w:rsid w:val="00D27078"/>
    <w:rsid w:val="00D270F4"/>
    <w:rsid w:val="00D30CE7"/>
    <w:rsid w:val="00D33379"/>
    <w:rsid w:val="00D42F00"/>
    <w:rsid w:val="00D457D6"/>
    <w:rsid w:val="00D47C6E"/>
    <w:rsid w:val="00D51587"/>
    <w:rsid w:val="00D53942"/>
    <w:rsid w:val="00D5395A"/>
    <w:rsid w:val="00D53CBA"/>
    <w:rsid w:val="00D55174"/>
    <w:rsid w:val="00D5569F"/>
    <w:rsid w:val="00D60AAE"/>
    <w:rsid w:val="00D62928"/>
    <w:rsid w:val="00D63705"/>
    <w:rsid w:val="00D64115"/>
    <w:rsid w:val="00D654A8"/>
    <w:rsid w:val="00D7116C"/>
    <w:rsid w:val="00D72617"/>
    <w:rsid w:val="00D730CA"/>
    <w:rsid w:val="00D73234"/>
    <w:rsid w:val="00D767C0"/>
    <w:rsid w:val="00D7683E"/>
    <w:rsid w:val="00D76971"/>
    <w:rsid w:val="00D76DAE"/>
    <w:rsid w:val="00D8006F"/>
    <w:rsid w:val="00D803F3"/>
    <w:rsid w:val="00D81A31"/>
    <w:rsid w:val="00D81B2A"/>
    <w:rsid w:val="00D82B0F"/>
    <w:rsid w:val="00D8310D"/>
    <w:rsid w:val="00D835BA"/>
    <w:rsid w:val="00D8455C"/>
    <w:rsid w:val="00D847CA"/>
    <w:rsid w:val="00D84A9A"/>
    <w:rsid w:val="00D87E94"/>
    <w:rsid w:val="00D90829"/>
    <w:rsid w:val="00D919E4"/>
    <w:rsid w:val="00D92AA7"/>
    <w:rsid w:val="00D93029"/>
    <w:rsid w:val="00D93796"/>
    <w:rsid w:val="00D9482E"/>
    <w:rsid w:val="00D94F55"/>
    <w:rsid w:val="00D951E8"/>
    <w:rsid w:val="00D957D0"/>
    <w:rsid w:val="00D963AB"/>
    <w:rsid w:val="00D96688"/>
    <w:rsid w:val="00D9676B"/>
    <w:rsid w:val="00D96D15"/>
    <w:rsid w:val="00D96D95"/>
    <w:rsid w:val="00D97A71"/>
    <w:rsid w:val="00D97EA0"/>
    <w:rsid w:val="00D97EFD"/>
    <w:rsid w:val="00DA0645"/>
    <w:rsid w:val="00DA1DFB"/>
    <w:rsid w:val="00DA21E8"/>
    <w:rsid w:val="00DA2F3F"/>
    <w:rsid w:val="00DA4209"/>
    <w:rsid w:val="00DA42A3"/>
    <w:rsid w:val="00DA4B45"/>
    <w:rsid w:val="00DA57C3"/>
    <w:rsid w:val="00DA58C6"/>
    <w:rsid w:val="00DA6002"/>
    <w:rsid w:val="00DA61B8"/>
    <w:rsid w:val="00DA649F"/>
    <w:rsid w:val="00DA6CB2"/>
    <w:rsid w:val="00DB271D"/>
    <w:rsid w:val="00DB2B54"/>
    <w:rsid w:val="00DB308E"/>
    <w:rsid w:val="00DB3AA5"/>
    <w:rsid w:val="00DB3CBF"/>
    <w:rsid w:val="00DB43C0"/>
    <w:rsid w:val="00DB4734"/>
    <w:rsid w:val="00DB513A"/>
    <w:rsid w:val="00DB594F"/>
    <w:rsid w:val="00DB6D30"/>
    <w:rsid w:val="00DB73EB"/>
    <w:rsid w:val="00DB7768"/>
    <w:rsid w:val="00DC11EC"/>
    <w:rsid w:val="00DC1909"/>
    <w:rsid w:val="00DC1E06"/>
    <w:rsid w:val="00DC2CAE"/>
    <w:rsid w:val="00DC2F8D"/>
    <w:rsid w:val="00DC2FEF"/>
    <w:rsid w:val="00DC3BB5"/>
    <w:rsid w:val="00DC5E27"/>
    <w:rsid w:val="00DC79B8"/>
    <w:rsid w:val="00DC7E3D"/>
    <w:rsid w:val="00DD0DA6"/>
    <w:rsid w:val="00DD16AB"/>
    <w:rsid w:val="00DD2A15"/>
    <w:rsid w:val="00DD4E02"/>
    <w:rsid w:val="00DD5B36"/>
    <w:rsid w:val="00DD5BA9"/>
    <w:rsid w:val="00DD6689"/>
    <w:rsid w:val="00DD6AD6"/>
    <w:rsid w:val="00DE0F43"/>
    <w:rsid w:val="00DE19A5"/>
    <w:rsid w:val="00DE1F22"/>
    <w:rsid w:val="00DE3120"/>
    <w:rsid w:val="00DE3177"/>
    <w:rsid w:val="00DE33A4"/>
    <w:rsid w:val="00DE3D8A"/>
    <w:rsid w:val="00DE504B"/>
    <w:rsid w:val="00DE5521"/>
    <w:rsid w:val="00DE6E12"/>
    <w:rsid w:val="00DE6E3C"/>
    <w:rsid w:val="00DE71D2"/>
    <w:rsid w:val="00DF0747"/>
    <w:rsid w:val="00DF0817"/>
    <w:rsid w:val="00DF0DB6"/>
    <w:rsid w:val="00DF0F17"/>
    <w:rsid w:val="00DF2281"/>
    <w:rsid w:val="00DF4263"/>
    <w:rsid w:val="00DF563E"/>
    <w:rsid w:val="00DF5A91"/>
    <w:rsid w:val="00DF68F8"/>
    <w:rsid w:val="00E005E7"/>
    <w:rsid w:val="00E01BCF"/>
    <w:rsid w:val="00E022AA"/>
    <w:rsid w:val="00E0317E"/>
    <w:rsid w:val="00E032F1"/>
    <w:rsid w:val="00E03365"/>
    <w:rsid w:val="00E04279"/>
    <w:rsid w:val="00E0442E"/>
    <w:rsid w:val="00E04492"/>
    <w:rsid w:val="00E05555"/>
    <w:rsid w:val="00E062AD"/>
    <w:rsid w:val="00E079BD"/>
    <w:rsid w:val="00E07AE9"/>
    <w:rsid w:val="00E11FAE"/>
    <w:rsid w:val="00E13008"/>
    <w:rsid w:val="00E16042"/>
    <w:rsid w:val="00E16907"/>
    <w:rsid w:val="00E2049B"/>
    <w:rsid w:val="00E21AEF"/>
    <w:rsid w:val="00E222EC"/>
    <w:rsid w:val="00E23098"/>
    <w:rsid w:val="00E23819"/>
    <w:rsid w:val="00E24377"/>
    <w:rsid w:val="00E24A46"/>
    <w:rsid w:val="00E253BA"/>
    <w:rsid w:val="00E25D01"/>
    <w:rsid w:val="00E26573"/>
    <w:rsid w:val="00E26C9F"/>
    <w:rsid w:val="00E3018D"/>
    <w:rsid w:val="00E30D6D"/>
    <w:rsid w:val="00E32D70"/>
    <w:rsid w:val="00E345CA"/>
    <w:rsid w:val="00E35990"/>
    <w:rsid w:val="00E3621B"/>
    <w:rsid w:val="00E37426"/>
    <w:rsid w:val="00E40261"/>
    <w:rsid w:val="00E404C5"/>
    <w:rsid w:val="00E40A43"/>
    <w:rsid w:val="00E40F45"/>
    <w:rsid w:val="00E4133F"/>
    <w:rsid w:val="00E4277C"/>
    <w:rsid w:val="00E44C08"/>
    <w:rsid w:val="00E4685E"/>
    <w:rsid w:val="00E47746"/>
    <w:rsid w:val="00E50F0F"/>
    <w:rsid w:val="00E51C5D"/>
    <w:rsid w:val="00E5333B"/>
    <w:rsid w:val="00E53C72"/>
    <w:rsid w:val="00E5419F"/>
    <w:rsid w:val="00E56122"/>
    <w:rsid w:val="00E61416"/>
    <w:rsid w:val="00E621E1"/>
    <w:rsid w:val="00E62B0B"/>
    <w:rsid w:val="00E62D0B"/>
    <w:rsid w:val="00E64639"/>
    <w:rsid w:val="00E6554F"/>
    <w:rsid w:val="00E6558A"/>
    <w:rsid w:val="00E66821"/>
    <w:rsid w:val="00E67836"/>
    <w:rsid w:val="00E7004C"/>
    <w:rsid w:val="00E70282"/>
    <w:rsid w:val="00E71045"/>
    <w:rsid w:val="00E7127E"/>
    <w:rsid w:val="00E7138B"/>
    <w:rsid w:val="00E724D9"/>
    <w:rsid w:val="00E72DA0"/>
    <w:rsid w:val="00E74382"/>
    <w:rsid w:val="00E7578F"/>
    <w:rsid w:val="00E7620A"/>
    <w:rsid w:val="00E76875"/>
    <w:rsid w:val="00E80210"/>
    <w:rsid w:val="00E80BCE"/>
    <w:rsid w:val="00E82D37"/>
    <w:rsid w:val="00E85029"/>
    <w:rsid w:val="00E852C1"/>
    <w:rsid w:val="00E8555E"/>
    <w:rsid w:val="00E85B6E"/>
    <w:rsid w:val="00E866E3"/>
    <w:rsid w:val="00E8696A"/>
    <w:rsid w:val="00E86EF5"/>
    <w:rsid w:val="00E915E5"/>
    <w:rsid w:val="00E928E8"/>
    <w:rsid w:val="00E93DAE"/>
    <w:rsid w:val="00E9538D"/>
    <w:rsid w:val="00E95BA6"/>
    <w:rsid w:val="00E9743C"/>
    <w:rsid w:val="00EA114C"/>
    <w:rsid w:val="00EA128C"/>
    <w:rsid w:val="00EA52E4"/>
    <w:rsid w:val="00EB07D1"/>
    <w:rsid w:val="00EB0D69"/>
    <w:rsid w:val="00EB20DC"/>
    <w:rsid w:val="00EB26B5"/>
    <w:rsid w:val="00EB2B4B"/>
    <w:rsid w:val="00EB4512"/>
    <w:rsid w:val="00EB4942"/>
    <w:rsid w:val="00EB60EE"/>
    <w:rsid w:val="00EB6597"/>
    <w:rsid w:val="00EB662C"/>
    <w:rsid w:val="00EB6EB3"/>
    <w:rsid w:val="00EB74DF"/>
    <w:rsid w:val="00EB7BDC"/>
    <w:rsid w:val="00EC0910"/>
    <w:rsid w:val="00EC1DAE"/>
    <w:rsid w:val="00EC202A"/>
    <w:rsid w:val="00EC41B4"/>
    <w:rsid w:val="00EC428E"/>
    <w:rsid w:val="00EC42D8"/>
    <w:rsid w:val="00EC4E70"/>
    <w:rsid w:val="00ED0716"/>
    <w:rsid w:val="00ED1518"/>
    <w:rsid w:val="00ED209C"/>
    <w:rsid w:val="00ED2AB6"/>
    <w:rsid w:val="00ED7AA1"/>
    <w:rsid w:val="00EE1B78"/>
    <w:rsid w:val="00EE2CAA"/>
    <w:rsid w:val="00EE3431"/>
    <w:rsid w:val="00EE4527"/>
    <w:rsid w:val="00EE4AEF"/>
    <w:rsid w:val="00EE5A69"/>
    <w:rsid w:val="00EE5B38"/>
    <w:rsid w:val="00EE7C18"/>
    <w:rsid w:val="00EF15C2"/>
    <w:rsid w:val="00EF1AF7"/>
    <w:rsid w:val="00EF1B7E"/>
    <w:rsid w:val="00EF1C6D"/>
    <w:rsid w:val="00EF1CD4"/>
    <w:rsid w:val="00EF338C"/>
    <w:rsid w:val="00EF3F4C"/>
    <w:rsid w:val="00EF4C8A"/>
    <w:rsid w:val="00EF4F50"/>
    <w:rsid w:val="00EF513E"/>
    <w:rsid w:val="00EF51DD"/>
    <w:rsid w:val="00EF7519"/>
    <w:rsid w:val="00EF7E32"/>
    <w:rsid w:val="00F014B7"/>
    <w:rsid w:val="00F02936"/>
    <w:rsid w:val="00F03E7D"/>
    <w:rsid w:val="00F04429"/>
    <w:rsid w:val="00F04E81"/>
    <w:rsid w:val="00F06B4B"/>
    <w:rsid w:val="00F06C53"/>
    <w:rsid w:val="00F076CC"/>
    <w:rsid w:val="00F10767"/>
    <w:rsid w:val="00F11365"/>
    <w:rsid w:val="00F14EE2"/>
    <w:rsid w:val="00F17517"/>
    <w:rsid w:val="00F21E68"/>
    <w:rsid w:val="00F22598"/>
    <w:rsid w:val="00F22903"/>
    <w:rsid w:val="00F23E63"/>
    <w:rsid w:val="00F25AD7"/>
    <w:rsid w:val="00F25E60"/>
    <w:rsid w:val="00F27C48"/>
    <w:rsid w:val="00F302E5"/>
    <w:rsid w:val="00F31924"/>
    <w:rsid w:val="00F32096"/>
    <w:rsid w:val="00F32583"/>
    <w:rsid w:val="00F3280E"/>
    <w:rsid w:val="00F332EE"/>
    <w:rsid w:val="00F34007"/>
    <w:rsid w:val="00F34242"/>
    <w:rsid w:val="00F3570A"/>
    <w:rsid w:val="00F362DE"/>
    <w:rsid w:val="00F3743A"/>
    <w:rsid w:val="00F374DE"/>
    <w:rsid w:val="00F37914"/>
    <w:rsid w:val="00F419CD"/>
    <w:rsid w:val="00F41F75"/>
    <w:rsid w:val="00F447C2"/>
    <w:rsid w:val="00F45547"/>
    <w:rsid w:val="00F45CF2"/>
    <w:rsid w:val="00F4662A"/>
    <w:rsid w:val="00F47125"/>
    <w:rsid w:val="00F51DA2"/>
    <w:rsid w:val="00F51F93"/>
    <w:rsid w:val="00F52644"/>
    <w:rsid w:val="00F54389"/>
    <w:rsid w:val="00F54E6D"/>
    <w:rsid w:val="00F563AC"/>
    <w:rsid w:val="00F567BD"/>
    <w:rsid w:val="00F579F4"/>
    <w:rsid w:val="00F60A08"/>
    <w:rsid w:val="00F60EA1"/>
    <w:rsid w:val="00F61C01"/>
    <w:rsid w:val="00F63CB2"/>
    <w:rsid w:val="00F64085"/>
    <w:rsid w:val="00F65A64"/>
    <w:rsid w:val="00F6659E"/>
    <w:rsid w:val="00F707AE"/>
    <w:rsid w:val="00F70B7D"/>
    <w:rsid w:val="00F71C68"/>
    <w:rsid w:val="00F72F42"/>
    <w:rsid w:val="00F734C3"/>
    <w:rsid w:val="00F7522C"/>
    <w:rsid w:val="00F75407"/>
    <w:rsid w:val="00F762A0"/>
    <w:rsid w:val="00F80787"/>
    <w:rsid w:val="00F808B1"/>
    <w:rsid w:val="00F82D2F"/>
    <w:rsid w:val="00F82D49"/>
    <w:rsid w:val="00F839EF"/>
    <w:rsid w:val="00F84F40"/>
    <w:rsid w:val="00F852A8"/>
    <w:rsid w:val="00F85472"/>
    <w:rsid w:val="00F85B6A"/>
    <w:rsid w:val="00F863D4"/>
    <w:rsid w:val="00F8795F"/>
    <w:rsid w:val="00F93FA6"/>
    <w:rsid w:val="00F9472A"/>
    <w:rsid w:val="00F94B46"/>
    <w:rsid w:val="00F94E50"/>
    <w:rsid w:val="00F9562F"/>
    <w:rsid w:val="00F95F71"/>
    <w:rsid w:val="00F97EA2"/>
    <w:rsid w:val="00FA0133"/>
    <w:rsid w:val="00FA0457"/>
    <w:rsid w:val="00FA0CE2"/>
    <w:rsid w:val="00FA1314"/>
    <w:rsid w:val="00FA2432"/>
    <w:rsid w:val="00FA259E"/>
    <w:rsid w:val="00FA5237"/>
    <w:rsid w:val="00FA6030"/>
    <w:rsid w:val="00FA7D31"/>
    <w:rsid w:val="00FB1244"/>
    <w:rsid w:val="00FB1714"/>
    <w:rsid w:val="00FB18E8"/>
    <w:rsid w:val="00FB35C4"/>
    <w:rsid w:val="00FB4655"/>
    <w:rsid w:val="00FB5DDD"/>
    <w:rsid w:val="00FC0BA6"/>
    <w:rsid w:val="00FC0F6C"/>
    <w:rsid w:val="00FC1D40"/>
    <w:rsid w:val="00FC1E5B"/>
    <w:rsid w:val="00FC1F6E"/>
    <w:rsid w:val="00FC2FA1"/>
    <w:rsid w:val="00FC3522"/>
    <w:rsid w:val="00FC3955"/>
    <w:rsid w:val="00FC4858"/>
    <w:rsid w:val="00FC48B0"/>
    <w:rsid w:val="00FC5B7F"/>
    <w:rsid w:val="00FC6349"/>
    <w:rsid w:val="00FC7371"/>
    <w:rsid w:val="00FC7D4E"/>
    <w:rsid w:val="00FD4B21"/>
    <w:rsid w:val="00FD79F9"/>
    <w:rsid w:val="00FD7E20"/>
    <w:rsid w:val="00FE0666"/>
    <w:rsid w:val="00FE208D"/>
    <w:rsid w:val="00FE20F9"/>
    <w:rsid w:val="00FE2532"/>
    <w:rsid w:val="00FE33BF"/>
    <w:rsid w:val="00FE48A3"/>
    <w:rsid w:val="00FE5561"/>
    <w:rsid w:val="00FE7161"/>
    <w:rsid w:val="00FE738B"/>
    <w:rsid w:val="00FF0FD9"/>
    <w:rsid w:val="00FF308C"/>
    <w:rsid w:val="00FF359E"/>
    <w:rsid w:val="00FF3687"/>
    <w:rsid w:val="00FF3A65"/>
    <w:rsid w:val="00FF573E"/>
    <w:rsid w:val="00FF5A7A"/>
    <w:rsid w:val="00FF74B3"/>
    <w:rsid w:val="06209D5B"/>
    <w:rsid w:val="063468D0"/>
    <w:rsid w:val="066A3A9E"/>
    <w:rsid w:val="0C8DEEB6"/>
    <w:rsid w:val="0F636363"/>
    <w:rsid w:val="0FE03D52"/>
    <w:rsid w:val="10BBF057"/>
    <w:rsid w:val="18DF1486"/>
    <w:rsid w:val="1E36323F"/>
    <w:rsid w:val="206492AE"/>
    <w:rsid w:val="21E0F626"/>
    <w:rsid w:val="24DB22E9"/>
    <w:rsid w:val="25F830D3"/>
    <w:rsid w:val="2776E90C"/>
    <w:rsid w:val="2CF7050E"/>
    <w:rsid w:val="2D4EAC1D"/>
    <w:rsid w:val="32D5D4CD"/>
    <w:rsid w:val="33D6DCBF"/>
    <w:rsid w:val="3B2311FD"/>
    <w:rsid w:val="4049382C"/>
    <w:rsid w:val="40D8EBB3"/>
    <w:rsid w:val="43B782C2"/>
    <w:rsid w:val="449B43AF"/>
    <w:rsid w:val="467E5099"/>
    <w:rsid w:val="4D818E92"/>
    <w:rsid w:val="5250C821"/>
    <w:rsid w:val="543B4EB9"/>
    <w:rsid w:val="54D2747C"/>
    <w:rsid w:val="54E668F3"/>
    <w:rsid w:val="556F8F49"/>
    <w:rsid w:val="57543B23"/>
    <w:rsid w:val="5797C502"/>
    <w:rsid w:val="59E1135A"/>
    <w:rsid w:val="61811094"/>
    <w:rsid w:val="6221642A"/>
    <w:rsid w:val="66743F90"/>
    <w:rsid w:val="68561329"/>
    <w:rsid w:val="69B9E7B6"/>
    <w:rsid w:val="6A17B422"/>
    <w:rsid w:val="6FE885C0"/>
    <w:rsid w:val="7199A292"/>
    <w:rsid w:val="7354F7C6"/>
    <w:rsid w:val="73C77224"/>
    <w:rsid w:val="76407E9A"/>
    <w:rsid w:val="7824BD96"/>
    <w:rsid w:val="798E8C53"/>
    <w:rsid w:val="7E19BE95"/>
    <w:rsid w:val="7FDEB5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F854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B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B71B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B71BB"/>
    <w:pPr>
      <w:spacing w:before="240" w:after="240"/>
      <w:outlineLvl w:val="1"/>
    </w:pPr>
    <w:rPr>
      <w:rFonts w:ascii="Arial Bold" w:hAnsi="Arial Bold"/>
      <w:b/>
      <w:sz w:val="26"/>
    </w:rPr>
  </w:style>
  <w:style w:type="paragraph" w:styleId="Heading3">
    <w:name w:val="heading 3"/>
    <w:basedOn w:val="HeadingBase"/>
    <w:next w:val="Normal"/>
    <w:link w:val="Heading3Char"/>
    <w:qFormat/>
    <w:rsid w:val="005B71BB"/>
    <w:pPr>
      <w:spacing w:before="120" w:after="120"/>
      <w:outlineLvl w:val="2"/>
    </w:pPr>
    <w:rPr>
      <w:rFonts w:ascii="Arial Bold" w:hAnsi="Arial Bold"/>
      <w:b/>
      <w:sz w:val="22"/>
    </w:rPr>
  </w:style>
  <w:style w:type="paragraph" w:styleId="Heading4">
    <w:name w:val="heading 4"/>
    <w:basedOn w:val="HeadingBase"/>
    <w:next w:val="Normal"/>
    <w:link w:val="Heading4Char"/>
    <w:qFormat/>
    <w:rsid w:val="005B71BB"/>
    <w:pPr>
      <w:spacing w:after="120"/>
      <w:outlineLvl w:val="3"/>
    </w:pPr>
    <w:rPr>
      <w:rFonts w:ascii="Arial Bold" w:hAnsi="Arial Bold"/>
      <w:b/>
      <w:sz w:val="20"/>
    </w:rPr>
  </w:style>
  <w:style w:type="paragraph" w:styleId="Heading5">
    <w:name w:val="heading 5"/>
    <w:basedOn w:val="HeadingBase"/>
    <w:next w:val="Normal"/>
    <w:link w:val="Heading5Char"/>
    <w:qFormat/>
    <w:rsid w:val="005B71BB"/>
    <w:pPr>
      <w:spacing w:after="120"/>
      <w:outlineLvl w:val="4"/>
    </w:pPr>
    <w:rPr>
      <w:bCs/>
      <w:i/>
      <w:iCs/>
      <w:sz w:val="20"/>
      <w:szCs w:val="26"/>
    </w:rPr>
  </w:style>
  <w:style w:type="paragraph" w:styleId="Heading6">
    <w:name w:val="heading 6"/>
    <w:basedOn w:val="HeadingBase"/>
    <w:next w:val="Normal"/>
    <w:link w:val="Heading6Char"/>
    <w:rsid w:val="005B71BB"/>
    <w:pPr>
      <w:spacing w:after="120"/>
      <w:outlineLvl w:val="5"/>
    </w:pPr>
    <w:rPr>
      <w:bCs/>
      <w:sz w:val="20"/>
      <w:szCs w:val="22"/>
    </w:rPr>
  </w:style>
  <w:style w:type="paragraph" w:styleId="Heading7">
    <w:name w:val="heading 7"/>
    <w:basedOn w:val="HeadingBase"/>
    <w:next w:val="Normal"/>
    <w:link w:val="Heading7Char"/>
    <w:rsid w:val="005B71BB"/>
    <w:pPr>
      <w:spacing w:before="120"/>
      <w:outlineLvl w:val="6"/>
    </w:pPr>
    <w:rPr>
      <w:sz w:val="20"/>
      <w:szCs w:val="24"/>
    </w:rPr>
  </w:style>
  <w:style w:type="paragraph" w:styleId="Heading8">
    <w:name w:val="heading 8"/>
    <w:basedOn w:val="HeadingBase"/>
    <w:next w:val="Normal"/>
    <w:link w:val="Heading8Char"/>
    <w:rsid w:val="005B71B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5B71BB"/>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5B71BB"/>
    <w:pPr>
      <w:tabs>
        <w:tab w:val="center" w:pos="4153"/>
        <w:tab w:val="right" w:pos="8306"/>
      </w:tabs>
    </w:pPr>
  </w:style>
  <w:style w:type="character" w:customStyle="1" w:styleId="HeaderChar">
    <w:name w:val="Header Char"/>
    <w:basedOn w:val="DefaultParagraphFont"/>
    <w:link w:val="Header"/>
    <w:rsid w:val="005B71B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5B71BB"/>
    <w:pPr>
      <w:tabs>
        <w:tab w:val="center" w:pos="4153"/>
        <w:tab w:val="right" w:pos="8306"/>
      </w:tabs>
    </w:pPr>
  </w:style>
  <w:style w:type="character" w:customStyle="1" w:styleId="FooterChar">
    <w:name w:val="Footer Char"/>
    <w:basedOn w:val="DefaultParagraphFont"/>
    <w:link w:val="Footer"/>
    <w:rsid w:val="005B71B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5B71B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5B71B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5B71B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5B71B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5B71B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5B71B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5B71B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5B71B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5B71BB"/>
    <w:pPr>
      <w:jc w:val="center"/>
    </w:pPr>
    <w:rPr>
      <w:rFonts w:ascii="Arial Bold" w:hAnsi="Arial Bold"/>
      <w:b/>
      <w:caps/>
      <w:sz w:val="22"/>
    </w:rPr>
  </w:style>
  <w:style w:type="paragraph" w:customStyle="1" w:styleId="FileProperties">
    <w:name w:val="File Properties"/>
    <w:basedOn w:val="Normal"/>
    <w:rsid w:val="005B71BB"/>
    <w:pPr>
      <w:spacing w:before="0"/>
    </w:pPr>
    <w:rPr>
      <w:i/>
    </w:rPr>
  </w:style>
  <w:style w:type="paragraph" w:customStyle="1" w:styleId="AlphaParagraph">
    <w:name w:val="Alpha Paragraph"/>
    <w:basedOn w:val="Normal"/>
    <w:rsid w:val="005B71BB"/>
    <w:pPr>
      <w:numPr>
        <w:numId w:val="1"/>
      </w:numPr>
      <w:tabs>
        <w:tab w:val="clear" w:pos="567"/>
        <w:tab w:val="num" w:pos="360"/>
      </w:tabs>
      <w:ind w:left="0" w:firstLine="0"/>
    </w:pPr>
  </w:style>
  <w:style w:type="paragraph" w:customStyle="1" w:styleId="HeadingBase">
    <w:name w:val="Heading Base"/>
    <w:rsid w:val="005B71B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5B71BB"/>
    <w:rPr>
      <w:bCs/>
      <w:color w:val="002A54" w:themeColor="text2"/>
      <w:szCs w:val="52"/>
    </w:rPr>
  </w:style>
  <w:style w:type="paragraph" w:customStyle="1" w:styleId="BoxText">
    <w:name w:val="Box Text"/>
    <w:basedOn w:val="Normal"/>
    <w:link w:val="BoxTextChar"/>
    <w:qFormat/>
    <w:rsid w:val="005B71BB"/>
    <w:pPr>
      <w:spacing w:before="120" w:after="120" w:line="240" w:lineRule="auto"/>
    </w:pPr>
  </w:style>
  <w:style w:type="paragraph" w:customStyle="1" w:styleId="BoxBullet">
    <w:name w:val="Box Bullet"/>
    <w:basedOn w:val="BoxText"/>
    <w:rsid w:val="005B71BB"/>
    <w:pPr>
      <w:numPr>
        <w:numId w:val="2"/>
      </w:numPr>
    </w:pPr>
  </w:style>
  <w:style w:type="paragraph" w:customStyle="1" w:styleId="BoxHeading">
    <w:name w:val="Box Heading"/>
    <w:basedOn w:val="HeadingBase"/>
    <w:next w:val="BoxText"/>
    <w:rsid w:val="005B71BB"/>
    <w:pPr>
      <w:spacing w:before="120" w:after="120"/>
    </w:pPr>
    <w:rPr>
      <w:b/>
      <w:sz w:val="20"/>
    </w:rPr>
  </w:style>
  <w:style w:type="character" w:customStyle="1" w:styleId="Heading6Char">
    <w:name w:val="Heading 6 Char"/>
    <w:basedOn w:val="DefaultParagraphFont"/>
    <w:link w:val="Heading6"/>
    <w:rsid w:val="005B71BB"/>
    <w:rPr>
      <w:rFonts w:ascii="Arial" w:eastAsia="Times New Roman" w:hAnsi="Arial" w:cs="Times New Roman"/>
      <w:bCs/>
      <w:sz w:val="20"/>
      <w:lang w:eastAsia="en-AU"/>
    </w:rPr>
  </w:style>
  <w:style w:type="paragraph" w:customStyle="1" w:styleId="Bullet">
    <w:name w:val="Bullet"/>
    <w:basedOn w:val="Normal"/>
    <w:link w:val="BulletChar"/>
    <w:qFormat/>
    <w:rsid w:val="005B71BB"/>
    <w:pPr>
      <w:numPr>
        <w:numId w:val="7"/>
      </w:numPr>
      <w:spacing w:after="160"/>
      <w:ind w:left="284" w:hanging="284"/>
    </w:pPr>
  </w:style>
  <w:style w:type="paragraph" w:styleId="Caption">
    <w:name w:val="caption"/>
    <w:basedOn w:val="Normal"/>
    <w:next w:val="Normal"/>
    <w:rsid w:val="005B71BB"/>
    <w:rPr>
      <w:b/>
      <w:bCs/>
    </w:rPr>
  </w:style>
  <w:style w:type="paragraph" w:customStyle="1" w:styleId="ChartandTableFootnote">
    <w:name w:val="Chart and Table Footnote"/>
    <w:basedOn w:val="HeadingBase"/>
    <w:next w:val="Normal"/>
    <w:rsid w:val="005B71B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5B71BB"/>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5B71BB"/>
    <w:pPr>
      <w:keepNext w:val="0"/>
      <w:tabs>
        <w:tab w:val="left" w:pos="284"/>
      </w:tabs>
      <w:jc w:val="both"/>
    </w:pPr>
    <w:rPr>
      <w:color w:val="000000"/>
      <w:sz w:val="15"/>
    </w:rPr>
  </w:style>
  <w:style w:type="paragraph" w:customStyle="1" w:styleId="ChartGraphic">
    <w:name w:val="Chart Graphic"/>
    <w:basedOn w:val="HeadingBase"/>
    <w:rsid w:val="005B71BB"/>
    <w:rPr>
      <w:sz w:val="20"/>
    </w:rPr>
  </w:style>
  <w:style w:type="paragraph" w:customStyle="1" w:styleId="TableLine">
    <w:name w:val="Table Line"/>
    <w:basedOn w:val="Normal"/>
    <w:next w:val="Normal"/>
    <w:autoRedefine/>
    <w:rsid w:val="005B71B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5B71BB"/>
    <w:pPr>
      <w:spacing w:after="60"/>
    </w:pPr>
    <w:rPr>
      <w:sz w:val="19"/>
    </w:rPr>
  </w:style>
  <w:style w:type="paragraph" w:styleId="CommentSubject">
    <w:name w:val="annotation subject"/>
    <w:basedOn w:val="CommentText"/>
    <w:next w:val="CommentText"/>
    <w:link w:val="CommentSubjectChar"/>
    <w:semiHidden/>
    <w:rsid w:val="005B71BB"/>
    <w:rPr>
      <w:b/>
      <w:bCs/>
    </w:rPr>
  </w:style>
  <w:style w:type="character" w:customStyle="1" w:styleId="CommentSubjectChar">
    <w:name w:val="Comment Subject Char"/>
    <w:basedOn w:val="CommentTextChar"/>
    <w:link w:val="CommentSubject"/>
    <w:semiHidden/>
    <w:rsid w:val="005B71B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5B71BB"/>
    <w:pPr>
      <w:spacing w:after="720"/>
      <w:outlineLvl w:val="9"/>
    </w:pPr>
  </w:style>
  <w:style w:type="character" w:styleId="Strong">
    <w:name w:val="Strong"/>
    <w:basedOn w:val="DefaultParagraphFont"/>
    <w:uiPriority w:val="22"/>
    <w:qFormat/>
    <w:rsid w:val="005B71BB"/>
    <w:rPr>
      <w:b/>
      <w:bCs/>
      <w:color w:val="auto"/>
    </w:rPr>
  </w:style>
  <w:style w:type="paragraph" w:customStyle="1" w:styleId="Dash">
    <w:name w:val="Dash"/>
    <w:basedOn w:val="Normal"/>
    <w:qFormat/>
    <w:rsid w:val="005B71BB"/>
    <w:pPr>
      <w:numPr>
        <w:ilvl w:val="1"/>
        <w:numId w:val="7"/>
      </w:numPr>
      <w:tabs>
        <w:tab w:val="left" w:pos="567"/>
      </w:tabs>
    </w:pPr>
  </w:style>
  <w:style w:type="paragraph" w:styleId="DocumentMap">
    <w:name w:val="Document Map"/>
    <w:basedOn w:val="Normal"/>
    <w:link w:val="DocumentMapChar"/>
    <w:semiHidden/>
    <w:rsid w:val="005B71BB"/>
    <w:pPr>
      <w:shd w:val="clear" w:color="auto" w:fill="000080"/>
    </w:pPr>
    <w:rPr>
      <w:rFonts w:ascii="Tahoma" w:hAnsi="Tahoma" w:cs="Tahoma"/>
    </w:rPr>
  </w:style>
  <w:style w:type="character" w:customStyle="1" w:styleId="DocumentMapChar">
    <w:name w:val="Document Map Char"/>
    <w:basedOn w:val="DefaultParagraphFont"/>
    <w:link w:val="DocumentMap"/>
    <w:semiHidden/>
    <w:rsid w:val="005B71BB"/>
    <w:rPr>
      <w:rFonts w:ascii="Tahoma" w:eastAsia="Times New Roman" w:hAnsi="Tahoma" w:cs="Tahoma"/>
      <w:sz w:val="19"/>
      <w:szCs w:val="20"/>
      <w:shd w:val="clear" w:color="auto" w:fill="000080"/>
      <w:lang w:eastAsia="en-AU"/>
    </w:rPr>
  </w:style>
  <w:style w:type="paragraph" w:customStyle="1" w:styleId="DoubleDot">
    <w:name w:val="Double Dot"/>
    <w:basedOn w:val="Normal"/>
    <w:rsid w:val="005B71BB"/>
    <w:pPr>
      <w:numPr>
        <w:ilvl w:val="2"/>
        <w:numId w:val="7"/>
      </w:numPr>
      <w:tabs>
        <w:tab w:val="clear" w:pos="850"/>
        <w:tab w:val="num" w:pos="360"/>
        <w:tab w:val="left" w:pos="851"/>
      </w:tabs>
    </w:pPr>
  </w:style>
  <w:style w:type="paragraph" w:customStyle="1" w:styleId="FigureHeading">
    <w:name w:val="Figure Heading"/>
    <w:basedOn w:val="HeadingBase"/>
    <w:next w:val="ChartGraphic"/>
    <w:rsid w:val="005B71BB"/>
    <w:pPr>
      <w:spacing w:before="120" w:after="20"/>
    </w:pPr>
    <w:rPr>
      <w:b/>
      <w:sz w:val="20"/>
    </w:rPr>
  </w:style>
  <w:style w:type="paragraph" w:customStyle="1" w:styleId="FooterBase">
    <w:name w:val="Footer Base"/>
    <w:rsid w:val="005B71B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5B71BB"/>
    <w:pPr>
      <w:pBdr>
        <w:top w:val="single" w:sz="4" w:space="10" w:color="002A54" w:themeColor="text2"/>
      </w:pBdr>
      <w:jc w:val="left"/>
    </w:pPr>
    <w:rPr>
      <w:sz w:val="18"/>
    </w:rPr>
  </w:style>
  <w:style w:type="paragraph" w:customStyle="1" w:styleId="FooterOdd">
    <w:name w:val="Footer Odd"/>
    <w:basedOn w:val="Footer"/>
    <w:qFormat/>
    <w:rsid w:val="005B71BB"/>
    <w:pPr>
      <w:pBdr>
        <w:top w:val="single" w:sz="4" w:space="10" w:color="002A54" w:themeColor="text2"/>
      </w:pBdr>
      <w:jc w:val="right"/>
    </w:pPr>
    <w:rPr>
      <w:sz w:val="18"/>
    </w:rPr>
  </w:style>
  <w:style w:type="character" w:styleId="FootnoteReference">
    <w:name w:val="footnote reference"/>
    <w:basedOn w:val="DefaultParagraphFont"/>
    <w:rsid w:val="005B71BB"/>
    <w:rPr>
      <w:vertAlign w:val="superscript"/>
    </w:rPr>
  </w:style>
  <w:style w:type="paragraph" w:styleId="FootnoteText">
    <w:name w:val="footnote text"/>
    <w:basedOn w:val="Normal"/>
    <w:link w:val="FootnoteTextChar"/>
    <w:rsid w:val="005B71B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5B71B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5B71BB"/>
    <w:rPr>
      <w:rFonts w:ascii="Book Antiqua" w:hAnsi="Book Antiqua"/>
      <w:i/>
      <w:dstrike w:val="0"/>
      <w:color w:val="auto"/>
      <w:sz w:val="20"/>
      <w:vertAlign w:val="baseline"/>
    </w:rPr>
  </w:style>
  <w:style w:type="paragraph" w:customStyle="1" w:styleId="HeaderBase">
    <w:name w:val="Header Base"/>
    <w:rsid w:val="005B71B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5B71BB"/>
  </w:style>
  <w:style w:type="paragraph" w:customStyle="1" w:styleId="HeaderOdd">
    <w:name w:val="Header Odd"/>
    <w:basedOn w:val="HeaderBase"/>
    <w:rsid w:val="005B71BB"/>
    <w:pPr>
      <w:jc w:val="right"/>
    </w:pPr>
  </w:style>
  <w:style w:type="character" w:customStyle="1" w:styleId="Heading1Char">
    <w:name w:val="Heading 1 Char"/>
    <w:basedOn w:val="DefaultParagraphFont"/>
    <w:link w:val="Heading1"/>
    <w:rsid w:val="005B71B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B71B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B71BB"/>
    <w:rPr>
      <w:rFonts w:ascii="Arial Bold" w:eastAsia="Times New Roman" w:hAnsi="Arial Bold" w:cs="Times New Roman"/>
      <w:b/>
      <w:szCs w:val="20"/>
      <w:lang w:eastAsia="en-AU"/>
    </w:rPr>
  </w:style>
  <w:style w:type="paragraph" w:customStyle="1" w:styleId="Heading3noTOC">
    <w:name w:val="Heading 3 no TOC"/>
    <w:basedOn w:val="Heading3"/>
    <w:rsid w:val="005B71BB"/>
    <w:pPr>
      <w:outlineLvl w:val="9"/>
    </w:pPr>
  </w:style>
  <w:style w:type="character" w:customStyle="1" w:styleId="Heading4Char">
    <w:name w:val="Heading 4 Char"/>
    <w:basedOn w:val="DefaultParagraphFont"/>
    <w:link w:val="Heading4"/>
    <w:rsid w:val="005B71B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B71B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5B71B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5B71B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5B71BB"/>
    <w:rPr>
      <w:rFonts w:ascii="Times New Roman" w:hAnsi="Times New Roman"/>
      <w:vanish/>
      <w:sz w:val="16"/>
    </w:rPr>
  </w:style>
  <w:style w:type="character" w:styleId="Hyperlink">
    <w:name w:val="Hyperlink"/>
    <w:basedOn w:val="DefaultParagraphFont"/>
    <w:uiPriority w:val="99"/>
    <w:unhideWhenUsed/>
    <w:rsid w:val="005B71BB"/>
    <w:rPr>
      <w:color w:val="auto"/>
      <w:u w:val="single"/>
    </w:rPr>
  </w:style>
  <w:style w:type="paragraph" w:styleId="Index4">
    <w:name w:val="index 4"/>
    <w:basedOn w:val="Normal"/>
    <w:next w:val="Normal"/>
    <w:autoRedefine/>
    <w:semiHidden/>
    <w:rsid w:val="005B71BB"/>
    <w:pPr>
      <w:ind w:left="800" w:hanging="200"/>
    </w:pPr>
  </w:style>
  <w:style w:type="paragraph" w:styleId="Index5">
    <w:name w:val="index 5"/>
    <w:basedOn w:val="Normal"/>
    <w:next w:val="Normal"/>
    <w:autoRedefine/>
    <w:semiHidden/>
    <w:rsid w:val="005B71BB"/>
    <w:pPr>
      <w:ind w:left="1000" w:hanging="200"/>
    </w:pPr>
  </w:style>
  <w:style w:type="paragraph" w:styleId="Index6">
    <w:name w:val="index 6"/>
    <w:basedOn w:val="Normal"/>
    <w:next w:val="Normal"/>
    <w:autoRedefine/>
    <w:semiHidden/>
    <w:rsid w:val="005B71BB"/>
    <w:pPr>
      <w:ind w:left="1200" w:hanging="200"/>
    </w:pPr>
  </w:style>
  <w:style w:type="paragraph" w:styleId="Index7">
    <w:name w:val="index 7"/>
    <w:basedOn w:val="Normal"/>
    <w:next w:val="Normal"/>
    <w:autoRedefine/>
    <w:semiHidden/>
    <w:rsid w:val="005B71BB"/>
    <w:pPr>
      <w:ind w:left="1400" w:hanging="200"/>
    </w:pPr>
  </w:style>
  <w:style w:type="paragraph" w:styleId="Index8">
    <w:name w:val="index 8"/>
    <w:basedOn w:val="Normal"/>
    <w:next w:val="Normal"/>
    <w:autoRedefine/>
    <w:semiHidden/>
    <w:rsid w:val="005B71BB"/>
    <w:pPr>
      <w:ind w:left="1600" w:hanging="200"/>
    </w:pPr>
  </w:style>
  <w:style w:type="paragraph" w:styleId="Index9">
    <w:name w:val="index 9"/>
    <w:basedOn w:val="Normal"/>
    <w:next w:val="Normal"/>
    <w:autoRedefine/>
    <w:semiHidden/>
    <w:rsid w:val="005B71BB"/>
    <w:pPr>
      <w:ind w:left="1800" w:hanging="200"/>
    </w:pPr>
  </w:style>
  <w:style w:type="paragraph" w:styleId="MacroText">
    <w:name w:val="macro"/>
    <w:link w:val="MacroTextChar"/>
    <w:unhideWhenUsed/>
    <w:rsid w:val="005B71B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5B71BB"/>
    <w:rPr>
      <w:rFonts w:ascii="Courier New" w:eastAsia="Times New Roman" w:hAnsi="Courier New" w:cs="Courier New"/>
      <w:sz w:val="20"/>
      <w:szCs w:val="20"/>
      <w:lang w:eastAsia="en-AU"/>
    </w:rPr>
  </w:style>
  <w:style w:type="paragraph" w:styleId="NormalIndent">
    <w:name w:val="Normal Indent"/>
    <w:basedOn w:val="Normal"/>
    <w:rsid w:val="005B71BB"/>
    <w:pPr>
      <w:ind w:left="567"/>
    </w:pPr>
  </w:style>
  <w:style w:type="paragraph" w:customStyle="1" w:styleId="NoteTableHeading">
    <w:name w:val="Note Table Heading"/>
    <w:basedOn w:val="HeadingBase"/>
    <w:next w:val="Normal"/>
    <w:rsid w:val="005B71BB"/>
    <w:pPr>
      <w:spacing w:before="240"/>
    </w:pPr>
    <w:rPr>
      <w:b/>
      <w:sz w:val="20"/>
    </w:rPr>
  </w:style>
  <w:style w:type="paragraph" w:customStyle="1" w:styleId="OverviewParagraph">
    <w:name w:val="Overview Paragraph"/>
    <w:basedOn w:val="Normal"/>
    <w:rsid w:val="005B71BB"/>
    <w:pPr>
      <w:spacing w:before="120" w:after="120" w:line="240" w:lineRule="auto"/>
    </w:pPr>
  </w:style>
  <w:style w:type="character" w:styleId="PageNumber">
    <w:name w:val="page number"/>
    <w:basedOn w:val="DefaultParagraphFont"/>
    <w:rsid w:val="005B71BB"/>
    <w:rPr>
      <w:rFonts w:ascii="Arial" w:hAnsi="Arial" w:cs="Arial"/>
    </w:rPr>
  </w:style>
  <w:style w:type="paragraph" w:customStyle="1" w:styleId="SingleParagraph">
    <w:name w:val="Single Paragraph"/>
    <w:basedOn w:val="Normal"/>
    <w:rsid w:val="005B71BB"/>
    <w:pPr>
      <w:spacing w:before="0" w:after="0"/>
    </w:pPr>
  </w:style>
  <w:style w:type="paragraph" w:customStyle="1" w:styleId="Source">
    <w:name w:val="Source"/>
    <w:basedOn w:val="Normal"/>
    <w:rsid w:val="005B71B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5B71B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5B71BB"/>
    <w:pPr>
      <w:jc w:val="center"/>
    </w:pPr>
  </w:style>
  <w:style w:type="paragraph" w:customStyle="1" w:styleId="TableColumnHeadingLeft">
    <w:name w:val="Table Column Heading Left"/>
    <w:basedOn w:val="TableColumnHeadingBase"/>
    <w:next w:val="Normal"/>
    <w:rsid w:val="005B71BB"/>
  </w:style>
  <w:style w:type="paragraph" w:customStyle="1" w:styleId="TableColumnHeadingRight">
    <w:name w:val="Table Column Heading Right"/>
    <w:basedOn w:val="TableColumnHeadingBase"/>
    <w:next w:val="Normal"/>
    <w:rsid w:val="005B71BB"/>
    <w:pPr>
      <w:jc w:val="right"/>
    </w:pPr>
  </w:style>
  <w:style w:type="paragraph" w:customStyle="1" w:styleId="TableGraphic">
    <w:name w:val="Table Graphic"/>
    <w:basedOn w:val="Normal"/>
    <w:next w:val="Normal"/>
    <w:rsid w:val="005B71BB"/>
    <w:pPr>
      <w:spacing w:after="0" w:line="240" w:lineRule="auto"/>
      <w:ind w:right="-113"/>
    </w:pPr>
  </w:style>
  <w:style w:type="table" w:styleId="TableGrid">
    <w:name w:val="Table Grid"/>
    <w:basedOn w:val="TableNormal"/>
    <w:rsid w:val="005B71B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B71BB"/>
    <w:pPr>
      <w:spacing w:before="120" w:after="20"/>
    </w:pPr>
    <w:rPr>
      <w:b/>
      <w:sz w:val="20"/>
    </w:rPr>
  </w:style>
  <w:style w:type="paragraph" w:customStyle="1" w:styleId="TableHeadingcontinued">
    <w:name w:val="Table Heading continued"/>
    <w:basedOn w:val="HeadingBase"/>
    <w:next w:val="TableGraphic"/>
    <w:rsid w:val="005B71BB"/>
    <w:pPr>
      <w:spacing w:before="120" w:after="20"/>
    </w:pPr>
    <w:rPr>
      <w:rFonts w:ascii="Arial Bold" w:hAnsi="Arial Bold"/>
      <w:b/>
      <w:sz w:val="20"/>
    </w:rPr>
  </w:style>
  <w:style w:type="paragraph" w:styleId="TableofFigures">
    <w:name w:val="table of figures"/>
    <w:basedOn w:val="Normal"/>
    <w:next w:val="Normal"/>
    <w:rsid w:val="005B71BB"/>
  </w:style>
  <w:style w:type="paragraph" w:customStyle="1" w:styleId="TableTextBase">
    <w:name w:val="Table Text Base"/>
    <w:basedOn w:val="Normal"/>
    <w:rsid w:val="005B71BB"/>
    <w:pPr>
      <w:spacing w:before="20" w:after="20" w:line="240" w:lineRule="auto"/>
    </w:pPr>
    <w:rPr>
      <w:rFonts w:ascii="Arial" w:hAnsi="Arial"/>
      <w:sz w:val="16"/>
    </w:rPr>
  </w:style>
  <w:style w:type="paragraph" w:customStyle="1" w:styleId="TableTextCentred">
    <w:name w:val="Table Text Centred"/>
    <w:basedOn w:val="TableTextBase"/>
    <w:rsid w:val="005B71BB"/>
    <w:pPr>
      <w:jc w:val="center"/>
    </w:pPr>
  </w:style>
  <w:style w:type="paragraph" w:customStyle="1" w:styleId="TableTextIndented">
    <w:name w:val="Table Text Indented"/>
    <w:basedOn w:val="TableTextBase"/>
    <w:rsid w:val="005B71BB"/>
    <w:pPr>
      <w:ind w:left="284"/>
    </w:pPr>
  </w:style>
  <w:style w:type="paragraph" w:customStyle="1" w:styleId="TableTextLeft">
    <w:name w:val="Table Text Left"/>
    <w:basedOn w:val="TableTextBase"/>
    <w:rsid w:val="005B71BB"/>
  </w:style>
  <w:style w:type="paragraph" w:customStyle="1" w:styleId="TableTextRight">
    <w:name w:val="Table Text Right"/>
    <w:basedOn w:val="TableTextBase"/>
    <w:rsid w:val="005B71BB"/>
    <w:pPr>
      <w:jc w:val="right"/>
    </w:pPr>
  </w:style>
  <w:style w:type="paragraph" w:styleId="TOAHeading">
    <w:name w:val="toa heading"/>
    <w:basedOn w:val="Normal"/>
    <w:next w:val="Normal"/>
    <w:rsid w:val="005B71BB"/>
    <w:pPr>
      <w:spacing w:before="120"/>
    </w:pPr>
    <w:rPr>
      <w:rFonts w:ascii="Arial" w:hAnsi="Arial" w:cs="Arial"/>
      <w:b/>
      <w:bCs/>
      <w:sz w:val="24"/>
      <w:szCs w:val="24"/>
    </w:rPr>
  </w:style>
  <w:style w:type="paragraph" w:styleId="TOC1">
    <w:name w:val="toc 1"/>
    <w:basedOn w:val="HeaderBase"/>
    <w:next w:val="Normal"/>
    <w:uiPriority w:val="2"/>
    <w:rsid w:val="005B71B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5B71B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5B71B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5B71BB"/>
    <w:pPr>
      <w:tabs>
        <w:tab w:val="right" w:leader="dot" w:pos="7700"/>
      </w:tabs>
      <w:spacing w:before="40"/>
      <w:ind w:right="851"/>
    </w:pPr>
    <w:rPr>
      <w:sz w:val="20"/>
    </w:rPr>
  </w:style>
  <w:style w:type="paragraph" w:styleId="TOC5">
    <w:name w:val="toc 5"/>
    <w:basedOn w:val="Normal"/>
    <w:next w:val="Normal"/>
    <w:autoRedefine/>
    <w:uiPriority w:val="2"/>
    <w:semiHidden/>
    <w:rsid w:val="005B71B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5B71BB"/>
    <w:pPr>
      <w:tabs>
        <w:tab w:val="left" w:pos="851"/>
      </w:tabs>
      <w:ind w:left="851" w:hanging="851"/>
    </w:pPr>
    <w:rPr>
      <w:color w:val="000000"/>
    </w:rPr>
  </w:style>
  <w:style w:type="paragraph" w:styleId="TOC7">
    <w:name w:val="toc 7"/>
    <w:basedOn w:val="Normal"/>
    <w:next w:val="Normal"/>
    <w:autoRedefine/>
    <w:uiPriority w:val="2"/>
    <w:semiHidden/>
    <w:rsid w:val="005B71BB"/>
    <w:pPr>
      <w:ind w:left="1200"/>
    </w:pPr>
  </w:style>
  <w:style w:type="paragraph" w:styleId="TOC8">
    <w:name w:val="toc 8"/>
    <w:basedOn w:val="Normal"/>
    <w:next w:val="Normal"/>
    <w:autoRedefine/>
    <w:uiPriority w:val="2"/>
    <w:semiHidden/>
    <w:rsid w:val="005B71BB"/>
    <w:pPr>
      <w:ind w:left="1400"/>
    </w:pPr>
  </w:style>
  <w:style w:type="paragraph" w:styleId="TOC9">
    <w:name w:val="toc 9"/>
    <w:basedOn w:val="Normal"/>
    <w:next w:val="Normal"/>
    <w:autoRedefine/>
    <w:uiPriority w:val="2"/>
    <w:semiHidden/>
    <w:rsid w:val="005B71BB"/>
    <w:pPr>
      <w:ind w:left="1600"/>
    </w:pPr>
  </w:style>
  <w:style w:type="paragraph" w:customStyle="1" w:styleId="TPHeading1">
    <w:name w:val="TP Heading 1"/>
    <w:basedOn w:val="HeadingBase"/>
    <w:semiHidden/>
    <w:rsid w:val="005B71BB"/>
    <w:pPr>
      <w:spacing w:before="60" w:after="60"/>
      <w:ind w:left="1134"/>
    </w:pPr>
    <w:rPr>
      <w:rFonts w:ascii="Arial Bold" w:hAnsi="Arial Bold"/>
      <w:b/>
      <w:caps/>
      <w:spacing w:val="-10"/>
      <w:sz w:val="28"/>
    </w:rPr>
  </w:style>
  <w:style w:type="paragraph" w:customStyle="1" w:styleId="TPHeading2">
    <w:name w:val="TP Heading 2"/>
    <w:basedOn w:val="HeadingBase"/>
    <w:semiHidden/>
    <w:rsid w:val="005B71BB"/>
    <w:pPr>
      <w:ind w:left="1134"/>
    </w:pPr>
    <w:rPr>
      <w:caps/>
      <w:spacing w:val="-10"/>
      <w:sz w:val="28"/>
    </w:rPr>
  </w:style>
  <w:style w:type="paragraph" w:customStyle="1" w:styleId="TPHeading3">
    <w:name w:val="TP Heading 3"/>
    <w:basedOn w:val="HeadingBase"/>
    <w:semiHidden/>
    <w:rsid w:val="005B71BB"/>
    <w:pPr>
      <w:ind w:left="1134"/>
    </w:pPr>
    <w:rPr>
      <w:caps/>
      <w:spacing w:val="-10"/>
    </w:rPr>
  </w:style>
  <w:style w:type="paragraph" w:customStyle="1" w:styleId="TPHeading3bold">
    <w:name w:val="TP Heading 3 bold"/>
    <w:basedOn w:val="TPHeading3"/>
    <w:semiHidden/>
    <w:rsid w:val="005B71BB"/>
    <w:rPr>
      <w:rFonts w:cs="Arial"/>
      <w:b/>
      <w:sz w:val="22"/>
      <w:szCs w:val="22"/>
    </w:rPr>
  </w:style>
  <w:style w:type="paragraph" w:customStyle="1" w:styleId="TPHEADING3boldspace">
    <w:name w:val="TP HEADING 3 bold space"/>
    <w:basedOn w:val="TPHeading3bold"/>
    <w:semiHidden/>
    <w:rsid w:val="005B71BB"/>
    <w:pPr>
      <w:spacing w:after="120"/>
    </w:pPr>
  </w:style>
  <w:style w:type="paragraph" w:customStyle="1" w:styleId="TPHEADING3space">
    <w:name w:val="TP HEADING 3 space"/>
    <w:basedOn w:val="TPHeading3"/>
    <w:semiHidden/>
    <w:rsid w:val="005B71BB"/>
    <w:pPr>
      <w:spacing w:before="120" w:after="120"/>
    </w:pPr>
    <w:rPr>
      <w:rFonts w:cs="Arial"/>
      <w:sz w:val="22"/>
      <w:szCs w:val="22"/>
    </w:rPr>
  </w:style>
  <w:style w:type="paragraph" w:customStyle="1" w:styleId="TPHeading4">
    <w:name w:val="TP Heading 4"/>
    <w:basedOn w:val="TPHeading3"/>
    <w:semiHidden/>
    <w:rsid w:val="005B71BB"/>
    <w:rPr>
      <w:sz w:val="20"/>
    </w:rPr>
  </w:style>
  <w:style w:type="paragraph" w:customStyle="1" w:styleId="TPHEADING4space">
    <w:name w:val="TP HEADING 4 space"/>
    <w:basedOn w:val="TPHEADING3space"/>
    <w:semiHidden/>
    <w:rsid w:val="005B71BB"/>
  </w:style>
  <w:style w:type="paragraph" w:customStyle="1" w:styleId="ChartLine">
    <w:name w:val="Chart Line"/>
    <w:basedOn w:val="Normal"/>
    <w:autoRedefine/>
    <w:qFormat/>
    <w:rsid w:val="005B71BB"/>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5B71B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B71BB"/>
    <w:rPr>
      <w:sz w:val="16"/>
    </w:rPr>
  </w:style>
  <w:style w:type="paragraph" w:customStyle="1" w:styleId="Box-continuedon">
    <w:name w:val="Box - continued on"/>
    <w:basedOn w:val="Normal"/>
    <w:qFormat/>
    <w:rsid w:val="005B71BB"/>
    <w:pPr>
      <w:jc w:val="right"/>
    </w:pPr>
    <w:rPr>
      <w:rFonts w:asciiTheme="majorHAnsi" w:hAnsiTheme="majorHAnsi" w:cstheme="majorHAnsi"/>
      <w:i/>
      <w:iCs/>
      <w:sz w:val="18"/>
      <w:szCs w:val="24"/>
    </w:rPr>
  </w:style>
  <w:style w:type="paragraph" w:customStyle="1" w:styleId="BoxHeading2">
    <w:name w:val="Box Heading 2"/>
    <w:basedOn w:val="BoxHeading"/>
    <w:autoRedefine/>
    <w:rsid w:val="005B71BB"/>
    <w:pPr>
      <w:spacing w:after="0"/>
    </w:pPr>
    <w:rPr>
      <w:b w:val="0"/>
      <w:bCs/>
      <w:szCs w:val="14"/>
    </w:rPr>
  </w:style>
  <w:style w:type="character" w:customStyle="1" w:styleId="Heading9Char">
    <w:name w:val="Heading 9 Char"/>
    <w:basedOn w:val="DefaultParagraphFont"/>
    <w:link w:val="Heading9"/>
    <w:uiPriority w:val="9"/>
    <w:rsid w:val="005B71BB"/>
    <w:rPr>
      <w:rFonts w:ascii="Cambria" w:eastAsia="Times New Roman" w:hAnsi="Cambria" w:cs="Times New Roman"/>
      <w:lang w:eastAsia="en-AU"/>
    </w:rPr>
  </w:style>
  <w:style w:type="paragraph" w:customStyle="1" w:styleId="GhostLine">
    <w:name w:val="Ghost Line"/>
    <w:basedOn w:val="NoSpacing"/>
    <w:qFormat/>
    <w:rsid w:val="005B71BB"/>
    <w:pPr>
      <w:jc w:val="both"/>
    </w:pPr>
    <w:rPr>
      <w:rFonts w:ascii="Book Antiqua" w:hAnsi="Book Antiqua"/>
      <w:sz w:val="2"/>
    </w:rPr>
  </w:style>
  <w:style w:type="paragraph" w:styleId="NoSpacing">
    <w:name w:val="No Spacing"/>
    <w:uiPriority w:val="1"/>
    <w:qFormat/>
    <w:rsid w:val="005B71B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B71BB"/>
    <w:rPr>
      <w:rFonts w:ascii="Book Antiqua" w:eastAsia="Times New Roman" w:hAnsi="Book Antiqua" w:cs="Times New Roman"/>
      <w:sz w:val="19"/>
      <w:szCs w:val="20"/>
      <w:lang w:eastAsia="en-AU"/>
    </w:rPr>
  </w:style>
  <w:style w:type="paragraph" w:customStyle="1" w:styleId="CreativeCommonsNormal">
    <w:name w:val="Creative Commons Normal"/>
    <w:basedOn w:val="Normal"/>
    <w:qFormat/>
    <w:rsid w:val="005B71BB"/>
    <w:pPr>
      <w:spacing w:before="120" w:after="120"/>
    </w:pPr>
  </w:style>
  <w:style w:type="paragraph" w:customStyle="1" w:styleId="CreativeCommonsH1">
    <w:name w:val="Creative Commons H1"/>
    <w:basedOn w:val="Normal"/>
    <w:qFormat/>
    <w:rsid w:val="005B71BB"/>
    <w:pPr>
      <w:spacing w:before="180" w:after="120"/>
    </w:pPr>
    <w:rPr>
      <w:b/>
      <w:bCs/>
    </w:rPr>
  </w:style>
  <w:style w:type="paragraph" w:customStyle="1" w:styleId="CreativeCommonsIndented">
    <w:name w:val="Creative Commons Indented"/>
    <w:basedOn w:val="CreativeCommonsNormal"/>
    <w:qFormat/>
    <w:rsid w:val="005B71BB"/>
    <w:pPr>
      <w:ind w:left="567"/>
    </w:pPr>
  </w:style>
  <w:style w:type="paragraph" w:customStyle="1" w:styleId="OutlineNumbered1">
    <w:name w:val="Outline Numbered 1"/>
    <w:basedOn w:val="Normal"/>
    <w:link w:val="OutlineNumbered1Char"/>
    <w:qFormat/>
    <w:rsid w:val="005B71BB"/>
    <w:pPr>
      <w:numPr>
        <w:numId w:val="22"/>
      </w:numPr>
    </w:pPr>
  </w:style>
  <w:style w:type="character" w:customStyle="1" w:styleId="OutlineNumbered1Char">
    <w:name w:val="Outline Numbered 1 Char"/>
    <w:basedOn w:val="DefaultParagraphFont"/>
    <w:link w:val="OutlineNumbered1"/>
    <w:rsid w:val="005B71BB"/>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5B71BB"/>
    <w:pPr>
      <w:numPr>
        <w:ilvl w:val="1"/>
        <w:numId w:val="21"/>
      </w:numPr>
    </w:pPr>
  </w:style>
  <w:style w:type="paragraph" w:customStyle="1" w:styleId="OutlineNumbered3">
    <w:name w:val="Outline Numbered 3"/>
    <w:basedOn w:val="Normal"/>
    <w:link w:val="OutlineNumbered3Char"/>
    <w:qFormat/>
    <w:rsid w:val="005B71BB"/>
    <w:pPr>
      <w:numPr>
        <w:ilvl w:val="2"/>
        <w:numId w:val="21"/>
      </w:numPr>
    </w:pPr>
  </w:style>
  <w:style w:type="character" w:styleId="Emphasis">
    <w:name w:val="Emphasis"/>
    <w:basedOn w:val="DefaultParagraphFont"/>
    <w:uiPriority w:val="20"/>
    <w:qFormat/>
    <w:rsid w:val="005B71BB"/>
    <w:rPr>
      <w:i/>
      <w:iCs/>
    </w:rPr>
  </w:style>
  <w:style w:type="paragraph" w:customStyle="1" w:styleId="Bullet-numbered">
    <w:name w:val="Bullet - numbered"/>
    <w:basedOn w:val="Bullet"/>
    <w:qFormat/>
    <w:rsid w:val="00397CED"/>
    <w:pPr>
      <w:numPr>
        <w:numId w:val="23"/>
      </w:numPr>
      <w:ind w:left="284" w:hanging="284"/>
    </w:pPr>
  </w:style>
  <w:style w:type="paragraph" w:customStyle="1" w:styleId="ChartHeading">
    <w:name w:val="Chart Heading"/>
    <w:basedOn w:val="HeadingBase"/>
    <w:next w:val="ChartGraphic"/>
    <w:qFormat/>
    <w:rsid w:val="00397CED"/>
    <w:pPr>
      <w:spacing w:before="120" w:after="20"/>
    </w:pPr>
    <w:rPr>
      <w:b/>
      <w:sz w:val="20"/>
    </w:rPr>
  </w:style>
  <w:style w:type="paragraph" w:styleId="Revision">
    <w:name w:val="Revision"/>
    <w:hidden/>
    <w:uiPriority w:val="99"/>
    <w:semiHidden/>
    <w:rsid w:val="00397CED"/>
    <w:pPr>
      <w:spacing w:after="0" w:line="240" w:lineRule="auto"/>
    </w:pPr>
    <w:rPr>
      <w:rFonts w:ascii="Book Antiqua" w:eastAsia="Times New Roman" w:hAnsi="Book Antiqua" w:cs="Times New Roman"/>
      <w:sz w:val="19"/>
      <w:szCs w:val="20"/>
      <w:lang w:eastAsia="en-AU"/>
    </w:rPr>
  </w:style>
  <w:style w:type="character" w:styleId="FollowedHyperlink">
    <w:name w:val="FollowedHyperlink"/>
    <w:basedOn w:val="DefaultParagraphFont"/>
    <w:uiPriority w:val="99"/>
    <w:semiHidden/>
    <w:unhideWhenUsed/>
    <w:rsid w:val="00397CED"/>
    <w:rPr>
      <w:color w:val="E61E26" w:themeColor="followedHyperlink"/>
      <w:u w:val="single"/>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397CED"/>
    <w:rPr>
      <w:rFonts w:ascii="Book Antiqua" w:eastAsia="Times New Roman" w:hAnsi="Book Antiqua" w:cs="Times New Roman"/>
      <w:sz w:val="19"/>
      <w:szCs w:val="20"/>
      <w:lang w:eastAsia="en-AU"/>
    </w:rPr>
  </w:style>
  <w:style w:type="character" w:customStyle="1" w:styleId="OutlineNumbered2Char">
    <w:name w:val="Outline Numbered 2 Char"/>
    <w:basedOn w:val="BulletChar"/>
    <w:link w:val="OutlineNumbered2"/>
    <w:rsid w:val="00397CED"/>
    <w:rPr>
      <w:rFonts w:ascii="Book Antiqua" w:eastAsia="Times New Roman" w:hAnsi="Book Antiqua" w:cs="Times New Roman"/>
      <w:sz w:val="19"/>
      <w:szCs w:val="20"/>
      <w:lang w:eastAsia="en-AU"/>
    </w:rPr>
  </w:style>
  <w:style w:type="character" w:customStyle="1" w:styleId="OutlineNumbered3Char">
    <w:name w:val="Outline Numbered 3 Char"/>
    <w:basedOn w:val="BulletChar"/>
    <w:link w:val="OutlineNumbered3"/>
    <w:rsid w:val="00397CED"/>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397CED"/>
    <w:rPr>
      <w:rFonts w:ascii="Times New Roman" w:hAnsi="Times New Roman"/>
      <w:sz w:val="24"/>
      <w:szCs w:val="24"/>
    </w:rPr>
  </w:style>
  <w:style w:type="character" w:styleId="UnresolvedMention">
    <w:name w:val="Unresolved Mention"/>
    <w:basedOn w:val="DefaultParagraphFont"/>
    <w:uiPriority w:val="99"/>
    <w:semiHidden/>
    <w:unhideWhenUsed/>
    <w:rsid w:val="00397CED"/>
    <w:rPr>
      <w:color w:val="605E5C"/>
      <w:shd w:val="clear" w:color="auto" w:fill="E1DFDD"/>
    </w:rPr>
  </w:style>
  <w:style w:type="character" w:styleId="CommentReference">
    <w:name w:val="annotation reference"/>
    <w:basedOn w:val="DefaultParagraphFont"/>
    <w:semiHidden/>
    <w:rsid w:val="005B71BB"/>
    <w:rPr>
      <w:sz w:val="16"/>
      <w:szCs w:val="16"/>
    </w:rPr>
  </w:style>
  <w:style w:type="paragraph" w:styleId="CommentText">
    <w:name w:val="annotation text"/>
    <w:basedOn w:val="Normal"/>
    <w:link w:val="CommentTextChar"/>
    <w:rsid w:val="005B71BB"/>
  </w:style>
  <w:style w:type="character" w:customStyle="1" w:styleId="CommentTextChar">
    <w:name w:val="Comment Text Char"/>
    <w:basedOn w:val="DefaultParagraphFont"/>
    <w:link w:val="CommentText"/>
    <w:rsid w:val="005B71BB"/>
    <w:rPr>
      <w:rFonts w:ascii="Book Antiqua" w:eastAsia="Times New Roman" w:hAnsi="Book Antiqua" w:cs="Times New Roman"/>
      <w:sz w:val="19"/>
      <w:szCs w:val="20"/>
      <w:lang w:eastAsia="en-AU"/>
    </w:rPr>
  </w:style>
  <w:style w:type="character" w:styleId="Mention">
    <w:name w:val="Mention"/>
    <w:basedOn w:val="DefaultParagraphFont"/>
    <w:uiPriority w:val="99"/>
    <w:unhideWhenUsed/>
    <w:rsid w:val="00BC44D7"/>
    <w:rPr>
      <w:color w:val="2B579A"/>
      <w:shd w:val="clear" w:color="auto" w:fill="E1DFDD"/>
    </w:rPr>
  </w:style>
  <w:style w:type="character" w:customStyle="1" w:styleId="A5">
    <w:name w:val="A5"/>
    <w:uiPriority w:val="99"/>
    <w:rsid w:val="005B71BB"/>
    <w:rPr>
      <w:rFonts w:cs="Swiss 721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487">
      <w:bodyDiv w:val="1"/>
      <w:marLeft w:val="0"/>
      <w:marRight w:val="0"/>
      <w:marTop w:val="0"/>
      <w:marBottom w:val="0"/>
      <w:divBdr>
        <w:top w:val="none" w:sz="0" w:space="0" w:color="auto"/>
        <w:left w:val="none" w:sz="0" w:space="0" w:color="auto"/>
        <w:bottom w:val="none" w:sz="0" w:space="0" w:color="auto"/>
        <w:right w:val="none" w:sz="0" w:space="0" w:color="auto"/>
      </w:divBdr>
    </w:div>
    <w:div w:id="87236343">
      <w:bodyDiv w:val="1"/>
      <w:marLeft w:val="0"/>
      <w:marRight w:val="0"/>
      <w:marTop w:val="0"/>
      <w:marBottom w:val="0"/>
      <w:divBdr>
        <w:top w:val="none" w:sz="0" w:space="0" w:color="auto"/>
        <w:left w:val="none" w:sz="0" w:space="0" w:color="auto"/>
        <w:bottom w:val="none" w:sz="0" w:space="0" w:color="auto"/>
        <w:right w:val="none" w:sz="0" w:space="0" w:color="auto"/>
      </w:divBdr>
    </w:div>
    <w:div w:id="99419438">
      <w:bodyDiv w:val="1"/>
      <w:marLeft w:val="0"/>
      <w:marRight w:val="0"/>
      <w:marTop w:val="0"/>
      <w:marBottom w:val="0"/>
      <w:divBdr>
        <w:top w:val="none" w:sz="0" w:space="0" w:color="auto"/>
        <w:left w:val="none" w:sz="0" w:space="0" w:color="auto"/>
        <w:bottom w:val="none" w:sz="0" w:space="0" w:color="auto"/>
        <w:right w:val="none" w:sz="0" w:space="0" w:color="auto"/>
      </w:divBdr>
    </w:div>
    <w:div w:id="195778541">
      <w:bodyDiv w:val="1"/>
      <w:marLeft w:val="0"/>
      <w:marRight w:val="0"/>
      <w:marTop w:val="0"/>
      <w:marBottom w:val="0"/>
      <w:divBdr>
        <w:top w:val="none" w:sz="0" w:space="0" w:color="auto"/>
        <w:left w:val="none" w:sz="0" w:space="0" w:color="auto"/>
        <w:bottom w:val="none" w:sz="0" w:space="0" w:color="auto"/>
        <w:right w:val="none" w:sz="0" w:space="0" w:color="auto"/>
      </w:divBdr>
    </w:div>
    <w:div w:id="212817137">
      <w:bodyDiv w:val="1"/>
      <w:marLeft w:val="0"/>
      <w:marRight w:val="0"/>
      <w:marTop w:val="0"/>
      <w:marBottom w:val="0"/>
      <w:divBdr>
        <w:top w:val="none" w:sz="0" w:space="0" w:color="auto"/>
        <w:left w:val="none" w:sz="0" w:space="0" w:color="auto"/>
        <w:bottom w:val="none" w:sz="0" w:space="0" w:color="auto"/>
        <w:right w:val="none" w:sz="0" w:space="0" w:color="auto"/>
      </w:divBdr>
    </w:div>
    <w:div w:id="396519539">
      <w:bodyDiv w:val="1"/>
      <w:marLeft w:val="0"/>
      <w:marRight w:val="0"/>
      <w:marTop w:val="0"/>
      <w:marBottom w:val="0"/>
      <w:divBdr>
        <w:top w:val="none" w:sz="0" w:space="0" w:color="auto"/>
        <w:left w:val="none" w:sz="0" w:space="0" w:color="auto"/>
        <w:bottom w:val="none" w:sz="0" w:space="0" w:color="auto"/>
        <w:right w:val="none" w:sz="0" w:space="0" w:color="auto"/>
      </w:divBdr>
    </w:div>
    <w:div w:id="439882539">
      <w:bodyDiv w:val="1"/>
      <w:marLeft w:val="0"/>
      <w:marRight w:val="0"/>
      <w:marTop w:val="0"/>
      <w:marBottom w:val="0"/>
      <w:divBdr>
        <w:top w:val="none" w:sz="0" w:space="0" w:color="auto"/>
        <w:left w:val="none" w:sz="0" w:space="0" w:color="auto"/>
        <w:bottom w:val="none" w:sz="0" w:space="0" w:color="auto"/>
        <w:right w:val="none" w:sz="0" w:space="0" w:color="auto"/>
      </w:divBdr>
    </w:div>
    <w:div w:id="547760796">
      <w:bodyDiv w:val="1"/>
      <w:marLeft w:val="0"/>
      <w:marRight w:val="0"/>
      <w:marTop w:val="0"/>
      <w:marBottom w:val="0"/>
      <w:divBdr>
        <w:top w:val="none" w:sz="0" w:space="0" w:color="auto"/>
        <w:left w:val="none" w:sz="0" w:space="0" w:color="auto"/>
        <w:bottom w:val="none" w:sz="0" w:space="0" w:color="auto"/>
        <w:right w:val="none" w:sz="0" w:space="0" w:color="auto"/>
      </w:divBdr>
    </w:div>
    <w:div w:id="574703119">
      <w:bodyDiv w:val="1"/>
      <w:marLeft w:val="0"/>
      <w:marRight w:val="0"/>
      <w:marTop w:val="0"/>
      <w:marBottom w:val="0"/>
      <w:divBdr>
        <w:top w:val="none" w:sz="0" w:space="0" w:color="auto"/>
        <w:left w:val="none" w:sz="0" w:space="0" w:color="auto"/>
        <w:bottom w:val="none" w:sz="0" w:space="0" w:color="auto"/>
        <w:right w:val="none" w:sz="0" w:space="0" w:color="auto"/>
      </w:divBdr>
    </w:div>
    <w:div w:id="580942488">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75833839">
      <w:bodyDiv w:val="1"/>
      <w:marLeft w:val="0"/>
      <w:marRight w:val="0"/>
      <w:marTop w:val="0"/>
      <w:marBottom w:val="0"/>
      <w:divBdr>
        <w:top w:val="none" w:sz="0" w:space="0" w:color="auto"/>
        <w:left w:val="none" w:sz="0" w:space="0" w:color="auto"/>
        <w:bottom w:val="none" w:sz="0" w:space="0" w:color="auto"/>
        <w:right w:val="none" w:sz="0" w:space="0" w:color="auto"/>
      </w:divBdr>
    </w:div>
    <w:div w:id="954141656">
      <w:bodyDiv w:val="1"/>
      <w:marLeft w:val="0"/>
      <w:marRight w:val="0"/>
      <w:marTop w:val="0"/>
      <w:marBottom w:val="0"/>
      <w:divBdr>
        <w:top w:val="none" w:sz="0" w:space="0" w:color="auto"/>
        <w:left w:val="none" w:sz="0" w:space="0" w:color="auto"/>
        <w:bottom w:val="none" w:sz="0" w:space="0" w:color="auto"/>
        <w:right w:val="none" w:sz="0" w:space="0" w:color="auto"/>
      </w:divBdr>
    </w:div>
    <w:div w:id="1016232554">
      <w:bodyDiv w:val="1"/>
      <w:marLeft w:val="0"/>
      <w:marRight w:val="0"/>
      <w:marTop w:val="0"/>
      <w:marBottom w:val="0"/>
      <w:divBdr>
        <w:top w:val="none" w:sz="0" w:space="0" w:color="auto"/>
        <w:left w:val="none" w:sz="0" w:space="0" w:color="auto"/>
        <w:bottom w:val="none" w:sz="0" w:space="0" w:color="auto"/>
        <w:right w:val="none" w:sz="0" w:space="0" w:color="auto"/>
      </w:divBdr>
    </w:div>
    <w:div w:id="1236092021">
      <w:bodyDiv w:val="1"/>
      <w:marLeft w:val="0"/>
      <w:marRight w:val="0"/>
      <w:marTop w:val="0"/>
      <w:marBottom w:val="0"/>
      <w:divBdr>
        <w:top w:val="none" w:sz="0" w:space="0" w:color="auto"/>
        <w:left w:val="none" w:sz="0" w:space="0" w:color="auto"/>
        <w:bottom w:val="none" w:sz="0" w:space="0" w:color="auto"/>
        <w:right w:val="none" w:sz="0" w:space="0" w:color="auto"/>
      </w:divBdr>
    </w:div>
    <w:div w:id="1958825870">
      <w:bodyDiv w:val="1"/>
      <w:marLeft w:val="0"/>
      <w:marRight w:val="0"/>
      <w:marTop w:val="0"/>
      <w:marBottom w:val="0"/>
      <w:divBdr>
        <w:top w:val="none" w:sz="0" w:space="0" w:color="auto"/>
        <w:left w:val="none" w:sz="0" w:space="0" w:color="auto"/>
        <w:bottom w:val="none" w:sz="0" w:space="0" w:color="auto"/>
        <w:right w:val="none" w:sz="0" w:space="0" w:color="auto"/>
      </w:divBdr>
    </w:div>
    <w:div w:id="20607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image" Target="media/image21.emf"/><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header" Target="header3.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21248</CharactersWithSpaces>
  <SharedDoc>false</SharedDoc>
  <HLinks>
    <vt:vector size="48" baseType="variant">
      <vt:variant>
        <vt:i4>1769521</vt:i4>
      </vt:variant>
      <vt:variant>
        <vt:i4>72</vt:i4>
      </vt:variant>
      <vt:variant>
        <vt:i4>0</vt:i4>
      </vt:variant>
      <vt:variant>
        <vt:i4>5</vt:i4>
      </vt:variant>
      <vt:variant>
        <vt:lpwstr/>
      </vt:variant>
      <vt:variant>
        <vt:lpwstr>_Toc193367510</vt:lpwstr>
      </vt:variant>
      <vt:variant>
        <vt:i4>1703985</vt:i4>
      </vt:variant>
      <vt:variant>
        <vt:i4>66</vt:i4>
      </vt:variant>
      <vt:variant>
        <vt:i4>0</vt:i4>
      </vt:variant>
      <vt:variant>
        <vt:i4>5</vt:i4>
      </vt:variant>
      <vt:variant>
        <vt:lpwstr/>
      </vt:variant>
      <vt:variant>
        <vt:lpwstr>_Toc193367509</vt:lpwstr>
      </vt:variant>
      <vt:variant>
        <vt:i4>1703985</vt:i4>
      </vt:variant>
      <vt:variant>
        <vt:i4>60</vt:i4>
      </vt:variant>
      <vt:variant>
        <vt:i4>0</vt:i4>
      </vt:variant>
      <vt:variant>
        <vt:i4>5</vt:i4>
      </vt:variant>
      <vt:variant>
        <vt:lpwstr/>
      </vt:variant>
      <vt:variant>
        <vt:lpwstr>_Toc193367508</vt:lpwstr>
      </vt:variant>
      <vt:variant>
        <vt:i4>1703985</vt:i4>
      </vt:variant>
      <vt:variant>
        <vt:i4>54</vt:i4>
      </vt:variant>
      <vt:variant>
        <vt:i4>0</vt:i4>
      </vt:variant>
      <vt:variant>
        <vt:i4>5</vt:i4>
      </vt:variant>
      <vt:variant>
        <vt:lpwstr/>
      </vt:variant>
      <vt:variant>
        <vt:lpwstr>_Toc193367507</vt:lpwstr>
      </vt:variant>
      <vt:variant>
        <vt:i4>1703985</vt:i4>
      </vt:variant>
      <vt:variant>
        <vt:i4>48</vt:i4>
      </vt:variant>
      <vt:variant>
        <vt:i4>0</vt:i4>
      </vt:variant>
      <vt:variant>
        <vt:i4>5</vt:i4>
      </vt:variant>
      <vt:variant>
        <vt:lpwstr/>
      </vt:variant>
      <vt:variant>
        <vt:lpwstr>_Toc193367506</vt:lpwstr>
      </vt:variant>
      <vt:variant>
        <vt:i4>1703985</vt:i4>
      </vt:variant>
      <vt:variant>
        <vt:i4>42</vt:i4>
      </vt:variant>
      <vt:variant>
        <vt:i4>0</vt:i4>
      </vt:variant>
      <vt:variant>
        <vt:i4>5</vt:i4>
      </vt:variant>
      <vt:variant>
        <vt:lpwstr/>
      </vt:variant>
      <vt:variant>
        <vt:lpwstr>_Toc193367505</vt:lpwstr>
      </vt:variant>
      <vt:variant>
        <vt:i4>1703985</vt:i4>
      </vt:variant>
      <vt:variant>
        <vt:i4>36</vt:i4>
      </vt:variant>
      <vt:variant>
        <vt:i4>0</vt:i4>
      </vt:variant>
      <vt:variant>
        <vt:i4>5</vt:i4>
      </vt:variant>
      <vt:variant>
        <vt:lpwstr/>
      </vt:variant>
      <vt:variant>
        <vt:lpwstr>_Toc193367504</vt:lpwstr>
      </vt:variant>
      <vt:variant>
        <vt:i4>1703985</vt:i4>
      </vt:variant>
      <vt:variant>
        <vt:i4>30</vt:i4>
      </vt:variant>
      <vt:variant>
        <vt:i4>0</vt:i4>
      </vt:variant>
      <vt:variant>
        <vt:i4>5</vt:i4>
      </vt:variant>
      <vt:variant>
        <vt:lpwstr/>
      </vt:variant>
      <vt:variant>
        <vt:lpwstr>_Toc193367503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7: Forecasting Performance and Sensitivity Analysis</dc:subject>
  <dc:creator>Australian Government</dc:creator>
  <cp:keywords/>
  <dc:description/>
  <cp:lastModifiedBy/>
  <cp:revision>1</cp:revision>
  <dcterms:created xsi:type="dcterms:W3CDTF">2025-03-24T01:52:00Z</dcterms:created>
  <dcterms:modified xsi:type="dcterms:W3CDTF">2025-03-24T01:52:00Z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2025-03-24T01:52:34Z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f6e6f31a-d9cd-462f-b9f2-e04c3df7e096</vt:lpwstr>
  </property>
  <property fmtid="{D5CDD505-2E9C-101B-9397-08002B2CF9AE}" pid="8" name="MSIP_Label_4f932d64-9ab1-4d9b-81d2-a3a8b82dd47d_ContentBits">
    <vt:lpwstr>0</vt:lpwstr>
  </property>
</Properties>
</file>