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A236" w14:textId="425FF465" w:rsidR="0023618C" w:rsidRPr="00071AC3" w:rsidRDefault="0023618C" w:rsidP="00435593">
      <w:pPr>
        <w:pStyle w:val="Heading1-Statement"/>
      </w:pPr>
      <w:r w:rsidRPr="0031448B">
        <w:t xml:space="preserve">Statement </w:t>
      </w:r>
      <w:r w:rsidR="00435593">
        <w:t>8</w:t>
      </w:r>
      <w:r w:rsidRPr="0031448B">
        <w:t>:</w:t>
      </w:r>
      <w:r w:rsidR="00435593">
        <w:br/>
      </w:r>
      <w:r w:rsidR="00F171B6" w:rsidRPr="00F171B6">
        <w:t>Statement of Risks</w:t>
      </w:r>
    </w:p>
    <w:p w14:paraId="20B0F57D" w14:textId="6FC037FD" w:rsidR="00B329A9" w:rsidRPr="00B329A9" w:rsidRDefault="00B329A9" w:rsidP="00B329A9">
      <w:pPr>
        <w:spacing w:before="0" w:after="160" w:line="259" w:lineRule="auto"/>
      </w:pPr>
      <w:r w:rsidRPr="00B329A9">
        <w:t xml:space="preserve">A range of factors may influence the actual budget outcome in future years. The </w:t>
      </w:r>
      <w:r w:rsidRPr="00680D22">
        <w:rPr>
          <w:rStyle w:val="Emphasis"/>
        </w:rPr>
        <w:t xml:space="preserve">Charter of Budget Honesty Act 1998 </w:t>
      </w:r>
      <w:r w:rsidRPr="00B329A9">
        <w:t>requires these factors to be disclosed in a statement of risks in each Budget and Mid</w:t>
      </w:r>
      <w:r w:rsidR="00D23095">
        <w:noBreakHyphen/>
      </w:r>
      <w:r w:rsidRPr="00B329A9">
        <w:t>Year Economic and Fiscal Outlook. This Statement outlines general fiscal risks, specific contingent liabilities and specific contingent assets that may affect the budget balances.</w:t>
      </w:r>
      <w:r w:rsidR="004C407A">
        <w:t xml:space="preserve"> </w:t>
      </w:r>
      <w:r w:rsidR="00692FB1" w:rsidRPr="005F6D17">
        <w:rPr>
          <w:rFonts w:eastAsia="Book Antiqua"/>
        </w:rPr>
        <w:t xml:space="preserve">Details of Government loans </w:t>
      </w:r>
      <w:r w:rsidR="00255CFB">
        <w:rPr>
          <w:rFonts w:eastAsia="Book Antiqua"/>
        </w:rPr>
        <w:t>estimated to</w:t>
      </w:r>
      <w:r w:rsidR="00255CFB" w:rsidRPr="005F6D17">
        <w:rPr>
          <w:rFonts w:eastAsia="Book Antiqua"/>
        </w:rPr>
        <w:t xml:space="preserve"> </w:t>
      </w:r>
      <w:r w:rsidR="00692FB1" w:rsidRPr="005F6D17">
        <w:rPr>
          <w:rFonts w:eastAsia="Book Antiqua"/>
        </w:rPr>
        <w:t xml:space="preserve">exceed $200 million </w:t>
      </w:r>
      <w:proofErr w:type="gramStart"/>
      <w:r w:rsidR="00692FB1" w:rsidRPr="005F6D17">
        <w:rPr>
          <w:rFonts w:eastAsia="Book Antiqua"/>
        </w:rPr>
        <w:t>at</w:t>
      </w:r>
      <w:proofErr w:type="gramEnd"/>
      <w:r w:rsidR="00692FB1" w:rsidRPr="005F6D17">
        <w:rPr>
          <w:rFonts w:eastAsia="Book Antiqua"/>
        </w:rPr>
        <w:t xml:space="preserve"> 30 June 202</w:t>
      </w:r>
      <w:r w:rsidR="00692FB1">
        <w:rPr>
          <w:rFonts w:eastAsia="Book Antiqua"/>
        </w:rPr>
        <w:t>5</w:t>
      </w:r>
      <w:r w:rsidR="00692FB1" w:rsidRPr="005F6D17">
        <w:rPr>
          <w:rFonts w:eastAsia="Book Antiqua"/>
        </w:rPr>
        <w:t xml:space="preserve"> are included at the conclusion o</w:t>
      </w:r>
      <w:r w:rsidR="00692FB1">
        <w:rPr>
          <w:rFonts w:eastAsia="Book Antiqua"/>
        </w:rPr>
        <w:t xml:space="preserve">f </w:t>
      </w:r>
      <w:r w:rsidR="00255CFB">
        <w:rPr>
          <w:rFonts w:eastAsia="Book Antiqua"/>
        </w:rPr>
        <w:t>this Statement</w:t>
      </w:r>
      <w:r w:rsidR="00692FB1">
        <w:rPr>
          <w:rFonts w:eastAsia="Book Antiqua"/>
        </w:rPr>
        <w:t>.</w:t>
      </w:r>
    </w:p>
    <w:p w14:paraId="3F27EC44" w14:textId="6952987D" w:rsidR="009B5C3B" w:rsidRDefault="009B5C3B">
      <w:pPr>
        <w:spacing w:before="0" w:after="160" w:line="259" w:lineRule="auto"/>
        <w:rPr>
          <w:i/>
        </w:rPr>
      </w:pPr>
      <w:r>
        <w:rPr>
          <w:i/>
        </w:rPr>
        <w:br w:type="page"/>
      </w:r>
    </w:p>
    <w:p w14:paraId="06B842AD" w14:textId="77777777" w:rsidR="00A23BA8" w:rsidRPr="00F02293" w:rsidRDefault="00A23BA8" w:rsidP="00A23BA8">
      <w:pPr>
        <w:rPr>
          <w:i/>
        </w:rPr>
      </w:pPr>
    </w:p>
    <w:p w14:paraId="1F465750" w14:textId="77777777" w:rsidR="0023618C" w:rsidRPr="00D66947" w:rsidRDefault="0023618C" w:rsidP="0023618C">
      <w:pPr>
        <w:sectPr w:rsidR="0023618C" w:rsidRPr="00D66947" w:rsidSect="00AC0E2D">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2835" w:right="2098" w:bottom="2466" w:left="2098" w:header="1814" w:footer="1814" w:gutter="0"/>
          <w:pgNumType w:start="189"/>
          <w:cols w:space="708"/>
          <w:titlePg/>
          <w:docGrid w:linePitch="360"/>
        </w:sectPr>
      </w:pPr>
    </w:p>
    <w:p w14:paraId="70052F0D" w14:textId="77777777" w:rsidR="00E84EF3" w:rsidRDefault="00E84EF3" w:rsidP="00F9468F">
      <w:pPr>
        <w:pStyle w:val="Heading1"/>
      </w:pPr>
      <w:bookmarkStart w:id="0" w:name="_Toc71406500"/>
      <w:bookmarkStart w:id="1" w:name="_Toc99203674"/>
      <w:bookmarkStart w:id="2" w:name="_Toc117358167"/>
      <w:r w:rsidRPr="00D66947">
        <w:lastRenderedPageBreak/>
        <w:t xml:space="preserve">Statement </w:t>
      </w:r>
      <w:r w:rsidRPr="00AA71F1">
        <w:t>contents</w:t>
      </w:r>
    </w:p>
    <w:p w14:paraId="6658A437" w14:textId="77777777" w:rsidR="004F5256" w:rsidRPr="004F5256" w:rsidRDefault="004F5256" w:rsidP="004F5256"/>
    <w:p w14:paraId="33CD367A" w14:textId="5003D67C" w:rsidR="000E2FCE" w:rsidRDefault="00E84EF3">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\h \z \u \t "Heading 2,1,Heading 3,2" </w:instrText>
      </w:r>
      <w:r>
        <w:fldChar w:fldCharType="separate"/>
      </w:r>
      <w:hyperlink w:anchor="_Toc193536168" w:history="1">
        <w:r w:rsidR="000E2FCE" w:rsidRPr="0009647D">
          <w:rPr>
            <w:rStyle w:val="Hyperlink"/>
            <w:noProof/>
          </w:rPr>
          <w:t>Overview</w:t>
        </w:r>
        <w:r w:rsidR="000E2FCE">
          <w:rPr>
            <w:noProof/>
            <w:webHidden/>
          </w:rPr>
          <w:tab/>
        </w:r>
        <w:r w:rsidR="000E2FCE">
          <w:rPr>
            <w:noProof/>
            <w:webHidden/>
          </w:rPr>
          <w:fldChar w:fldCharType="begin"/>
        </w:r>
        <w:r w:rsidR="000E2FCE">
          <w:rPr>
            <w:noProof/>
            <w:webHidden/>
          </w:rPr>
          <w:instrText xml:space="preserve"> PAGEREF _Toc193536168 \h </w:instrText>
        </w:r>
        <w:r w:rsidR="000E2FCE">
          <w:rPr>
            <w:noProof/>
            <w:webHidden/>
          </w:rPr>
        </w:r>
        <w:r w:rsidR="000E2FCE">
          <w:rPr>
            <w:noProof/>
            <w:webHidden/>
          </w:rPr>
          <w:fldChar w:fldCharType="separate"/>
        </w:r>
        <w:r w:rsidR="0042292D">
          <w:rPr>
            <w:noProof/>
            <w:webHidden/>
          </w:rPr>
          <w:t>193</w:t>
        </w:r>
        <w:r w:rsidR="000E2FCE">
          <w:rPr>
            <w:noProof/>
            <w:webHidden/>
          </w:rPr>
          <w:fldChar w:fldCharType="end"/>
        </w:r>
      </w:hyperlink>
    </w:p>
    <w:p w14:paraId="62AFB777" w14:textId="7F561CA5"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69" w:history="1">
        <w:r w:rsidR="000E2FCE" w:rsidRPr="0009647D">
          <w:rPr>
            <w:rStyle w:val="Hyperlink"/>
            <w:noProof/>
          </w:rPr>
          <w:t>The risks associated with climate change</w:t>
        </w:r>
        <w:r w:rsidR="000E2FCE">
          <w:rPr>
            <w:noProof/>
            <w:webHidden/>
          </w:rPr>
          <w:tab/>
        </w:r>
        <w:r w:rsidR="000E2FCE">
          <w:rPr>
            <w:noProof/>
            <w:webHidden/>
          </w:rPr>
          <w:fldChar w:fldCharType="begin"/>
        </w:r>
        <w:r w:rsidR="000E2FCE">
          <w:rPr>
            <w:noProof/>
            <w:webHidden/>
          </w:rPr>
          <w:instrText xml:space="preserve"> PAGEREF _Toc193536169 \h </w:instrText>
        </w:r>
        <w:r w:rsidR="000E2FCE">
          <w:rPr>
            <w:noProof/>
            <w:webHidden/>
          </w:rPr>
        </w:r>
        <w:r w:rsidR="000E2FCE">
          <w:rPr>
            <w:noProof/>
            <w:webHidden/>
          </w:rPr>
          <w:fldChar w:fldCharType="separate"/>
        </w:r>
        <w:r w:rsidR="0042292D">
          <w:rPr>
            <w:noProof/>
            <w:webHidden/>
          </w:rPr>
          <w:t>194</w:t>
        </w:r>
        <w:r w:rsidR="000E2FCE">
          <w:rPr>
            <w:noProof/>
            <w:webHidden/>
          </w:rPr>
          <w:fldChar w:fldCharType="end"/>
        </w:r>
      </w:hyperlink>
    </w:p>
    <w:p w14:paraId="0A1E4592" w14:textId="03012750"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70" w:history="1">
        <w:r w:rsidR="000E2FCE" w:rsidRPr="0009647D">
          <w:rPr>
            <w:rStyle w:val="Hyperlink"/>
            <w:rFonts w:eastAsia="Arial"/>
            <w:noProof/>
          </w:rPr>
          <w:t>Specialist Investment Vehicles</w:t>
        </w:r>
        <w:r w:rsidR="000E2FCE">
          <w:rPr>
            <w:noProof/>
            <w:webHidden/>
          </w:rPr>
          <w:tab/>
        </w:r>
        <w:r w:rsidR="000E2FCE">
          <w:rPr>
            <w:noProof/>
            <w:webHidden/>
          </w:rPr>
          <w:fldChar w:fldCharType="begin"/>
        </w:r>
        <w:r w:rsidR="000E2FCE">
          <w:rPr>
            <w:noProof/>
            <w:webHidden/>
          </w:rPr>
          <w:instrText xml:space="preserve"> PAGEREF _Toc193536170 \h </w:instrText>
        </w:r>
        <w:r w:rsidR="000E2FCE">
          <w:rPr>
            <w:noProof/>
            <w:webHidden/>
          </w:rPr>
        </w:r>
        <w:r w:rsidR="000E2FCE">
          <w:rPr>
            <w:noProof/>
            <w:webHidden/>
          </w:rPr>
          <w:fldChar w:fldCharType="separate"/>
        </w:r>
        <w:r w:rsidR="0042292D">
          <w:rPr>
            <w:noProof/>
            <w:webHidden/>
          </w:rPr>
          <w:t>195</w:t>
        </w:r>
        <w:r w:rsidR="000E2FCE">
          <w:rPr>
            <w:noProof/>
            <w:webHidden/>
          </w:rPr>
          <w:fldChar w:fldCharType="end"/>
        </w:r>
      </w:hyperlink>
    </w:p>
    <w:p w14:paraId="465FB6C0" w14:textId="6B9E724C"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71" w:history="1">
        <w:r w:rsidR="000E2FCE" w:rsidRPr="0009647D">
          <w:rPr>
            <w:rStyle w:val="Hyperlink"/>
            <w:rFonts w:eastAsia="Arial"/>
            <w:noProof/>
          </w:rPr>
          <w:t>Specific risks to the Budget</w:t>
        </w:r>
        <w:r w:rsidR="000E2FCE">
          <w:rPr>
            <w:noProof/>
            <w:webHidden/>
          </w:rPr>
          <w:tab/>
        </w:r>
        <w:r w:rsidR="000E2FCE">
          <w:rPr>
            <w:noProof/>
            <w:webHidden/>
          </w:rPr>
          <w:fldChar w:fldCharType="begin"/>
        </w:r>
        <w:r w:rsidR="000E2FCE">
          <w:rPr>
            <w:noProof/>
            <w:webHidden/>
          </w:rPr>
          <w:instrText xml:space="preserve"> PAGEREF _Toc193536171 \h </w:instrText>
        </w:r>
        <w:r w:rsidR="000E2FCE">
          <w:rPr>
            <w:noProof/>
            <w:webHidden/>
          </w:rPr>
        </w:r>
        <w:r w:rsidR="000E2FCE">
          <w:rPr>
            <w:noProof/>
            <w:webHidden/>
          </w:rPr>
          <w:fldChar w:fldCharType="separate"/>
        </w:r>
        <w:r w:rsidR="0042292D">
          <w:rPr>
            <w:noProof/>
            <w:webHidden/>
          </w:rPr>
          <w:t>195</w:t>
        </w:r>
        <w:r w:rsidR="000E2FCE">
          <w:rPr>
            <w:noProof/>
            <w:webHidden/>
          </w:rPr>
          <w:fldChar w:fldCharType="end"/>
        </w:r>
      </w:hyperlink>
    </w:p>
    <w:p w14:paraId="60F2ACE1" w14:textId="165A5832"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172" w:history="1">
        <w:r w:rsidR="000E2FCE" w:rsidRPr="0009647D">
          <w:rPr>
            <w:rStyle w:val="Hyperlink"/>
            <w:noProof/>
          </w:rPr>
          <w:t>Agriculture, Fisheries and Forestry</w:t>
        </w:r>
        <w:r w:rsidR="000E2FCE">
          <w:rPr>
            <w:noProof/>
            <w:webHidden/>
          </w:rPr>
          <w:tab/>
        </w:r>
        <w:r w:rsidR="000E2FCE">
          <w:rPr>
            <w:noProof/>
            <w:webHidden/>
          </w:rPr>
          <w:fldChar w:fldCharType="begin"/>
        </w:r>
        <w:r w:rsidR="000E2FCE">
          <w:rPr>
            <w:noProof/>
            <w:webHidden/>
          </w:rPr>
          <w:instrText xml:space="preserve"> PAGEREF _Toc193536172 \h </w:instrText>
        </w:r>
        <w:r w:rsidR="000E2FCE">
          <w:rPr>
            <w:noProof/>
            <w:webHidden/>
          </w:rPr>
        </w:r>
        <w:r w:rsidR="000E2FCE">
          <w:rPr>
            <w:noProof/>
            <w:webHidden/>
          </w:rPr>
          <w:fldChar w:fldCharType="separate"/>
        </w:r>
        <w:r w:rsidR="0042292D">
          <w:rPr>
            <w:noProof/>
            <w:webHidden/>
          </w:rPr>
          <w:t>202</w:t>
        </w:r>
        <w:r w:rsidR="000E2FCE">
          <w:rPr>
            <w:noProof/>
            <w:webHidden/>
          </w:rPr>
          <w:fldChar w:fldCharType="end"/>
        </w:r>
      </w:hyperlink>
    </w:p>
    <w:p w14:paraId="58DF185E" w14:textId="5A77156D"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73" w:history="1">
        <w:r w:rsidR="000E2FCE" w:rsidRPr="0009647D">
          <w:rPr>
            <w:rStyle w:val="Hyperlink"/>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_Toc193536173 \h </w:instrText>
        </w:r>
        <w:r w:rsidR="000E2FCE">
          <w:rPr>
            <w:noProof/>
            <w:webHidden/>
          </w:rPr>
        </w:r>
        <w:r w:rsidR="000E2FCE">
          <w:rPr>
            <w:noProof/>
            <w:webHidden/>
          </w:rPr>
          <w:fldChar w:fldCharType="separate"/>
        </w:r>
        <w:r w:rsidR="0042292D">
          <w:rPr>
            <w:noProof/>
            <w:webHidden/>
          </w:rPr>
          <w:t>202</w:t>
        </w:r>
        <w:r w:rsidR="000E2FCE">
          <w:rPr>
            <w:noProof/>
            <w:webHidden/>
          </w:rPr>
          <w:fldChar w:fldCharType="end"/>
        </w:r>
      </w:hyperlink>
    </w:p>
    <w:p w14:paraId="01B6A5D2" w14:textId="6AAE9C72"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174" w:history="1">
        <w:r w:rsidR="000E2FCE" w:rsidRPr="0009647D">
          <w:rPr>
            <w:rStyle w:val="Hyperlink"/>
            <w:noProof/>
          </w:rPr>
          <w:t>Attorney</w:t>
        </w:r>
        <w:r w:rsidR="000E2FCE" w:rsidRPr="0009647D">
          <w:rPr>
            <w:rStyle w:val="Hyperlink"/>
            <w:noProof/>
          </w:rPr>
          <w:noBreakHyphen/>
          <w:t>General’s</w:t>
        </w:r>
        <w:r w:rsidR="000E2FCE">
          <w:rPr>
            <w:noProof/>
            <w:webHidden/>
          </w:rPr>
          <w:tab/>
        </w:r>
        <w:r w:rsidR="000E2FCE">
          <w:rPr>
            <w:noProof/>
            <w:webHidden/>
          </w:rPr>
          <w:fldChar w:fldCharType="begin"/>
        </w:r>
        <w:r w:rsidR="000E2FCE">
          <w:rPr>
            <w:noProof/>
            <w:webHidden/>
          </w:rPr>
          <w:instrText xml:space="preserve"> PAGEREF _Toc193536174 \h </w:instrText>
        </w:r>
        <w:r w:rsidR="000E2FCE">
          <w:rPr>
            <w:noProof/>
            <w:webHidden/>
          </w:rPr>
        </w:r>
        <w:r w:rsidR="000E2FCE">
          <w:rPr>
            <w:noProof/>
            <w:webHidden/>
          </w:rPr>
          <w:fldChar w:fldCharType="separate"/>
        </w:r>
        <w:r w:rsidR="0042292D">
          <w:rPr>
            <w:noProof/>
            <w:webHidden/>
          </w:rPr>
          <w:t>203</w:t>
        </w:r>
        <w:r w:rsidR="000E2FCE">
          <w:rPr>
            <w:noProof/>
            <w:webHidden/>
          </w:rPr>
          <w:fldChar w:fldCharType="end"/>
        </w:r>
      </w:hyperlink>
    </w:p>
    <w:p w14:paraId="57040A55" w14:textId="7B9D05C4"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75" w:history="1">
        <w:r w:rsidR="000E2FCE" w:rsidRPr="0009647D">
          <w:rPr>
            <w:rStyle w:val="Hyperlink"/>
            <w:noProof/>
          </w:rPr>
          <w:t>Significant but remote contingency</w:t>
        </w:r>
        <w:r w:rsidR="000E2FCE">
          <w:rPr>
            <w:noProof/>
            <w:webHidden/>
          </w:rPr>
          <w:tab/>
        </w:r>
        <w:r w:rsidR="000E2FCE">
          <w:rPr>
            <w:noProof/>
            <w:webHidden/>
          </w:rPr>
          <w:fldChar w:fldCharType="begin"/>
        </w:r>
        <w:r w:rsidR="000E2FCE">
          <w:rPr>
            <w:noProof/>
            <w:webHidden/>
          </w:rPr>
          <w:instrText xml:space="preserve"> PAGEREF _Toc193536175 \h </w:instrText>
        </w:r>
        <w:r w:rsidR="000E2FCE">
          <w:rPr>
            <w:noProof/>
            <w:webHidden/>
          </w:rPr>
        </w:r>
        <w:r w:rsidR="000E2FCE">
          <w:rPr>
            <w:noProof/>
            <w:webHidden/>
          </w:rPr>
          <w:fldChar w:fldCharType="separate"/>
        </w:r>
        <w:r w:rsidR="0042292D">
          <w:rPr>
            <w:noProof/>
            <w:webHidden/>
          </w:rPr>
          <w:t>203</w:t>
        </w:r>
        <w:r w:rsidR="000E2FCE">
          <w:rPr>
            <w:noProof/>
            <w:webHidden/>
          </w:rPr>
          <w:fldChar w:fldCharType="end"/>
        </w:r>
      </w:hyperlink>
    </w:p>
    <w:p w14:paraId="510D3CB1" w14:textId="79D6F4A0"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76" w:history="1">
        <w:r w:rsidR="000E2FCE" w:rsidRPr="0009647D">
          <w:rPr>
            <w:rStyle w:val="Hyperlink"/>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_Toc193536176 \h </w:instrText>
        </w:r>
        <w:r w:rsidR="000E2FCE">
          <w:rPr>
            <w:noProof/>
            <w:webHidden/>
          </w:rPr>
        </w:r>
        <w:r w:rsidR="000E2FCE">
          <w:rPr>
            <w:noProof/>
            <w:webHidden/>
          </w:rPr>
          <w:fldChar w:fldCharType="separate"/>
        </w:r>
        <w:r w:rsidR="0042292D">
          <w:rPr>
            <w:noProof/>
            <w:webHidden/>
          </w:rPr>
          <w:t>203</w:t>
        </w:r>
        <w:r w:rsidR="000E2FCE">
          <w:rPr>
            <w:noProof/>
            <w:webHidden/>
          </w:rPr>
          <w:fldChar w:fldCharType="end"/>
        </w:r>
      </w:hyperlink>
    </w:p>
    <w:p w14:paraId="03DE2CAB" w14:textId="5BDE763A"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77" w:history="1">
        <w:r w:rsidR="000E2FCE" w:rsidRPr="0009647D">
          <w:rPr>
            <w:rStyle w:val="Hyperlink"/>
            <w:noProof/>
          </w:rPr>
          <w:t>Contingent asset – unquantifiable</w:t>
        </w:r>
        <w:r w:rsidR="000E2FCE">
          <w:rPr>
            <w:noProof/>
            <w:webHidden/>
          </w:rPr>
          <w:tab/>
        </w:r>
        <w:r w:rsidR="000E2FCE">
          <w:rPr>
            <w:noProof/>
            <w:webHidden/>
          </w:rPr>
          <w:fldChar w:fldCharType="begin"/>
        </w:r>
        <w:r w:rsidR="000E2FCE">
          <w:rPr>
            <w:noProof/>
            <w:webHidden/>
          </w:rPr>
          <w:instrText xml:space="preserve"> PAGEREF _Toc193536177 \h </w:instrText>
        </w:r>
        <w:r w:rsidR="000E2FCE">
          <w:rPr>
            <w:noProof/>
            <w:webHidden/>
          </w:rPr>
        </w:r>
        <w:r w:rsidR="000E2FCE">
          <w:rPr>
            <w:noProof/>
            <w:webHidden/>
          </w:rPr>
          <w:fldChar w:fldCharType="separate"/>
        </w:r>
        <w:r w:rsidR="0042292D">
          <w:rPr>
            <w:noProof/>
            <w:webHidden/>
          </w:rPr>
          <w:t>204</w:t>
        </w:r>
        <w:r w:rsidR="000E2FCE">
          <w:rPr>
            <w:noProof/>
            <w:webHidden/>
          </w:rPr>
          <w:fldChar w:fldCharType="end"/>
        </w:r>
      </w:hyperlink>
    </w:p>
    <w:p w14:paraId="7D6451D7" w14:textId="0CBAAAA8"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178" w:history="1">
        <w:r w:rsidR="000E2FCE" w:rsidRPr="0009647D">
          <w:rPr>
            <w:rStyle w:val="Hyperlink"/>
            <w:noProof/>
          </w:rPr>
          <w:t>Climate Change, Energy, the Environment and Water</w:t>
        </w:r>
        <w:r w:rsidR="000E2FCE">
          <w:rPr>
            <w:noProof/>
            <w:webHidden/>
          </w:rPr>
          <w:tab/>
        </w:r>
        <w:r w:rsidR="000E2FCE">
          <w:rPr>
            <w:noProof/>
            <w:webHidden/>
          </w:rPr>
          <w:fldChar w:fldCharType="begin"/>
        </w:r>
        <w:r w:rsidR="000E2FCE">
          <w:rPr>
            <w:noProof/>
            <w:webHidden/>
          </w:rPr>
          <w:instrText xml:space="preserve"> PAGEREF _Toc193536178 \h </w:instrText>
        </w:r>
        <w:r w:rsidR="000E2FCE">
          <w:rPr>
            <w:noProof/>
            <w:webHidden/>
          </w:rPr>
        </w:r>
        <w:r w:rsidR="000E2FCE">
          <w:rPr>
            <w:noProof/>
            <w:webHidden/>
          </w:rPr>
          <w:fldChar w:fldCharType="separate"/>
        </w:r>
        <w:r w:rsidR="0042292D">
          <w:rPr>
            <w:noProof/>
            <w:webHidden/>
          </w:rPr>
          <w:t>205</w:t>
        </w:r>
        <w:r w:rsidR="000E2FCE">
          <w:rPr>
            <w:noProof/>
            <w:webHidden/>
          </w:rPr>
          <w:fldChar w:fldCharType="end"/>
        </w:r>
      </w:hyperlink>
    </w:p>
    <w:p w14:paraId="0CA4AE61" w14:textId="3CA701B8" w:rsidR="000E2FCE" w:rsidRDefault="00F113C9" w:rsidP="00A040E5">
      <w:pPr>
        <w:pStyle w:val="TOC2"/>
        <w:tabs>
          <w:tab w:val="clear" w:pos="992"/>
          <w:tab w:val="left" w:pos="851"/>
        </w:tabs>
        <w:rPr>
          <w:rFonts w:asciiTheme="minorHAnsi" w:eastAsiaTheme="minorEastAsia" w:hAnsiTheme="minorHAnsi" w:cstheme="minorBidi"/>
          <w:noProof/>
          <w:kern w:val="2"/>
          <w:sz w:val="24"/>
          <w:szCs w:val="24"/>
          <w14:ligatures w14:val="standardContextual"/>
        </w:rPr>
      </w:pPr>
      <w:hyperlink w:anchor="_Toc193536179" w:history="1">
        <w:r w:rsidR="000E2FCE" w:rsidRPr="0009647D">
          <w:rPr>
            <w:rStyle w:val="Hyperlink"/>
            <w:noProof/>
          </w:rPr>
          <w:t>Fiscal Risk</w:t>
        </w:r>
        <w:r w:rsidR="000E2FCE">
          <w:rPr>
            <w:noProof/>
            <w:webHidden/>
          </w:rPr>
          <w:tab/>
        </w:r>
        <w:r w:rsidR="000E2FCE">
          <w:rPr>
            <w:noProof/>
            <w:webHidden/>
          </w:rPr>
          <w:fldChar w:fldCharType="begin"/>
        </w:r>
        <w:r w:rsidR="000E2FCE">
          <w:rPr>
            <w:noProof/>
            <w:webHidden/>
          </w:rPr>
          <w:instrText xml:space="preserve"> PAGEREF _Toc193536179 \h </w:instrText>
        </w:r>
        <w:r w:rsidR="000E2FCE">
          <w:rPr>
            <w:noProof/>
            <w:webHidden/>
          </w:rPr>
        </w:r>
        <w:r w:rsidR="000E2FCE">
          <w:rPr>
            <w:noProof/>
            <w:webHidden/>
          </w:rPr>
          <w:fldChar w:fldCharType="separate"/>
        </w:r>
        <w:r w:rsidR="0042292D">
          <w:rPr>
            <w:noProof/>
            <w:webHidden/>
          </w:rPr>
          <w:t>205</w:t>
        </w:r>
        <w:r w:rsidR="000E2FCE">
          <w:rPr>
            <w:noProof/>
            <w:webHidden/>
          </w:rPr>
          <w:fldChar w:fldCharType="end"/>
        </w:r>
      </w:hyperlink>
    </w:p>
    <w:p w14:paraId="24C269BA" w14:textId="1FF23052"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80" w:history="1">
        <w:r w:rsidR="000E2FCE" w:rsidRPr="0009647D">
          <w:rPr>
            <w:rStyle w:val="Hyperlink"/>
            <w:noProof/>
          </w:rPr>
          <w:t>Significant but remote contingencies</w:t>
        </w:r>
        <w:r w:rsidR="000E2FCE">
          <w:rPr>
            <w:noProof/>
            <w:webHidden/>
          </w:rPr>
          <w:tab/>
        </w:r>
        <w:r w:rsidR="000E2FCE">
          <w:rPr>
            <w:noProof/>
            <w:webHidden/>
          </w:rPr>
          <w:fldChar w:fldCharType="begin"/>
        </w:r>
        <w:r w:rsidR="000E2FCE">
          <w:rPr>
            <w:noProof/>
            <w:webHidden/>
          </w:rPr>
          <w:instrText xml:space="preserve"> PAGEREF _Toc193536180 \h </w:instrText>
        </w:r>
        <w:r w:rsidR="000E2FCE">
          <w:rPr>
            <w:noProof/>
            <w:webHidden/>
          </w:rPr>
        </w:r>
        <w:r w:rsidR="000E2FCE">
          <w:rPr>
            <w:noProof/>
            <w:webHidden/>
          </w:rPr>
          <w:fldChar w:fldCharType="separate"/>
        </w:r>
        <w:r w:rsidR="0042292D">
          <w:rPr>
            <w:noProof/>
            <w:webHidden/>
          </w:rPr>
          <w:t>205</w:t>
        </w:r>
        <w:r w:rsidR="000E2FCE">
          <w:rPr>
            <w:noProof/>
            <w:webHidden/>
          </w:rPr>
          <w:fldChar w:fldCharType="end"/>
        </w:r>
      </w:hyperlink>
    </w:p>
    <w:p w14:paraId="515EB7AC" w14:textId="5EF3F179"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81" w:history="1">
        <w:r w:rsidR="000E2FCE" w:rsidRPr="0009647D">
          <w:rPr>
            <w:rStyle w:val="Hyperlink"/>
            <w:rFonts w:eastAsia="Arial" w:cs="Arial"/>
            <w:bCs/>
            <w:noProof/>
            <w:lang w:val="en-US"/>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_Toc193536181 \h </w:instrText>
        </w:r>
        <w:r w:rsidR="000E2FCE">
          <w:rPr>
            <w:noProof/>
            <w:webHidden/>
          </w:rPr>
        </w:r>
        <w:r w:rsidR="000E2FCE">
          <w:rPr>
            <w:noProof/>
            <w:webHidden/>
          </w:rPr>
          <w:fldChar w:fldCharType="separate"/>
        </w:r>
        <w:r w:rsidR="0042292D">
          <w:rPr>
            <w:noProof/>
            <w:webHidden/>
          </w:rPr>
          <w:t>205</w:t>
        </w:r>
        <w:r w:rsidR="000E2FCE">
          <w:rPr>
            <w:noProof/>
            <w:webHidden/>
          </w:rPr>
          <w:fldChar w:fldCharType="end"/>
        </w:r>
      </w:hyperlink>
    </w:p>
    <w:p w14:paraId="39B916AE" w14:textId="0531FFA1"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82" w:history="1">
        <w:r w:rsidR="000E2FCE" w:rsidRPr="0009647D">
          <w:rPr>
            <w:rStyle w:val="Hyperlink"/>
            <w:rFonts w:eastAsia="Arial" w:cs="Arial"/>
            <w:bCs/>
            <w:noProof/>
            <w:lang w:val="en-US"/>
          </w:rPr>
          <w:t>Contingent liabilities – quantifiable</w:t>
        </w:r>
        <w:r w:rsidR="000E2FCE">
          <w:rPr>
            <w:noProof/>
            <w:webHidden/>
          </w:rPr>
          <w:tab/>
        </w:r>
        <w:r w:rsidR="000E2FCE">
          <w:rPr>
            <w:noProof/>
            <w:webHidden/>
          </w:rPr>
          <w:fldChar w:fldCharType="begin"/>
        </w:r>
        <w:r w:rsidR="000E2FCE">
          <w:rPr>
            <w:noProof/>
            <w:webHidden/>
          </w:rPr>
          <w:instrText xml:space="preserve"> PAGEREF _Toc193536182 \h </w:instrText>
        </w:r>
        <w:r w:rsidR="000E2FCE">
          <w:rPr>
            <w:noProof/>
            <w:webHidden/>
          </w:rPr>
        </w:r>
        <w:r w:rsidR="000E2FCE">
          <w:rPr>
            <w:noProof/>
            <w:webHidden/>
          </w:rPr>
          <w:fldChar w:fldCharType="separate"/>
        </w:r>
        <w:r w:rsidR="0042292D">
          <w:rPr>
            <w:noProof/>
            <w:webHidden/>
          </w:rPr>
          <w:t>208</w:t>
        </w:r>
        <w:r w:rsidR="000E2FCE">
          <w:rPr>
            <w:noProof/>
            <w:webHidden/>
          </w:rPr>
          <w:fldChar w:fldCharType="end"/>
        </w:r>
      </w:hyperlink>
    </w:p>
    <w:p w14:paraId="0CA7D8D9" w14:textId="2CC7BAA5"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183" w:history="1">
        <w:r w:rsidR="000E2FCE" w:rsidRPr="0009647D">
          <w:rPr>
            <w:rStyle w:val="Hyperlink"/>
            <w:noProof/>
          </w:rPr>
          <w:t>Defence</w:t>
        </w:r>
        <w:r w:rsidR="000E2FCE">
          <w:rPr>
            <w:noProof/>
            <w:webHidden/>
          </w:rPr>
          <w:tab/>
        </w:r>
        <w:r w:rsidR="000E2FCE">
          <w:rPr>
            <w:noProof/>
            <w:webHidden/>
          </w:rPr>
          <w:fldChar w:fldCharType="begin"/>
        </w:r>
        <w:r w:rsidR="000E2FCE">
          <w:rPr>
            <w:noProof/>
            <w:webHidden/>
          </w:rPr>
          <w:instrText xml:space="preserve"> PAGEREF _Toc193536183 \h </w:instrText>
        </w:r>
        <w:r w:rsidR="000E2FCE">
          <w:rPr>
            <w:noProof/>
            <w:webHidden/>
          </w:rPr>
        </w:r>
        <w:r w:rsidR="000E2FCE">
          <w:rPr>
            <w:noProof/>
            <w:webHidden/>
          </w:rPr>
          <w:fldChar w:fldCharType="separate"/>
        </w:r>
        <w:r w:rsidR="0042292D">
          <w:rPr>
            <w:noProof/>
            <w:webHidden/>
          </w:rPr>
          <w:t>209</w:t>
        </w:r>
        <w:r w:rsidR="000E2FCE">
          <w:rPr>
            <w:noProof/>
            <w:webHidden/>
          </w:rPr>
          <w:fldChar w:fldCharType="end"/>
        </w:r>
      </w:hyperlink>
    </w:p>
    <w:p w14:paraId="1E36A2D3" w14:textId="6ECBFB11" w:rsidR="000E2FCE" w:rsidRDefault="00F113C9" w:rsidP="00A040E5">
      <w:pPr>
        <w:pStyle w:val="TOC2"/>
        <w:tabs>
          <w:tab w:val="clear" w:pos="992"/>
        </w:tabs>
        <w:rPr>
          <w:rFonts w:asciiTheme="minorHAnsi" w:eastAsiaTheme="minorEastAsia" w:hAnsiTheme="minorHAnsi" w:cstheme="minorBidi"/>
          <w:noProof/>
          <w:kern w:val="2"/>
          <w:sz w:val="24"/>
          <w:szCs w:val="24"/>
          <w14:ligatures w14:val="standardContextual"/>
        </w:rPr>
      </w:pPr>
      <w:hyperlink w:anchor="_Toc193536184" w:history="1">
        <w:r w:rsidR="000E2FCE" w:rsidRPr="0009647D">
          <w:rPr>
            <w:rStyle w:val="Hyperlink"/>
            <w:noProof/>
          </w:rPr>
          <w:t>Fiscal Risks</w:t>
        </w:r>
        <w:r w:rsidR="000E2FCE">
          <w:rPr>
            <w:noProof/>
            <w:webHidden/>
          </w:rPr>
          <w:tab/>
        </w:r>
        <w:r w:rsidR="000E2FCE">
          <w:rPr>
            <w:noProof/>
            <w:webHidden/>
          </w:rPr>
          <w:fldChar w:fldCharType="begin"/>
        </w:r>
        <w:r w:rsidR="000E2FCE">
          <w:rPr>
            <w:noProof/>
            <w:webHidden/>
          </w:rPr>
          <w:instrText xml:space="preserve"> PAGEREF _Toc193536184 \h </w:instrText>
        </w:r>
        <w:r w:rsidR="000E2FCE">
          <w:rPr>
            <w:noProof/>
            <w:webHidden/>
          </w:rPr>
        </w:r>
        <w:r w:rsidR="000E2FCE">
          <w:rPr>
            <w:noProof/>
            <w:webHidden/>
          </w:rPr>
          <w:fldChar w:fldCharType="separate"/>
        </w:r>
        <w:r w:rsidR="0042292D">
          <w:rPr>
            <w:noProof/>
            <w:webHidden/>
          </w:rPr>
          <w:t>209</w:t>
        </w:r>
        <w:r w:rsidR="000E2FCE">
          <w:rPr>
            <w:noProof/>
            <w:webHidden/>
          </w:rPr>
          <w:fldChar w:fldCharType="end"/>
        </w:r>
      </w:hyperlink>
    </w:p>
    <w:p w14:paraId="31112FA7" w14:textId="18B2D8FD"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85" w:history="1">
        <w:r w:rsidR="000E2FCE" w:rsidRPr="0009647D">
          <w:rPr>
            <w:rStyle w:val="Hyperlink"/>
            <w:noProof/>
          </w:rPr>
          <w:t>Significant but remote contingencies</w:t>
        </w:r>
        <w:r w:rsidR="000E2FCE">
          <w:rPr>
            <w:noProof/>
            <w:webHidden/>
          </w:rPr>
          <w:tab/>
        </w:r>
        <w:r w:rsidR="000E2FCE">
          <w:rPr>
            <w:noProof/>
            <w:webHidden/>
          </w:rPr>
          <w:fldChar w:fldCharType="begin"/>
        </w:r>
        <w:r w:rsidR="000E2FCE">
          <w:rPr>
            <w:noProof/>
            <w:webHidden/>
          </w:rPr>
          <w:instrText xml:space="preserve"> PAGEREF _Toc193536185 \h </w:instrText>
        </w:r>
        <w:r w:rsidR="000E2FCE">
          <w:rPr>
            <w:noProof/>
            <w:webHidden/>
          </w:rPr>
        </w:r>
        <w:r w:rsidR="000E2FCE">
          <w:rPr>
            <w:noProof/>
            <w:webHidden/>
          </w:rPr>
          <w:fldChar w:fldCharType="separate"/>
        </w:r>
        <w:r w:rsidR="0042292D">
          <w:rPr>
            <w:noProof/>
            <w:webHidden/>
          </w:rPr>
          <w:t>209</w:t>
        </w:r>
        <w:r w:rsidR="000E2FCE">
          <w:rPr>
            <w:noProof/>
            <w:webHidden/>
          </w:rPr>
          <w:fldChar w:fldCharType="end"/>
        </w:r>
      </w:hyperlink>
    </w:p>
    <w:p w14:paraId="7B5DD994" w14:textId="1950BEDE"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86" w:history="1">
        <w:r w:rsidR="000E2FCE" w:rsidRPr="0009647D">
          <w:rPr>
            <w:rStyle w:val="Hyperlink"/>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_Toc193536186 \h </w:instrText>
        </w:r>
        <w:r w:rsidR="000E2FCE">
          <w:rPr>
            <w:noProof/>
            <w:webHidden/>
          </w:rPr>
        </w:r>
        <w:r w:rsidR="000E2FCE">
          <w:rPr>
            <w:noProof/>
            <w:webHidden/>
          </w:rPr>
          <w:fldChar w:fldCharType="separate"/>
        </w:r>
        <w:r w:rsidR="0042292D">
          <w:rPr>
            <w:noProof/>
            <w:webHidden/>
          </w:rPr>
          <w:t>210</w:t>
        </w:r>
        <w:r w:rsidR="000E2FCE">
          <w:rPr>
            <w:noProof/>
            <w:webHidden/>
          </w:rPr>
          <w:fldChar w:fldCharType="end"/>
        </w:r>
      </w:hyperlink>
    </w:p>
    <w:p w14:paraId="5A7100A5" w14:textId="0DEC3008"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87" w:history="1">
        <w:r w:rsidR="000E2FCE" w:rsidRPr="0009647D">
          <w:rPr>
            <w:rStyle w:val="Hyperlink"/>
            <w:bCs/>
            <w:noProof/>
            <w:lang w:val="en-US"/>
          </w:rPr>
          <w:t>Contingent liability – quantifiable</w:t>
        </w:r>
        <w:r w:rsidR="000E2FCE">
          <w:rPr>
            <w:noProof/>
            <w:webHidden/>
          </w:rPr>
          <w:tab/>
        </w:r>
        <w:r w:rsidR="000E2FCE">
          <w:rPr>
            <w:noProof/>
            <w:webHidden/>
          </w:rPr>
          <w:fldChar w:fldCharType="begin"/>
        </w:r>
        <w:r w:rsidR="000E2FCE">
          <w:rPr>
            <w:noProof/>
            <w:webHidden/>
          </w:rPr>
          <w:instrText xml:space="preserve"> PAGEREF _Toc193536187 \h </w:instrText>
        </w:r>
        <w:r w:rsidR="000E2FCE">
          <w:rPr>
            <w:noProof/>
            <w:webHidden/>
          </w:rPr>
        </w:r>
        <w:r w:rsidR="000E2FCE">
          <w:rPr>
            <w:noProof/>
            <w:webHidden/>
          </w:rPr>
          <w:fldChar w:fldCharType="separate"/>
        </w:r>
        <w:r w:rsidR="0042292D">
          <w:rPr>
            <w:noProof/>
            <w:webHidden/>
          </w:rPr>
          <w:t>210</w:t>
        </w:r>
        <w:r w:rsidR="000E2FCE">
          <w:rPr>
            <w:noProof/>
            <w:webHidden/>
          </w:rPr>
          <w:fldChar w:fldCharType="end"/>
        </w:r>
      </w:hyperlink>
    </w:p>
    <w:p w14:paraId="3C3299C6" w14:textId="1D13E071"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188" w:history="1">
        <w:r w:rsidR="000E2FCE" w:rsidRPr="0009647D">
          <w:rPr>
            <w:rStyle w:val="Hyperlink"/>
            <w:noProof/>
          </w:rPr>
          <w:t>Employment and Workplace Relations</w:t>
        </w:r>
        <w:r w:rsidR="000E2FCE">
          <w:rPr>
            <w:noProof/>
            <w:webHidden/>
          </w:rPr>
          <w:tab/>
        </w:r>
        <w:r w:rsidR="000E2FCE">
          <w:rPr>
            <w:noProof/>
            <w:webHidden/>
          </w:rPr>
          <w:fldChar w:fldCharType="begin"/>
        </w:r>
        <w:r w:rsidR="000E2FCE">
          <w:rPr>
            <w:noProof/>
            <w:webHidden/>
          </w:rPr>
          <w:instrText xml:space="preserve"> PAGEREF _Toc193536188 \h </w:instrText>
        </w:r>
        <w:r w:rsidR="000E2FCE">
          <w:rPr>
            <w:noProof/>
            <w:webHidden/>
          </w:rPr>
        </w:r>
        <w:r w:rsidR="000E2FCE">
          <w:rPr>
            <w:noProof/>
            <w:webHidden/>
          </w:rPr>
          <w:fldChar w:fldCharType="separate"/>
        </w:r>
        <w:r w:rsidR="0042292D">
          <w:rPr>
            <w:noProof/>
            <w:webHidden/>
          </w:rPr>
          <w:t>212</w:t>
        </w:r>
        <w:r w:rsidR="000E2FCE">
          <w:rPr>
            <w:noProof/>
            <w:webHidden/>
          </w:rPr>
          <w:fldChar w:fldCharType="end"/>
        </w:r>
      </w:hyperlink>
    </w:p>
    <w:p w14:paraId="7C4226FB" w14:textId="7BA9A9B0" w:rsidR="000E2FCE" w:rsidRDefault="00F113C9" w:rsidP="00A040E5">
      <w:pPr>
        <w:pStyle w:val="TOC2"/>
        <w:tabs>
          <w:tab w:val="clear" w:pos="992"/>
          <w:tab w:val="left" w:pos="851"/>
        </w:tabs>
        <w:rPr>
          <w:rFonts w:asciiTheme="minorHAnsi" w:eastAsiaTheme="minorEastAsia" w:hAnsiTheme="minorHAnsi" w:cstheme="minorBidi"/>
          <w:noProof/>
          <w:kern w:val="2"/>
          <w:sz w:val="24"/>
          <w:szCs w:val="24"/>
          <w14:ligatures w14:val="standardContextual"/>
        </w:rPr>
      </w:pPr>
      <w:hyperlink w:anchor="_Toc193536189" w:history="1">
        <w:r w:rsidR="000E2FCE" w:rsidRPr="0009647D">
          <w:rPr>
            <w:rStyle w:val="Hyperlink"/>
            <w:noProof/>
          </w:rPr>
          <w:t>Fiscal Risk</w:t>
        </w:r>
        <w:r w:rsidR="000E2FCE">
          <w:rPr>
            <w:noProof/>
            <w:webHidden/>
          </w:rPr>
          <w:tab/>
        </w:r>
        <w:r w:rsidR="000E2FCE">
          <w:rPr>
            <w:noProof/>
            <w:webHidden/>
          </w:rPr>
          <w:fldChar w:fldCharType="begin"/>
        </w:r>
        <w:r w:rsidR="000E2FCE">
          <w:rPr>
            <w:noProof/>
            <w:webHidden/>
          </w:rPr>
          <w:instrText xml:space="preserve"> PAGEREF _Toc193536189 \h </w:instrText>
        </w:r>
        <w:r w:rsidR="000E2FCE">
          <w:rPr>
            <w:noProof/>
            <w:webHidden/>
          </w:rPr>
        </w:r>
        <w:r w:rsidR="000E2FCE">
          <w:rPr>
            <w:noProof/>
            <w:webHidden/>
          </w:rPr>
          <w:fldChar w:fldCharType="separate"/>
        </w:r>
        <w:r w:rsidR="0042292D">
          <w:rPr>
            <w:noProof/>
            <w:webHidden/>
          </w:rPr>
          <w:t>212</w:t>
        </w:r>
        <w:r w:rsidR="000E2FCE">
          <w:rPr>
            <w:noProof/>
            <w:webHidden/>
          </w:rPr>
          <w:fldChar w:fldCharType="end"/>
        </w:r>
      </w:hyperlink>
    </w:p>
    <w:p w14:paraId="10DE5429" w14:textId="3E7E8BB9"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90" w:history="1">
        <w:r w:rsidR="000E2FCE" w:rsidRPr="0009647D">
          <w:rPr>
            <w:rStyle w:val="Hyperlink"/>
            <w:noProof/>
          </w:rPr>
          <w:t>Contingent liability – unquantifiable</w:t>
        </w:r>
        <w:r w:rsidR="000E2FCE">
          <w:rPr>
            <w:noProof/>
            <w:webHidden/>
          </w:rPr>
          <w:tab/>
        </w:r>
        <w:r w:rsidR="000E2FCE">
          <w:rPr>
            <w:noProof/>
            <w:webHidden/>
          </w:rPr>
          <w:fldChar w:fldCharType="begin"/>
        </w:r>
        <w:r w:rsidR="000E2FCE">
          <w:rPr>
            <w:noProof/>
            <w:webHidden/>
          </w:rPr>
          <w:instrText xml:space="preserve"> PAGEREF _Toc193536190 \h </w:instrText>
        </w:r>
        <w:r w:rsidR="000E2FCE">
          <w:rPr>
            <w:noProof/>
            <w:webHidden/>
          </w:rPr>
        </w:r>
        <w:r w:rsidR="000E2FCE">
          <w:rPr>
            <w:noProof/>
            <w:webHidden/>
          </w:rPr>
          <w:fldChar w:fldCharType="separate"/>
        </w:r>
        <w:r w:rsidR="0042292D">
          <w:rPr>
            <w:noProof/>
            <w:webHidden/>
          </w:rPr>
          <w:t>212</w:t>
        </w:r>
        <w:r w:rsidR="000E2FCE">
          <w:rPr>
            <w:noProof/>
            <w:webHidden/>
          </w:rPr>
          <w:fldChar w:fldCharType="end"/>
        </w:r>
      </w:hyperlink>
    </w:p>
    <w:p w14:paraId="3C4F6ECE" w14:textId="323640EB"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91" w:history="1">
        <w:r w:rsidR="000E2FCE" w:rsidRPr="0009647D">
          <w:rPr>
            <w:rStyle w:val="Hyperlink"/>
            <w:noProof/>
          </w:rPr>
          <w:t>Contingent liabilities – quantifiable</w:t>
        </w:r>
        <w:r w:rsidR="000E2FCE">
          <w:rPr>
            <w:noProof/>
            <w:webHidden/>
          </w:rPr>
          <w:tab/>
        </w:r>
        <w:r w:rsidR="000E2FCE">
          <w:rPr>
            <w:noProof/>
            <w:webHidden/>
          </w:rPr>
          <w:fldChar w:fldCharType="begin"/>
        </w:r>
        <w:r w:rsidR="000E2FCE">
          <w:rPr>
            <w:noProof/>
            <w:webHidden/>
          </w:rPr>
          <w:instrText xml:space="preserve"> PAGEREF _Toc193536191 \h </w:instrText>
        </w:r>
        <w:r w:rsidR="000E2FCE">
          <w:rPr>
            <w:noProof/>
            <w:webHidden/>
          </w:rPr>
        </w:r>
        <w:r w:rsidR="000E2FCE">
          <w:rPr>
            <w:noProof/>
            <w:webHidden/>
          </w:rPr>
          <w:fldChar w:fldCharType="separate"/>
        </w:r>
        <w:r w:rsidR="0042292D">
          <w:rPr>
            <w:noProof/>
            <w:webHidden/>
          </w:rPr>
          <w:t>212</w:t>
        </w:r>
        <w:r w:rsidR="000E2FCE">
          <w:rPr>
            <w:noProof/>
            <w:webHidden/>
          </w:rPr>
          <w:fldChar w:fldCharType="end"/>
        </w:r>
      </w:hyperlink>
    </w:p>
    <w:p w14:paraId="4E5A9A5E" w14:textId="585F30FC"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192" w:history="1">
        <w:r w:rsidR="000E2FCE" w:rsidRPr="0009647D">
          <w:rPr>
            <w:rStyle w:val="Hyperlink"/>
            <w:noProof/>
          </w:rPr>
          <w:t>Finance</w:t>
        </w:r>
        <w:r w:rsidR="000E2FCE">
          <w:rPr>
            <w:noProof/>
            <w:webHidden/>
          </w:rPr>
          <w:tab/>
        </w:r>
        <w:r w:rsidR="000E2FCE">
          <w:rPr>
            <w:noProof/>
            <w:webHidden/>
          </w:rPr>
          <w:fldChar w:fldCharType="begin"/>
        </w:r>
        <w:r w:rsidR="000E2FCE">
          <w:rPr>
            <w:noProof/>
            <w:webHidden/>
          </w:rPr>
          <w:instrText xml:space="preserve"> PAGEREF _Toc193536192 \h </w:instrText>
        </w:r>
        <w:r w:rsidR="000E2FCE">
          <w:rPr>
            <w:noProof/>
            <w:webHidden/>
          </w:rPr>
        </w:r>
        <w:r w:rsidR="000E2FCE">
          <w:rPr>
            <w:noProof/>
            <w:webHidden/>
          </w:rPr>
          <w:fldChar w:fldCharType="separate"/>
        </w:r>
        <w:r w:rsidR="0042292D">
          <w:rPr>
            <w:noProof/>
            <w:webHidden/>
          </w:rPr>
          <w:t>215</w:t>
        </w:r>
        <w:r w:rsidR="000E2FCE">
          <w:rPr>
            <w:noProof/>
            <w:webHidden/>
          </w:rPr>
          <w:fldChar w:fldCharType="end"/>
        </w:r>
      </w:hyperlink>
    </w:p>
    <w:p w14:paraId="04E0F792" w14:textId="7C54D9F7"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93" w:history="1">
        <w:r w:rsidR="000E2FCE" w:rsidRPr="0009647D">
          <w:rPr>
            <w:rStyle w:val="Hyperlink"/>
            <w:noProof/>
          </w:rPr>
          <w:t>Significant but remote contingency</w:t>
        </w:r>
        <w:r w:rsidR="000E2FCE">
          <w:rPr>
            <w:noProof/>
            <w:webHidden/>
          </w:rPr>
          <w:tab/>
        </w:r>
        <w:r w:rsidR="000E2FCE">
          <w:rPr>
            <w:noProof/>
            <w:webHidden/>
          </w:rPr>
          <w:fldChar w:fldCharType="begin"/>
        </w:r>
        <w:r w:rsidR="000E2FCE">
          <w:rPr>
            <w:noProof/>
            <w:webHidden/>
          </w:rPr>
          <w:instrText xml:space="preserve"> PAGEREF _Toc193536193 \h </w:instrText>
        </w:r>
        <w:r w:rsidR="000E2FCE">
          <w:rPr>
            <w:noProof/>
            <w:webHidden/>
          </w:rPr>
        </w:r>
        <w:r w:rsidR="000E2FCE">
          <w:rPr>
            <w:noProof/>
            <w:webHidden/>
          </w:rPr>
          <w:fldChar w:fldCharType="separate"/>
        </w:r>
        <w:r w:rsidR="0042292D">
          <w:rPr>
            <w:noProof/>
            <w:webHidden/>
          </w:rPr>
          <w:t>215</w:t>
        </w:r>
        <w:r w:rsidR="000E2FCE">
          <w:rPr>
            <w:noProof/>
            <w:webHidden/>
          </w:rPr>
          <w:fldChar w:fldCharType="end"/>
        </w:r>
      </w:hyperlink>
    </w:p>
    <w:p w14:paraId="45865356" w14:textId="11E0832A"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94" w:history="1">
        <w:r w:rsidR="000E2FCE" w:rsidRPr="0009647D">
          <w:rPr>
            <w:rStyle w:val="Hyperlink"/>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_Toc193536194 \h </w:instrText>
        </w:r>
        <w:r w:rsidR="000E2FCE">
          <w:rPr>
            <w:noProof/>
            <w:webHidden/>
          </w:rPr>
        </w:r>
        <w:r w:rsidR="000E2FCE">
          <w:rPr>
            <w:noProof/>
            <w:webHidden/>
          </w:rPr>
          <w:fldChar w:fldCharType="separate"/>
        </w:r>
        <w:r w:rsidR="0042292D">
          <w:rPr>
            <w:noProof/>
            <w:webHidden/>
          </w:rPr>
          <w:t>215</w:t>
        </w:r>
        <w:r w:rsidR="000E2FCE">
          <w:rPr>
            <w:noProof/>
            <w:webHidden/>
          </w:rPr>
          <w:fldChar w:fldCharType="end"/>
        </w:r>
      </w:hyperlink>
    </w:p>
    <w:p w14:paraId="4D37E607" w14:textId="4AD232AF"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195" w:history="1">
        <w:r w:rsidR="000E2FCE" w:rsidRPr="0009647D">
          <w:rPr>
            <w:rStyle w:val="Hyperlink"/>
            <w:noProof/>
          </w:rPr>
          <w:t>Foreign Affairs and Trade</w:t>
        </w:r>
        <w:r w:rsidR="000E2FCE">
          <w:rPr>
            <w:noProof/>
            <w:webHidden/>
          </w:rPr>
          <w:tab/>
        </w:r>
        <w:r w:rsidR="000E2FCE">
          <w:rPr>
            <w:noProof/>
            <w:webHidden/>
          </w:rPr>
          <w:fldChar w:fldCharType="begin"/>
        </w:r>
        <w:r w:rsidR="000E2FCE">
          <w:rPr>
            <w:noProof/>
            <w:webHidden/>
          </w:rPr>
          <w:instrText xml:space="preserve"> PAGEREF _Toc193536195 \h </w:instrText>
        </w:r>
        <w:r w:rsidR="000E2FCE">
          <w:rPr>
            <w:noProof/>
            <w:webHidden/>
          </w:rPr>
        </w:r>
        <w:r w:rsidR="000E2FCE">
          <w:rPr>
            <w:noProof/>
            <w:webHidden/>
          </w:rPr>
          <w:fldChar w:fldCharType="separate"/>
        </w:r>
        <w:r w:rsidR="0042292D">
          <w:rPr>
            <w:noProof/>
            <w:webHidden/>
          </w:rPr>
          <w:t>220</w:t>
        </w:r>
        <w:r w:rsidR="000E2FCE">
          <w:rPr>
            <w:noProof/>
            <w:webHidden/>
          </w:rPr>
          <w:fldChar w:fldCharType="end"/>
        </w:r>
      </w:hyperlink>
    </w:p>
    <w:p w14:paraId="748087EF" w14:textId="7FD7AB67" w:rsidR="000E2FCE" w:rsidRDefault="00F113C9" w:rsidP="00A040E5">
      <w:pPr>
        <w:pStyle w:val="TOC2"/>
        <w:tabs>
          <w:tab w:val="clear" w:pos="992"/>
          <w:tab w:val="left" w:pos="851"/>
        </w:tabs>
        <w:rPr>
          <w:rFonts w:asciiTheme="minorHAnsi" w:eastAsiaTheme="minorEastAsia" w:hAnsiTheme="minorHAnsi" w:cstheme="minorBidi"/>
          <w:noProof/>
          <w:kern w:val="2"/>
          <w:sz w:val="24"/>
          <w:szCs w:val="24"/>
          <w14:ligatures w14:val="standardContextual"/>
        </w:rPr>
      </w:pPr>
      <w:hyperlink w:anchor="_Toc193536196" w:history="1">
        <w:r w:rsidR="000E2FCE" w:rsidRPr="0009647D">
          <w:rPr>
            <w:rStyle w:val="Hyperlink"/>
            <w:noProof/>
          </w:rPr>
          <w:t>Fiscal Risk</w:t>
        </w:r>
        <w:r w:rsidR="000E2FCE">
          <w:rPr>
            <w:noProof/>
            <w:webHidden/>
          </w:rPr>
          <w:tab/>
        </w:r>
        <w:r w:rsidR="000E2FCE">
          <w:rPr>
            <w:noProof/>
            <w:webHidden/>
          </w:rPr>
          <w:fldChar w:fldCharType="begin"/>
        </w:r>
        <w:r w:rsidR="000E2FCE">
          <w:rPr>
            <w:noProof/>
            <w:webHidden/>
          </w:rPr>
          <w:instrText xml:space="preserve"> PAGEREF _Toc193536196 \h </w:instrText>
        </w:r>
        <w:r w:rsidR="000E2FCE">
          <w:rPr>
            <w:noProof/>
            <w:webHidden/>
          </w:rPr>
        </w:r>
        <w:r w:rsidR="000E2FCE">
          <w:rPr>
            <w:noProof/>
            <w:webHidden/>
          </w:rPr>
          <w:fldChar w:fldCharType="separate"/>
        </w:r>
        <w:r w:rsidR="0042292D">
          <w:rPr>
            <w:noProof/>
            <w:webHidden/>
          </w:rPr>
          <w:t>220</w:t>
        </w:r>
        <w:r w:rsidR="000E2FCE">
          <w:rPr>
            <w:noProof/>
            <w:webHidden/>
          </w:rPr>
          <w:fldChar w:fldCharType="end"/>
        </w:r>
      </w:hyperlink>
    </w:p>
    <w:p w14:paraId="01EBE386" w14:textId="5A67C871"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197" w:history="1">
        <w:r w:rsidR="000E2FCE" w:rsidRPr="0009647D">
          <w:rPr>
            <w:rStyle w:val="Hyperlink"/>
            <w:noProof/>
          </w:rPr>
          <w:t>Contingent liabilities – quantifiable</w:t>
        </w:r>
        <w:r w:rsidR="000E2FCE">
          <w:rPr>
            <w:noProof/>
            <w:webHidden/>
          </w:rPr>
          <w:tab/>
        </w:r>
        <w:r w:rsidR="000E2FCE">
          <w:rPr>
            <w:noProof/>
            <w:webHidden/>
          </w:rPr>
          <w:fldChar w:fldCharType="begin"/>
        </w:r>
        <w:r w:rsidR="000E2FCE">
          <w:rPr>
            <w:noProof/>
            <w:webHidden/>
          </w:rPr>
          <w:instrText xml:space="preserve"> PAGEREF _Toc193536197 \h </w:instrText>
        </w:r>
        <w:r w:rsidR="000E2FCE">
          <w:rPr>
            <w:noProof/>
            <w:webHidden/>
          </w:rPr>
        </w:r>
        <w:r w:rsidR="000E2FCE">
          <w:rPr>
            <w:noProof/>
            <w:webHidden/>
          </w:rPr>
          <w:fldChar w:fldCharType="separate"/>
        </w:r>
        <w:r w:rsidR="0042292D">
          <w:rPr>
            <w:noProof/>
            <w:webHidden/>
          </w:rPr>
          <w:t>221</w:t>
        </w:r>
        <w:r w:rsidR="000E2FCE">
          <w:rPr>
            <w:noProof/>
            <w:webHidden/>
          </w:rPr>
          <w:fldChar w:fldCharType="end"/>
        </w:r>
      </w:hyperlink>
    </w:p>
    <w:p w14:paraId="51843D5B" w14:textId="32535252"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198" w:history="1">
        <w:r w:rsidR="000E2FCE" w:rsidRPr="0009647D">
          <w:rPr>
            <w:rStyle w:val="Hyperlink"/>
            <w:noProof/>
          </w:rPr>
          <w:t>Health and Aged Care</w:t>
        </w:r>
        <w:r w:rsidR="000E2FCE">
          <w:rPr>
            <w:noProof/>
            <w:webHidden/>
          </w:rPr>
          <w:tab/>
        </w:r>
        <w:r w:rsidR="000E2FCE">
          <w:rPr>
            <w:noProof/>
            <w:webHidden/>
          </w:rPr>
          <w:fldChar w:fldCharType="begin"/>
        </w:r>
        <w:r w:rsidR="000E2FCE">
          <w:rPr>
            <w:noProof/>
            <w:webHidden/>
          </w:rPr>
          <w:instrText xml:space="preserve"> PAGEREF _Toc193536198 \h </w:instrText>
        </w:r>
        <w:r w:rsidR="000E2FCE">
          <w:rPr>
            <w:noProof/>
            <w:webHidden/>
          </w:rPr>
        </w:r>
        <w:r w:rsidR="000E2FCE">
          <w:rPr>
            <w:noProof/>
            <w:webHidden/>
          </w:rPr>
          <w:fldChar w:fldCharType="separate"/>
        </w:r>
        <w:r w:rsidR="0042292D">
          <w:rPr>
            <w:noProof/>
            <w:webHidden/>
          </w:rPr>
          <w:t>222</w:t>
        </w:r>
        <w:r w:rsidR="000E2FCE">
          <w:rPr>
            <w:noProof/>
            <w:webHidden/>
          </w:rPr>
          <w:fldChar w:fldCharType="end"/>
        </w:r>
      </w:hyperlink>
    </w:p>
    <w:p w14:paraId="5932B64F" w14:textId="626876ED" w:rsidR="000E2FCE" w:rsidRDefault="00F113C9" w:rsidP="00A040E5">
      <w:pPr>
        <w:pStyle w:val="TOC2"/>
        <w:tabs>
          <w:tab w:val="clear" w:pos="992"/>
          <w:tab w:val="left" w:pos="709"/>
        </w:tabs>
        <w:rPr>
          <w:rFonts w:asciiTheme="minorHAnsi" w:eastAsiaTheme="minorEastAsia" w:hAnsiTheme="minorHAnsi" w:cstheme="minorBidi"/>
          <w:noProof/>
          <w:kern w:val="2"/>
          <w:sz w:val="24"/>
          <w:szCs w:val="24"/>
          <w14:ligatures w14:val="standardContextual"/>
        </w:rPr>
      </w:pPr>
      <w:hyperlink w:anchor="_Toc193536199" w:history="1">
        <w:r w:rsidR="000E2FCE" w:rsidRPr="0009647D">
          <w:rPr>
            <w:rStyle w:val="Hyperlink"/>
            <w:noProof/>
          </w:rPr>
          <w:t>Fiscal Risk</w:t>
        </w:r>
        <w:r w:rsidR="000E2FCE">
          <w:rPr>
            <w:noProof/>
            <w:webHidden/>
          </w:rPr>
          <w:tab/>
        </w:r>
        <w:r w:rsidR="000E2FCE">
          <w:rPr>
            <w:noProof/>
            <w:webHidden/>
          </w:rPr>
          <w:fldChar w:fldCharType="begin"/>
        </w:r>
        <w:r w:rsidR="000E2FCE">
          <w:rPr>
            <w:noProof/>
            <w:webHidden/>
          </w:rPr>
          <w:instrText xml:space="preserve"> PAGEREF _Toc193536199 \h </w:instrText>
        </w:r>
        <w:r w:rsidR="000E2FCE">
          <w:rPr>
            <w:noProof/>
            <w:webHidden/>
          </w:rPr>
        </w:r>
        <w:r w:rsidR="000E2FCE">
          <w:rPr>
            <w:noProof/>
            <w:webHidden/>
          </w:rPr>
          <w:fldChar w:fldCharType="separate"/>
        </w:r>
        <w:r w:rsidR="0042292D">
          <w:rPr>
            <w:noProof/>
            <w:webHidden/>
          </w:rPr>
          <w:t>222</w:t>
        </w:r>
        <w:r w:rsidR="000E2FCE">
          <w:rPr>
            <w:noProof/>
            <w:webHidden/>
          </w:rPr>
          <w:fldChar w:fldCharType="end"/>
        </w:r>
      </w:hyperlink>
    </w:p>
    <w:p w14:paraId="0988D4E9" w14:textId="1B17254C"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00" w:history="1">
        <w:r w:rsidR="000E2FCE" w:rsidRPr="0009647D">
          <w:rPr>
            <w:rStyle w:val="Hyperlink"/>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_Toc193536200 \h </w:instrText>
        </w:r>
        <w:r w:rsidR="000E2FCE">
          <w:rPr>
            <w:noProof/>
            <w:webHidden/>
          </w:rPr>
        </w:r>
        <w:r w:rsidR="000E2FCE">
          <w:rPr>
            <w:noProof/>
            <w:webHidden/>
          </w:rPr>
          <w:fldChar w:fldCharType="separate"/>
        </w:r>
        <w:r w:rsidR="0042292D">
          <w:rPr>
            <w:noProof/>
            <w:webHidden/>
          </w:rPr>
          <w:t>222</w:t>
        </w:r>
        <w:r w:rsidR="000E2FCE">
          <w:rPr>
            <w:noProof/>
            <w:webHidden/>
          </w:rPr>
          <w:fldChar w:fldCharType="end"/>
        </w:r>
      </w:hyperlink>
    </w:p>
    <w:p w14:paraId="615CAACF" w14:textId="7CA36691"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01" w:history="1">
        <w:r w:rsidR="000E2FCE" w:rsidRPr="0009647D">
          <w:rPr>
            <w:rStyle w:val="Hyperlink"/>
            <w:rFonts w:eastAsia="Arial"/>
            <w:noProof/>
          </w:rPr>
          <w:t>Contingent asset – unquantifiable</w:t>
        </w:r>
        <w:r w:rsidR="000E2FCE">
          <w:rPr>
            <w:noProof/>
            <w:webHidden/>
          </w:rPr>
          <w:tab/>
        </w:r>
        <w:r w:rsidR="000E2FCE">
          <w:rPr>
            <w:noProof/>
            <w:webHidden/>
          </w:rPr>
          <w:fldChar w:fldCharType="begin"/>
        </w:r>
        <w:r w:rsidR="000E2FCE">
          <w:rPr>
            <w:noProof/>
            <w:webHidden/>
          </w:rPr>
          <w:instrText xml:space="preserve"> PAGEREF _Toc193536201 \h </w:instrText>
        </w:r>
        <w:r w:rsidR="000E2FCE">
          <w:rPr>
            <w:noProof/>
            <w:webHidden/>
          </w:rPr>
        </w:r>
        <w:r w:rsidR="000E2FCE">
          <w:rPr>
            <w:noProof/>
            <w:webHidden/>
          </w:rPr>
          <w:fldChar w:fldCharType="separate"/>
        </w:r>
        <w:r w:rsidR="0042292D">
          <w:rPr>
            <w:noProof/>
            <w:webHidden/>
          </w:rPr>
          <w:t>225</w:t>
        </w:r>
        <w:r w:rsidR="000E2FCE">
          <w:rPr>
            <w:noProof/>
            <w:webHidden/>
          </w:rPr>
          <w:fldChar w:fldCharType="end"/>
        </w:r>
      </w:hyperlink>
    </w:p>
    <w:p w14:paraId="3B11C1EF" w14:textId="3582E2C3" w:rsidR="000E2FCE" w:rsidRDefault="00F113C9" w:rsidP="00A040E5">
      <w:pPr>
        <w:pStyle w:val="TOC1"/>
        <w:rPr>
          <w:rFonts w:asciiTheme="minorHAnsi" w:eastAsiaTheme="minorEastAsia" w:hAnsiTheme="minorHAnsi" w:cstheme="minorBidi"/>
          <w:b w:val="0"/>
          <w:noProof/>
          <w:kern w:val="2"/>
          <w:sz w:val="24"/>
          <w:szCs w:val="24"/>
          <w14:ligatures w14:val="standardContextual"/>
        </w:rPr>
      </w:pPr>
      <w:hyperlink w:anchor="_Toc193536202" w:history="1">
        <w:r w:rsidR="000E2FCE" w:rsidRPr="0009647D">
          <w:rPr>
            <w:rStyle w:val="Hyperlink"/>
            <w:noProof/>
          </w:rPr>
          <w:t xml:space="preserve">Home </w:t>
        </w:r>
        <w:r w:rsidR="000E2FCE" w:rsidRPr="00A040E5">
          <w:rPr>
            <w:rStyle w:val="Hyperlink"/>
            <w:u w:val="none"/>
          </w:rPr>
          <w:t>Affairs</w:t>
        </w:r>
        <w:r w:rsidR="000E2FCE">
          <w:rPr>
            <w:noProof/>
            <w:webHidden/>
          </w:rPr>
          <w:tab/>
        </w:r>
        <w:r w:rsidR="000E2FCE">
          <w:rPr>
            <w:noProof/>
            <w:webHidden/>
          </w:rPr>
          <w:fldChar w:fldCharType="begin"/>
        </w:r>
        <w:r w:rsidR="000E2FCE">
          <w:rPr>
            <w:noProof/>
            <w:webHidden/>
          </w:rPr>
          <w:instrText xml:space="preserve"> PAGEREF _Toc193536202 \h </w:instrText>
        </w:r>
        <w:r w:rsidR="000E2FCE">
          <w:rPr>
            <w:noProof/>
            <w:webHidden/>
          </w:rPr>
        </w:r>
        <w:r w:rsidR="000E2FCE">
          <w:rPr>
            <w:noProof/>
            <w:webHidden/>
          </w:rPr>
          <w:fldChar w:fldCharType="separate"/>
        </w:r>
        <w:r w:rsidR="0042292D">
          <w:rPr>
            <w:noProof/>
            <w:webHidden/>
          </w:rPr>
          <w:t>226</w:t>
        </w:r>
        <w:r w:rsidR="000E2FCE">
          <w:rPr>
            <w:noProof/>
            <w:webHidden/>
          </w:rPr>
          <w:fldChar w:fldCharType="end"/>
        </w:r>
      </w:hyperlink>
    </w:p>
    <w:p w14:paraId="3349B588" w14:textId="78A518CE" w:rsidR="000E2FCE" w:rsidRDefault="00F113C9" w:rsidP="00A040E5">
      <w:pPr>
        <w:pStyle w:val="TOC2"/>
        <w:tabs>
          <w:tab w:val="clear" w:pos="992"/>
          <w:tab w:val="left" w:pos="709"/>
        </w:tabs>
        <w:rPr>
          <w:rFonts w:asciiTheme="minorHAnsi" w:eastAsiaTheme="minorEastAsia" w:hAnsiTheme="minorHAnsi" w:cstheme="minorBidi"/>
          <w:noProof/>
          <w:kern w:val="2"/>
          <w:sz w:val="24"/>
          <w:szCs w:val="24"/>
          <w14:ligatures w14:val="standardContextual"/>
        </w:rPr>
      </w:pPr>
      <w:hyperlink w:anchor="_Toc193536203" w:history="1">
        <w:r w:rsidR="000E2FCE" w:rsidRPr="0009647D">
          <w:rPr>
            <w:rStyle w:val="Hyperlink"/>
            <w:noProof/>
          </w:rPr>
          <w:t>Fiscal Risk</w:t>
        </w:r>
        <w:r w:rsidR="000E2FCE">
          <w:rPr>
            <w:noProof/>
            <w:webHidden/>
          </w:rPr>
          <w:tab/>
        </w:r>
        <w:r w:rsidR="000E2FCE">
          <w:rPr>
            <w:noProof/>
            <w:webHidden/>
          </w:rPr>
          <w:fldChar w:fldCharType="begin"/>
        </w:r>
        <w:r w:rsidR="000E2FCE">
          <w:rPr>
            <w:noProof/>
            <w:webHidden/>
          </w:rPr>
          <w:instrText xml:space="preserve"> PAGEREF _Toc193536203 \h </w:instrText>
        </w:r>
        <w:r w:rsidR="000E2FCE">
          <w:rPr>
            <w:noProof/>
            <w:webHidden/>
          </w:rPr>
        </w:r>
        <w:r w:rsidR="000E2FCE">
          <w:rPr>
            <w:noProof/>
            <w:webHidden/>
          </w:rPr>
          <w:fldChar w:fldCharType="separate"/>
        </w:r>
        <w:r w:rsidR="0042292D">
          <w:rPr>
            <w:noProof/>
            <w:webHidden/>
          </w:rPr>
          <w:t>226</w:t>
        </w:r>
        <w:r w:rsidR="000E2FCE">
          <w:rPr>
            <w:noProof/>
            <w:webHidden/>
          </w:rPr>
          <w:fldChar w:fldCharType="end"/>
        </w:r>
      </w:hyperlink>
    </w:p>
    <w:p w14:paraId="2DC5F5BA" w14:textId="00A6F570"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04" w:history="1">
        <w:r w:rsidR="000E2FCE" w:rsidRPr="0009647D">
          <w:rPr>
            <w:rStyle w:val="Hyperlink"/>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_Toc193536204 \h </w:instrText>
        </w:r>
        <w:r w:rsidR="000E2FCE">
          <w:rPr>
            <w:noProof/>
            <w:webHidden/>
          </w:rPr>
        </w:r>
        <w:r w:rsidR="000E2FCE">
          <w:rPr>
            <w:noProof/>
            <w:webHidden/>
          </w:rPr>
          <w:fldChar w:fldCharType="separate"/>
        </w:r>
        <w:r w:rsidR="0042292D">
          <w:rPr>
            <w:noProof/>
            <w:webHidden/>
          </w:rPr>
          <w:t>226</w:t>
        </w:r>
        <w:r w:rsidR="000E2FCE">
          <w:rPr>
            <w:noProof/>
            <w:webHidden/>
          </w:rPr>
          <w:fldChar w:fldCharType="end"/>
        </w:r>
      </w:hyperlink>
    </w:p>
    <w:p w14:paraId="1E70B9D0" w14:textId="64625A5D"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205" w:history="1">
        <w:r w:rsidR="000E2FCE" w:rsidRPr="0009647D">
          <w:rPr>
            <w:rStyle w:val="Hyperlink"/>
            <w:noProof/>
          </w:rPr>
          <w:t>Industry, Science and Resources</w:t>
        </w:r>
        <w:r w:rsidR="000E2FCE">
          <w:rPr>
            <w:noProof/>
            <w:webHidden/>
          </w:rPr>
          <w:tab/>
        </w:r>
        <w:r w:rsidR="000E2FCE">
          <w:rPr>
            <w:noProof/>
            <w:webHidden/>
          </w:rPr>
          <w:fldChar w:fldCharType="begin"/>
        </w:r>
        <w:r w:rsidR="000E2FCE">
          <w:rPr>
            <w:noProof/>
            <w:webHidden/>
          </w:rPr>
          <w:instrText xml:space="preserve"> PAGEREF _Toc193536205 \h </w:instrText>
        </w:r>
        <w:r w:rsidR="000E2FCE">
          <w:rPr>
            <w:noProof/>
            <w:webHidden/>
          </w:rPr>
        </w:r>
        <w:r w:rsidR="000E2FCE">
          <w:rPr>
            <w:noProof/>
            <w:webHidden/>
          </w:rPr>
          <w:fldChar w:fldCharType="separate"/>
        </w:r>
        <w:r w:rsidR="0042292D">
          <w:rPr>
            <w:noProof/>
            <w:webHidden/>
          </w:rPr>
          <w:t>230</w:t>
        </w:r>
        <w:r w:rsidR="000E2FCE">
          <w:rPr>
            <w:noProof/>
            <w:webHidden/>
          </w:rPr>
          <w:fldChar w:fldCharType="end"/>
        </w:r>
      </w:hyperlink>
    </w:p>
    <w:p w14:paraId="659520D9" w14:textId="02E03993" w:rsidR="000E2FCE" w:rsidRDefault="00F113C9" w:rsidP="00A040E5">
      <w:pPr>
        <w:pStyle w:val="TOC2"/>
        <w:tabs>
          <w:tab w:val="clear" w:pos="992"/>
        </w:tabs>
        <w:rPr>
          <w:rFonts w:asciiTheme="minorHAnsi" w:eastAsiaTheme="minorEastAsia" w:hAnsiTheme="minorHAnsi" w:cstheme="minorBidi"/>
          <w:noProof/>
          <w:kern w:val="2"/>
          <w:sz w:val="24"/>
          <w:szCs w:val="24"/>
          <w14:ligatures w14:val="standardContextual"/>
        </w:rPr>
      </w:pPr>
      <w:hyperlink w:anchor="_Toc193536206" w:history="1">
        <w:r w:rsidR="000E2FCE" w:rsidRPr="0009647D">
          <w:rPr>
            <w:rStyle w:val="Hyperlink"/>
            <w:noProof/>
          </w:rPr>
          <w:t>Fiscal Risks</w:t>
        </w:r>
        <w:r w:rsidR="000E2FCE">
          <w:rPr>
            <w:noProof/>
            <w:webHidden/>
          </w:rPr>
          <w:tab/>
        </w:r>
        <w:r w:rsidR="000E2FCE">
          <w:rPr>
            <w:noProof/>
            <w:webHidden/>
          </w:rPr>
          <w:fldChar w:fldCharType="begin"/>
        </w:r>
        <w:r w:rsidR="000E2FCE">
          <w:rPr>
            <w:noProof/>
            <w:webHidden/>
          </w:rPr>
          <w:instrText xml:space="preserve"> PAGEREF _Toc193536206 \h </w:instrText>
        </w:r>
        <w:r w:rsidR="000E2FCE">
          <w:rPr>
            <w:noProof/>
            <w:webHidden/>
          </w:rPr>
        </w:r>
        <w:r w:rsidR="000E2FCE">
          <w:rPr>
            <w:noProof/>
            <w:webHidden/>
          </w:rPr>
          <w:fldChar w:fldCharType="separate"/>
        </w:r>
        <w:r w:rsidR="0042292D">
          <w:rPr>
            <w:noProof/>
            <w:webHidden/>
          </w:rPr>
          <w:t>230</w:t>
        </w:r>
        <w:r w:rsidR="000E2FCE">
          <w:rPr>
            <w:noProof/>
            <w:webHidden/>
          </w:rPr>
          <w:fldChar w:fldCharType="end"/>
        </w:r>
      </w:hyperlink>
    </w:p>
    <w:p w14:paraId="251A1F31" w14:textId="7008ADBD"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07" w:history="1">
        <w:r w:rsidR="000E2FCE" w:rsidRPr="0009647D">
          <w:rPr>
            <w:rStyle w:val="Hyperlink"/>
            <w:noProof/>
          </w:rPr>
          <w:t>Significant but remote contingencies</w:t>
        </w:r>
        <w:r w:rsidR="000E2FCE">
          <w:rPr>
            <w:noProof/>
            <w:webHidden/>
          </w:rPr>
          <w:tab/>
        </w:r>
        <w:r w:rsidR="000E2FCE">
          <w:rPr>
            <w:noProof/>
            <w:webHidden/>
          </w:rPr>
          <w:fldChar w:fldCharType="begin"/>
        </w:r>
        <w:r w:rsidR="000E2FCE">
          <w:rPr>
            <w:noProof/>
            <w:webHidden/>
          </w:rPr>
          <w:instrText xml:space="preserve"> PAGEREF _Toc193536207 \h </w:instrText>
        </w:r>
        <w:r w:rsidR="000E2FCE">
          <w:rPr>
            <w:noProof/>
            <w:webHidden/>
          </w:rPr>
        </w:r>
        <w:r w:rsidR="000E2FCE">
          <w:rPr>
            <w:noProof/>
            <w:webHidden/>
          </w:rPr>
          <w:fldChar w:fldCharType="separate"/>
        </w:r>
        <w:r w:rsidR="0042292D">
          <w:rPr>
            <w:noProof/>
            <w:webHidden/>
          </w:rPr>
          <w:t>231</w:t>
        </w:r>
        <w:r w:rsidR="000E2FCE">
          <w:rPr>
            <w:noProof/>
            <w:webHidden/>
          </w:rPr>
          <w:fldChar w:fldCharType="end"/>
        </w:r>
      </w:hyperlink>
    </w:p>
    <w:p w14:paraId="762B6607" w14:textId="0CCE9012"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08" w:history="1">
        <w:r w:rsidR="000E2FCE" w:rsidRPr="0009647D">
          <w:rPr>
            <w:rStyle w:val="Hyperlink"/>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_Toc193536208 \h </w:instrText>
        </w:r>
        <w:r w:rsidR="000E2FCE">
          <w:rPr>
            <w:noProof/>
            <w:webHidden/>
          </w:rPr>
        </w:r>
        <w:r w:rsidR="000E2FCE">
          <w:rPr>
            <w:noProof/>
            <w:webHidden/>
          </w:rPr>
          <w:fldChar w:fldCharType="separate"/>
        </w:r>
        <w:r w:rsidR="0042292D">
          <w:rPr>
            <w:noProof/>
            <w:webHidden/>
          </w:rPr>
          <w:t>232</w:t>
        </w:r>
        <w:r w:rsidR="000E2FCE">
          <w:rPr>
            <w:noProof/>
            <w:webHidden/>
          </w:rPr>
          <w:fldChar w:fldCharType="end"/>
        </w:r>
      </w:hyperlink>
    </w:p>
    <w:p w14:paraId="79F60277" w14:textId="3773A730"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209" w:history="1">
        <w:r w:rsidR="000E2FCE" w:rsidRPr="0009647D">
          <w:rPr>
            <w:rStyle w:val="Hyperlink"/>
            <w:noProof/>
          </w:rPr>
          <w:t xml:space="preserve">Infrastructure, Transport, Regional Development, </w:t>
        </w:r>
        <w:r w:rsidR="00A040E5">
          <w:rPr>
            <w:rStyle w:val="Hyperlink"/>
            <w:noProof/>
          </w:rPr>
          <w:br/>
        </w:r>
        <w:r w:rsidR="000E2FCE" w:rsidRPr="0009647D">
          <w:rPr>
            <w:rStyle w:val="Hyperlink"/>
            <w:noProof/>
          </w:rPr>
          <w:t>Communications and the Arts</w:t>
        </w:r>
        <w:r w:rsidR="000E2FCE">
          <w:rPr>
            <w:noProof/>
            <w:webHidden/>
          </w:rPr>
          <w:tab/>
        </w:r>
        <w:r w:rsidR="000E2FCE">
          <w:rPr>
            <w:noProof/>
            <w:webHidden/>
          </w:rPr>
          <w:fldChar w:fldCharType="begin"/>
        </w:r>
        <w:r w:rsidR="000E2FCE">
          <w:rPr>
            <w:noProof/>
            <w:webHidden/>
          </w:rPr>
          <w:instrText xml:space="preserve"> PAGEREF _Toc193536209 \h </w:instrText>
        </w:r>
        <w:r w:rsidR="000E2FCE">
          <w:rPr>
            <w:noProof/>
            <w:webHidden/>
          </w:rPr>
        </w:r>
        <w:r w:rsidR="000E2FCE">
          <w:rPr>
            <w:noProof/>
            <w:webHidden/>
          </w:rPr>
          <w:fldChar w:fldCharType="separate"/>
        </w:r>
        <w:r w:rsidR="0042292D">
          <w:rPr>
            <w:noProof/>
            <w:webHidden/>
          </w:rPr>
          <w:t>234</w:t>
        </w:r>
        <w:r w:rsidR="000E2FCE">
          <w:rPr>
            <w:noProof/>
            <w:webHidden/>
          </w:rPr>
          <w:fldChar w:fldCharType="end"/>
        </w:r>
      </w:hyperlink>
    </w:p>
    <w:p w14:paraId="6DC98D08" w14:textId="6C887C97" w:rsidR="000E2FCE" w:rsidRDefault="00F113C9" w:rsidP="00A040E5">
      <w:pPr>
        <w:pStyle w:val="TOC2"/>
        <w:tabs>
          <w:tab w:val="clear" w:pos="992"/>
          <w:tab w:val="left" w:pos="851"/>
        </w:tabs>
        <w:rPr>
          <w:rFonts w:asciiTheme="minorHAnsi" w:eastAsiaTheme="minorEastAsia" w:hAnsiTheme="minorHAnsi" w:cstheme="minorBidi"/>
          <w:noProof/>
          <w:kern w:val="2"/>
          <w:sz w:val="24"/>
          <w:szCs w:val="24"/>
          <w14:ligatures w14:val="standardContextual"/>
        </w:rPr>
      </w:pPr>
      <w:hyperlink w:anchor="_Toc193536210" w:history="1">
        <w:r w:rsidR="000E2FCE" w:rsidRPr="0009647D">
          <w:rPr>
            <w:rStyle w:val="Hyperlink"/>
            <w:noProof/>
          </w:rPr>
          <w:t>Fiscal Risks</w:t>
        </w:r>
        <w:r w:rsidR="000E2FCE">
          <w:rPr>
            <w:noProof/>
            <w:webHidden/>
          </w:rPr>
          <w:tab/>
        </w:r>
        <w:r w:rsidR="000E2FCE">
          <w:rPr>
            <w:noProof/>
            <w:webHidden/>
          </w:rPr>
          <w:fldChar w:fldCharType="begin"/>
        </w:r>
        <w:r w:rsidR="000E2FCE">
          <w:rPr>
            <w:noProof/>
            <w:webHidden/>
          </w:rPr>
          <w:instrText xml:space="preserve"> PAGEREF _Toc193536210 \h </w:instrText>
        </w:r>
        <w:r w:rsidR="000E2FCE">
          <w:rPr>
            <w:noProof/>
            <w:webHidden/>
          </w:rPr>
        </w:r>
        <w:r w:rsidR="000E2FCE">
          <w:rPr>
            <w:noProof/>
            <w:webHidden/>
          </w:rPr>
          <w:fldChar w:fldCharType="separate"/>
        </w:r>
        <w:r w:rsidR="0042292D">
          <w:rPr>
            <w:noProof/>
            <w:webHidden/>
          </w:rPr>
          <w:t>234</w:t>
        </w:r>
        <w:r w:rsidR="000E2FCE">
          <w:rPr>
            <w:noProof/>
            <w:webHidden/>
          </w:rPr>
          <w:fldChar w:fldCharType="end"/>
        </w:r>
      </w:hyperlink>
    </w:p>
    <w:p w14:paraId="68346B35" w14:textId="3AB6A295"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11" w:history="1">
        <w:r w:rsidR="000E2FCE" w:rsidRPr="0009647D">
          <w:rPr>
            <w:rStyle w:val="Hyperlink"/>
            <w:noProof/>
          </w:rPr>
          <w:t>Significant but remote contingencies</w:t>
        </w:r>
        <w:r w:rsidR="000E2FCE">
          <w:rPr>
            <w:noProof/>
            <w:webHidden/>
          </w:rPr>
          <w:tab/>
        </w:r>
        <w:r w:rsidR="000E2FCE">
          <w:rPr>
            <w:noProof/>
            <w:webHidden/>
          </w:rPr>
          <w:fldChar w:fldCharType="begin"/>
        </w:r>
        <w:r w:rsidR="000E2FCE">
          <w:rPr>
            <w:noProof/>
            <w:webHidden/>
          </w:rPr>
          <w:instrText xml:space="preserve"> PAGEREF _Toc193536211 \h </w:instrText>
        </w:r>
        <w:r w:rsidR="000E2FCE">
          <w:rPr>
            <w:noProof/>
            <w:webHidden/>
          </w:rPr>
        </w:r>
        <w:r w:rsidR="000E2FCE">
          <w:rPr>
            <w:noProof/>
            <w:webHidden/>
          </w:rPr>
          <w:fldChar w:fldCharType="separate"/>
        </w:r>
        <w:r w:rsidR="0042292D">
          <w:rPr>
            <w:noProof/>
            <w:webHidden/>
          </w:rPr>
          <w:t>235</w:t>
        </w:r>
        <w:r w:rsidR="000E2FCE">
          <w:rPr>
            <w:noProof/>
            <w:webHidden/>
          </w:rPr>
          <w:fldChar w:fldCharType="end"/>
        </w:r>
      </w:hyperlink>
    </w:p>
    <w:p w14:paraId="3E01C179" w14:textId="7CAF2660"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12" w:history="1">
        <w:r w:rsidR="000E2FCE" w:rsidRPr="0009647D">
          <w:rPr>
            <w:rStyle w:val="Hyperlink"/>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_Toc193536212 \h </w:instrText>
        </w:r>
        <w:r w:rsidR="000E2FCE">
          <w:rPr>
            <w:noProof/>
            <w:webHidden/>
          </w:rPr>
        </w:r>
        <w:r w:rsidR="000E2FCE">
          <w:rPr>
            <w:noProof/>
            <w:webHidden/>
          </w:rPr>
          <w:fldChar w:fldCharType="separate"/>
        </w:r>
        <w:r w:rsidR="0042292D">
          <w:rPr>
            <w:noProof/>
            <w:webHidden/>
          </w:rPr>
          <w:t>237</w:t>
        </w:r>
        <w:r w:rsidR="000E2FCE">
          <w:rPr>
            <w:noProof/>
            <w:webHidden/>
          </w:rPr>
          <w:fldChar w:fldCharType="end"/>
        </w:r>
      </w:hyperlink>
    </w:p>
    <w:p w14:paraId="6468040A" w14:textId="115C140E"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213" w:history="1">
        <w:r w:rsidR="000E2FCE" w:rsidRPr="0009647D">
          <w:rPr>
            <w:rStyle w:val="Hyperlink"/>
            <w:noProof/>
          </w:rPr>
          <w:t>Prime Minister and Cabinet</w:t>
        </w:r>
        <w:r w:rsidR="000E2FCE">
          <w:rPr>
            <w:noProof/>
            <w:webHidden/>
          </w:rPr>
          <w:tab/>
        </w:r>
        <w:r w:rsidR="000E2FCE">
          <w:rPr>
            <w:noProof/>
            <w:webHidden/>
          </w:rPr>
          <w:fldChar w:fldCharType="begin"/>
        </w:r>
        <w:r w:rsidR="000E2FCE">
          <w:rPr>
            <w:noProof/>
            <w:webHidden/>
          </w:rPr>
          <w:instrText xml:space="preserve"> PAGEREF _Toc193536213 \h </w:instrText>
        </w:r>
        <w:r w:rsidR="000E2FCE">
          <w:rPr>
            <w:noProof/>
            <w:webHidden/>
          </w:rPr>
        </w:r>
        <w:r w:rsidR="000E2FCE">
          <w:rPr>
            <w:noProof/>
            <w:webHidden/>
          </w:rPr>
          <w:fldChar w:fldCharType="separate"/>
        </w:r>
        <w:r w:rsidR="0042292D">
          <w:rPr>
            <w:noProof/>
            <w:webHidden/>
          </w:rPr>
          <w:t>240</w:t>
        </w:r>
        <w:r w:rsidR="000E2FCE">
          <w:rPr>
            <w:noProof/>
            <w:webHidden/>
          </w:rPr>
          <w:fldChar w:fldCharType="end"/>
        </w:r>
      </w:hyperlink>
    </w:p>
    <w:p w14:paraId="056FDF9C" w14:textId="2BE83E52"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14" w:history="1">
        <w:r w:rsidR="000E2FCE" w:rsidRPr="0009647D">
          <w:rPr>
            <w:rStyle w:val="Hyperlink"/>
            <w:noProof/>
          </w:rPr>
          <w:t>Contingent liability – quantifiable</w:t>
        </w:r>
        <w:r w:rsidR="000E2FCE">
          <w:rPr>
            <w:noProof/>
            <w:webHidden/>
          </w:rPr>
          <w:tab/>
        </w:r>
        <w:r w:rsidR="000E2FCE">
          <w:rPr>
            <w:noProof/>
            <w:webHidden/>
          </w:rPr>
          <w:fldChar w:fldCharType="begin"/>
        </w:r>
        <w:r w:rsidR="000E2FCE">
          <w:rPr>
            <w:noProof/>
            <w:webHidden/>
          </w:rPr>
          <w:instrText xml:space="preserve"> PAGEREF _Toc193536214 \h </w:instrText>
        </w:r>
        <w:r w:rsidR="000E2FCE">
          <w:rPr>
            <w:noProof/>
            <w:webHidden/>
          </w:rPr>
        </w:r>
        <w:r w:rsidR="000E2FCE">
          <w:rPr>
            <w:noProof/>
            <w:webHidden/>
          </w:rPr>
          <w:fldChar w:fldCharType="separate"/>
        </w:r>
        <w:r w:rsidR="0042292D">
          <w:rPr>
            <w:noProof/>
            <w:webHidden/>
          </w:rPr>
          <w:t>240</w:t>
        </w:r>
        <w:r w:rsidR="000E2FCE">
          <w:rPr>
            <w:noProof/>
            <w:webHidden/>
          </w:rPr>
          <w:fldChar w:fldCharType="end"/>
        </w:r>
      </w:hyperlink>
    </w:p>
    <w:p w14:paraId="2FE20D55" w14:textId="5BBD6384"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215" w:history="1">
        <w:r w:rsidR="000E2FCE" w:rsidRPr="0009647D">
          <w:rPr>
            <w:rStyle w:val="Hyperlink"/>
            <w:noProof/>
          </w:rPr>
          <w:t>Social Services</w:t>
        </w:r>
        <w:r w:rsidR="000E2FCE">
          <w:rPr>
            <w:noProof/>
            <w:webHidden/>
          </w:rPr>
          <w:tab/>
        </w:r>
        <w:r w:rsidR="000E2FCE">
          <w:rPr>
            <w:noProof/>
            <w:webHidden/>
          </w:rPr>
          <w:fldChar w:fldCharType="begin"/>
        </w:r>
        <w:r w:rsidR="000E2FCE">
          <w:rPr>
            <w:noProof/>
            <w:webHidden/>
          </w:rPr>
          <w:instrText xml:space="preserve"> PAGEREF _Toc193536215 \h </w:instrText>
        </w:r>
        <w:r w:rsidR="000E2FCE">
          <w:rPr>
            <w:noProof/>
            <w:webHidden/>
          </w:rPr>
        </w:r>
        <w:r w:rsidR="000E2FCE">
          <w:rPr>
            <w:noProof/>
            <w:webHidden/>
          </w:rPr>
          <w:fldChar w:fldCharType="separate"/>
        </w:r>
        <w:r w:rsidR="0042292D">
          <w:rPr>
            <w:noProof/>
            <w:webHidden/>
          </w:rPr>
          <w:t>241</w:t>
        </w:r>
        <w:r w:rsidR="000E2FCE">
          <w:rPr>
            <w:noProof/>
            <w:webHidden/>
          </w:rPr>
          <w:fldChar w:fldCharType="end"/>
        </w:r>
      </w:hyperlink>
    </w:p>
    <w:p w14:paraId="0E264F6C" w14:textId="0980DE33" w:rsidR="000E2FCE" w:rsidRDefault="00F113C9" w:rsidP="00A040E5">
      <w:pPr>
        <w:pStyle w:val="TOC2"/>
        <w:tabs>
          <w:tab w:val="clear" w:pos="992"/>
          <w:tab w:val="left" w:pos="851"/>
        </w:tabs>
        <w:rPr>
          <w:rFonts w:asciiTheme="minorHAnsi" w:eastAsiaTheme="minorEastAsia" w:hAnsiTheme="minorHAnsi" w:cstheme="minorBidi"/>
          <w:noProof/>
          <w:kern w:val="2"/>
          <w:sz w:val="24"/>
          <w:szCs w:val="24"/>
          <w14:ligatures w14:val="standardContextual"/>
        </w:rPr>
      </w:pPr>
      <w:hyperlink w:anchor="_Toc193536216" w:history="1">
        <w:r w:rsidR="000E2FCE" w:rsidRPr="0009647D">
          <w:rPr>
            <w:rStyle w:val="Hyperlink"/>
            <w:noProof/>
          </w:rPr>
          <w:t>Fiscal Risk</w:t>
        </w:r>
        <w:r w:rsidR="000E2FCE">
          <w:rPr>
            <w:noProof/>
            <w:webHidden/>
          </w:rPr>
          <w:tab/>
        </w:r>
        <w:r w:rsidR="000E2FCE">
          <w:rPr>
            <w:noProof/>
            <w:webHidden/>
          </w:rPr>
          <w:fldChar w:fldCharType="begin"/>
        </w:r>
        <w:r w:rsidR="000E2FCE">
          <w:rPr>
            <w:noProof/>
            <w:webHidden/>
          </w:rPr>
          <w:instrText xml:space="preserve"> PAGEREF _Toc193536216 \h </w:instrText>
        </w:r>
        <w:r w:rsidR="000E2FCE">
          <w:rPr>
            <w:noProof/>
            <w:webHidden/>
          </w:rPr>
        </w:r>
        <w:r w:rsidR="000E2FCE">
          <w:rPr>
            <w:noProof/>
            <w:webHidden/>
          </w:rPr>
          <w:fldChar w:fldCharType="separate"/>
        </w:r>
        <w:r w:rsidR="0042292D">
          <w:rPr>
            <w:noProof/>
            <w:webHidden/>
          </w:rPr>
          <w:t>241</w:t>
        </w:r>
        <w:r w:rsidR="000E2FCE">
          <w:rPr>
            <w:noProof/>
            <w:webHidden/>
          </w:rPr>
          <w:fldChar w:fldCharType="end"/>
        </w:r>
      </w:hyperlink>
    </w:p>
    <w:p w14:paraId="6EC19808" w14:textId="33449626"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17" w:history="1">
        <w:r w:rsidR="000E2FCE" w:rsidRPr="0009647D">
          <w:rPr>
            <w:rStyle w:val="Hyperlink"/>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_Toc193536217 \h </w:instrText>
        </w:r>
        <w:r w:rsidR="000E2FCE">
          <w:rPr>
            <w:noProof/>
            <w:webHidden/>
          </w:rPr>
        </w:r>
        <w:r w:rsidR="000E2FCE">
          <w:rPr>
            <w:noProof/>
            <w:webHidden/>
          </w:rPr>
          <w:fldChar w:fldCharType="separate"/>
        </w:r>
        <w:r w:rsidR="0042292D">
          <w:rPr>
            <w:noProof/>
            <w:webHidden/>
          </w:rPr>
          <w:t>241</w:t>
        </w:r>
        <w:r w:rsidR="000E2FCE">
          <w:rPr>
            <w:noProof/>
            <w:webHidden/>
          </w:rPr>
          <w:fldChar w:fldCharType="end"/>
        </w:r>
      </w:hyperlink>
    </w:p>
    <w:p w14:paraId="13F254C8" w14:textId="7BDD15FC"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18" w:history="1">
        <w:r w:rsidR="000E2FCE" w:rsidRPr="0009647D">
          <w:rPr>
            <w:rStyle w:val="Hyperlink"/>
            <w:noProof/>
          </w:rPr>
          <w:t>Contingent asset – quantifiable</w:t>
        </w:r>
        <w:r w:rsidR="000E2FCE">
          <w:rPr>
            <w:noProof/>
            <w:webHidden/>
          </w:rPr>
          <w:tab/>
        </w:r>
        <w:r w:rsidR="000E2FCE">
          <w:rPr>
            <w:noProof/>
            <w:webHidden/>
          </w:rPr>
          <w:fldChar w:fldCharType="begin"/>
        </w:r>
        <w:r w:rsidR="000E2FCE">
          <w:rPr>
            <w:noProof/>
            <w:webHidden/>
          </w:rPr>
          <w:instrText xml:space="preserve"> PAGEREF _Toc193536218 \h </w:instrText>
        </w:r>
        <w:r w:rsidR="000E2FCE">
          <w:rPr>
            <w:noProof/>
            <w:webHidden/>
          </w:rPr>
        </w:r>
        <w:r w:rsidR="000E2FCE">
          <w:rPr>
            <w:noProof/>
            <w:webHidden/>
          </w:rPr>
          <w:fldChar w:fldCharType="separate"/>
        </w:r>
        <w:r w:rsidR="0042292D">
          <w:rPr>
            <w:noProof/>
            <w:webHidden/>
          </w:rPr>
          <w:t>242</w:t>
        </w:r>
        <w:r w:rsidR="000E2FCE">
          <w:rPr>
            <w:noProof/>
            <w:webHidden/>
          </w:rPr>
          <w:fldChar w:fldCharType="end"/>
        </w:r>
      </w:hyperlink>
    </w:p>
    <w:p w14:paraId="52AB4975" w14:textId="29D3C93A"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219" w:history="1">
        <w:r w:rsidR="000E2FCE" w:rsidRPr="0009647D">
          <w:rPr>
            <w:rStyle w:val="Hyperlink"/>
            <w:noProof/>
          </w:rPr>
          <w:t>Treasury</w:t>
        </w:r>
        <w:r w:rsidR="000E2FCE">
          <w:rPr>
            <w:noProof/>
            <w:webHidden/>
          </w:rPr>
          <w:tab/>
        </w:r>
        <w:r w:rsidR="000E2FCE">
          <w:rPr>
            <w:noProof/>
            <w:webHidden/>
          </w:rPr>
          <w:fldChar w:fldCharType="begin"/>
        </w:r>
        <w:r w:rsidR="000E2FCE">
          <w:rPr>
            <w:noProof/>
            <w:webHidden/>
          </w:rPr>
          <w:instrText xml:space="preserve"> PAGEREF _Toc193536219 \h </w:instrText>
        </w:r>
        <w:r w:rsidR="000E2FCE">
          <w:rPr>
            <w:noProof/>
            <w:webHidden/>
          </w:rPr>
        </w:r>
        <w:r w:rsidR="000E2FCE">
          <w:rPr>
            <w:noProof/>
            <w:webHidden/>
          </w:rPr>
          <w:fldChar w:fldCharType="separate"/>
        </w:r>
        <w:r w:rsidR="0042292D">
          <w:rPr>
            <w:noProof/>
            <w:webHidden/>
          </w:rPr>
          <w:t>243</w:t>
        </w:r>
        <w:r w:rsidR="000E2FCE">
          <w:rPr>
            <w:noProof/>
            <w:webHidden/>
          </w:rPr>
          <w:fldChar w:fldCharType="end"/>
        </w:r>
      </w:hyperlink>
    </w:p>
    <w:p w14:paraId="102DEE51" w14:textId="495E66AB" w:rsidR="000E2FCE" w:rsidRDefault="00F113C9" w:rsidP="00A040E5">
      <w:pPr>
        <w:pStyle w:val="TOC2"/>
        <w:tabs>
          <w:tab w:val="clear" w:pos="992"/>
          <w:tab w:val="left" w:pos="709"/>
        </w:tabs>
        <w:rPr>
          <w:rFonts w:asciiTheme="minorHAnsi" w:eastAsiaTheme="minorEastAsia" w:hAnsiTheme="minorHAnsi" w:cstheme="minorBidi"/>
          <w:noProof/>
          <w:kern w:val="2"/>
          <w:sz w:val="24"/>
          <w:szCs w:val="24"/>
          <w14:ligatures w14:val="standardContextual"/>
        </w:rPr>
      </w:pPr>
      <w:hyperlink w:anchor="_Toc193536220" w:history="1">
        <w:r w:rsidR="000E2FCE" w:rsidRPr="0009647D">
          <w:rPr>
            <w:rStyle w:val="Hyperlink"/>
            <w:noProof/>
          </w:rPr>
          <w:t>Fiscal risk</w:t>
        </w:r>
        <w:r w:rsidR="000E2FCE">
          <w:rPr>
            <w:noProof/>
            <w:webHidden/>
          </w:rPr>
          <w:tab/>
        </w:r>
        <w:r w:rsidR="000E2FCE">
          <w:rPr>
            <w:noProof/>
            <w:webHidden/>
          </w:rPr>
          <w:fldChar w:fldCharType="begin"/>
        </w:r>
        <w:r w:rsidR="000E2FCE">
          <w:rPr>
            <w:noProof/>
            <w:webHidden/>
          </w:rPr>
          <w:instrText xml:space="preserve"> PAGEREF _Toc193536220 \h </w:instrText>
        </w:r>
        <w:r w:rsidR="000E2FCE">
          <w:rPr>
            <w:noProof/>
            <w:webHidden/>
          </w:rPr>
        </w:r>
        <w:r w:rsidR="000E2FCE">
          <w:rPr>
            <w:noProof/>
            <w:webHidden/>
          </w:rPr>
          <w:fldChar w:fldCharType="separate"/>
        </w:r>
        <w:r w:rsidR="0042292D">
          <w:rPr>
            <w:noProof/>
            <w:webHidden/>
          </w:rPr>
          <w:t>243</w:t>
        </w:r>
        <w:r w:rsidR="000E2FCE">
          <w:rPr>
            <w:noProof/>
            <w:webHidden/>
          </w:rPr>
          <w:fldChar w:fldCharType="end"/>
        </w:r>
      </w:hyperlink>
    </w:p>
    <w:p w14:paraId="4D1C409D" w14:textId="1459FC5F"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21" w:history="1">
        <w:r w:rsidR="000E2FCE" w:rsidRPr="0009647D">
          <w:rPr>
            <w:rStyle w:val="Hyperlink"/>
            <w:noProof/>
          </w:rPr>
          <w:t>Significant but remote contingencies</w:t>
        </w:r>
        <w:r w:rsidR="000E2FCE">
          <w:rPr>
            <w:noProof/>
            <w:webHidden/>
          </w:rPr>
          <w:tab/>
        </w:r>
        <w:r w:rsidR="000E2FCE">
          <w:rPr>
            <w:noProof/>
            <w:webHidden/>
          </w:rPr>
          <w:fldChar w:fldCharType="begin"/>
        </w:r>
        <w:r w:rsidR="000E2FCE">
          <w:rPr>
            <w:noProof/>
            <w:webHidden/>
          </w:rPr>
          <w:instrText xml:space="preserve"> PAGEREF _Toc193536221 \h </w:instrText>
        </w:r>
        <w:r w:rsidR="000E2FCE">
          <w:rPr>
            <w:noProof/>
            <w:webHidden/>
          </w:rPr>
        </w:r>
        <w:r w:rsidR="000E2FCE">
          <w:rPr>
            <w:noProof/>
            <w:webHidden/>
          </w:rPr>
          <w:fldChar w:fldCharType="separate"/>
        </w:r>
        <w:r w:rsidR="0042292D">
          <w:rPr>
            <w:noProof/>
            <w:webHidden/>
          </w:rPr>
          <w:t>243</w:t>
        </w:r>
        <w:r w:rsidR="000E2FCE">
          <w:rPr>
            <w:noProof/>
            <w:webHidden/>
          </w:rPr>
          <w:fldChar w:fldCharType="end"/>
        </w:r>
      </w:hyperlink>
    </w:p>
    <w:p w14:paraId="4FE7A0CC" w14:textId="60B56FC1"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22" w:history="1">
        <w:r w:rsidR="000E2FCE" w:rsidRPr="0009647D">
          <w:rPr>
            <w:rStyle w:val="Hyperlink"/>
            <w:rFonts w:eastAsia="Arial"/>
            <w:noProof/>
          </w:rPr>
          <w:t>Contingent liabilities – unquantifiable</w:t>
        </w:r>
        <w:r w:rsidR="000E2FCE">
          <w:rPr>
            <w:noProof/>
            <w:webHidden/>
          </w:rPr>
          <w:tab/>
        </w:r>
        <w:r w:rsidR="000E2FCE">
          <w:rPr>
            <w:noProof/>
            <w:webHidden/>
          </w:rPr>
          <w:fldChar w:fldCharType="begin"/>
        </w:r>
        <w:r w:rsidR="000E2FCE">
          <w:rPr>
            <w:noProof/>
            <w:webHidden/>
          </w:rPr>
          <w:instrText xml:space="preserve"> PAGEREF _Toc193536222 \h </w:instrText>
        </w:r>
        <w:r w:rsidR="000E2FCE">
          <w:rPr>
            <w:noProof/>
            <w:webHidden/>
          </w:rPr>
        </w:r>
        <w:r w:rsidR="000E2FCE">
          <w:rPr>
            <w:noProof/>
            <w:webHidden/>
          </w:rPr>
          <w:fldChar w:fldCharType="separate"/>
        </w:r>
        <w:r w:rsidR="0042292D">
          <w:rPr>
            <w:noProof/>
            <w:webHidden/>
          </w:rPr>
          <w:t>245</w:t>
        </w:r>
        <w:r w:rsidR="000E2FCE">
          <w:rPr>
            <w:noProof/>
            <w:webHidden/>
          </w:rPr>
          <w:fldChar w:fldCharType="end"/>
        </w:r>
      </w:hyperlink>
    </w:p>
    <w:p w14:paraId="0410A32E" w14:textId="60A6C76E"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23" w:history="1">
        <w:r w:rsidR="000E2FCE" w:rsidRPr="0009647D">
          <w:rPr>
            <w:rStyle w:val="Hyperlink"/>
            <w:rFonts w:eastAsia="Arial"/>
            <w:noProof/>
          </w:rPr>
          <w:t>Contingent liabilities – quantifiable</w:t>
        </w:r>
        <w:r w:rsidR="000E2FCE">
          <w:rPr>
            <w:noProof/>
            <w:webHidden/>
          </w:rPr>
          <w:tab/>
        </w:r>
        <w:r w:rsidR="000E2FCE">
          <w:rPr>
            <w:noProof/>
            <w:webHidden/>
          </w:rPr>
          <w:fldChar w:fldCharType="begin"/>
        </w:r>
        <w:r w:rsidR="000E2FCE">
          <w:rPr>
            <w:noProof/>
            <w:webHidden/>
          </w:rPr>
          <w:instrText xml:space="preserve"> PAGEREF _Toc193536223 \h </w:instrText>
        </w:r>
        <w:r w:rsidR="000E2FCE">
          <w:rPr>
            <w:noProof/>
            <w:webHidden/>
          </w:rPr>
        </w:r>
        <w:r w:rsidR="000E2FCE">
          <w:rPr>
            <w:noProof/>
            <w:webHidden/>
          </w:rPr>
          <w:fldChar w:fldCharType="separate"/>
        </w:r>
        <w:r w:rsidR="0042292D">
          <w:rPr>
            <w:noProof/>
            <w:webHidden/>
          </w:rPr>
          <w:t>247</w:t>
        </w:r>
        <w:r w:rsidR="000E2FCE">
          <w:rPr>
            <w:noProof/>
            <w:webHidden/>
          </w:rPr>
          <w:fldChar w:fldCharType="end"/>
        </w:r>
      </w:hyperlink>
    </w:p>
    <w:p w14:paraId="0D50D2DD" w14:textId="4E0F15F8"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224" w:history="1">
        <w:r w:rsidR="000E2FCE" w:rsidRPr="0009647D">
          <w:rPr>
            <w:rStyle w:val="Hyperlink"/>
            <w:rFonts w:eastAsia="Arial"/>
            <w:noProof/>
          </w:rPr>
          <w:t>Veterans’ Affairs</w:t>
        </w:r>
        <w:r w:rsidR="000E2FCE">
          <w:rPr>
            <w:noProof/>
            <w:webHidden/>
          </w:rPr>
          <w:tab/>
        </w:r>
        <w:r w:rsidR="000E2FCE">
          <w:rPr>
            <w:noProof/>
            <w:webHidden/>
          </w:rPr>
          <w:fldChar w:fldCharType="begin"/>
        </w:r>
        <w:r w:rsidR="000E2FCE">
          <w:rPr>
            <w:noProof/>
            <w:webHidden/>
          </w:rPr>
          <w:instrText xml:space="preserve"> PAGEREF _Toc193536224 \h </w:instrText>
        </w:r>
        <w:r w:rsidR="000E2FCE">
          <w:rPr>
            <w:noProof/>
            <w:webHidden/>
          </w:rPr>
        </w:r>
        <w:r w:rsidR="000E2FCE">
          <w:rPr>
            <w:noProof/>
            <w:webHidden/>
          </w:rPr>
          <w:fldChar w:fldCharType="separate"/>
        </w:r>
        <w:r w:rsidR="0042292D">
          <w:rPr>
            <w:noProof/>
            <w:webHidden/>
          </w:rPr>
          <w:t>250</w:t>
        </w:r>
        <w:r w:rsidR="000E2FCE">
          <w:rPr>
            <w:noProof/>
            <w:webHidden/>
          </w:rPr>
          <w:fldChar w:fldCharType="end"/>
        </w:r>
      </w:hyperlink>
    </w:p>
    <w:p w14:paraId="70B60FC5" w14:textId="017F26FB" w:rsidR="000E2FCE" w:rsidRDefault="00F113C9" w:rsidP="00A040E5">
      <w:pPr>
        <w:pStyle w:val="TOC2"/>
        <w:tabs>
          <w:tab w:val="clear" w:pos="992"/>
          <w:tab w:val="left" w:pos="709"/>
        </w:tabs>
        <w:rPr>
          <w:rFonts w:asciiTheme="minorHAnsi" w:eastAsiaTheme="minorEastAsia" w:hAnsiTheme="minorHAnsi" w:cstheme="minorBidi"/>
          <w:noProof/>
          <w:kern w:val="2"/>
          <w:sz w:val="24"/>
          <w:szCs w:val="24"/>
          <w14:ligatures w14:val="standardContextual"/>
        </w:rPr>
      </w:pPr>
      <w:hyperlink w:anchor="_Toc193536225" w:history="1">
        <w:r w:rsidR="000E2FCE" w:rsidRPr="0009647D">
          <w:rPr>
            <w:rStyle w:val="Hyperlink"/>
            <w:rFonts w:eastAsia="Arial"/>
            <w:noProof/>
          </w:rPr>
          <w:t>Fiscal Risk</w:t>
        </w:r>
        <w:r w:rsidR="000E2FCE">
          <w:rPr>
            <w:noProof/>
            <w:webHidden/>
          </w:rPr>
          <w:tab/>
        </w:r>
        <w:r w:rsidR="000E2FCE">
          <w:rPr>
            <w:noProof/>
            <w:webHidden/>
          </w:rPr>
          <w:fldChar w:fldCharType="begin"/>
        </w:r>
        <w:r w:rsidR="000E2FCE">
          <w:rPr>
            <w:noProof/>
            <w:webHidden/>
          </w:rPr>
          <w:instrText xml:space="preserve"> PAGEREF _Toc193536225 \h </w:instrText>
        </w:r>
        <w:r w:rsidR="000E2FCE">
          <w:rPr>
            <w:noProof/>
            <w:webHidden/>
          </w:rPr>
        </w:r>
        <w:r w:rsidR="000E2FCE">
          <w:rPr>
            <w:noProof/>
            <w:webHidden/>
          </w:rPr>
          <w:fldChar w:fldCharType="separate"/>
        </w:r>
        <w:r w:rsidR="0042292D">
          <w:rPr>
            <w:noProof/>
            <w:webHidden/>
          </w:rPr>
          <w:t>250</w:t>
        </w:r>
        <w:r w:rsidR="000E2FCE">
          <w:rPr>
            <w:noProof/>
            <w:webHidden/>
          </w:rPr>
          <w:fldChar w:fldCharType="end"/>
        </w:r>
      </w:hyperlink>
    </w:p>
    <w:p w14:paraId="1387EE35" w14:textId="5ABFC49A" w:rsidR="000E2FCE" w:rsidRDefault="00F113C9">
      <w:pPr>
        <w:pStyle w:val="TOC1"/>
        <w:rPr>
          <w:rFonts w:asciiTheme="minorHAnsi" w:eastAsiaTheme="minorEastAsia" w:hAnsiTheme="minorHAnsi" w:cstheme="minorBidi"/>
          <w:b w:val="0"/>
          <w:noProof/>
          <w:kern w:val="2"/>
          <w:sz w:val="24"/>
          <w:szCs w:val="24"/>
          <w14:ligatures w14:val="standardContextual"/>
        </w:rPr>
      </w:pPr>
      <w:hyperlink w:anchor="_Toc193536226" w:history="1">
        <w:r w:rsidR="000E2FCE" w:rsidRPr="0009647D">
          <w:rPr>
            <w:rStyle w:val="Hyperlink"/>
            <w:rFonts w:eastAsia="Arial"/>
            <w:noProof/>
          </w:rPr>
          <w:t>Government loans</w:t>
        </w:r>
        <w:r w:rsidR="000E2FCE">
          <w:rPr>
            <w:noProof/>
            <w:webHidden/>
          </w:rPr>
          <w:tab/>
        </w:r>
        <w:r w:rsidR="000E2FCE">
          <w:rPr>
            <w:noProof/>
            <w:webHidden/>
          </w:rPr>
          <w:fldChar w:fldCharType="begin"/>
        </w:r>
        <w:r w:rsidR="000E2FCE">
          <w:rPr>
            <w:noProof/>
            <w:webHidden/>
          </w:rPr>
          <w:instrText xml:space="preserve"> PAGEREF _Toc193536226 \h </w:instrText>
        </w:r>
        <w:r w:rsidR="000E2FCE">
          <w:rPr>
            <w:noProof/>
            <w:webHidden/>
          </w:rPr>
        </w:r>
        <w:r w:rsidR="000E2FCE">
          <w:rPr>
            <w:noProof/>
            <w:webHidden/>
          </w:rPr>
          <w:fldChar w:fldCharType="separate"/>
        </w:r>
        <w:r w:rsidR="0042292D">
          <w:rPr>
            <w:noProof/>
            <w:webHidden/>
          </w:rPr>
          <w:t>251</w:t>
        </w:r>
        <w:r w:rsidR="000E2FCE">
          <w:rPr>
            <w:noProof/>
            <w:webHidden/>
          </w:rPr>
          <w:fldChar w:fldCharType="end"/>
        </w:r>
      </w:hyperlink>
    </w:p>
    <w:p w14:paraId="60CA219F" w14:textId="5C309538"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27" w:history="1">
        <w:r w:rsidR="000E2FCE" w:rsidRPr="0009647D">
          <w:rPr>
            <w:rStyle w:val="Hyperlink"/>
            <w:rFonts w:eastAsia="Arial"/>
            <w:noProof/>
          </w:rPr>
          <w:t>Agriculture, Fisheries and Forestry</w:t>
        </w:r>
        <w:r w:rsidR="000E2FCE">
          <w:rPr>
            <w:noProof/>
            <w:webHidden/>
          </w:rPr>
          <w:tab/>
        </w:r>
        <w:r w:rsidR="000E2FCE">
          <w:rPr>
            <w:noProof/>
            <w:webHidden/>
          </w:rPr>
          <w:fldChar w:fldCharType="begin"/>
        </w:r>
        <w:r w:rsidR="000E2FCE">
          <w:rPr>
            <w:noProof/>
            <w:webHidden/>
          </w:rPr>
          <w:instrText xml:space="preserve"> PAGEREF _Toc193536227 \h </w:instrText>
        </w:r>
        <w:r w:rsidR="000E2FCE">
          <w:rPr>
            <w:noProof/>
            <w:webHidden/>
          </w:rPr>
        </w:r>
        <w:r w:rsidR="000E2FCE">
          <w:rPr>
            <w:noProof/>
            <w:webHidden/>
          </w:rPr>
          <w:fldChar w:fldCharType="separate"/>
        </w:r>
        <w:r w:rsidR="0042292D">
          <w:rPr>
            <w:noProof/>
            <w:webHidden/>
          </w:rPr>
          <w:t>255</w:t>
        </w:r>
        <w:r w:rsidR="000E2FCE">
          <w:rPr>
            <w:noProof/>
            <w:webHidden/>
          </w:rPr>
          <w:fldChar w:fldCharType="end"/>
        </w:r>
      </w:hyperlink>
    </w:p>
    <w:p w14:paraId="4578BDB5" w14:textId="04D1D7FE"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28" w:history="1">
        <w:r w:rsidR="000E2FCE" w:rsidRPr="0009647D">
          <w:rPr>
            <w:rStyle w:val="Hyperlink"/>
            <w:rFonts w:eastAsia="Arial"/>
            <w:noProof/>
            <w:lang w:val="en-US"/>
          </w:rPr>
          <w:t>Climate Change, Energy, the Environment and Water</w:t>
        </w:r>
        <w:r w:rsidR="000E2FCE">
          <w:rPr>
            <w:noProof/>
            <w:webHidden/>
          </w:rPr>
          <w:tab/>
        </w:r>
        <w:r w:rsidR="000E2FCE">
          <w:rPr>
            <w:noProof/>
            <w:webHidden/>
          </w:rPr>
          <w:fldChar w:fldCharType="begin"/>
        </w:r>
        <w:r w:rsidR="000E2FCE">
          <w:rPr>
            <w:noProof/>
            <w:webHidden/>
          </w:rPr>
          <w:instrText xml:space="preserve"> PAGEREF _Toc193536228 \h </w:instrText>
        </w:r>
        <w:r w:rsidR="000E2FCE">
          <w:rPr>
            <w:noProof/>
            <w:webHidden/>
          </w:rPr>
        </w:r>
        <w:r w:rsidR="000E2FCE">
          <w:rPr>
            <w:noProof/>
            <w:webHidden/>
          </w:rPr>
          <w:fldChar w:fldCharType="separate"/>
        </w:r>
        <w:r w:rsidR="0042292D">
          <w:rPr>
            <w:noProof/>
            <w:webHidden/>
          </w:rPr>
          <w:t>257</w:t>
        </w:r>
        <w:r w:rsidR="000E2FCE">
          <w:rPr>
            <w:noProof/>
            <w:webHidden/>
          </w:rPr>
          <w:fldChar w:fldCharType="end"/>
        </w:r>
      </w:hyperlink>
    </w:p>
    <w:p w14:paraId="4412A6A4" w14:textId="20689BB0" w:rsidR="000E2FCE" w:rsidRDefault="00F113C9" w:rsidP="00A040E5">
      <w:pPr>
        <w:pStyle w:val="TOC2"/>
        <w:tabs>
          <w:tab w:val="clear" w:pos="992"/>
          <w:tab w:val="left" w:pos="709"/>
        </w:tabs>
        <w:rPr>
          <w:rFonts w:asciiTheme="minorHAnsi" w:eastAsiaTheme="minorEastAsia" w:hAnsiTheme="minorHAnsi" w:cstheme="minorBidi"/>
          <w:noProof/>
          <w:kern w:val="2"/>
          <w:sz w:val="24"/>
          <w:szCs w:val="24"/>
          <w14:ligatures w14:val="standardContextual"/>
        </w:rPr>
      </w:pPr>
      <w:hyperlink w:anchor="_Toc193536229" w:history="1">
        <w:r w:rsidR="000E2FCE" w:rsidRPr="0009647D">
          <w:rPr>
            <w:rStyle w:val="Hyperlink"/>
            <w:rFonts w:eastAsia="Arial"/>
            <w:noProof/>
          </w:rPr>
          <w:t>Education</w:t>
        </w:r>
        <w:r w:rsidR="000E2FCE">
          <w:rPr>
            <w:noProof/>
            <w:webHidden/>
          </w:rPr>
          <w:tab/>
        </w:r>
        <w:r w:rsidR="000E2FCE">
          <w:rPr>
            <w:noProof/>
            <w:webHidden/>
          </w:rPr>
          <w:fldChar w:fldCharType="begin"/>
        </w:r>
        <w:r w:rsidR="000E2FCE">
          <w:rPr>
            <w:noProof/>
            <w:webHidden/>
          </w:rPr>
          <w:instrText xml:space="preserve"> PAGEREF _Toc193536229 \h </w:instrText>
        </w:r>
        <w:r w:rsidR="000E2FCE">
          <w:rPr>
            <w:noProof/>
            <w:webHidden/>
          </w:rPr>
        </w:r>
        <w:r w:rsidR="000E2FCE">
          <w:rPr>
            <w:noProof/>
            <w:webHidden/>
          </w:rPr>
          <w:fldChar w:fldCharType="separate"/>
        </w:r>
        <w:r w:rsidR="0042292D">
          <w:rPr>
            <w:noProof/>
            <w:webHidden/>
          </w:rPr>
          <w:t>258</w:t>
        </w:r>
        <w:r w:rsidR="000E2FCE">
          <w:rPr>
            <w:noProof/>
            <w:webHidden/>
          </w:rPr>
          <w:fldChar w:fldCharType="end"/>
        </w:r>
      </w:hyperlink>
    </w:p>
    <w:p w14:paraId="1A8FABE9" w14:textId="17695168"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30" w:history="1">
        <w:r w:rsidR="000E2FCE" w:rsidRPr="0009647D">
          <w:rPr>
            <w:rStyle w:val="Hyperlink"/>
            <w:rFonts w:eastAsia="Arial"/>
            <w:noProof/>
            <w:lang w:val="en-US"/>
          </w:rPr>
          <w:t>Employment and Workplace Relations</w:t>
        </w:r>
        <w:r w:rsidR="000E2FCE">
          <w:rPr>
            <w:noProof/>
            <w:webHidden/>
          </w:rPr>
          <w:tab/>
        </w:r>
        <w:r w:rsidR="000E2FCE">
          <w:rPr>
            <w:noProof/>
            <w:webHidden/>
          </w:rPr>
          <w:fldChar w:fldCharType="begin"/>
        </w:r>
        <w:r w:rsidR="000E2FCE">
          <w:rPr>
            <w:noProof/>
            <w:webHidden/>
          </w:rPr>
          <w:instrText xml:space="preserve"> PAGEREF _Toc193536230 \h </w:instrText>
        </w:r>
        <w:r w:rsidR="000E2FCE">
          <w:rPr>
            <w:noProof/>
            <w:webHidden/>
          </w:rPr>
        </w:r>
        <w:r w:rsidR="000E2FCE">
          <w:rPr>
            <w:noProof/>
            <w:webHidden/>
          </w:rPr>
          <w:fldChar w:fldCharType="separate"/>
        </w:r>
        <w:r w:rsidR="0042292D">
          <w:rPr>
            <w:noProof/>
            <w:webHidden/>
          </w:rPr>
          <w:t>258</w:t>
        </w:r>
        <w:r w:rsidR="000E2FCE">
          <w:rPr>
            <w:noProof/>
            <w:webHidden/>
          </w:rPr>
          <w:fldChar w:fldCharType="end"/>
        </w:r>
      </w:hyperlink>
    </w:p>
    <w:p w14:paraId="14C2C451" w14:textId="3B8812EE" w:rsidR="000E2FCE" w:rsidRDefault="00F113C9" w:rsidP="00A040E5">
      <w:pPr>
        <w:pStyle w:val="TOC2"/>
        <w:tabs>
          <w:tab w:val="clear" w:pos="992"/>
          <w:tab w:val="left" w:pos="567"/>
        </w:tabs>
        <w:rPr>
          <w:rFonts w:asciiTheme="minorHAnsi" w:eastAsiaTheme="minorEastAsia" w:hAnsiTheme="minorHAnsi" w:cstheme="minorBidi"/>
          <w:noProof/>
          <w:kern w:val="2"/>
          <w:sz w:val="24"/>
          <w:szCs w:val="24"/>
          <w14:ligatures w14:val="standardContextual"/>
        </w:rPr>
      </w:pPr>
      <w:hyperlink w:anchor="_Toc193536231" w:history="1">
        <w:r w:rsidR="000E2FCE" w:rsidRPr="0009647D">
          <w:rPr>
            <w:rStyle w:val="Hyperlink"/>
            <w:rFonts w:eastAsia="Arial"/>
            <w:noProof/>
          </w:rPr>
          <w:t>Finance</w:t>
        </w:r>
        <w:r w:rsidR="000E2FCE">
          <w:rPr>
            <w:noProof/>
            <w:webHidden/>
          </w:rPr>
          <w:tab/>
        </w:r>
        <w:r w:rsidR="000E2FCE">
          <w:rPr>
            <w:noProof/>
            <w:webHidden/>
          </w:rPr>
          <w:fldChar w:fldCharType="begin"/>
        </w:r>
        <w:r w:rsidR="000E2FCE">
          <w:rPr>
            <w:noProof/>
            <w:webHidden/>
          </w:rPr>
          <w:instrText xml:space="preserve"> PAGEREF _Toc193536231 \h </w:instrText>
        </w:r>
        <w:r w:rsidR="000E2FCE">
          <w:rPr>
            <w:noProof/>
            <w:webHidden/>
          </w:rPr>
        </w:r>
        <w:r w:rsidR="000E2FCE">
          <w:rPr>
            <w:noProof/>
            <w:webHidden/>
          </w:rPr>
          <w:fldChar w:fldCharType="separate"/>
        </w:r>
        <w:r w:rsidR="0042292D">
          <w:rPr>
            <w:noProof/>
            <w:webHidden/>
          </w:rPr>
          <w:t>259</w:t>
        </w:r>
        <w:r w:rsidR="000E2FCE">
          <w:rPr>
            <w:noProof/>
            <w:webHidden/>
          </w:rPr>
          <w:fldChar w:fldCharType="end"/>
        </w:r>
      </w:hyperlink>
    </w:p>
    <w:p w14:paraId="0EF21386" w14:textId="4F599E30"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32" w:history="1">
        <w:r w:rsidR="000E2FCE" w:rsidRPr="0009647D">
          <w:rPr>
            <w:rStyle w:val="Hyperlink"/>
            <w:rFonts w:eastAsia="Arial"/>
            <w:noProof/>
          </w:rPr>
          <w:t>Foreign Affairs and Trade</w:t>
        </w:r>
        <w:r w:rsidR="000E2FCE">
          <w:rPr>
            <w:noProof/>
            <w:webHidden/>
          </w:rPr>
          <w:tab/>
        </w:r>
        <w:r w:rsidR="000E2FCE">
          <w:rPr>
            <w:noProof/>
            <w:webHidden/>
          </w:rPr>
          <w:fldChar w:fldCharType="begin"/>
        </w:r>
        <w:r w:rsidR="000E2FCE">
          <w:rPr>
            <w:noProof/>
            <w:webHidden/>
          </w:rPr>
          <w:instrText xml:space="preserve"> PAGEREF _Toc193536232 \h </w:instrText>
        </w:r>
        <w:r w:rsidR="000E2FCE">
          <w:rPr>
            <w:noProof/>
            <w:webHidden/>
          </w:rPr>
        </w:r>
        <w:r w:rsidR="000E2FCE">
          <w:rPr>
            <w:noProof/>
            <w:webHidden/>
          </w:rPr>
          <w:fldChar w:fldCharType="separate"/>
        </w:r>
        <w:r w:rsidR="0042292D">
          <w:rPr>
            <w:noProof/>
            <w:webHidden/>
          </w:rPr>
          <w:t>259</w:t>
        </w:r>
        <w:r w:rsidR="000E2FCE">
          <w:rPr>
            <w:noProof/>
            <w:webHidden/>
          </w:rPr>
          <w:fldChar w:fldCharType="end"/>
        </w:r>
      </w:hyperlink>
    </w:p>
    <w:p w14:paraId="77E3A2B7" w14:textId="4660274E"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33" w:history="1">
        <w:r w:rsidR="000E2FCE" w:rsidRPr="0009647D">
          <w:rPr>
            <w:rStyle w:val="Hyperlink"/>
            <w:rFonts w:eastAsia="Arial"/>
            <w:noProof/>
          </w:rPr>
          <w:t>Industry, Science and Resources</w:t>
        </w:r>
        <w:r w:rsidR="000E2FCE">
          <w:rPr>
            <w:noProof/>
            <w:webHidden/>
          </w:rPr>
          <w:tab/>
        </w:r>
        <w:r w:rsidR="000E2FCE">
          <w:rPr>
            <w:noProof/>
            <w:webHidden/>
          </w:rPr>
          <w:fldChar w:fldCharType="begin"/>
        </w:r>
        <w:r w:rsidR="000E2FCE">
          <w:rPr>
            <w:noProof/>
            <w:webHidden/>
          </w:rPr>
          <w:instrText xml:space="preserve"> PAGEREF _Toc193536233 \h </w:instrText>
        </w:r>
        <w:r w:rsidR="000E2FCE">
          <w:rPr>
            <w:noProof/>
            <w:webHidden/>
          </w:rPr>
        </w:r>
        <w:r w:rsidR="000E2FCE">
          <w:rPr>
            <w:noProof/>
            <w:webHidden/>
          </w:rPr>
          <w:fldChar w:fldCharType="separate"/>
        </w:r>
        <w:r w:rsidR="0042292D">
          <w:rPr>
            <w:noProof/>
            <w:webHidden/>
          </w:rPr>
          <w:t>260</w:t>
        </w:r>
        <w:r w:rsidR="000E2FCE">
          <w:rPr>
            <w:noProof/>
            <w:webHidden/>
          </w:rPr>
          <w:fldChar w:fldCharType="end"/>
        </w:r>
      </w:hyperlink>
    </w:p>
    <w:p w14:paraId="72E638AB" w14:textId="713BB491"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34" w:history="1">
        <w:r w:rsidR="000E2FCE" w:rsidRPr="0009647D">
          <w:rPr>
            <w:rStyle w:val="Hyperlink"/>
            <w:rFonts w:eastAsia="Arial"/>
            <w:noProof/>
          </w:rPr>
          <w:t>Infrastructure, Transport, Regional Development, Communications and the Arts</w:t>
        </w:r>
        <w:r w:rsidR="000E2FCE">
          <w:rPr>
            <w:noProof/>
            <w:webHidden/>
          </w:rPr>
          <w:tab/>
        </w:r>
        <w:r w:rsidR="000E2FCE">
          <w:rPr>
            <w:noProof/>
            <w:webHidden/>
          </w:rPr>
          <w:fldChar w:fldCharType="begin"/>
        </w:r>
        <w:r w:rsidR="000E2FCE">
          <w:rPr>
            <w:noProof/>
            <w:webHidden/>
          </w:rPr>
          <w:instrText xml:space="preserve"> PAGEREF _Toc193536234 \h </w:instrText>
        </w:r>
        <w:r w:rsidR="000E2FCE">
          <w:rPr>
            <w:noProof/>
            <w:webHidden/>
          </w:rPr>
        </w:r>
        <w:r w:rsidR="000E2FCE">
          <w:rPr>
            <w:noProof/>
            <w:webHidden/>
          </w:rPr>
          <w:fldChar w:fldCharType="separate"/>
        </w:r>
        <w:r w:rsidR="0042292D">
          <w:rPr>
            <w:noProof/>
            <w:webHidden/>
          </w:rPr>
          <w:t>260</w:t>
        </w:r>
        <w:r w:rsidR="000E2FCE">
          <w:rPr>
            <w:noProof/>
            <w:webHidden/>
          </w:rPr>
          <w:fldChar w:fldCharType="end"/>
        </w:r>
      </w:hyperlink>
    </w:p>
    <w:p w14:paraId="0518F16F" w14:textId="627D99E7"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35" w:history="1">
        <w:r w:rsidR="000E2FCE" w:rsidRPr="0009647D">
          <w:rPr>
            <w:rStyle w:val="Hyperlink"/>
            <w:rFonts w:eastAsia="Arial"/>
            <w:noProof/>
          </w:rPr>
          <w:t>Prime Minister and Cabinet</w:t>
        </w:r>
        <w:r w:rsidR="000E2FCE">
          <w:rPr>
            <w:noProof/>
            <w:webHidden/>
          </w:rPr>
          <w:tab/>
        </w:r>
        <w:r w:rsidR="000E2FCE">
          <w:rPr>
            <w:noProof/>
            <w:webHidden/>
          </w:rPr>
          <w:fldChar w:fldCharType="begin"/>
        </w:r>
        <w:r w:rsidR="000E2FCE">
          <w:rPr>
            <w:noProof/>
            <w:webHidden/>
          </w:rPr>
          <w:instrText xml:space="preserve"> PAGEREF _Toc193536235 \h </w:instrText>
        </w:r>
        <w:r w:rsidR="000E2FCE">
          <w:rPr>
            <w:noProof/>
            <w:webHidden/>
          </w:rPr>
        </w:r>
        <w:r w:rsidR="000E2FCE">
          <w:rPr>
            <w:noProof/>
            <w:webHidden/>
          </w:rPr>
          <w:fldChar w:fldCharType="separate"/>
        </w:r>
        <w:r w:rsidR="0042292D">
          <w:rPr>
            <w:noProof/>
            <w:webHidden/>
          </w:rPr>
          <w:t>262</w:t>
        </w:r>
        <w:r w:rsidR="000E2FCE">
          <w:rPr>
            <w:noProof/>
            <w:webHidden/>
          </w:rPr>
          <w:fldChar w:fldCharType="end"/>
        </w:r>
      </w:hyperlink>
    </w:p>
    <w:p w14:paraId="28F2E5CC" w14:textId="3EF74561" w:rsidR="000E2FCE" w:rsidRDefault="00F113C9">
      <w:pPr>
        <w:pStyle w:val="TOC2"/>
        <w:rPr>
          <w:rFonts w:asciiTheme="minorHAnsi" w:eastAsiaTheme="minorEastAsia" w:hAnsiTheme="minorHAnsi" w:cstheme="minorBidi"/>
          <w:noProof/>
          <w:kern w:val="2"/>
          <w:sz w:val="24"/>
          <w:szCs w:val="24"/>
          <w14:ligatures w14:val="standardContextual"/>
        </w:rPr>
      </w:pPr>
      <w:hyperlink w:anchor="_Toc193536236" w:history="1">
        <w:r w:rsidR="000E2FCE" w:rsidRPr="0009647D">
          <w:rPr>
            <w:rStyle w:val="Hyperlink"/>
            <w:rFonts w:eastAsia="Arial"/>
            <w:noProof/>
          </w:rPr>
          <w:t>Social Services</w:t>
        </w:r>
        <w:r w:rsidR="000E2FCE">
          <w:rPr>
            <w:noProof/>
            <w:webHidden/>
          </w:rPr>
          <w:tab/>
        </w:r>
        <w:r w:rsidR="000E2FCE">
          <w:rPr>
            <w:noProof/>
            <w:webHidden/>
          </w:rPr>
          <w:fldChar w:fldCharType="begin"/>
        </w:r>
        <w:r w:rsidR="000E2FCE">
          <w:rPr>
            <w:noProof/>
            <w:webHidden/>
          </w:rPr>
          <w:instrText xml:space="preserve"> PAGEREF _Toc193536236 \h </w:instrText>
        </w:r>
        <w:r w:rsidR="000E2FCE">
          <w:rPr>
            <w:noProof/>
            <w:webHidden/>
          </w:rPr>
        </w:r>
        <w:r w:rsidR="000E2FCE">
          <w:rPr>
            <w:noProof/>
            <w:webHidden/>
          </w:rPr>
          <w:fldChar w:fldCharType="separate"/>
        </w:r>
        <w:r w:rsidR="0042292D">
          <w:rPr>
            <w:noProof/>
            <w:webHidden/>
          </w:rPr>
          <w:t>262</w:t>
        </w:r>
        <w:r w:rsidR="000E2FCE">
          <w:rPr>
            <w:noProof/>
            <w:webHidden/>
          </w:rPr>
          <w:fldChar w:fldCharType="end"/>
        </w:r>
      </w:hyperlink>
    </w:p>
    <w:p w14:paraId="09669EFA" w14:textId="7C5DE55C" w:rsidR="000E2FCE" w:rsidRDefault="00F113C9" w:rsidP="00A040E5">
      <w:pPr>
        <w:pStyle w:val="TOC2"/>
        <w:tabs>
          <w:tab w:val="clear" w:pos="992"/>
          <w:tab w:val="left" w:pos="709"/>
        </w:tabs>
        <w:rPr>
          <w:rFonts w:asciiTheme="minorHAnsi" w:eastAsiaTheme="minorEastAsia" w:hAnsiTheme="minorHAnsi" w:cstheme="minorBidi"/>
          <w:noProof/>
          <w:kern w:val="2"/>
          <w:sz w:val="24"/>
          <w:szCs w:val="24"/>
          <w14:ligatures w14:val="standardContextual"/>
        </w:rPr>
      </w:pPr>
      <w:hyperlink w:anchor="_Toc193536237" w:history="1">
        <w:r w:rsidR="000E2FCE" w:rsidRPr="0009647D">
          <w:rPr>
            <w:rStyle w:val="Hyperlink"/>
            <w:rFonts w:eastAsia="Arial"/>
            <w:noProof/>
          </w:rPr>
          <w:t>Treasury</w:t>
        </w:r>
        <w:r w:rsidR="000E2FCE">
          <w:rPr>
            <w:noProof/>
            <w:webHidden/>
          </w:rPr>
          <w:tab/>
        </w:r>
        <w:r w:rsidR="000E2FCE">
          <w:rPr>
            <w:noProof/>
            <w:webHidden/>
          </w:rPr>
          <w:fldChar w:fldCharType="begin"/>
        </w:r>
        <w:r w:rsidR="000E2FCE">
          <w:rPr>
            <w:noProof/>
            <w:webHidden/>
          </w:rPr>
          <w:instrText xml:space="preserve"> PAGEREF _Toc193536237 \h </w:instrText>
        </w:r>
        <w:r w:rsidR="000E2FCE">
          <w:rPr>
            <w:noProof/>
            <w:webHidden/>
          </w:rPr>
        </w:r>
        <w:r w:rsidR="000E2FCE">
          <w:rPr>
            <w:noProof/>
            <w:webHidden/>
          </w:rPr>
          <w:fldChar w:fldCharType="separate"/>
        </w:r>
        <w:r w:rsidR="0042292D">
          <w:rPr>
            <w:noProof/>
            <w:webHidden/>
          </w:rPr>
          <w:t>263</w:t>
        </w:r>
        <w:r w:rsidR="000E2FCE">
          <w:rPr>
            <w:noProof/>
            <w:webHidden/>
          </w:rPr>
          <w:fldChar w:fldCharType="end"/>
        </w:r>
      </w:hyperlink>
    </w:p>
    <w:p w14:paraId="19E03174" w14:textId="40ED8475" w:rsidR="009B5C3B" w:rsidRDefault="00E84EF3" w:rsidP="009B5C3B">
      <w:pPr>
        <w:pStyle w:val="TOC1"/>
        <w:rPr>
          <w:rFonts w:cstheme="minorHAnsi"/>
          <w:b w:val="0"/>
          <w:lang w:val="en-US"/>
        </w:rPr>
        <w:sectPr w:rsidR="009B5C3B" w:rsidSect="009B5C3B">
          <w:headerReference w:type="even" r:id="rId13"/>
          <w:headerReference w:type="default" r:id="rId14"/>
          <w:footerReference w:type="even" r:id="rId15"/>
          <w:footerReference w:type="default" r:id="rId16"/>
          <w:headerReference w:type="first" r:id="rId17"/>
          <w:footerReference w:type="first" r:id="rId18"/>
          <w:pgSz w:w="11906" w:h="16838" w:code="9"/>
          <w:pgMar w:top="2835" w:right="2098" w:bottom="2466" w:left="2098" w:header="1814" w:footer="1814" w:gutter="0"/>
          <w:cols w:space="708"/>
          <w:titlePg/>
          <w:docGrid w:linePitch="360"/>
        </w:sectPr>
      </w:pPr>
      <w:r>
        <w:rPr>
          <w:rFonts w:cstheme="minorHAnsi"/>
          <w:b w:val="0"/>
          <w:noProof/>
          <w:lang w:val="en-US"/>
        </w:rPr>
        <w:fldChar w:fldCharType="end"/>
      </w:r>
    </w:p>
    <w:bookmarkEnd w:id="0"/>
    <w:bookmarkEnd w:id="1"/>
    <w:bookmarkEnd w:id="2"/>
    <w:p w14:paraId="05E49034" w14:textId="056C16B3" w:rsidR="009B5C3B" w:rsidRPr="009B5C3B" w:rsidRDefault="009B5C3B" w:rsidP="009B5C3B">
      <w:pPr>
        <w:pStyle w:val="Heading1"/>
      </w:pPr>
      <w:r w:rsidRPr="009B5C3B">
        <w:lastRenderedPageBreak/>
        <w:t xml:space="preserve">Statement 8: </w:t>
      </w:r>
      <w:r w:rsidR="00F171B6" w:rsidRPr="00F171B6">
        <w:t>Statement of Risks</w:t>
      </w:r>
    </w:p>
    <w:p w14:paraId="7CB0C95A" w14:textId="3BED31C0" w:rsidR="00B329A9" w:rsidRPr="00B329A9" w:rsidRDefault="00B329A9" w:rsidP="00B329A9">
      <w:pPr>
        <w:pStyle w:val="Heading2"/>
      </w:pPr>
      <w:bookmarkStart w:id="3" w:name="_Toc71117767"/>
      <w:bookmarkStart w:id="4" w:name="_Toc99141849"/>
      <w:bookmarkStart w:id="5" w:name="_Toc166165482"/>
      <w:bookmarkStart w:id="6" w:name="_Toc193536168"/>
      <w:r w:rsidRPr="00B329A9">
        <w:t>Overview</w:t>
      </w:r>
      <w:bookmarkEnd w:id="3"/>
      <w:bookmarkEnd w:id="4"/>
      <w:bookmarkEnd w:id="5"/>
      <w:bookmarkEnd w:id="6"/>
    </w:p>
    <w:p w14:paraId="6DF6AB4D" w14:textId="47CEFDDD" w:rsidR="0023618C" w:rsidRPr="005F6D17" w:rsidRDefault="0023618C" w:rsidP="009B5C3B">
      <w:pPr>
        <w:rPr>
          <w:rFonts w:eastAsia="Book Antiqua"/>
          <w:b/>
        </w:rPr>
      </w:pPr>
      <w:r w:rsidRPr="005F6D17">
        <w:rPr>
          <w:rFonts w:eastAsia="Book Antiqua"/>
        </w:rPr>
        <w:t>The forward estimates of revenue and expenses in the </w:t>
      </w:r>
      <w:r w:rsidR="00527650">
        <w:rPr>
          <w:rFonts w:eastAsia="Book Antiqua"/>
        </w:rPr>
        <w:t>2025</w:t>
      </w:r>
      <w:r w:rsidR="000F2865">
        <w:rPr>
          <w:rFonts w:eastAsia="Book Antiqua"/>
        </w:rPr>
        <w:t>–</w:t>
      </w:r>
      <w:r w:rsidR="00527650">
        <w:rPr>
          <w:rFonts w:eastAsia="Book Antiqua"/>
        </w:rPr>
        <w:t>26</w:t>
      </w:r>
      <w:r w:rsidR="00D23095">
        <w:rPr>
          <w:rFonts w:eastAsia="Book Antiqua"/>
        </w:rPr>
        <w:t> </w:t>
      </w:r>
      <w:r w:rsidR="00527650">
        <w:rPr>
          <w:rFonts w:eastAsia="Book Antiqua"/>
        </w:rPr>
        <w:t xml:space="preserve">Budget </w:t>
      </w:r>
      <w:r w:rsidRPr="005F6D17">
        <w:rPr>
          <w:rFonts w:eastAsia="Book Antiqua"/>
        </w:rPr>
        <w:t>incorporate assumptions and judgments based on the best information available at the time of publication, together with a range of economic assumptions and other forecasts and projections.</w:t>
      </w:r>
    </w:p>
    <w:p w14:paraId="43FFB5AA" w14:textId="643124EA" w:rsidR="004A6DF5" w:rsidRPr="005F6D17" w:rsidRDefault="0023618C" w:rsidP="0023618C">
      <w:pPr>
        <w:rPr>
          <w:rFonts w:eastAsia="Book Antiqua"/>
        </w:rPr>
      </w:pPr>
      <w:r w:rsidRPr="005F6D17">
        <w:rPr>
          <w:rFonts w:eastAsia="Book Antiqua"/>
        </w:rPr>
        <w:t>Events that could affect fiscal outcomes include:</w:t>
      </w:r>
    </w:p>
    <w:p w14:paraId="7CCB26ED" w14:textId="77777777" w:rsidR="004D4951" w:rsidRPr="00E575F1" w:rsidRDefault="004D4951" w:rsidP="004D4951">
      <w:pPr>
        <w:pStyle w:val="Bullet"/>
        <w:ind w:left="283" w:hanging="283"/>
        <w:rPr>
          <w:rFonts w:eastAsia="Book Antiqua"/>
        </w:rPr>
      </w:pPr>
      <w:r w:rsidRPr="00E575F1">
        <w:rPr>
          <w:rFonts w:eastAsia="Book Antiqua"/>
        </w:rPr>
        <w:t>changes in economic and other parameters, which may be</w:t>
      </w:r>
      <w:r>
        <w:rPr>
          <w:rFonts w:eastAsia="Book Antiqua"/>
        </w:rPr>
        <w:t xml:space="preserve"> driven by changes to the outlook for domestic and global growth and inflation, </w:t>
      </w:r>
      <w:r w:rsidRPr="00E575F1">
        <w:rPr>
          <w:rFonts w:eastAsia="Book Antiqua"/>
        </w:rPr>
        <w:t xml:space="preserve">volatility in global commodity prices, </w:t>
      </w:r>
      <w:r>
        <w:rPr>
          <w:rFonts w:eastAsia="Book Antiqua"/>
        </w:rPr>
        <w:t xml:space="preserve">impacts from rising trade tensions, </w:t>
      </w:r>
      <w:r w:rsidRPr="00E575F1">
        <w:rPr>
          <w:rFonts w:eastAsia="Book Antiqua"/>
        </w:rPr>
        <w:t>further global instability stemming from conflicts in Europe and the Middle East, and the challenges associated with the transition towards net zero emissions</w:t>
      </w:r>
    </w:p>
    <w:p w14:paraId="579C4B84" w14:textId="77777777" w:rsidR="0023618C" w:rsidRPr="00E575F1" w:rsidRDefault="0023618C" w:rsidP="00E575F1">
      <w:pPr>
        <w:pStyle w:val="Bullet"/>
        <w:rPr>
          <w:rFonts w:eastAsia="Book Antiqua"/>
        </w:rPr>
      </w:pPr>
      <w:r w:rsidRPr="00E575F1">
        <w:rPr>
          <w:rFonts w:eastAsia="Book Antiqua"/>
        </w:rPr>
        <w:t>matters not included in the fiscal forecasts because of uncertainty about their timing, magnitude or likelihood</w:t>
      </w:r>
    </w:p>
    <w:p w14:paraId="2209E78A" w14:textId="77777777" w:rsidR="0023618C" w:rsidRPr="00E575F1" w:rsidRDefault="0023618C" w:rsidP="00E575F1">
      <w:pPr>
        <w:pStyle w:val="Bullet"/>
        <w:rPr>
          <w:rFonts w:eastAsia="Book Antiqua"/>
        </w:rPr>
      </w:pPr>
      <w:r w:rsidRPr="00E575F1">
        <w:rPr>
          <w:rFonts w:eastAsia="Book Antiqua"/>
        </w:rPr>
        <w:t>the realisation of contingent liabilities or assets.</w:t>
      </w:r>
    </w:p>
    <w:p w14:paraId="710451C7" w14:textId="3D3566E9" w:rsidR="0023618C" w:rsidRPr="005F6D17" w:rsidRDefault="0023618C" w:rsidP="0023618C">
      <w:pPr>
        <w:rPr>
          <w:rFonts w:eastAsia="Book Antiqua"/>
          <w:i/>
        </w:rPr>
      </w:pPr>
      <w:r w:rsidRPr="005F6D17">
        <w:rPr>
          <w:rFonts w:eastAsia="Book Antiqua"/>
        </w:rPr>
        <w:t xml:space="preserve">The revenue and expense estimates and projections published in the </w:t>
      </w:r>
      <w:r w:rsidR="001E6502">
        <w:rPr>
          <w:rFonts w:eastAsia="Book Antiqua"/>
        </w:rPr>
        <w:t>2025</w:t>
      </w:r>
      <w:r w:rsidR="006B5DAC">
        <w:rPr>
          <w:rFonts w:eastAsia="Book Antiqua"/>
        </w:rPr>
        <w:t>–</w:t>
      </w:r>
      <w:r w:rsidR="001E6502">
        <w:rPr>
          <w:rFonts w:eastAsia="Book Antiqua"/>
        </w:rPr>
        <w:t>26</w:t>
      </w:r>
      <w:r w:rsidR="00DD0186">
        <w:rPr>
          <w:rFonts w:eastAsia="Book Antiqua"/>
        </w:rPr>
        <w:t> </w:t>
      </w:r>
      <w:r w:rsidR="001E6502">
        <w:rPr>
          <w:rFonts w:eastAsia="Book Antiqua"/>
        </w:rPr>
        <w:t>Budget</w:t>
      </w:r>
      <w:r w:rsidRPr="005F6D17">
        <w:rPr>
          <w:rFonts w:eastAsia="Book Antiqua"/>
        </w:rPr>
        <w:t xml:space="preserve"> are based on a range of economic and </w:t>
      </w:r>
      <w:r w:rsidRPr="00024F74">
        <w:rPr>
          <w:rFonts w:eastAsia="Book Antiqua"/>
        </w:rPr>
        <w:t xml:space="preserve">other parameters that are consistent with the domestic and international outlook detailed in </w:t>
      </w:r>
      <w:r w:rsidR="00C60E8B" w:rsidRPr="0078296F">
        <w:rPr>
          <w:rStyle w:val="Emphasis"/>
          <w:rFonts w:eastAsia="Book Antiqua"/>
        </w:rPr>
        <w:t>Statement </w:t>
      </w:r>
      <w:r w:rsidRPr="0078296F">
        <w:rPr>
          <w:rStyle w:val="Emphasis"/>
          <w:rFonts w:eastAsia="Book Antiqua"/>
        </w:rPr>
        <w:t>2: Economic Outlook</w:t>
      </w:r>
      <w:r w:rsidRPr="00024F74">
        <w:rPr>
          <w:rFonts w:eastAsia="Book Antiqua"/>
        </w:rPr>
        <w:t xml:space="preserve">. Economic outcomes that differ from the parameters used in the </w:t>
      </w:r>
      <w:r w:rsidR="00981E53">
        <w:rPr>
          <w:rFonts w:eastAsia="Book Antiqua"/>
        </w:rPr>
        <w:t>Budget</w:t>
      </w:r>
      <w:r w:rsidR="00981E53" w:rsidRPr="00024F74">
        <w:rPr>
          <w:rFonts w:eastAsia="Book Antiqua"/>
        </w:rPr>
        <w:t xml:space="preserve"> </w:t>
      </w:r>
      <w:r w:rsidRPr="00024F74">
        <w:rPr>
          <w:rFonts w:eastAsia="Book Antiqua"/>
        </w:rPr>
        <w:t xml:space="preserve">represent a material risk to the </w:t>
      </w:r>
      <w:r w:rsidR="00CC4553">
        <w:rPr>
          <w:rFonts w:eastAsia="Book Antiqua"/>
        </w:rPr>
        <w:t xml:space="preserve">Budget </w:t>
      </w:r>
      <w:r w:rsidRPr="00024F74">
        <w:rPr>
          <w:rFonts w:eastAsia="Book Antiqua"/>
        </w:rPr>
        <w:t xml:space="preserve">estimates. </w:t>
      </w:r>
      <w:r w:rsidR="00CC4553" w:rsidRPr="0078296F">
        <w:rPr>
          <w:rStyle w:val="Emphasis"/>
          <w:rFonts w:eastAsia="Book Antiqua"/>
        </w:rPr>
        <w:t xml:space="preserve">Statement </w:t>
      </w:r>
      <w:r w:rsidR="006C73CF" w:rsidRPr="0078296F">
        <w:rPr>
          <w:rStyle w:val="Emphasis"/>
          <w:rFonts w:eastAsia="Book Antiqua"/>
        </w:rPr>
        <w:t>7</w:t>
      </w:r>
      <w:r w:rsidRPr="0078296F">
        <w:rPr>
          <w:rStyle w:val="Emphasis"/>
          <w:rFonts w:eastAsia="Book Antiqua"/>
        </w:rPr>
        <w:t xml:space="preserve">: </w:t>
      </w:r>
      <w:r w:rsidR="006A23A6" w:rsidRPr="0078296F">
        <w:rPr>
          <w:rStyle w:val="Emphasis"/>
          <w:rFonts w:eastAsia="Book Antiqua"/>
        </w:rPr>
        <w:t>Forecasting Performance and</w:t>
      </w:r>
      <w:r w:rsidRPr="0078296F">
        <w:rPr>
          <w:rStyle w:val="Emphasis"/>
          <w:rFonts w:eastAsia="Book Antiqua"/>
        </w:rPr>
        <w:t xml:space="preserve"> Sensitivity Analysis</w:t>
      </w:r>
      <w:r w:rsidRPr="00533B23">
        <w:rPr>
          <w:rFonts w:eastAsia="Book Antiqua"/>
        </w:rPr>
        <w:t xml:space="preserve"> </w:t>
      </w:r>
      <w:r w:rsidRPr="00024F74">
        <w:rPr>
          <w:rFonts w:eastAsia="Book Antiqua"/>
        </w:rPr>
        <w:t>examines the impact on receipts and payments of altering some of the key economic assumptions underlying</w:t>
      </w:r>
      <w:r w:rsidRPr="005F6D17">
        <w:rPr>
          <w:rFonts w:eastAsia="Book Antiqua"/>
        </w:rPr>
        <w:t xml:space="preserve"> the </w:t>
      </w:r>
      <w:r w:rsidR="006A23A6">
        <w:rPr>
          <w:rFonts w:eastAsia="Book Antiqua"/>
        </w:rPr>
        <w:t xml:space="preserve">Budget </w:t>
      </w:r>
      <w:r w:rsidRPr="005F6D17">
        <w:rPr>
          <w:rFonts w:eastAsia="Book Antiqua"/>
        </w:rPr>
        <w:t>estimates.</w:t>
      </w:r>
    </w:p>
    <w:p w14:paraId="7583F0E7" w14:textId="1A8FB1FC" w:rsidR="002D3CDE" w:rsidRDefault="002D3CDE" w:rsidP="0023618C">
      <w:pPr>
        <w:rPr>
          <w:rFonts w:eastAsia="Book Antiqua"/>
        </w:rPr>
      </w:pPr>
      <w:r>
        <w:rPr>
          <w:rFonts w:eastAsia="Book Antiqua"/>
        </w:rPr>
        <w:t>Expenditure</w:t>
      </w:r>
      <w:r w:rsidRPr="00EE551C">
        <w:rPr>
          <w:rFonts w:eastAsia="Book Antiqua"/>
        </w:rPr>
        <w:t xml:space="preserve"> can differ from forecasts for </w:t>
      </w:r>
      <w:r>
        <w:rPr>
          <w:rFonts w:eastAsia="Book Antiqua"/>
        </w:rPr>
        <w:t xml:space="preserve">program specific </w:t>
      </w:r>
      <w:r w:rsidRPr="00EE551C">
        <w:rPr>
          <w:rFonts w:eastAsia="Book Antiqua"/>
        </w:rPr>
        <w:t xml:space="preserve">reasons. Forecasts of payments </w:t>
      </w:r>
      <w:r>
        <w:rPr>
          <w:rFonts w:eastAsia="Book Antiqua"/>
        </w:rPr>
        <w:t>for</w:t>
      </w:r>
      <w:r w:rsidRPr="00EE551C">
        <w:rPr>
          <w:rFonts w:eastAsia="Book Antiqua"/>
        </w:rPr>
        <w:t xml:space="preserve"> demand</w:t>
      </w:r>
      <w:r w:rsidR="00D23095">
        <w:rPr>
          <w:rFonts w:eastAsia="Book Antiqua"/>
        </w:rPr>
        <w:noBreakHyphen/>
      </w:r>
      <w:r w:rsidRPr="00EE551C">
        <w:rPr>
          <w:rFonts w:eastAsia="Book Antiqua"/>
        </w:rPr>
        <w:t xml:space="preserve">driven programs, such as payments related to Aged Care, Child Care or the National Disability Insurance Scheme, </w:t>
      </w:r>
      <w:r>
        <w:rPr>
          <w:rFonts w:eastAsia="Book Antiqua"/>
        </w:rPr>
        <w:t xml:space="preserve">are highly dependent on estimates of </w:t>
      </w:r>
      <w:r w:rsidRPr="00EE551C">
        <w:rPr>
          <w:rFonts w:eastAsia="Book Antiqua"/>
        </w:rPr>
        <w:t>the number of expected participants or beneficiaries and</w:t>
      </w:r>
      <w:r>
        <w:rPr>
          <w:rFonts w:eastAsia="Book Antiqua"/>
        </w:rPr>
        <w:t xml:space="preserve"> estimates of the cost of providing services to different cohorts of participants</w:t>
      </w:r>
      <w:r w:rsidRPr="00EE551C">
        <w:rPr>
          <w:rFonts w:eastAsia="Book Antiqua"/>
        </w:rPr>
        <w:t>.</w:t>
      </w:r>
      <w:r>
        <w:rPr>
          <w:rFonts w:eastAsia="Book Antiqua"/>
        </w:rPr>
        <w:t xml:space="preserve"> These can be affected by administrative decisions associated with these programs. </w:t>
      </w:r>
      <w:r w:rsidRPr="00A02109">
        <w:t>D</w:t>
      </w:r>
      <w:r w:rsidRPr="00A02109">
        <w:rPr>
          <w:rFonts w:eastAsia="Book Antiqua"/>
        </w:rPr>
        <w:t>ecisions made by courts, tribunals and other legal/statutory bodies (such as through the Fair Work Commission) can also affect the cost of activities funded by the Government.</w:t>
      </w:r>
    </w:p>
    <w:p w14:paraId="2C2269E4" w14:textId="7259FC1F" w:rsidR="0023618C" w:rsidRPr="005F6D17" w:rsidRDefault="0023618C" w:rsidP="0023618C">
      <w:pPr>
        <w:rPr>
          <w:rFonts w:eastAsia="Book Antiqua"/>
        </w:rPr>
      </w:pPr>
      <w:r w:rsidRPr="005F6D17">
        <w:rPr>
          <w:rFonts w:eastAsia="Book Antiqua"/>
        </w:rPr>
        <w:t>Revenue forecasting relies heavily on the observed relationships between the economy, tax bases and tax revenues. Such relationships may shift over time as the economy changes, presenting risk to the estimates. For example, the ability of entities to use tax losses to offset profits may continue to pose heightened challenges in estimating the profile for company and resource tax receipts. Revenue forecasts also incorporate costings for new policies that typically involve a degree of uncertainty.</w:t>
      </w:r>
    </w:p>
    <w:p w14:paraId="3F451882" w14:textId="77777777" w:rsidR="0023618C" w:rsidRPr="005F6D17" w:rsidRDefault="0023618C" w:rsidP="0023618C">
      <w:pPr>
        <w:rPr>
          <w:rFonts w:eastAsia="Book Antiqua"/>
        </w:rPr>
      </w:pPr>
      <w:r w:rsidRPr="005F6D17">
        <w:rPr>
          <w:rFonts w:eastAsia="Book Antiqua"/>
        </w:rPr>
        <w:lastRenderedPageBreak/>
        <w:t>The estimates and projections of revenue are also subject to general risks that can affect taxation collections. These risks include the ability of the tax system to keep pace with changes in the business environment, the potential for tax avoidance, pending court decisions and Australian Taxation Office rulings, and the uncertain outcomes of compliance programs. The manifestation of these risks may result in a shift in the composition of taxation collected from the various tax bases or a change in the size of the tax base.</w:t>
      </w:r>
    </w:p>
    <w:p w14:paraId="58CA1468" w14:textId="4D55B59B" w:rsidR="0023618C" w:rsidRPr="005F6D17" w:rsidRDefault="0023618C" w:rsidP="0023618C">
      <w:pPr>
        <w:rPr>
          <w:rFonts w:eastAsia="Book Antiqua"/>
        </w:rPr>
      </w:pPr>
      <w:r w:rsidRPr="005F6D17">
        <w:rPr>
          <w:rFonts w:eastAsia="Book Antiqua"/>
        </w:rPr>
        <w:t xml:space="preserve">Many agencies rely on external revenue to fund the delivery of some of their services. Estimates included in the </w:t>
      </w:r>
      <w:r w:rsidR="00275BE1">
        <w:rPr>
          <w:rFonts w:eastAsia="Book Antiqua"/>
        </w:rPr>
        <w:t>2025</w:t>
      </w:r>
      <w:r w:rsidR="00B225F9">
        <w:rPr>
          <w:rFonts w:eastAsia="Book Antiqua"/>
        </w:rPr>
        <w:t>–</w:t>
      </w:r>
      <w:r w:rsidR="00275BE1">
        <w:rPr>
          <w:rFonts w:eastAsia="Book Antiqua"/>
        </w:rPr>
        <w:t>26 </w:t>
      </w:r>
      <w:r w:rsidR="003839B0">
        <w:rPr>
          <w:rFonts w:eastAsia="Book Antiqua"/>
        </w:rPr>
        <w:t>Budget</w:t>
      </w:r>
      <w:r w:rsidR="003839B0" w:rsidRPr="005F6D17">
        <w:rPr>
          <w:rFonts w:eastAsia="Book Antiqua"/>
        </w:rPr>
        <w:t xml:space="preserve"> </w:t>
      </w:r>
      <w:r w:rsidRPr="005F6D17">
        <w:rPr>
          <w:rFonts w:eastAsia="Book Antiqua"/>
        </w:rPr>
        <w:t xml:space="preserve">for these agencies reflect the latest information about the likely amount of external revenue they will raise. The external revenue </w:t>
      </w:r>
      <w:proofErr w:type="gramStart"/>
      <w:r w:rsidRPr="005F6D17">
        <w:rPr>
          <w:rFonts w:eastAsia="Book Antiqua"/>
        </w:rPr>
        <w:t>actually collected</w:t>
      </w:r>
      <w:proofErr w:type="gramEnd"/>
      <w:r w:rsidRPr="005F6D17">
        <w:rPr>
          <w:rFonts w:eastAsia="Book Antiqua"/>
        </w:rPr>
        <w:t xml:space="preserve"> is not certain and depends on some common factors, including economic conditions, which can affect estimates for individual agencies and for the Budget as a whole. </w:t>
      </w:r>
    </w:p>
    <w:p w14:paraId="339A8926" w14:textId="2929F10B" w:rsidR="002D5A33" w:rsidRPr="005F6D17" w:rsidRDefault="002D5A33" w:rsidP="002D5A33">
      <w:pPr>
        <w:rPr>
          <w:rFonts w:eastAsia="Book Antiqua"/>
        </w:rPr>
      </w:pPr>
      <w:bookmarkStart w:id="7" w:name="_Toc184039466"/>
      <w:bookmarkStart w:id="8" w:name="_Toc166165483"/>
      <w:r w:rsidRPr="00A02109">
        <w:rPr>
          <w:rFonts w:eastAsia="Book Antiqua"/>
        </w:rPr>
        <w:t xml:space="preserve">The forward estimates in the </w:t>
      </w:r>
      <w:r>
        <w:rPr>
          <w:rFonts w:eastAsia="Book Antiqua"/>
        </w:rPr>
        <w:t>2025</w:t>
      </w:r>
      <w:r w:rsidR="00D23095">
        <w:rPr>
          <w:rFonts w:eastAsia="Book Antiqua"/>
        </w:rPr>
        <w:t>–</w:t>
      </w:r>
      <w:r>
        <w:rPr>
          <w:rFonts w:eastAsia="Book Antiqua"/>
        </w:rPr>
        <w:t>26</w:t>
      </w:r>
      <w:r w:rsidR="00DD0186">
        <w:rPr>
          <w:rFonts w:eastAsia="Book Antiqua"/>
        </w:rPr>
        <w:t> </w:t>
      </w:r>
      <w:r>
        <w:rPr>
          <w:rFonts w:eastAsia="Book Antiqua"/>
        </w:rPr>
        <w:t>Budget</w:t>
      </w:r>
      <w:r w:rsidRPr="00A02109">
        <w:rPr>
          <w:rFonts w:eastAsia="Book Antiqua"/>
        </w:rPr>
        <w:t xml:space="preserve"> include the impact of all policy decisions, including those that remain unlegislated. This includes the impact of policy decisions that have been made but where negotiations remain </w:t>
      </w:r>
      <w:proofErr w:type="gramStart"/>
      <w:r w:rsidRPr="00A02109">
        <w:rPr>
          <w:rFonts w:eastAsia="Book Antiqua"/>
        </w:rPr>
        <w:t>underway</w:t>
      </w:r>
      <w:proofErr w:type="gramEnd"/>
      <w:r w:rsidRPr="00A02109">
        <w:rPr>
          <w:rFonts w:eastAsia="Book Antiqua"/>
        </w:rPr>
        <w:t xml:space="preserve"> or implementation details are still being finalised. There are risks to the fiscal position where legislation is not passed in time, where negotiations deliver outcomes that go beyond the funding offer or </w:t>
      </w:r>
      <w:r w:rsidRPr="00A02109">
        <w:t xml:space="preserve">where final implementation details affect the </w:t>
      </w:r>
      <w:r w:rsidRPr="002D5A33">
        <w:t>timing or quantum of expected</w:t>
      </w:r>
      <w:r w:rsidRPr="00A02109">
        <w:t xml:space="preserve"> payments.</w:t>
      </w:r>
    </w:p>
    <w:p w14:paraId="03C1E583" w14:textId="77777777" w:rsidR="0023618C" w:rsidRPr="00B832E0" w:rsidRDefault="0023618C" w:rsidP="0023618C">
      <w:pPr>
        <w:pStyle w:val="Heading3"/>
      </w:pPr>
      <w:bookmarkStart w:id="9" w:name="_Toc193536169"/>
      <w:r w:rsidRPr="00B832E0">
        <w:t>The risks associated with climate change</w:t>
      </w:r>
      <w:bookmarkEnd w:id="7"/>
      <w:bookmarkEnd w:id="9"/>
    </w:p>
    <w:bookmarkEnd w:id="8"/>
    <w:p w14:paraId="408E78CE" w14:textId="4BFEBA8F" w:rsidR="0023618C" w:rsidRPr="005F6D17" w:rsidRDefault="0023618C" w:rsidP="0023618C">
      <w:pPr>
        <w:rPr>
          <w:rFonts w:eastAsia="Book Antiqua"/>
          <w:b/>
        </w:rPr>
      </w:pPr>
      <w:r w:rsidRPr="005F6D17">
        <w:rPr>
          <w:rFonts w:eastAsia="Book Antiqua"/>
        </w:rPr>
        <w:t>Over time, climate change is expected to have a significant impact on the Budget, both in terms of risk</w:t>
      </w:r>
      <w:r w:rsidR="001C35A7">
        <w:rPr>
          <w:rFonts w:eastAsia="Book Antiqua"/>
        </w:rPr>
        <w:t>s</w:t>
      </w:r>
      <w:r w:rsidRPr="005F6D17">
        <w:rPr>
          <w:rFonts w:eastAsia="Book Antiqua"/>
        </w:rPr>
        <w:t xml:space="preserve"> and opportunities. The Australian Government is managing these impacts by reducing emissions and supporting the economic opportunities presented by the net zero transition. However, there is still significant uncertainty about the trajectory of global greenhouse gas emissions and the impacts climate change will have on Australia.</w:t>
      </w:r>
    </w:p>
    <w:p w14:paraId="34BD42BD" w14:textId="6727B9E2" w:rsidR="0023618C" w:rsidRPr="005F6D17" w:rsidRDefault="0023618C" w:rsidP="0023618C">
      <w:pPr>
        <w:rPr>
          <w:rFonts w:eastAsia="Book Antiqua"/>
          <w:b/>
        </w:rPr>
      </w:pPr>
      <w:r w:rsidRPr="005F6D17">
        <w:rPr>
          <w:rFonts w:eastAsia="Book Antiqua"/>
        </w:rPr>
        <w:t>Climate change can affect macroeconomic and fiscal outcomes in various ways. These include the physical impacts of climate change, the indirect impacts climate change will have on Australia</w:t>
      </w:r>
      <w:r w:rsidR="00D23095">
        <w:rPr>
          <w:rFonts w:eastAsia="Book Antiqua"/>
          <w:b/>
        </w:rPr>
        <w:t>’</w:t>
      </w:r>
      <w:r w:rsidRPr="005F6D17">
        <w:rPr>
          <w:rFonts w:eastAsia="Book Antiqua"/>
        </w:rPr>
        <w:t>s industry mix, and the impacts of policy responses to reduce emissions or adapt to the impacts of a changing climate. Each of these has the potential to affect receipts, payments, and the Australian Government</w:t>
      </w:r>
      <w:r w:rsidR="00D23095">
        <w:rPr>
          <w:rFonts w:eastAsia="Book Antiqua"/>
          <w:b/>
        </w:rPr>
        <w:t>’</w:t>
      </w:r>
      <w:r w:rsidRPr="005F6D17">
        <w:rPr>
          <w:rFonts w:eastAsia="Book Antiqua"/>
        </w:rPr>
        <w:t>s balance sheet. They also have the potential to influence general economic outcomes, which may, in turn, affect Budget</w:t>
      </w:r>
      <w:r w:rsidR="00DD0186">
        <w:rPr>
          <w:rFonts w:eastAsia="Book Antiqua"/>
        </w:rPr>
        <w:t> </w:t>
      </w:r>
      <w:r w:rsidRPr="005F6D17">
        <w:rPr>
          <w:rFonts w:eastAsia="Book Antiqua"/>
        </w:rPr>
        <w:t>outcomes</w:t>
      </w:r>
      <w:r w:rsidRPr="005F6D17">
        <w:rPr>
          <w:rFonts w:eastAsia="Book Antiqua"/>
          <w:b/>
        </w:rPr>
        <w:t xml:space="preserve">. </w:t>
      </w:r>
    </w:p>
    <w:p w14:paraId="7A0BB143" w14:textId="7A12F82D" w:rsidR="0023618C" w:rsidRPr="005F6D17" w:rsidRDefault="00E94CC7" w:rsidP="00C0119D">
      <w:pPr>
        <w:rPr>
          <w:rFonts w:eastAsia="Book Antiqua"/>
        </w:rPr>
      </w:pPr>
      <w:r w:rsidRPr="00E94CC7">
        <w:rPr>
          <w:rStyle w:val="Emphasis"/>
          <w:rFonts w:eastAsia="Book Antiqua"/>
          <w:i w:val="0"/>
          <w:iCs w:val="0"/>
        </w:rPr>
        <w:t>This</w:t>
      </w:r>
      <w:r>
        <w:rPr>
          <w:rStyle w:val="Emphasis"/>
          <w:rFonts w:eastAsia="Book Antiqua"/>
        </w:rPr>
        <w:t xml:space="preserve"> </w:t>
      </w:r>
      <w:r>
        <w:rPr>
          <w:rStyle w:val="Emphasis"/>
          <w:rFonts w:eastAsia="Book Antiqua"/>
          <w:i w:val="0"/>
          <w:iCs w:val="0"/>
        </w:rPr>
        <w:t>Statement</w:t>
      </w:r>
      <w:r w:rsidR="0023618C" w:rsidRPr="005F6D17">
        <w:rPr>
          <w:rFonts w:eastAsia="Book Antiqua"/>
        </w:rPr>
        <w:t xml:space="preserve"> sets out specific risks where they may have an impact on the Budget in the Budget year or over the forward estimates period. Some of these risks, such as those associated with the cyclone and related flooding reinsurance pool and disaster recovery arrangements, are likely to be exacerbated by climate change over time. Other specific risks may emerge that will impact the Budget beyond the forward estimates period.</w:t>
      </w:r>
    </w:p>
    <w:p w14:paraId="2D9C4C74" w14:textId="77777777" w:rsidR="0023618C" w:rsidRPr="00B832E0" w:rsidRDefault="0023618C" w:rsidP="00C0119D">
      <w:pPr>
        <w:pStyle w:val="Heading3"/>
        <w:rPr>
          <w:rFonts w:eastAsia="Arial"/>
        </w:rPr>
      </w:pPr>
      <w:bookmarkStart w:id="10" w:name="_Toc166165484"/>
      <w:bookmarkStart w:id="11" w:name="_Toc184039467"/>
      <w:bookmarkStart w:id="12" w:name="_Toc193536170"/>
      <w:bookmarkStart w:id="13" w:name="_Toc99141850"/>
      <w:r w:rsidRPr="00B832E0">
        <w:rPr>
          <w:rFonts w:eastAsia="Arial"/>
        </w:rPr>
        <w:lastRenderedPageBreak/>
        <w:t>Special</w:t>
      </w:r>
      <w:r>
        <w:rPr>
          <w:rFonts w:eastAsia="Arial"/>
        </w:rPr>
        <w:t>ist</w:t>
      </w:r>
      <w:r w:rsidRPr="00B832E0">
        <w:rPr>
          <w:rFonts w:eastAsia="Arial"/>
        </w:rPr>
        <w:t xml:space="preserve"> Investment Vehicles</w:t>
      </w:r>
      <w:bookmarkEnd w:id="10"/>
      <w:bookmarkEnd w:id="11"/>
      <w:bookmarkEnd w:id="12"/>
    </w:p>
    <w:p w14:paraId="602DD462" w14:textId="173CD626" w:rsidR="0023618C" w:rsidRPr="005F6D17" w:rsidRDefault="0023618C" w:rsidP="00C0119D">
      <w:pPr>
        <w:rPr>
          <w:rFonts w:eastAsia="Book Antiqua"/>
        </w:rPr>
      </w:pPr>
      <w:r w:rsidRPr="005F6D17">
        <w:rPr>
          <w:rFonts w:eastAsia="Book Antiqua"/>
        </w:rPr>
        <w:t xml:space="preserve">Successive Australian Governments have established Specialist Investment Vehicles (SIVs) to achieve policy outcomes. These include the National Reconstruction </w:t>
      </w:r>
      <w:r w:rsidRPr="00992AEE">
        <w:rPr>
          <w:rFonts w:eastAsia="Book Antiqua"/>
        </w:rPr>
        <w:t>Fund</w:t>
      </w:r>
      <w:r>
        <w:rPr>
          <w:rFonts w:eastAsia="Book Antiqua"/>
        </w:rPr>
        <w:t xml:space="preserve"> Corporation</w:t>
      </w:r>
      <w:r w:rsidRPr="005F6D17">
        <w:rPr>
          <w:rFonts w:eastAsia="Book Antiqua"/>
        </w:rPr>
        <w:t>, Export Finance Australia, the Clean Energy Finance Corporation, and the Northern Australia Infrastructure Facility. These SIVs have been established with robust governance arrangements, including independent boards, which are charged with making investment decisions that manage risk and deliver outcomes in line with each SIV</w:t>
      </w:r>
      <w:r w:rsidR="00D23095">
        <w:rPr>
          <w:rFonts w:eastAsia="Book Antiqua"/>
        </w:rPr>
        <w:t>’</w:t>
      </w:r>
      <w:r w:rsidRPr="005F6D17">
        <w:rPr>
          <w:rFonts w:eastAsia="Book Antiqua"/>
        </w:rPr>
        <w:t xml:space="preserve">s </w:t>
      </w:r>
      <w:r w:rsidRPr="00B90FAB">
        <w:rPr>
          <w:rFonts w:eastAsia="Book Antiqua"/>
        </w:rPr>
        <w:t>legislative framework</w:t>
      </w:r>
      <w:r w:rsidRPr="005F6D17">
        <w:rPr>
          <w:rFonts w:eastAsia="Book Antiqua"/>
        </w:rPr>
        <w:t>. Details of each SIV is set out in Budget Paper No.</w:t>
      </w:r>
      <w:r>
        <w:rPr>
          <w:rFonts w:eastAsia="Book Antiqua"/>
        </w:rPr>
        <w:t> </w:t>
      </w:r>
      <w:r w:rsidRPr="005F6D17">
        <w:rPr>
          <w:rFonts w:eastAsia="Book Antiqua"/>
        </w:rPr>
        <w:t xml:space="preserve">2 or Appendix A to the MYEFO when they are established and, where relevant, presented in the </w:t>
      </w:r>
      <w:r w:rsidR="00D23095">
        <w:rPr>
          <w:rFonts w:eastAsia="Book Antiqua"/>
        </w:rPr>
        <w:t>‘</w:t>
      </w:r>
      <w:r w:rsidRPr="005F6D17">
        <w:rPr>
          <w:rFonts w:eastAsia="Book Antiqua"/>
        </w:rPr>
        <w:t>Government</w:t>
      </w:r>
      <w:r w:rsidR="00DD0186">
        <w:rPr>
          <w:rFonts w:eastAsia="Book Antiqua"/>
        </w:rPr>
        <w:t> </w:t>
      </w:r>
      <w:r w:rsidRPr="005F6D17">
        <w:rPr>
          <w:rFonts w:eastAsia="Book Antiqua"/>
        </w:rPr>
        <w:t>loans</w:t>
      </w:r>
      <w:r w:rsidR="00D23095">
        <w:rPr>
          <w:rFonts w:eastAsia="Book Antiqua"/>
        </w:rPr>
        <w:t>’</w:t>
      </w:r>
      <w:r w:rsidRPr="005F6D17">
        <w:rPr>
          <w:rFonts w:eastAsia="Book Antiqua"/>
        </w:rPr>
        <w:t xml:space="preserve"> section of this Statement, including the total value of loans issued by each entity. </w:t>
      </w:r>
      <w:r w:rsidR="0048370C" w:rsidRPr="005F6D17">
        <w:rPr>
          <w:rFonts w:eastAsia="Book Antiqua"/>
        </w:rPr>
        <w:t xml:space="preserve">This Statement includes reference to specific risks associated with these SIVs at the time it is apparent that </w:t>
      </w:r>
      <w:r w:rsidR="0048370C">
        <w:rPr>
          <w:rFonts w:eastAsia="Book Antiqua"/>
        </w:rPr>
        <w:t xml:space="preserve">the impact of </w:t>
      </w:r>
      <w:r w:rsidR="0048370C" w:rsidRPr="005F6D17">
        <w:rPr>
          <w:rFonts w:eastAsia="Book Antiqua"/>
        </w:rPr>
        <w:t>those risks associated with the investments exceed or are expected to exceed the materiality threshold</w:t>
      </w:r>
      <w:r w:rsidR="0048370C">
        <w:rPr>
          <w:rFonts w:eastAsia="Book Antiqua"/>
        </w:rPr>
        <w:t xml:space="preserve"> of $20 million in any one year</w:t>
      </w:r>
      <w:r w:rsidR="00255CFB">
        <w:rPr>
          <w:rFonts w:eastAsia="Book Antiqua"/>
        </w:rPr>
        <w:t>,</w:t>
      </w:r>
      <w:r w:rsidR="0048370C">
        <w:rPr>
          <w:rFonts w:eastAsia="Book Antiqua"/>
        </w:rPr>
        <w:t xml:space="preserve"> or $50</w:t>
      </w:r>
      <w:r w:rsidR="00DD0186">
        <w:rPr>
          <w:rFonts w:eastAsia="Book Antiqua"/>
        </w:rPr>
        <w:t> </w:t>
      </w:r>
      <w:r w:rsidR="0048370C">
        <w:rPr>
          <w:rFonts w:eastAsia="Book Antiqua"/>
        </w:rPr>
        <w:t>million over the forward estimates.</w:t>
      </w:r>
    </w:p>
    <w:p w14:paraId="59399010" w14:textId="77777777" w:rsidR="0023618C" w:rsidRPr="00B832E0" w:rsidRDefault="0023618C" w:rsidP="00C0119D">
      <w:pPr>
        <w:pStyle w:val="Heading3"/>
        <w:rPr>
          <w:rFonts w:eastAsia="Arial"/>
        </w:rPr>
      </w:pPr>
      <w:bookmarkStart w:id="14" w:name="_Toc166165485"/>
      <w:bookmarkStart w:id="15" w:name="_Toc184039468"/>
      <w:bookmarkStart w:id="16" w:name="_Toc193536171"/>
      <w:bookmarkEnd w:id="13"/>
      <w:r w:rsidRPr="00B832E0">
        <w:rPr>
          <w:rFonts w:eastAsia="Arial"/>
        </w:rPr>
        <w:t>Specific risks to the Budget</w:t>
      </w:r>
      <w:bookmarkEnd w:id="14"/>
      <w:bookmarkEnd w:id="15"/>
      <w:bookmarkEnd w:id="16"/>
    </w:p>
    <w:p w14:paraId="10589533" w14:textId="77777777" w:rsidR="0023618C" w:rsidRPr="005F6D17" w:rsidRDefault="0023618C" w:rsidP="00C0119D">
      <w:pPr>
        <w:rPr>
          <w:rFonts w:eastAsia="Book Antiqua"/>
        </w:rPr>
      </w:pPr>
      <w:r w:rsidRPr="005F6D17">
        <w:rPr>
          <w:rFonts w:eastAsia="Book Antiqua"/>
        </w:rPr>
        <w:t xml:space="preserve">The Budget is subject to contingent liabilities. Many of these reflect indemnities, including those relating to the Department of Defence, the Future Fund Management Agency and Future Fund Board of Guardians, and the Reserve Bank of Australia. The Australian Government has also issued guarantees, including those relating to guarantee schemes for the banking and financial sector, payments by Export Finance Australia, and the superannuation liabilities of the Commonwealth Bank prior to its sale. Other significant contingent liabilities relate to uncalled capital subscriptions and credit facilities to international financial institutions and legal cases concerning the Australian Government. The Government has robust and conservative strategies in place to reduce its potential exposure to these contingent liabilities. </w:t>
      </w:r>
    </w:p>
    <w:p w14:paraId="5E5F3DE7" w14:textId="14A5E3E1" w:rsidR="0023618C" w:rsidRPr="005F6D17" w:rsidRDefault="0023618C" w:rsidP="0023618C">
      <w:pPr>
        <w:rPr>
          <w:rFonts w:eastAsia="Book Antiqua"/>
        </w:rPr>
      </w:pPr>
      <w:r w:rsidRPr="002C4F07">
        <w:rPr>
          <w:rFonts w:eastAsia="Book Antiqua"/>
        </w:rPr>
        <w:t>Table </w:t>
      </w:r>
      <w:r w:rsidR="006A5A13">
        <w:rPr>
          <w:rFonts w:eastAsia="Book Antiqua"/>
        </w:rPr>
        <w:t>8</w:t>
      </w:r>
      <w:r w:rsidRPr="002C4F07">
        <w:rPr>
          <w:rFonts w:eastAsia="Book Antiqua"/>
        </w:rPr>
        <w:t>.1</w:t>
      </w:r>
      <w:r w:rsidRPr="005F6D17">
        <w:rPr>
          <w:rFonts w:eastAsia="Book Antiqua"/>
        </w:rPr>
        <w:t xml:space="preserve"> outlines how fiscal risks, assets and liabilities, and contingent assets and liabilities, are disclosed in the </w:t>
      </w:r>
      <w:bookmarkStart w:id="17" w:name="_Toc32480713"/>
      <w:bookmarkStart w:id="18" w:name="_Toc32487225"/>
      <w:r w:rsidR="0048370C">
        <w:rPr>
          <w:rFonts w:eastAsia="Book Antiqua"/>
        </w:rPr>
        <w:t>Budget</w:t>
      </w:r>
      <w:r w:rsidRPr="005F6D17">
        <w:rPr>
          <w:rFonts w:eastAsia="Book Antiqua"/>
        </w:rPr>
        <w:t xml:space="preserve">. </w:t>
      </w:r>
    </w:p>
    <w:p w14:paraId="6044CD91" w14:textId="77777777" w:rsidR="009410CB" w:rsidRPr="005F6D17" w:rsidRDefault="009410CB" w:rsidP="009410CB">
      <w:pPr>
        <w:rPr>
          <w:rFonts w:eastAsia="Book Antiqua"/>
        </w:rPr>
      </w:pPr>
      <w:r w:rsidRPr="002C4F07">
        <w:rPr>
          <w:rFonts w:eastAsia="Book Antiqua"/>
        </w:rPr>
        <w:t>Table </w:t>
      </w:r>
      <w:r>
        <w:rPr>
          <w:rFonts w:eastAsia="Book Antiqua"/>
        </w:rPr>
        <w:t>8</w:t>
      </w:r>
      <w:r w:rsidRPr="002C4F07">
        <w:rPr>
          <w:rFonts w:eastAsia="Book Antiqua"/>
        </w:rPr>
        <w:t>.2</w:t>
      </w:r>
      <w:r w:rsidRPr="005F6D17">
        <w:rPr>
          <w:rFonts w:eastAsia="Book Antiqua"/>
        </w:rPr>
        <w:t xml:space="preserve"> summarises fiscal risks, contingent liabilities and contingent assets with a possible impact on the forward estimates greater than</w:t>
      </w:r>
      <w:r>
        <w:rPr>
          <w:rFonts w:eastAsia="Book Antiqua"/>
        </w:rPr>
        <w:t xml:space="preserve"> the materiality threshold of</w:t>
      </w:r>
      <w:r w:rsidRPr="005F6D17">
        <w:rPr>
          <w:rFonts w:eastAsia="Book Antiqua"/>
        </w:rPr>
        <w:t xml:space="preserve"> $20 million in any one year, or $50 million over the forward estimates period. Risks that are new or that have materially changed are detailed by portfolio after </w:t>
      </w:r>
      <w:r w:rsidRPr="002C4F07">
        <w:rPr>
          <w:rFonts w:eastAsia="Book Antiqua"/>
        </w:rPr>
        <w:t>Table </w:t>
      </w:r>
      <w:r>
        <w:rPr>
          <w:rFonts w:eastAsia="Book Antiqua"/>
        </w:rPr>
        <w:t>8</w:t>
      </w:r>
      <w:r w:rsidRPr="002C4F07">
        <w:rPr>
          <w:rFonts w:eastAsia="Book Antiqua"/>
        </w:rPr>
        <w:t>.2</w:t>
      </w:r>
      <w:r w:rsidRPr="005F6D17">
        <w:rPr>
          <w:rFonts w:eastAsia="Book Antiqua"/>
        </w:rPr>
        <w:t xml:space="preserve">. </w:t>
      </w:r>
    </w:p>
    <w:p w14:paraId="754C0857" w14:textId="3B050549" w:rsidR="0023618C" w:rsidRPr="005F6D17" w:rsidRDefault="0023618C" w:rsidP="0023618C">
      <w:pPr>
        <w:rPr>
          <w:rFonts w:eastAsia="Book Antiqua"/>
        </w:rPr>
      </w:pPr>
      <w:r w:rsidRPr="005F6D17">
        <w:rPr>
          <w:rFonts w:eastAsia="Book Antiqua"/>
        </w:rPr>
        <w:t>The Australian Government</w:t>
      </w:r>
      <w:r w:rsidR="00D23095">
        <w:rPr>
          <w:rFonts w:eastAsia="Book Antiqua"/>
        </w:rPr>
        <w:t>’</w:t>
      </w:r>
      <w:r w:rsidRPr="005F6D17">
        <w:rPr>
          <w:rFonts w:eastAsia="Book Antiqua"/>
        </w:rPr>
        <w:t>s annual consolidated financial statements and the annual financial statements of departments and other Government entities also set out information on contingent liabilities and contingent assets.</w:t>
      </w:r>
      <w:bookmarkEnd w:id="17"/>
      <w:bookmarkEnd w:id="18"/>
    </w:p>
    <w:p w14:paraId="2DB6B6F5" w14:textId="0ECF28C8" w:rsidR="00E334C2" w:rsidRPr="005F6D17" w:rsidRDefault="00E334C2" w:rsidP="00E334C2">
      <w:pPr>
        <w:rPr>
          <w:rFonts w:eastAsia="Book Antiqua"/>
        </w:rPr>
      </w:pPr>
      <w:r w:rsidRPr="005F6D17">
        <w:rPr>
          <w:rFonts w:eastAsia="Book Antiqua"/>
        </w:rPr>
        <w:t xml:space="preserve">The Government also makes direct loans for policy purposes. All loans contain some element of credit risk (that is, they will not be repaid in full) although, in many cases, this risk is small. Details of Government loans </w:t>
      </w:r>
      <w:r w:rsidR="00255CFB">
        <w:rPr>
          <w:rFonts w:eastAsia="Book Antiqua"/>
        </w:rPr>
        <w:t>estimated to</w:t>
      </w:r>
      <w:r w:rsidRPr="005F6D17">
        <w:rPr>
          <w:rFonts w:eastAsia="Book Antiqua"/>
        </w:rPr>
        <w:t xml:space="preserve"> exceed $200 million </w:t>
      </w:r>
      <w:proofErr w:type="gramStart"/>
      <w:r w:rsidRPr="005F6D17">
        <w:rPr>
          <w:rFonts w:eastAsia="Book Antiqua"/>
        </w:rPr>
        <w:t>at</w:t>
      </w:r>
      <w:proofErr w:type="gramEnd"/>
      <w:r w:rsidRPr="005F6D17">
        <w:rPr>
          <w:rFonts w:eastAsia="Book Antiqua"/>
        </w:rPr>
        <w:t xml:space="preserve"> 30 June 202</w:t>
      </w:r>
      <w:r>
        <w:rPr>
          <w:rFonts w:eastAsia="Book Antiqua"/>
        </w:rPr>
        <w:t>5</w:t>
      </w:r>
      <w:r w:rsidRPr="005F6D17">
        <w:rPr>
          <w:rFonts w:eastAsia="Book Antiqua"/>
        </w:rPr>
        <w:t xml:space="preserve"> are included at the conclusion o</w:t>
      </w:r>
      <w:r>
        <w:rPr>
          <w:rFonts w:eastAsia="Book Antiqua"/>
        </w:rPr>
        <w:t xml:space="preserve">f </w:t>
      </w:r>
      <w:r w:rsidR="00BA5048">
        <w:rPr>
          <w:rFonts w:eastAsia="Book Antiqua"/>
        </w:rPr>
        <w:t xml:space="preserve">this </w:t>
      </w:r>
      <w:r>
        <w:rPr>
          <w:rFonts w:eastAsia="Book Antiqua"/>
        </w:rPr>
        <w:t>Statement</w:t>
      </w:r>
      <w:r w:rsidRPr="005F6D17">
        <w:rPr>
          <w:rFonts w:eastAsia="Book Antiqua"/>
        </w:rPr>
        <w:t>.</w:t>
      </w:r>
    </w:p>
    <w:p w14:paraId="02F34AFD" w14:textId="42583066" w:rsidR="0023618C" w:rsidRPr="00B832E0" w:rsidRDefault="0023618C" w:rsidP="0023618C">
      <w:pPr>
        <w:pStyle w:val="TableHeading"/>
        <w:rPr>
          <w:rFonts w:eastAsia="Arial"/>
        </w:rPr>
      </w:pPr>
      <w:r w:rsidRPr="002C4F07">
        <w:rPr>
          <w:rFonts w:eastAsia="Arial"/>
        </w:rPr>
        <w:lastRenderedPageBreak/>
        <w:t xml:space="preserve">Table </w:t>
      </w:r>
      <w:r w:rsidR="006A5A13">
        <w:rPr>
          <w:rFonts w:eastAsia="Arial"/>
        </w:rPr>
        <w:t>8</w:t>
      </w:r>
      <w:r w:rsidRPr="002C4F07">
        <w:rPr>
          <w:rFonts w:eastAsia="Arial"/>
        </w:rPr>
        <w:t>.1</w:t>
      </w:r>
      <w:r w:rsidRPr="00D13C64">
        <w:rPr>
          <w:rFonts w:eastAsia="Arial"/>
        </w:rPr>
        <w:t>: Disclosure</w:t>
      </w:r>
      <w:r w:rsidRPr="006C4EA4">
        <w:rPr>
          <w:rFonts w:eastAsia="Arial"/>
        </w:rPr>
        <w:t xml:space="preserve"> </w:t>
      </w:r>
      <w:r w:rsidRPr="00B832E0">
        <w:rPr>
          <w:rFonts w:eastAsia="Arial"/>
        </w:rPr>
        <w:t>of fiscal risks, contingent assets and contingent liabilities, and assets and liabilities in the Budget papers</w:t>
      </w:r>
    </w:p>
    <w:tbl>
      <w:tblPr>
        <w:tblW w:w="5000" w:type="pct"/>
        <w:tblBorders>
          <w:top w:val="single" w:sz="2" w:space="0" w:color="002A54" w:themeColor="text2"/>
          <w:bottom w:val="single" w:sz="2" w:space="0" w:color="002A54" w:themeColor="text2"/>
          <w:insideH w:val="single" w:sz="2" w:space="0" w:color="002A54" w:themeColor="text2"/>
        </w:tblBorders>
        <w:tblLayout w:type="fixed"/>
        <w:tblLook w:val="01E0" w:firstRow="1" w:lastRow="1" w:firstColumn="1" w:lastColumn="1" w:noHBand="0" w:noVBand="0"/>
        <w:tblCaption w:val="Table"/>
      </w:tblPr>
      <w:tblGrid>
        <w:gridCol w:w="2003"/>
        <w:gridCol w:w="3666"/>
        <w:gridCol w:w="2041"/>
      </w:tblGrid>
      <w:tr w:rsidR="0023618C" w:rsidRPr="00B832E0" w14:paraId="3E18EBA5" w14:textId="77777777">
        <w:trPr>
          <w:trHeight w:val="263"/>
        </w:trPr>
        <w:tc>
          <w:tcPr>
            <w:tcW w:w="1998" w:type="dxa"/>
            <w:shd w:val="clear" w:color="auto" w:fill="E6F2FF"/>
          </w:tcPr>
          <w:p w14:paraId="4A907B6A" w14:textId="77777777" w:rsidR="0023618C" w:rsidRPr="00B832E0" w:rsidRDefault="0023618C">
            <w:pPr>
              <w:pStyle w:val="TableColumnHeadingLeft"/>
              <w:rPr>
                <w:rFonts w:eastAsia="Arial"/>
              </w:rPr>
            </w:pPr>
            <w:r w:rsidRPr="00B832E0">
              <w:rPr>
                <w:rFonts w:eastAsia="Arial"/>
              </w:rPr>
              <w:t>Category</w:t>
            </w:r>
          </w:p>
        </w:tc>
        <w:tc>
          <w:tcPr>
            <w:tcW w:w="3666" w:type="dxa"/>
            <w:shd w:val="clear" w:color="auto" w:fill="E6F2FF"/>
          </w:tcPr>
          <w:p w14:paraId="23DB7CFE" w14:textId="77777777" w:rsidR="0023618C" w:rsidRPr="00B832E0" w:rsidRDefault="0023618C">
            <w:pPr>
              <w:pStyle w:val="TableColumnHeadingLeft"/>
              <w:rPr>
                <w:rFonts w:eastAsia="Arial"/>
              </w:rPr>
            </w:pPr>
            <w:r w:rsidRPr="00B832E0">
              <w:rPr>
                <w:rFonts w:eastAsia="Arial"/>
              </w:rPr>
              <w:t>Type</w:t>
            </w:r>
            <w:r w:rsidRPr="00B832E0">
              <w:rPr>
                <w:rFonts w:eastAsia="Arial"/>
                <w:vertAlign w:val="superscript"/>
              </w:rPr>
              <w:t>(a)</w:t>
            </w:r>
          </w:p>
        </w:tc>
        <w:tc>
          <w:tcPr>
            <w:tcW w:w="2041" w:type="dxa"/>
            <w:shd w:val="clear" w:color="auto" w:fill="E6F2FF"/>
          </w:tcPr>
          <w:p w14:paraId="3656E195" w14:textId="77777777" w:rsidR="0023618C" w:rsidRPr="00B832E0" w:rsidRDefault="0023618C">
            <w:pPr>
              <w:pStyle w:val="TableColumnHeadingLeft"/>
              <w:rPr>
                <w:rFonts w:eastAsia="Arial"/>
              </w:rPr>
            </w:pPr>
            <w:r w:rsidRPr="00B832E0">
              <w:rPr>
                <w:rFonts w:eastAsia="Arial"/>
              </w:rPr>
              <w:t>Disclosure</w:t>
            </w:r>
          </w:p>
        </w:tc>
      </w:tr>
      <w:tr w:rsidR="0023618C" w:rsidRPr="00B832E0" w14:paraId="2FDD7D7D" w14:textId="77777777">
        <w:trPr>
          <w:trHeight w:val="223"/>
        </w:trPr>
        <w:tc>
          <w:tcPr>
            <w:tcW w:w="2004" w:type="dxa"/>
            <w:tcBorders>
              <w:bottom w:val="single" w:sz="2" w:space="0" w:color="002A54" w:themeColor="text2"/>
            </w:tcBorders>
          </w:tcPr>
          <w:p w14:paraId="5D14DC9A" w14:textId="77777777" w:rsidR="0023618C" w:rsidRPr="00B832E0" w:rsidRDefault="0023618C">
            <w:pPr>
              <w:pStyle w:val="TableTextLeft"/>
              <w:rPr>
                <w:rFonts w:eastAsia="Arial"/>
              </w:rPr>
            </w:pPr>
            <w:r w:rsidRPr="00B832E0">
              <w:rPr>
                <w:rFonts w:eastAsia="Arial"/>
              </w:rPr>
              <w:t>Fiscal Risks</w:t>
            </w:r>
          </w:p>
        </w:tc>
        <w:tc>
          <w:tcPr>
            <w:tcW w:w="3666" w:type="dxa"/>
          </w:tcPr>
          <w:p w14:paraId="045FDA9D" w14:textId="77777777" w:rsidR="0023618C" w:rsidRPr="00B832E0" w:rsidRDefault="0023618C">
            <w:pPr>
              <w:pStyle w:val="TableTextLeft"/>
              <w:rPr>
                <w:rFonts w:eastAsia="Arial"/>
              </w:rPr>
            </w:pPr>
            <w:r w:rsidRPr="00B832E0">
              <w:rPr>
                <w:rFonts w:eastAsia="Arial"/>
              </w:rPr>
              <w:t>Fiscal Risks</w:t>
            </w:r>
          </w:p>
        </w:tc>
        <w:tc>
          <w:tcPr>
            <w:tcW w:w="2041" w:type="dxa"/>
          </w:tcPr>
          <w:p w14:paraId="6C526444" w14:textId="77777777" w:rsidR="0023618C" w:rsidRPr="00B832E0" w:rsidRDefault="0023618C">
            <w:pPr>
              <w:pStyle w:val="TableTextLeft"/>
              <w:rPr>
                <w:rFonts w:eastAsia="Arial"/>
              </w:rPr>
            </w:pPr>
            <w:r w:rsidRPr="00B832E0">
              <w:rPr>
                <w:rFonts w:eastAsia="Arial"/>
              </w:rPr>
              <w:t>Statement of Risks</w:t>
            </w:r>
          </w:p>
        </w:tc>
      </w:tr>
      <w:tr w:rsidR="0023618C" w:rsidRPr="00B832E0" w14:paraId="1573DE94" w14:textId="77777777">
        <w:trPr>
          <w:trHeight w:val="407"/>
        </w:trPr>
        <w:tc>
          <w:tcPr>
            <w:tcW w:w="2004" w:type="dxa"/>
            <w:tcBorders>
              <w:bottom w:val="nil"/>
            </w:tcBorders>
          </w:tcPr>
          <w:p w14:paraId="5F23F6C1" w14:textId="77777777" w:rsidR="0023618C" w:rsidRPr="00B832E0" w:rsidRDefault="0023618C">
            <w:pPr>
              <w:pStyle w:val="TableTextLeft"/>
              <w:rPr>
                <w:rFonts w:eastAsia="Arial"/>
              </w:rPr>
            </w:pPr>
            <w:r w:rsidRPr="00B832E0">
              <w:rPr>
                <w:rFonts w:eastAsia="Arial"/>
              </w:rPr>
              <w:t>Contingent assets and contingent liabilities</w:t>
            </w:r>
          </w:p>
        </w:tc>
        <w:tc>
          <w:tcPr>
            <w:tcW w:w="3666" w:type="dxa"/>
          </w:tcPr>
          <w:p w14:paraId="01BE3BDC" w14:textId="77777777" w:rsidR="0023618C" w:rsidRPr="00B832E0" w:rsidRDefault="0023618C">
            <w:pPr>
              <w:pStyle w:val="TableTextLeft"/>
              <w:rPr>
                <w:rFonts w:eastAsia="Arial"/>
              </w:rPr>
            </w:pPr>
            <w:r w:rsidRPr="00B832E0">
              <w:rPr>
                <w:rFonts w:eastAsia="Arial"/>
              </w:rPr>
              <w:t>Significant contingent assets and liabilities considered remote</w:t>
            </w:r>
          </w:p>
        </w:tc>
        <w:tc>
          <w:tcPr>
            <w:tcW w:w="2041" w:type="dxa"/>
          </w:tcPr>
          <w:p w14:paraId="7A0B100E" w14:textId="77777777" w:rsidR="0023618C" w:rsidRPr="00B832E0" w:rsidRDefault="0023618C">
            <w:pPr>
              <w:pStyle w:val="TableTextLeft"/>
              <w:rPr>
                <w:rFonts w:eastAsia="Arial"/>
              </w:rPr>
            </w:pPr>
            <w:r w:rsidRPr="00B832E0">
              <w:rPr>
                <w:rFonts w:eastAsia="Arial"/>
              </w:rPr>
              <w:t>Statement of Risks</w:t>
            </w:r>
          </w:p>
        </w:tc>
      </w:tr>
      <w:tr w:rsidR="0023618C" w:rsidRPr="00B832E0" w14:paraId="490ABACC" w14:textId="77777777">
        <w:trPr>
          <w:trHeight w:val="407"/>
        </w:trPr>
        <w:tc>
          <w:tcPr>
            <w:tcW w:w="2004" w:type="dxa"/>
            <w:tcBorders>
              <w:top w:val="nil"/>
              <w:bottom w:val="nil"/>
            </w:tcBorders>
          </w:tcPr>
          <w:p w14:paraId="192E9721" w14:textId="77777777" w:rsidR="0023618C" w:rsidRPr="00B832E0" w:rsidRDefault="0023618C">
            <w:pPr>
              <w:pStyle w:val="TableTextLeft"/>
              <w:rPr>
                <w:rFonts w:eastAsia="Arial"/>
              </w:rPr>
            </w:pPr>
          </w:p>
        </w:tc>
        <w:tc>
          <w:tcPr>
            <w:tcW w:w="3666" w:type="dxa"/>
          </w:tcPr>
          <w:p w14:paraId="2B688BC8" w14:textId="77777777" w:rsidR="0023618C" w:rsidRPr="00B832E0" w:rsidRDefault="0023618C">
            <w:pPr>
              <w:pStyle w:val="TableTextLeft"/>
              <w:rPr>
                <w:rFonts w:eastAsia="Arial"/>
              </w:rPr>
            </w:pPr>
            <w:r w:rsidRPr="00B832E0">
              <w:rPr>
                <w:rFonts w:eastAsia="Arial"/>
              </w:rPr>
              <w:t>Unquantifiable contingent assets and liabilities that are improbable but not remote</w:t>
            </w:r>
          </w:p>
        </w:tc>
        <w:tc>
          <w:tcPr>
            <w:tcW w:w="2041" w:type="dxa"/>
          </w:tcPr>
          <w:p w14:paraId="64C7335F" w14:textId="77777777" w:rsidR="0023618C" w:rsidRPr="00B832E0" w:rsidRDefault="0023618C">
            <w:pPr>
              <w:pStyle w:val="TableTextLeft"/>
              <w:rPr>
                <w:rFonts w:eastAsia="Arial"/>
              </w:rPr>
            </w:pPr>
            <w:r w:rsidRPr="00B832E0">
              <w:rPr>
                <w:rFonts w:eastAsia="Arial"/>
              </w:rPr>
              <w:t>Statement of Risks</w:t>
            </w:r>
          </w:p>
        </w:tc>
      </w:tr>
      <w:tr w:rsidR="0023618C" w:rsidRPr="00B832E0" w14:paraId="7C789B43" w14:textId="77777777">
        <w:trPr>
          <w:trHeight w:val="410"/>
        </w:trPr>
        <w:tc>
          <w:tcPr>
            <w:tcW w:w="2004" w:type="dxa"/>
            <w:tcBorders>
              <w:top w:val="nil"/>
              <w:bottom w:val="nil"/>
            </w:tcBorders>
          </w:tcPr>
          <w:p w14:paraId="3BAD048B" w14:textId="77777777" w:rsidR="0023618C" w:rsidRPr="00B832E0" w:rsidRDefault="0023618C">
            <w:pPr>
              <w:pStyle w:val="TableTextLeft"/>
              <w:rPr>
                <w:rFonts w:eastAsia="Arial"/>
              </w:rPr>
            </w:pPr>
          </w:p>
        </w:tc>
        <w:tc>
          <w:tcPr>
            <w:tcW w:w="3666" w:type="dxa"/>
          </w:tcPr>
          <w:p w14:paraId="77941991" w14:textId="77777777" w:rsidR="0023618C" w:rsidRPr="00B832E0" w:rsidRDefault="0023618C">
            <w:pPr>
              <w:pStyle w:val="TableTextLeft"/>
              <w:rPr>
                <w:rFonts w:eastAsia="Arial"/>
              </w:rPr>
            </w:pPr>
            <w:r w:rsidRPr="00B832E0">
              <w:rPr>
                <w:rFonts w:eastAsia="Arial"/>
              </w:rPr>
              <w:t>Quantifiable contingent assets and liabilities that are improbable but not remote</w:t>
            </w:r>
          </w:p>
        </w:tc>
        <w:tc>
          <w:tcPr>
            <w:tcW w:w="2041" w:type="dxa"/>
          </w:tcPr>
          <w:p w14:paraId="07A5BE0D" w14:textId="77777777" w:rsidR="0023618C" w:rsidRPr="00B832E0" w:rsidRDefault="0023618C">
            <w:pPr>
              <w:pStyle w:val="TableTextLeft"/>
              <w:rPr>
                <w:rFonts w:eastAsia="Arial"/>
              </w:rPr>
            </w:pPr>
            <w:r w:rsidRPr="00B832E0">
              <w:rPr>
                <w:rFonts w:eastAsia="Arial"/>
              </w:rPr>
              <w:t>Statement of Risks</w:t>
            </w:r>
          </w:p>
        </w:tc>
      </w:tr>
      <w:tr w:rsidR="0023618C" w:rsidRPr="00B832E0" w14:paraId="5A0347F1" w14:textId="77777777">
        <w:trPr>
          <w:trHeight w:val="407"/>
        </w:trPr>
        <w:tc>
          <w:tcPr>
            <w:tcW w:w="2004" w:type="dxa"/>
            <w:tcBorders>
              <w:top w:val="nil"/>
            </w:tcBorders>
          </w:tcPr>
          <w:p w14:paraId="39E94F6D" w14:textId="77777777" w:rsidR="0023618C" w:rsidRPr="00B832E0" w:rsidRDefault="0023618C">
            <w:pPr>
              <w:pStyle w:val="TableTextLeft"/>
              <w:rPr>
                <w:rFonts w:eastAsia="Arial"/>
              </w:rPr>
            </w:pPr>
          </w:p>
        </w:tc>
        <w:tc>
          <w:tcPr>
            <w:tcW w:w="3666" w:type="dxa"/>
          </w:tcPr>
          <w:p w14:paraId="4698ECA0" w14:textId="77777777" w:rsidR="0023618C" w:rsidRPr="00B832E0" w:rsidRDefault="0023618C">
            <w:pPr>
              <w:pStyle w:val="TableTextLeft"/>
              <w:rPr>
                <w:rFonts w:eastAsia="Arial"/>
              </w:rPr>
            </w:pPr>
            <w:r w:rsidRPr="00B832E0">
              <w:rPr>
                <w:rFonts w:eastAsia="Arial"/>
              </w:rPr>
              <w:t xml:space="preserve">Contingent assets and liabilities excluded </w:t>
            </w:r>
            <w:proofErr w:type="gramStart"/>
            <w:r w:rsidRPr="00B832E0">
              <w:rPr>
                <w:rFonts w:eastAsia="Arial"/>
              </w:rPr>
              <w:t>on the basis of</w:t>
            </w:r>
            <w:proofErr w:type="gramEnd"/>
            <w:r w:rsidRPr="00B832E0">
              <w:rPr>
                <w:rFonts w:eastAsia="Arial"/>
              </w:rPr>
              <w:t xml:space="preserve"> immateriality</w:t>
            </w:r>
            <w:r w:rsidRPr="00B832E0">
              <w:rPr>
                <w:rFonts w:eastAsia="Arial"/>
                <w:vertAlign w:val="superscript"/>
              </w:rPr>
              <w:t>(b)</w:t>
            </w:r>
          </w:p>
        </w:tc>
        <w:tc>
          <w:tcPr>
            <w:tcW w:w="2041" w:type="dxa"/>
          </w:tcPr>
          <w:p w14:paraId="73BAA2C5" w14:textId="77777777" w:rsidR="0023618C" w:rsidRPr="00B832E0" w:rsidRDefault="0023618C">
            <w:pPr>
              <w:pStyle w:val="TableTextLeft"/>
              <w:rPr>
                <w:rFonts w:eastAsia="Arial"/>
              </w:rPr>
            </w:pPr>
            <w:r w:rsidRPr="00B832E0">
              <w:rPr>
                <w:rFonts w:eastAsia="Arial"/>
              </w:rPr>
              <w:t>None</w:t>
            </w:r>
          </w:p>
        </w:tc>
      </w:tr>
      <w:tr w:rsidR="0023618C" w:rsidRPr="00B832E0" w14:paraId="133E8A65" w14:textId="77777777">
        <w:trPr>
          <w:trHeight w:val="407"/>
        </w:trPr>
        <w:tc>
          <w:tcPr>
            <w:tcW w:w="2004" w:type="dxa"/>
          </w:tcPr>
          <w:p w14:paraId="4AEBC370" w14:textId="77777777" w:rsidR="0023618C" w:rsidRPr="00B832E0" w:rsidRDefault="0023618C">
            <w:pPr>
              <w:pStyle w:val="TableTextLeft"/>
              <w:rPr>
                <w:rFonts w:eastAsia="Arial"/>
              </w:rPr>
            </w:pPr>
            <w:r w:rsidRPr="00B832E0">
              <w:rPr>
                <w:rFonts w:eastAsia="Arial"/>
              </w:rPr>
              <w:t>Assets and liabilities</w:t>
            </w:r>
          </w:p>
        </w:tc>
        <w:tc>
          <w:tcPr>
            <w:tcW w:w="3666" w:type="dxa"/>
          </w:tcPr>
          <w:p w14:paraId="51B58630" w14:textId="77777777" w:rsidR="0023618C" w:rsidRPr="00B832E0" w:rsidRDefault="0023618C">
            <w:pPr>
              <w:pStyle w:val="TableTextLeft"/>
              <w:rPr>
                <w:rFonts w:eastAsia="Arial"/>
              </w:rPr>
            </w:pPr>
            <w:r w:rsidRPr="00B832E0">
              <w:rPr>
                <w:rFonts w:eastAsia="Arial"/>
              </w:rPr>
              <w:t>Assets and liabilities that are probable and can be reliably measured</w:t>
            </w:r>
          </w:p>
        </w:tc>
        <w:tc>
          <w:tcPr>
            <w:tcW w:w="2041" w:type="dxa"/>
          </w:tcPr>
          <w:p w14:paraId="3BE9CBDC" w14:textId="77777777" w:rsidR="0023618C" w:rsidRPr="00B832E0" w:rsidRDefault="0023618C">
            <w:pPr>
              <w:pStyle w:val="TableTextLeft"/>
              <w:rPr>
                <w:rFonts w:eastAsia="Arial"/>
              </w:rPr>
            </w:pPr>
            <w:r w:rsidRPr="00B832E0">
              <w:rPr>
                <w:rFonts w:eastAsia="Arial"/>
              </w:rPr>
              <w:t>Balance sheet</w:t>
            </w:r>
            <w:r w:rsidRPr="00B832E0">
              <w:rPr>
                <w:rFonts w:eastAsia="Arial"/>
                <w:vertAlign w:val="superscript"/>
              </w:rPr>
              <w:t>(c) (d)</w:t>
            </w:r>
          </w:p>
        </w:tc>
      </w:tr>
      <w:tr w:rsidR="0023618C" w:rsidRPr="00B832E0" w14:paraId="111F7089" w14:textId="77777777">
        <w:trPr>
          <w:trHeight w:val="407"/>
        </w:trPr>
        <w:tc>
          <w:tcPr>
            <w:tcW w:w="2004" w:type="dxa"/>
          </w:tcPr>
          <w:p w14:paraId="61500581" w14:textId="77777777" w:rsidR="0023618C" w:rsidRPr="00B832E0" w:rsidRDefault="0023618C">
            <w:pPr>
              <w:pStyle w:val="TableTextLeft"/>
              <w:rPr>
                <w:rFonts w:eastAsia="Arial"/>
              </w:rPr>
            </w:pPr>
          </w:p>
        </w:tc>
        <w:tc>
          <w:tcPr>
            <w:tcW w:w="3666" w:type="dxa"/>
          </w:tcPr>
          <w:p w14:paraId="55F00446" w14:textId="77777777" w:rsidR="0023618C" w:rsidRPr="00B832E0" w:rsidRDefault="0023618C">
            <w:pPr>
              <w:pStyle w:val="TableTextLeft"/>
              <w:rPr>
                <w:rFonts w:eastAsia="Arial"/>
              </w:rPr>
            </w:pPr>
            <w:r w:rsidRPr="00B832E0">
              <w:rPr>
                <w:rFonts w:eastAsia="Arial"/>
              </w:rPr>
              <w:t>Assets and liabilities that are probable but have an uncertain timing or amount (provisions)</w:t>
            </w:r>
          </w:p>
        </w:tc>
        <w:tc>
          <w:tcPr>
            <w:tcW w:w="2041" w:type="dxa"/>
          </w:tcPr>
          <w:p w14:paraId="73E0C62C" w14:textId="77777777" w:rsidR="0023618C" w:rsidRPr="00B832E0" w:rsidRDefault="0023618C">
            <w:pPr>
              <w:pStyle w:val="TableTextLeft"/>
              <w:rPr>
                <w:rFonts w:eastAsia="Arial"/>
              </w:rPr>
            </w:pPr>
            <w:r w:rsidRPr="00B832E0">
              <w:rPr>
                <w:rFonts w:eastAsia="Arial"/>
              </w:rPr>
              <w:t>Balance sheet</w:t>
            </w:r>
          </w:p>
        </w:tc>
      </w:tr>
    </w:tbl>
    <w:p w14:paraId="7E2CF6A2" w14:textId="77777777" w:rsidR="0023618C" w:rsidRPr="00B832E0" w:rsidRDefault="0023618C" w:rsidP="0023618C">
      <w:pPr>
        <w:pStyle w:val="ChartandTableFootnoteAlpha"/>
      </w:pPr>
      <w:r w:rsidRPr="00B832E0">
        <w:rPr>
          <w:rFonts w:eastAsia="Arial"/>
        </w:rPr>
        <w:t>Items that are described as probable have a 50</w:t>
      </w:r>
      <w:r>
        <w:rPr>
          <w:rFonts w:eastAsia="Arial"/>
        </w:rPr>
        <w:t> per cent </w:t>
      </w:r>
      <w:r w:rsidRPr="00B832E0">
        <w:rPr>
          <w:rFonts w:eastAsia="Arial"/>
        </w:rPr>
        <w:t>or higher chance of</w:t>
      </w:r>
      <w:r w:rsidRPr="00B832E0">
        <w:rPr>
          <w:rFonts w:eastAsia="Arial"/>
          <w:spacing w:val="-15"/>
        </w:rPr>
        <w:t xml:space="preserve"> </w:t>
      </w:r>
      <w:r w:rsidRPr="00B832E0">
        <w:rPr>
          <w:rFonts w:eastAsia="Arial"/>
        </w:rPr>
        <w:t>occurrence.</w:t>
      </w:r>
    </w:p>
    <w:p w14:paraId="1DFE8DE7" w14:textId="77777777" w:rsidR="0023618C" w:rsidRPr="00A07FF1" w:rsidRDefault="0023618C" w:rsidP="0023618C">
      <w:pPr>
        <w:pStyle w:val="ChartandTableFootnoteAlpha"/>
        <w:rPr>
          <w:rFonts w:eastAsia="Book Antiqua" w:cs="Book Antiqua"/>
          <w:spacing w:val="-1"/>
        </w:rPr>
      </w:pPr>
      <w:r w:rsidRPr="00A07FF1">
        <w:rPr>
          <w:spacing w:val="-1"/>
        </w:rPr>
        <w:t xml:space="preserve">Only risks with a possible impact on the forward estimates greater than $20 million in any one year, or </w:t>
      </w:r>
      <w:r w:rsidRPr="00A07FF1">
        <w:rPr>
          <w:rFonts w:cs="Book Antiqua"/>
          <w:spacing w:val="-1"/>
        </w:rPr>
        <w:t>$50 million over the forward estimates period, are considered material and disclosed in this Statement</w:t>
      </w:r>
      <w:r w:rsidRPr="00A07FF1">
        <w:rPr>
          <w:rFonts w:eastAsia="Book Antiqua" w:cs="Book Antiqua"/>
          <w:spacing w:val="-1"/>
        </w:rPr>
        <w:t>.</w:t>
      </w:r>
    </w:p>
    <w:p w14:paraId="4996A3DE" w14:textId="77777777" w:rsidR="0023618C" w:rsidRPr="00B832E0" w:rsidRDefault="0023618C" w:rsidP="0023618C">
      <w:pPr>
        <w:pStyle w:val="ChartandTableFootnoteAlpha"/>
        <w:rPr>
          <w:rFonts w:eastAsia="Arial"/>
        </w:rPr>
      </w:pPr>
      <w:r w:rsidRPr="00B832E0">
        <w:rPr>
          <w:rFonts w:eastAsia="Arial"/>
        </w:rPr>
        <w:t>Unearned income from charging guarantee fees is shown as a liability in the balance</w:t>
      </w:r>
      <w:r w:rsidRPr="00B832E0">
        <w:rPr>
          <w:rFonts w:eastAsia="Arial"/>
          <w:spacing w:val="-13"/>
        </w:rPr>
        <w:t xml:space="preserve"> </w:t>
      </w:r>
      <w:r w:rsidRPr="00B832E0">
        <w:rPr>
          <w:rFonts w:eastAsia="Arial"/>
        </w:rPr>
        <w:t>sheet.</w:t>
      </w:r>
    </w:p>
    <w:p w14:paraId="33196A65" w14:textId="77777777" w:rsidR="0023618C" w:rsidRPr="00B832E0" w:rsidRDefault="0023618C" w:rsidP="0023618C">
      <w:pPr>
        <w:pStyle w:val="ChartandTableFootnoteAlpha"/>
        <w:rPr>
          <w:rFonts w:eastAsia="Arial"/>
        </w:rPr>
      </w:pPr>
      <w:r w:rsidRPr="00B832E0">
        <w:rPr>
          <w:rFonts w:eastAsia="Arial"/>
        </w:rPr>
        <w:t>Additional disclosure to increase transparency on loans over $200</w:t>
      </w:r>
      <w:r>
        <w:rPr>
          <w:rFonts w:eastAsia="Arial"/>
        </w:rPr>
        <w:t> million</w:t>
      </w:r>
      <w:r w:rsidRPr="00B832E0">
        <w:rPr>
          <w:rFonts w:eastAsia="Arial"/>
        </w:rPr>
        <w:t xml:space="preserve"> is included in this Statement.</w:t>
      </w:r>
    </w:p>
    <w:p w14:paraId="711369FF" w14:textId="77777777" w:rsidR="0023618C" w:rsidRPr="00B832E0" w:rsidRDefault="0023618C" w:rsidP="0023618C">
      <w:pPr>
        <w:pStyle w:val="TableLine"/>
        <w:rPr>
          <w:rFonts w:eastAsia="Arial"/>
        </w:rPr>
      </w:pPr>
    </w:p>
    <w:p w14:paraId="10D65C84" w14:textId="77777777" w:rsidR="0023618C" w:rsidRPr="006460F9" w:rsidRDefault="0023618C" w:rsidP="0023618C">
      <w:r w:rsidRPr="006460F9">
        <w:br w:type="page"/>
      </w:r>
    </w:p>
    <w:p w14:paraId="0AA7F79E" w14:textId="4C459045" w:rsidR="0023618C" w:rsidRPr="00C07FB5" w:rsidRDefault="0023618C" w:rsidP="0023618C">
      <w:pPr>
        <w:pStyle w:val="TableHeading"/>
        <w:rPr>
          <w:rFonts w:eastAsia="Arial"/>
        </w:rPr>
      </w:pPr>
      <w:r w:rsidRPr="002C4F07">
        <w:rPr>
          <w:rFonts w:eastAsia="Arial"/>
        </w:rPr>
        <w:lastRenderedPageBreak/>
        <w:t xml:space="preserve">Table </w:t>
      </w:r>
      <w:r w:rsidR="006A5A13">
        <w:rPr>
          <w:rFonts w:eastAsia="Arial"/>
        </w:rPr>
        <w:t>8</w:t>
      </w:r>
      <w:r w:rsidRPr="002C4F07">
        <w:rPr>
          <w:rFonts w:eastAsia="Arial"/>
        </w:rPr>
        <w:t>.2</w:t>
      </w:r>
      <w:r w:rsidRPr="00D13C64">
        <w:rPr>
          <w:rFonts w:eastAsia="Arial"/>
        </w:rPr>
        <w:t>: Summary</w:t>
      </w:r>
      <w:r w:rsidRPr="006C4EA4">
        <w:rPr>
          <w:rFonts w:eastAsia="Arial"/>
        </w:rPr>
        <w:t xml:space="preserve"> </w:t>
      </w:r>
      <w:r w:rsidRPr="00C07FB5">
        <w:rPr>
          <w:rFonts w:eastAsia="Arial"/>
        </w:rPr>
        <w:t xml:space="preserve">of </w:t>
      </w:r>
      <w:r>
        <w:rPr>
          <w:rFonts w:eastAsia="Arial"/>
        </w:rPr>
        <w:t xml:space="preserve">fiscal risks, </w:t>
      </w:r>
      <w:r w:rsidRPr="00EA791B">
        <w:rPr>
          <w:rFonts w:eastAsia="Arial"/>
        </w:rPr>
        <w:t>contingent</w:t>
      </w:r>
      <w:r w:rsidRPr="00C07FB5">
        <w:rPr>
          <w:rFonts w:eastAsia="Arial"/>
        </w:rPr>
        <w:t xml:space="preserve"> liabilities and contingent assets in the Statement of Risks</w:t>
      </w:r>
      <w:r w:rsidRPr="00C07FB5">
        <w:rPr>
          <w:rFonts w:eastAsia="Arial"/>
          <w:vertAlign w:val="superscript"/>
        </w:rPr>
        <w:t>(a)</w:t>
      </w:r>
    </w:p>
    <w:tbl>
      <w:tblPr>
        <w:tblW w:w="5000" w:type="pct"/>
        <w:tblBorders>
          <w:top w:val="single" w:sz="4" w:space="0" w:color="002A54" w:themeColor="text2"/>
          <w:bottom w:val="single" w:sz="4" w:space="0" w:color="002A54" w:themeColor="text2"/>
          <w:insideH w:val="single" w:sz="4" w:space="0" w:color="002A54" w:themeColor="text2"/>
        </w:tblBorders>
        <w:tblLayout w:type="fixed"/>
        <w:tblLook w:val="04A0" w:firstRow="1" w:lastRow="0" w:firstColumn="1" w:lastColumn="0" w:noHBand="0" w:noVBand="1"/>
        <w:tblCaption w:val="Table"/>
      </w:tblPr>
      <w:tblGrid>
        <w:gridCol w:w="6663"/>
        <w:gridCol w:w="1047"/>
      </w:tblGrid>
      <w:tr w:rsidR="0023618C" w:rsidRPr="00F734D4" w14:paraId="68505C8B" w14:textId="77777777" w:rsidTr="00B119DB">
        <w:trPr>
          <w:trHeight w:val="20"/>
        </w:trPr>
        <w:tc>
          <w:tcPr>
            <w:tcW w:w="4321" w:type="pct"/>
            <w:shd w:val="clear" w:color="auto" w:fill="E6F2FF"/>
            <w:noWrap/>
          </w:tcPr>
          <w:p w14:paraId="68D31CB2" w14:textId="77777777" w:rsidR="0023618C" w:rsidRPr="00F734D4" w:rsidRDefault="0023618C" w:rsidP="00B119DB">
            <w:pPr>
              <w:pStyle w:val="TableColumnHeadingLeft"/>
              <w:rPr>
                <w:rFonts w:eastAsia="Calibri"/>
              </w:rPr>
            </w:pPr>
            <w:r w:rsidRPr="00F734D4">
              <w:rPr>
                <w:rFonts w:eastAsia="Calibri"/>
              </w:rPr>
              <w:t>Agriculture, Fisheries and Forestry</w:t>
            </w:r>
          </w:p>
        </w:tc>
        <w:tc>
          <w:tcPr>
            <w:tcW w:w="679" w:type="pct"/>
            <w:shd w:val="clear" w:color="auto" w:fill="E6F2FF"/>
            <w:noWrap/>
          </w:tcPr>
          <w:p w14:paraId="0600D0A1" w14:textId="77777777" w:rsidR="0023618C" w:rsidRPr="0077320A" w:rsidRDefault="0023618C" w:rsidP="00B119DB">
            <w:pPr>
              <w:pStyle w:val="TableColumnHeadingLeft"/>
              <w:rPr>
                <w:rStyle w:val="Strong"/>
                <w:b/>
                <w:bCs w:val="0"/>
              </w:rPr>
            </w:pPr>
            <w:r w:rsidRPr="0077320A">
              <w:rPr>
                <w:rStyle w:val="Strong"/>
                <w:b/>
                <w:bCs w:val="0"/>
              </w:rPr>
              <w:t>Status</w:t>
            </w:r>
          </w:p>
        </w:tc>
      </w:tr>
      <w:tr w:rsidR="0023618C" w:rsidRPr="00F734D4" w14:paraId="5FEA2380" w14:textId="77777777" w:rsidTr="00B119DB">
        <w:trPr>
          <w:trHeight w:val="20"/>
        </w:trPr>
        <w:tc>
          <w:tcPr>
            <w:tcW w:w="4321" w:type="pct"/>
            <w:shd w:val="clear" w:color="auto" w:fill="E6F2FF"/>
            <w:noWrap/>
          </w:tcPr>
          <w:p w14:paraId="6DFB3934" w14:textId="77777777" w:rsidR="0023618C" w:rsidRPr="00F734D4" w:rsidRDefault="0023618C" w:rsidP="00B119DB">
            <w:pPr>
              <w:pStyle w:val="TableColumnHeadingLeft"/>
              <w:rPr>
                <w:rFonts w:eastAsia="Calibri"/>
              </w:rPr>
            </w:pPr>
            <w:r w:rsidRPr="00F734D4">
              <w:rPr>
                <w:rFonts w:eastAsia="Calibri"/>
              </w:rPr>
              <w:t xml:space="preserve">Contingent liabilities </w:t>
            </w:r>
            <w:r>
              <w:rPr>
                <w:rFonts w:eastAsia="Calibri"/>
              </w:rPr>
              <w:t>–</w:t>
            </w:r>
            <w:r w:rsidRPr="00F734D4">
              <w:rPr>
                <w:rFonts w:eastAsia="Calibri"/>
              </w:rPr>
              <w:t xml:space="preserve"> unquantifiable</w:t>
            </w:r>
          </w:p>
        </w:tc>
        <w:tc>
          <w:tcPr>
            <w:tcW w:w="679" w:type="pct"/>
            <w:shd w:val="clear" w:color="auto" w:fill="E6F2FF"/>
            <w:noWrap/>
          </w:tcPr>
          <w:p w14:paraId="59CE71A1" w14:textId="77777777" w:rsidR="0023618C" w:rsidRPr="00F734D4" w:rsidRDefault="0023618C" w:rsidP="00B119DB">
            <w:pPr>
              <w:pStyle w:val="TableColumnHeadingLeft"/>
              <w:rPr>
                <w:bCs/>
              </w:rPr>
            </w:pPr>
          </w:p>
        </w:tc>
      </w:tr>
      <w:tr w:rsidR="0023618C" w:rsidRPr="00F734D4" w14:paraId="5DCACC7B" w14:textId="77777777" w:rsidTr="00B119DB">
        <w:trPr>
          <w:trHeight w:val="20"/>
        </w:trPr>
        <w:tc>
          <w:tcPr>
            <w:tcW w:w="4321" w:type="pct"/>
            <w:noWrap/>
          </w:tcPr>
          <w:p w14:paraId="3460C290" w14:textId="77777777" w:rsidR="0023618C" w:rsidRPr="00F734D4" w:rsidRDefault="0023618C" w:rsidP="00E575F1">
            <w:pPr>
              <w:pStyle w:val="TableTextLeft-Indent"/>
              <w:spacing w:before="0" w:after="0"/>
            </w:pPr>
            <w:r w:rsidRPr="00F734D4">
              <w:t>Commonwealth liabilities in respect of matching payments to industries for research</w:t>
            </w:r>
            <w:r>
              <w:t> </w:t>
            </w:r>
            <w:r w:rsidRPr="00F734D4">
              <w:t>and development contributions</w:t>
            </w:r>
          </w:p>
        </w:tc>
        <w:tc>
          <w:tcPr>
            <w:tcW w:w="679" w:type="pct"/>
            <w:noWrap/>
          </w:tcPr>
          <w:p w14:paraId="7F14D8B6" w14:textId="77777777" w:rsidR="0023618C" w:rsidRPr="00F734D4" w:rsidRDefault="0023618C" w:rsidP="00E575F1">
            <w:pPr>
              <w:pStyle w:val="TableTextLeft"/>
              <w:spacing w:before="0"/>
            </w:pPr>
            <w:r w:rsidRPr="00F734D4">
              <w:t>Unchanged</w:t>
            </w:r>
          </w:p>
        </w:tc>
      </w:tr>
      <w:tr w:rsidR="0023618C" w:rsidRPr="00F734D4" w14:paraId="34C03987" w14:textId="77777777" w:rsidTr="00B119DB">
        <w:trPr>
          <w:trHeight w:val="20"/>
        </w:trPr>
        <w:tc>
          <w:tcPr>
            <w:tcW w:w="4321" w:type="pct"/>
            <w:noWrap/>
          </w:tcPr>
          <w:p w14:paraId="48136905" w14:textId="77777777" w:rsidR="0023618C" w:rsidRPr="00F734D4" w:rsidRDefault="0023618C" w:rsidP="00E575F1">
            <w:pPr>
              <w:pStyle w:val="TableTextLeft-Indent"/>
              <w:spacing w:before="0" w:after="0"/>
            </w:pPr>
            <w:r w:rsidRPr="00F734D4">
              <w:t>Emergency pest and disease response arrangements</w:t>
            </w:r>
          </w:p>
        </w:tc>
        <w:tc>
          <w:tcPr>
            <w:tcW w:w="679" w:type="pct"/>
            <w:noWrap/>
          </w:tcPr>
          <w:p w14:paraId="2BB0B298" w14:textId="366AB83D" w:rsidR="0023618C" w:rsidRPr="00F734D4" w:rsidRDefault="0023618C" w:rsidP="00E575F1">
            <w:pPr>
              <w:pStyle w:val="TableTextLeft"/>
              <w:spacing w:before="0"/>
            </w:pPr>
            <w:r w:rsidRPr="00F734D4">
              <w:t>Modified</w:t>
            </w:r>
          </w:p>
        </w:tc>
      </w:tr>
      <w:tr w:rsidR="0023618C" w:rsidRPr="00F734D4" w14:paraId="262E1B73" w14:textId="77777777" w:rsidTr="00B119DB">
        <w:trPr>
          <w:trHeight w:val="20"/>
        </w:trPr>
        <w:tc>
          <w:tcPr>
            <w:tcW w:w="4321" w:type="pct"/>
            <w:noWrap/>
          </w:tcPr>
          <w:p w14:paraId="4D6BAE62" w14:textId="77777777" w:rsidR="0023618C" w:rsidRPr="00F734D4" w:rsidRDefault="0023618C" w:rsidP="00E575F1">
            <w:pPr>
              <w:pStyle w:val="TableTextLeft-Indent"/>
              <w:spacing w:before="0" w:after="0"/>
            </w:pPr>
            <w:r w:rsidRPr="00F734D4">
              <w:t>White spot syndrome virus and disease 2016 outbreak</w:t>
            </w:r>
          </w:p>
        </w:tc>
        <w:tc>
          <w:tcPr>
            <w:tcW w:w="679" w:type="pct"/>
            <w:noWrap/>
          </w:tcPr>
          <w:p w14:paraId="370DC43D" w14:textId="708085F3" w:rsidR="0023618C" w:rsidRPr="00F734D4" w:rsidRDefault="00E334C2" w:rsidP="00E575F1">
            <w:pPr>
              <w:pStyle w:val="TableTextLeft"/>
              <w:spacing w:before="0"/>
            </w:pPr>
            <w:r>
              <w:t>Removed</w:t>
            </w:r>
          </w:p>
        </w:tc>
      </w:tr>
      <w:tr w:rsidR="0023618C" w:rsidRPr="00F734D4" w14:paraId="0169E892" w14:textId="77777777" w:rsidTr="00B119DB">
        <w:trPr>
          <w:trHeight w:val="20"/>
        </w:trPr>
        <w:tc>
          <w:tcPr>
            <w:tcW w:w="4321" w:type="pct"/>
            <w:shd w:val="clear" w:color="auto" w:fill="E6F2FF"/>
            <w:noWrap/>
          </w:tcPr>
          <w:p w14:paraId="51DFC299" w14:textId="38DD718B" w:rsidR="0023618C" w:rsidRPr="00F734D4" w:rsidRDefault="0023618C" w:rsidP="00E575F1">
            <w:pPr>
              <w:pStyle w:val="TableColumnHeadingLeft"/>
              <w:spacing w:before="0"/>
            </w:pPr>
            <w:r w:rsidRPr="00F734D4">
              <w:t>Attorney</w:t>
            </w:r>
            <w:r w:rsidR="00D23095">
              <w:noBreakHyphen/>
            </w:r>
            <w:r w:rsidRPr="00F734D4">
              <w:t>General</w:t>
            </w:r>
            <w:r w:rsidR="00D23095">
              <w:t>’</w:t>
            </w:r>
            <w:r w:rsidRPr="00F734D4">
              <w:t>s</w:t>
            </w:r>
          </w:p>
        </w:tc>
        <w:tc>
          <w:tcPr>
            <w:tcW w:w="679" w:type="pct"/>
            <w:shd w:val="clear" w:color="auto" w:fill="E6F2FF"/>
            <w:noWrap/>
          </w:tcPr>
          <w:p w14:paraId="10394DCA" w14:textId="77777777" w:rsidR="0023618C" w:rsidRPr="00F734D4" w:rsidRDefault="0023618C" w:rsidP="00E575F1">
            <w:pPr>
              <w:pStyle w:val="TableColumnHeadingLeft"/>
              <w:spacing w:before="0"/>
            </w:pPr>
            <w:r w:rsidRPr="00F734D4">
              <w:t>Status</w:t>
            </w:r>
          </w:p>
        </w:tc>
      </w:tr>
      <w:tr w:rsidR="0023618C" w:rsidRPr="00F734D4" w14:paraId="31900738" w14:textId="77777777" w:rsidTr="00B119DB">
        <w:trPr>
          <w:trHeight w:val="20"/>
        </w:trPr>
        <w:tc>
          <w:tcPr>
            <w:tcW w:w="4321" w:type="pct"/>
            <w:shd w:val="clear" w:color="auto" w:fill="E6F2FF"/>
            <w:noWrap/>
          </w:tcPr>
          <w:p w14:paraId="570BE6A1" w14:textId="77777777" w:rsidR="0023618C" w:rsidRPr="00F734D4" w:rsidRDefault="0023618C" w:rsidP="00E575F1">
            <w:pPr>
              <w:pStyle w:val="TableColumnHeadingLeft"/>
              <w:spacing w:before="0"/>
              <w:rPr>
                <w:rFonts w:eastAsia="Arial"/>
              </w:rPr>
            </w:pPr>
            <w:r w:rsidRPr="00F734D4">
              <w:rPr>
                <w:rFonts w:eastAsia="Arial"/>
              </w:rPr>
              <w:t>Significant but remote contingency</w:t>
            </w:r>
          </w:p>
        </w:tc>
        <w:tc>
          <w:tcPr>
            <w:tcW w:w="679" w:type="pct"/>
            <w:shd w:val="clear" w:color="auto" w:fill="E6F2FF"/>
            <w:noWrap/>
          </w:tcPr>
          <w:p w14:paraId="7E9B942A" w14:textId="77777777" w:rsidR="0023618C" w:rsidRPr="00F734D4" w:rsidRDefault="0023618C" w:rsidP="00E575F1">
            <w:pPr>
              <w:pStyle w:val="TableTextLeft"/>
              <w:spacing w:before="0"/>
            </w:pPr>
          </w:p>
        </w:tc>
      </w:tr>
      <w:tr w:rsidR="0023618C" w:rsidRPr="00F734D4" w14:paraId="23CFAC7E" w14:textId="77777777" w:rsidTr="00B119DB">
        <w:trPr>
          <w:trHeight w:val="20"/>
        </w:trPr>
        <w:tc>
          <w:tcPr>
            <w:tcW w:w="4321" w:type="pct"/>
            <w:shd w:val="clear" w:color="auto" w:fill="auto"/>
            <w:noWrap/>
          </w:tcPr>
          <w:p w14:paraId="7D71C1D6" w14:textId="77777777" w:rsidR="0023618C" w:rsidRPr="00F734D4" w:rsidRDefault="0023618C" w:rsidP="00E575F1">
            <w:pPr>
              <w:pStyle w:val="TableTextLeft-Indent"/>
              <w:spacing w:before="0" w:after="0"/>
              <w:rPr>
                <w:rFonts w:eastAsia="Arial" w:cs="Arial"/>
                <w:b/>
                <w:bCs/>
              </w:rPr>
            </w:pPr>
            <w:r w:rsidRPr="00F734D4">
              <w:t>Indemnities relating to the Air Security Officer Capability</w:t>
            </w:r>
          </w:p>
        </w:tc>
        <w:tc>
          <w:tcPr>
            <w:tcW w:w="679" w:type="pct"/>
            <w:shd w:val="clear" w:color="auto" w:fill="auto"/>
            <w:noWrap/>
          </w:tcPr>
          <w:p w14:paraId="10262E6C" w14:textId="77777777" w:rsidR="0023618C" w:rsidRPr="00F734D4" w:rsidRDefault="0023618C" w:rsidP="00E575F1">
            <w:pPr>
              <w:pStyle w:val="TableTextLeft"/>
              <w:spacing w:before="0"/>
              <w:rPr>
                <w:b/>
                <w:bCs/>
              </w:rPr>
            </w:pPr>
            <w:r w:rsidRPr="00F734D4">
              <w:t>Unchanged</w:t>
            </w:r>
          </w:p>
        </w:tc>
      </w:tr>
      <w:tr w:rsidR="0023618C" w:rsidRPr="00F734D4" w14:paraId="053E1CC4" w14:textId="77777777" w:rsidTr="00B119DB">
        <w:trPr>
          <w:trHeight w:val="20"/>
        </w:trPr>
        <w:tc>
          <w:tcPr>
            <w:tcW w:w="4321" w:type="pct"/>
            <w:shd w:val="clear" w:color="auto" w:fill="E6F2FF"/>
            <w:noWrap/>
          </w:tcPr>
          <w:p w14:paraId="71192DA5" w14:textId="77777777" w:rsidR="0023618C" w:rsidRPr="00F734D4" w:rsidRDefault="0023618C" w:rsidP="00E575F1">
            <w:pPr>
              <w:pStyle w:val="TableColumnHeadingLeft"/>
              <w:spacing w:before="0"/>
              <w:rPr>
                <w:rFonts w:eastAsia="Arial"/>
              </w:rPr>
            </w:pPr>
            <w:r w:rsidRPr="00F734D4">
              <w:rPr>
                <w:rFonts w:eastAsia="Arial"/>
              </w:rPr>
              <w:t>Contingent liabilities – unquantifiable</w:t>
            </w:r>
          </w:p>
        </w:tc>
        <w:tc>
          <w:tcPr>
            <w:tcW w:w="679" w:type="pct"/>
            <w:shd w:val="clear" w:color="auto" w:fill="E6F2FF"/>
            <w:noWrap/>
          </w:tcPr>
          <w:p w14:paraId="6DF904E8" w14:textId="77777777" w:rsidR="0023618C" w:rsidRPr="00F734D4" w:rsidRDefault="0023618C" w:rsidP="00E575F1">
            <w:pPr>
              <w:pStyle w:val="TableTextLeft"/>
              <w:spacing w:before="0"/>
            </w:pPr>
          </w:p>
        </w:tc>
      </w:tr>
      <w:tr w:rsidR="0023618C" w:rsidRPr="00F734D4" w14:paraId="14B3B4E4" w14:textId="77777777" w:rsidTr="00B119DB">
        <w:trPr>
          <w:trHeight w:val="20"/>
        </w:trPr>
        <w:tc>
          <w:tcPr>
            <w:tcW w:w="4321" w:type="pct"/>
            <w:shd w:val="clear" w:color="auto" w:fill="auto"/>
            <w:noWrap/>
          </w:tcPr>
          <w:p w14:paraId="3AE22EA5" w14:textId="7D420617" w:rsidR="0023618C" w:rsidRPr="00F734D4" w:rsidRDefault="00DA34B2" w:rsidP="00E575F1">
            <w:pPr>
              <w:pStyle w:val="TableTextLeft-Indent"/>
              <w:spacing w:before="0" w:after="0"/>
            </w:pPr>
            <w:r>
              <w:t>I</w:t>
            </w:r>
            <w:r w:rsidR="0023618C" w:rsidRPr="00F734D4">
              <w:t>nvestor</w:t>
            </w:r>
            <w:r w:rsidR="00D23095">
              <w:noBreakHyphen/>
            </w:r>
            <w:r w:rsidR="0023618C">
              <w:t>s</w:t>
            </w:r>
            <w:r w:rsidR="0023618C" w:rsidRPr="00F734D4">
              <w:t>tate claim</w:t>
            </w:r>
            <w:r w:rsidR="0023618C">
              <w:t>s</w:t>
            </w:r>
            <w:r w:rsidR="0023618C" w:rsidRPr="00F734D4">
              <w:t xml:space="preserve"> against </w:t>
            </w:r>
            <w:r w:rsidR="0023618C">
              <w:t xml:space="preserve">the </w:t>
            </w:r>
            <w:r w:rsidR="0023618C" w:rsidRPr="00F734D4">
              <w:t>Australia</w:t>
            </w:r>
            <w:r w:rsidR="0023618C">
              <w:t>n Government</w:t>
            </w:r>
          </w:p>
        </w:tc>
        <w:tc>
          <w:tcPr>
            <w:tcW w:w="679" w:type="pct"/>
            <w:shd w:val="clear" w:color="auto" w:fill="auto"/>
            <w:noWrap/>
          </w:tcPr>
          <w:p w14:paraId="12244690" w14:textId="66EB57D6" w:rsidR="0023618C" w:rsidRPr="00F734D4" w:rsidRDefault="0023618C" w:rsidP="00E575F1">
            <w:pPr>
              <w:pStyle w:val="TableTextLeft"/>
              <w:spacing w:before="0"/>
            </w:pPr>
            <w:r>
              <w:t>Modified</w:t>
            </w:r>
          </w:p>
        </w:tc>
      </w:tr>
      <w:tr w:rsidR="0023618C" w:rsidRPr="00F734D4" w14:paraId="499FD61D" w14:textId="77777777" w:rsidTr="00B119DB">
        <w:trPr>
          <w:trHeight w:val="20"/>
        </w:trPr>
        <w:tc>
          <w:tcPr>
            <w:tcW w:w="4321" w:type="pct"/>
            <w:shd w:val="clear" w:color="auto" w:fill="auto"/>
            <w:noWrap/>
          </w:tcPr>
          <w:p w14:paraId="4D2F599B" w14:textId="77777777" w:rsidR="0023618C" w:rsidRPr="00F734D4" w:rsidRDefault="0023618C" w:rsidP="00E575F1">
            <w:pPr>
              <w:pStyle w:val="TableTextLeft-Indent"/>
              <w:spacing w:before="0" w:after="0"/>
            </w:pPr>
            <w:r w:rsidRPr="00F734D4">
              <w:t>Native Title costs</w:t>
            </w:r>
          </w:p>
        </w:tc>
        <w:tc>
          <w:tcPr>
            <w:tcW w:w="679" w:type="pct"/>
            <w:shd w:val="clear" w:color="auto" w:fill="auto"/>
            <w:noWrap/>
          </w:tcPr>
          <w:p w14:paraId="2C8D73CA" w14:textId="77777777" w:rsidR="0023618C" w:rsidRPr="00F734D4" w:rsidRDefault="0023618C" w:rsidP="00E575F1">
            <w:pPr>
              <w:pStyle w:val="TableTextLeft"/>
              <w:spacing w:before="0"/>
            </w:pPr>
            <w:r w:rsidRPr="00F734D4">
              <w:t>Unchanged</w:t>
            </w:r>
          </w:p>
        </w:tc>
      </w:tr>
      <w:tr w:rsidR="0023618C" w:rsidRPr="00F734D4" w14:paraId="5A0CE71E" w14:textId="77777777" w:rsidTr="00B119DB">
        <w:trPr>
          <w:trHeight w:val="20"/>
        </w:trPr>
        <w:tc>
          <w:tcPr>
            <w:tcW w:w="4321" w:type="pct"/>
            <w:shd w:val="clear" w:color="auto" w:fill="E6F2FF"/>
            <w:noWrap/>
          </w:tcPr>
          <w:p w14:paraId="13E5E630" w14:textId="5F5107D3" w:rsidR="0023618C" w:rsidRPr="00F734D4" w:rsidRDefault="0023618C" w:rsidP="00E575F1">
            <w:pPr>
              <w:pStyle w:val="TableColumnHeadingLeft"/>
              <w:spacing w:before="0"/>
            </w:pPr>
            <w:r w:rsidRPr="00F734D4">
              <w:t>Contingent asset</w:t>
            </w:r>
            <w:r w:rsidR="00BA5048">
              <w:t>s</w:t>
            </w:r>
            <w:r w:rsidRPr="00F734D4">
              <w:t xml:space="preserve"> </w:t>
            </w:r>
            <w:r w:rsidRPr="00F734D4">
              <w:rPr>
                <w:rFonts w:eastAsia="Calibri"/>
              </w:rPr>
              <w:t>–</w:t>
            </w:r>
            <w:r w:rsidRPr="00F734D4">
              <w:t xml:space="preserve"> unquantifiable</w:t>
            </w:r>
          </w:p>
        </w:tc>
        <w:tc>
          <w:tcPr>
            <w:tcW w:w="679" w:type="pct"/>
            <w:shd w:val="clear" w:color="auto" w:fill="E6F2FF"/>
            <w:noWrap/>
          </w:tcPr>
          <w:p w14:paraId="75BC7622" w14:textId="77777777" w:rsidR="0023618C" w:rsidRPr="00F734D4" w:rsidRDefault="0023618C" w:rsidP="00E575F1">
            <w:pPr>
              <w:pStyle w:val="TableTextLeft"/>
              <w:spacing w:before="0"/>
            </w:pPr>
          </w:p>
        </w:tc>
      </w:tr>
      <w:tr w:rsidR="0023618C" w:rsidRPr="00F734D4" w14:paraId="5EF4DC7E" w14:textId="77777777" w:rsidTr="00B119DB">
        <w:trPr>
          <w:trHeight w:val="20"/>
        </w:trPr>
        <w:tc>
          <w:tcPr>
            <w:tcW w:w="4321" w:type="pct"/>
            <w:shd w:val="clear" w:color="auto" w:fill="auto"/>
            <w:noWrap/>
          </w:tcPr>
          <w:p w14:paraId="3C0B51F9" w14:textId="6D9E4500" w:rsidR="0023618C" w:rsidRPr="00DA34B2" w:rsidRDefault="003A0BB3" w:rsidP="00E575F1">
            <w:pPr>
              <w:pStyle w:val="TableTextLeft-Indent"/>
              <w:spacing w:before="0" w:after="0"/>
              <w:rPr>
                <w:rFonts w:ascii="Arial Bold" w:hAnsi="Arial Bold"/>
                <w:b/>
                <w:bCs/>
              </w:rPr>
            </w:pPr>
            <w:r w:rsidRPr="00F734D4">
              <w:rPr>
                <w:rFonts w:cs="Arial"/>
              </w:rPr>
              <w:t xml:space="preserve">Civil </w:t>
            </w:r>
            <w:r w:rsidRPr="00F734D4">
              <w:t>penalty</w:t>
            </w:r>
            <w:r w:rsidRPr="00F734D4">
              <w:rPr>
                <w:rFonts w:cs="Arial"/>
              </w:rPr>
              <w:t xml:space="preserve"> relating to the </w:t>
            </w:r>
            <w:r w:rsidRPr="000B63AE">
              <w:rPr>
                <w:i/>
                <w:iCs/>
              </w:rPr>
              <w:t>Anti</w:t>
            </w:r>
            <w:r w:rsidR="00D23095">
              <w:rPr>
                <w:i/>
                <w:iCs/>
              </w:rPr>
              <w:noBreakHyphen/>
            </w:r>
            <w:r w:rsidRPr="000B63AE">
              <w:rPr>
                <w:i/>
                <w:iCs/>
              </w:rPr>
              <w:t>Money Laundering and Counter</w:t>
            </w:r>
            <w:r w:rsidR="00D23095">
              <w:rPr>
                <w:i/>
                <w:iCs/>
              </w:rPr>
              <w:noBreakHyphen/>
            </w:r>
            <w:r w:rsidRPr="000B63AE">
              <w:rPr>
                <w:i/>
                <w:iCs/>
              </w:rPr>
              <w:t>Terrorism Financing Act 2006</w:t>
            </w:r>
            <w:r>
              <w:rPr>
                <w:i/>
                <w:iCs/>
              </w:rPr>
              <w:t xml:space="preserve"> </w:t>
            </w:r>
            <w:r>
              <w:t xml:space="preserve">– </w:t>
            </w:r>
            <w:r w:rsidRPr="002600D1">
              <w:t>The Star Pty</w:t>
            </w:r>
            <w:r w:rsidR="00BD47E8">
              <w:t xml:space="preserve"> Limited</w:t>
            </w:r>
            <w:r w:rsidRPr="002600D1">
              <w:t xml:space="preserve"> and The Star Entertainment QLD</w:t>
            </w:r>
            <w:r w:rsidR="00BD47E8">
              <w:t xml:space="preserve"> Limited</w:t>
            </w:r>
          </w:p>
        </w:tc>
        <w:tc>
          <w:tcPr>
            <w:tcW w:w="679" w:type="pct"/>
            <w:shd w:val="clear" w:color="auto" w:fill="auto"/>
            <w:noWrap/>
          </w:tcPr>
          <w:p w14:paraId="1954A2C3" w14:textId="284FF949" w:rsidR="0023618C" w:rsidRPr="00F734D4" w:rsidRDefault="00C70495" w:rsidP="00E575F1">
            <w:pPr>
              <w:pStyle w:val="TableTextLeft"/>
              <w:spacing w:before="0"/>
              <w:rPr>
                <w:b/>
                <w:bCs/>
              </w:rPr>
            </w:pPr>
            <w:r>
              <w:t>Unchanged</w:t>
            </w:r>
          </w:p>
        </w:tc>
      </w:tr>
      <w:tr w:rsidR="0024541F" w:rsidRPr="00F734D4" w14:paraId="01458C3A" w14:textId="77777777" w:rsidTr="00B119DB">
        <w:trPr>
          <w:trHeight w:val="20"/>
        </w:trPr>
        <w:tc>
          <w:tcPr>
            <w:tcW w:w="4321" w:type="pct"/>
            <w:shd w:val="clear" w:color="auto" w:fill="auto"/>
            <w:noWrap/>
          </w:tcPr>
          <w:p w14:paraId="33BC2850" w14:textId="12782691" w:rsidR="0024541F" w:rsidRPr="00DA34B2" w:rsidRDefault="0024541F" w:rsidP="0024541F">
            <w:pPr>
              <w:pStyle w:val="TableTextLeft-Indent"/>
              <w:spacing w:before="0" w:after="0"/>
              <w:rPr>
                <w:rFonts w:cs="Arial"/>
              </w:rPr>
            </w:pPr>
            <w:r w:rsidRPr="00F734D4">
              <w:rPr>
                <w:rFonts w:cs="Arial"/>
              </w:rPr>
              <w:t xml:space="preserve">Civil </w:t>
            </w:r>
            <w:r w:rsidRPr="00F734D4">
              <w:t>penalty</w:t>
            </w:r>
            <w:r w:rsidRPr="00F734D4">
              <w:rPr>
                <w:rFonts w:cs="Arial"/>
              </w:rPr>
              <w:t xml:space="preserve"> relating to the </w:t>
            </w:r>
            <w:r w:rsidRPr="000B63AE">
              <w:rPr>
                <w:i/>
                <w:iCs/>
              </w:rPr>
              <w:t>Anti</w:t>
            </w:r>
            <w:r w:rsidR="00D23095">
              <w:rPr>
                <w:i/>
                <w:iCs/>
              </w:rPr>
              <w:noBreakHyphen/>
            </w:r>
            <w:r w:rsidRPr="000B63AE">
              <w:rPr>
                <w:i/>
                <w:iCs/>
              </w:rPr>
              <w:t>Money Laundering and Counter</w:t>
            </w:r>
            <w:r w:rsidR="00D23095">
              <w:rPr>
                <w:i/>
                <w:iCs/>
              </w:rPr>
              <w:noBreakHyphen/>
            </w:r>
            <w:r w:rsidRPr="000B63AE">
              <w:rPr>
                <w:i/>
                <w:iCs/>
              </w:rPr>
              <w:t>Terrorism Financing Act 2006</w:t>
            </w:r>
            <w:r>
              <w:rPr>
                <w:i/>
                <w:iCs/>
              </w:rPr>
              <w:t xml:space="preserve"> </w:t>
            </w:r>
            <w:r>
              <w:t xml:space="preserve">– </w:t>
            </w:r>
            <w:proofErr w:type="spellStart"/>
            <w:r w:rsidRPr="005C26C2">
              <w:t>Entain</w:t>
            </w:r>
            <w:proofErr w:type="spellEnd"/>
            <w:r w:rsidRPr="005C26C2">
              <w:t xml:space="preserve"> Group Pty Ltd</w:t>
            </w:r>
          </w:p>
        </w:tc>
        <w:tc>
          <w:tcPr>
            <w:tcW w:w="679" w:type="pct"/>
            <w:shd w:val="clear" w:color="auto" w:fill="auto"/>
            <w:noWrap/>
          </w:tcPr>
          <w:p w14:paraId="546351CA" w14:textId="21ACE613" w:rsidR="0024541F" w:rsidRDefault="0024541F" w:rsidP="0024541F">
            <w:pPr>
              <w:pStyle w:val="TableTextLeft"/>
              <w:spacing w:before="0"/>
            </w:pPr>
            <w:r>
              <w:t>New</w:t>
            </w:r>
          </w:p>
        </w:tc>
      </w:tr>
      <w:tr w:rsidR="0023618C" w:rsidRPr="00F734D4" w14:paraId="7CE41F46" w14:textId="77777777" w:rsidTr="00B119DB">
        <w:trPr>
          <w:trHeight w:val="20"/>
        </w:trPr>
        <w:tc>
          <w:tcPr>
            <w:tcW w:w="4321" w:type="pct"/>
            <w:shd w:val="clear" w:color="auto" w:fill="E6F2FF"/>
            <w:noWrap/>
          </w:tcPr>
          <w:p w14:paraId="72BBBCD0" w14:textId="77777777" w:rsidR="0023618C" w:rsidRPr="00F734D4" w:rsidRDefault="0023618C" w:rsidP="00E575F1">
            <w:pPr>
              <w:pStyle w:val="TableColumnHeadingLeft"/>
              <w:spacing w:before="0"/>
            </w:pPr>
            <w:r w:rsidRPr="00F734D4">
              <w:t>Climate Change, Energy, the Environment and Water</w:t>
            </w:r>
          </w:p>
        </w:tc>
        <w:tc>
          <w:tcPr>
            <w:tcW w:w="679" w:type="pct"/>
            <w:shd w:val="clear" w:color="auto" w:fill="E6F2FF"/>
            <w:noWrap/>
          </w:tcPr>
          <w:p w14:paraId="27477F1C" w14:textId="77777777" w:rsidR="0023618C" w:rsidRPr="00F734D4" w:rsidRDefault="0023618C" w:rsidP="00E575F1">
            <w:pPr>
              <w:pStyle w:val="TableColumnHeadingLeft"/>
              <w:spacing w:before="0"/>
            </w:pPr>
            <w:r w:rsidRPr="00F734D4">
              <w:t>Status</w:t>
            </w:r>
          </w:p>
        </w:tc>
      </w:tr>
      <w:tr w:rsidR="0023618C" w:rsidRPr="00F734D4" w14:paraId="3A3BB414" w14:textId="77777777" w:rsidTr="00B119DB">
        <w:trPr>
          <w:trHeight w:val="20"/>
        </w:trPr>
        <w:tc>
          <w:tcPr>
            <w:tcW w:w="4321" w:type="pct"/>
            <w:shd w:val="clear" w:color="auto" w:fill="E6F2FF"/>
            <w:noWrap/>
          </w:tcPr>
          <w:p w14:paraId="5690B2EB" w14:textId="77777777" w:rsidR="0023618C" w:rsidRPr="00F734D4" w:rsidRDefault="0023618C" w:rsidP="00E575F1">
            <w:pPr>
              <w:pStyle w:val="TableColumnHeadingLeft"/>
              <w:spacing w:before="0"/>
            </w:pPr>
            <w:r w:rsidRPr="00F734D4">
              <w:t>Fiscal Risk</w:t>
            </w:r>
          </w:p>
        </w:tc>
        <w:tc>
          <w:tcPr>
            <w:tcW w:w="679" w:type="pct"/>
            <w:shd w:val="clear" w:color="auto" w:fill="E6F2FF"/>
            <w:noWrap/>
          </w:tcPr>
          <w:p w14:paraId="082CD032" w14:textId="77777777" w:rsidR="0023618C" w:rsidRPr="00F734D4" w:rsidRDefault="0023618C" w:rsidP="00E575F1">
            <w:pPr>
              <w:pStyle w:val="TableTextLeft"/>
              <w:spacing w:before="0"/>
            </w:pPr>
          </w:p>
        </w:tc>
      </w:tr>
      <w:tr w:rsidR="0023618C" w:rsidRPr="00F734D4" w14:paraId="1DD76F1B" w14:textId="77777777" w:rsidTr="00B119DB">
        <w:trPr>
          <w:trHeight w:val="20"/>
        </w:trPr>
        <w:tc>
          <w:tcPr>
            <w:tcW w:w="4321" w:type="pct"/>
            <w:shd w:val="clear" w:color="auto" w:fill="auto"/>
            <w:noWrap/>
          </w:tcPr>
          <w:p w14:paraId="1F7839A9" w14:textId="77777777" w:rsidR="0023618C" w:rsidRPr="00F734D4" w:rsidRDefault="0023618C" w:rsidP="00E575F1">
            <w:pPr>
              <w:pStyle w:val="TableTextLeft-Indent"/>
              <w:spacing w:before="0" w:after="0"/>
            </w:pPr>
            <w:r w:rsidRPr="00F734D4">
              <w:t>Snowy Hydro Limited</w:t>
            </w:r>
          </w:p>
        </w:tc>
        <w:tc>
          <w:tcPr>
            <w:tcW w:w="679" w:type="pct"/>
            <w:shd w:val="clear" w:color="auto" w:fill="auto"/>
            <w:noWrap/>
          </w:tcPr>
          <w:p w14:paraId="6248CC6D" w14:textId="77777777" w:rsidR="0023618C" w:rsidRPr="00F734D4" w:rsidRDefault="0023618C" w:rsidP="00E575F1">
            <w:pPr>
              <w:pStyle w:val="TableTextLeft"/>
              <w:spacing w:before="0"/>
              <w:rPr>
                <w:bCs/>
              </w:rPr>
            </w:pPr>
            <w:r>
              <w:rPr>
                <w:bCs/>
              </w:rPr>
              <w:t xml:space="preserve">Unchanged </w:t>
            </w:r>
          </w:p>
        </w:tc>
      </w:tr>
      <w:tr w:rsidR="0023618C" w:rsidRPr="00F734D4" w14:paraId="2D865561" w14:textId="77777777" w:rsidTr="00B119DB">
        <w:trPr>
          <w:trHeight w:val="20"/>
        </w:trPr>
        <w:tc>
          <w:tcPr>
            <w:tcW w:w="4321" w:type="pct"/>
            <w:shd w:val="clear" w:color="auto" w:fill="E6F2FF"/>
            <w:noWrap/>
          </w:tcPr>
          <w:p w14:paraId="6CCE1BCC" w14:textId="77777777" w:rsidR="0023618C" w:rsidRPr="00F734D4" w:rsidRDefault="0023618C" w:rsidP="00E575F1">
            <w:pPr>
              <w:pStyle w:val="TableColumnHeadingLeft"/>
              <w:spacing w:before="0"/>
            </w:pPr>
            <w:r w:rsidRPr="00F734D4">
              <w:rPr>
                <w:rFonts w:eastAsia="Arial"/>
              </w:rPr>
              <w:t>Significant but remote contingencies</w:t>
            </w:r>
          </w:p>
        </w:tc>
        <w:tc>
          <w:tcPr>
            <w:tcW w:w="679" w:type="pct"/>
            <w:shd w:val="clear" w:color="auto" w:fill="E6F2FF"/>
            <w:noWrap/>
          </w:tcPr>
          <w:p w14:paraId="3A0D5BC5" w14:textId="77777777" w:rsidR="0023618C" w:rsidRPr="00F734D4" w:rsidRDefault="0023618C" w:rsidP="00E575F1">
            <w:pPr>
              <w:pStyle w:val="TableTextLeft"/>
              <w:spacing w:before="0"/>
            </w:pPr>
          </w:p>
        </w:tc>
      </w:tr>
      <w:tr w:rsidR="0023618C" w:rsidRPr="00F734D4" w14:paraId="5235FFE8" w14:textId="77777777" w:rsidTr="00B119DB">
        <w:trPr>
          <w:trHeight w:val="20"/>
        </w:trPr>
        <w:tc>
          <w:tcPr>
            <w:tcW w:w="4321" w:type="pct"/>
            <w:shd w:val="clear" w:color="auto" w:fill="auto"/>
            <w:noWrap/>
          </w:tcPr>
          <w:p w14:paraId="158648A7" w14:textId="670488F5" w:rsidR="0023618C" w:rsidRPr="00F734D4" w:rsidRDefault="0023618C" w:rsidP="00E575F1">
            <w:pPr>
              <w:pStyle w:val="TableTextLeft-Indent"/>
              <w:spacing w:before="0" w:after="0"/>
            </w:pPr>
            <w:r w:rsidRPr="00F734D4">
              <w:t>Snowy Hydro Limited – Board Members</w:t>
            </w:r>
            <w:r w:rsidR="00D23095">
              <w:t>’</w:t>
            </w:r>
            <w:r w:rsidRPr="00F734D4">
              <w:t xml:space="preserve"> indemnity</w:t>
            </w:r>
          </w:p>
        </w:tc>
        <w:tc>
          <w:tcPr>
            <w:tcW w:w="679" w:type="pct"/>
            <w:shd w:val="clear" w:color="auto" w:fill="auto"/>
            <w:noWrap/>
          </w:tcPr>
          <w:p w14:paraId="5B9DDD0C" w14:textId="1F1B2B35" w:rsidR="0023618C" w:rsidRPr="00F734D4" w:rsidRDefault="00771D5C" w:rsidP="00E575F1">
            <w:pPr>
              <w:pStyle w:val="TableTextLeft"/>
              <w:spacing w:before="0"/>
              <w:rPr>
                <w:b/>
                <w:bCs/>
              </w:rPr>
            </w:pPr>
            <w:r>
              <w:rPr>
                <w:bCs/>
              </w:rPr>
              <w:t>Unch</w:t>
            </w:r>
            <w:r w:rsidR="00165881">
              <w:rPr>
                <w:bCs/>
              </w:rPr>
              <w:t>anged</w:t>
            </w:r>
          </w:p>
        </w:tc>
      </w:tr>
      <w:tr w:rsidR="0023618C" w:rsidRPr="00F734D4" w14:paraId="7E9D9CCF" w14:textId="77777777" w:rsidTr="00B119DB">
        <w:trPr>
          <w:trHeight w:val="20"/>
        </w:trPr>
        <w:tc>
          <w:tcPr>
            <w:tcW w:w="4321" w:type="pct"/>
            <w:shd w:val="clear" w:color="auto" w:fill="auto"/>
            <w:noWrap/>
          </w:tcPr>
          <w:p w14:paraId="7CA74C5B" w14:textId="77777777" w:rsidR="0023618C" w:rsidRPr="00F734D4" w:rsidRDefault="0023618C" w:rsidP="00E575F1">
            <w:pPr>
              <w:pStyle w:val="TableTextLeft-Indent"/>
              <w:spacing w:before="0" w:after="0"/>
            </w:pPr>
            <w:r w:rsidRPr="00F734D4">
              <w:t>Snowy Hydro Limited – Termination of the Equity Subscription Agreements</w:t>
            </w:r>
          </w:p>
        </w:tc>
        <w:tc>
          <w:tcPr>
            <w:tcW w:w="679" w:type="pct"/>
            <w:shd w:val="clear" w:color="auto" w:fill="auto"/>
            <w:noWrap/>
          </w:tcPr>
          <w:p w14:paraId="39294089" w14:textId="77777777" w:rsidR="0023618C" w:rsidRPr="00F734D4" w:rsidRDefault="0023618C" w:rsidP="00E575F1">
            <w:pPr>
              <w:pStyle w:val="TableTextLeft"/>
              <w:spacing w:before="0"/>
              <w:rPr>
                <w:b/>
                <w:bCs/>
              </w:rPr>
            </w:pPr>
            <w:r>
              <w:rPr>
                <w:bCs/>
              </w:rPr>
              <w:t>Unchanged</w:t>
            </w:r>
          </w:p>
        </w:tc>
      </w:tr>
      <w:tr w:rsidR="0023618C" w:rsidRPr="00F734D4" w14:paraId="2608F67D" w14:textId="77777777" w:rsidTr="00B119DB">
        <w:trPr>
          <w:trHeight w:val="20"/>
        </w:trPr>
        <w:tc>
          <w:tcPr>
            <w:tcW w:w="4321" w:type="pct"/>
            <w:shd w:val="clear" w:color="auto" w:fill="auto"/>
            <w:noWrap/>
          </w:tcPr>
          <w:p w14:paraId="7F95B79E" w14:textId="77777777" w:rsidR="0023618C" w:rsidRPr="00F734D4" w:rsidRDefault="0023618C" w:rsidP="00E575F1">
            <w:pPr>
              <w:pStyle w:val="TableTextLeft-Indent"/>
              <w:spacing w:before="0" w:after="0"/>
            </w:pPr>
            <w:r w:rsidRPr="00F734D4">
              <w:t>Underwriting of Transmission Projects</w:t>
            </w:r>
          </w:p>
        </w:tc>
        <w:tc>
          <w:tcPr>
            <w:tcW w:w="679" w:type="pct"/>
            <w:shd w:val="clear" w:color="auto" w:fill="auto"/>
            <w:noWrap/>
          </w:tcPr>
          <w:p w14:paraId="2DB22382" w14:textId="705540E1" w:rsidR="0023618C" w:rsidRPr="00F734D4" w:rsidRDefault="00165881" w:rsidP="00E575F1">
            <w:pPr>
              <w:pStyle w:val="TableTextLeft"/>
              <w:spacing w:before="0"/>
              <w:rPr>
                <w:bCs/>
              </w:rPr>
            </w:pPr>
            <w:r>
              <w:rPr>
                <w:bCs/>
              </w:rPr>
              <w:t>Removed</w:t>
            </w:r>
          </w:p>
        </w:tc>
      </w:tr>
      <w:tr w:rsidR="0023618C" w:rsidRPr="00F734D4" w14:paraId="2DF08589" w14:textId="77777777" w:rsidTr="00B119DB">
        <w:trPr>
          <w:trHeight w:val="20"/>
        </w:trPr>
        <w:tc>
          <w:tcPr>
            <w:tcW w:w="4321" w:type="pct"/>
            <w:shd w:val="clear" w:color="auto" w:fill="E6F2FF"/>
            <w:noWrap/>
          </w:tcPr>
          <w:p w14:paraId="40E4DF18" w14:textId="77777777" w:rsidR="0023618C" w:rsidRPr="00F734D4" w:rsidRDefault="0023618C" w:rsidP="00E575F1">
            <w:pPr>
              <w:pStyle w:val="TableColumnHeadingLeft"/>
              <w:spacing w:before="0"/>
            </w:pPr>
            <w:r w:rsidRPr="00F734D4">
              <w:rPr>
                <w:rFonts w:eastAsia="Arial"/>
              </w:rPr>
              <w:t>Contingent liabilities – unquantifiable</w:t>
            </w:r>
          </w:p>
        </w:tc>
        <w:tc>
          <w:tcPr>
            <w:tcW w:w="679" w:type="pct"/>
            <w:shd w:val="clear" w:color="auto" w:fill="E6F2FF"/>
            <w:noWrap/>
          </w:tcPr>
          <w:p w14:paraId="274F72B6" w14:textId="77777777" w:rsidR="0023618C" w:rsidRPr="00F734D4" w:rsidRDefault="0023618C" w:rsidP="00E575F1">
            <w:pPr>
              <w:pStyle w:val="TableTextLeft"/>
              <w:spacing w:before="0"/>
            </w:pPr>
          </w:p>
        </w:tc>
      </w:tr>
      <w:tr w:rsidR="0023618C" w:rsidRPr="00F734D4" w14:paraId="15FFD993" w14:textId="77777777" w:rsidTr="00B119DB">
        <w:trPr>
          <w:trHeight w:val="20"/>
        </w:trPr>
        <w:tc>
          <w:tcPr>
            <w:tcW w:w="4321" w:type="pct"/>
            <w:shd w:val="clear" w:color="auto" w:fill="auto"/>
            <w:noWrap/>
          </w:tcPr>
          <w:p w14:paraId="7F3FB54D" w14:textId="2368DD87" w:rsidR="0023618C" w:rsidRPr="00F734D4" w:rsidRDefault="0023618C" w:rsidP="00E575F1">
            <w:pPr>
              <w:pStyle w:val="TableTextLeft-Indent"/>
              <w:spacing w:before="0" w:after="0"/>
            </w:pPr>
            <w:r w:rsidRPr="00BD765C">
              <w:t>Gorgon liquefied natural gas and carbon dioxide storage project – long</w:t>
            </w:r>
            <w:r w:rsidR="00D23095">
              <w:noBreakHyphen/>
            </w:r>
            <w:r w:rsidRPr="00BD765C">
              <w:t>term liability</w:t>
            </w:r>
          </w:p>
        </w:tc>
        <w:tc>
          <w:tcPr>
            <w:tcW w:w="679" w:type="pct"/>
            <w:shd w:val="clear" w:color="auto" w:fill="auto"/>
            <w:noWrap/>
          </w:tcPr>
          <w:p w14:paraId="4A1B57B0" w14:textId="77777777" w:rsidR="0023618C" w:rsidRPr="00F734D4" w:rsidRDefault="0023618C" w:rsidP="00E575F1">
            <w:pPr>
              <w:pStyle w:val="TableTextLeft"/>
              <w:spacing w:before="0"/>
              <w:rPr>
                <w:bCs/>
              </w:rPr>
            </w:pPr>
            <w:r>
              <w:rPr>
                <w:bCs/>
              </w:rPr>
              <w:t>Unchanged</w:t>
            </w:r>
          </w:p>
        </w:tc>
      </w:tr>
      <w:tr w:rsidR="0023618C" w:rsidRPr="00F734D4" w14:paraId="2980E877" w14:textId="77777777" w:rsidTr="00B119DB">
        <w:trPr>
          <w:trHeight w:val="20"/>
        </w:trPr>
        <w:tc>
          <w:tcPr>
            <w:tcW w:w="4321" w:type="pct"/>
            <w:shd w:val="clear" w:color="auto" w:fill="auto"/>
            <w:noWrap/>
          </w:tcPr>
          <w:p w14:paraId="134A9FB1" w14:textId="77777777" w:rsidR="0023618C" w:rsidRPr="00F734D4" w:rsidRDefault="0023618C" w:rsidP="00E575F1">
            <w:pPr>
              <w:pStyle w:val="TableTextLeft-Indent"/>
              <w:spacing w:before="0" w:after="0"/>
            </w:pPr>
            <w:r w:rsidRPr="00F734D4">
              <w:t>Liability for costs incurred in a national liquid fuel emergency</w:t>
            </w:r>
          </w:p>
        </w:tc>
        <w:tc>
          <w:tcPr>
            <w:tcW w:w="679" w:type="pct"/>
            <w:shd w:val="clear" w:color="auto" w:fill="auto"/>
            <w:noWrap/>
          </w:tcPr>
          <w:p w14:paraId="30DD0120" w14:textId="77777777" w:rsidR="0023618C" w:rsidRPr="00F734D4" w:rsidRDefault="0023618C" w:rsidP="00E575F1">
            <w:pPr>
              <w:pStyle w:val="TableTextLeft"/>
              <w:spacing w:before="0"/>
              <w:rPr>
                <w:b/>
                <w:bCs/>
              </w:rPr>
            </w:pPr>
            <w:r w:rsidRPr="00F734D4">
              <w:rPr>
                <w:bCs/>
              </w:rPr>
              <w:t>Unchanged</w:t>
            </w:r>
          </w:p>
        </w:tc>
      </w:tr>
      <w:tr w:rsidR="0023618C" w:rsidRPr="00F734D4" w14:paraId="13438991" w14:textId="77777777" w:rsidTr="00B119DB">
        <w:trPr>
          <w:trHeight w:val="20"/>
        </w:trPr>
        <w:tc>
          <w:tcPr>
            <w:tcW w:w="4321" w:type="pct"/>
            <w:shd w:val="clear" w:color="auto" w:fill="auto"/>
            <w:noWrap/>
          </w:tcPr>
          <w:p w14:paraId="5162EDC7" w14:textId="0B8ADC60" w:rsidR="0023618C" w:rsidRPr="00F734D4" w:rsidRDefault="0023618C" w:rsidP="00E575F1">
            <w:pPr>
              <w:pStyle w:val="TableTextLeft-Indent"/>
              <w:spacing w:before="0" w:after="0"/>
            </w:pPr>
            <w:r w:rsidRPr="00D14FE8">
              <w:t>Marinus Link Project – Shareholders</w:t>
            </w:r>
            <w:r w:rsidR="00D23095">
              <w:t>’</w:t>
            </w:r>
            <w:r w:rsidRPr="00D14FE8">
              <w:t xml:space="preserve"> agreement</w:t>
            </w:r>
          </w:p>
        </w:tc>
        <w:tc>
          <w:tcPr>
            <w:tcW w:w="679" w:type="pct"/>
            <w:shd w:val="clear" w:color="auto" w:fill="auto"/>
            <w:noWrap/>
          </w:tcPr>
          <w:p w14:paraId="5B48CF3F" w14:textId="77777777" w:rsidR="0023618C" w:rsidRPr="00F734D4" w:rsidRDefault="0023618C" w:rsidP="00E575F1">
            <w:pPr>
              <w:pStyle w:val="TableTextLeft"/>
              <w:spacing w:before="0"/>
              <w:rPr>
                <w:bCs/>
              </w:rPr>
            </w:pPr>
            <w:r>
              <w:rPr>
                <w:bCs/>
              </w:rPr>
              <w:t>Unchanged</w:t>
            </w:r>
          </w:p>
        </w:tc>
      </w:tr>
      <w:tr w:rsidR="0023618C" w:rsidRPr="00F734D4" w14:paraId="521F8045" w14:textId="77777777" w:rsidTr="00B119DB">
        <w:trPr>
          <w:trHeight w:val="20"/>
        </w:trPr>
        <w:tc>
          <w:tcPr>
            <w:tcW w:w="4321" w:type="pct"/>
            <w:shd w:val="clear" w:color="auto" w:fill="auto"/>
            <w:noWrap/>
          </w:tcPr>
          <w:p w14:paraId="210145D0" w14:textId="7978C67B" w:rsidR="0023618C" w:rsidRPr="00F734D4" w:rsidRDefault="0023618C" w:rsidP="00E575F1">
            <w:pPr>
              <w:pStyle w:val="TableTextLeft-Indent"/>
              <w:spacing w:before="0" w:after="0"/>
              <w:rPr>
                <w:rFonts w:ascii="Arial Bold" w:hAnsi="Arial Bold"/>
                <w:b/>
                <w:bCs/>
              </w:rPr>
            </w:pPr>
            <w:r w:rsidRPr="00F734D4">
              <w:t>Murray</w:t>
            </w:r>
            <w:r w:rsidR="00D23095">
              <w:noBreakHyphen/>
            </w:r>
            <w:r w:rsidRPr="00F734D4">
              <w:t>Darling Basin Reform – risk assignment</w:t>
            </w:r>
          </w:p>
        </w:tc>
        <w:tc>
          <w:tcPr>
            <w:tcW w:w="679" w:type="pct"/>
            <w:shd w:val="clear" w:color="auto" w:fill="auto"/>
            <w:noWrap/>
          </w:tcPr>
          <w:p w14:paraId="48DFF0A3" w14:textId="77777777" w:rsidR="0023618C" w:rsidRPr="00F734D4" w:rsidRDefault="0023618C" w:rsidP="00E575F1">
            <w:pPr>
              <w:pStyle w:val="TableTextLeft"/>
              <w:spacing w:before="0"/>
              <w:rPr>
                <w:bCs/>
              </w:rPr>
            </w:pPr>
            <w:r>
              <w:rPr>
                <w:bCs/>
              </w:rPr>
              <w:t>Unchanged</w:t>
            </w:r>
          </w:p>
        </w:tc>
      </w:tr>
      <w:tr w:rsidR="0023618C" w:rsidRPr="00F734D4" w14:paraId="640207D0" w14:textId="77777777" w:rsidTr="00B119DB">
        <w:trPr>
          <w:trHeight w:val="20"/>
        </w:trPr>
        <w:tc>
          <w:tcPr>
            <w:tcW w:w="4321" w:type="pct"/>
            <w:shd w:val="clear" w:color="auto" w:fill="auto"/>
            <w:noWrap/>
          </w:tcPr>
          <w:p w14:paraId="1D88B5DA" w14:textId="77777777" w:rsidR="0023618C" w:rsidRPr="00F734D4" w:rsidRDefault="0023618C" w:rsidP="00E575F1">
            <w:pPr>
              <w:pStyle w:val="TableTextLeft-Indent"/>
              <w:spacing w:before="0" w:after="0"/>
            </w:pPr>
            <w:r w:rsidRPr="00F734D4">
              <w:t>Remediation of Jabiru Township</w:t>
            </w:r>
          </w:p>
        </w:tc>
        <w:tc>
          <w:tcPr>
            <w:tcW w:w="679" w:type="pct"/>
            <w:shd w:val="clear" w:color="auto" w:fill="auto"/>
            <w:noWrap/>
          </w:tcPr>
          <w:p w14:paraId="20B53D6B" w14:textId="77777777" w:rsidR="0023618C" w:rsidRPr="00F734D4" w:rsidRDefault="0023618C" w:rsidP="00E575F1">
            <w:pPr>
              <w:pStyle w:val="TableTextLeft"/>
              <w:spacing w:before="0"/>
              <w:rPr>
                <w:bCs/>
              </w:rPr>
            </w:pPr>
            <w:r>
              <w:t>Unchanged</w:t>
            </w:r>
          </w:p>
        </w:tc>
      </w:tr>
      <w:tr w:rsidR="0023618C" w:rsidRPr="00F734D4" w14:paraId="66DF5B9C" w14:textId="77777777" w:rsidTr="00B119DB">
        <w:trPr>
          <w:trHeight w:val="20"/>
        </w:trPr>
        <w:tc>
          <w:tcPr>
            <w:tcW w:w="4321" w:type="pct"/>
            <w:shd w:val="clear" w:color="auto" w:fill="auto"/>
            <w:noWrap/>
          </w:tcPr>
          <w:p w14:paraId="3CF29D84" w14:textId="77777777" w:rsidR="0023618C" w:rsidRPr="00F734D4" w:rsidRDefault="0023618C" w:rsidP="00E575F1">
            <w:pPr>
              <w:pStyle w:val="TableTextLeft-Indent"/>
              <w:spacing w:before="0" w:after="0"/>
              <w:rPr>
                <w:rFonts w:ascii="Arial Bold" w:hAnsi="Arial Bold"/>
                <w:b/>
                <w:bCs/>
              </w:rPr>
            </w:pPr>
            <w:r w:rsidRPr="00F734D4">
              <w:t>United States Strategic Petroleum Reserve Lease Agreement – indemnity under</w:t>
            </w:r>
            <w:r>
              <w:t> </w:t>
            </w:r>
            <w:r w:rsidRPr="00F734D4">
              <w:t>certain conditions</w:t>
            </w:r>
          </w:p>
        </w:tc>
        <w:tc>
          <w:tcPr>
            <w:tcW w:w="679" w:type="pct"/>
            <w:shd w:val="clear" w:color="auto" w:fill="auto"/>
            <w:noWrap/>
          </w:tcPr>
          <w:p w14:paraId="42919A75" w14:textId="77777777" w:rsidR="0023618C" w:rsidRPr="00F734D4" w:rsidRDefault="0023618C" w:rsidP="00E575F1">
            <w:pPr>
              <w:pStyle w:val="TableTextLeft"/>
              <w:spacing w:before="0"/>
              <w:rPr>
                <w:bCs/>
              </w:rPr>
            </w:pPr>
            <w:r>
              <w:rPr>
                <w:bCs/>
              </w:rPr>
              <w:t>Unchanged</w:t>
            </w:r>
          </w:p>
        </w:tc>
      </w:tr>
      <w:tr w:rsidR="0023618C" w:rsidRPr="00F734D4" w14:paraId="36E104FD" w14:textId="77777777" w:rsidTr="00B119DB">
        <w:trPr>
          <w:trHeight w:val="20"/>
        </w:trPr>
        <w:tc>
          <w:tcPr>
            <w:tcW w:w="4321" w:type="pct"/>
            <w:shd w:val="clear" w:color="auto" w:fill="E6F2FF"/>
            <w:noWrap/>
          </w:tcPr>
          <w:p w14:paraId="21CA5919" w14:textId="77777777" w:rsidR="0023618C" w:rsidRPr="00F734D4" w:rsidRDefault="0023618C" w:rsidP="00E575F1">
            <w:pPr>
              <w:pStyle w:val="TableColumnHeadingLeft"/>
              <w:spacing w:before="0"/>
            </w:pPr>
            <w:r w:rsidRPr="00F734D4">
              <w:rPr>
                <w:rFonts w:eastAsia="Arial"/>
              </w:rPr>
              <w:t>Contingent liabilit</w:t>
            </w:r>
            <w:r>
              <w:rPr>
                <w:rFonts w:eastAsia="Arial"/>
              </w:rPr>
              <w:t>ies</w:t>
            </w:r>
            <w:r w:rsidRPr="00F734D4">
              <w:rPr>
                <w:rFonts w:eastAsia="Arial"/>
              </w:rPr>
              <w:t xml:space="preserve"> – quantifiable</w:t>
            </w:r>
          </w:p>
        </w:tc>
        <w:tc>
          <w:tcPr>
            <w:tcW w:w="679" w:type="pct"/>
            <w:shd w:val="clear" w:color="auto" w:fill="E6F2FF"/>
            <w:noWrap/>
          </w:tcPr>
          <w:p w14:paraId="6AC8DD5C" w14:textId="77777777" w:rsidR="0023618C" w:rsidRPr="00F734D4" w:rsidRDefault="0023618C" w:rsidP="00E575F1">
            <w:pPr>
              <w:pStyle w:val="TableTextLeft"/>
              <w:spacing w:before="0"/>
            </w:pPr>
          </w:p>
        </w:tc>
      </w:tr>
      <w:tr w:rsidR="0023618C" w:rsidRPr="00F734D4" w14:paraId="2F04FDB7" w14:textId="77777777" w:rsidTr="00B119DB">
        <w:trPr>
          <w:trHeight w:val="20"/>
        </w:trPr>
        <w:tc>
          <w:tcPr>
            <w:tcW w:w="4321" w:type="pct"/>
            <w:shd w:val="clear" w:color="auto" w:fill="auto"/>
            <w:noWrap/>
          </w:tcPr>
          <w:p w14:paraId="71892D68" w14:textId="77777777" w:rsidR="0023618C" w:rsidRPr="00F734D4" w:rsidRDefault="0023618C" w:rsidP="00E575F1">
            <w:pPr>
              <w:pStyle w:val="TableTextLeft-Indent"/>
              <w:spacing w:before="0" w:after="0"/>
            </w:pPr>
            <w:r>
              <w:t>Capacity Investment Scheme</w:t>
            </w:r>
          </w:p>
        </w:tc>
        <w:tc>
          <w:tcPr>
            <w:tcW w:w="679" w:type="pct"/>
            <w:shd w:val="clear" w:color="auto" w:fill="auto"/>
            <w:noWrap/>
          </w:tcPr>
          <w:p w14:paraId="369FE445" w14:textId="11A6F386" w:rsidR="0023618C" w:rsidRDefault="00CF49CB" w:rsidP="00E575F1">
            <w:pPr>
              <w:pStyle w:val="TableTextLeft"/>
              <w:spacing w:before="0"/>
              <w:rPr>
                <w:bCs/>
              </w:rPr>
            </w:pPr>
            <w:r>
              <w:rPr>
                <w:bCs/>
              </w:rPr>
              <w:t>Modified</w:t>
            </w:r>
          </w:p>
        </w:tc>
      </w:tr>
      <w:tr w:rsidR="0023618C" w:rsidRPr="00F734D4" w14:paraId="5BB580BD" w14:textId="77777777" w:rsidTr="00B119DB">
        <w:trPr>
          <w:trHeight w:val="20"/>
        </w:trPr>
        <w:tc>
          <w:tcPr>
            <w:tcW w:w="4321" w:type="pct"/>
            <w:shd w:val="clear" w:color="auto" w:fill="auto"/>
            <w:noWrap/>
          </w:tcPr>
          <w:p w14:paraId="6D86165E" w14:textId="77777777" w:rsidR="0023618C" w:rsidRPr="00F734D4" w:rsidRDefault="0023618C" w:rsidP="00E575F1">
            <w:pPr>
              <w:pStyle w:val="TableTextLeft-Indent"/>
              <w:spacing w:before="0" w:after="0"/>
            </w:pPr>
            <w:r w:rsidRPr="00F734D4">
              <w:t xml:space="preserve">Underwriting of </w:t>
            </w:r>
            <w:r>
              <w:t>the Marinus Link Project</w:t>
            </w:r>
          </w:p>
        </w:tc>
        <w:tc>
          <w:tcPr>
            <w:tcW w:w="679" w:type="pct"/>
            <w:shd w:val="clear" w:color="auto" w:fill="auto"/>
            <w:noWrap/>
          </w:tcPr>
          <w:p w14:paraId="4C14F987" w14:textId="4CD911DA" w:rsidR="0023618C" w:rsidRPr="00F734D4" w:rsidRDefault="00CF49CB" w:rsidP="00E575F1">
            <w:pPr>
              <w:pStyle w:val="TableTextLeft"/>
              <w:spacing w:before="0"/>
              <w:rPr>
                <w:bCs/>
              </w:rPr>
            </w:pPr>
            <w:r>
              <w:rPr>
                <w:bCs/>
              </w:rPr>
              <w:t>Unchanged</w:t>
            </w:r>
          </w:p>
        </w:tc>
      </w:tr>
      <w:tr w:rsidR="0023618C" w:rsidRPr="00F734D4" w14:paraId="1F594447" w14:textId="77777777" w:rsidTr="00B119DB">
        <w:trPr>
          <w:trHeight w:val="20"/>
        </w:trPr>
        <w:tc>
          <w:tcPr>
            <w:tcW w:w="4321" w:type="pct"/>
            <w:shd w:val="clear" w:color="auto" w:fill="E6F2FF"/>
            <w:noWrap/>
          </w:tcPr>
          <w:p w14:paraId="5D18C48D" w14:textId="77777777" w:rsidR="0023618C" w:rsidRPr="00F734D4" w:rsidRDefault="0023618C" w:rsidP="00E575F1">
            <w:pPr>
              <w:pStyle w:val="TableColumnHeadingLeft"/>
              <w:spacing w:before="0"/>
            </w:pPr>
            <w:r w:rsidRPr="00F734D4">
              <w:t>Defence</w:t>
            </w:r>
          </w:p>
        </w:tc>
        <w:tc>
          <w:tcPr>
            <w:tcW w:w="679" w:type="pct"/>
            <w:shd w:val="clear" w:color="auto" w:fill="E6F2FF"/>
            <w:noWrap/>
          </w:tcPr>
          <w:p w14:paraId="1A3932A9" w14:textId="77777777" w:rsidR="0023618C" w:rsidRPr="00F734D4" w:rsidRDefault="0023618C" w:rsidP="00E575F1">
            <w:pPr>
              <w:pStyle w:val="TableColumnHeadingLeft"/>
              <w:spacing w:before="0"/>
            </w:pPr>
            <w:r w:rsidRPr="00F734D4">
              <w:t>Status</w:t>
            </w:r>
          </w:p>
        </w:tc>
      </w:tr>
      <w:tr w:rsidR="0023618C" w:rsidRPr="00F734D4" w14:paraId="331B8C79" w14:textId="77777777" w:rsidTr="00B119DB">
        <w:trPr>
          <w:trHeight w:val="20"/>
        </w:trPr>
        <w:tc>
          <w:tcPr>
            <w:tcW w:w="4321" w:type="pct"/>
            <w:shd w:val="clear" w:color="auto" w:fill="E6F2FF"/>
            <w:noWrap/>
          </w:tcPr>
          <w:p w14:paraId="3E9D2B30" w14:textId="77777777" w:rsidR="0023618C" w:rsidRPr="00F734D4" w:rsidRDefault="0023618C" w:rsidP="00E575F1">
            <w:pPr>
              <w:pStyle w:val="TableColumnHeadingLeft"/>
              <w:spacing w:before="0"/>
            </w:pPr>
            <w:r w:rsidRPr="00F734D4">
              <w:rPr>
                <w:rFonts w:eastAsia="Arial"/>
              </w:rPr>
              <w:t>Fiscal Risks</w:t>
            </w:r>
          </w:p>
        </w:tc>
        <w:tc>
          <w:tcPr>
            <w:tcW w:w="679" w:type="pct"/>
            <w:shd w:val="clear" w:color="auto" w:fill="E6F2FF"/>
            <w:noWrap/>
          </w:tcPr>
          <w:p w14:paraId="2E8EB0A6" w14:textId="77777777" w:rsidR="0023618C" w:rsidRPr="00F734D4" w:rsidRDefault="0023618C" w:rsidP="00E575F1">
            <w:pPr>
              <w:pStyle w:val="TableTextLeft"/>
              <w:spacing w:before="0"/>
            </w:pPr>
          </w:p>
        </w:tc>
      </w:tr>
      <w:tr w:rsidR="0023618C" w:rsidRPr="00F734D4" w14:paraId="51176607" w14:textId="77777777" w:rsidTr="00B119DB">
        <w:trPr>
          <w:trHeight w:val="20"/>
        </w:trPr>
        <w:tc>
          <w:tcPr>
            <w:tcW w:w="4321" w:type="pct"/>
            <w:shd w:val="clear" w:color="auto" w:fill="auto"/>
            <w:noWrap/>
          </w:tcPr>
          <w:p w14:paraId="42E8D254" w14:textId="60576B98" w:rsidR="0023618C" w:rsidRPr="00F734D4" w:rsidRDefault="0023618C" w:rsidP="00E575F1">
            <w:pPr>
              <w:pStyle w:val="TableTextLeft-Indent"/>
              <w:spacing w:before="0" w:after="0"/>
            </w:pPr>
            <w:r w:rsidRPr="00BD765C">
              <w:t>Implementation of the nuclear</w:t>
            </w:r>
            <w:r w:rsidR="00D23095">
              <w:noBreakHyphen/>
            </w:r>
            <w:r w:rsidRPr="00BD765C">
              <w:t>powered submarine program</w:t>
            </w:r>
          </w:p>
        </w:tc>
        <w:tc>
          <w:tcPr>
            <w:tcW w:w="679" w:type="pct"/>
            <w:shd w:val="clear" w:color="auto" w:fill="auto"/>
            <w:noWrap/>
          </w:tcPr>
          <w:p w14:paraId="78D9A838" w14:textId="77777777" w:rsidR="0023618C" w:rsidRPr="00F734D4" w:rsidRDefault="0023618C" w:rsidP="00E575F1">
            <w:pPr>
              <w:pStyle w:val="TableTextLeft"/>
              <w:spacing w:before="0"/>
            </w:pPr>
            <w:r>
              <w:t>Unchanged</w:t>
            </w:r>
          </w:p>
        </w:tc>
      </w:tr>
      <w:tr w:rsidR="0023618C" w:rsidRPr="00F734D4" w14:paraId="20E478B2" w14:textId="77777777" w:rsidTr="00B119DB">
        <w:trPr>
          <w:trHeight w:val="20"/>
        </w:trPr>
        <w:tc>
          <w:tcPr>
            <w:tcW w:w="4321" w:type="pct"/>
            <w:shd w:val="clear" w:color="auto" w:fill="auto"/>
            <w:noWrap/>
          </w:tcPr>
          <w:p w14:paraId="09B1F3C9" w14:textId="5F2E9587" w:rsidR="0023618C" w:rsidRPr="00F734D4" w:rsidRDefault="0023618C" w:rsidP="00E575F1">
            <w:pPr>
              <w:pStyle w:val="TableTextLeft-Indent"/>
              <w:spacing w:before="0" w:after="0"/>
            </w:pPr>
            <w:r w:rsidRPr="00F734D4">
              <w:t xml:space="preserve">Major operations of the Australian Defence Force in </w:t>
            </w:r>
            <w:r>
              <w:t>202</w:t>
            </w:r>
            <w:r w:rsidR="00BD47E8">
              <w:t>5</w:t>
            </w:r>
            <w:r w:rsidR="00D23095">
              <w:noBreakHyphen/>
            </w:r>
            <w:r>
              <w:t>2</w:t>
            </w:r>
            <w:r w:rsidR="00BD47E8">
              <w:t>6</w:t>
            </w:r>
          </w:p>
        </w:tc>
        <w:tc>
          <w:tcPr>
            <w:tcW w:w="679" w:type="pct"/>
            <w:shd w:val="clear" w:color="auto" w:fill="auto"/>
            <w:noWrap/>
          </w:tcPr>
          <w:p w14:paraId="0AE22650" w14:textId="77777777" w:rsidR="0023618C" w:rsidRPr="00F734D4" w:rsidRDefault="0023618C" w:rsidP="00E575F1">
            <w:pPr>
              <w:pStyle w:val="TableTextLeft"/>
              <w:spacing w:before="0"/>
            </w:pPr>
            <w:r>
              <w:t>Unchanged</w:t>
            </w:r>
          </w:p>
        </w:tc>
      </w:tr>
      <w:tr w:rsidR="0023618C" w:rsidRPr="00F734D4" w14:paraId="3FFD148E" w14:textId="77777777" w:rsidTr="00B119DB">
        <w:trPr>
          <w:trHeight w:val="20"/>
        </w:trPr>
        <w:tc>
          <w:tcPr>
            <w:tcW w:w="4321" w:type="pct"/>
            <w:shd w:val="clear" w:color="auto" w:fill="E6F2FF"/>
            <w:noWrap/>
          </w:tcPr>
          <w:p w14:paraId="77F70FE4" w14:textId="77777777" w:rsidR="0023618C" w:rsidRPr="00F734D4" w:rsidRDefault="0023618C" w:rsidP="00E575F1">
            <w:pPr>
              <w:pStyle w:val="TableColumnHeadingLeft"/>
              <w:spacing w:before="0"/>
              <w:rPr>
                <w:rFonts w:eastAsia="Arial"/>
              </w:rPr>
            </w:pPr>
            <w:r w:rsidRPr="00F734D4">
              <w:rPr>
                <w:rFonts w:eastAsia="Arial"/>
              </w:rPr>
              <w:t xml:space="preserve">Significant but remote contingencies </w:t>
            </w:r>
          </w:p>
        </w:tc>
        <w:tc>
          <w:tcPr>
            <w:tcW w:w="679" w:type="pct"/>
            <w:shd w:val="clear" w:color="auto" w:fill="E6F2FF"/>
            <w:noWrap/>
          </w:tcPr>
          <w:p w14:paraId="5C2985C1" w14:textId="77777777" w:rsidR="0023618C" w:rsidRPr="00F734D4" w:rsidRDefault="0023618C" w:rsidP="00E575F1">
            <w:pPr>
              <w:pStyle w:val="TableTextLeft"/>
              <w:spacing w:before="0"/>
            </w:pPr>
          </w:p>
        </w:tc>
      </w:tr>
      <w:tr w:rsidR="0023618C" w:rsidRPr="00F734D4" w14:paraId="419F47F4" w14:textId="77777777" w:rsidTr="00B119DB">
        <w:trPr>
          <w:trHeight w:val="20"/>
        </w:trPr>
        <w:tc>
          <w:tcPr>
            <w:tcW w:w="4321" w:type="pct"/>
            <w:shd w:val="clear" w:color="auto" w:fill="auto"/>
            <w:noWrap/>
          </w:tcPr>
          <w:p w14:paraId="6B0A6473" w14:textId="5DB8BD75" w:rsidR="0023618C" w:rsidRPr="00F734D4" w:rsidRDefault="0023618C" w:rsidP="00E575F1">
            <w:pPr>
              <w:pStyle w:val="TableTextLeft-Indent"/>
              <w:spacing w:before="0" w:after="0"/>
              <w:rPr>
                <w:b/>
              </w:rPr>
            </w:pPr>
            <w:r w:rsidRPr="00F734D4">
              <w:t>ADI Limited – Officers</w:t>
            </w:r>
            <w:r w:rsidR="00D23095">
              <w:t>’</w:t>
            </w:r>
            <w:r w:rsidRPr="00F734D4">
              <w:t xml:space="preserve"> and Directors</w:t>
            </w:r>
            <w:r w:rsidR="00D23095">
              <w:t>’</w:t>
            </w:r>
            <w:r w:rsidRPr="00F734D4">
              <w:t xml:space="preserve"> indemnities</w:t>
            </w:r>
          </w:p>
        </w:tc>
        <w:tc>
          <w:tcPr>
            <w:tcW w:w="679" w:type="pct"/>
            <w:shd w:val="clear" w:color="auto" w:fill="auto"/>
            <w:noWrap/>
          </w:tcPr>
          <w:p w14:paraId="08BC79F4" w14:textId="77777777" w:rsidR="0023618C" w:rsidRPr="00F734D4" w:rsidRDefault="0023618C" w:rsidP="00E575F1">
            <w:pPr>
              <w:pStyle w:val="TableTextLeft"/>
              <w:spacing w:before="0"/>
            </w:pPr>
            <w:r w:rsidRPr="00F734D4">
              <w:t>Unchanged</w:t>
            </w:r>
          </w:p>
        </w:tc>
      </w:tr>
      <w:tr w:rsidR="0023618C" w:rsidRPr="00F734D4" w14:paraId="0BA8D156" w14:textId="77777777" w:rsidTr="00B119DB">
        <w:trPr>
          <w:trHeight w:val="20"/>
        </w:trPr>
        <w:tc>
          <w:tcPr>
            <w:tcW w:w="4321" w:type="pct"/>
            <w:shd w:val="clear" w:color="auto" w:fill="auto"/>
            <w:noWrap/>
          </w:tcPr>
          <w:p w14:paraId="16982BF7" w14:textId="77777777" w:rsidR="0023618C" w:rsidRPr="00F734D4" w:rsidRDefault="0023618C" w:rsidP="00E575F1">
            <w:pPr>
              <w:pStyle w:val="TableTextLeft-Indent"/>
              <w:spacing w:before="0" w:after="0"/>
            </w:pPr>
            <w:r w:rsidRPr="00F734D4">
              <w:t>Litigation cases</w:t>
            </w:r>
          </w:p>
        </w:tc>
        <w:tc>
          <w:tcPr>
            <w:tcW w:w="679" w:type="pct"/>
            <w:shd w:val="clear" w:color="auto" w:fill="auto"/>
            <w:noWrap/>
          </w:tcPr>
          <w:p w14:paraId="66DB71C7" w14:textId="77777777" w:rsidR="0023618C" w:rsidRPr="00F734D4" w:rsidRDefault="0023618C" w:rsidP="00E575F1">
            <w:pPr>
              <w:pStyle w:val="TableTextLeft"/>
              <w:spacing w:before="0"/>
            </w:pPr>
            <w:r w:rsidRPr="00F734D4">
              <w:t>Unchanged</w:t>
            </w:r>
          </w:p>
        </w:tc>
      </w:tr>
      <w:tr w:rsidR="0023618C" w:rsidRPr="00F734D4" w14:paraId="396A9AC2" w14:textId="77777777" w:rsidTr="00B119DB">
        <w:trPr>
          <w:trHeight w:val="20"/>
        </w:trPr>
        <w:tc>
          <w:tcPr>
            <w:tcW w:w="4321" w:type="pct"/>
            <w:shd w:val="clear" w:color="auto" w:fill="auto"/>
            <w:noWrap/>
          </w:tcPr>
          <w:p w14:paraId="66739540" w14:textId="77777777" w:rsidR="0023618C" w:rsidRPr="00F734D4" w:rsidRDefault="0023618C" w:rsidP="00E575F1">
            <w:pPr>
              <w:pStyle w:val="TableTextLeft-Indent"/>
              <w:spacing w:before="0" w:after="0"/>
            </w:pPr>
            <w:r w:rsidRPr="00F734D4">
              <w:t>Remote contingencies</w:t>
            </w:r>
          </w:p>
        </w:tc>
        <w:tc>
          <w:tcPr>
            <w:tcW w:w="679" w:type="pct"/>
            <w:shd w:val="clear" w:color="auto" w:fill="auto"/>
            <w:noWrap/>
          </w:tcPr>
          <w:p w14:paraId="7B319D40" w14:textId="3E8EBE8C" w:rsidR="0023618C" w:rsidRPr="00F734D4" w:rsidRDefault="00C800CC" w:rsidP="00E575F1">
            <w:pPr>
              <w:pStyle w:val="TableTextLeft"/>
              <w:spacing w:before="0"/>
              <w:rPr>
                <w:rFonts w:eastAsia="Arial" w:cs="Arial"/>
              </w:rPr>
            </w:pPr>
            <w:r>
              <w:rPr>
                <w:bCs/>
              </w:rPr>
              <w:t>Unchanged</w:t>
            </w:r>
          </w:p>
        </w:tc>
      </w:tr>
      <w:tr w:rsidR="0023618C" w:rsidRPr="00F734D4" w14:paraId="65D79858" w14:textId="77777777" w:rsidTr="00B119DB">
        <w:trPr>
          <w:trHeight w:val="20"/>
        </w:trPr>
        <w:tc>
          <w:tcPr>
            <w:tcW w:w="4321" w:type="pct"/>
            <w:shd w:val="clear" w:color="auto" w:fill="E6F2FF"/>
            <w:noWrap/>
          </w:tcPr>
          <w:p w14:paraId="49BFDDB7" w14:textId="77777777" w:rsidR="0023618C" w:rsidRPr="00F734D4" w:rsidRDefault="0023618C" w:rsidP="00E575F1">
            <w:pPr>
              <w:pStyle w:val="TableColumnHeadingLeft"/>
              <w:spacing w:before="0"/>
              <w:rPr>
                <w:rFonts w:eastAsia="Arial"/>
              </w:rPr>
            </w:pPr>
            <w:r w:rsidRPr="00F734D4">
              <w:rPr>
                <w:rFonts w:eastAsia="Arial"/>
              </w:rPr>
              <w:t>Contingent liabilities – unquantifiable</w:t>
            </w:r>
          </w:p>
        </w:tc>
        <w:tc>
          <w:tcPr>
            <w:tcW w:w="679" w:type="pct"/>
            <w:shd w:val="clear" w:color="auto" w:fill="E6F2FF"/>
            <w:noWrap/>
          </w:tcPr>
          <w:p w14:paraId="60A99C21" w14:textId="77777777" w:rsidR="0023618C" w:rsidRPr="00F734D4" w:rsidRDefault="0023618C" w:rsidP="00E575F1">
            <w:pPr>
              <w:pStyle w:val="TableTextLeft"/>
              <w:spacing w:before="0"/>
            </w:pPr>
          </w:p>
        </w:tc>
      </w:tr>
      <w:tr w:rsidR="0023618C" w:rsidRPr="00F734D4" w14:paraId="741C2ABD" w14:textId="77777777" w:rsidTr="00B119DB">
        <w:trPr>
          <w:trHeight w:val="20"/>
        </w:trPr>
        <w:tc>
          <w:tcPr>
            <w:tcW w:w="4321" w:type="pct"/>
            <w:shd w:val="clear" w:color="auto" w:fill="auto"/>
            <w:noWrap/>
          </w:tcPr>
          <w:p w14:paraId="1AFC5990" w14:textId="77777777" w:rsidR="0023618C" w:rsidRPr="00F734D4" w:rsidRDefault="0023618C" w:rsidP="00E575F1">
            <w:pPr>
              <w:pStyle w:val="TableTextLeft-Indent"/>
              <w:spacing w:before="0" w:after="0"/>
            </w:pPr>
            <w:r w:rsidRPr="00F734D4">
              <w:t>Cockatoo Island Dockyard</w:t>
            </w:r>
          </w:p>
        </w:tc>
        <w:tc>
          <w:tcPr>
            <w:tcW w:w="679" w:type="pct"/>
            <w:shd w:val="clear" w:color="auto" w:fill="auto"/>
            <w:noWrap/>
          </w:tcPr>
          <w:p w14:paraId="5E04AAE0" w14:textId="77777777" w:rsidR="0023618C" w:rsidRPr="00F734D4" w:rsidRDefault="0023618C" w:rsidP="00E575F1">
            <w:pPr>
              <w:pStyle w:val="TableTextLeft"/>
              <w:spacing w:before="0"/>
            </w:pPr>
            <w:r w:rsidRPr="00F734D4">
              <w:t>Unchanged</w:t>
            </w:r>
          </w:p>
        </w:tc>
      </w:tr>
      <w:tr w:rsidR="0023618C" w:rsidRPr="00F734D4" w14:paraId="098E9EEF" w14:textId="77777777" w:rsidTr="00B119DB">
        <w:trPr>
          <w:trHeight w:val="20"/>
        </w:trPr>
        <w:tc>
          <w:tcPr>
            <w:tcW w:w="4321" w:type="pct"/>
            <w:shd w:val="clear" w:color="auto" w:fill="auto"/>
            <w:noWrap/>
          </w:tcPr>
          <w:p w14:paraId="77A08CEB" w14:textId="77777777" w:rsidR="0023618C" w:rsidRPr="00F734D4" w:rsidRDefault="0023618C" w:rsidP="00E575F1">
            <w:pPr>
              <w:pStyle w:val="TableTextLeft-Indent"/>
              <w:spacing w:before="0" w:after="0"/>
            </w:pPr>
            <w:r w:rsidRPr="00F734D4">
              <w:t>Land decontamination, site restoration and decommissioning of Defence assets</w:t>
            </w:r>
          </w:p>
        </w:tc>
        <w:tc>
          <w:tcPr>
            <w:tcW w:w="679" w:type="pct"/>
            <w:shd w:val="clear" w:color="auto" w:fill="auto"/>
            <w:noWrap/>
          </w:tcPr>
          <w:p w14:paraId="654B01BD" w14:textId="77777777" w:rsidR="0023618C" w:rsidRPr="00F734D4" w:rsidRDefault="0023618C" w:rsidP="00E575F1">
            <w:pPr>
              <w:pStyle w:val="TableTextLeft"/>
              <w:spacing w:before="0"/>
            </w:pPr>
            <w:r w:rsidRPr="00F734D4">
              <w:t>Unchanged</w:t>
            </w:r>
          </w:p>
        </w:tc>
      </w:tr>
      <w:tr w:rsidR="0023618C" w:rsidRPr="00F734D4" w14:paraId="65238517" w14:textId="77777777" w:rsidTr="00B119DB">
        <w:trPr>
          <w:trHeight w:val="20"/>
        </w:trPr>
        <w:tc>
          <w:tcPr>
            <w:tcW w:w="4321" w:type="pct"/>
            <w:shd w:val="clear" w:color="auto" w:fill="E6F2FF"/>
            <w:noWrap/>
          </w:tcPr>
          <w:p w14:paraId="3F73E02F" w14:textId="77777777" w:rsidR="0023618C" w:rsidRPr="00F734D4" w:rsidRDefault="0023618C" w:rsidP="00E575F1">
            <w:pPr>
              <w:pStyle w:val="TableColumnHeadingLeft"/>
              <w:spacing w:before="0"/>
              <w:rPr>
                <w:rFonts w:eastAsia="Arial"/>
              </w:rPr>
            </w:pPr>
            <w:r w:rsidRPr="00F734D4">
              <w:rPr>
                <w:rFonts w:eastAsia="Arial"/>
              </w:rPr>
              <w:t>Contingent liability – quantifiable</w:t>
            </w:r>
          </w:p>
        </w:tc>
        <w:tc>
          <w:tcPr>
            <w:tcW w:w="679" w:type="pct"/>
            <w:shd w:val="clear" w:color="auto" w:fill="E6F2FF"/>
            <w:noWrap/>
          </w:tcPr>
          <w:p w14:paraId="5B6C4F1A" w14:textId="77777777" w:rsidR="0023618C" w:rsidRPr="00F734D4" w:rsidRDefault="0023618C" w:rsidP="00E575F1">
            <w:pPr>
              <w:pStyle w:val="TableTextLeft"/>
              <w:spacing w:before="0"/>
            </w:pPr>
          </w:p>
        </w:tc>
      </w:tr>
      <w:tr w:rsidR="0023618C" w:rsidRPr="00F734D4" w14:paraId="5B2521EB" w14:textId="77777777" w:rsidTr="00B119DB">
        <w:trPr>
          <w:trHeight w:val="20"/>
        </w:trPr>
        <w:tc>
          <w:tcPr>
            <w:tcW w:w="4321" w:type="pct"/>
            <w:shd w:val="clear" w:color="auto" w:fill="auto"/>
            <w:noWrap/>
          </w:tcPr>
          <w:p w14:paraId="1EB5ABBC" w14:textId="77777777" w:rsidR="0023618C" w:rsidRPr="00F734D4" w:rsidRDefault="0023618C" w:rsidP="00E575F1">
            <w:pPr>
              <w:pStyle w:val="TableTextLeft-Indent"/>
              <w:spacing w:before="0" w:after="0"/>
              <w:rPr>
                <w:b/>
              </w:rPr>
            </w:pPr>
            <w:r w:rsidRPr="00F734D4">
              <w:t>Claims against the Department of Defence</w:t>
            </w:r>
          </w:p>
        </w:tc>
        <w:tc>
          <w:tcPr>
            <w:tcW w:w="679" w:type="pct"/>
            <w:shd w:val="clear" w:color="auto" w:fill="auto"/>
            <w:noWrap/>
          </w:tcPr>
          <w:p w14:paraId="3A89FFBF" w14:textId="0530DF59" w:rsidR="0023618C" w:rsidRPr="00F734D4" w:rsidRDefault="001B0C5F" w:rsidP="00E575F1">
            <w:pPr>
              <w:pStyle w:val="TableTextLeft"/>
              <w:spacing w:before="0"/>
              <w:rPr>
                <w:rFonts w:eastAsia="Arial" w:cs="Arial"/>
              </w:rPr>
            </w:pPr>
            <w:r>
              <w:rPr>
                <w:rFonts w:eastAsia="Arial" w:cs="Arial"/>
              </w:rPr>
              <w:t>Unchanged</w:t>
            </w:r>
          </w:p>
        </w:tc>
      </w:tr>
    </w:tbl>
    <w:p w14:paraId="65F54E87" w14:textId="77777777" w:rsidR="00580422" w:rsidRDefault="00580422" w:rsidP="00037150">
      <w:pPr>
        <w:rPr>
          <w:rFonts w:eastAsia="Arial"/>
        </w:rPr>
      </w:pPr>
      <w:r>
        <w:rPr>
          <w:rFonts w:eastAsia="Arial"/>
        </w:rPr>
        <w:br w:type="page"/>
      </w:r>
    </w:p>
    <w:p w14:paraId="3A9324EA" w14:textId="3EF50EAE" w:rsidR="0023618C" w:rsidRPr="00F734D4" w:rsidRDefault="0023618C" w:rsidP="0023618C">
      <w:pPr>
        <w:pStyle w:val="TableHeadingcontinued"/>
        <w:rPr>
          <w:rFonts w:eastAsia="Arial"/>
        </w:rPr>
      </w:pPr>
      <w:r w:rsidRPr="002C4F07">
        <w:rPr>
          <w:rFonts w:eastAsia="Arial"/>
        </w:rPr>
        <w:lastRenderedPageBreak/>
        <w:t xml:space="preserve">Table </w:t>
      </w:r>
      <w:r w:rsidR="00161555">
        <w:rPr>
          <w:rFonts w:eastAsia="Arial"/>
        </w:rPr>
        <w:t>8</w:t>
      </w:r>
      <w:r w:rsidRPr="002C4F07">
        <w:rPr>
          <w:rFonts w:eastAsia="Arial"/>
        </w:rPr>
        <w:t>.2</w:t>
      </w:r>
      <w:r w:rsidRPr="00D13C64">
        <w:rPr>
          <w:rFonts w:eastAsia="Arial"/>
        </w:rPr>
        <w:t>: Summary</w:t>
      </w:r>
      <w:r w:rsidRPr="00C07FB5">
        <w:rPr>
          <w:rFonts w:eastAsia="Arial"/>
        </w:rPr>
        <w:t xml:space="preserve"> of </w:t>
      </w:r>
      <w:r>
        <w:rPr>
          <w:rFonts w:eastAsia="Arial"/>
        </w:rPr>
        <w:t xml:space="preserve">fiscal risks, </w:t>
      </w:r>
      <w:r w:rsidRPr="00C07FB5">
        <w:rPr>
          <w:rFonts w:eastAsia="Arial"/>
        </w:rPr>
        <w:t>contingent liabilities and contingent assets in the Statement of Risks</w:t>
      </w:r>
      <w:r w:rsidRPr="00F734D4">
        <w:rPr>
          <w:rFonts w:eastAsia="Arial"/>
          <w:vertAlign w:val="superscript"/>
        </w:rPr>
        <w:t>(a)</w:t>
      </w:r>
      <w:r w:rsidRPr="00F734D4">
        <w:rPr>
          <w:rFonts w:eastAsia="Arial"/>
        </w:rPr>
        <w:t xml:space="preserve"> (continued)</w:t>
      </w:r>
    </w:p>
    <w:tbl>
      <w:tblPr>
        <w:tblW w:w="5000" w:type="pct"/>
        <w:tblBorders>
          <w:top w:val="single" w:sz="4" w:space="0" w:color="002A54" w:themeColor="text2"/>
          <w:bottom w:val="single" w:sz="4" w:space="0" w:color="002A54" w:themeColor="text2"/>
          <w:insideH w:val="single" w:sz="4" w:space="0" w:color="002A54" w:themeColor="text2"/>
        </w:tblBorders>
        <w:tblLayout w:type="fixed"/>
        <w:tblLook w:val="04A0" w:firstRow="1" w:lastRow="0" w:firstColumn="1" w:lastColumn="0" w:noHBand="0" w:noVBand="1"/>
        <w:tblCaption w:val="Table"/>
      </w:tblPr>
      <w:tblGrid>
        <w:gridCol w:w="6516"/>
        <w:gridCol w:w="1194"/>
      </w:tblGrid>
      <w:tr w:rsidR="0023618C" w:rsidRPr="00F734D4" w14:paraId="03FBA019" w14:textId="77777777" w:rsidTr="00C1009D">
        <w:trPr>
          <w:trHeight w:val="228"/>
        </w:trPr>
        <w:tc>
          <w:tcPr>
            <w:tcW w:w="4226" w:type="pct"/>
            <w:shd w:val="clear" w:color="auto" w:fill="E6F2FF"/>
            <w:noWrap/>
          </w:tcPr>
          <w:p w14:paraId="39FBF81B" w14:textId="77777777" w:rsidR="0023618C" w:rsidRPr="00F734D4" w:rsidRDefault="0023618C" w:rsidP="00E575F1">
            <w:pPr>
              <w:pStyle w:val="TableColumnHeadingLeft"/>
              <w:spacing w:before="0"/>
            </w:pPr>
            <w:r w:rsidRPr="00F734D4">
              <w:t>Employment and Workplace Relations</w:t>
            </w:r>
          </w:p>
        </w:tc>
        <w:tc>
          <w:tcPr>
            <w:tcW w:w="774" w:type="pct"/>
            <w:shd w:val="clear" w:color="auto" w:fill="E6F2FF"/>
            <w:noWrap/>
          </w:tcPr>
          <w:p w14:paraId="1269E825" w14:textId="77777777" w:rsidR="0023618C" w:rsidRPr="00F734D4" w:rsidRDefault="0023618C" w:rsidP="00E575F1">
            <w:pPr>
              <w:pStyle w:val="TableColumnHeadingLeft"/>
              <w:spacing w:before="0"/>
            </w:pPr>
            <w:r w:rsidRPr="00F734D4">
              <w:t>Status</w:t>
            </w:r>
          </w:p>
        </w:tc>
      </w:tr>
      <w:tr w:rsidR="0023618C" w:rsidRPr="00F734D4" w14:paraId="7758BA51" w14:textId="77777777" w:rsidTr="00C1009D">
        <w:trPr>
          <w:trHeight w:val="228"/>
        </w:trPr>
        <w:tc>
          <w:tcPr>
            <w:tcW w:w="4226" w:type="pct"/>
            <w:shd w:val="clear" w:color="auto" w:fill="E6F2FF"/>
            <w:noWrap/>
          </w:tcPr>
          <w:p w14:paraId="67398B96" w14:textId="77777777" w:rsidR="0023618C" w:rsidRPr="00F734D4" w:rsidRDefault="0023618C" w:rsidP="00E575F1">
            <w:pPr>
              <w:pStyle w:val="TableColumnHeadingLeft"/>
              <w:spacing w:before="0"/>
              <w:rPr>
                <w:rFonts w:eastAsia="Arial"/>
              </w:rPr>
            </w:pPr>
            <w:r w:rsidRPr="00F734D4">
              <w:rPr>
                <w:rFonts w:eastAsia="Arial"/>
              </w:rPr>
              <w:t>Fiscal Risk</w:t>
            </w:r>
          </w:p>
        </w:tc>
        <w:tc>
          <w:tcPr>
            <w:tcW w:w="774" w:type="pct"/>
            <w:shd w:val="clear" w:color="auto" w:fill="E6F2FF"/>
            <w:noWrap/>
          </w:tcPr>
          <w:p w14:paraId="25ACF5A6" w14:textId="77777777" w:rsidR="0023618C" w:rsidRPr="00F734D4" w:rsidRDefault="0023618C" w:rsidP="00E575F1">
            <w:pPr>
              <w:pStyle w:val="TableColumnHeadingRight"/>
              <w:spacing w:before="0"/>
              <w:rPr>
                <w:rFonts w:eastAsia="Arial"/>
              </w:rPr>
            </w:pPr>
          </w:p>
        </w:tc>
      </w:tr>
      <w:tr w:rsidR="0023618C" w:rsidRPr="00F734D4" w14:paraId="545838F6" w14:textId="77777777" w:rsidTr="00C1009D">
        <w:trPr>
          <w:trHeight w:val="228"/>
        </w:trPr>
        <w:tc>
          <w:tcPr>
            <w:tcW w:w="4226" w:type="pct"/>
            <w:noWrap/>
          </w:tcPr>
          <w:p w14:paraId="21F0AD8A" w14:textId="72A6DC76" w:rsidR="0023618C" w:rsidRPr="00F734D4" w:rsidRDefault="0023618C" w:rsidP="00E575F1">
            <w:pPr>
              <w:pStyle w:val="TableTextLeft-Indent"/>
              <w:spacing w:before="0" w:after="0"/>
              <w:rPr>
                <w:b/>
              </w:rPr>
            </w:pPr>
            <w:r w:rsidRPr="00F734D4">
              <w:t>Recovery of inappropriately claimed VET FEE</w:t>
            </w:r>
            <w:r w:rsidR="00D23095">
              <w:noBreakHyphen/>
            </w:r>
            <w:r w:rsidRPr="00F734D4">
              <w:t>HELP payments from VET providers</w:t>
            </w:r>
          </w:p>
        </w:tc>
        <w:tc>
          <w:tcPr>
            <w:tcW w:w="774" w:type="pct"/>
            <w:noWrap/>
          </w:tcPr>
          <w:p w14:paraId="293E4134" w14:textId="77777777" w:rsidR="0023618C" w:rsidRPr="00F734D4" w:rsidRDefault="0023618C" w:rsidP="00E575F1">
            <w:pPr>
              <w:pStyle w:val="TableTextLeft"/>
              <w:spacing w:before="0"/>
              <w:rPr>
                <w:rFonts w:eastAsia="Arial"/>
              </w:rPr>
            </w:pPr>
            <w:r w:rsidRPr="00F734D4">
              <w:rPr>
                <w:rFonts w:eastAsia="Arial"/>
              </w:rPr>
              <w:t>Unchanged</w:t>
            </w:r>
          </w:p>
        </w:tc>
      </w:tr>
      <w:tr w:rsidR="0024541F" w:rsidRPr="00F734D4" w14:paraId="6FEFA079" w14:textId="77777777" w:rsidTr="00C1009D">
        <w:trPr>
          <w:trHeight w:val="228"/>
        </w:trPr>
        <w:tc>
          <w:tcPr>
            <w:tcW w:w="4226" w:type="pct"/>
            <w:shd w:val="clear" w:color="auto" w:fill="E6F2FF"/>
            <w:noWrap/>
          </w:tcPr>
          <w:p w14:paraId="7767239F" w14:textId="103CCA36" w:rsidR="0024541F" w:rsidRPr="00F734D4" w:rsidRDefault="00624FAB" w:rsidP="00E575F1">
            <w:pPr>
              <w:pStyle w:val="TableColumnHeadingLeft"/>
              <w:spacing w:before="0"/>
              <w:rPr>
                <w:rFonts w:eastAsia="Arial"/>
              </w:rPr>
            </w:pPr>
            <w:r w:rsidRPr="00F734D4">
              <w:rPr>
                <w:rFonts w:eastAsia="Arial"/>
              </w:rPr>
              <w:t>Contingent liabilit</w:t>
            </w:r>
            <w:r>
              <w:rPr>
                <w:rFonts w:eastAsia="Arial"/>
              </w:rPr>
              <w:t>y</w:t>
            </w:r>
            <w:r w:rsidRPr="00F734D4">
              <w:rPr>
                <w:rFonts w:eastAsia="Arial"/>
              </w:rPr>
              <w:t xml:space="preserve"> – </w:t>
            </w:r>
            <w:r>
              <w:rPr>
                <w:rFonts w:eastAsia="Arial"/>
              </w:rPr>
              <w:t>un</w:t>
            </w:r>
            <w:r w:rsidRPr="00F734D4">
              <w:rPr>
                <w:rFonts w:eastAsia="Arial"/>
              </w:rPr>
              <w:t>quantifiable</w:t>
            </w:r>
          </w:p>
        </w:tc>
        <w:tc>
          <w:tcPr>
            <w:tcW w:w="774" w:type="pct"/>
            <w:shd w:val="clear" w:color="auto" w:fill="E6F2FF"/>
            <w:noWrap/>
          </w:tcPr>
          <w:p w14:paraId="4ACE85CB" w14:textId="77777777" w:rsidR="0024541F" w:rsidRPr="00F734D4" w:rsidRDefault="0024541F" w:rsidP="00E575F1">
            <w:pPr>
              <w:pStyle w:val="TableTextLeft"/>
              <w:spacing w:before="0"/>
              <w:rPr>
                <w:rFonts w:eastAsia="Arial"/>
              </w:rPr>
            </w:pPr>
          </w:p>
        </w:tc>
      </w:tr>
      <w:tr w:rsidR="00453054" w:rsidRPr="00453054" w14:paraId="48F027E8" w14:textId="77777777" w:rsidTr="00C1009D">
        <w:trPr>
          <w:trHeight w:val="228"/>
        </w:trPr>
        <w:tc>
          <w:tcPr>
            <w:tcW w:w="4226" w:type="pct"/>
            <w:shd w:val="clear" w:color="auto" w:fill="auto"/>
            <w:noWrap/>
          </w:tcPr>
          <w:p w14:paraId="77F2F8EE" w14:textId="4E71ADF6" w:rsidR="00453054" w:rsidRPr="00453054" w:rsidRDefault="00453054" w:rsidP="00453054">
            <w:pPr>
              <w:pStyle w:val="TableTextLeft-Indent"/>
              <w:spacing w:before="0" w:after="0"/>
            </w:pPr>
            <w:r w:rsidRPr="00453054">
              <w:t>Indemnity provided to the Administrator of the Construction and General Division of the Construction, Forestry and Maritime Employees Union</w:t>
            </w:r>
          </w:p>
        </w:tc>
        <w:tc>
          <w:tcPr>
            <w:tcW w:w="774" w:type="pct"/>
            <w:shd w:val="clear" w:color="auto" w:fill="auto"/>
            <w:noWrap/>
          </w:tcPr>
          <w:p w14:paraId="3F44AEBC" w14:textId="7A2B8809" w:rsidR="00453054" w:rsidRPr="00453054" w:rsidRDefault="00453054" w:rsidP="0044655A">
            <w:pPr>
              <w:pStyle w:val="TableTextLeft"/>
            </w:pPr>
            <w:r w:rsidRPr="00453054">
              <w:t>New</w:t>
            </w:r>
          </w:p>
        </w:tc>
      </w:tr>
      <w:tr w:rsidR="0023618C" w:rsidRPr="00F734D4" w14:paraId="5E80F487" w14:textId="77777777" w:rsidTr="00C1009D">
        <w:trPr>
          <w:trHeight w:val="228"/>
        </w:trPr>
        <w:tc>
          <w:tcPr>
            <w:tcW w:w="4226" w:type="pct"/>
            <w:shd w:val="clear" w:color="auto" w:fill="E6F2FF"/>
            <w:noWrap/>
          </w:tcPr>
          <w:p w14:paraId="578E23BC" w14:textId="77777777" w:rsidR="0023618C" w:rsidRPr="00F734D4" w:rsidRDefault="0023618C" w:rsidP="00E575F1">
            <w:pPr>
              <w:pStyle w:val="TableColumnHeadingLeft"/>
              <w:spacing w:before="0"/>
              <w:rPr>
                <w:rFonts w:eastAsia="Arial"/>
              </w:rPr>
            </w:pPr>
            <w:r w:rsidRPr="00F734D4">
              <w:rPr>
                <w:rFonts w:eastAsia="Arial"/>
              </w:rPr>
              <w:t>Contingent liabilities – quantifiable</w:t>
            </w:r>
          </w:p>
        </w:tc>
        <w:tc>
          <w:tcPr>
            <w:tcW w:w="774" w:type="pct"/>
            <w:shd w:val="clear" w:color="auto" w:fill="E6F2FF"/>
            <w:noWrap/>
          </w:tcPr>
          <w:p w14:paraId="02FDD27F" w14:textId="77777777" w:rsidR="0023618C" w:rsidRPr="00F734D4" w:rsidRDefault="0023618C" w:rsidP="00E575F1">
            <w:pPr>
              <w:pStyle w:val="TableTextLeft"/>
              <w:spacing w:before="0"/>
              <w:rPr>
                <w:rFonts w:eastAsia="Arial"/>
              </w:rPr>
            </w:pPr>
          </w:p>
        </w:tc>
      </w:tr>
      <w:tr w:rsidR="00EA530F" w:rsidRPr="00F734D4" w14:paraId="7636CAAB" w14:textId="77777777" w:rsidTr="00C1009D">
        <w:trPr>
          <w:trHeight w:val="228"/>
        </w:trPr>
        <w:tc>
          <w:tcPr>
            <w:tcW w:w="4226" w:type="pct"/>
            <w:noWrap/>
          </w:tcPr>
          <w:p w14:paraId="28C994D9" w14:textId="0ECFF49A" w:rsidR="00EA530F" w:rsidRPr="00F734D4" w:rsidRDefault="00EA530F" w:rsidP="00E575F1">
            <w:pPr>
              <w:pStyle w:val="TableTextLeft-Indent"/>
              <w:spacing w:before="0" w:after="0"/>
            </w:pPr>
            <w:bookmarkStart w:id="19" w:name="_cmntref18"/>
            <w:r w:rsidRPr="0009089A">
              <w:t>Parent Pathways service</w:t>
            </w:r>
            <w:bookmarkEnd w:id="19"/>
          </w:p>
        </w:tc>
        <w:tc>
          <w:tcPr>
            <w:tcW w:w="774" w:type="pct"/>
            <w:noWrap/>
          </w:tcPr>
          <w:p w14:paraId="586001ED" w14:textId="5E659284" w:rsidR="00EA530F" w:rsidRPr="00F734D4" w:rsidRDefault="00EA530F" w:rsidP="00E575F1">
            <w:pPr>
              <w:pStyle w:val="TableTextLeft"/>
              <w:spacing w:before="0"/>
            </w:pPr>
            <w:r>
              <w:t>New</w:t>
            </w:r>
          </w:p>
        </w:tc>
      </w:tr>
      <w:tr w:rsidR="0023618C" w:rsidRPr="00F734D4" w14:paraId="0AF709BC" w14:textId="77777777" w:rsidTr="00C1009D">
        <w:trPr>
          <w:trHeight w:val="228"/>
        </w:trPr>
        <w:tc>
          <w:tcPr>
            <w:tcW w:w="4226" w:type="pct"/>
            <w:noWrap/>
          </w:tcPr>
          <w:p w14:paraId="1431C733" w14:textId="77777777" w:rsidR="0023618C" w:rsidRPr="00F734D4" w:rsidRDefault="0023618C" w:rsidP="00E575F1">
            <w:pPr>
              <w:pStyle w:val="TableTextLeft-Indent"/>
              <w:spacing w:before="0" w:after="0"/>
            </w:pPr>
            <w:proofErr w:type="spellStart"/>
            <w:r w:rsidRPr="00F734D4">
              <w:t>ParentsNext</w:t>
            </w:r>
            <w:proofErr w:type="spellEnd"/>
            <w:r w:rsidRPr="00F734D4">
              <w:t xml:space="preserve"> program</w:t>
            </w:r>
          </w:p>
        </w:tc>
        <w:tc>
          <w:tcPr>
            <w:tcW w:w="774" w:type="pct"/>
            <w:noWrap/>
          </w:tcPr>
          <w:p w14:paraId="54B3A613" w14:textId="77777777" w:rsidR="0023618C" w:rsidRPr="00F734D4" w:rsidDel="007D3F25" w:rsidRDefault="0023618C" w:rsidP="00E575F1">
            <w:pPr>
              <w:pStyle w:val="TableTextLeft"/>
              <w:spacing w:before="0"/>
              <w:rPr>
                <w:rFonts w:eastAsia="Arial"/>
              </w:rPr>
            </w:pPr>
            <w:r w:rsidRPr="00F734D4">
              <w:t>Modified</w:t>
            </w:r>
          </w:p>
        </w:tc>
      </w:tr>
      <w:tr w:rsidR="0023618C" w:rsidRPr="00F734D4" w14:paraId="15F447A5" w14:textId="77777777" w:rsidTr="00C1009D">
        <w:trPr>
          <w:trHeight w:val="228"/>
        </w:trPr>
        <w:tc>
          <w:tcPr>
            <w:tcW w:w="4226" w:type="pct"/>
            <w:noWrap/>
          </w:tcPr>
          <w:p w14:paraId="423D3B2D" w14:textId="77777777" w:rsidR="0023618C" w:rsidRPr="00F734D4" w:rsidRDefault="0023618C" w:rsidP="00E575F1">
            <w:pPr>
              <w:pStyle w:val="TableTextLeft-Indent"/>
              <w:spacing w:before="0" w:after="0"/>
            </w:pPr>
            <w:r>
              <w:rPr>
                <w:rFonts w:cs="Arial"/>
                <w:szCs w:val="16"/>
              </w:rPr>
              <w:t>Workforce Australia – Employment Fund</w:t>
            </w:r>
          </w:p>
        </w:tc>
        <w:tc>
          <w:tcPr>
            <w:tcW w:w="774" w:type="pct"/>
            <w:noWrap/>
          </w:tcPr>
          <w:p w14:paraId="42140AEF" w14:textId="77777777" w:rsidR="0023618C" w:rsidRPr="00F734D4" w:rsidRDefault="0023618C" w:rsidP="00E575F1">
            <w:pPr>
              <w:pStyle w:val="TableTextLeft"/>
              <w:spacing w:before="0"/>
            </w:pPr>
            <w:r>
              <w:t>Modified</w:t>
            </w:r>
          </w:p>
        </w:tc>
      </w:tr>
      <w:tr w:rsidR="0023618C" w:rsidRPr="00F734D4" w14:paraId="6AFC8D55" w14:textId="77777777" w:rsidTr="00C1009D">
        <w:trPr>
          <w:trHeight w:val="228"/>
        </w:trPr>
        <w:tc>
          <w:tcPr>
            <w:tcW w:w="4226" w:type="pct"/>
            <w:shd w:val="clear" w:color="auto" w:fill="E6F2FF"/>
            <w:noWrap/>
          </w:tcPr>
          <w:p w14:paraId="576D5018" w14:textId="77777777" w:rsidR="0023618C" w:rsidRPr="00F734D4" w:rsidRDefault="0023618C" w:rsidP="00E575F1">
            <w:pPr>
              <w:pStyle w:val="TableColumnHeadingLeft"/>
              <w:spacing w:before="0"/>
            </w:pPr>
            <w:r w:rsidRPr="00F734D4">
              <w:t>Finance</w:t>
            </w:r>
          </w:p>
        </w:tc>
        <w:tc>
          <w:tcPr>
            <w:tcW w:w="774" w:type="pct"/>
            <w:shd w:val="clear" w:color="auto" w:fill="E6F2FF"/>
            <w:noWrap/>
          </w:tcPr>
          <w:p w14:paraId="17A689AE" w14:textId="77777777" w:rsidR="0023618C" w:rsidRPr="002E7FF8" w:rsidRDefault="0023618C" w:rsidP="00E575F1">
            <w:pPr>
              <w:pStyle w:val="TableColumnHeadingLeft"/>
              <w:spacing w:before="0"/>
            </w:pPr>
            <w:r w:rsidRPr="00F734D4">
              <w:t>Status</w:t>
            </w:r>
          </w:p>
        </w:tc>
      </w:tr>
      <w:tr w:rsidR="0023618C" w:rsidRPr="00F734D4" w14:paraId="64DC5A92" w14:textId="77777777" w:rsidTr="00C1009D">
        <w:trPr>
          <w:trHeight w:val="228"/>
        </w:trPr>
        <w:tc>
          <w:tcPr>
            <w:tcW w:w="4226" w:type="pct"/>
            <w:shd w:val="clear" w:color="auto" w:fill="E6F2FF"/>
            <w:noWrap/>
          </w:tcPr>
          <w:p w14:paraId="75C6EDC3" w14:textId="77777777" w:rsidR="0023618C" w:rsidRPr="00F734D4" w:rsidRDefault="0023618C" w:rsidP="00E575F1">
            <w:pPr>
              <w:pStyle w:val="TableColumnHeadingLeft"/>
              <w:spacing w:before="0"/>
              <w:rPr>
                <w:rFonts w:eastAsia="Arial"/>
              </w:rPr>
            </w:pPr>
            <w:r w:rsidRPr="00F734D4">
              <w:rPr>
                <w:rFonts w:eastAsia="Arial"/>
              </w:rPr>
              <w:t xml:space="preserve">Significant but remote contingency </w:t>
            </w:r>
          </w:p>
        </w:tc>
        <w:tc>
          <w:tcPr>
            <w:tcW w:w="774" w:type="pct"/>
            <w:shd w:val="clear" w:color="auto" w:fill="E6F2FF"/>
            <w:noWrap/>
          </w:tcPr>
          <w:p w14:paraId="6B9C43A7" w14:textId="77777777" w:rsidR="0023618C" w:rsidRPr="00F734D4" w:rsidRDefault="0023618C" w:rsidP="00E575F1">
            <w:pPr>
              <w:pStyle w:val="TableTextLeft"/>
              <w:spacing w:before="0"/>
            </w:pPr>
          </w:p>
        </w:tc>
      </w:tr>
      <w:tr w:rsidR="0023618C" w:rsidRPr="00F734D4" w14:paraId="27C6EA14" w14:textId="77777777" w:rsidTr="00C1009D">
        <w:trPr>
          <w:trHeight w:val="228"/>
        </w:trPr>
        <w:tc>
          <w:tcPr>
            <w:tcW w:w="4226" w:type="pct"/>
            <w:shd w:val="clear" w:color="auto" w:fill="auto"/>
            <w:noWrap/>
          </w:tcPr>
          <w:p w14:paraId="748B8B72" w14:textId="77777777" w:rsidR="0023618C" w:rsidRPr="00F734D4" w:rsidRDefault="0023618C" w:rsidP="00E575F1">
            <w:pPr>
              <w:pStyle w:val="TableTextLeft-Indent"/>
              <w:spacing w:before="0" w:after="0"/>
            </w:pPr>
            <w:r w:rsidRPr="00F734D4">
              <w:t>Australian Naval Infrastructure Pty Ltd – Termination of the Equity Funding Agreement</w:t>
            </w:r>
          </w:p>
        </w:tc>
        <w:tc>
          <w:tcPr>
            <w:tcW w:w="774" w:type="pct"/>
            <w:shd w:val="clear" w:color="auto" w:fill="auto"/>
            <w:noWrap/>
          </w:tcPr>
          <w:p w14:paraId="287190A6" w14:textId="77777777" w:rsidR="0023618C" w:rsidRPr="00F734D4" w:rsidRDefault="0023618C" w:rsidP="00E575F1">
            <w:pPr>
              <w:pStyle w:val="TableTextLeft"/>
              <w:spacing w:before="0"/>
            </w:pPr>
            <w:r w:rsidRPr="00F734D4">
              <w:rPr>
                <w:rFonts w:eastAsia="Arial" w:cs="Arial"/>
              </w:rPr>
              <w:t>Unchanged</w:t>
            </w:r>
          </w:p>
        </w:tc>
      </w:tr>
      <w:tr w:rsidR="0023618C" w:rsidRPr="00F734D4" w14:paraId="31E63F8A" w14:textId="77777777" w:rsidTr="00C1009D">
        <w:trPr>
          <w:trHeight w:val="228"/>
        </w:trPr>
        <w:tc>
          <w:tcPr>
            <w:tcW w:w="4226" w:type="pct"/>
            <w:shd w:val="clear" w:color="auto" w:fill="E6F2FF"/>
            <w:noWrap/>
          </w:tcPr>
          <w:p w14:paraId="150EB678" w14:textId="77777777" w:rsidR="0023618C" w:rsidRPr="00F734D4" w:rsidRDefault="0023618C" w:rsidP="00E575F1">
            <w:pPr>
              <w:pStyle w:val="TableColumnHeadingLeft"/>
              <w:spacing w:before="0"/>
            </w:pPr>
            <w:r w:rsidRPr="00F734D4">
              <w:rPr>
                <w:rFonts w:eastAsia="Arial"/>
              </w:rPr>
              <w:t>Contingent liabilities – unquantifiable</w:t>
            </w:r>
          </w:p>
        </w:tc>
        <w:tc>
          <w:tcPr>
            <w:tcW w:w="774" w:type="pct"/>
            <w:shd w:val="clear" w:color="auto" w:fill="E6F2FF"/>
            <w:noWrap/>
          </w:tcPr>
          <w:p w14:paraId="707ACBB8" w14:textId="77777777" w:rsidR="0023618C" w:rsidRPr="00F734D4" w:rsidRDefault="0023618C" w:rsidP="00E575F1">
            <w:pPr>
              <w:pStyle w:val="TableTextLeft"/>
              <w:spacing w:before="0"/>
            </w:pPr>
          </w:p>
        </w:tc>
      </w:tr>
      <w:tr w:rsidR="0023618C" w:rsidRPr="00F734D4" w14:paraId="4108D3C0" w14:textId="77777777" w:rsidTr="00C1009D">
        <w:trPr>
          <w:trHeight w:val="228"/>
        </w:trPr>
        <w:tc>
          <w:tcPr>
            <w:tcW w:w="4226" w:type="pct"/>
            <w:shd w:val="clear" w:color="auto" w:fill="auto"/>
            <w:noWrap/>
          </w:tcPr>
          <w:p w14:paraId="692067F9" w14:textId="63AFC58E" w:rsidR="0023618C" w:rsidRPr="00F734D4" w:rsidRDefault="0023618C" w:rsidP="00E575F1">
            <w:pPr>
              <w:pStyle w:val="TableTextLeft-Indent"/>
              <w:spacing w:before="0" w:after="0"/>
            </w:pPr>
            <w:r w:rsidRPr="00F734D4">
              <w:t>ASC Pty Ltd – Directors</w:t>
            </w:r>
            <w:r w:rsidR="00D23095">
              <w:t>’</w:t>
            </w:r>
            <w:r w:rsidRPr="00F734D4">
              <w:t xml:space="preserve"> and Executives</w:t>
            </w:r>
            <w:r w:rsidR="00D23095">
              <w:t>’</w:t>
            </w:r>
            <w:r w:rsidRPr="00F734D4">
              <w:t xml:space="preserve"> indemnities</w:t>
            </w:r>
          </w:p>
        </w:tc>
        <w:tc>
          <w:tcPr>
            <w:tcW w:w="774" w:type="pct"/>
            <w:shd w:val="clear" w:color="auto" w:fill="auto"/>
            <w:noWrap/>
          </w:tcPr>
          <w:p w14:paraId="1B41A94E" w14:textId="77777777" w:rsidR="0023618C" w:rsidRPr="00F734D4" w:rsidRDefault="0023618C" w:rsidP="00E575F1">
            <w:pPr>
              <w:pStyle w:val="TableTextLeft"/>
              <w:spacing w:before="0"/>
              <w:rPr>
                <w:rFonts w:eastAsia="Arial" w:cs="Arial"/>
              </w:rPr>
            </w:pPr>
            <w:r w:rsidRPr="00F734D4">
              <w:t>Unchanged</w:t>
            </w:r>
          </w:p>
        </w:tc>
      </w:tr>
      <w:tr w:rsidR="0023618C" w:rsidRPr="00F734D4" w14:paraId="1D316545" w14:textId="77777777" w:rsidTr="00C1009D">
        <w:trPr>
          <w:trHeight w:val="228"/>
        </w:trPr>
        <w:tc>
          <w:tcPr>
            <w:tcW w:w="4226" w:type="pct"/>
            <w:shd w:val="clear" w:color="auto" w:fill="auto"/>
            <w:noWrap/>
          </w:tcPr>
          <w:p w14:paraId="0AB0525B" w14:textId="77777777" w:rsidR="0023618C" w:rsidRPr="00F734D4" w:rsidRDefault="0023618C" w:rsidP="00E575F1">
            <w:pPr>
              <w:pStyle w:val="TableTextLeft-Indent"/>
              <w:spacing w:before="0" w:after="0"/>
            </w:pPr>
            <w:r w:rsidRPr="00F734D4">
              <w:t>ASC Pty Ltd – Guarantee of Indemnity from ASC in favour of ASC Shipbuilding Pty</w:t>
            </w:r>
            <w:r>
              <w:t> </w:t>
            </w:r>
            <w:r w:rsidRPr="00F734D4">
              <w:t>Limited</w:t>
            </w:r>
          </w:p>
        </w:tc>
        <w:tc>
          <w:tcPr>
            <w:tcW w:w="774" w:type="pct"/>
            <w:shd w:val="clear" w:color="auto" w:fill="auto"/>
            <w:noWrap/>
          </w:tcPr>
          <w:p w14:paraId="29542C3A" w14:textId="77777777" w:rsidR="0023618C" w:rsidRPr="00F734D4" w:rsidRDefault="0023618C" w:rsidP="00E575F1">
            <w:pPr>
              <w:pStyle w:val="TableTextLeft"/>
              <w:spacing w:before="0"/>
              <w:rPr>
                <w:rFonts w:eastAsia="Arial" w:cs="Arial"/>
              </w:rPr>
            </w:pPr>
            <w:r w:rsidRPr="00F734D4">
              <w:t>Unchanged</w:t>
            </w:r>
          </w:p>
        </w:tc>
      </w:tr>
      <w:tr w:rsidR="0023618C" w:rsidRPr="00F734D4" w14:paraId="6EBD3B1B" w14:textId="77777777" w:rsidTr="00C1009D">
        <w:trPr>
          <w:trHeight w:val="228"/>
        </w:trPr>
        <w:tc>
          <w:tcPr>
            <w:tcW w:w="4226" w:type="pct"/>
            <w:shd w:val="clear" w:color="auto" w:fill="auto"/>
            <w:noWrap/>
          </w:tcPr>
          <w:p w14:paraId="0B06C463" w14:textId="77777777" w:rsidR="0023618C" w:rsidRPr="00F734D4" w:rsidRDefault="0023618C" w:rsidP="00E575F1">
            <w:pPr>
              <w:pStyle w:val="TableTextLeft-Indent"/>
              <w:spacing w:before="0" w:after="0"/>
            </w:pPr>
            <w:r w:rsidRPr="00F734D4">
              <w:t xml:space="preserve">Australian Government general insurance fund – </w:t>
            </w:r>
            <w:proofErr w:type="spellStart"/>
            <w:r w:rsidRPr="00F734D4">
              <w:t>Comcover</w:t>
            </w:r>
            <w:proofErr w:type="spellEnd"/>
          </w:p>
        </w:tc>
        <w:tc>
          <w:tcPr>
            <w:tcW w:w="774" w:type="pct"/>
            <w:shd w:val="clear" w:color="auto" w:fill="auto"/>
            <w:noWrap/>
          </w:tcPr>
          <w:p w14:paraId="1DA8C5E9" w14:textId="77777777" w:rsidR="0023618C" w:rsidRPr="00F734D4" w:rsidRDefault="0023618C" w:rsidP="00E575F1">
            <w:pPr>
              <w:pStyle w:val="TableTextLeft"/>
              <w:spacing w:before="0"/>
              <w:rPr>
                <w:rFonts w:eastAsia="Arial" w:cs="Arial"/>
              </w:rPr>
            </w:pPr>
            <w:r w:rsidRPr="00F734D4">
              <w:t>Unchanged</w:t>
            </w:r>
          </w:p>
        </w:tc>
      </w:tr>
      <w:tr w:rsidR="0023618C" w:rsidRPr="00F734D4" w14:paraId="26F43F77" w14:textId="77777777" w:rsidTr="00C1009D">
        <w:trPr>
          <w:trHeight w:val="228"/>
        </w:trPr>
        <w:tc>
          <w:tcPr>
            <w:tcW w:w="4226" w:type="pct"/>
            <w:shd w:val="clear" w:color="auto" w:fill="auto"/>
            <w:noWrap/>
          </w:tcPr>
          <w:p w14:paraId="6C91753D" w14:textId="77777777" w:rsidR="0023618C" w:rsidRPr="00F734D4" w:rsidRDefault="0023618C" w:rsidP="00E575F1">
            <w:pPr>
              <w:pStyle w:val="TableTextLeft-Indent"/>
              <w:spacing w:before="0" w:after="0"/>
            </w:pPr>
            <w:r w:rsidRPr="00F734D4">
              <w:t>Commonwealth Superannuation Corporation – immunity and indemnity</w:t>
            </w:r>
          </w:p>
        </w:tc>
        <w:tc>
          <w:tcPr>
            <w:tcW w:w="774" w:type="pct"/>
            <w:shd w:val="clear" w:color="auto" w:fill="auto"/>
            <w:noWrap/>
          </w:tcPr>
          <w:p w14:paraId="234B9DDF" w14:textId="77777777" w:rsidR="0023618C" w:rsidRPr="00F734D4" w:rsidRDefault="0023618C" w:rsidP="00E575F1">
            <w:pPr>
              <w:pStyle w:val="TableTextLeft"/>
              <w:spacing w:before="0"/>
              <w:rPr>
                <w:rFonts w:eastAsia="Arial" w:cs="Arial"/>
              </w:rPr>
            </w:pPr>
            <w:r w:rsidRPr="00F734D4">
              <w:rPr>
                <w:rFonts w:eastAsia="Arial" w:cs="Arial"/>
              </w:rPr>
              <w:t>Unchanged</w:t>
            </w:r>
          </w:p>
        </w:tc>
      </w:tr>
      <w:tr w:rsidR="0023618C" w:rsidRPr="00F734D4" w14:paraId="5F36E9ED" w14:textId="77777777" w:rsidTr="00C1009D">
        <w:trPr>
          <w:trHeight w:val="228"/>
        </w:trPr>
        <w:tc>
          <w:tcPr>
            <w:tcW w:w="4226" w:type="pct"/>
            <w:shd w:val="clear" w:color="auto" w:fill="auto"/>
            <w:noWrap/>
          </w:tcPr>
          <w:p w14:paraId="03338EB4" w14:textId="77777777" w:rsidR="0023618C" w:rsidRPr="00F734D4" w:rsidRDefault="0023618C" w:rsidP="00E575F1">
            <w:pPr>
              <w:pStyle w:val="TableTextLeft-Indent"/>
              <w:spacing w:before="0" w:after="0"/>
            </w:pPr>
            <w:r w:rsidRPr="00F734D4">
              <w:t xml:space="preserve">Finance owned estate </w:t>
            </w:r>
          </w:p>
        </w:tc>
        <w:tc>
          <w:tcPr>
            <w:tcW w:w="774" w:type="pct"/>
            <w:shd w:val="clear" w:color="auto" w:fill="auto"/>
            <w:noWrap/>
          </w:tcPr>
          <w:p w14:paraId="6BF63407" w14:textId="2DA014EC" w:rsidR="0023618C" w:rsidRPr="00F734D4" w:rsidRDefault="00632E85" w:rsidP="00E575F1">
            <w:pPr>
              <w:pStyle w:val="TableTextLeft"/>
              <w:spacing w:before="0"/>
              <w:rPr>
                <w:rFonts w:eastAsia="Arial" w:cs="Arial"/>
              </w:rPr>
            </w:pPr>
            <w:r>
              <w:rPr>
                <w:rFonts w:eastAsia="Arial" w:cs="Arial"/>
              </w:rPr>
              <w:t>Modified</w:t>
            </w:r>
          </w:p>
        </w:tc>
      </w:tr>
      <w:tr w:rsidR="0023618C" w:rsidRPr="00F734D4" w14:paraId="00590B35" w14:textId="77777777" w:rsidTr="00C1009D">
        <w:trPr>
          <w:trHeight w:val="228"/>
        </w:trPr>
        <w:tc>
          <w:tcPr>
            <w:tcW w:w="4226" w:type="pct"/>
            <w:shd w:val="clear" w:color="auto" w:fill="auto"/>
            <w:noWrap/>
          </w:tcPr>
          <w:p w14:paraId="58B923E7" w14:textId="77777777" w:rsidR="0023618C" w:rsidRPr="00F734D4" w:rsidRDefault="0023618C" w:rsidP="00E575F1">
            <w:pPr>
              <w:pStyle w:val="TableTextLeft-Indent"/>
              <w:spacing w:before="0" w:after="0"/>
            </w:pPr>
            <w:r w:rsidRPr="00F734D4">
              <w:t>Future Fund Management Agency and Future Fund Board of Guardians – indemnity</w:t>
            </w:r>
          </w:p>
        </w:tc>
        <w:tc>
          <w:tcPr>
            <w:tcW w:w="774" w:type="pct"/>
            <w:shd w:val="clear" w:color="auto" w:fill="auto"/>
            <w:noWrap/>
          </w:tcPr>
          <w:p w14:paraId="51A349F5" w14:textId="77777777" w:rsidR="0023618C" w:rsidRPr="00F734D4" w:rsidRDefault="0023618C" w:rsidP="00E575F1">
            <w:pPr>
              <w:pStyle w:val="TableTextLeft"/>
              <w:spacing w:before="0"/>
              <w:rPr>
                <w:rFonts w:eastAsia="Arial" w:cs="Arial"/>
              </w:rPr>
            </w:pPr>
            <w:r>
              <w:t>Unchanged</w:t>
            </w:r>
          </w:p>
        </w:tc>
      </w:tr>
      <w:tr w:rsidR="0023618C" w:rsidRPr="00F734D4" w14:paraId="3DAEFA7D" w14:textId="77777777" w:rsidTr="00C1009D">
        <w:trPr>
          <w:trHeight w:val="228"/>
        </w:trPr>
        <w:tc>
          <w:tcPr>
            <w:tcW w:w="4226" w:type="pct"/>
            <w:shd w:val="clear" w:color="auto" w:fill="auto"/>
            <w:noWrap/>
          </w:tcPr>
          <w:p w14:paraId="730FA381" w14:textId="77777777" w:rsidR="0023618C" w:rsidRPr="00F734D4" w:rsidRDefault="0023618C" w:rsidP="00E575F1">
            <w:pPr>
              <w:pStyle w:val="TableTextLeft-Indent"/>
              <w:spacing w:before="0" w:after="0"/>
            </w:pPr>
            <w:proofErr w:type="spellStart"/>
            <w:r w:rsidRPr="00F734D4">
              <w:t>Googong</w:t>
            </w:r>
            <w:proofErr w:type="spellEnd"/>
            <w:r w:rsidRPr="00F734D4">
              <w:t xml:space="preserve"> Dam</w:t>
            </w:r>
          </w:p>
        </w:tc>
        <w:tc>
          <w:tcPr>
            <w:tcW w:w="774" w:type="pct"/>
            <w:shd w:val="clear" w:color="auto" w:fill="auto"/>
            <w:noWrap/>
          </w:tcPr>
          <w:p w14:paraId="3A006EFF" w14:textId="77777777" w:rsidR="0023618C" w:rsidRPr="00F734D4" w:rsidRDefault="0023618C" w:rsidP="00E575F1">
            <w:pPr>
              <w:pStyle w:val="TableTextLeft"/>
              <w:spacing w:before="0"/>
              <w:rPr>
                <w:rFonts w:eastAsia="Arial" w:cs="Arial"/>
              </w:rPr>
            </w:pPr>
            <w:r w:rsidRPr="00F734D4">
              <w:t>Unchanged</w:t>
            </w:r>
          </w:p>
        </w:tc>
      </w:tr>
      <w:tr w:rsidR="0023618C" w:rsidRPr="00F734D4" w14:paraId="46838B9D" w14:textId="77777777" w:rsidTr="00C1009D">
        <w:trPr>
          <w:trHeight w:val="228"/>
        </w:trPr>
        <w:tc>
          <w:tcPr>
            <w:tcW w:w="4226" w:type="pct"/>
            <w:shd w:val="clear" w:color="auto" w:fill="auto"/>
            <w:noWrap/>
          </w:tcPr>
          <w:p w14:paraId="7CCC5CAE" w14:textId="77777777" w:rsidR="0023618C" w:rsidRPr="00F734D4" w:rsidRDefault="0023618C" w:rsidP="00E575F1">
            <w:pPr>
              <w:pStyle w:val="TableTextLeft-Indent"/>
              <w:spacing w:before="0" w:after="0"/>
            </w:pPr>
            <w:r w:rsidRPr="00F734D4">
              <w:t>Indemnities for the Reserve Bank of Australia and private sector banks</w:t>
            </w:r>
          </w:p>
        </w:tc>
        <w:tc>
          <w:tcPr>
            <w:tcW w:w="774" w:type="pct"/>
            <w:shd w:val="clear" w:color="auto" w:fill="auto"/>
            <w:noWrap/>
          </w:tcPr>
          <w:p w14:paraId="470C8628" w14:textId="77777777" w:rsidR="0023618C" w:rsidRPr="00F734D4" w:rsidRDefault="0023618C" w:rsidP="00E575F1">
            <w:pPr>
              <w:pStyle w:val="TableTextLeft"/>
              <w:spacing w:before="0"/>
              <w:rPr>
                <w:rFonts w:eastAsia="Arial" w:cs="Arial"/>
              </w:rPr>
            </w:pPr>
            <w:r w:rsidRPr="00F734D4">
              <w:rPr>
                <w:rFonts w:eastAsia="Arial" w:cs="Arial"/>
              </w:rPr>
              <w:t>Unchanged</w:t>
            </w:r>
          </w:p>
        </w:tc>
      </w:tr>
      <w:tr w:rsidR="0023618C" w:rsidRPr="00F734D4" w14:paraId="12E401A7" w14:textId="77777777" w:rsidTr="00C1009D">
        <w:trPr>
          <w:trHeight w:val="228"/>
        </w:trPr>
        <w:tc>
          <w:tcPr>
            <w:tcW w:w="4226" w:type="pct"/>
            <w:shd w:val="clear" w:color="auto" w:fill="auto"/>
            <w:noWrap/>
          </w:tcPr>
          <w:p w14:paraId="3F8FF322" w14:textId="77777777" w:rsidR="0023618C" w:rsidRPr="00F734D4" w:rsidRDefault="0023618C" w:rsidP="00E575F1">
            <w:pPr>
              <w:pStyle w:val="TableTextLeft-Indent"/>
              <w:spacing w:before="0" w:after="0" w:line="276" w:lineRule="auto"/>
            </w:pPr>
            <w:r w:rsidRPr="00F734D4">
              <w:t>Indemnities relating to other former asset sales, privatisations and information technology outsourcing projects</w:t>
            </w:r>
          </w:p>
        </w:tc>
        <w:tc>
          <w:tcPr>
            <w:tcW w:w="774" w:type="pct"/>
            <w:shd w:val="clear" w:color="auto" w:fill="auto"/>
            <w:noWrap/>
          </w:tcPr>
          <w:p w14:paraId="106F24D0" w14:textId="77777777" w:rsidR="0023618C" w:rsidRPr="00F734D4" w:rsidRDefault="0023618C" w:rsidP="00E575F1">
            <w:pPr>
              <w:pStyle w:val="TableTextLeft"/>
              <w:spacing w:before="0"/>
              <w:rPr>
                <w:rFonts w:eastAsia="Arial" w:cs="Arial"/>
              </w:rPr>
            </w:pPr>
            <w:r>
              <w:rPr>
                <w:rFonts w:eastAsia="Arial" w:cs="Arial"/>
              </w:rPr>
              <w:t>Unchanged</w:t>
            </w:r>
          </w:p>
        </w:tc>
      </w:tr>
      <w:tr w:rsidR="00632E85" w:rsidRPr="00F734D4" w14:paraId="30598363" w14:textId="77777777" w:rsidTr="00C1009D">
        <w:trPr>
          <w:trHeight w:val="228"/>
        </w:trPr>
        <w:tc>
          <w:tcPr>
            <w:tcW w:w="4226" w:type="pct"/>
            <w:shd w:val="clear" w:color="auto" w:fill="auto"/>
            <w:noWrap/>
          </w:tcPr>
          <w:p w14:paraId="1058D47C" w14:textId="52EDE1E5" w:rsidR="00632E85" w:rsidRPr="00F734D4" w:rsidRDefault="00976030" w:rsidP="00E575F1">
            <w:pPr>
              <w:pStyle w:val="TableTextLeft-Indent"/>
              <w:spacing w:before="0" w:after="0" w:line="276" w:lineRule="auto"/>
            </w:pPr>
            <w:proofErr w:type="spellStart"/>
            <w:r>
              <w:t>Kenbi</w:t>
            </w:r>
            <w:proofErr w:type="spellEnd"/>
            <w:r>
              <w:t xml:space="preserve"> Lan</w:t>
            </w:r>
            <w:r w:rsidR="005C7051">
              <w:t xml:space="preserve">d Claim No. 37, Cox Peninsula, Northern Territory </w:t>
            </w:r>
          </w:p>
        </w:tc>
        <w:tc>
          <w:tcPr>
            <w:tcW w:w="774" w:type="pct"/>
            <w:shd w:val="clear" w:color="auto" w:fill="auto"/>
            <w:noWrap/>
          </w:tcPr>
          <w:p w14:paraId="3ADC4BED" w14:textId="5A34BE75" w:rsidR="00632E85" w:rsidRDefault="005C7051" w:rsidP="00E575F1">
            <w:pPr>
              <w:pStyle w:val="TableTextLeft"/>
              <w:spacing w:before="0"/>
              <w:rPr>
                <w:rFonts w:eastAsia="Arial" w:cs="Arial"/>
              </w:rPr>
            </w:pPr>
            <w:r>
              <w:rPr>
                <w:rFonts w:eastAsia="Arial" w:cs="Arial"/>
              </w:rPr>
              <w:t>New</w:t>
            </w:r>
          </w:p>
        </w:tc>
      </w:tr>
      <w:tr w:rsidR="0023618C" w:rsidRPr="00F734D4" w14:paraId="16DFE256" w14:textId="77777777" w:rsidTr="00C1009D">
        <w:trPr>
          <w:trHeight w:val="228"/>
        </w:trPr>
        <w:tc>
          <w:tcPr>
            <w:tcW w:w="4226" w:type="pct"/>
            <w:shd w:val="clear" w:color="auto" w:fill="E6F2FF"/>
            <w:noWrap/>
          </w:tcPr>
          <w:p w14:paraId="50201F16" w14:textId="77777777" w:rsidR="0023618C" w:rsidRPr="00F734D4" w:rsidRDefault="0023618C" w:rsidP="00E575F1">
            <w:pPr>
              <w:pStyle w:val="TableColumnHeadingLeft"/>
              <w:spacing w:before="0"/>
            </w:pPr>
            <w:r w:rsidRPr="00F734D4">
              <w:t>Foreign Affairs and Trade</w:t>
            </w:r>
          </w:p>
        </w:tc>
        <w:tc>
          <w:tcPr>
            <w:tcW w:w="774" w:type="pct"/>
            <w:shd w:val="clear" w:color="auto" w:fill="E6F2FF"/>
            <w:noWrap/>
          </w:tcPr>
          <w:p w14:paraId="7B556A67" w14:textId="77777777" w:rsidR="0023618C" w:rsidRPr="00F734D4" w:rsidRDefault="0023618C" w:rsidP="00E575F1">
            <w:pPr>
              <w:pStyle w:val="TableColumnHeadingLeft"/>
              <w:spacing w:before="0"/>
            </w:pPr>
            <w:r w:rsidRPr="00F734D4">
              <w:t>Status</w:t>
            </w:r>
          </w:p>
        </w:tc>
      </w:tr>
      <w:tr w:rsidR="0023618C" w:rsidRPr="00F734D4" w14:paraId="24D4AC3C" w14:textId="77777777" w:rsidTr="00C1009D">
        <w:trPr>
          <w:trHeight w:val="228"/>
        </w:trPr>
        <w:tc>
          <w:tcPr>
            <w:tcW w:w="4226" w:type="pct"/>
            <w:shd w:val="clear" w:color="auto" w:fill="E6F2FF"/>
            <w:noWrap/>
          </w:tcPr>
          <w:p w14:paraId="25FACCE5" w14:textId="16C69B8C" w:rsidR="0023618C" w:rsidRPr="00F734D4" w:rsidRDefault="0023618C" w:rsidP="00E575F1">
            <w:pPr>
              <w:pStyle w:val="TableColumnHeadingLeft"/>
              <w:spacing w:before="0"/>
            </w:pPr>
            <w:r w:rsidRPr="00F734D4">
              <w:rPr>
                <w:rFonts w:eastAsia="Arial"/>
              </w:rPr>
              <w:t>Fiscal Risk</w:t>
            </w:r>
          </w:p>
        </w:tc>
        <w:tc>
          <w:tcPr>
            <w:tcW w:w="774" w:type="pct"/>
            <w:shd w:val="clear" w:color="auto" w:fill="E6F2FF"/>
            <w:noWrap/>
          </w:tcPr>
          <w:p w14:paraId="219323E4" w14:textId="77777777" w:rsidR="0023618C" w:rsidRPr="00F734D4" w:rsidRDefault="0023618C" w:rsidP="00E575F1">
            <w:pPr>
              <w:pStyle w:val="TableColumnHeadingRight"/>
              <w:spacing w:before="0"/>
            </w:pPr>
          </w:p>
        </w:tc>
      </w:tr>
      <w:tr w:rsidR="0023618C" w:rsidRPr="00F734D4" w14:paraId="4B7AF42B" w14:textId="77777777" w:rsidTr="00C1009D">
        <w:trPr>
          <w:trHeight w:val="228"/>
        </w:trPr>
        <w:tc>
          <w:tcPr>
            <w:tcW w:w="4226" w:type="pct"/>
            <w:shd w:val="clear" w:color="auto" w:fill="auto"/>
            <w:noWrap/>
          </w:tcPr>
          <w:p w14:paraId="0DE03B70" w14:textId="77777777" w:rsidR="0023618C" w:rsidRPr="00F734D4" w:rsidRDefault="0023618C" w:rsidP="00E575F1">
            <w:pPr>
              <w:pStyle w:val="TableTextLeft-Indent"/>
              <w:spacing w:before="0" w:after="0"/>
            </w:pPr>
            <w:r w:rsidRPr="00F734D4">
              <w:t>Export Finance Australia – National Interest Account</w:t>
            </w:r>
          </w:p>
        </w:tc>
        <w:tc>
          <w:tcPr>
            <w:tcW w:w="774" w:type="pct"/>
            <w:shd w:val="clear" w:color="auto" w:fill="auto"/>
            <w:noWrap/>
          </w:tcPr>
          <w:p w14:paraId="6E54EFA8" w14:textId="77777777" w:rsidR="0023618C" w:rsidRPr="00F734D4" w:rsidRDefault="0023618C" w:rsidP="00E575F1">
            <w:pPr>
              <w:pStyle w:val="TableTextLeft"/>
              <w:spacing w:before="0"/>
            </w:pPr>
            <w:r w:rsidRPr="00F734D4">
              <w:t>Modified</w:t>
            </w:r>
          </w:p>
        </w:tc>
      </w:tr>
      <w:tr w:rsidR="0023618C" w:rsidRPr="00F734D4" w14:paraId="32C57FE9" w14:textId="77777777" w:rsidTr="00C1009D">
        <w:trPr>
          <w:trHeight w:val="228"/>
        </w:trPr>
        <w:tc>
          <w:tcPr>
            <w:tcW w:w="4226" w:type="pct"/>
            <w:shd w:val="clear" w:color="auto" w:fill="E6F2FF"/>
            <w:noWrap/>
          </w:tcPr>
          <w:p w14:paraId="46F60471" w14:textId="77777777" w:rsidR="0023618C" w:rsidRPr="00F734D4" w:rsidRDefault="0023618C" w:rsidP="00E575F1">
            <w:pPr>
              <w:pStyle w:val="TableColumnHeadingLeft"/>
              <w:spacing w:before="0"/>
              <w:rPr>
                <w:rFonts w:eastAsia="Calibri"/>
              </w:rPr>
            </w:pPr>
            <w:r w:rsidRPr="00994527">
              <w:rPr>
                <w:rFonts w:eastAsia="Arial"/>
              </w:rPr>
              <w:t>Contingent liabilities</w:t>
            </w:r>
            <w:r w:rsidRPr="00F734D4">
              <w:rPr>
                <w:rFonts w:eastAsia="Arial"/>
              </w:rPr>
              <w:t xml:space="preserve"> – quantifiable</w:t>
            </w:r>
          </w:p>
        </w:tc>
        <w:tc>
          <w:tcPr>
            <w:tcW w:w="774" w:type="pct"/>
            <w:shd w:val="clear" w:color="auto" w:fill="E6F2FF"/>
            <w:noWrap/>
          </w:tcPr>
          <w:p w14:paraId="67152F53" w14:textId="77777777" w:rsidR="0023618C" w:rsidRPr="00F734D4" w:rsidRDefault="0023618C" w:rsidP="00E575F1">
            <w:pPr>
              <w:pStyle w:val="TableTextLeft"/>
              <w:spacing w:before="0"/>
            </w:pPr>
          </w:p>
        </w:tc>
      </w:tr>
      <w:tr w:rsidR="0023618C" w:rsidRPr="00F734D4" w14:paraId="12F27B0E" w14:textId="77777777" w:rsidTr="00C1009D">
        <w:trPr>
          <w:trHeight w:val="228"/>
        </w:trPr>
        <w:tc>
          <w:tcPr>
            <w:tcW w:w="4226" w:type="pct"/>
            <w:shd w:val="clear" w:color="auto" w:fill="auto"/>
            <w:noWrap/>
          </w:tcPr>
          <w:p w14:paraId="5DC8D1AE" w14:textId="77777777" w:rsidR="0023618C" w:rsidRPr="00F734D4" w:rsidRDefault="0023618C" w:rsidP="00E575F1">
            <w:pPr>
              <w:pStyle w:val="TableTextLeft-Indent"/>
              <w:spacing w:before="0" w:after="0"/>
            </w:pPr>
            <w:r w:rsidRPr="00F734D4">
              <w:t>Export Finance Australia</w:t>
            </w:r>
          </w:p>
        </w:tc>
        <w:tc>
          <w:tcPr>
            <w:tcW w:w="774" w:type="pct"/>
            <w:shd w:val="clear" w:color="auto" w:fill="auto"/>
            <w:noWrap/>
          </w:tcPr>
          <w:p w14:paraId="7C20D759" w14:textId="77777777" w:rsidR="0023618C" w:rsidRPr="00F734D4" w:rsidRDefault="0023618C" w:rsidP="00E575F1">
            <w:pPr>
              <w:pStyle w:val="TableTextLeft"/>
              <w:spacing w:before="0"/>
            </w:pPr>
            <w:r>
              <w:t>Unchanged</w:t>
            </w:r>
          </w:p>
        </w:tc>
      </w:tr>
      <w:tr w:rsidR="0023618C" w:rsidRPr="00F734D4" w14:paraId="1CF018F6" w14:textId="77777777" w:rsidTr="00C1009D">
        <w:trPr>
          <w:trHeight w:val="228"/>
        </w:trPr>
        <w:tc>
          <w:tcPr>
            <w:tcW w:w="4226" w:type="pct"/>
            <w:shd w:val="clear" w:color="auto" w:fill="auto"/>
            <w:noWrap/>
          </w:tcPr>
          <w:p w14:paraId="7B67762A" w14:textId="77777777" w:rsidR="0023618C" w:rsidRPr="00F506C3" w:rsidRDefault="0023618C" w:rsidP="00E575F1">
            <w:pPr>
              <w:pStyle w:val="TableTextLeft-Indent"/>
              <w:spacing w:before="0" w:after="0"/>
            </w:pPr>
            <w:r w:rsidRPr="00F506C3">
              <w:t>Papua New Guinea Rugby League Franchise</w:t>
            </w:r>
          </w:p>
        </w:tc>
        <w:tc>
          <w:tcPr>
            <w:tcW w:w="774" w:type="pct"/>
            <w:shd w:val="clear" w:color="auto" w:fill="auto"/>
            <w:noWrap/>
          </w:tcPr>
          <w:p w14:paraId="4B2D1E4C" w14:textId="714F5D4D" w:rsidR="0023618C" w:rsidRPr="00F506C3" w:rsidDel="00E72B05" w:rsidRDefault="00F44ED7" w:rsidP="00E575F1">
            <w:pPr>
              <w:pStyle w:val="TableTextLeft"/>
              <w:spacing w:before="0"/>
            </w:pPr>
            <w:r>
              <w:t xml:space="preserve">Unchanged </w:t>
            </w:r>
          </w:p>
        </w:tc>
      </w:tr>
      <w:tr w:rsidR="0023618C" w:rsidRPr="00F734D4" w14:paraId="509CE875" w14:textId="77777777" w:rsidTr="00C1009D">
        <w:trPr>
          <w:trHeight w:val="228"/>
        </w:trPr>
        <w:tc>
          <w:tcPr>
            <w:tcW w:w="4226" w:type="pct"/>
            <w:shd w:val="clear" w:color="auto" w:fill="E6F2FF"/>
            <w:noWrap/>
          </w:tcPr>
          <w:p w14:paraId="41FA568E" w14:textId="77777777" w:rsidR="0023618C" w:rsidRPr="00F734D4" w:rsidRDefault="0023618C" w:rsidP="00E575F1">
            <w:pPr>
              <w:pStyle w:val="TableColumnHeadingLeft"/>
              <w:spacing w:before="0"/>
            </w:pPr>
            <w:r w:rsidRPr="00F734D4">
              <w:t>Health and Aged Care</w:t>
            </w:r>
          </w:p>
        </w:tc>
        <w:tc>
          <w:tcPr>
            <w:tcW w:w="774" w:type="pct"/>
            <w:shd w:val="clear" w:color="auto" w:fill="E6F2FF"/>
            <w:noWrap/>
          </w:tcPr>
          <w:p w14:paraId="3BD76079" w14:textId="77777777" w:rsidR="0023618C" w:rsidRPr="00F734D4" w:rsidRDefault="0023618C" w:rsidP="00E575F1">
            <w:pPr>
              <w:pStyle w:val="TableColumnHeadingLeft"/>
              <w:spacing w:before="0"/>
            </w:pPr>
            <w:r w:rsidRPr="00F734D4">
              <w:t>Status</w:t>
            </w:r>
          </w:p>
        </w:tc>
      </w:tr>
      <w:tr w:rsidR="0023618C" w:rsidRPr="00F734D4" w14:paraId="5B79D8DA" w14:textId="77777777" w:rsidTr="00C1009D">
        <w:trPr>
          <w:trHeight w:val="228"/>
        </w:trPr>
        <w:tc>
          <w:tcPr>
            <w:tcW w:w="4226" w:type="pct"/>
            <w:shd w:val="clear" w:color="auto" w:fill="E6F2FF"/>
            <w:noWrap/>
          </w:tcPr>
          <w:p w14:paraId="2E8EBCED" w14:textId="77777777" w:rsidR="0023618C" w:rsidRPr="00F734D4" w:rsidRDefault="0023618C" w:rsidP="00E575F1">
            <w:pPr>
              <w:pStyle w:val="TableColumnHeadingLeft"/>
              <w:spacing w:before="0"/>
              <w:rPr>
                <w:rFonts w:eastAsia="Arial" w:cs="Arial"/>
              </w:rPr>
            </w:pPr>
            <w:r w:rsidRPr="00F734D4">
              <w:rPr>
                <w:rFonts w:eastAsia="Arial"/>
              </w:rPr>
              <w:t>Fiscal Risk</w:t>
            </w:r>
          </w:p>
        </w:tc>
        <w:tc>
          <w:tcPr>
            <w:tcW w:w="774" w:type="pct"/>
            <w:shd w:val="clear" w:color="auto" w:fill="E6F2FF"/>
            <w:noWrap/>
          </w:tcPr>
          <w:p w14:paraId="34F2A392" w14:textId="77777777" w:rsidR="0023618C" w:rsidRPr="00F734D4" w:rsidRDefault="0023618C" w:rsidP="00E575F1">
            <w:pPr>
              <w:pStyle w:val="TableTextLeft"/>
              <w:spacing w:before="0"/>
            </w:pPr>
          </w:p>
        </w:tc>
      </w:tr>
      <w:tr w:rsidR="0023618C" w:rsidRPr="00F734D4" w14:paraId="7F691958" w14:textId="77777777" w:rsidTr="00C1009D">
        <w:trPr>
          <w:trHeight w:val="228"/>
        </w:trPr>
        <w:tc>
          <w:tcPr>
            <w:tcW w:w="4226" w:type="pct"/>
            <w:shd w:val="clear" w:color="auto" w:fill="auto"/>
            <w:noWrap/>
          </w:tcPr>
          <w:p w14:paraId="6C81019A" w14:textId="77777777" w:rsidR="0023618C" w:rsidRPr="00F734D4" w:rsidRDefault="0023618C" w:rsidP="00E575F1">
            <w:pPr>
              <w:pStyle w:val="TableTextLeft-Indent"/>
              <w:spacing w:before="0" w:after="0"/>
              <w:rPr>
                <w:rFonts w:eastAsia="Arial" w:cs="Arial"/>
                <w:b/>
                <w:bCs/>
              </w:rPr>
            </w:pPr>
            <w:r w:rsidRPr="00F734D4">
              <w:t>Fair Work Commission decision – Aged Care Work Value Case</w:t>
            </w:r>
          </w:p>
        </w:tc>
        <w:tc>
          <w:tcPr>
            <w:tcW w:w="774" w:type="pct"/>
            <w:shd w:val="clear" w:color="auto" w:fill="auto"/>
            <w:noWrap/>
          </w:tcPr>
          <w:p w14:paraId="2C276C0E" w14:textId="0CBB3C53" w:rsidR="0023618C" w:rsidRPr="00F734D4" w:rsidRDefault="00873293" w:rsidP="00E575F1">
            <w:pPr>
              <w:pStyle w:val="TableTextLeft"/>
              <w:spacing w:before="0"/>
              <w:rPr>
                <w:b/>
                <w:bCs/>
              </w:rPr>
            </w:pPr>
            <w:r>
              <w:rPr>
                <w:rFonts w:eastAsia="Arial" w:cs="Arial"/>
              </w:rPr>
              <w:t>Removed</w:t>
            </w:r>
          </w:p>
        </w:tc>
      </w:tr>
      <w:tr w:rsidR="004F6FA9" w:rsidRPr="004F6FA9" w14:paraId="5798D6C1" w14:textId="77777777" w:rsidTr="00C1009D">
        <w:trPr>
          <w:trHeight w:val="228"/>
        </w:trPr>
        <w:tc>
          <w:tcPr>
            <w:tcW w:w="4226" w:type="pct"/>
            <w:shd w:val="clear" w:color="auto" w:fill="auto"/>
            <w:noWrap/>
          </w:tcPr>
          <w:p w14:paraId="2E029072" w14:textId="0F7B48D3" w:rsidR="004F6FA9" w:rsidRPr="004F6FA9" w:rsidRDefault="004F6FA9" w:rsidP="004F6FA9">
            <w:pPr>
              <w:pStyle w:val="TableTextLeft-Indent"/>
              <w:spacing w:before="0" w:after="0"/>
            </w:pPr>
            <w:r>
              <w:t>Aged Care</w:t>
            </w:r>
          </w:p>
        </w:tc>
        <w:tc>
          <w:tcPr>
            <w:tcW w:w="774" w:type="pct"/>
            <w:shd w:val="clear" w:color="auto" w:fill="auto"/>
            <w:noWrap/>
          </w:tcPr>
          <w:p w14:paraId="336C2A20" w14:textId="07A57004" w:rsidR="004F6FA9" w:rsidRPr="00F734D4" w:rsidRDefault="004F6FA9" w:rsidP="00DD6C20">
            <w:pPr>
              <w:pStyle w:val="TableTextLeft"/>
            </w:pPr>
            <w:r w:rsidRPr="004F6FA9">
              <w:t>New</w:t>
            </w:r>
          </w:p>
        </w:tc>
      </w:tr>
      <w:tr w:rsidR="0023618C" w:rsidRPr="00F734D4" w14:paraId="1366D3A7" w14:textId="77777777" w:rsidTr="00C1009D">
        <w:trPr>
          <w:trHeight w:val="228"/>
        </w:trPr>
        <w:tc>
          <w:tcPr>
            <w:tcW w:w="4226" w:type="pct"/>
            <w:shd w:val="clear" w:color="auto" w:fill="E6F2FF"/>
            <w:noWrap/>
          </w:tcPr>
          <w:p w14:paraId="7DFE3103" w14:textId="77777777" w:rsidR="0023618C" w:rsidRPr="00F734D4" w:rsidRDefault="0023618C" w:rsidP="00E575F1">
            <w:pPr>
              <w:pStyle w:val="TableColumnHeadingLeft"/>
              <w:spacing w:before="0"/>
              <w:rPr>
                <w:rFonts w:eastAsia="Calibri"/>
              </w:rPr>
            </w:pPr>
            <w:r w:rsidRPr="00F734D4">
              <w:rPr>
                <w:rFonts w:eastAsia="Arial"/>
              </w:rPr>
              <w:t>Contingent liabilities – unquantifiable</w:t>
            </w:r>
          </w:p>
        </w:tc>
        <w:tc>
          <w:tcPr>
            <w:tcW w:w="774" w:type="pct"/>
            <w:shd w:val="clear" w:color="auto" w:fill="E6F2FF"/>
            <w:noWrap/>
          </w:tcPr>
          <w:p w14:paraId="1BAB3D99" w14:textId="77777777" w:rsidR="0023618C" w:rsidRPr="00F734D4" w:rsidRDefault="0023618C" w:rsidP="00E575F1">
            <w:pPr>
              <w:pStyle w:val="TableTextLeft"/>
              <w:spacing w:before="0"/>
            </w:pPr>
          </w:p>
        </w:tc>
      </w:tr>
      <w:tr w:rsidR="0023618C" w:rsidRPr="00F734D4" w14:paraId="698FFFEC" w14:textId="77777777" w:rsidTr="00C1009D">
        <w:trPr>
          <w:trHeight w:val="228"/>
        </w:trPr>
        <w:tc>
          <w:tcPr>
            <w:tcW w:w="4226" w:type="pct"/>
            <w:noWrap/>
          </w:tcPr>
          <w:p w14:paraId="6AD26291" w14:textId="77777777" w:rsidR="0023618C" w:rsidRPr="00F734D4" w:rsidRDefault="0023618C" w:rsidP="00E575F1">
            <w:pPr>
              <w:pStyle w:val="TableTextLeft-Indent"/>
              <w:spacing w:before="0" w:after="0"/>
            </w:pPr>
            <w:r w:rsidRPr="00F734D4">
              <w:t>Accommodation Payment Guarantee Scheme</w:t>
            </w:r>
          </w:p>
        </w:tc>
        <w:tc>
          <w:tcPr>
            <w:tcW w:w="774" w:type="pct"/>
            <w:noWrap/>
          </w:tcPr>
          <w:p w14:paraId="241C37A8" w14:textId="77777777" w:rsidR="0023618C" w:rsidRPr="00F734D4" w:rsidRDefault="0023618C" w:rsidP="00E575F1">
            <w:pPr>
              <w:pStyle w:val="TableTextLeft"/>
              <w:spacing w:before="0"/>
            </w:pPr>
            <w:r w:rsidRPr="00F734D4">
              <w:t>Unchanged</w:t>
            </w:r>
          </w:p>
        </w:tc>
      </w:tr>
      <w:tr w:rsidR="0023618C" w:rsidRPr="00F734D4" w14:paraId="108057B0" w14:textId="77777777" w:rsidTr="00C1009D">
        <w:trPr>
          <w:trHeight w:val="228"/>
        </w:trPr>
        <w:tc>
          <w:tcPr>
            <w:tcW w:w="4226" w:type="pct"/>
            <w:noWrap/>
          </w:tcPr>
          <w:p w14:paraId="5459DD0C" w14:textId="5CC051BC" w:rsidR="0023618C" w:rsidRPr="00F734D4" w:rsidRDefault="0023618C" w:rsidP="00E575F1">
            <w:pPr>
              <w:pStyle w:val="TableTextLeft-Indent"/>
              <w:spacing w:before="0" w:after="0"/>
            </w:pPr>
            <w:r w:rsidRPr="00F734D4">
              <w:t>Advance Purchasing Agreements for COVID</w:t>
            </w:r>
            <w:r w:rsidR="00D23095">
              <w:noBreakHyphen/>
            </w:r>
            <w:r w:rsidRPr="00F734D4">
              <w:t>19 vaccines</w:t>
            </w:r>
          </w:p>
        </w:tc>
        <w:tc>
          <w:tcPr>
            <w:tcW w:w="774" w:type="pct"/>
            <w:noWrap/>
          </w:tcPr>
          <w:p w14:paraId="1681E6CF" w14:textId="77777777" w:rsidR="0023618C" w:rsidRPr="00F734D4" w:rsidRDefault="0023618C" w:rsidP="00E575F1">
            <w:pPr>
              <w:pStyle w:val="TableTextLeft"/>
              <w:spacing w:before="0"/>
            </w:pPr>
            <w:r>
              <w:t>Unchanged</w:t>
            </w:r>
          </w:p>
        </w:tc>
      </w:tr>
      <w:tr w:rsidR="0023618C" w:rsidRPr="00F734D4" w14:paraId="2927E302" w14:textId="77777777" w:rsidTr="00C1009D">
        <w:trPr>
          <w:trHeight w:val="228"/>
        </w:trPr>
        <w:tc>
          <w:tcPr>
            <w:tcW w:w="4226" w:type="pct"/>
            <w:noWrap/>
          </w:tcPr>
          <w:p w14:paraId="26B0AF2A" w14:textId="77777777" w:rsidR="0023618C" w:rsidRPr="00F734D4" w:rsidRDefault="0023618C" w:rsidP="00E575F1">
            <w:pPr>
              <w:pStyle w:val="TableTextLeft-Indent"/>
              <w:spacing w:before="0" w:after="0"/>
            </w:pPr>
            <w:r w:rsidRPr="00F734D4">
              <w:t>Australian Red Cross Society – indemnities</w:t>
            </w:r>
          </w:p>
        </w:tc>
        <w:tc>
          <w:tcPr>
            <w:tcW w:w="774" w:type="pct"/>
            <w:noWrap/>
          </w:tcPr>
          <w:p w14:paraId="633CA8E2" w14:textId="77777777" w:rsidR="0023618C" w:rsidRPr="00F734D4" w:rsidRDefault="0023618C" w:rsidP="00E575F1">
            <w:pPr>
              <w:pStyle w:val="TableTextLeft"/>
              <w:spacing w:before="0"/>
            </w:pPr>
            <w:r w:rsidRPr="00F734D4">
              <w:rPr>
                <w:rFonts w:eastAsia="Arial" w:cs="Arial"/>
              </w:rPr>
              <w:t>Unchanged</w:t>
            </w:r>
          </w:p>
        </w:tc>
      </w:tr>
      <w:tr w:rsidR="0023618C" w:rsidRPr="00F734D4" w14:paraId="390DE247" w14:textId="77777777" w:rsidTr="00C1009D">
        <w:trPr>
          <w:trHeight w:val="228"/>
        </w:trPr>
        <w:tc>
          <w:tcPr>
            <w:tcW w:w="4226" w:type="pct"/>
            <w:noWrap/>
          </w:tcPr>
          <w:p w14:paraId="7A3C95B2" w14:textId="77777777" w:rsidR="0023618C" w:rsidRPr="00F734D4" w:rsidRDefault="0023618C" w:rsidP="00E575F1">
            <w:pPr>
              <w:pStyle w:val="TableTextLeft-Indent"/>
              <w:spacing w:before="0" w:after="0"/>
            </w:pPr>
            <w:r w:rsidRPr="00F734D4">
              <w:t>Blood and blood products liability cover</w:t>
            </w:r>
          </w:p>
        </w:tc>
        <w:tc>
          <w:tcPr>
            <w:tcW w:w="774" w:type="pct"/>
            <w:noWrap/>
          </w:tcPr>
          <w:p w14:paraId="0147C2EE" w14:textId="77777777" w:rsidR="0023618C" w:rsidRPr="00F734D4" w:rsidRDefault="0023618C" w:rsidP="00E575F1">
            <w:pPr>
              <w:pStyle w:val="TableTextLeft"/>
              <w:spacing w:before="0"/>
            </w:pPr>
            <w:r w:rsidRPr="00F734D4">
              <w:t>Unchanged</w:t>
            </w:r>
          </w:p>
        </w:tc>
      </w:tr>
      <w:tr w:rsidR="0023618C" w:rsidRPr="00F734D4" w14:paraId="47D0FB7B" w14:textId="77777777" w:rsidTr="00C1009D">
        <w:trPr>
          <w:trHeight w:val="228"/>
        </w:trPr>
        <w:tc>
          <w:tcPr>
            <w:tcW w:w="4226" w:type="pct"/>
            <w:noWrap/>
          </w:tcPr>
          <w:p w14:paraId="64AE9203" w14:textId="77777777" w:rsidR="0023618C" w:rsidRPr="00F734D4" w:rsidRDefault="0023618C" w:rsidP="00E575F1">
            <w:pPr>
              <w:pStyle w:val="TableTextLeft-Indent"/>
              <w:spacing w:before="0" w:after="0"/>
            </w:pPr>
            <w:r w:rsidRPr="00F734D4">
              <w:t>CSL Ltd</w:t>
            </w:r>
          </w:p>
        </w:tc>
        <w:tc>
          <w:tcPr>
            <w:tcW w:w="774" w:type="pct"/>
            <w:noWrap/>
          </w:tcPr>
          <w:p w14:paraId="182468B1" w14:textId="77777777" w:rsidR="0023618C" w:rsidRPr="00F734D4" w:rsidRDefault="0023618C" w:rsidP="00E575F1">
            <w:pPr>
              <w:pStyle w:val="TableTextLeft"/>
              <w:spacing w:before="0"/>
            </w:pPr>
            <w:r w:rsidRPr="00F734D4">
              <w:t>Unchanged</w:t>
            </w:r>
          </w:p>
        </w:tc>
      </w:tr>
      <w:tr w:rsidR="0023618C" w:rsidRPr="00F734D4" w14:paraId="3CA06B74" w14:textId="77777777" w:rsidTr="00C1009D">
        <w:trPr>
          <w:trHeight w:val="228"/>
        </w:trPr>
        <w:tc>
          <w:tcPr>
            <w:tcW w:w="4226" w:type="pct"/>
            <w:noWrap/>
          </w:tcPr>
          <w:p w14:paraId="374C8BD4" w14:textId="77777777" w:rsidR="0023618C" w:rsidRPr="00F734D4" w:rsidRDefault="0023618C" w:rsidP="00E575F1">
            <w:pPr>
              <w:pStyle w:val="TableTextLeft-Indent"/>
              <w:spacing w:before="0" w:after="0"/>
            </w:pPr>
            <w:r w:rsidRPr="00F734D4">
              <w:t>Indemnities relating to vaccines</w:t>
            </w:r>
          </w:p>
        </w:tc>
        <w:tc>
          <w:tcPr>
            <w:tcW w:w="774" w:type="pct"/>
            <w:noWrap/>
          </w:tcPr>
          <w:p w14:paraId="0E9D1E4F" w14:textId="77777777" w:rsidR="0023618C" w:rsidRPr="00F734D4" w:rsidRDefault="0023618C" w:rsidP="00E575F1">
            <w:pPr>
              <w:pStyle w:val="TableTextLeft"/>
              <w:spacing w:before="0"/>
            </w:pPr>
            <w:r w:rsidRPr="00F734D4">
              <w:t>Unchanged</w:t>
            </w:r>
          </w:p>
        </w:tc>
      </w:tr>
      <w:tr w:rsidR="0023618C" w:rsidRPr="00F734D4" w14:paraId="1E41D7DB" w14:textId="77777777" w:rsidTr="00C1009D">
        <w:trPr>
          <w:trHeight w:val="228"/>
        </w:trPr>
        <w:tc>
          <w:tcPr>
            <w:tcW w:w="4226" w:type="pct"/>
            <w:noWrap/>
          </w:tcPr>
          <w:p w14:paraId="7147282A" w14:textId="77777777" w:rsidR="0023618C" w:rsidRPr="00F734D4" w:rsidRDefault="0023618C" w:rsidP="00E575F1">
            <w:pPr>
              <w:pStyle w:val="TableTextLeft-Indent"/>
              <w:spacing w:before="0" w:after="0"/>
            </w:pPr>
            <w:r w:rsidRPr="00F734D4">
              <w:t xml:space="preserve">Major sporting events </w:t>
            </w:r>
          </w:p>
        </w:tc>
        <w:tc>
          <w:tcPr>
            <w:tcW w:w="774" w:type="pct"/>
            <w:noWrap/>
          </w:tcPr>
          <w:p w14:paraId="51DCCA18" w14:textId="77777777" w:rsidR="0023618C" w:rsidRPr="00F734D4" w:rsidDel="00B1073A" w:rsidRDefault="0023618C" w:rsidP="00E575F1">
            <w:pPr>
              <w:pStyle w:val="TableTextLeft"/>
              <w:spacing w:before="0"/>
            </w:pPr>
            <w:r>
              <w:t>Unchanged</w:t>
            </w:r>
          </w:p>
        </w:tc>
      </w:tr>
      <w:tr w:rsidR="0023618C" w:rsidRPr="00F734D4" w14:paraId="5280E350" w14:textId="77777777" w:rsidTr="00C1009D">
        <w:trPr>
          <w:trHeight w:val="228"/>
        </w:trPr>
        <w:tc>
          <w:tcPr>
            <w:tcW w:w="4226" w:type="pct"/>
            <w:noWrap/>
          </w:tcPr>
          <w:p w14:paraId="5F02BDEE" w14:textId="77777777" w:rsidR="0023618C" w:rsidRPr="00F734D4" w:rsidRDefault="0023618C" w:rsidP="00E575F1">
            <w:pPr>
              <w:pStyle w:val="TableTextLeft-Indent"/>
              <w:spacing w:before="0" w:after="0"/>
            </w:pPr>
            <w:r w:rsidRPr="00F734D4">
              <w:t>Medical Indemnity Exceptional Claims Scheme</w:t>
            </w:r>
          </w:p>
        </w:tc>
        <w:tc>
          <w:tcPr>
            <w:tcW w:w="774" w:type="pct"/>
            <w:noWrap/>
          </w:tcPr>
          <w:p w14:paraId="073D3758" w14:textId="77777777" w:rsidR="0023618C" w:rsidRPr="00F734D4" w:rsidRDefault="0023618C" w:rsidP="00E575F1">
            <w:pPr>
              <w:pStyle w:val="TableTextLeft"/>
              <w:spacing w:before="0"/>
            </w:pPr>
            <w:r w:rsidRPr="00F734D4">
              <w:t>Unchanged</w:t>
            </w:r>
          </w:p>
        </w:tc>
      </w:tr>
      <w:tr w:rsidR="0023618C" w:rsidRPr="00F734D4" w14:paraId="26D10102" w14:textId="77777777" w:rsidTr="00C1009D">
        <w:trPr>
          <w:trHeight w:val="228"/>
        </w:trPr>
        <w:tc>
          <w:tcPr>
            <w:tcW w:w="4226" w:type="pct"/>
            <w:noWrap/>
          </w:tcPr>
          <w:p w14:paraId="359D64AE" w14:textId="77777777" w:rsidR="0023618C" w:rsidRPr="00F734D4" w:rsidRDefault="0023618C" w:rsidP="00E575F1">
            <w:pPr>
              <w:pStyle w:val="TableTextLeft-Indent"/>
              <w:spacing w:before="0" w:after="0"/>
            </w:pPr>
            <w:r w:rsidRPr="00C17F95">
              <w:t>Medical Rural Bonded Scholarship Waivers</w:t>
            </w:r>
          </w:p>
        </w:tc>
        <w:tc>
          <w:tcPr>
            <w:tcW w:w="774" w:type="pct"/>
            <w:noWrap/>
          </w:tcPr>
          <w:p w14:paraId="722C4146" w14:textId="77777777" w:rsidR="0023618C" w:rsidRPr="00F734D4" w:rsidRDefault="0023618C" w:rsidP="00E575F1">
            <w:pPr>
              <w:pStyle w:val="TableTextLeft"/>
              <w:spacing w:before="0"/>
            </w:pPr>
            <w:r>
              <w:t>Unchanged</w:t>
            </w:r>
          </w:p>
        </w:tc>
      </w:tr>
    </w:tbl>
    <w:p w14:paraId="3E62AAEB" w14:textId="77777777" w:rsidR="00673AFD" w:rsidRDefault="00673AFD">
      <w:r>
        <w:br w:type="page"/>
      </w:r>
    </w:p>
    <w:p w14:paraId="62F11DAF" w14:textId="0AB6B81E" w:rsidR="00A72DF7" w:rsidRDefault="00A72DF7" w:rsidP="00A72DF7">
      <w:pPr>
        <w:pStyle w:val="TableHeadingcontinued"/>
      </w:pPr>
      <w:r w:rsidRPr="002C4F07">
        <w:rPr>
          <w:rFonts w:eastAsia="Arial"/>
        </w:rPr>
        <w:lastRenderedPageBreak/>
        <w:t xml:space="preserve">Table </w:t>
      </w:r>
      <w:r>
        <w:rPr>
          <w:rFonts w:eastAsia="Arial"/>
        </w:rPr>
        <w:t>8</w:t>
      </w:r>
      <w:r w:rsidRPr="002C4F07">
        <w:rPr>
          <w:rFonts w:eastAsia="Arial"/>
        </w:rPr>
        <w:t>.2:</w:t>
      </w:r>
      <w:r w:rsidRPr="00D13C64">
        <w:rPr>
          <w:rFonts w:eastAsia="Arial"/>
        </w:rPr>
        <w:t xml:space="preserve"> Summary</w:t>
      </w:r>
      <w:r w:rsidRPr="00C07FB5">
        <w:rPr>
          <w:rFonts w:eastAsia="Arial"/>
        </w:rPr>
        <w:t xml:space="preserve"> of </w:t>
      </w:r>
      <w:r w:rsidRPr="00AA667C">
        <w:rPr>
          <w:rFonts w:eastAsia="Arial"/>
        </w:rPr>
        <w:t>fiscal</w:t>
      </w:r>
      <w:r>
        <w:rPr>
          <w:rFonts w:eastAsia="Arial"/>
        </w:rPr>
        <w:t xml:space="preserve"> risks, </w:t>
      </w:r>
      <w:r w:rsidRPr="00C07FB5">
        <w:rPr>
          <w:rFonts w:eastAsia="Arial"/>
        </w:rPr>
        <w:t>contingent liabilities and contingent assets in the Statement of Risks</w:t>
      </w:r>
      <w:r w:rsidRPr="00F734D4">
        <w:rPr>
          <w:rFonts w:eastAsia="Arial"/>
          <w:vertAlign w:val="superscript"/>
        </w:rPr>
        <w:t>(a)</w:t>
      </w:r>
      <w:r w:rsidRPr="00F734D4">
        <w:rPr>
          <w:rFonts w:eastAsia="Arial"/>
        </w:rPr>
        <w:t xml:space="preserve"> (continued)</w:t>
      </w:r>
    </w:p>
    <w:tbl>
      <w:tblPr>
        <w:tblW w:w="5000" w:type="pct"/>
        <w:tblBorders>
          <w:top w:val="single" w:sz="4" w:space="0" w:color="002A54" w:themeColor="text2"/>
          <w:bottom w:val="single" w:sz="4" w:space="0" w:color="002A54" w:themeColor="text2"/>
          <w:insideH w:val="single" w:sz="4" w:space="0" w:color="002A54" w:themeColor="text2"/>
        </w:tblBorders>
        <w:tblLayout w:type="fixed"/>
        <w:tblLook w:val="04A0" w:firstRow="1" w:lastRow="0" w:firstColumn="1" w:lastColumn="0" w:noHBand="0" w:noVBand="1"/>
        <w:tblCaption w:val="Table"/>
      </w:tblPr>
      <w:tblGrid>
        <w:gridCol w:w="6516"/>
        <w:gridCol w:w="51"/>
        <w:gridCol w:w="1143"/>
      </w:tblGrid>
      <w:tr w:rsidR="0023618C" w:rsidRPr="00F734D4" w14:paraId="06EA9550" w14:textId="77777777" w:rsidTr="00673AFD">
        <w:trPr>
          <w:trHeight w:val="228"/>
        </w:trPr>
        <w:tc>
          <w:tcPr>
            <w:tcW w:w="4226" w:type="pct"/>
            <w:shd w:val="clear" w:color="auto" w:fill="E6F2FF"/>
            <w:noWrap/>
          </w:tcPr>
          <w:p w14:paraId="3B2076D4" w14:textId="48153B27" w:rsidR="0023618C" w:rsidRPr="00F734D4" w:rsidRDefault="0082455C" w:rsidP="00EF6D56">
            <w:pPr>
              <w:pStyle w:val="TableColumnHeadingLeft"/>
            </w:pPr>
            <w:r w:rsidRPr="00F734D4">
              <w:t>Health and Aged Care</w:t>
            </w:r>
          </w:p>
        </w:tc>
        <w:tc>
          <w:tcPr>
            <w:tcW w:w="774" w:type="pct"/>
            <w:gridSpan w:val="2"/>
            <w:shd w:val="clear" w:color="auto" w:fill="E6F2FF"/>
            <w:noWrap/>
          </w:tcPr>
          <w:p w14:paraId="677B7955" w14:textId="74E6824A" w:rsidR="0023618C" w:rsidRPr="00F734D4" w:rsidRDefault="00EF6D56" w:rsidP="00EF6D56">
            <w:pPr>
              <w:pStyle w:val="TableColumnHeadingLeft"/>
            </w:pPr>
            <w:r w:rsidRPr="00F734D4">
              <w:t>Status</w:t>
            </w:r>
          </w:p>
        </w:tc>
      </w:tr>
      <w:tr w:rsidR="0082455C" w:rsidRPr="00F734D4" w14:paraId="42C7C12D" w14:textId="77777777" w:rsidTr="0082455C">
        <w:trPr>
          <w:trHeight w:val="228"/>
        </w:trPr>
        <w:tc>
          <w:tcPr>
            <w:tcW w:w="4226" w:type="pct"/>
            <w:shd w:val="clear" w:color="auto" w:fill="E6F2FF"/>
            <w:noWrap/>
          </w:tcPr>
          <w:p w14:paraId="147CD69D" w14:textId="540E856E" w:rsidR="0082455C" w:rsidRPr="00F734D4" w:rsidRDefault="0082455C" w:rsidP="0082455C">
            <w:pPr>
              <w:pStyle w:val="TableColumnHeadingLeft"/>
            </w:pPr>
            <w:r w:rsidRPr="00F734D4">
              <w:rPr>
                <w:rFonts w:eastAsia="Arial"/>
              </w:rPr>
              <w:t>Contingent liabilities – unquantifiable</w:t>
            </w:r>
            <w:r>
              <w:rPr>
                <w:rFonts w:eastAsia="Arial"/>
              </w:rPr>
              <w:t xml:space="preserve"> </w:t>
            </w:r>
            <w:r w:rsidRPr="00F734D4">
              <w:t>(continued)</w:t>
            </w:r>
          </w:p>
        </w:tc>
        <w:tc>
          <w:tcPr>
            <w:tcW w:w="774" w:type="pct"/>
            <w:gridSpan w:val="2"/>
            <w:shd w:val="clear" w:color="auto" w:fill="E6F2FF"/>
            <w:noWrap/>
          </w:tcPr>
          <w:p w14:paraId="1441FE5C" w14:textId="77777777" w:rsidR="0082455C" w:rsidRPr="00F734D4" w:rsidRDefault="0082455C" w:rsidP="00673AFD">
            <w:pPr>
              <w:pStyle w:val="TableTextLeft"/>
              <w:spacing w:before="0"/>
            </w:pPr>
          </w:p>
        </w:tc>
      </w:tr>
      <w:tr w:rsidR="00673AFD" w:rsidRPr="00F734D4" w14:paraId="4F0BA0FB" w14:textId="77777777" w:rsidTr="00C1009D">
        <w:trPr>
          <w:trHeight w:val="228"/>
        </w:trPr>
        <w:tc>
          <w:tcPr>
            <w:tcW w:w="4226" w:type="pct"/>
            <w:noWrap/>
          </w:tcPr>
          <w:p w14:paraId="5EEAE0F1" w14:textId="79883A76" w:rsidR="00673AFD" w:rsidRPr="00F734D4" w:rsidRDefault="00673AFD" w:rsidP="00673AFD">
            <w:pPr>
              <w:pStyle w:val="TableTextLeft-Indent"/>
              <w:spacing w:before="0" w:after="0"/>
            </w:pPr>
            <w:r w:rsidRPr="00F734D4">
              <w:t xml:space="preserve">mRNA manufacturing </w:t>
            </w:r>
            <w:r>
              <w:t>f</w:t>
            </w:r>
            <w:r w:rsidRPr="00F734D4">
              <w:t>acility – indemnities</w:t>
            </w:r>
          </w:p>
        </w:tc>
        <w:tc>
          <w:tcPr>
            <w:tcW w:w="774" w:type="pct"/>
            <w:gridSpan w:val="2"/>
            <w:noWrap/>
          </w:tcPr>
          <w:p w14:paraId="73C45C08" w14:textId="7A37ABDD" w:rsidR="00673AFD" w:rsidRPr="00F734D4" w:rsidRDefault="00673AFD" w:rsidP="00673AFD">
            <w:pPr>
              <w:pStyle w:val="TableTextLeft"/>
              <w:spacing w:before="0"/>
            </w:pPr>
            <w:r w:rsidRPr="00F734D4">
              <w:t>Unchanged</w:t>
            </w:r>
          </w:p>
        </w:tc>
      </w:tr>
      <w:tr w:rsidR="00673AFD" w:rsidRPr="009F4F60" w14:paraId="24B9D03A" w14:textId="77777777" w:rsidTr="00C1009D">
        <w:trPr>
          <w:trHeight w:val="228"/>
        </w:trPr>
        <w:tc>
          <w:tcPr>
            <w:tcW w:w="4226" w:type="pct"/>
            <w:shd w:val="clear" w:color="auto" w:fill="E6F2FF"/>
            <w:noWrap/>
          </w:tcPr>
          <w:p w14:paraId="706ED2F6" w14:textId="77777777" w:rsidR="00673AFD" w:rsidRPr="000D6DA1" w:rsidRDefault="00673AFD" w:rsidP="00673AFD">
            <w:pPr>
              <w:pStyle w:val="TableColumnHeadingLeft"/>
              <w:spacing w:before="0"/>
              <w:rPr>
                <w:rFonts w:eastAsia="Arial"/>
              </w:rPr>
            </w:pPr>
            <w:r w:rsidRPr="00F734D4">
              <w:rPr>
                <w:rFonts w:eastAsia="Arial"/>
              </w:rPr>
              <w:t xml:space="preserve">Contingent </w:t>
            </w:r>
            <w:r>
              <w:rPr>
                <w:rFonts w:eastAsia="Arial"/>
              </w:rPr>
              <w:t>asset</w:t>
            </w:r>
            <w:r w:rsidRPr="00F734D4">
              <w:rPr>
                <w:rFonts w:eastAsia="Arial"/>
              </w:rPr>
              <w:t xml:space="preserve"> – unquantifiable</w:t>
            </w:r>
          </w:p>
        </w:tc>
        <w:tc>
          <w:tcPr>
            <w:tcW w:w="774" w:type="pct"/>
            <w:gridSpan w:val="2"/>
            <w:shd w:val="clear" w:color="auto" w:fill="E6F2FF"/>
            <w:noWrap/>
          </w:tcPr>
          <w:p w14:paraId="66A00A58" w14:textId="77777777" w:rsidR="00673AFD" w:rsidRPr="000D6DA1" w:rsidRDefault="00673AFD" w:rsidP="00673AFD">
            <w:pPr>
              <w:pStyle w:val="TableTextLeft"/>
              <w:spacing w:before="0"/>
              <w:rPr>
                <w:rFonts w:eastAsia="Arial"/>
              </w:rPr>
            </w:pPr>
          </w:p>
        </w:tc>
      </w:tr>
      <w:tr w:rsidR="00673AFD" w:rsidRPr="00F734D4" w14:paraId="2E849130" w14:textId="77777777" w:rsidTr="00C1009D">
        <w:trPr>
          <w:trHeight w:val="228"/>
        </w:trPr>
        <w:tc>
          <w:tcPr>
            <w:tcW w:w="4226" w:type="pct"/>
            <w:noWrap/>
          </w:tcPr>
          <w:p w14:paraId="0775F706" w14:textId="77777777" w:rsidR="00673AFD" w:rsidRPr="00F734D4" w:rsidRDefault="00673AFD" w:rsidP="00673AFD">
            <w:pPr>
              <w:pStyle w:val="TableTextLeft-Indent"/>
              <w:spacing w:before="0" w:after="0"/>
            </w:pPr>
            <w:r w:rsidRPr="00F734D4">
              <w:t>Legal action seeking compensation</w:t>
            </w:r>
          </w:p>
        </w:tc>
        <w:tc>
          <w:tcPr>
            <w:tcW w:w="774" w:type="pct"/>
            <w:gridSpan w:val="2"/>
            <w:noWrap/>
          </w:tcPr>
          <w:p w14:paraId="53924C43" w14:textId="77777777" w:rsidR="00673AFD" w:rsidRPr="00F734D4" w:rsidRDefault="00673AFD" w:rsidP="00673AFD">
            <w:pPr>
              <w:pStyle w:val="TableTextLeft"/>
              <w:spacing w:before="0"/>
            </w:pPr>
            <w:r w:rsidRPr="00F734D4">
              <w:t>Unchanged</w:t>
            </w:r>
          </w:p>
        </w:tc>
      </w:tr>
      <w:tr w:rsidR="0023618C" w:rsidRPr="00F734D4" w14:paraId="37726F17" w14:textId="77777777">
        <w:trPr>
          <w:trHeight w:val="228"/>
        </w:trPr>
        <w:tc>
          <w:tcPr>
            <w:tcW w:w="4259" w:type="pct"/>
            <w:gridSpan w:val="2"/>
            <w:shd w:val="clear" w:color="auto" w:fill="E6F2FF"/>
            <w:noWrap/>
          </w:tcPr>
          <w:p w14:paraId="7F410C2B" w14:textId="77777777" w:rsidR="0023618C" w:rsidRPr="00F734D4" w:rsidRDefault="0023618C">
            <w:pPr>
              <w:pStyle w:val="TableColumnHeadingLeft"/>
            </w:pPr>
            <w:r w:rsidRPr="00F734D4">
              <w:t>Home Affairs</w:t>
            </w:r>
          </w:p>
        </w:tc>
        <w:tc>
          <w:tcPr>
            <w:tcW w:w="741" w:type="pct"/>
            <w:shd w:val="clear" w:color="auto" w:fill="E6F2FF"/>
            <w:noWrap/>
          </w:tcPr>
          <w:p w14:paraId="7D7CCA86" w14:textId="77777777" w:rsidR="0023618C" w:rsidRPr="00F734D4" w:rsidRDefault="0023618C">
            <w:pPr>
              <w:pStyle w:val="TableColumnHeadingLeft"/>
            </w:pPr>
            <w:r w:rsidRPr="00F734D4">
              <w:t>Status</w:t>
            </w:r>
          </w:p>
        </w:tc>
      </w:tr>
      <w:tr w:rsidR="0023618C" w:rsidRPr="00F734D4" w14:paraId="03D5F2D2" w14:textId="77777777">
        <w:trPr>
          <w:trHeight w:val="228"/>
        </w:trPr>
        <w:tc>
          <w:tcPr>
            <w:tcW w:w="4259" w:type="pct"/>
            <w:gridSpan w:val="2"/>
            <w:shd w:val="clear" w:color="auto" w:fill="E6F2FF"/>
            <w:noWrap/>
          </w:tcPr>
          <w:p w14:paraId="3C1C9B4C" w14:textId="77777777" w:rsidR="0023618C" w:rsidRPr="00F734D4" w:rsidRDefault="0023618C">
            <w:pPr>
              <w:pStyle w:val="TableColumnHeadingLeft"/>
            </w:pPr>
            <w:r w:rsidRPr="00F734D4">
              <w:rPr>
                <w:rFonts w:eastAsia="Arial"/>
              </w:rPr>
              <w:t>Fiscal Risk</w:t>
            </w:r>
          </w:p>
        </w:tc>
        <w:tc>
          <w:tcPr>
            <w:tcW w:w="741" w:type="pct"/>
            <w:shd w:val="clear" w:color="auto" w:fill="E6F2FF"/>
            <w:noWrap/>
          </w:tcPr>
          <w:p w14:paraId="307E9990" w14:textId="77777777" w:rsidR="0023618C" w:rsidRPr="00F734D4" w:rsidRDefault="0023618C">
            <w:pPr>
              <w:pStyle w:val="TableTextLeft"/>
            </w:pPr>
          </w:p>
        </w:tc>
      </w:tr>
      <w:tr w:rsidR="0023618C" w:rsidRPr="00F734D4" w14:paraId="39FA7729" w14:textId="77777777">
        <w:trPr>
          <w:trHeight w:val="228"/>
        </w:trPr>
        <w:tc>
          <w:tcPr>
            <w:tcW w:w="4259" w:type="pct"/>
            <w:gridSpan w:val="2"/>
            <w:shd w:val="clear" w:color="auto" w:fill="auto"/>
            <w:noWrap/>
          </w:tcPr>
          <w:p w14:paraId="41D11D08" w14:textId="77777777" w:rsidR="0023618C" w:rsidRPr="00F734D4" w:rsidRDefault="0023618C">
            <w:pPr>
              <w:pStyle w:val="TableTextLeft-Indent"/>
              <w:spacing w:after="0"/>
            </w:pPr>
            <w:r w:rsidRPr="00F734D4">
              <w:t>Regional processing arrangements</w:t>
            </w:r>
          </w:p>
        </w:tc>
        <w:tc>
          <w:tcPr>
            <w:tcW w:w="741" w:type="pct"/>
            <w:shd w:val="clear" w:color="auto" w:fill="auto"/>
            <w:noWrap/>
          </w:tcPr>
          <w:p w14:paraId="0E53A555" w14:textId="2F05AB4C" w:rsidR="0023618C" w:rsidRPr="00F734D4" w:rsidRDefault="009105FC">
            <w:pPr>
              <w:pStyle w:val="TableTextLeft"/>
            </w:pPr>
            <w:r>
              <w:t xml:space="preserve">Unchanged </w:t>
            </w:r>
          </w:p>
        </w:tc>
      </w:tr>
      <w:tr w:rsidR="0023618C" w:rsidRPr="00F734D4" w14:paraId="55E06562" w14:textId="77777777">
        <w:trPr>
          <w:trHeight w:val="228"/>
        </w:trPr>
        <w:tc>
          <w:tcPr>
            <w:tcW w:w="4259" w:type="pct"/>
            <w:gridSpan w:val="2"/>
            <w:shd w:val="clear" w:color="auto" w:fill="E6F2FF"/>
            <w:noWrap/>
          </w:tcPr>
          <w:p w14:paraId="58BA2C18" w14:textId="77777777" w:rsidR="0023618C" w:rsidRPr="00F734D4" w:rsidRDefault="0023618C">
            <w:pPr>
              <w:pStyle w:val="TableColumnHeadingLeft"/>
              <w:rPr>
                <w:rFonts w:eastAsia="Calibri"/>
              </w:rPr>
            </w:pPr>
            <w:r w:rsidRPr="00F734D4">
              <w:rPr>
                <w:rFonts w:eastAsia="Arial"/>
              </w:rPr>
              <w:t>Contingent liabilities – unquantifiable</w:t>
            </w:r>
          </w:p>
        </w:tc>
        <w:tc>
          <w:tcPr>
            <w:tcW w:w="741" w:type="pct"/>
            <w:shd w:val="clear" w:color="auto" w:fill="E6F2FF"/>
            <w:noWrap/>
          </w:tcPr>
          <w:p w14:paraId="793A8A81" w14:textId="77777777" w:rsidR="0023618C" w:rsidRPr="00F734D4" w:rsidRDefault="0023618C">
            <w:pPr>
              <w:pStyle w:val="TableTextLeft"/>
            </w:pPr>
          </w:p>
        </w:tc>
      </w:tr>
      <w:tr w:rsidR="0023618C" w:rsidRPr="00F734D4" w14:paraId="338450F9" w14:textId="77777777">
        <w:trPr>
          <w:trHeight w:val="228"/>
        </w:trPr>
        <w:tc>
          <w:tcPr>
            <w:tcW w:w="4259" w:type="pct"/>
            <w:gridSpan w:val="2"/>
            <w:shd w:val="clear" w:color="auto" w:fill="auto"/>
            <w:noWrap/>
          </w:tcPr>
          <w:p w14:paraId="1C9E3772" w14:textId="77777777" w:rsidR="0023618C" w:rsidRPr="00F734D4" w:rsidRDefault="0023618C">
            <w:pPr>
              <w:pStyle w:val="TableTextLeft-Indent"/>
              <w:spacing w:after="0"/>
            </w:pPr>
            <w:r w:rsidRPr="00F734D4">
              <w:t>Australian victims of terrorism overseas payment</w:t>
            </w:r>
          </w:p>
        </w:tc>
        <w:tc>
          <w:tcPr>
            <w:tcW w:w="741" w:type="pct"/>
            <w:shd w:val="clear" w:color="auto" w:fill="auto"/>
            <w:noWrap/>
          </w:tcPr>
          <w:p w14:paraId="7CC1D7E4" w14:textId="77777777" w:rsidR="0023618C" w:rsidRPr="00F734D4" w:rsidRDefault="0023618C">
            <w:pPr>
              <w:pStyle w:val="TableTextLeft"/>
            </w:pPr>
            <w:r w:rsidRPr="00F734D4">
              <w:t>Unchanged</w:t>
            </w:r>
          </w:p>
        </w:tc>
      </w:tr>
      <w:tr w:rsidR="0023618C" w:rsidRPr="00F734D4" w14:paraId="16DD0141" w14:textId="77777777">
        <w:trPr>
          <w:trHeight w:val="163"/>
        </w:trPr>
        <w:tc>
          <w:tcPr>
            <w:tcW w:w="4259" w:type="pct"/>
            <w:gridSpan w:val="2"/>
            <w:shd w:val="clear" w:color="auto" w:fill="auto"/>
            <w:noWrap/>
          </w:tcPr>
          <w:p w14:paraId="76231FC5" w14:textId="77777777" w:rsidR="0023618C" w:rsidRPr="00F734D4" w:rsidRDefault="0023618C">
            <w:pPr>
              <w:pStyle w:val="TableTextLeft-Indent"/>
              <w:spacing w:after="0"/>
            </w:pPr>
            <w:r>
              <w:rPr>
                <w:rFonts w:cs="Arial"/>
              </w:rPr>
              <w:t>Commonwealth Community Safety Order Scheme – Federation Funding Agreement – indemnity</w:t>
            </w:r>
          </w:p>
        </w:tc>
        <w:tc>
          <w:tcPr>
            <w:tcW w:w="741" w:type="pct"/>
            <w:shd w:val="clear" w:color="auto" w:fill="auto"/>
            <w:noWrap/>
          </w:tcPr>
          <w:p w14:paraId="3C86B510" w14:textId="0789496C" w:rsidR="0023618C" w:rsidRPr="00F734D4" w:rsidRDefault="0037454D">
            <w:pPr>
              <w:pStyle w:val="TableTextLeft"/>
            </w:pPr>
            <w:r>
              <w:rPr>
                <w:rFonts w:eastAsia="Arial" w:cs="Arial"/>
              </w:rPr>
              <w:t xml:space="preserve">Unchanged </w:t>
            </w:r>
          </w:p>
        </w:tc>
      </w:tr>
      <w:tr w:rsidR="0023618C" w:rsidRPr="00F734D4" w14:paraId="6908387B" w14:textId="77777777">
        <w:trPr>
          <w:trHeight w:val="228"/>
        </w:trPr>
        <w:tc>
          <w:tcPr>
            <w:tcW w:w="4259" w:type="pct"/>
            <w:gridSpan w:val="2"/>
            <w:shd w:val="clear" w:color="auto" w:fill="auto"/>
            <w:noWrap/>
          </w:tcPr>
          <w:p w14:paraId="3785D74E" w14:textId="77777777" w:rsidR="0023618C" w:rsidRPr="00F734D4" w:rsidRDefault="0023618C">
            <w:pPr>
              <w:pStyle w:val="TableTextLeft-Indent"/>
              <w:spacing w:after="0"/>
            </w:pPr>
            <w:r w:rsidRPr="00F734D4">
              <w:t xml:space="preserve">Disaster </w:t>
            </w:r>
            <w:r>
              <w:t>R</w:t>
            </w:r>
            <w:r w:rsidRPr="00F734D4">
              <w:t>ecovery</w:t>
            </w:r>
          </w:p>
        </w:tc>
        <w:tc>
          <w:tcPr>
            <w:tcW w:w="741" w:type="pct"/>
            <w:shd w:val="clear" w:color="auto" w:fill="auto"/>
            <w:noWrap/>
          </w:tcPr>
          <w:p w14:paraId="24A1AA1F" w14:textId="38D25A4C" w:rsidR="0023618C" w:rsidRPr="00F734D4" w:rsidRDefault="00624323">
            <w:pPr>
              <w:pStyle w:val="TableTextLeft"/>
            </w:pPr>
            <w:r>
              <w:rPr>
                <w:rFonts w:eastAsia="Arial" w:cs="Arial"/>
              </w:rPr>
              <w:t>Modified</w:t>
            </w:r>
          </w:p>
        </w:tc>
      </w:tr>
      <w:tr w:rsidR="0023618C" w:rsidRPr="00F734D4" w14:paraId="3B58C9F1" w14:textId="77777777">
        <w:trPr>
          <w:trHeight w:val="228"/>
        </w:trPr>
        <w:tc>
          <w:tcPr>
            <w:tcW w:w="4259" w:type="pct"/>
            <w:gridSpan w:val="2"/>
            <w:shd w:val="clear" w:color="auto" w:fill="auto"/>
            <w:noWrap/>
          </w:tcPr>
          <w:p w14:paraId="7B6BC2FC" w14:textId="77777777" w:rsidR="0023618C" w:rsidRPr="00F734D4" w:rsidRDefault="0023618C">
            <w:pPr>
              <w:pStyle w:val="TableTextLeft-Indent"/>
              <w:spacing w:after="0"/>
              <w:rPr>
                <w:rFonts w:cs="Arial"/>
              </w:rPr>
            </w:pPr>
            <w:r>
              <w:t>Facilities, g</w:t>
            </w:r>
            <w:r w:rsidRPr="00F734D4">
              <w:t xml:space="preserve">arrison, </w:t>
            </w:r>
            <w:r>
              <w:t xml:space="preserve">transferee arrivals and receptions, </w:t>
            </w:r>
            <w:r w:rsidRPr="00F734D4">
              <w:t>and health services</w:t>
            </w:r>
            <w:r>
              <w:t xml:space="preserve"> in the Republic of Nauru</w:t>
            </w:r>
            <w:r w:rsidRPr="00F734D4">
              <w:t xml:space="preserve"> – liability limit</w:t>
            </w:r>
          </w:p>
        </w:tc>
        <w:tc>
          <w:tcPr>
            <w:tcW w:w="741" w:type="pct"/>
            <w:shd w:val="clear" w:color="auto" w:fill="auto"/>
            <w:noWrap/>
          </w:tcPr>
          <w:p w14:paraId="70244ADC" w14:textId="77777777" w:rsidR="0023618C" w:rsidRPr="00F734D4" w:rsidRDefault="0023618C">
            <w:pPr>
              <w:pStyle w:val="TableTextLeft"/>
            </w:pPr>
            <w:r>
              <w:rPr>
                <w:rFonts w:eastAsia="Arial" w:cs="Arial"/>
              </w:rPr>
              <w:t>Unchanged</w:t>
            </w:r>
          </w:p>
        </w:tc>
      </w:tr>
      <w:tr w:rsidR="0023618C" w:rsidRPr="00F734D4" w14:paraId="57953C51" w14:textId="77777777">
        <w:trPr>
          <w:trHeight w:val="228"/>
        </w:trPr>
        <w:tc>
          <w:tcPr>
            <w:tcW w:w="4259" w:type="pct"/>
            <w:gridSpan w:val="2"/>
            <w:shd w:val="clear" w:color="auto" w:fill="auto"/>
            <w:noWrap/>
          </w:tcPr>
          <w:p w14:paraId="5847EB4E" w14:textId="77777777" w:rsidR="0023618C" w:rsidRPr="00F734D4" w:rsidRDefault="0023618C">
            <w:pPr>
              <w:pStyle w:val="TableTextLeft-Indent"/>
              <w:spacing w:after="0"/>
              <w:rPr>
                <w:rFonts w:cs="Arial"/>
              </w:rPr>
            </w:pPr>
            <w:r w:rsidRPr="00F734D4">
              <w:rPr>
                <w:rFonts w:cs="Arial"/>
              </w:rPr>
              <w:t>Immigration detention services by state and territory governments – liability limit</w:t>
            </w:r>
          </w:p>
        </w:tc>
        <w:tc>
          <w:tcPr>
            <w:tcW w:w="741" w:type="pct"/>
            <w:shd w:val="clear" w:color="auto" w:fill="auto"/>
            <w:noWrap/>
          </w:tcPr>
          <w:p w14:paraId="5A1AF77C" w14:textId="77777777" w:rsidR="0023618C" w:rsidRPr="00F734D4" w:rsidRDefault="0023618C">
            <w:pPr>
              <w:pStyle w:val="TableTextLeft"/>
            </w:pPr>
            <w:r>
              <w:rPr>
                <w:rFonts w:eastAsia="Arial" w:cs="Arial"/>
              </w:rPr>
              <w:t>Unchanged</w:t>
            </w:r>
          </w:p>
        </w:tc>
      </w:tr>
      <w:tr w:rsidR="0023618C" w:rsidRPr="00F734D4" w14:paraId="584C3569" w14:textId="77777777">
        <w:trPr>
          <w:trHeight w:val="228"/>
        </w:trPr>
        <w:tc>
          <w:tcPr>
            <w:tcW w:w="4259" w:type="pct"/>
            <w:gridSpan w:val="2"/>
            <w:shd w:val="clear" w:color="auto" w:fill="auto"/>
            <w:noWrap/>
          </w:tcPr>
          <w:p w14:paraId="7964CACB" w14:textId="77777777" w:rsidR="0023618C" w:rsidRPr="00F734D4" w:rsidRDefault="0023618C">
            <w:pPr>
              <w:pStyle w:val="TableTextLeft-Indent"/>
              <w:spacing w:after="0"/>
              <w:rPr>
                <w:rFonts w:cs="Arial"/>
              </w:rPr>
            </w:pPr>
            <w:r w:rsidRPr="00F734D4">
              <w:rPr>
                <w:rFonts w:cs="Arial"/>
              </w:rPr>
              <w:t>Immigration detention services contract</w:t>
            </w:r>
            <w:r>
              <w:rPr>
                <w:rFonts w:cs="Arial"/>
              </w:rPr>
              <w:t xml:space="preserve"> (Secure Journeys)</w:t>
            </w:r>
            <w:r w:rsidRPr="00F734D4">
              <w:rPr>
                <w:rFonts w:cs="Arial"/>
              </w:rPr>
              <w:t xml:space="preserve"> – liability limit</w:t>
            </w:r>
          </w:p>
        </w:tc>
        <w:tc>
          <w:tcPr>
            <w:tcW w:w="741" w:type="pct"/>
            <w:shd w:val="clear" w:color="auto" w:fill="auto"/>
            <w:noWrap/>
          </w:tcPr>
          <w:p w14:paraId="2AC4BB25" w14:textId="77C9267C" w:rsidR="0023618C" w:rsidRDefault="00604DF5">
            <w:pPr>
              <w:pStyle w:val="TableTextLeft"/>
              <w:rPr>
                <w:rFonts w:eastAsia="Arial" w:cs="Arial"/>
              </w:rPr>
            </w:pPr>
            <w:r>
              <w:rPr>
                <w:rFonts w:eastAsia="Arial" w:cs="Arial"/>
              </w:rPr>
              <w:t xml:space="preserve">Unchanged </w:t>
            </w:r>
          </w:p>
        </w:tc>
      </w:tr>
      <w:tr w:rsidR="00604DF5" w:rsidRPr="00F734D4" w14:paraId="6D8BC637" w14:textId="77777777" w:rsidTr="00D827E9">
        <w:trPr>
          <w:trHeight w:val="228"/>
        </w:trPr>
        <w:tc>
          <w:tcPr>
            <w:tcW w:w="4259" w:type="pct"/>
            <w:gridSpan w:val="2"/>
            <w:shd w:val="clear" w:color="auto" w:fill="auto"/>
            <w:noWrap/>
          </w:tcPr>
          <w:p w14:paraId="287584F9" w14:textId="5911C66E" w:rsidR="00604DF5" w:rsidRPr="00F734D4" w:rsidRDefault="00604DF5" w:rsidP="00604DF5">
            <w:pPr>
              <w:pStyle w:val="TableTextLeft-Indent"/>
              <w:spacing w:after="0"/>
              <w:rPr>
                <w:rFonts w:cs="Arial"/>
              </w:rPr>
            </w:pPr>
            <w:r w:rsidRPr="00F734D4">
              <w:rPr>
                <w:rFonts w:cs="Arial"/>
              </w:rPr>
              <w:t>Immigration detention services contract</w:t>
            </w:r>
            <w:r>
              <w:rPr>
                <w:rFonts w:cs="Arial"/>
              </w:rPr>
              <w:t xml:space="preserve"> (Serco)</w:t>
            </w:r>
            <w:r w:rsidRPr="00F734D4">
              <w:rPr>
                <w:rFonts w:cs="Arial"/>
              </w:rPr>
              <w:t xml:space="preserve"> – liability limit</w:t>
            </w:r>
          </w:p>
        </w:tc>
        <w:tc>
          <w:tcPr>
            <w:tcW w:w="741" w:type="pct"/>
            <w:shd w:val="clear" w:color="auto" w:fill="auto"/>
            <w:noWrap/>
          </w:tcPr>
          <w:p w14:paraId="3F7B056C" w14:textId="710DD166" w:rsidR="00604DF5" w:rsidRDefault="00604DF5" w:rsidP="00604DF5">
            <w:pPr>
              <w:pStyle w:val="TableTextLeft"/>
              <w:rPr>
                <w:rFonts w:eastAsia="Arial" w:cs="Arial"/>
              </w:rPr>
            </w:pPr>
            <w:r>
              <w:rPr>
                <w:rFonts w:eastAsia="Arial" w:cs="Arial"/>
              </w:rPr>
              <w:t xml:space="preserve">Unchanged </w:t>
            </w:r>
          </w:p>
        </w:tc>
      </w:tr>
      <w:tr w:rsidR="0023618C" w:rsidRPr="00F734D4" w14:paraId="3A0A0D8B" w14:textId="77777777">
        <w:trPr>
          <w:trHeight w:val="228"/>
        </w:trPr>
        <w:tc>
          <w:tcPr>
            <w:tcW w:w="4259" w:type="pct"/>
            <w:gridSpan w:val="2"/>
            <w:shd w:val="clear" w:color="auto" w:fill="E6F2FF"/>
            <w:noWrap/>
          </w:tcPr>
          <w:p w14:paraId="7EA9D51B" w14:textId="77777777" w:rsidR="0023618C" w:rsidRPr="00F734D4" w:rsidRDefault="0023618C">
            <w:pPr>
              <w:pStyle w:val="TableColumnHeadingLeft"/>
              <w:rPr>
                <w:rFonts w:cs="Arial"/>
              </w:rPr>
            </w:pPr>
            <w:r w:rsidRPr="00F734D4">
              <w:t>Industry, Science and Resources</w:t>
            </w:r>
          </w:p>
        </w:tc>
        <w:tc>
          <w:tcPr>
            <w:tcW w:w="741" w:type="pct"/>
            <w:shd w:val="clear" w:color="auto" w:fill="E6F2FF"/>
            <w:noWrap/>
          </w:tcPr>
          <w:p w14:paraId="54617673" w14:textId="77777777" w:rsidR="0023618C" w:rsidRPr="00F734D4" w:rsidRDefault="0023618C">
            <w:pPr>
              <w:pStyle w:val="TableColumnHeadingLeft"/>
            </w:pPr>
            <w:r w:rsidRPr="00F734D4">
              <w:t>Status</w:t>
            </w:r>
          </w:p>
        </w:tc>
      </w:tr>
      <w:tr w:rsidR="0023618C" w:rsidRPr="00F734D4" w14:paraId="6710D3D7" w14:textId="77777777">
        <w:trPr>
          <w:trHeight w:val="228"/>
        </w:trPr>
        <w:tc>
          <w:tcPr>
            <w:tcW w:w="4259" w:type="pct"/>
            <w:gridSpan w:val="2"/>
            <w:shd w:val="clear" w:color="auto" w:fill="E6F2FF"/>
            <w:noWrap/>
          </w:tcPr>
          <w:p w14:paraId="2EB65953" w14:textId="39865E2F" w:rsidR="0023618C" w:rsidRPr="00F734D4" w:rsidRDefault="0023618C">
            <w:pPr>
              <w:pStyle w:val="TableColumnHeadingLeft"/>
            </w:pPr>
            <w:r w:rsidRPr="00F734D4">
              <w:rPr>
                <w:rFonts w:eastAsia="Arial"/>
              </w:rPr>
              <w:t xml:space="preserve">Fiscal </w:t>
            </w:r>
            <w:r w:rsidR="00604DF5" w:rsidRPr="00F734D4">
              <w:rPr>
                <w:rFonts w:eastAsia="Arial"/>
              </w:rPr>
              <w:t>Risk</w:t>
            </w:r>
            <w:r w:rsidR="00571775">
              <w:rPr>
                <w:rFonts w:eastAsia="Arial"/>
              </w:rPr>
              <w:t>s</w:t>
            </w:r>
          </w:p>
        </w:tc>
        <w:tc>
          <w:tcPr>
            <w:tcW w:w="741" w:type="pct"/>
            <w:shd w:val="clear" w:color="auto" w:fill="E6F2FF"/>
            <w:noWrap/>
          </w:tcPr>
          <w:p w14:paraId="248D981A" w14:textId="77777777" w:rsidR="0023618C" w:rsidRPr="00F734D4" w:rsidRDefault="0023618C">
            <w:pPr>
              <w:pStyle w:val="TableTextLeft"/>
            </w:pPr>
          </w:p>
        </w:tc>
      </w:tr>
      <w:tr w:rsidR="00571775" w:rsidRPr="00F734D4" w14:paraId="2AA12F2B" w14:textId="77777777">
        <w:trPr>
          <w:trHeight w:val="228"/>
        </w:trPr>
        <w:tc>
          <w:tcPr>
            <w:tcW w:w="4259" w:type="pct"/>
            <w:gridSpan w:val="2"/>
            <w:noWrap/>
          </w:tcPr>
          <w:p w14:paraId="573B5B05" w14:textId="386CD196" w:rsidR="00571775" w:rsidRPr="00F734D4" w:rsidRDefault="00DD3661" w:rsidP="00604DF5">
            <w:pPr>
              <w:pStyle w:val="TableTextLeft-Indent"/>
              <w:spacing w:after="0"/>
              <w:rPr>
                <w:rFonts w:cs="Arial"/>
              </w:rPr>
            </w:pPr>
            <w:r>
              <w:rPr>
                <w:rFonts w:cs="Arial"/>
              </w:rPr>
              <w:t xml:space="preserve">Government support for Whyalla Steelworks </w:t>
            </w:r>
          </w:p>
        </w:tc>
        <w:tc>
          <w:tcPr>
            <w:tcW w:w="741" w:type="pct"/>
            <w:noWrap/>
          </w:tcPr>
          <w:p w14:paraId="1B1FB64C" w14:textId="65BB99F5" w:rsidR="00571775" w:rsidRPr="00F734D4" w:rsidRDefault="00DD3661" w:rsidP="00604DF5">
            <w:pPr>
              <w:pStyle w:val="TableTextLeft"/>
              <w:rPr>
                <w:rFonts w:eastAsia="Arial" w:cs="Arial"/>
              </w:rPr>
            </w:pPr>
            <w:r>
              <w:rPr>
                <w:rFonts w:eastAsia="Arial" w:cs="Arial"/>
              </w:rPr>
              <w:t>New</w:t>
            </w:r>
          </w:p>
        </w:tc>
      </w:tr>
      <w:tr w:rsidR="0023618C" w:rsidRPr="00F734D4" w14:paraId="3FDDE81E" w14:textId="77777777">
        <w:trPr>
          <w:trHeight w:val="228"/>
        </w:trPr>
        <w:tc>
          <w:tcPr>
            <w:tcW w:w="4259" w:type="pct"/>
            <w:gridSpan w:val="2"/>
            <w:noWrap/>
          </w:tcPr>
          <w:p w14:paraId="0B9BDA5E" w14:textId="77777777" w:rsidR="0023618C" w:rsidRPr="00F734D4" w:rsidRDefault="0023618C">
            <w:pPr>
              <w:pStyle w:val="TableTextLeft-Indent"/>
              <w:spacing w:after="0"/>
              <w:rPr>
                <w:rFonts w:cs="Arial"/>
              </w:rPr>
            </w:pPr>
            <w:r w:rsidRPr="00F734D4">
              <w:rPr>
                <w:rFonts w:cs="Arial"/>
              </w:rPr>
              <w:t>Rehabilitation of the Ranger Uranium Mine</w:t>
            </w:r>
          </w:p>
        </w:tc>
        <w:tc>
          <w:tcPr>
            <w:tcW w:w="741" w:type="pct"/>
            <w:noWrap/>
          </w:tcPr>
          <w:p w14:paraId="7514F3E7" w14:textId="77777777" w:rsidR="0023618C" w:rsidRPr="00F734D4" w:rsidRDefault="0023618C">
            <w:pPr>
              <w:pStyle w:val="TableTextLeft"/>
            </w:pPr>
            <w:r w:rsidRPr="00F734D4">
              <w:rPr>
                <w:rFonts w:eastAsia="Arial" w:cs="Arial"/>
              </w:rPr>
              <w:t>Unchanged</w:t>
            </w:r>
          </w:p>
        </w:tc>
      </w:tr>
      <w:tr w:rsidR="0023618C" w:rsidRPr="00F734D4" w14:paraId="2F42DF35" w14:textId="77777777">
        <w:trPr>
          <w:trHeight w:val="228"/>
        </w:trPr>
        <w:tc>
          <w:tcPr>
            <w:tcW w:w="4259" w:type="pct"/>
            <w:gridSpan w:val="2"/>
            <w:shd w:val="clear" w:color="auto" w:fill="E6F2FF"/>
            <w:noWrap/>
          </w:tcPr>
          <w:p w14:paraId="3F1EA2D6" w14:textId="77777777" w:rsidR="0023618C" w:rsidRPr="00F734D4" w:rsidRDefault="0023618C">
            <w:pPr>
              <w:pStyle w:val="TableColumnHeadingLeft"/>
            </w:pPr>
            <w:r w:rsidRPr="00F734D4">
              <w:rPr>
                <w:rFonts w:eastAsia="Arial"/>
              </w:rPr>
              <w:t>Significant but remote contingencies</w:t>
            </w:r>
          </w:p>
        </w:tc>
        <w:tc>
          <w:tcPr>
            <w:tcW w:w="741" w:type="pct"/>
            <w:shd w:val="clear" w:color="auto" w:fill="E6F2FF"/>
            <w:noWrap/>
          </w:tcPr>
          <w:p w14:paraId="1559C0B7" w14:textId="77777777" w:rsidR="0023618C" w:rsidRPr="00F734D4" w:rsidRDefault="0023618C">
            <w:pPr>
              <w:pStyle w:val="TableTextLeft"/>
            </w:pPr>
          </w:p>
        </w:tc>
      </w:tr>
      <w:tr w:rsidR="0023618C" w:rsidRPr="00F734D4" w14:paraId="7366E15B" w14:textId="77777777">
        <w:trPr>
          <w:trHeight w:val="228"/>
        </w:trPr>
        <w:tc>
          <w:tcPr>
            <w:tcW w:w="4259" w:type="pct"/>
            <w:gridSpan w:val="2"/>
            <w:noWrap/>
          </w:tcPr>
          <w:p w14:paraId="3379CCF8" w14:textId="4CFA7F46" w:rsidR="0023618C" w:rsidRPr="00F734D4" w:rsidRDefault="0023618C">
            <w:pPr>
              <w:pStyle w:val="TableTextLeft-Indent"/>
              <w:spacing w:after="0"/>
            </w:pPr>
            <w:r w:rsidRPr="00F734D4">
              <w:t>Liability for damages caused by space and certain high</w:t>
            </w:r>
            <w:r w:rsidR="00D23095">
              <w:noBreakHyphen/>
            </w:r>
            <w:r w:rsidRPr="00F734D4">
              <w:t>power rocket activities</w:t>
            </w:r>
          </w:p>
        </w:tc>
        <w:tc>
          <w:tcPr>
            <w:tcW w:w="741" w:type="pct"/>
            <w:noWrap/>
          </w:tcPr>
          <w:p w14:paraId="62B92254" w14:textId="77777777" w:rsidR="0023618C" w:rsidRPr="00F734D4" w:rsidRDefault="0023618C">
            <w:pPr>
              <w:pStyle w:val="TableTextLeft"/>
            </w:pPr>
            <w:r w:rsidRPr="00F734D4">
              <w:rPr>
                <w:rFonts w:eastAsia="Arial" w:cs="Arial"/>
              </w:rPr>
              <w:t>Unchanged</w:t>
            </w:r>
          </w:p>
        </w:tc>
      </w:tr>
      <w:tr w:rsidR="0023618C" w:rsidRPr="00F734D4" w14:paraId="66CE557F" w14:textId="77777777">
        <w:trPr>
          <w:trHeight w:val="228"/>
        </w:trPr>
        <w:tc>
          <w:tcPr>
            <w:tcW w:w="4259" w:type="pct"/>
            <w:gridSpan w:val="2"/>
            <w:noWrap/>
          </w:tcPr>
          <w:p w14:paraId="4CE04F07" w14:textId="77777777" w:rsidR="0023618C" w:rsidRPr="00F734D4" w:rsidRDefault="0023618C">
            <w:pPr>
              <w:pStyle w:val="TableTextLeft-Indent"/>
              <w:spacing w:after="0"/>
            </w:pPr>
            <w:r w:rsidRPr="00F734D4">
              <w:t>Operations and maintenance of the Northern Endeavour and associated infrastructure</w:t>
            </w:r>
          </w:p>
        </w:tc>
        <w:tc>
          <w:tcPr>
            <w:tcW w:w="741" w:type="pct"/>
            <w:noWrap/>
          </w:tcPr>
          <w:p w14:paraId="544499D5" w14:textId="257F9C2B" w:rsidR="0023618C" w:rsidRPr="00F734D4" w:rsidRDefault="009513DC">
            <w:pPr>
              <w:pStyle w:val="TableTextLeft"/>
            </w:pPr>
            <w:r>
              <w:t>Unchanged</w:t>
            </w:r>
          </w:p>
        </w:tc>
      </w:tr>
      <w:tr w:rsidR="0023618C" w:rsidRPr="00F734D4" w14:paraId="3B1101EC" w14:textId="77777777">
        <w:trPr>
          <w:trHeight w:val="228"/>
        </w:trPr>
        <w:tc>
          <w:tcPr>
            <w:tcW w:w="4259" w:type="pct"/>
            <w:gridSpan w:val="2"/>
            <w:shd w:val="clear" w:color="auto" w:fill="E6F2FF"/>
            <w:noWrap/>
          </w:tcPr>
          <w:p w14:paraId="14B2D02B" w14:textId="77777777" w:rsidR="0023618C" w:rsidRPr="00F734D4" w:rsidRDefault="0023618C">
            <w:pPr>
              <w:pStyle w:val="TableColumnHeadingLeft"/>
            </w:pPr>
            <w:r w:rsidRPr="00F734D4">
              <w:rPr>
                <w:rFonts w:eastAsia="Arial"/>
              </w:rPr>
              <w:t>Contingent liabilities – unquantifiable</w:t>
            </w:r>
          </w:p>
        </w:tc>
        <w:tc>
          <w:tcPr>
            <w:tcW w:w="741" w:type="pct"/>
            <w:shd w:val="clear" w:color="auto" w:fill="E6F2FF"/>
            <w:noWrap/>
          </w:tcPr>
          <w:p w14:paraId="2AE8ABBB" w14:textId="77777777" w:rsidR="0023618C" w:rsidRPr="00F734D4" w:rsidRDefault="0023618C">
            <w:pPr>
              <w:pStyle w:val="TableTextLeft"/>
            </w:pPr>
          </w:p>
        </w:tc>
      </w:tr>
      <w:tr w:rsidR="0023618C" w:rsidRPr="00F734D4" w14:paraId="14440DFD" w14:textId="77777777">
        <w:trPr>
          <w:trHeight w:val="228"/>
        </w:trPr>
        <w:tc>
          <w:tcPr>
            <w:tcW w:w="4259" w:type="pct"/>
            <w:gridSpan w:val="2"/>
            <w:noWrap/>
          </w:tcPr>
          <w:p w14:paraId="16837E2C" w14:textId="77777777" w:rsidR="0023618C" w:rsidRPr="00F734D4" w:rsidRDefault="0023618C">
            <w:pPr>
              <w:pStyle w:val="TableTextLeft-Indent"/>
              <w:spacing w:after="0"/>
              <w:rPr>
                <w:rFonts w:cs="Arial"/>
              </w:rPr>
            </w:pPr>
            <w:r w:rsidRPr="00F734D4">
              <w:t>Australian Nuclear Science and Technology Organisation – asbestos contamination</w:t>
            </w:r>
          </w:p>
        </w:tc>
        <w:tc>
          <w:tcPr>
            <w:tcW w:w="741" w:type="pct"/>
            <w:noWrap/>
          </w:tcPr>
          <w:p w14:paraId="4D8C23BE" w14:textId="77777777" w:rsidR="0023618C" w:rsidRPr="00F734D4" w:rsidRDefault="0023618C">
            <w:pPr>
              <w:pStyle w:val="TableTextLeft"/>
            </w:pPr>
            <w:r w:rsidRPr="00F734D4">
              <w:t>Unchanged</w:t>
            </w:r>
          </w:p>
        </w:tc>
      </w:tr>
      <w:tr w:rsidR="0023618C" w:rsidRPr="00F734D4" w14:paraId="15C25012" w14:textId="77777777">
        <w:trPr>
          <w:trHeight w:val="228"/>
        </w:trPr>
        <w:tc>
          <w:tcPr>
            <w:tcW w:w="4259" w:type="pct"/>
            <w:gridSpan w:val="2"/>
            <w:noWrap/>
          </w:tcPr>
          <w:p w14:paraId="11D94DD9" w14:textId="77777777" w:rsidR="0023618C" w:rsidRPr="00F734D4" w:rsidRDefault="0023618C">
            <w:pPr>
              <w:pStyle w:val="TableTextLeft-Indent"/>
              <w:spacing w:after="0"/>
              <w:rPr>
                <w:rFonts w:cs="Arial"/>
              </w:rPr>
            </w:pPr>
            <w:r w:rsidRPr="00F734D4">
              <w:t>Australian Nuclear Science and Technology Organisation – indemnity</w:t>
            </w:r>
          </w:p>
        </w:tc>
        <w:tc>
          <w:tcPr>
            <w:tcW w:w="741" w:type="pct"/>
            <w:noWrap/>
          </w:tcPr>
          <w:p w14:paraId="588C3461" w14:textId="2B96E87A" w:rsidR="0023618C" w:rsidRPr="00F734D4" w:rsidRDefault="00E06DDD">
            <w:pPr>
              <w:pStyle w:val="TableTextLeft"/>
            </w:pPr>
            <w:r>
              <w:t>Modified</w:t>
            </w:r>
          </w:p>
        </w:tc>
      </w:tr>
      <w:tr w:rsidR="0023618C" w:rsidRPr="00F734D4" w14:paraId="1BC1D753" w14:textId="77777777">
        <w:trPr>
          <w:trHeight w:val="228"/>
        </w:trPr>
        <w:tc>
          <w:tcPr>
            <w:tcW w:w="4259" w:type="pct"/>
            <w:gridSpan w:val="2"/>
            <w:noWrap/>
          </w:tcPr>
          <w:p w14:paraId="5A868C6B" w14:textId="77777777" w:rsidR="0023618C" w:rsidRPr="00F734D4" w:rsidRDefault="0023618C">
            <w:pPr>
              <w:pStyle w:val="TableTextLeft-Indent"/>
              <w:spacing w:after="0"/>
              <w:rPr>
                <w:rFonts w:cs="Arial"/>
              </w:rPr>
            </w:pPr>
            <w:r w:rsidRPr="00F734D4">
              <w:t xml:space="preserve">Australian Nuclear Science and Technology Organisation – legacy waste management to final disposal </w:t>
            </w:r>
          </w:p>
        </w:tc>
        <w:tc>
          <w:tcPr>
            <w:tcW w:w="741" w:type="pct"/>
            <w:noWrap/>
          </w:tcPr>
          <w:p w14:paraId="76C5C274" w14:textId="7BB40EBB" w:rsidR="0023618C" w:rsidRPr="00F734D4" w:rsidRDefault="0023618C">
            <w:pPr>
              <w:pStyle w:val="TableTextLeft"/>
            </w:pPr>
            <w:r w:rsidRPr="00F734D4">
              <w:t>Unchanged</w:t>
            </w:r>
          </w:p>
        </w:tc>
      </w:tr>
      <w:tr w:rsidR="0023618C" w:rsidRPr="00F734D4" w14:paraId="34AA4BE2" w14:textId="77777777">
        <w:trPr>
          <w:trHeight w:val="228"/>
        </w:trPr>
        <w:tc>
          <w:tcPr>
            <w:tcW w:w="4259" w:type="pct"/>
            <w:gridSpan w:val="2"/>
            <w:noWrap/>
          </w:tcPr>
          <w:p w14:paraId="766E564D" w14:textId="77777777" w:rsidR="0023618C" w:rsidRPr="00F734D4" w:rsidRDefault="0023618C">
            <w:pPr>
              <w:pStyle w:val="TableTextLeft-Indent"/>
              <w:spacing w:after="0"/>
              <w:rPr>
                <w:rFonts w:cs="Arial"/>
              </w:rPr>
            </w:pPr>
            <w:r w:rsidRPr="00F734D4">
              <w:t>Former British atomic test site at Maralinga</w:t>
            </w:r>
          </w:p>
        </w:tc>
        <w:tc>
          <w:tcPr>
            <w:tcW w:w="741" w:type="pct"/>
            <w:noWrap/>
          </w:tcPr>
          <w:p w14:paraId="01F1CF4C" w14:textId="77777777" w:rsidR="0023618C" w:rsidRPr="00F734D4" w:rsidRDefault="0023618C">
            <w:pPr>
              <w:pStyle w:val="TableTextLeft"/>
            </w:pPr>
            <w:r w:rsidRPr="00F734D4">
              <w:rPr>
                <w:rFonts w:eastAsia="Arial" w:cs="Arial"/>
              </w:rPr>
              <w:t>Unchanged</w:t>
            </w:r>
          </w:p>
        </w:tc>
      </w:tr>
      <w:tr w:rsidR="0023618C" w:rsidRPr="00F734D4" w14:paraId="521DDB31" w14:textId="77777777">
        <w:trPr>
          <w:trHeight w:val="228"/>
        </w:trPr>
        <w:tc>
          <w:tcPr>
            <w:tcW w:w="4259" w:type="pct"/>
            <w:gridSpan w:val="2"/>
            <w:noWrap/>
          </w:tcPr>
          <w:p w14:paraId="042DFC91" w14:textId="77777777" w:rsidR="0023618C" w:rsidRPr="00F734D4" w:rsidRDefault="0023618C">
            <w:pPr>
              <w:pStyle w:val="TableTextLeft-Indent"/>
              <w:spacing w:after="0"/>
            </w:pPr>
            <w:r w:rsidRPr="00F734D4">
              <w:t>Land decontamination and site restoration for CSIRO property</w:t>
            </w:r>
          </w:p>
        </w:tc>
        <w:tc>
          <w:tcPr>
            <w:tcW w:w="741" w:type="pct"/>
            <w:noWrap/>
          </w:tcPr>
          <w:p w14:paraId="733EFA86" w14:textId="77777777" w:rsidR="0023618C" w:rsidRPr="00F734D4" w:rsidRDefault="0023618C">
            <w:pPr>
              <w:pStyle w:val="TableTextLeft"/>
            </w:pPr>
            <w:r w:rsidRPr="00F734D4">
              <w:t>Unchanged</w:t>
            </w:r>
          </w:p>
        </w:tc>
      </w:tr>
      <w:tr w:rsidR="0023618C" w:rsidRPr="00F734D4" w14:paraId="1D2ED847" w14:textId="77777777">
        <w:trPr>
          <w:trHeight w:val="228"/>
        </w:trPr>
        <w:tc>
          <w:tcPr>
            <w:tcW w:w="4259" w:type="pct"/>
            <w:gridSpan w:val="2"/>
            <w:shd w:val="clear" w:color="auto" w:fill="E6F2FF"/>
            <w:noWrap/>
          </w:tcPr>
          <w:p w14:paraId="5E6ED206" w14:textId="77777777" w:rsidR="0023618C" w:rsidRPr="00F734D4" w:rsidRDefault="0023618C">
            <w:pPr>
              <w:pStyle w:val="TableColumnHeadingLeft"/>
              <w:rPr>
                <w:rFonts w:cs="Arial"/>
              </w:rPr>
            </w:pPr>
            <w:r w:rsidRPr="00F734D4">
              <w:t>Infrastructure, Transport, Regional Development, Communications and the Arts</w:t>
            </w:r>
          </w:p>
        </w:tc>
        <w:tc>
          <w:tcPr>
            <w:tcW w:w="741" w:type="pct"/>
            <w:shd w:val="clear" w:color="auto" w:fill="E6F2FF"/>
            <w:noWrap/>
          </w:tcPr>
          <w:p w14:paraId="5C7C073F" w14:textId="77777777" w:rsidR="0023618C" w:rsidRPr="00F734D4" w:rsidRDefault="0023618C">
            <w:pPr>
              <w:pStyle w:val="TableColumnHeadingLeft"/>
            </w:pPr>
            <w:r w:rsidRPr="00F734D4">
              <w:t>Status</w:t>
            </w:r>
          </w:p>
        </w:tc>
      </w:tr>
      <w:tr w:rsidR="0023618C" w:rsidRPr="00F734D4" w14:paraId="4F815F20" w14:textId="77777777">
        <w:trPr>
          <w:trHeight w:val="228"/>
        </w:trPr>
        <w:tc>
          <w:tcPr>
            <w:tcW w:w="4259" w:type="pct"/>
            <w:gridSpan w:val="2"/>
            <w:shd w:val="clear" w:color="auto" w:fill="E6F2FF"/>
            <w:noWrap/>
          </w:tcPr>
          <w:p w14:paraId="292BCDD9" w14:textId="77777777" w:rsidR="0023618C" w:rsidRPr="00F734D4" w:rsidRDefault="0023618C">
            <w:pPr>
              <w:pStyle w:val="TableColumnHeadingLeft"/>
            </w:pPr>
            <w:r w:rsidRPr="00F734D4">
              <w:rPr>
                <w:rFonts w:eastAsia="Arial"/>
              </w:rPr>
              <w:t>Fiscal Risk</w:t>
            </w:r>
            <w:r>
              <w:rPr>
                <w:rFonts w:eastAsia="Arial"/>
              </w:rPr>
              <w:t>s</w:t>
            </w:r>
          </w:p>
        </w:tc>
        <w:tc>
          <w:tcPr>
            <w:tcW w:w="741" w:type="pct"/>
            <w:shd w:val="clear" w:color="auto" w:fill="E6F2FF"/>
            <w:noWrap/>
          </w:tcPr>
          <w:p w14:paraId="1084BE33" w14:textId="77777777" w:rsidR="0023618C" w:rsidRPr="00F734D4" w:rsidRDefault="0023618C">
            <w:pPr>
              <w:pStyle w:val="TableTextLeft"/>
            </w:pPr>
          </w:p>
        </w:tc>
      </w:tr>
      <w:tr w:rsidR="0023618C" w:rsidRPr="00F734D4" w14:paraId="2D708CAA" w14:textId="77777777">
        <w:trPr>
          <w:trHeight w:val="228"/>
        </w:trPr>
        <w:tc>
          <w:tcPr>
            <w:tcW w:w="4259" w:type="pct"/>
            <w:gridSpan w:val="2"/>
            <w:noWrap/>
          </w:tcPr>
          <w:p w14:paraId="312B3C19" w14:textId="0EE6CE3A" w:rsidR="0023618C" w:rsidRPr="00F734D4" w:rsidRDefault="0023618C">
            <w:pPr>
              <w:pStyle w:val="TableTextLeft-Indent"/>
              <w:spacing w:after="0"/>
            </w:pPr>
            <w:r>
              <w:t>Australia Post</w:t>
            </w:r>
            <w:r w:rsidR="00D23095">
              <w:t>’</w:t>
            </w:r>
            <w:r>
              <w:t>s financial stability</w:t>
            </w:r>
          </w:p>
        </w:tc>
        <w:tc>
          <w:tcPr>
            <w:tcW w:w="741" w:type="pct"/>
            <w:noWrap/>
          </w:tcPr>
          <w:p w14:paraId="62AD4D04" w14:textId="57615567" w:rsidR="0023618C" w:rsidRPr="00F734D4" w:rsidRDefault="008B7308">
            <w:pPr>
              <w:pStyle w:val="TableTextLeft"/>
            </w:pPr>
            <w:r>
              <w:t>Unchanged</w:t>
            </w:r>
          </w:p>
        </w:tc>
      </w:tr>
      <w:tr w:rsidR="0023618C" w:rsidRPr="00F734D4" w14:paraId="649248A8" w14:textId="77777777">
        <w:trPr>
          <w:trHeight w:val="228"/>
        </w:trPr>
        <w:tc>
          <w:tcPr>
            <w:tcW w:w="4259" w:type="pct"/>
            <w:gridSpan w:val="2"/>
            <w:noWrap/>
          </w:tcPr>
          <w:p w14:paraId="51D1130C" w14:textId="77777777" w:rsidR="0023618C" w:rsidRPr="00F734D4" w:rsidRDefault="0023618C">
            <w:pPr>
              <w:pStyle w:val="TableTextLeft-Indent"/>
              <w:spacing w:after="0"/>
            </w:pPr>
            <w:r w:rsidRPr="007F212B">
              <w:t>Infrastructure Investment Program project slippage adjustment</w:t>
            </w:r>
          </w:p>
        </w:tc>
        <w:tc>
          <w:tcPr>
            <w:tcW w:w="741" w:type="pct"/>
            <w:noWrap/>
          </w:tcPr>
          <w:p w14:paraId="5CD4A387" w14:textId="038C5EDD" w:rsidR="0023618C" w:rsidRDefault="001E49D1">
            <w:pPr>
              <w:pStyle w:val="TableTextLeft"/>
            </w:pPr>
            <w:r>
              <w:t>Modified</w:t>
            </w:r>
          </w:p>
        </w:tc>
      </w:tr>
      <w:tr w:rsidR="0023618C" w:rsidRPr="00F734D4" w14:paraId="2DC5CE4C" w14:textId="77777777">
        <w:trPr>
          <w:trHeight w:val="228"/>
        </w:trPr>
        <w:tc>
          <w:tcPr>
            <w:tcW w:w="4259" w:type="pct"/>
            <w:gridSpan w:val="2"/>
            <w:noWrap/>
          </w:tcPr>
          <w:p w14:paraId="5AFA5455" w14:textId="77777777" w:rsidR="0023618C" w:rsidRPr="00F734D4" w:rsidRDefault="0023618C">
            <w:pPr>
              <w:pStyle w:val="TableTextLeft-Indent"/>
              <w:spacing w:after="0"/>
              <w:rPr>
                <w:rFonts w:cs="Arial"/>
              </w:rPr>
            </w:pPr>
            <w:r w:rsidRPr="00F734D4">
              <w:t xml:space="preserve">Inland Rail – delivery </w:t>
            </w:r>
          </w:p>
        </w:tc>
        <w:tc>
          <w:tcPr>
            <w:tcW w:w="741" w:type="pct"/>
            <w:noWrap/>
          </w:tcPr>
          <w:p w14:paraId="50823205" w14:textId="77777777" w:rsidR="0023618C" w:rsidRPr="00F734D4" w:rsidRDefault="0023618C">
            <w:pPr>
              <w:pStyle w:val="TableTextLeft"/>
            </w:pPr>
            <w:r>
              <w:t>Unchanged</w:t>
            </w:r>
          </w:p>
        </w:tc>
      </w:tr>
      <w:tr w:rsidR="00B303AA" w:rsidRPr="00F734D4" w14:paraId="648239A8" w14:textId="77777777">
        <w:trPr>
          <w:trHeight w:val="228"/>
        </w:trPr>
        <w:tc>
          <w:tcPr>
            <w:tcW w:w="4259" w:type="pct"/>
            <w:gridSpan w:val="2"/>
            <w:noWrap/>
          </w:tcPr>
          <w:p w14:paraId="053C9C25" w14:textId="56C9E748" w:rsidR="00B303AA" w:rsidRPr="00F734D4" w:rsidRDefault="00B303AA" w:rsidP="00604DF5">
            <w:pPr>
              <w:pStyle w:val="TableTextLeft-Indent"/>
              <w:spacing w:after="0"/>
            </w:pPr>
            <w:r>
              <w:t>Regional Express Holdings Limited (Administrators Appointed) (Rex)</w:t>
            </w:r>
          </w:p>
        </w:tc>
        <w:tc>
          <w:tcPr>
            <w:tcW w:w="741" w:type="pct"/>
            <w:noWrap/>
          </w:tcPr>
          <w:p w14:paraId="013EE274" w14:textId="5AA75036" w:rsidR="00B303AA" w:rsidRDefault="00B303AA" w:rsidP="00604DF5">
            <w:pPr>
              <w:pStyle w:val="TableTextLeft"/>
            </w:pPr>
            <w:r>
              <w:t>New</w:t>
            </w:r>
          </w:p>
        </w:tc>
      </w:tr>
      <w:tr w:rsidR="0023618C" w:rsidRPr="00F734D4" w14:paraId="33B1CAAD" w14:textId="77777777">
        <w:trPr>
          <w:trHeight w:val="228"/>
        </w:trPr>
        <w:tc>
          <w:tcPr>
            <w:tcW w:w="4259" w:type="pct"/>
            <w:gridSpan w:val="2"/>
            <w:shd w:val="clear" w:color="auto" w:fill="E6F2FF"/>
            <w:noWrap/>
          </w:tcPr>
          <w:p w14:paraId="18880357" w14:textId="77777777" w:rsidR="0023618C" w:rsidRPr="00F734D4" w:rsidRDefault="0023618C">
            <w:pPr>
              <w:pStyle w:val="TableColumnHeadingLeft"/>
            </w:pPr>
            <w:r w:rsidRPr="00F734D4">
              <w:rPr>
                <w:rFonts w:eastAsia="Arial"/>
              </w:rPr>
              <w:t>Significant but remote contingencies</w:t>
            </w:r>
          </w:p>
        </w:tc>
        <w:tc>
          <w:tcPr>
            <w:tcW w:w="741" w:type="pct"/>
            <w:shd w:val="clear" w:color="auto" w:fill="E6F2FF"/>
            <w:noWrap/>
          </w:tcPr>
          <w:p w14:paraId="34F4F041" w14:textId="77777777" w:rsidR="0023618C" w:rsidRPr="00F734D4" w:rsidRDefault="0023618C">
            <w:pPr>
              <w:pStyle w:val="TableTextLeft"/>
            </w:pPr>
          </w:p>
        </w:tc>
      </w:tr>
      <w:tr w:rsidR="0023618C" w:rsidRPr="00F734D4" w14:paraId="1EE63996" w14:textId="77777777">
        <w:trPr>
          <w:trHeight w:val="228"/>
        </w:trPr>
        <w:tc>
          <w:tcPr>
            <w:tcW w:w="4259" w:type="pct"/>
            <w:gridSpan w:val="2"/>
            <w:noWrap/>
          </w:tcPr>
          <w:p w14:paraId="46B91940" w14:textId="77777777" w:rsidR="0023618C" w:rsidRPr="00F734D4" w:rsidRDefault="0023618C">
            <w:pPr>
              <w:pStyle w:val="TableTextLeft-Indent"/>
              <w:spacing w:after="0"/>
            </w:pPr>
            <w:r w:rsidRPr="00F734D4">
              <w:t>Inland Rail – Termination of the Equity Financing Agreement</w:t>
            </w:r>
          </w:p>
        </w:tc>
        <w:tc>
          <w:tcPr>
            <w:tcW w:w="741" w:type="pct"/>
            <w:noWrap/>
          </w:tcPr>
          <w:p w14:paraId="460A9440" w14:textId="77777777" w:rsidR="0023618C" w:rsidRPr="00F734D4" w:rsidRDefault="0023618C">
            <w:pPr>
              <w:pStyle w:val="TableTextLeft"/>
            </w:pPr>
            <w:r w:rsidRPr="00F734D4">
              <w:t>Unchanged</w:t>
            </w:r>
          </w:p>
        </w:tc>
      </w:tr>
      <w:tr w:rsidR="0023618C" w:rsidRPr="00F734D4" w14:paraId="65FE0937" w14:textId="77777777">
        <w:trPr>
          <w:trHeight w:val="228"/>
        </w:trPr>
        <w:tc>
          <w:tcPr>
            <w:tcW w:w="4259" w:type="pct"/>
            <w:gridSpan w:val="2"/>
            <w:noWrap/>
          </w:tcPr>
          <w:p w14:paraId="013BFD46" w14:textId="6957C6AD" w:rsidR="0023618C" w:rsidRPr="00F734D4" w:rsidRDefault="0023618C">
            <w:pPr>
              <w:pStyle w:val="TableTextLeft-Indent"/>
              <w:spacing w:after="0"/>
              <w:rPr>
                <w:rFonts w:cs="Arial"/>
              </w:rPr>
            </w:pPr>
            <w:r w:rsidRPr="00F734D4">
              <w:t>Maritime Industry Finance Company Limited – Board Members</w:t>
            </w:r>
            <w:r w:rsidR="00D23095">
              <w:t>’</w:t>
            </w:r>
            <w:r w:rsidRPr="00F734D4">
              <w:t xml:space="preserve"> indemnity</w:t>
            </w:r>
          </w:p>
        </w:tc>
        <w:tc>
          <w:tcPr>
            <w:tcW w:w="741" w:type="pct"/>
            <w:noWrap/>
          </w:tcPr>
          <w:p w14:paraId="7570085F" w14:textId="77777777" w:rsidR="0023618C" w:rsidRPr="00F734D4" w:rsidRDefault="0023618C">
            <w:pPr>
              <w:pStyle w:val="TableTextLeft"/>
            </w:pPr>
            <w:r w:rsidRPr="00F734D4">
              <w:t>Unchanged</w:t>
            </w:r>
          </w:p>
        </w:tc>
      </w:tr>
      <w:tr w:rsidR="0023618C" w:rsidRPr="00F734D4" w14:paraId="539CA3EC" w14:textId="77777777">
        <w:trPr>
          <w:trHeight w:val="228"/>
        </w:trPr>
        <w:tc>
          <w:tcPr>
            <w:tcW w:w="4259" w:type="pct"/>
            <w:gridSpan w:val="2"/>
            <w:noWrap/>
          </w:tcPr>
          <w:p w14:paraId="5DB46D27" w14:textId="77777777" w:rsidR="0023618C" w:rsidRPr="00F734D4" w:rsidRDefault="0023618C">
            <w:pPr>
              <w:pStyle w:val="TableTextLeft-Indent"/>
              <w:spacing w:after="0"/>
            </w:pPr>
            <w:r w:rsidRPr="00F734D4">
              <w:t>Moorebank Intermodal Project – Glenfield Waste Site Easement</w:t>
            </w:r>
          </w:p>
        </w:tc>
        <w:tc>
          <w:tcPr>
            <w:tcW w:w="741" w:type="pct"/>
            <w:noWrap/>
          </w:tcPr>
          <w:p w14:paraId="6DCC59C4" w14:textId="77777777" w:rsidR="0023618C" w:rsidRPr="00F734D4" w:rsidRDefault="0023618C">
            <w:pPr>
              <w:pStyle w:val="TableTextLeft"/>
            </w:pPr>
            <w:r w:rsidRPr="00F734D4">
              <w:rPr>
                <w:rFonts w:eastAsia="Arial" w:cs="Arial"/>
              </w:rPr>
              <w:t>Unchanged</w:t>
            </w:r>
          </w:p>
        </w:tc>
      </w:tr>
      <w:tr w:rsidR="0023618C" w:rsidRPr="00F734D4" w14:paraId="0F977EEB" w14:textId="77777777">
        <w:trPr>
          <w:trHeight w:val="228"/>
        </w:trPr>
        <w:tc>
          <w:tcPr>
            <w:tcW w:w="4259" w:type="pct"/>
            <w:gridSpan w:val="2"/>
            <w:noWrap/>
          </w:tcPr>
          <w:p w14:paraId="3B4967FB" w14:textId="77777777" w:rsidR="0023618C" w:rsidRPr="00F734D4" w:rsidRDefault="0023618C">
            <w:pPr>
              <w:pStyle w:val="TableTextLeft-Indent"/>
              <w:spacing w:after="0"/>
              <w:rPr>
                <w:rFonts w:cs="Arial"/>
              </w:rPr>
            </w:pPr>
            <w:r w:rsidRPr="00F734D4">
              <w:t>National Intermodal Corporation Limited – Termination of the Funding Agreement</w:t>
            </w:r>
          </w:p>
        </w:tc>
        <w:tc>
          <w:tcPr>
            <w:tcW w:w="741" w:type="pct"/>
            <w:noWrap/>
          </w:tcPr>
          <w:p w14:paraId="0A26DA75" w14:textId="77777777" w:rsidR="0023618C" w:rsidRPr="00F734D4" w:rsidRDefault="0023618C">
            <w:pPr>
              <w:pStyle w:val="TableTextLeft"/>
            </w:pPr>
            <w:r w:rsidRPr="00F734D4">
              <w:rPr>
                <w:rFonts w:eastAsia="Arial" w:cs="Arial"/>
              </w:rPr>
              <w:t>Unchanged</w:t>
            </w:r>
          </w:p>
        </w:tc>
      </w:tr>
      <w:tr w:rsidR="00A74387" w:rsidRPr="00F734D4" w14:paraId="11F1F768" w14:textId="77777777">
        <w:trPr>
          <w:trHeight w:val="228"/>
        </w:trPr>
        <w:tc>
          <w:tcPr>
            <w:tcW w:w="4259" w:type="pct"/>
            <w:gridSpan w:val="2"/>
            <w:noWrap/>
          </w:tcPr>
          <w:p w14:paraId="4DD0AE64" w14:textId="45F71612" w:rsidR="00A74387" w:rsidRPr="00F734D4" w:rsidRDefault="00A74387" w:rsidP="00A74387">
            <w:pPr>
              <w:pStyle w:val="TableTextLeft-Indent"/>
              <w:spacing w:after="0"/>
            </w:pPr>
            <w:r w:rsidRPr="00363D1B">
              <w:t>NBN Co Limited – Termination of the Equity Funding Agreement</w:t>
            </w:r>
          </w:p>
        </w:tc>
        <w:tc>
          <w:tcPr>
            <w:tcW w:w="741" w:type="pct"/>
            <w:noWrap/>
          </w:tcPr>
          <w:p w14:paraId="59BF10BD" w14:textId="2B04BD24" w:rsidR="00A74387" w:rsidRDefault="00A74387" w:rsidP="00A74387">
            <w:pPr>
              <w:pStyle w:val="TableTextLeft"/>
            </w:pPr>
            <w:r>
              <w:rPr>
                <w:rFonts w:eastAsia="Arial" w:cs="Arial"/>
              </w:rPr>
              <w:t>New</w:t>
            </w:r>
          </w:p>
        </w:tc>
      </w:tr>
    </w:tbl>
    <w:p w14:paraId="525D90DC" w14:textId="77777777" w:rsidR="002076DC" w:rsidRDefault="002076DC">
      <w:r>
        <w:br w:type="page"/>
      </w:r>
    </w:p>
    <w:p w14:paraId="5F8F7B3C" w14:textId="77777777" w:rsidR="002076DC" w:rsidRDefault="002076DC" w:rsidP="002076DC">
      <w:pPr>
        <w:pStyle w:val="TableHeadingcontinued"/>
      </w:pPr>
      <w:r w:rsidRPr="002C4F07">
        <w:rPr>
          <w:rFonts w:eastAsia="Arial"/>
        </w:rPr>
        <w:lastRenderedPageBreak/>
        <w:t xml:space="preserve">Table </w:t>
      </w:r>
      <w:r>
        <w:rPr>
          <w:rFonts w:eastAsia="Arial"/>
        </w:rPr>
        <w:t>8</w:t>
      </w:r>
      <w:r w:rsidRPr="002C4F07">
        <w:rPr>
          <w:rFonts w:eastAsia="Arial"/>
        </w:rPr>
        <w:t>.2:</w:t>
      </w:r>
      <w:r w:rsidRPr="00D13C64">
        <w:rPr>
          <w:rFonts w:eastAsia="Arial"/>
        </w:rPr>
        <w:t xml:space="preserve"> Summary</w:t>
      </w:r>
      <w:r w:rsidRPr="00C07FB5">
        <w:rPr>
          <w:rFonts w:eastAsia="Arial"/>
        </w:rPr>
        <w:t xml:space="preserve"> of </w:t>
      </w:r>
      <w:r w:rsidRPr="00AA667C">
        <w:rPr>
          <w:rFonts w:eastAsia="Arial"/>
        </w:rPr>
        <w:t>fiscal</w:t>
      </w:r>
      <w:r>
        <w:rPr>
          <w:rFonts w:eastAsia="Arial"/>
        </w:rPr>
        <w:t xml:space="preserve"> risks, </w:t>
      </w:r>
      <w:r w:rsidRPr="00C07FB5">
        <w:rPr>
          <w:rFonts w:eastAsia="Arial"/>
        </w:rPr>
        <w:t>contingent liabilities and contingent assets in the Statement of Risks</w:t>
      </w:r>
      <w:r w:rsidRPr="00F734D4">
        <w:rPr>
          <w:rFonts w:eastAsia="Arial"/>
          <w:vertAlign w:val="superscript"/>
        </w:rPr>
        <w:t>(a)</w:t>
      </w:r>
      <w:r w:rsidRPr="00F734D4">
        <w:rPr>
          <w:rFonts w:eastAsia="Arial"/>
        </w:rPr>
        <w:t xml:space="preserve"> (continued)</w:t>
      </w:r>
    </w:p>
    <w:tbl>
      <w:tblPr>
        <w:tblW w:w="5000" w:type="pct"/>
        <w:tblBorders>
          <w:top w:val="single" w:sz="4" w:space="0" w:color="002A54" w:themeColor="text2"/>
          <w:bottom w:val="single" w:sz="4" w:space="0" w:color="002A54" w:themeColor="text2"/>
          <w:insideH w:val="single" w:sz="4" w:space="0" w:color="002A54" w:themeColor="text2"/>
        </w:tblBorders>
        <w:tblLayout w:type="fixed"/>
        <w:tblLook w:val="04A0" w:firstRow="1" w:lastRow="0" w:firstColumn="1" w:lastColumn="0" w:noHBand="0" w:noVBand="1"/>
        <w:tblCaption w:val="Table"/>
      </w:tblPr>
      <w:tblGrid>
        <w:gridCol w:w="6521"/>
        <w:gridCol w:w="46"/>
        <w:gridCol w:w="1143"/>
      </w:tblGrid>
      <w:tr w:rsidR="00A72DF7" w:rsidRPr="00F734D4" w14:paraId="0AB158AB" w14:textId="77777777" w:rsidTr="00A72DF7">
        <w:trPr>
          <w:trHeight w:val="228"/>
        </w:trPr>
        <w:tc>
          <w:tcPr>
            <w:tcW w:w="4259" w:type="pct"/>
            <w:gridSpan w:val="2"/>
            <w:shd w:val="clear" w:color="auto" w:fill="E6F2FF"/>
            <w:noWrap/>
          </w:tcPr>
          <w:p w14:paraId="67133702" w14:textId="5EB471CE" w:rsidR="00A72DF7" w:rsidRPr="00F734D4" w:rsidRDefault="002076DC" w:rsidP="002076DC">
            <w:pPr>
              <w:pStyle w:val="TableColumnHeadingLeft"/>
              <w:rPr>
                <w:rFonts w:cs="Arial"/>
              </w:rPr>
            </w:pPr>
            <w:r w:rsidRPr="00F734D4">
              <w:t>Infrastructure, Transport, Regional Development, Communications and the Arts</w:t>
            </w:r>
          </w:p>
        </w:tc>
        <w:tc>
          <w:tcPr>
            <w:tcW w:w="741" w:type="pct"/>
            <w:shd w:val="clear" w:color="auto" w:fill="E6F2FF"/>
            <w:noWrap/>
          </w:tcPr>
          <w:p w14:paraId="67322B3B" w14:textId="742EB9AA" w:rsidR="00A72DF7" w:rsidRPr="00F734D4" w:rsidRDefault="00C36F9C" w:rsidP="00C36F9C">
            <w:pPr>
              <w:pStyle w:val="TableColumnHeadingLeft"/>
            </w:pPr>
            <w:r w:rsidRPr="00F734D4">
              <w:t>Status</w:t>
            </w:r>
          </w:p>
        </w:tc>
      </w:tr>
      <w:tr w:rsidR="002076DC" w:rsidRPr="00F734D4" w14:paraId="06AF5CD3" w14:textId="77777777" w:rsidTr="00A72DF7">
        <w:trPr>
          <w:trHeight w:val="228"/>
        </w:trPr>
        <w:tc>
          <w:tcPr>
            <w:tcW w:w="4259" w:type="pct"/>
            <w:gridSpan w:val="2"/>
            <w:shd w:val="clear" w:color="auto" w:fill="E6F2FF"/>
            <w:noWrap/>
          </w:tcPr>
          <w:p w14:paraId="3CA51701" w14:textId="21265A4C" w:rsidR="002076DC" w:rsidRPr="00F734D4" w:rsidRDefault="002076DC" w:rsidP="002076DC">
            <w:pPr>
              <w:pStyle w:val="TableColumnHeadingLeft"/>
              <w:rPr>
                <w:rFonts w:cs="Arial"/>
              </w:rPr>
            </w:pPr>
            <w:r w:rsidRPr="00F734D4">
              <w:rPr>
                <w:rFonts w:eastAsia="Arial"/>
              </w:rPr>
              <w:t>Significant but remote contingencies</w:t>
            </w:r>
            <w:r>
              <w:rPr>
                <w:rFonts w:eastAsia="Arial"/>
              </w:rPr>
              <w:t xml:space="preserve"> (continued)</w:t>
            </w:r>
          </w:p>
        </w:tc>
        <w:tc>
          <w:tcPr>
            <w:tcW w:w="741" w:type="pct"/>
            <w:shd w:val="clear" w:color="auto" w:fill="E6F2FF"/>
            <w:noWrap/>
          </w:tcPr>
          <w:p w14:paraId="247063BF" w14:textId="77777777" w:rsidR="002076DC" w:rsidRPr="00F734D4" w:rsidRDefault="002076DC" w:rsidP="00A72DF7">
            <w:pPr>
              <w:pStyle w:val="TableTextLeft"/>
            </w:pPr>
          </w:p>
        </w:tc>
      </w:tr>
      <w:tr w:rsidR="002076DC" w:rsidRPr="00F734D4" w14:paraId="5A5DA4F9" w14:textId="77777777" w:rsidTr="002076DC">
        <w:trPr>
          <w:trHeight w:val="228"/>
        </w:trPr>
        <w:tc>
          <w:tcPr>
            <w:tcW w:w="4259" w:type="pct"/>
            <w:gridSpan w:val="2"/>
            <w:shd w:val="clear" w:color="auto" w:fill="FFFFFF" w:themeFill="background1"/>
            <w:noWrap/>
          </w:tcPr>
          <w:p w14:paraId="7E62B195" w14:textId="33074CCB" w:rsidR="002076DC" w:rsidRPr="00F734D4" w:rsidRDefault="002076DC" w:rsidP="002076DC">
            <w:pPr>
              <w:pStyle w:val="TableTextLeft-Indent"/>
              <w:rPr>
                <w:rFonts w:eastAsia="Arial"/>
              </w:rPr>
            </w:pPr>
            <w:r w:rsidRPr="00F734D4">
              <w:t>Telstra Financial Guarantee</w:t>
            </w:r>
          </w:p>
        </w:tc>
        <w:tc>
          <w:tcPr>
            <w:tcW w:w="741" w:type="pct"/>
            <w:shd w:val="clear" w:color="auto" w:fill="FFFFFF" w:themeFill="background1"/>
            <w:noWrap/>
          </w:tcPr>
          <w:p w14:paraId="2B4392A6" w14:textId="3A19E6AE" w:rsidR="002076DC" w:rsidRPr="00F734D4" w:rsidRDefault="002076DC" w:rsidP="002076DC">
            <w:pPr>
              <w:pStyle w:val="TableTextLeft"/>
            </w:pPr>
            <w:r>
              <w:t>Unchanged</w:t>
            </w:r>
          </w:p>
        </w:tc>
      </w:tr>
      <w:tr w:rsidR="002076DC" w:rsidRPr="00F734D4" w14:paraId="24C1F425" w14:textId="77777777">
        <w:trPr>
          <w:trHeight w:val="228"/>
        </w:trPr>
        <w:tc>
          <w:tcPr>
            <w:tcW w:w="4259" w:type="pct"/>
            <w:gridSpan w:val="2"/>
            <w:noWrap/>
          </w:tcPr>
          <w:p w14:paraId="5B6B86FC" w14:textId="0D3FC09B" w:rsidR="002076DC" w:rsidRPr="00F734D4" w:rsidRDefault="002076DC" w:rsidP="002076DC">
            <w:pPr>
              <w:pStyle w:val="TableTextLeft-Indent"/>
              <w:spacing w:after="0"/>
            </w:pPr>
            <w:r w:rsidRPr="00F734D4">
              <w:t>Tripartite deeds relating to the sale of federal leased airports</w:t>
            </w:r>
          </w:p>
        </w:tc>
        <w:tc>
          <w:tcPr>
            <w:tcW w:w="741" w:type="pct"/>
            <w:noWrap/>
          </w:tcPr>
          <w:p w14:paraId="4726561A" w14:textId="61CCBE31" w:rsidR="002076DC" w:rsidRPr="00F734D4" w:rsidRDefault="002076DC" w:rsidP="002076DC">
            <w:pPr>
              <w:pStyle w:val="TableTextLeft"/>
              <w:rPr>
                <w:rFonts w:eastAsia="Arial" w:cs="Arial"/>
              </w:rPr>
            </w:pPr>
            <w:r w:rsidRPr="00F734D4">
              <w:rPr>
                <w:rFonts w:eastAsia="Arial" w:cs="Arial"/>
              </w:rPr>
              <w:t>Unchanged</w:t>
            </w:r>
          </w:p>
        </w:tc>
      </w:tr>
      <w:tr w:rsidR="002076DC" w:rsidRPr="00F734D4" w14:paraId="756F93AD" w14:textId="77777777">
        <w:trPr>
          <w:trHeight w:val="228"/>
        </w:trPr>
        <w:tc>
          <w:tcPr>
            <w:tcW w:w="4259" w:type="pct"/>
            <w:gridSpan w:val="2"/>
            <w:noWrap/>
          </w:tcPr>
          <w:p w14:paraId="50A3509E" w14:textId="7B12038F" w:rsidR="002076DC" w:rsidRPr="00F734D4" w:rsidRDefault="002076DC" w:rsidP="002076DC">
            <w:pPr>
              <w:pStyle w:val="TableTextLeft-Indent"/>
              <w:spacing w:after="0"/>
              <w:rPr>
                <w:rFonts w:cs="Arial"/>
              </w:rPr>
            </w:pPr>
            <w:r w:rsidRPr="00F734D4">
              <w:t>WSA Co Limited – Board Members</w:t>
            </w:r>
            <w:r w:rsidR="00D23095">
              <w:t>’</w:t>
            </w:r>
            <w:r w:rsidRPr="00F734D4">
              <w:t xml:space="preserve"> indemnities</w:t>
            </w:r>
          </w:p>
        </w:tc>
        <w:tc>
          <w:tcPr>
            <w:tcW w:w="741" w:type="pct"/>
            <w:noWrap/>
          </w:tcPr>
          <w:p w14:paraId="24589597" w14:textId="77777777" w:rsidR="002076DC" w:rsidRPr="00F734D4" w:rsidRDefault="002076DC" w:rsidP="002076DC">
            <w:pPr>
              <w:pStyle w:val="TableTextLeft"/>
            </w:pPr>
            <w:r w:rsidRPr="00F734D4">
              <w:t>Unchanged</w:t>
            </w:r>
          </w:p>
        </w:tc>
      </w:tr>
      <w:tr w:rsidR="002076DC" w:rsidRPr="00F734D4" w14:paraId="1DD1B041" w14:textId="77777777">
        <w:trPr>
          <w:trHeight w:val="228"/>
        </w:trPr>
        <w:tc>
          <w:tcPr>
            <w:tcW w:w="4259" w:type="pct"/>
            <w:gridSpan w:val="2"/>
            <w:noWrap/>
          </w:tcPr>
          <w:p w14:paraId="54813B2C" w14:textId="77777777" w:rsidR="002076DC" w:rsidRPr="00F734D4" w:rsidRDefault="002076DC" w:rsidP="002076DC">
            <w:pPr>
              <w:pStyle w:val="TableTextLeft-Indent"/>
              <w:spacing w:after="0"/>
            </w:pPr>
            <w:r w:rsidRPr="00F734D4">
              <w:t>WSA Co Limited – Sydney Metro – Western Sydney Airport indemnity</w:t>
            </w:r>
          </w:p>
        </w:tc>
        <w:tc>
          <w:tcPr>
            <w:tcW w:w="741" w:type="pct"/>
            <w:noWrap/>
          </w:tcPr>
          <w:p w14:paraId="7CC7F367" w14:textId="77777777" w:rsidR="002076DC" w:rsidRPr="00F734D4" w:rsidRDefault="002076DC" w:rsidP="002076DC">
            <w:pPr>
              <w:pStyle w:val="TableTextLeft"/>
            </w:pPr>
            <w:r w:rsidRPr="00F734D4">
              <w:t>Unchanged</w:t>
            </w:r>
          </w:p>
        </w:tc>
      </w:tr>
      <w:tr w:rsidR="002076DC" w:rsidRPr="00F734D4" w14:paraId="7F353740" w14:textId="77777777">
        <w:trPr>
          <w:trHeight w:val="228"/>
        </w:trPr>
        <w:tc>
          <w:tcPr>
            <w:tcW w:w="4259" w:type="pct"/>
            <w:gridSpan w:val="2"/>
            <w:noWrap/>
          </w:tcPr>
          <w:p w14:paraId="10636E94" w14:textId="77777777" w:rsidR="002076DC" w:rsidRPr="00F734D4" w:rsidRDefault="002076DC" w:rsidP="002076DC">
            <w:pPr>
              <w:pStyle w:val="TableTextLeft-Indent"/>
              <w:spacing w:after="0"/>
              <w:rPr>
                <w:rFonts w:cs="Arial"/>
              </w:rPr>
            </w:pPr>
            <w:r w:rsidRPr="00F734D4">
              <w:t>WSA Co Limited – Termination of the Equity Subscription Agreement</w:t>
            </w:r>
          </w:p>
        </w:tc>
        <w:tc>
          <w:tcPr>
            <w:tcW w:w="741" w:type="pct"/>
            <w:noWrap/>
          </w:tcPr>
          <w:p w14:paraId="5195E9BF" w14:textId="77777777" w:rsidR="002076DC" w:rsidRPr="00F734D4" w:rsidRDefault="002076DC" w:rsidP="002076DC">
            <w:pPr>
              <w:pStyle w:val="TableTextLeft"/>
            </w:pPr>
            <w:r w:rsidRPr="00F734D4">
              <w:t>Unchanged</w:t>
            </w:r>
          </w:p>
        </w:tc>
      </w:tr>
      <w:tr w:rsidR="0023618C" w:rsidRPr="00F734D4" w14:paraId="1E93361E" w14:textId="77777777">
        <w:trPr>
          <w:trHeight w:val="228"/>
        </w:trPr>
        <w:tc>
          <w:tcPr>
            <w:tcW w:w="4229" w:type="pct"/>
            <w:shd w:val="clear" w:color="auto" w:fill="E6F2FF"/>
            <w:noWrap/>
          </w:tcPr>
          <w:p w14:paraId="1E53A348" w14:textId="77777777" w:rsidR="0023618C" w:rsidRPr="00F734D4" w:rsidRDefault="0023618C">
            <w:pPr>
              <w:pStyle w:val="TableColumnHeadingLeft"/>
              <w:rPr>
                <w:rFonts w:eastAsia="Calibri"/>
              </w:rPr>
            </w:pPr>
            <w:r w:rsidRPr="00F734D4">
              <w:rPr>
                <w:rFonts w:eastAsia="Arial"/>
              </w:rPr>
              <w:t>Contingent liabilities – unquantifiable</w:t>
            </w:r>
          </w:p>
        </w:tc>
        <w:tc>
          <w:tcPr>
            <w:tcW w:w="771" w:type="pct"/>
            <w:gridSpan w:val="2"/>
            <w:shd w:val="clear" w:color="auto" w:fill="E6F2FF"/>
            <w:noWrap/>
          </w:tcPr>
          <w:p w14:paraId="09ABCAE4" w14:textId="77777777" w:rsidR="0023618C" w:rsidRPr="00F734D4" w:rsidRDefault="0023618C">
            <w:pPr>
              <w:pStyle w:val="TableTextLeft"/>
            </w:pPr>
          </w:p>
        </w:tc>
      </w:tr>
      <w:tr w:rsidR="0023618C" w:rsidRPr="00F734D4" w14:paraId="6109D18C" w14:textId="77777777">
        <w:trPr>
          <w:trHeight w:val="228"/>
        </w:trPr>
        <w:tc>
          <w:tcPr>
            <w:tcW w:w="4229" w:type="pct"/>
            <w:noWrap/>
          </w:tcPr>
          <w:p w14:paraId="108FD399" w14:textId="0E08B6EB" w:rsidR="0023618C" w:rsidRPr="00F734D4" w:rsidRDefault="0023618C">
            <w:pPr>
              <w:pStyle w:val="TableTextLeft-Indent"/>
            </w:pPr>
            <w:r w:rsidRPr="00F734D4">
              <w:t>Australian Maritime Safety Authority</w:t>
            </w:r>
            <w:r>
              <w:t xml:space="preserve"> – ship</w:t>
            </w:r>
            <w:r w:rsidR="00D23095">
              <w:noBreakHyphen/>
            </w:r>
            <w:r>
              <w:t>sourced pollution</w:t>
            </w:r>
            <w:r w:rsidRPr="00F734D4">
              <w:t xml:space="preserve"> incident costs</w:t>
            </w:r>
          </w:p>
        </w:tc>
        <w:tc>
          <w:tcPr>
            <w:tcW w:w="771" w:type="pct"/>
            <w:gridSpan w:val="2"/>
            <w:noWrap/>
          </w:tcPr>
          <w:p w14:paraId="78B55EFC" w14:textId="0070D9DB" w:rsidR="0023618C" w:rsidRPr="00F734D4" w:rsidRDefault="00C369EA">
            <w:pPr>
              <w:pStyle w:val="TableTextLeft"/>
            </w:pPr>
            <w:r>
              <w:t>Modified</w:t>
            </w:r>
          </w:p>
        </w:tc>
      </w:tr>
      <w:tr w:rsidR="0023618C" w:rsidRPr="00F734D4" w14:paraId="79F39ADA" w14:textId="77777777">
        <w:trPr>
          <w:trHeight w:val="228"/>
        </w:trPr>
        <w:tc>
          <w:tcPr>
            <w:tcW w:w="4229" w:type="pct"/>
            <w:noWrap/>
          </w:tcPr>
          <w:p w14:paraId="50B8C632" w14:textId="494417D7" w:rsidR="0023618C" w:rsidRPr="00F734D4" w:rsidRDefault="0023618C">
            <w:pPr>
              <w:pStyle w:val="TableTextLeft-Indent"/>
            </w:pPr>
            <w:r w:rsidRPr="00F734D4">
              <w:t>Aviation rescue and firefighting</w:t>
            </w:r>
            <w:r>
              <w:t xml:space="preserve"> services</w:t>
            </w:r>
            <w:r w:rsidRPr="00F734D4">
              <w:t xml:space="preserve"> potential per</w:t>
            </w:r>
            <w:r w:rsidR="00D23095">
              <w:noBreakHyphen/>
            </w:r>
            <w:r w:rsidRPr="00F734D4">
              <w:t xml:space="preserve"> and poly</w:t>
            </w:r>
            <w:r w:rsidR="00D23095">
              <w:noBreakHyphen/>
            </w:r>
            <w:r w:rsidRPr="00F734D4">
              <w:t>fluoroalkyl substances contamination</w:t>
            </w:r>
          </w:p>
        </w:tc>
        <w:tc>
          <w:tcPr>
            <w:tcW w:w="771" w:type="pct"/>
            <w:gridSpan w:val="2"/>
            <w:noWrap/>
          </w:tcPr>
          <w:p w14:paraId="5B9839F0" w14:textId="0462553E" w:rsidR="0023618C" w:rsidRPr="00F734D4" w:rsidRDefault="00C369EA">
            <w:pPr>
              <w:pStyle w:val="TableTextLeft"/>
            </w:pPr>
            <w:r>
              <w:t>Unchanged</w:t>
            </w:r>
          </w:p>
        </w:tc>
      </w:tr>
      <w:tr w:rsidR="0023618C" w:rsidRPr="00F734D4" w14:paraId="59486A1B" w14:textId="77777777">
        <w:trPr>
          <w:trHeight w:val="228"/>
        </w:trPr>
        <w:tc>
          <w:tcPr>
            <w:tcW w:w="4229" w:type="pct"/>
            <w:noWrap/>
          </w:tcPr>
          <w:p w14:paraId="1188A844" w14:textId="77777777" w:rsidR="0023618C" w:rsidRPr="00F734D4" w:rsidRDefault="0023618C">
            <w:pPr>
              <w:pStyle w:val="TableTextLeft-Indent"/>
            </w:pPr>
            <w:r w:rsidRPr="00F734D4">
              <w:t>Indemnity provided to the New South Wales Rural Fire Fighting Service in relation to the Jervis Bay Territory</w:t>
            </w:r>
          </w:p>
        </w:tc>
        <w:tc>
          <w:tcPr>
            <w:tcW w:w="771" w:type="pct"/>
            <w:gridSpan w:val="2"/>
            <w:noWrap/>
          </w:tcPr>
          <w:p w14:paraId="42ABF0F9" w14:textId="77777777" w:rsidR="0023618C" w:rsidRPr="00F734D4" w:rsidRDefault="0023618C">
            <w:pPr>
              <w:pStyle w:val="TableTextLeft"/>
            </w:pPr>
            <w:r w:rsidRPr="00F734D4">
              <w:rPr>
                <w:rFonts w:eastAsia="Arial" w:cs="Arial"/>
              </w:rPr>
              <w:t>Unchanged</w:t>
            </w:r>
          </w:p>
        </w:tc>
      </w:tr>
      <w:tr w:rsidR="0023618C" w:rsidRPr="00F734D4" w14:paraId="4FAC79DE" w14:textId="77777777">
        <w:trPr>
          <w:trHeight w:val="228"/>
        </w:trPr>
        <w:tc>
          <w:tcPr>
            <w:tcW w:w="4229" w:type="pct"/>
            <w:noWrap/>
          </w:tcPr>
          <w:p w14:paraId="4A1B6BFE" w14:textId="77777777" w:rsidR="0023618C" w:rsidRPr="00F734D4" w:rsidDel="00EA035B" w:rsidRDefault="0023618C">
            <w:pPr>
              <w:pStyle w:val="TableTextLeft-Indent"/>
            </w:pPr>
            <w:r w:rsidRPr="00F734D4">
              <w:t>Moorebank Intermodal Project – Georges River rail crossing</w:t>
            </w:r>
          </w:p>
        </w:tc>
        <w:tc>
          <w:tcPr>
            <w:tcW w:w="771" w:type="pct"/>
            <w:gridSpan w:val="2"/>
            <w:noWrap/>
          </w:tcPr>
          <w:p w14:paraId="190AD57A" w14:textId="77777777" w:rsidR="0023618C" w:rsidRPr="00F734D4" w:rsidDel="005573C6" w:rsidRDefault="0023618C">
            <w:pPr>
              <w:pStyle w:val="TableTextLeft"/>
            </w:pPr>
            <w:r w:rsidRPr="00F734D4">
              <w:t>Unchanged</w:t>
            </w:r>
          </w:p>
        </w:tc>
      </w:tr>
      <w:tr w:rsidR="0023618C" w:rsidRPr="00F734D4" w14:paraId="18D7FA43" w14:textId="77777777">
        <w:trPr>
          <w:trHeight w:val="228"/>
        </w:trPr>
        <w:tc>
          <w:tcPr>
            <w:tcW w:w="4229" w:type="pct"/>
            <w:noWrap/>
          </w:tcPr>
          <w:p w14:paraId="26CC1D9B" w14:textId="77777777" w:rsidR="0023618C" w:rsidRPr="00F734D4" w:rsidRDefault="0023618C">
            <w:pPr>
              <w:pStyle w:val="TableTextLeft-Indent"/>
            </w:pPr>
            <w:r w:rsidRPr="00F734D4">
              <w:t>Service Delivery Arrangement Indemnities – Indian Ocean Territories</w:t>
            </w:r>
            <w:r>
              <w:t xml:space="preserve"> </w:t>
            </w:r>
            <w:r w:rsidRPr="00F734D4">
              <w:t>and Jervis Bay Territory</w:t>
            </w:r>
          </w:p>
        </w:tc>
        <w:tc>
          <w:tcPr>
            <w:tcW w:w="771" w:type="pct"/>
            <w:gridSpan w:val="2"/>
            <w:noWrap/>
          </w:tcPr>
          <w:p w14:paraId="7F98829F" w14:textId="77777777" w:rsidR="0023618C" w:rsidRPr="00F734D4" w:rsidRDefault="0023618C">
            <w:pPr>
              <w:pStyle w:val="TableTextLeft"/>
            </w:pPr>
            <w:r>
              <w:t>Unchanged</w:t>
            </w:r>
          </w:p>
        </w:tc>
      </w:tr>
      <w:tr w:rsidR="0023618C" w:rsidRPr="00F734D4" w14:paraId="507D1419" w14:textId="77777777">
        <w:trPr>
          <w:trHeight w:val="228"/>
        </w:trPr>
        <w:tc>
          <w:tcPr>
            <w:tcW w:w="4229" w:type="pct"/>
            <w:shd w:val="clear" w:color="auto" w:fill="E6F2FF"/>
            <w:noWrap/>
          </w:tcPr>
          <w:p w14:paraId="30A8906B" w14:textId="77777777" w:rsidR="0023618C" w:rsidRPr="00F734D4" w:rsidRDefault="0023618C">
            <w:pPr>
              <w:pStyle w:val="TableColumnHeadingLeft"/>
            </w:pPr>
            <w:r w:rsidRPr="00F734D4">
              <w:t>Prime Minister and Cabinet</w:t>
            </w:r>
          </w:p>
        </w:tc>
        <w:tc>
          <w:tcPr>
            <w:tcW w:w="771" w:type="pct"/>
            <w:gridSpan w:val="2"/>
            <w:shd w:val="clear" w:color="auto" w:fill="E6F2FF"/>
            <w:noWrap/>
          </w:tcPr>
          <w:p w14:paraId="4DB91590" w14:textId="77777777" w:rsidR="0023618C" w:rsidRPr="00F734D4" w:rsidRDefault="0023618C">
            <w:pPr>
              <w:pStyle w:val="TableColumnHeadingLeft"/>
            </w:pPr>
            <w:r w:rsidRPr="00F734D4">
              <w:t>Status</w:t>
            </w:r>
          </w:p>
        </w:tc>
      </w:tr>
      <w:tr w:rsidR="0023618C" w:rsidRPr="00F734D4" w14:paraId="2DC59A19" w14:textId="77777777">
        <w:trPr>
          <w:trHeight w:val="228"/>
        </w:trPr>
        <w:tc>
          <w:tcPr>
            <w:tcW w:w="4229" w:type="pct"/>
            <w:shd w:val="clear" w:color="auto" w:fill="E6F2FF"/>
            <w:noWrap/>
          </w:tcPr>
          <w:p w14:paraId="386A0988" w14:textId="77777777" w:rsidR="0023618C" w:rsidRPr="00F734D4" w:rsidRDefault="0023618C">
            <w:pPr>
              <w:pStyle w:val="TableColumnHeadingLeft"/>
              <w:rPr>
                <w:rFonts w:eastAsia="Calibri"/>
              </w:rPr>
            </w:pPr>
            <w:r w:rsidRPr="004266F5">
              <w:rPr>
                <w:rFonts w:eastAsia="Arial"/>
              </w:rPr>
              <w:t>Contingent liabilit</w:t>
            </w:r>
            <w:r>
              <w:rPr>
                <w:rFonts w:eastAsia="Arial"/>
              </w:rPr>
              <w:t>y</w:t>
            </w:r>
            <w:r w:rsidRPr="004266F5">
              <w:rPr>
                <w:rFonts w:eastAsia="Arial"/>
              </w:rPr>
              <w:t xml:space="preserve"> – quantifiable</w:t>
            </w:r>
          </w:p>
        </w:tc>
        <w:tc>
          <w:tcPr>
            <w:tcW w:w="771" w:type="pct"/>
            <w:gridSpan w:val="2"/>
            <w:shd w:val="clear" w:color="auto" w:fill="E6F2FF"/>
            <w:noWrap/>
          </w:tcPr>
          <w:p w14:paraId="56FC729B" w14:textId="77777777" w:rsidR="0023618C" w:rsidRPr="00AD3D62" w:rsidRDefault="0023618C">
            <w:pPr>
              <w:pStyle w:val="TableTextLeft"/>
            </w:pPr>
          </w:p>
        </w:tc>
      </w:tr>
      <w:tr w:rsidR="0023618C" w:rsidRPr="00F734D4" w14:paraId="15193DFA" w14:textId="77777777">
        <w:trPr>
          <w:trHeight w:val="228"/>
        </w:trPr>
        <w:tc>
          <w:tcPr>
            <w:tcW w:w="4229" w:type="pct"/>
            <w:shd w:val="clear" w:color="auto" w:fill="auto"/>
            <w:noWrap/>
          </w:tcPr>
          <w:p w14:paraId="10B5793E" w14:textId="77777777" w:rsidR="0023618C" w:rsidRPr="00F734D4" w:rsidRDefault="0023618C">
            <w:pPr>
              <w:pStyle w:val="TableTextLeft-Indent"/>
            </w:pPr>
            <w:r w:rsidRPr="00F734D4">
              <w:t>Indigenous Land and Sea Corporation – Voyages Indigenous Tourism Australia</w:t>
            </w:r>
          </w:p>
        </w:tc>
        <w:tc>
          <w:tcPr>
            <w:tcW w:w="771" w:type="pct"/>
            <w:gridSpan w:val="2"/>
            <w:shd w:val="clear" w:color="auto" w:fill="auto"/>
            <w:noWrap/>
          </w:tcPr>
          <w:p w14:paraId="1CF8EFEE" w14:textId="4B6CE538" w:rsidR="0023618C" w:rsidRPr="00AD3D62" w:rsidRDefault="001762A1">
            <w:pPr>
              <w:pStyle w:val="TableTextLeft"/>
            </w:pPr>
            <w:r>
              <w:t>Modified</w:t>
            </w:r>
          </w:p>
        </w:tc>
      </w:tr>
      <w:tr w:rsidR="0023618C" w:rsidRPr="00F734D4" w14:paraId="41953392" w14:textId="77777777">
        <w:trPr>
          <w:trHeight w:val="228"/>
        </w:trPr>
        <w:tc>
          <w:tcPr>
            <w:tcW w:w="4229" w:type="pct"/>
            <w:shd w:val="clear" w:color="auto" w:fill="E6F2FF"/>
            <w:noWrap/>
          </w:tcPr>
          <w:p w14:paraId="046B625C" w14:textId="77777777" w:rsidR="0023618C" w:rsidRPr="00F734D4" w:rsidRDefault="0023618C">
            <w:pPr>
              <w:pStyle w:val="TableColumnHeadingLeft"/>
            </w:pPr>
            <w:r w:rsidRPr="00F734D4">
              <w:t>Social Services</w:t>
            </w:r>
          </w:p>
        </w:tc>
        <w:tc>
          <w:tcPr>
            <w:tcW w:w="771" w:type="pct"/>
            <w:gridSpan w:val="2"/>
            <w:shd w:val="clear" w:color="auto" w:fill="E6F2FF"/>
            <w:noWrap/>
          </w:tcPr>
          <w:p w14:paraId="26A9224A" w14:textId="77777777" w:rsidR="0023618C" w:rsidRPr="00AD3D62" w:rsidRDefault="0023618C">
            <w:pPr>
              <w:pStyle w:val="TableColumnHeadingLeft"/>
            </w:pPr>
            <w:r w:rsidRPr="00AD3D62">
              <w:t>Status</w:t>
            </w:r>
          </w:p>
        </w:tc>
      </w:tr>
      <w:tr w:rsidR="0023618C" w:rsidRPr="00F734D4" w14:paraId="07D66A90" w14:textId="77777777">
        <w:trPr>
          <w:trHeight w:val="228"/>
        </w:trPr>
        <w:tc>
          <w:tcPr>
            <w:tcW w:w="4229" w:type="pct"/>
            <w:shd w:val="clear" w:color="auto" w:fill="E6F2FF"/>
            <w:noWrap/>
          </w:tcPr>
          <w:p w14:paraId="13E834D8" w14:textId="09600C9F" w:rsidR="0023618C" w:rsidRPr="00F734D4" w:rsidRDefault="0023618C">
            <w:pPr>
              <w:pStyle w:val="TableColumnHeadingLeft"/>
              <w:rPr>
                <w:rFonts w:eastAsia="Calibri"/>
              </w:rPr>
            </w:pPr>
            <w:r w:rsidRPr="00F734D4">
              <w:rPr>
                <w:rFonts w:eastAsia="Arial"/>
              </w:rPr>
              <w:t>Fiscal Risk</w:t>
            </w:r>
          </w:p>
        </w:tc>
        <w:tc>
          <w:tcPr>
            <w:tcW w:w="771" w:type="pct"/>
            <w:gridSpan w:val="2"/>
            <w:shd w:val="clear" w:color="auto" w:fill="E6F2FF"/>
            <w:noWrap/>
          </w:tcPr>
          <w:p w14:paraId="4E3FFCEA" w14:textId="77777777" w:rsidR="0023618C" w:rsidRPr="00AD3D62" w:rsidRDefault="0023618C">
            <w:pPr>
              <w:pStyle w:val="TableTextLeft"/>
            </w:pPr>
          </w:p>
        </w:tc>
      </w:tr>
      <w:tr w:rsidR="0023618C" w:rsidRPr="00AD3D62" w:rsidDel="00E872FE" w14:paraId="01C6DA1C" w14:textId="77777777">
        <w:trPr>
          <w:trHeight w:val="228"/>
        </w:trPr>
        <w:tc>
          <w:tcPr>
            <w:tcW w:w="4229" w:type="pct"/>
            <w:shd w:val="clear" w:color="auto" w:fill="auto"/>
            <w:noWrap/>
          </w:tcPr>
          <w:p w14:paraId="30D2AC58" w14:textId="77777777" w:rsidR="0023618C" w:rsidRPr="00F734D4" w:rsidRDefault="0023618C">
            <w:pPr>
              <w:pStyle w:val="TableTextLeft-Indent"/>
            </w:pPr>
            <w:r w:rsidRPr="00F734D4">
              <w:t>National Disability Insurance Scheme</w:t>
            </w:r>
          </w:p>
        </w:tc>
        <w:tc>
          <w:tcPr>
            <w:tcW w:w="771" w:type="pct"/>
            <w:gridSpan w:val="2"/>
            <w:shd w:val="clear" w:color="auto" w:fill="auto"/>
            <w:noWrap/>
          </w:tcPr>
          <w:p w14:paraId="1D2A7B3F" w14:textId="77777777" w:rsidR="0023618C" w:rsidRPr="00AD3D62" w:rsidRDefault="0023618C">
            <w:pPr>
              <w:pStyle w:val="TableTextLeft"/>
            </w:pPr>
            <w:r>
              <w:t>Modified</w:t>
            </w:r>
          </w:p>
        </w:tc>
      </w:tr>
      <w:tr w:rsidR="0023618C" w:rsidRPr="00F734D4" w14:paraId="6EAB4DAA" w14:textId="77777777">
        <w:trPr>
          <w:trHeight w:val="228"/>
        </w:trPr>
        <w:tc>
          <w:tcPr>
            <w:tcW w:w="4229" w:type="pct"/>
            <w:shd w:val="clear" w:color="auto" w:fill="E6F2FF"/>
            <w:noWrap/>
          </w:tcPr>
          <w:p w14:paraId="44AA1CD1" w14:textId="77777777" w:rsidR="0023618C" w:rsidRPr="00F734D4" w:rsidRDefault="0023618C">
            <w:pPr>
              <w:pStyle w:val="TableColumnHeadingLeft"/>
              <w:rPr>
                <w:rFonts w:eastAsia="Arial"/>
              </w:rPr>
            </w:pPr>
            <w:r w:rsidRPr="004266F5">
              <w:rPr>
                <w:rFonts w:eastAsia="Arial"/>
              </w:rPr>
              <w:t>Contingent liabilities</w:t>
            </w:r>
            <w:r>
              <w:rPr>
                <w:rFonts w:eastAsia="Arial"/>
              </w:rPr>
              <w:t xml:space="preserve">– unquantifiable </w:t>
            </w:r>
          </w:p>
        </w:tc>
        <w:tc>
          <w:tcPr>
            <w:tcW w:w="771" w:type="pct"/>
            <w:gridSpan w:val="2"/>
            <w:shd w:val="clear" w:color="auto" w:fill="E6F2FF"/>
            <w:noWrap/>
          </w:tcPr>
          <w:p w14:paraId="4D20640E" w14:textId="77777777" w:rsidR="0023618C" w:rsidRPr="00F734D4" w:rsidRDefault="0023618C">
            <w:pPr>
              <w:pStyle w:val="TableTextLeft"/>
            </w:pPr>
          </w:p>
        </w:tc>
      </w:tr>
      <w:tr w:rsidR="0023618C" w:rsidRPr="00F734D4" w14:paraId="0919F87B" w14:textId="77777777">
        <w:trPr>
          <w:trHeight w:val="228"/>
        </w:trPr>
        <w:tc>
          <w:tcPr>
            <w:tcW w:w="4229" w:type="pct"/>
            <w:shd w:val="clear" w:color="auto" w:fill="FFFFFF" w:themeFill="background1"/>
            <w:noWrap/>
          </w:tcPr>
          <w:p w14:paraId="3CCF7821" w14:textId="77777777" w:rsidR="0023618C" w:rsidRPr="006F6B94" w:rsidRDefault="0023618C">
            <w:pPr>
              <w:pStyle w:val="TableTextLeft-Indent"/>
              <w:rPr>
                <w:rFonts w:eastAsia="Arial" w:cs="Arial"/>
              </w:rPr>
            </w:pPr>
            <w:r>
              <w:rPr>
                <w:rFonts w:eastAsia="Arial" w:cs="Arial"/>
              </w:rPr>
              <w:t>Income apportionment and debt pause</w:t>
            </w:r>
          </w:p>
        </w:tc>
        <w:tc>
          <w:tcPr>
            <w:tcW w:w="771" w:type="pct"/>
            <w:gridSpan w:val="2"/>
            <w:shd w:val="clear" w:color="auto" w:fill="FFFFFF" w:themeFill="background1"/>
            <w:noWrap/>
          </w:tcPr>
          <w:p w14:paraId="7E40701D" w14:textId="2BA27570" w:rsidR="0023618C" w:rsidRPr="00F734D4" w:rsidRDefault="006C1E04">
            <w:pPr>
              <w:pStyle w:val="TableTextLeft"/>
              <w:rPr>
                <w:bCs/>
              </w:rPr>
            </w:pPr>
            <w:r>
              <w:rPr>
                <w:bCs/>
              </w:rPr>
              <w:t>Modified</w:t>
            </w:r>
          </w:p>
        </w:tc>
      </w:tr>
      <w:tr w:rsidR="0023618C" w:rsidRPr="00F734D4" w14:paraId="7B26E712" w14:textId="77777777">
        <w:trPr>
          <w:trHeight w:val="228"/>
        </w:trPr>
        <w:tc>
          <w:tcPr>
            <w:tcW w:w="4229" w:type="pct"/>
            <w:shd w:val="clear" w:color="auto" w:fill="FFFFFF" w:themeFill="background1"/>
            <w:noWrap/>
          </w:tcPr>
          <w:p w14:paraId="445E488C" w14:textId="77777777" w:rsidR="0023618C" w:rsidRDefault="0023618C">
            <w:pPr>
              <w:pStyle w:val="TableTextLeft-Indent"/>
              <w:rPr>
                <w:rFonts w:eastAsia="Arial" w:cs="Arial"/>
              </w:rPr>
            </w:pPr>
            <w:proofErr w:type="spellStart"/>
            <w:r w:rsidRPr="00F64B8F">
              <w:rPr>
                <w:rFonts w:eastAsia="Arial" w:cs="Arial"/>
              </w:rPr>
              <w:t>Prygodicz</w:t>
            </w:r>
            <w:proofErr w:type="spellEnd"/>
            <w:r w:rsidRPr="00F64B8F">
              <w:rPr>
                <w:rFonts w:eastAsia="Arial" w:cs="Arial"/>
              </w:rPr>
              <w:t xml:space="preserve"> v Commonwealth</w:t>
            </w:r>
          </w:p>
        </w:tc>
        <w:tc>
          <w:tcPr>
            <w:tcW w:w="771" w:type="pct"/>
            <w:gridSpan w:val="2"/>
            <w:shd w:val="clear" w:color="auto" w:fill="FFFFFF" w:themeFill="background1"/>
            <w:noWrap/>
          </w:tcPr>
          <w:p w14:paraId="7011EFBC" w14:textId="128006FB" w:rsidR="0023618C" w:rsidRDefault="006C1E04">
            <w:pPr>
              <w:pStyle w:val="TableTextLeft"/>
              <w:rPr>
                <w:bCs/>
              </w:rPr>
            </w:pPr>
            <w:r>
              <w:rPr>
                <w:bCs/>
              </w:rPr>
              <w:t>Unchanged</w:t>
            </w:r>
          </w:p>
        </w:tc>
      </w:tr>
      <w:tr w:rsidR="0023618C" w:rsidRPr="00F734D4" w14:paraId="072760C3" w14:textId="77777777">
        <w:trPr>
          <w:trHeight w:val="228"/>
        </w:trPr>
        <w:tc>
          <w:tcPr>
            <w:tcW w:w="4229" w:type="pct"/>
            <w:shd w:val="clear" w:color="auto" w:fill="E6F2FF"/>
            <w:noWrap/>
          </w:tcPr>
          <w:p w14:paraId="1E7B8D69" w14:textId="77777777" w:rsidR="0023618C" w:rsidRPr="00F734D4" w:rsidRDefault="0023618C">
            <w:pPr>
              <w:pStyle w:val="TableColumnHeadingLeft"/>
              <w:rPr>
                <w:rFonts w:eastAsia="Arial"/>
              </w:rPr>
            </w:pPr>
            <w:r w:rsidRPr="00F734D4">
              <w:rPr>
                <w:rFonts w:eastAsia="Arial"/>
              </w:rPr>
              <w:t>Contingent asset – quantifiable</w:t>
            </w:r>
          </w:p>
        </w:tc>
        <w:tc>
          <w:tcPr>
            <w:tcW w:w="771" w:type="pct"/>
            <w:gridSpan w:val="2"/>
            <w:shd w:val="clear" w:color="auto" w:fill="E6F2FF"/>
            <w:noWrap/>
          </w:tcPr>
          <w:p w14:paraId="04ECAFF8" w14:textId="77777777" w:rsidR="0023618C" w:rsidRPr="00F734D4" w:rsidRDefault="0023618C">
            <w:pPr>
              <w:pStyle w:val="TableTextLeft"/>
            </w:pPr>
          </w:p>
        </w:tc>
      </w:tr>
      <w:tr w:rsidR="0023618C" w:rsidRPr="00F734D4" w14:paraId="325463AB" w14:textId="77777777">
        <w:trPr>
          <w:trHeight w:val="228"/>
        </w:trPr>
        <w:tc>
          <w:tcPr>
            <w:tcW w:w="4229" w:type="pct"/>
            <w:shd w:val="clear" w:color="auto" w:fill="FFFFFF" w:themeFill="background1"/>
            <w:noWrap/>
          </w:tcPr>
          <w:p w14:paraId="0CB7DE01" w14:textId="77777777" w:rsidR="0023618C" w:rsidRPr="00F734D4" w:rsidRDefault="0023618C">
            <w:pPr>
              <w:pStyle w:val="TableTextLeft-Indent"/>
              <w:rPr>
                <w:rFonts w:eastAsia="Arial" w:cs="Arial"/>
                <w:b/>
                <w:bCs/>
              </w:rPr>
            </w:pPr>
            <w:r w:rsidRPr="00F734D4">
              <w:t>National Redress Scheme</w:t>
            </w:r>
          </w:p>
        </w:tc>
        <w:tc>
          <w:tcPr>
            <w:tcW w:w="771" w:type="pct"/>
            <w:gridSpan w:val="2"/>
            <w:shd w:val="clear" w:color="auto" w:fill="FFFFFF" w:themeFill="background1"/>
            <w:noWrap/>
          </w:tcPr>
          <w:p w14:paraId="04CC7295" w14:textId="77777777" w:rsidR="0023618C" w:rsidRPr="00F734D4" w:rsidRDefault="0023618C">
            <w:pPr>
              <w:pStyle w:val="TableTextLeft"/>
              <w:rPr>
                <w:bCs/>
              </w:rPr>
            </w:pPr>
            <w:r w:rsidRPr="00F734D4">
              <w:t>Modified</w:t>
            </w:r>
          </w:p>
        </w:tc>
      </w:tr>
      <w:tr w:rsidR="0023618C" w:rsidRPr="00F734D4" w14:paraId="4BE345EA" w14:textId="77777777">
        <w:trPr>
          <w:trHeight w:val="228"/>
        </w:trPr>
        <w:tc>
          <w:tcPr>
            <w:tcW w:w="4229" w:type="pct"/>
            <w:shd w:val="clear" w:color="auto" w:fill="E6F2FF"/>
            <w:noWrap/>
          </w:tcPr>
          <w:p w14:paraId="6A807108" w14:textId="77777777" w:rsidR="0023618C" w:rsidRPr="00F734D4" w:rsidRDefault="0023618C">
            <w:pPr>
              <w:pStyle w:val="TableColumnHeadingLeft"/>
            </w:pPr>
            <w:r w:rsidRPr="00F734D4">
              <w:t>Treasury</w:t>
            </w:r>
          </w:p>
        </w:tc>
        <w:tc>
          <w:tcPr>
            <w:tcW w:w="771" w:type="pct"/>
            <w:gridSpan w:val="2"/>
            <w:shd w:val="clear" w:color="auto" w:fill="E6F2FF"/>
            <w:noWrap/>
          </w:tcPr>
          <w:p w14:paraId="5C7D3EE9" w14:textId="77777777" w:rsidR="0023618C" w:rsidRPr="00F734D4" w:rsidRDefault="0023618C">
            <w:pPr>
              <w:pStyle w:val="TableColumnHeadingLeft"/>
            </w:pPr>
            <w:r w:rsidRPr="00F734D4">
              <w:t>Status</w:t>
            </w:r>
          </w:p>
        </w:tc>
      </w:tr>
      <w:tr w:rsidR="0023618C" w:rsidRPr="00F734D4" w14:paraId="4ED373A7" w14:textId="77777777">
        <w:trPr>
          <w:trHeight w:val="228"/>
        </w:trPr>
        <w:tc>
          <w:tcPr>
            <w:tcW w:w="4229" w:type="pct"/>
            <w:shd w:val="clear" w:color="auto" w:fill="E6F2FF"/>
            <w:noWrap/>
          </w:tcPr>
          <w:p w14:paraId="68FDF09B" w14:textId="77777777" w:rsidR="0023618C" w:rsidRPr="00F734D4" w:rsidRDefault="0023618C">
            <w:pPr>
              <w:pStyle w:val="TableColumnHeadingLeft"/>
              <w:rPr>
                <w:rFonts w:eastAsia="Arial"/>
              </w:rPr>
            </w:pPr>
            <w:r>
              <w:rPr>
                <w:rFonts w:eastAsia="Arial"/>
              </w:rPr>
              <w:t>Fiscal Risks</w:t>
            </w:r>
          </w:p>
        </w:tc>
        <w:tc>
          <w:tcPr>
            <w:tcW w:w="771" w:type="pct"/>
            <w:gridSpan w:val="2"/>
            <w:shd w:val="clear" w:color="auto" w:fill="E6F2FF"/>
            <w:noWrap/>
          </w:tcPr>
          <w:p w14:paraId="710458E6" w14:textId="77777777" w:rsidR="0023618C" w:rsidRPr="00F734D4" w:rsidRDefault="0023618C">
            <w:pPr>
              <w:pStyle w:val="TableColumnHeadingRight"/>
            </w:pPr>
          </w:p>
        </w:tc>
      </w:tr>
      <w:tr w:rsidR="00310C5B" w:rsidRPr="0014040E" w14:paraId="333AE466" w14:textId="77777777">
        <w:trPr>
          <w:trHeight w:val="228"/>
        </w:trPr>
        <w:tc>
          <w:tcPr>
            <w:tcW w:w="4229" w:type="pct"/>
            <w:shd w:val="clear" w:color="auto" w:fill="auto"/>
            <w:noWrap/>
          </w:tcPr>
          <w:p w14:paraId="5A0EC5EA" w14:textId="3DB621BD" w:rsidR="00310C5B" w:rsidRPr="0014040E" w:rsidRDefault="00310C5B" w:rsidP="00310C5B">
            <w:pPr>
              <w:pStyle w:val="TableTextLeft-Indent"/>
            </w:pPr>
            <w:r w:rsidRPr="00310C5B">
              <w:t xml:space="preserve">Guarantee for </w:t>
            </w:r>
            <w:r w:rsidR="00BD47E8">
              <w:t>Australia and New Zealand Banking Group Limited’s</w:t>
            </w:r>
            <w:r w:rsidRPr="00310C5B">
              <w:t xml:space="preserve"> Pacific liabilities  </w:t>
            </w:r>
          </w:p>
        </w:tc>
        <w:tc>
          <w:tcPr>
            <w:tcW w:w="771" w:type="pct"/>
            <w:gridSpan w:val="2"/>
            <w:shd w:val="clear" w:color="auto" w:fill="auto"/>
            <w:noWrap/>
          </w:tcPr>
          <w:p w14:paraId="03CB8F08" w14:textId="7984A155" w:rsidR="00310C5B" w:rsidDel="00704BEF" w:rsidRDefault="00310C5B" w:rsidP="00310C5B">
            <w:pPr>
              <w:pStyle w:val="TableTextLeft-Indent"/>
              <w:ind w:left="39" w:firstLine="0"/>
            </w:pPr>
            <w:r>
              <w:t>New</w:t>
            </w:r>
          </w:p>
        </w:tc>
      </w:tr>
      <w:tr w:rsidR="00310C5B" w:rsidRPr="0014040E" w14:paraId="5E4AAED2" w14:textId="77777777">
        <w:trPr>
          <w:trHeight w:val="228"/>
        </w:trPr>
        <w:tc>
          <w:tcPr>
            <w:tcW w:w="4229" w:type="pct"/>
            <w:shd w:val="clear" w:color="auto" w:fill="auto"/>
            <w:noWrap/>
          </w:tcPr>
          <w:p w14:paraId="2108B080" w14:textId="20D7809C" w:rsidR="00310C5B" w:rsidRPr="00654540" w:rsidRDefault="00310C5B" w:rsidP="00310C5B">
            <w:pPr>
              <w:pStyle w:val="TableTextLeft-Indent"/>
            </w:pPr>
            <w:r w:rsidRPr="0014040E">
              <w:t>Guarantee for the Asia</w:t>
            </w:r>
            <w:r>
              <w:t>n</w:t>
            </w:r>
            <w:r w:rsidRPr="0014040E">
              <w:t xml:space="preserve"> Development Bank</w:t>
            </w:r>
            <w:r w:rsidR="00D23095">
              <w:t>’</w:t>
            </w:r>
            <w:r w:rsidRPr="0014040E">
              <w:t>s Innovative Finance Facility</w:t>
            </w:r>
          </w:p>
        </w:tc>
        <w:tc>
          <w:tcPr>
            <w:tcW w:w="771" w:type="pct"/>
            <w:gridSpan w:val="2"/>
            <w:shd w:val="clear" w:color="auto" w:fill="auto"/>
            <w:noWrap/>
          </w:tcPr>
          <w:p w14:paraId="6567E861" w14:textId="7C988486" w:rsidR="00310C5B" w:rsidRPr="0014040E" w:rsidRDefault="00310C5B" w:rsidP="00310C5B">
            <w:pPr>
              <w:pStyle w:val="TableTextLeft-Indent"/>
              <w:ind w:left="39" w:firstLine="0"/>
            </w:pPr>
            <w:r>
              <w:t>Modified</w:t>
            </w:r>
          </w:p>
        </w:tc>
      </w:tr>
      <w:tr w:rsidR="00310C5B" w:rsidRPr="00F734D4" w14:paraId="19ADDD35" w14:textId="77777777">
        <w:trPr>
          <w:trHeight w:val="228"/>
        </w:trPr>
        <w:tc>
          <w:tcPr>
            <w:tcW w:w="4229" w:type="pct"/>
            <w:shd w:val="clear" w:color="auto" w:fill="E6F2FF"/>
            <w:noWrap/>
          </w:tcPr>
          <w:p w14:paraId="7221A978" w14:textId="77777777" w:rsidR="00310C5B" w:rsidRPr="00F734D4" w:rsidRDefault="00310C5B" w:rsidP="00310C5B">
            <w:pPr>
              <w:pStyle w:val="TableColumnHeadingLeft"/>
            </w:pPr>
            <w:r w:rsidRPr="00F734D4">
              <w:rPr>
                <w:rFonts w:eastAsia="Arial"/>
              </w:rPr>
              <w:t xml:space="preserve">Significant but remote contingencies </w:t>
            </w:r>
          </w:p>
        </w:tc>
        <w:tc>
          <w:tcPr>
            <w:tcW w:w="771" w:type="pct"/>
            <w:gridSpan w:val="2"/>
            <w:shd w:val="clear" w:color="auto" w:fill="E6F2FF"/>
            <w:noWrap/>
          </w:tcPr>
          <w:p w14:paraId="106F521D" w14:textId="77777777" w:rsidR="00310C5B" w:rsidRPr="00F734D4" w:rsidRDefault="00310C5B" w:rsidP="00310C5B">
            <w:pPr>
              <w:pStyle w:val="TableColumnHeadingRight"/>
            </w:pPr>
          </w:p>
        </w:tc>
      </w:tr>
      <w:tr w:rsidR="00310C5B" w:rsidRPr="00F734D4" w14:paraId="6ADBD51F" w14:textId="77777777">
        <w:trPr>
          <w:trHeight w:val="228"/>
        </w:trPr>
        <w:tc>
          <w:tcPr>
            <w:tcW w:w="4229" w:type="pct"/>
            <w:shd w:val="clear" w:color="auto" w:fill="auto"/>
            <w:noWrap/>
          </w:tcPr>
          <w:p w14:paraId="3E0BF659" w14:textId="77777777" w:rsidR="00310C5B" w:rsidRPr="00F734D4" w:rsidRDefault="00310C5B" w:rsidP="00310C5B">
            <w:pPr>
              <w:pStyle w:val="TableTextLeft-Indent"/>
            </w:pPr>
            <w:r w:rsidRPr="00F734D4">
              <w:t>Asbestos Injuries Compensation Fund</w:t>
            </w:r>
          </w:p>
        </w:tc>
        <w:tc>
          <w:tcPr>
            <w:tcW w:w="771" w:type="pct"/>
            <w:gridSpan w:val="2"/>
            <w:shd w:val="clear" w:color="auto" w:fill="auto"/>
            <w:noWrap/>
          </w:tcPr>
          <w:p w14:paraId="6BF681BB" w14:textId="77777777" w:rsidR="00310C5B" w:rsidRPr="00F734D4" w:rsidRDefault="00310C5B" w:rsidP="00310C5B">
            <w:pPr>
              <w:pStyle w:val="TableTextLeft"/>
            </w:pPr>
            <w:r w:rsidRPr="00F734D4">
              <w:t>Unchanged</w:t>
            </w:r>
          </w:p>
        </w:tc>
      </w:tr>
      <w:tr w:rsidR="00310C5B" w:rsidRPr="00F734D4" w14:paraId="27094D3D" w14:textId="77777777">
        <w:trPr>
          <w:trHeight w:val="228"/>
        </w:trPr>
        <w:tc>
          <w:tcPr>
            <w:tcW w:w="4229" w:type="pct"/>
            <w:shd w:val="clear" w:color="auto" w:fill="auto"/>
            <w:noWrap/>
          </w:tcPr>
          <w:p w14:paraId="0E8BFF93" w14:textId="77777777" w:rsidR="00310C5B" w:rsidRPr="00F734D4" w:rsidRDefault="00310C5B" w:rsidP="00310C5B">
            <w:pPr>
              <w:pStyle w:val="TableTextLeft-Indent"/>
            </w:pPr>
            <w:r w:rsidRPr="00F734D4">
              <w:t>Financial Claims Scheme</w:t>
            </w:r>
          </w:p>
        </w:tc>
        <w:tc>
          <w:tcPr>
            <w:tcW w:w="771" w:type="pct"/>
            <w:gridSpan w:val="2"/>
            <w:shd w:val="clear" w:color="auto" w:fill="auto"/>
            <w:noWrap/>
          </w:tcPr>
          <w:p w14:paraId="2BD860E0" w14:textId="77777777" w:rsidR="00310C5B" w:rsidRPr="00F734D4" w:rsidRDefault="00310C5B" w:rsidP="00310C5B">
            <w:pPr>
              <w:pStyle w:val="TableTextLeft"/>
            </w:pPr>
            <w:r>
              <w:t>Unchanged</w:t>
            </w:r>
          </w:p>
        </w:tc>
      </w:tr>
      <w:tr w:rsidR="00310C5B" w:rsidRPr="00F734D4" w14:paraId="47802126" w14:textId="77777777">
        <w:trPr>
          <w:trHeight w:val="228"/>
        </w:trPr>
        <w:tc>
          <w:tcPr>
            <w:tcW w:w="4229" w:type="pct"/>
            <w:shd w:val="clear" w:color="auto" w:fill="auto"/>
            <w:noWrap/>
          </w:tcPr>
          <w:p w14:paraId="2AE4EB2A" w14:textId="77777777" w:rsidR="00310C5B" w:rsidRPr="00F734D4" w:rsidRDefault="00310C5B" w:rsidP="00310C5B">
            <w:pPr>
              <w:pStyle w:val="TableTextLeft-Indent"/>
            </w:pPr>
            <w:r w:rsidRPr="00F734D4">
              <w:t xml:space="preserve">Guarantee for </w:t>
            </w:r>
            <w:r>
              <w:t>Housing Australia</w:t>
            </w:r>
          </w:p>
        </w:tc>
        <w:tc>
          <w:tcPr>
            <w:tcW w:w="771" w:type="pct"/>
            <w:gridSpan w:val="2"/>
            <w:shd w:val="clear" w:color="auto" w:fill="auto"/>
            <w:noWrap/>
          </w:tcPr>
          <w:p w14:paraId="2B1E611B" w14:textId="022107FD" w:rsidR="00310C5B" w:rsidRPr="00F734D4" w:rsidRDefault="00310C5B" w:rsidP="00310C5B">
            <w:pPr>
              <w:pStyle w:val="TableTextLeft"/>
            </w:pPr>
            <w:r>
              <w:t>Modified</w:t>
            </w:r>
          </w:p>
        </w:tc>
      </w:tr>
      <w:tr w:rsidR="00310C5B" w:rsidRPr="00F734D4" w14:paraId="6B9B54C9" w14:textId="77777777">
        <w:trPr>
          <w:trHeight w:val="228"/>
        </w:trPr>
        <w:tc>
          <w:tcPr>
            <w:tcW w:w="4229" w:type="pct"/>
            <w:shd w:val="clear" w:color="auto" w:fill="auto"/>
            <w:noWrap/>
          </w:tcPr>
          <w:p w14:paraId="19848E91" w14:textId="77777777" w:rsidR="00310C5B" w:rsidRPr="00F734D4" w:rsidRDefault="00310C5B" w:rsidP="00310C5B">
            <w:pPr>
              <w:pStyle w:val="TableTextLeft-Indent"/>
            </w:pPr>
            <w:r w:rsidRPr="00F734D4">
              <w:t xml:space="preserve">Guarantees under the </w:t>
            </w:r>
            <w:r w:rsidRPr="00E37BEF">
              <w:rPr>
                <w:i/>
                <w:iCs/>
              </w:rPr>
              <w:t>Commonwealth Bank Sale Act 1995</w:t>
            </w:r>
          </w:p>
        </w:tc>
        <w:tc>
          <w:tcPr>
            <w:tcW w:w="771" w:type="pct"/>
            <w:gridSpan w:val="2"/>
            <w:shd w:val="clear" w:color="auto" w:fill="auto"/>
            <w:noWrap/>
          </w:tcPr>
          <w:p w14:paraId="0D5E0966" w14:textId="483C1966" w:rsidR="00310C5B" w:rsidRPr="00F734D4" w:rsidRDefault="00310C5B" w:rsidP="00310C5B">
            <w:pPr>
              <w:pStyle w:val="TableTextLeft"/>
            </w:pPr>
            <w:r>
              <w:t>Unchanged</w:t>
            </w:r>
          </w:p>
        </w:tc>
      </w:tr>
      <w:tr w:rsidR="00310C5B" w:rsidRPr="00F734D4" w14:paraId="6E1F273C" w14:textId="77777777">
        <w:trPr>
          <w:trHeight w:val="228"/>
        </w:trPr>
        <w:tc>
          <w:tcPr>
            <w:tcW w:w="4229" w:type="pct"/>
            <w:shd w:val="clear" w:color="auto" w:fill="auto"/>
            <w:noWrap/>
          </w:tcPr>
          <w:p w14:paraId="41108ED7" w14:textId="77777777" w:rsidR="00310C5B" w:rsidRPr="00F734D4" w:rsidRDefault="00310C5B" w:rsidP="00310C5B">
            <w:pPr>
              <w:pStyle w:val="TableTextLeft-Indent"/>
            </w:pPr>
            <w:r w:rsidRPr="00F734D4">
              <w:t>Reserve Bank of Australia – Guarantee</w:t>
            </w:r>
          </w:p>
        </w:tc>
        <w:tc>
          <w:tcPr>
            <w:tcW w:w="771" w:type="pct"/>
            <w:gridSpan w:val="2"/>
            <w:shd w:val="clear" w:color="auto" w:fill="auto"/>
            <w:noWrap/>
          </w:tcPr>
          <w:p w14:paraId="3344B6A2" w14:textId="77777777" w:rsidR="00310C5B" w:rsidRPr="00F734D4" w:rsidRDefault="00310C5B" w:rsidP="00310C5B">
            <w:pPr>
              <w:pStyle w:val="TableTextLeft"/>
            </w:pPr>
            <w:r>
              <w:t>Modified</w:t>
            </w:r>
          </w:p>
        </w:tc>
      </w:tr>
    </w:tbl>
    <w:p w14:paraId="31FE9B0A" w14:textId="77777777" w:rsidR="0023618C" w:rsidRDefault="0023618C" w:rsidP="00037150">
      <w:pPr>
        <w:rPr>
          <w:rFonts w:eastAsia="Arial"/>
        </w:rPr>
      </w:pPr>
      <w:r>
        <w:rPr>
          <w:rFonts w:eastAsia="Arial"/>
        </w:rPr>
        <w:br w:type="page"/>
      </w:r>
    </w:p>
    <w:p w14:paraId="0F8E9093" w14:textId="566C28E8" w:rsidR="0023618C" w:rsidRPr="00F734D4" w:rsidRDefault="0023618C" w:rsidP="0023618C">
      <w:pPr>
        <w:pStyle w:val="TableHeadingcontinued"/>
        <w:rPr>
          <w:rFonts w:eastAsia="Arial"/>
        </w:rPr>
      </w:pPr>
      <w:r w:rsidRPr="00F734D4">
        <w:rPr>
          <w:rFonts w:eastAsia="Arial"/>
        </w:rPr>
        <w:lastRenderedPageBreak/>
        <w:t xml:space="preserve">Table </w:t>
      </w:r>
      <w:r w:rsidR="00E334C2">
        <w:rPr>
          <w:rFonts w:eastAsia="Arial"/>
        </w:rPr>
        <w:t>8</w:t>
      </w:r>
      <w:r w:rsidRPr="00D13C64">
        <w:rPr>
          <w:rFonts w:eastAsia="Arial"/>
        </w:rPr>
        <w:t>.2: Summary</w:t>
      </w:r>
      <w:r w:rsidRPr="00C07FB5">
        <w:rPr>
          <w:rFonts w:eastAsia="Arial"/>
        </w:rPr>
        <w:t xml:space="preserve"> of </w:t>
      </w:r>
      <w:r>
        <w:rPr>
          <w:rFonts w:eastAsia="Arial"/>
        </w:rPr>
        <w:t xml:space="preserve">fiscal risks, </w:t>
      </w:r>
      <w:r w:rsidRPr="00C07FB5">
        <w:rPr>
          <w:rFonts w:eastAsia="Arial"/>
        </w:rPr>
        <w:t>contingent liabilities and contingent assets in the Statement of Risks</w:t>
      </w:r>
      <w:r w:rsidRPr="00F734D4">
        <w:rPr>
          <w:rFonts w:eastAsia="Arial"/>
          <w:vertAlign w:val="superscript"/>
        </w:rPr>
        <w:t>(a)</w:t>
      </w:r>
      <w:r w:rsidRPr="00F734D4">
        <w:rPr>
          <w:rFonts w:eastAsia="Arial"/>
        </w:rPr>
        <w:t xml:space="preserve"> (continued)</w:t>
      </w:r>
    </w:p>
    <w:tbl>
      <w:tblPr>
        <w:tblW w:w="5000" w:type="pct"/>
        <w:tblBorders>
          <w:top w:val="single" w:sz="4" w:space="0" w:color="002A54" w:themeColor="text2"/>
          <w:bottom w:val="single" w:sz="4" w:space="0" w:color="002A54" w:themeColor="text2"/>
          <w:insideH w:val="single" w:sz="4" w:space="0" w:color="002A54" w:themeColor="text2"/>
        </w:tblBorders>
        <w:tblLayout w:type="fixed"/>
        <w:tblLook w:val="04A0" w:firstRow="1" w:lastRow="0" w:firstColumn="1" w:lastColumn="0" w:noHBand="0" w:noVBand="1"/>
        <w:tblCaption w:val="Table"/>
      </w:tblPr>
      <w:tblGrid>
        <w:gridCol w:w="6521"/>
        <w:gridCol w:w="1189"/>
      </w:tblGrid>
      <w:tr w:rsidR="0023618C" w:rsidRPr="00F734D4" w14:paraId="03381D6F" w14:textId="77777777">
        <w:trPr>
          <w:trHeight w:val="228"/>
        </w:trPr>
        <w:tc>
          <w:tcPr>
            <w:tcW w:w="4229" w:type="pct"/>
            <w:shd w:val="clear" w:color="auto" w:fill="E6F2FF"/>
            <w:noWrap/>
          </w:tcPr>
          <w:p w14:paraId="6B4D04E2" w14:textId="77777777" w:rsidR="0023618C" w:rsidRPr="00F734D4" w:rsidRDefault="0023618C">
            <w:pPr>
              <w:pStyle w:val="TableColumnHeadingLeft"/>
            </w:pPr>
            <w:r w:rsidRPr="00F734D4">
              <w:t>Treasury (continued)</w:t>
            </w:r>
          </w:p>
        </w:tc>
        <w:tc>
          <w:tcPr>
            <w:tcW w:w="771" w:type="pct"/>
            <w:shd w:val="clear" w:color="auto" w:fill="E6F2FF"/>
            <w:noWrap/>
          </w:tcPr>
          <w:p w14:paraId="04C135C3" w14:textId="77777777" w:rsidR="0023618C" w:rsidRPr="00F734D4" w:rsidRDefault="0023618C">
            <w:pPr>
              <w:pStyle w:val="TableColumnHeadingLeft"/>
            </w:pPr>
            <w:r w:rsidRPr="00F734D4">
              <w:t>Status</w:t>
            </w:r>
          </w:p>
        </w:tc>
      </w:tr>
      <w:tr w:rsidR="0023618C" w:rsidRPr="00F734D4" w14:paraId="343E1233" w14:textId="77777777">
        <w:trPr>
          <w:trHeight w:val="228"/>
        </w:trPr>
        <w:tc>
          <w:tcPr>
            <w:tcW w:w="4229" w:type="pct"/>
            <w:shd w:val="clear" w:color="auto" w:fill="E6F2FF"/>
            <w:noWrap/>
          </w:tcPr>
          <w:p w14:paraId="1ACDE984" w14:textId="77777777" w:rsidR="0023618C" w:rsidRPr="00F734D4" w:rsidRDefault="0023618C">
            <w:pPr>
              <w:pStyle w:val="TableColumnHeadingLeft"/>
              <w:rPr>
                <w:rFonts w:eastAsia="Calibri"/>
              </w:rPr>
            </w:pPr>
            <w:r w:rsidRPr="00F734D4">
              <w:rPr>
                <w:rFonts w:eastAsia="Arial"/>
              </w:rPr>
              <w:t>Contingent liabilities – quantifiable</w:t>
            </w:r>
          </w:p>
        </w:tc>
        <w:tc>
          <w:tcPr>
            <w:tcW w:w="771" w:type="pct"/>
            <w:shd w:val="clear" w:color="auto" w:fill="E6F2FF"/>
            <w:noWrap/>
          </w:tcPr>
          <w:p w14:paraId="68843DA7" w14:textId="77777777" w:rsidR="0023618C" w:rsidRPr="00F734D4" w:rsidRDefault="0023618C">
            <w:pPr>
              <w:pStyle w:val="TableColumnHeadingRight"/>
            </w:pPr>
          </w:p>
        </w:tc>
      </w:tr>
      <w:tr w:rsidR="00673AFD" w:rsidRPr="00F734D4" w14:paraId="567978DB" w14:textId="77777777" w:rsidTr="00673AFD">
        <w:trPr>
          <w:trHeight w:val="228"/>
        </w:trPr>
        <w:tc>
          <w:tcPr>
            <w:tcW w:w="4229" w:type="pct"/>
            <w:shd w:val="clear" w:color="auto" w:fill="FFFFFF" w:themeFill="background1"/>
            <w:noWrap/>
          </w:tcPr>
          <w:p w14:paraId="7EFCA933" w14:textId="7003975F" w:rsidR="00673AFD" w:rsidRPr="00F734D4" w:rsidRDefault="00673AFD" w:rsidP="00673AFD">
            <w:pPr>
              <w:pStyle w:val="TableTextLeft-Indent"/>
              <w:rPr>
                <w:rFonts w:eastAsia="Arial"/>
              </w:rPr>
            </w:pPr>
            <w:r w:rsidRPr="00F734D4">
              <w:t>Compensation scheme of last resort</w:t>
            </w:r>
          </w:p>
        </w:tc>
        <w:tc>
          <w:tcPr>
            <w:tcW w:w="771" w:type="pct"/>
            <w:shd w:val="clear" w:color="auto" w:fill="FFFFFF" w:themeFill="background1"/>
            <w:noWrap/>
          </w:tcPr>
          <w:p w14:paraId="3DF40BE7" w14:textId="54D30C79" w:rsidR="00673AFD" w:rsidRPr="00F734D4" w:rsidRDefault="00673AFD" w:rsidP="00673AFD">
            <w:pPr>
              <w:pStyle w:val="TableTextLeft"/>
            </w:pPr>
            <w:r>
              <w:t>Removed</w:t>
            </w:r>
          </w:p>
        </w:tc>
      </w:tr>
      <w:tr w:rsidR="00673AFD" w:rsidRPr="00F734D4" w14:paraId="5094FEC4" w14:textId="77777777" w:rsidTr="00673AFD">
        <w:trPr>
          <w:trHeight w:val="228"/>
        </w:trPr>
        <w:tc>
          <w:tcPr>
            <w:tcW w:w="4229" w:type="pct"/>
            <w:shd w:val="clear" w:color="auto" w:fill="FFFFFF" w:themeFill="background1"/>
            <w:noWrap/>
          </w:tcPr>
          <w:p w14:paraId="77C7037A" w14:textId="3F926CA0" w:rsidR="00673AFD" w:rsidRPr="00F734D4" w:rsidRDefault="00673AFD" w:rsidP="00673AFD">
            <w:pPr>
              <w:pStyle w:val="TableTextLeft-Indent"/>
              <w:rPr>
                <w:rFonts w:eastAsia="Arial"/>
              </w:rPr>
            </w:pPr>
            <w:r w:rsidRPr="00F734D4">
              <w:t>Establishment of a cyclone and related flooding reinsurance pool</w:t>
            </w:r>
          </w:p>
        </w:tc>
        <w:tc>
          <w:tcPr>
            <w:tcW w:w="771" w:type="pct"/>
            <w:shd w:val="clear" w:color="auto" w:fill="FFFFFF" w:themeFill="background1"/>
            <w:noWrap/>
          </w:tcPr>
          <w:p w14:paraId="28DD65BE" w14:textId="6F5E1AD3" w:rsidR="00673AFD" w:rsidRPr="00F734D4" w:rsidRDefault="00673AFD" w:rsidP="00673AFD">
            <w:pPr>
              <w:pStyle w:val="TableTextLeft"/>
            </w:pPr>
            <w:r w:rsidRPr="00F734D4">
              <w:rPr>
                <w:rFonts w:eastAsia="Arial" w:cs="Arial"/>
              </w:rPr>
              <w:t>Unchanged</w:t>
            </w:r>
          </w:p>
        </w:tc>
      </w:tr>
      <w:tr w:rsidR="00673AFD" w:rsidRPr="00F734D4" w14:paraId="5F9C07EA" w14:textId="77777777" w:rsidTr="00673AFD">
        <w:trPr>
          <w:trHeight w:val="228"/>
        </w:trPr>
        <w:tc>
          <w:tcPr>
            <w:tcW w:w="4229" w:type="pct"/>
            <w:shd w:val="clear" w:color="auto" w:fill="FFFFFF" w:themeFill="background1"/>
            <w:noWrap/>
          </w:tcPr>
          <w:p w14:paraId="11551C4C" w14:textId="083815A7" w:rsidR="00673AFD" w:rsidRPr="00F734D4" w:rsidRDefault="00673AFD" w:rsidP="00673AFD">
            <w:pPr>
              <w:pStyle w:val="TableTextLeft-Indent"/>
              <w:rPr>
                <w:rFonts w:eastAsia="Arial"/>
              </w:rPr>
            </w:pPr>
            <w:r>
              <w:t>G</w:t>
            </w:r>
            <w:r w:rsidRPr="00F734D4">
              <w:t>uarantees for housing</w:t>
            </w:r>
          </w:p>
        </w:tc>
        <w:tc>
          <w:tcPr>
            <w:tcW w:w="771" w:type="pct"/>
            <w:shd w:val="clear" w:color="auto" w:fill="FFFFFF" w:themeFill="background1"/>
            <w:noWrap/>
          </w:tcPr>
          <w:p w14:paraId="092B5D04" w14:textId="6AA36B07" w:rsidR="00673AFD" w:rsidRPr="00F734D4" w:rsidRDefault="00673AFD" w:rsidP="00673AFD">
            <w:pPr>
              <w:pStyle w:val="TableTextLeft"/>
            </w:pPr>
            <w:r>
              <w:t>Unchanged</w:t>
            </w:r>
          </w:p>
        </w:tc>
      </w:tr>
      <w:tr w:rsidR="00673AFD" w:rsidRPr="00F734D4" w14:paraId="40B1E91C" w14:textId="77777777" w:rsidTr="00673AFD">
        <w:trPr>
          <w:trHeight w:val="228"/>
        </w:trPr>
        <w:tc>
          <w:tcPr>
            <w:tcW w:w="4229" w:type="pct"/>
            <w:shd w:val="clear" w:color="auto" w:fill="FFFFFF" w:themeFill="background1"/>
            <w:noWrap/>
          </w:tcPr>
          <w:p w14:paraId="60E9D122" w14:textId="1D3CEBF9" w:rsidR="00673AFD" w:rsidRPr="00F734D4" w:rsidRDefault="00673AFD" w:rsidP="00673AFD">
            <w:pPr>
              <w:pStyle w:val="TableTextLeft-Indent"/>
              <w:rPr>
                <w:rFonts w:eastAsia="Arial"/>
              </w:rPr>
            </w:pPr>
            <w:r w:rsidRPr="00F734D4">
              <w:t>Indemnities for specialised external advisers during the COVID</w:t>
            </w:r>
            <w:r w:rsidR="00D23095">
              <w:noBreakHyphen/>
            </w:r>
            <w:r w:rsidRPr="00F734D4">
              <w:t>19 pandemic</w:t>
            </w:r>
          </w:p>
        </w:tc>
        <w:tc>
          <w:tcPr>
            <w:tcW w:w="771" w:type="pct"/>
            <w:shd w:val="clear" w:color="auto" w:fill="FFFFFF" w:themeFill="background1"/>
            <w:noWrap/>
          </w:tcPr>
          <w:p w14:paraId="0508E125" w14:textId="364C1EBF" w:rsidR="00673AFD" w:rsidRPr="00F734D4" w:rsidRDefault="00673AFD" w:rsidP="00673AFD">
            <w:pPr>
              <w:pStyle w:val="TableTextLeft"/>
            </w:pPr>
            <w:r w:rsidRPr="00F734D4">
              <w:rPr>
                <w:rFonts w:eastAsia="Arial" w:cs="Arial"/>
              </w:rPr>
              <w:t>Unchanged</w:t>
            </w:r>
          </w:p>
        </w:tc>
      </w:tr>
      <w:tr w:rsidR="00673AFD" w:rsidRPr="00F734D4" w14:paraId="74ED6A3A" w14:textId="77777777" w:rsidTr="00673AFD">
        <w:trPr>
          <w:trHeight w:val="228"/>
        </w:trPr>
        <w:tc>
          <w:tcPr>
            <w:tcW w:w="4229" w:type="pct"/>
            <w:shd w:val="clear" w:color="auto" w:fill="FFFFFF" w:themeFill="background1"/>
            <w:noWrap/>
          </w:tcPr>
          <w:p w14:paraId="56397E84" w14:textId="21445650" w:rsidR="00673AFD" w:rsidRPr="00F734D4" w:rsidRDefault="00673AFD" w:rsidP="00673AFD">
            <w:pPr>
              <w:pStyle w:val="TableTextLeft-Indent"/>
              <w:rPr>
                <w:rFonts w:eastAsia="Arial"/>
              </w:rPr>
            </w:pPr>
            <w:r w:rsidRPr="00F734D4">
              <w:t>Small and Medium Enterprise (SME) Guarantee Scheme and SME Recovery Loan Scheme</w:t>
            </w:r>
          </w:p>
        </w:tc>
        <w:tc>
          <w:tcPr>
            <w:tcW w:w="771" w:type="pct"/>
            <w:shd w:val="clear" w:color="auto" w:fill="FFFFFF" w:themeFill="background1"/>
            <w:noWrap/>
          </w:tcPr>
          <w:p w14:paraId="76B766BD" w14:textId="55AFF522" w:rsidR="00673AFD" w:rsidRPr="00F734D4" w:rsidRDefault="00673AFD" w:rsidP="00673AFD">
            <w:pPr>
              <w:pStyle w:val="TableTextLeft"/>
            </w:pPr>
            <w:r w:rsidRPr="00F734D4">
              <w:t>Unchanged</w:t>
            </w:r>
          </w:p>
        </w:tc>
      </w:tr>
      <w:tr w:rsidR="00673AFD" w:rsidRPr="00F734D4" w14:paraId="77272654" w14:textId="77777777" w:rsidTr="00673AFD">
        <w:trPr>
          <w:trHeight w:val="228"/>
        </w:trPr>
        <w:tc>
          <w:tcPr>
            <w:tcW w:w="4229" w:type="pct"/>
            <w:shd w:val="clear" w:color="auto" w:fill="FFFFFF" w:themeFill="background1"/>
            <w:noWrap/>
          </w:tcPr>
          <w:p w14:paraId="6EE574B6" w14:textId="5A5BEA6C" w:rsidR="00673AFD" w:rsidRPr="00F734D4" w:rsidRDefault="00673AFD" w:rsidP="00673AFD">
            <w:pPr>
              <w:pStyle w:val="TableTextLeft-Indent"/>
              <w:rPr>
                <w:rFonts w:eastAsia="Arial"/>
              </w:rPr>
            </w:pPr>
            <w:r w:rsidRPr="00F734D4">
              <w:t xml:space="preserve">Terrorism insurance – commercial cover </w:t>
            </w:r>
          </w:p>
        </w:tc>
        <w:tc>
          <w:tcPr>
            <w:tcW w:w="771" w:type="pct"/>
            <w:shd w:val="clear" w:color="auto" w:fill="FFFFFF" w:themeFill="background1"/>
            <w:noWrap/>
          </w:tcPr>
          <w:p w14:paraId="73BB6539" w14:textId="133D1F9B" w:rsidR="00673AFD" w:rsidRPr="00F734D4" w:rsidRDefault="00673AFD" w:rsidP="00673AFD">
            <w:pPr>
              <w:pStyle w:val="TableTextLeft"/>
            </w:pPr>
            <w:r w:rsidRPr="00F734D4">
              <w:t>Unchanged</w:t>
            </w:r>
          </w:p>
        </w:tc>
      </w:tr>
      <w:tr w:rsidR="00673AFD" w:rsidRPr="00F734D4" w14:paraId="3F8B52A9" w14:textId="77777777">
        <w:trPr>
          <w:trHeight w:val="228"/>
        </w:trPr>
        <w:tc>
          <w:tcPr>
            <w:tcW w:w="4229" w:type="pct"/>
            <w:shd w:val="clear" w:color="auto" w:fill="auto"/>
            <w:noWrap/>
          </w:tcPr>
          <w:p w14:paraId="4C4D02E5" w14:textId="77777777" w:rsidR="00673AFD" w:rsidRPr="00F734D4" w:rsidRDefault="00673AFD" w:rsidP="00673AFD">
            <w:pPr>
              <w:pStyle w:val="TableTextLeft-Indent"/>
              <w:rPr>
                <w:rFonts w:eastAsia="Arial"/>
              </w:rPr>
            </w:pPr>
            <w:r w:rsidRPr="00F734D4">
              <w:t>Australian Taxation Office – tax disputes</w:t>
            </w:r>
          </w:p>
        </w:tc>
        <w:tc>
          <w:tcPr>
            <w:tcW w:w="771" w:type="pct"/>
            <w:shd w:val="clear" w:color="auto" w:fill="auto"/>
            <w:noWrap/>
          </w:tcPr>
          <w:p w14:paraId="4174F943" w14:textId="77777777" w:rsidR="00673AFD" w:rsidRPr="00F734D4" w:rsidRDefault="00673AFD" w:rsidP="00673AFD">
            <w:pPr>
              <w:pStyle w:val="TableTextLeft"/>
            </w:pPr>
            <w:r>
              <w:t>Modified</w:t>
            </w:r>
          </w:p>
        </w:tc>
      </w:tr>
      <w:tr w:rsidR="00673AFD" w:rsidRPr="00F734D4" w14:paraId="7B8CA7DB" w14:textId="77777777">
        <w:trPr>
          <w:trHeight w:val="228"/>
        </w:trPr>
        <w:tc>
          <w:tcPr>
            <w:tcW w:w="4229" w:type="pct"/>
            <w:shd w:val="clear" w:color="auto" w:fill="auto"/>
            <w:noWrap/>
          </w:tcPr>
          <w:p w14:paraId="5EEEF6A2" w14:textId="77777777" w:rsidR="00673AFD" w:rsidRPr="00F734D4" w:rsidRDefault="00673AFD" w:rsidP="00673AFD">
            <w:pPr>
              <w:pStyle w:val="TableTextLeft-Indent"/>
            </w:pPr>
            <w:r w:rsidRPr="00F734D4">
              <w:t>International financial institutions – uncalled capital subscriptions</w:t>
            </w:r>
          </w:p>
        </w:tc>
        <w:tc>
          <w:tcPr>
            <w:tcW w:w="771" w:type="pct"/>
            <w:shd w:val="clear" w:color="auto" w:fill="auto"/>
            <w:noWrap/>
          </w:tcPr>
          <w:p w14:paraId="10788B82" w14:textId="77777777" w:rsidR="00673AFD" w:rsidRPr="001A4B93" w:rsidDel="00833171" w:rsidRDefault="00673AFD" w:rsidP="00673AFD">
            <w:pPr>
              <w:pStyle w:val="TableTextLeft"/>
            </w:pPr>
            <w:r w:rsidRPr="001A4B93">
              <w:t>Modified</w:t>
            </w:r>
          </w:p>
        </w:tc>
      </w:tr>
      <w:tr w:rsidR="00673AFD" w:rsidRPr="00F734D4" w14:paraId="41BCD04D" w14:textId="77777777">
        <w:trPr>
          <w:trHeight w:val="228"/>
        </w:trPr>
        <w:tc>
          <w:tcPr>
            <w:tcW w:w="4229" w:type="pct"/>
            <w:shd w:val="clear" w:color="auto" w:fill="auto"/>
            <w:noWrap/>
          </w:tcPr>
          <w:p w14:paraId="5E106E26" w14:textId="77777777" w:rsidR="00673AFD" w:rsidRPr="00F734D4" w:rsidRDefault="00673AFD" w:rsidP="00673AFD">
            <w:pPr>
              <w:pStyle w:val="TableTextLeft-Indent"/>
            </w:pPr>
            <w:r w:rsidRPr="007A0989">
              <w:t xml:space="preserve">International Monetary Fund </w:t>
            </w:r>
            <w:r w:rsidRPr="00F734D4">
              <w:t>–</w:t>
            </w:r>
            <w:r w:rsidRPr="007A0989">
              <w:t xml:space="preserve"> 16th General Review of Quota</w:t>
            </w:r>
          </w:p>
        </w:tc>
        <w:tc>
          <w:tcPr>
            <w:tcW w:w="771" w:type="pct"/>
            <w:shd w:val="clear" w:color="auto" w:fill="auto"/>
            <w:noWrap/>
          </w:tcPr>
          <w:p w14:paraId="375E8FBB" w14:textId="77777777" w:rsidR="00673AFD" w:rsidRPr="00D22D4E" w:rsidRDefault="00673AFD" w:rsidP="00673AFD">
            <w:pPr>
              <w:pStyle w:val="TableTextLeft"/>
            </w:pPr>
            <w:r>
              <w:t>Modified</w:t>
            </w:r>
          </w:p>
        </w:tc>
      </w:tr>
      <w:tr w:rsidR="00673AFD" w:rsidRPr="00F734D4" w14:paraId="37E3B2C7" w14:textId="77777777">
        <w:trPr>
          <w:trHeight w:val="228"/>
        </w:trPr>
        <w:tc>
          <w:tcPr>
            <w:tcW w:w="4229" w:type="pct"/>
            <w:shd w:val="clear" w:color="auto" w:fill="auto"/>
            <w:noWrap/>
          </w:tcPr>
          <w:p w14:paraId="038FEBE0" w14:textId="77777777" w:rsidR="00673AFD" w:rsidRPr="00F734D4" w:rsidRDefault="00673AFD" w:rsidP="00673AFD">
            <w:pPr>
              <w:pStyle w:val="TableTextLeft-Indent"/>
            </w:pPr>
            <w:r w:rsidRPr="00F734D4">
              <w:t>International Monetary Fund – New Arrangements to Borrow &amp; Bilateral Borrowing Agreement</w:t>
            </w:r>
          </w:p>
        </w:tc>
        <w:tc>
          <w:tcPr>
            <w:tcW w:w="771" w:type="pct"/>
            <w:shd w:val="clear" w:color="auto" w:fill="auto"/>
            <w:noWrap/>
          </w:tcPr>
          <w:p w14:paraId="435891F1" w14:textId="77777777" w:rsidR="00673AFD" w:rsidRPr="00737152" w:rsidRDefault="00673AFD" w:rsidP="00673AFD">
            <w:pPr>
              <w:pStyle w:val="TableTextLeft"/>
            </w:pPr>
            <w:r w:rsidRPr="00D22D4E">
              <w:t>Modified</w:t>
            </w:r>
          </w:p>
        </w:tc>
      </w:tr>
      <w:tr w:rsidR="00673AFD" w:rsidRPr="00F734D4" w14:paraId="6DB5B87B" w14:textId="77777777">
        <w:trPr>
          <w:trHeight w:val="228"/>
        </w:trPr>
        <w:tc>
          <w:tcPr>
            <w:tcW w:w="4229" w:type="pct"/>
            <w:shd w:val="clear" w:color="auto" w:fill="auto"/>
            <w:noWrap/>
          </w:tcPr>
          <w:p w14:paraId="354E492C" w14:textId="77777777" w:rsidR="00673AFD" w:rsidRPr="00F734D4" w:rsidRDefault="00673AFD" w:rsidP="00673AFD">
            <w:pPr>
              <w:pStyle w:val="TableTextLeft-Indent"/>
            </w:pPr>
            <w:r w:rsidRPr="00F734D4">
              <w:t>International Monetary Fund – Poverty Reduction and Growth Trust</w:t>
            </w:r>
          </w:p>
        </w:tc>
        <w:tc>
          <w:tcPr>
            <w:tcW w:w="771" w:type="pct"/>
            <w:shd w:val="clear" w:color="auto" w:fill="auto"/>
            <w:noWrap/>
          </w:tcPr>
          <w:p w14:paraId="1759DE66" w14:textId="77777777" w:rsidR="00673AFD" w:rsidRPr="00F734D4" w:rsidRDefault="00673AFD" w:rsidP="00673AFD">
            <w:pPr>
              <w:pStyle w:val="TableTextLeft"/>
            </w:pPr>
            <w:r>
              <w:t>Modified</w:t>
            </w:r>
          </w:p>
        </w:tc>
      </w:tr>
      <w:tr w:rsidR="00673AFD" w:rsidRPr="00F734D4" w14:paraId="7E26539C" w14:textId="77777777">
        <w:trPr>
          <w:trHeight w:val="228"/>
        </w:trPr>
        <w:tc>
          <w:tcPr>
            <w:tcW w:w="4229" w:type="pct"/>
            <w:shd w:val="clear" w:color="auto" w:fill="auto"/>
            <w:noWrap/>
          </w:tcPr>
          <w:p w14:paraId="6F73472F" w14:textId="77777777" w:rsidR="00673AFD" w:rsidRPr="00F734D4" w:rsidRDefault="00673AFD" w:rsidP="00673AFD">
            <w:pPr>
              <w:pStyle w:val="TableTextLeft-Indent"/>
            </w:pPr>
            <w:r w:rsidRPr="00F734D4">
              <w:t>International Monetary Fund – Resilience and Sustainability Trust</w:t>
            </w:r>
          </w:p>
        </w:tc>
        <w:tc>
          <w:tcPr>
            <w:tcW w:w="771" w:type="pct"/>
            <w:shd w:val="clear" w:color="auto" w:fill="auto"/>
            <w:noWrap/>
          </w:tcPr>
          <w:p w14:paraId="347EC3B2" w14:textId="77777777" w:rsidR="00673AFD" w:rsidRPr="00F734D4" w:rsidRDefault="00673AFD" w:rsidP="00673AFD">
            <w:pPr>
              <w:pStyle w:val="TableTextLeft"/>
            </w:pPr>
            <w:r>
              <w:t>Modified</w:t>
            </w:r>
          </w:p>
        </w:tc>
      </w:tr>
      <w:tr w:rsidR="00673AFD" w:rsidRPr="00F734D4" w14:paraId="2FF93C19" w14:textId="77777777">
        <w:trPr>
          <w:trHeight w:val="228"/>
        </w:trPr>
        <w:tc>
          <w:tcPr>
            <w:tcW w:w="4229" w:type="pct"/>
            <w:shd w:val="clear" w:color="auto" w:fill="E6F2FF"/>
            <w:noWrap/>
          </w:tcPr>
          <w:p w14:paraId="1F62809C" w14:textId="34B1094A" w:rsidR="00673AFD" w:rsidRPr="00F734D4" w:rsidRDefault="00673AFD" w:rsidP="00673AFD">
            <w:pPr>
              <w:pStyle w:val="TableColumnHeadingLeft"/>
            </w:pPr>
            <w:r w:rsidRPr="00F734D4">
              <w:t>Veterans</w:t>
            </w:r>
            <w:r w:rsidR="00D23095">
              <w:t>’</w:t>
            </w:r>
            <w:r w:rsidRPr="00F734D4">
              <w:t xml:space="preserve"> Affairs</w:t>
            </w:r>
          </w:p>
        </w:tc>
        <w:tc>
          <w:tcPr>
            <w:tcW w:w="771" w:type="pct"/>
            <w:shd w:val="clear" w:color="auto" w:fill="E6F2FF"/>
            <w:noWrap/>
          </w:tcPr>
          <w:p w14:paraId="20EC9ABE" w14:textId="77777777" w:rsidR="00673AFD" w:rsidRPr="00F734D4" w:rsidRDefault="00673AFD" w:rsidP="00673AFD">
            <w:pPr>
              <w:pStyle w:val="TableColumnHeadingLeft"/>
            </w:pPr>
            <w:r w:rsidRPr="00F734D4">
              <w:t>Status</w:t>
            </w:r>
          </w:p>
        </w:tc>
      </w:tr>
      <w:tr w:rsidR="00673AFD" w:rsidRPr="00F734D4" w14:paraId="201E9432" w14:textId="77777777">
        <w:trPr>
          <w:trHeight w:val="228"/>
        </w:trPr>
        <w:tc>
          <w:tcPr>
            <w:tcW w:w="4229" w:type="pct"/>
            <w:shd w:val="clear" w:color="auto" w:fill="E6F2FF"/>
            <w:noWrap/>
          </w:tcPr>
          <w:p w14:paraId="07835318" w14:textId="77777777" w:rsidR="00673AFD" w:rsidRPr="00F734D4" w:rsidRDefault="00673AFD" w:rsidP="00673AFD">
            <w:pPr>
              <w:pStyle w:val="TableColumnHeadingLeft"/>
            </w:pPr>
            <w:r w:rsidRPr="00F734D4">
              <w:rPr>
                <w:rFonts w:eastAsia="Arial"/>
              </w:rPr>
              <w:t>Fiscal Risk</w:t>
            </w:r>
          </w:p>
        </w:tc>
        <w:tc>
          <w:tcPr>
            <w:tcW w:w="771" w:type="pct"/>
            <w:shd w:val="clear" w:color="auto" w:fill="E6F2FF"/>
            <w:noWrap/>
          </w:tcPr>
          <w:p w14:paraId="5417622F" w14:textId="77777777" w:rsidR="00673AFD" w:rsidRPr="00F734D4" w:rsidRDefault="00673AFD" w:rsidP="00673AFD">
            <w:pPr>
              <w:pStyle w:val="TableColumnHeadingRight"/>
            </w:pPr>
          </w:p>
        </w:tc>
      </w:tr>
      <w:tr w:rsidR="00673AFD" w:rsidRPr="005A4568" w14:paraId="05737FC3" w14:textId="77777777">
        <w:trPr>
          <w:trHeight w:val="228"/>
        </w:trPr>
        <w:tc>
          <w:tcPr>
            <w:tcW w:w="4229" w:type="pct"/>
            <w:shd w:val="clear" w:color="auto" w:fill="auto"/>
            <w:noWrap/>
          </w:tcPr>
          <w:p w14:paraId="502803F3" w14:textId="77777777" w:rsidR="00673AFD" w:rsidRPr="005A4568" w:rsidRDefault="00673AFD" w:rsidP="00673AFD">
            <w:pPr>
              <w:pStyle w:val="TableTextLeft-Indent"/>
              <w:rPr>
                <w:rFonts w:eastAsia="Arial"/>
              </w:rPr>
            </w:pPr>
            <w:r w:rsidRPr="005A4568">
              <w:t>Defence Service Homes Insurance Scheme</w:t>
            </w:r>
          </w:p>
        </w:tc>
        <w:tc>
          <w:tcPr>
            <w:tcW w:w="771" w:type="pct"/>
            <w:shd w:val="clear" w:color="auto" w:fill="auto"/>
            <w:noWrap/>
          </w:tcPr>
          <w:p w14:paraId="2A2C6D8D" w14:textId="66367F96" w:rsidR="00673AFD" w:rsidRPr="005A4568" w:rsidRDefault="00673AFD" w:rsidP="00673AFD">
            <w:pPr>
              <w:pStyle w:val="TableTextLeft"/>
            </w:pPr>
            <w:r w:rsidRPr="005A4568">
              <w:t>Unchanged</w:t>
            </w:r>
          </w:p>
        </w:tc>
      </w:tr>
    </w:tbl>
    <w:p w14:paraId="3AF8FE88" w14:textId="77777777" w:rsidR="0023618C" w:rsidRPr="009531BC" w:rsidRDefault="0023618C" w:rsidP="00DD257B">
      <w:pPr>
        <w:pStyle w:val="ChartandTableFootnoteAlpha"/>
        <w:numPr>
          <w:ilvl w:val="0"/>
          <w:numId w:val="9"/>
        </w:numPr>
      </w:pPr>
      <w:r w:rsidRPr="00C04421">
        <w:t>Detailed</w:t>
      </w:r>
      <w:r w:rsidRPr="009531BC">
        <w:t xml:space="preserve"> descriptions of the modified and new items are in the following text.</w:t>
      </w:r>
    </w:p>
    <w:p w14:paraId="7D498510" w14:textId="77777777" w:rsidR="0023618C" w:rsidRPr="001D718D" w:rsidRDefault="0023618C" w:rsidP="0023618C">
      <w:pPr>
        <w:pStyle w:val="TableLine"/>
      </w:pPr>
    </w:p>
    <w:p w14:paraId="653DF49D" w14:textId="294D5EEC" w:rsidR="006005B2" w:rsidRDefault="006005B2" w:rsidP="00037150">
      <w:bookmarkStart w:id="20" w:name="_Toc184039469"/>
      <w:r>
        <w:br w:type="page"/>
      </w:r>
    </w:p>
    <w:p w14:paraId="0882B8F7" w14:textId="35179864" w:rsidR="0023618C" w:rsidRPr="00B832E0" w:rsidRDefault="0023618C" w:rsidP="0074298E">
      <w:pPr>
        <w:pStyle w:val="Heading2"/>
      </w:pPr>
      <w:bookmarkStart w:id="21" w:name="_Toc193536172"/>
      <w:r w:rsidRPr="00B832E0">
        <w:lastRenderedPageBreak/>
        <w:t>Agriculture, Fisheries and Forestry</w:t>
      </w:r>
      <w:bookmarkEnd w:id="20"/>
      <w:bookmarkEnd w:id="21"/>
    </w:p>
    <w:p w14:paraId="19FEA2D7" w14:textId="77777777" w:rsidR="0023618C" w:rsidRDefault="0023618C" w:rsidP="0074298E">
      <w:pPr>
        <w:pStyle w:val="Heading3"/>
      </w:pPr>
      <w:bookmarkStart w:id="22" w:name="_Toc71117771"/>
      <w:bookmarkStart w:id="23" w:name="_Toc99141853"/>
      <w:bookmarkStart w:id="24" w:name="_Toc184039470"/>
      <w:bookmarkStart w:id="25" w:name="_Toc193536173"/>
      <w:r w:rsidRPr="00B832E0">
        <w:t>Contingent liabilities – unquantifiable</w:t>
      </w:r>
      <w:bookmarkEnd w:id="22"/>
      <w:bookmarkEnd w:id="23"/>
      <w:bookmarkEnd w:id="24"/>
      <w:bookmarkEnd w:id="25"/>
    </w:p>
    <w:p w14:paraId="21444A79" w14:textId="22171A16" w:rsidR="00FE2DFF" w:rsidRPr="00FE2DFF" w:rsidRDefault="00FE2DFF" w:rsidP="0074298E">
      <w:pPr>
        <w:pStyle w:val="Heading4"/>
        <w:rPr>
          <w:rFonts w:eastAsia="Arial"/>
        </w:rPr>
      </w:pPr>
      <w:bookmarkStart w:id="26" w:name="_Toc71117772"/>
      <w:r w:rsidRPr="00FE2DFF">
        <w:rPr>
          <w:rFonts w:eastAsia="Arial"/>
        </w:rPr>
        <w:t>Commonwealth liabilities in respect of matching payments to industries for research and development contributions</w:t>
      </w:r>
      <w:bookmarkEnd w:id="26"/>
    </w:p>
    <w:p w14:paraId="779253E0" w14:textId="47346D81" w:rsidR="00FE2DFF" w:rsidRPr="00FE2DFF" w:rsidRDefault="00FE2DFF" w:rsidP="0074298E">
      <w:r w:rsidRPr="00FE2DFF">
        <w:t>Under several Acts, the Commonwealth provides matching contributions to encourage expenditure on research and development (R&amp;D) and to increase the competitiveness and sustainability of industries within Australia. Matching contributions on eligible R&amp;D are subject to an annual limit that is calculated based on the determined gross value of production (GVP cap) for the industries. There will be a R&amp;D excess, which can be claimable in future years, where the cumulative R&amp;D expenditure is more than the GVP cap. The Commonwealth</w:t>
      </w:r>
      <w:r w:rsidR="00D23095">
        <w:t>’</w:t>
      </w:r>
      <w:r w:rsidRPr="00FE2DFF">
        <w:t>s future liability in respect of the matching contributions is contingent on the GVP cap and is therefore unquantifiable.</w:t>
      </w:r>
    </w:p>
    <w:p w14:paraId="58B9D40B" w14:textId="77777777" w:rsidR="0023618C" w:rsidRPr="006460F9" w:rsidRDefault="0023618C" w:rsidP="0074298E">
      <w:pPr>
        <w:pStyle w:val="Heading4"/>
        <w:rPr>
          <w:rFonts w:eastAsia="Arial"/>
        </w:rPr>
      </w:pPr>
      <w:r w:rsidRPr="006460F9">
        <w:rPr>
          <w:rFonts w:eastAsia="Arial"/>
        </w:rPr>
        <w:t>Emergency pest and disease response arrangements</w:t>
      </w:r>
    </w:p>
    <w:p w14:paraId="09AF10F8" w14:textId="2BD65B7F" w:rsidR="00E519C1" w:rsidRPr="00CA2DCF" w:rsidRDefault="00E519C1" w:rsidP="0074298E">
      <w:bookmarkStart w:id="27" w:name="_Toc99141854"/>
      <w:r w:rsidRPr="00CA2DCF">
        <w:t>National emergency response arrangements for animal, plant and environmental pest and disease incursions are largely funded through cost</w:t>
      </w:r>
      <w:r w:rsidR="00D23095">
        <w:noBreakHyphen/>
      </w:r>
      <w:r w:rsidRPr="00CA2DCF">
        <w:t>sharing agreements between Australian</w:t>
      </w:r>
      <w:r w:rsidRPr="00CA2DCF">
        <w:rPr>
          <w:rFonts w:eastAsia="Book Antiqua"/>
        </w:rPr>
        <w:t> </w:t>
      </w:r>
      <w:r w:rsidRPr="00CA2DCF">
        <w:t>governments and affected agricultural industry bodies. Under the terms of the emergency response cost</w:t>
      </w:r>
      <w:r w:rsidR="00D23095">
        <w:noBreakHyphen/>
      </w:r>
      <w:r w:rsidRPr="00CA2DCF">
        <w:t>sharing agreements, the Australian Government is typically liable for 50 per cent of the total government funding for a nationally agreed response to a pest or disease incursion. Funding is provided in the forward estimates for the Australian</w:t>
      </w:r>
      <w:r w:rsidRPr="00CA2DCF">
        <w:rPr>
          <w:rFonts w:eastAsia="Book Antiqua"/>
        </w:rPr>
        <w:t> </w:t>
      </w:r>
      <w:r w:rsidRPr="00CA2DCF">
        <w:t>Government</w:t>
      </w:r>
      <w:r w:rsidR="00D23095">
        <w:t>’</w:t>
      </w:r>
      <w:r w:rsidRPr="00CA2DCF">
        <w:t>s contributions under the emergency response agreements, which are then paid to the state or territory governments undertaking relevant activities.</w:t>
      </w:r>
    </w:p>
    <w:p w14:paraId="0E203729" w14:textId="5C2572F9" w:rsidR="00E519C1" w:rsidRDefault="00E519C1" w:rsidP="0074298E">
      <w:r w:rsidRPr="00CA2DCF">
        <w:t>There are currently 1</w:t>
      </w:r>
      <w:r>
        <w:t>5</w:t>
      </w:r>
      <w:r w:rsidRPr="00CA2DCF">
        <w:t xml:space="preserve"> national cost</w:t>
      </w:r>
      <w:r w:rsidR="00D23095">
        <w:noBreakHyphen/>
      </w:r>
      <w:r w:rsidRPr="00CA2DCF">
        <w:t>shared emergency responses</w:t>
      </w:r>
      <w:r>
        <w:t xml:space="preserve">. </w:t>
      </w:r>
      <w:r w:rsidRPr="00CA2DCF">
        <w:t>Since the 2024–25</w:t>
      </w:r>
      <w:r w:rsidRPr="00CA2DCF">
        <w:rPr>
          <w:rFonts w:eastAsia="Book Antiqua"/>
        </w:rPr>
        <w:t> </w:t>
      </w:r>
      <w:r w:rsidRPr="00CA2DCF">
        <w:t>Budget, the Australian Government has provided an additional $</w:t>
      </w:r>
      <w:r>
        <w:t>249</w:t>
      </w:r>
      <w:r w:rsidRPr="00CA2DCF">
        <w:t xml:space="preserve">.6 million for </w:t>
      </w:r>
      <w:r>
        <w:t xml:space="preserve">High Pathogenicity Avian Influenza (HPAI) </w:t>
      </w:r>
      <w:r w:rsidRPr="00CA2DCF">
        <w:t xml:space="preserve">H7 </w:t>
      </w:r>
      <w:r>
        <w:t xml:space="preserve">and H5N1 preparedness and response activities, including </w:t>
      </w:r>
      <w:r w:rsidRPr="001755CB">
        <w:t>$95.0 million across the agriculture, environment and health portfolios to manage the increased risk of an incursion</w:t>
      </w:r>
      <w:r>
        <w:t xml:space="preserve"> of HPAI H5N1</w:t>
      </w:r>
      <w:r w:rsidR="00DE3E4D">
        <w:t>. A</w:t>
      </w:r>
      <w:r>
        <w:t xml:space="preserve"> new national agreement</w:t>
      </w:r>
      <w:r w:rsidR="00570F5E">
        <w:t xml:space="preserve"> is</w:t>
      </w:r>
      <w:r>
        <w:t xml:space="preserve"> being developed to manage cross</w:t>
      </w:r>
      <w:r w:rsidR="00D23095">
        <w:noBreakHyphen/>
      </w:r>
      <w:r>
        <w:t>sectoral governance and cost</w:t>
      </w:r>
      <w:r w:rsidR="00D23095">
        <w:noBreakHyphen/>
      </w:r>
      <w:r>
        <w:t>sharing agreements.</w:t>
      </w:r>
    </w:p>
    <w:p w14:paraId="04F0D938" w14:textId="7C8FD179" w:rsidR="001938AA" w:rsidRDefault="00E519C1" w:rsidP="0074298E">
      <w:r>
        <w:t xml:space="preserve">The Australian, state and territory governments have developed a draft Aquatic Emergency Animal Disease Deed (the Deed) covering aquatic emergency animal diseases and have consulted prospective industry signatories. If the Deed is finalised, liabilities for the Australian Government </w:t>
      </w:r>
      <w:r w:rsidR="00570F5E">
        <w:t>could increase</w:t>
      </w:r>
      <w:r>
        <w:t>. The extent of these liabilities will depend on which parties sign the Deed and what emergency aquatic incursions occur that would be subject to the Deed arrangements.</w:t>
      </w:r>
      <w:r w:rsidR="001938AA">
        <w:br w:type="page"/>
      </w:r>
    </w:p>
    <w:p w14:paraId="005C90AD" w14:textId="069BB95B" w:rsidR="0023618C" w:rsidRPr="004F4CB2" w:rsidRDefault="0023618C" w:rsidP="0074298E">
      <w:pPr>
        <w:pStyle w:val="Heading2"/>
      </w:pPr>
      <w:bookmarkStart w:id="28" w:name="_Toc184039471"/>
      <w:bookmarkStart w:id="29" w:name="_Toc193536174"/>
      <w:r w:rsidRPr="004F4CB2">
        <w:lastRenderedPageBreak/>
        <w:t>Attorney</w:t>
      </w:r>
      <w:r w:rsidR="00DA6C39">
        <w:t>-</w:t>
      </w:r>
      <w:r w:rsidRPr="004F4CB2">
        <w:t>General</w:t>
      </w:r>
      <w:r w:rsidR="00D23095">
        <w:t>’</w:t>
      </w:r>
      <w:r w:rsidRPr="004F4CB2">
        <w:t>s</w:t>
      </w:r>
      <w:bookmarkEnd w:id="27"/>
      <w:bookmarkEnd w:id="28"/>
      <w:bookmarkEnd w:id="29"/>
    </w:p>
    <w:p w14:paraId="73F22ABE" w14:textId="77777777" w:rsidR="00815584" w:rsidRPr="00B832E0" w:rsidRDefault="00815584" w:rsidP="0074298E">
      <w:pPr>
        <w:pStyle w:val="Heading3"/>
      </w:pPr>
      <w:bookmarkStart w:id="30" w:name="_Toc166165489"/>
      <w:bookmarkStart w:id="31" w:name="_Toc193536175"/>
      <w:bookmarkStart w:id="32" w:name="_Toc184039472"/>
      <w:bookmarkStart w:id="33" w:name="_Hlk148351163"/>
      <w:bookmarkStart w:id="34" w:name="_Toc99141856"/>
      <w:r w:rsidRPr="00B832E0">
        <w:t>Significant but remote contingency</w:t>
      </w:r>
      <w:bookmarkEnd w:id="30"/>
      <w:bookmarkEnd w:id="31"/>
    </w:p>
    <w:p w14:paraId="2C5EBC0D" w14:textId="6B508519" w:rsidR="00815584" w:rsidRPr="00B832E0" w:rsidRDefault="00815584" w:rsidP="0074298E">
      <w:pPr>
        <w:pStyle w:val="Heading4"/>
        <w:rPr>
          <w:rFonts w:eastAsia="Arial"/>
        </w:rPr>
      </w:pPr>
      <w:r w:rsidRPr="00815584">
        <w:t>Indemnities relating to the Air Security Officer Capability</w:t>
      </w:r>
    </w:p>
    <w:p w14:paraId="59DFA60D" w14:textId="3BFEF02A" w:rsidR="00815584" w:rsidRPr="00815584" w:rsidRDefault="00815584" w:rsidP="0074298E">
      <w:r w:rsidRPr="00815584">
        <w:t>The Australian Government has provided an indemnity to two Australian airlines connected with agreements to allow Air Security Officers on board their aircraft. The indemnities are limited to $2</w:t>
      </w:r>
      <w:r w:rsidRPr="00815584">
        <w:rPr>
          <w:rFonts w:hint="eastAsia"/>
        </w:rPr>
        <w:t> billion</w:t>
      </w:r>
      <w:r w:rsidRPr="00815584">
        <w:t xml:space="preserve"> per incident. The indemnity only applies where the airline(s) can establish that loss, damage or claim resulted from an act by an Air Security Officer, under or in connection with the Air Security Officer program. The indemnity applies to the extent that any loss, damage or claim is not covered by existing relevant insurance policies held by the airline.</w:t>
      </w:r>
    </w:p>
    <w:p w14:paraId="7A26E202" w14:textId="4954F3E0" w:rsidR="0023618C" w:rsidRPr="00B832E0" w:rsidRDefault="0023618C" w:rsidP="0074298E">
      <w:pPr>
        <w:pStyle w:val="Heading3"/>
      </w:pPr>
      <w:bookmarkStart w:id="35" w:name="_Toc193536176"/>
      <w:r w:rsidRPr="00B832E0">
        <w:t xml:space="preserve">Contingent </w:t>
      </w:r>
      <w:r>
        <w:t>liabilit</w:t>
      </w:r>
      <w:r w:rsidR="00F73C0B">
        <w:t>ies</w:t>
      </w:r>
      <w:r w:rsidRPr="00B832E0">
        <w:t xml:space="preserve"> – unquantifiable</w:t>
      </w:r>
      <w:bookmarkEnd w:id="32"/>
      <w:bookmarkEnd w:id="35"/>
    </w:p>
    <w:bookmarkEnd w:id="33"/>
    <w:p w14:paraId="723D7753" w14:textId="323B3E6A" w:rsidR="00E519C1" w:rsidRPr="00E519C1" w:rsidRDefault="00E519C1" w:rsidP="0074298E">
      <w:pPr>
        <w:pStyle w:val="Heading4"/>
      </w:pPr>
      <w:r>
        <w:t>I</w:t>
      </w:r>
      <w:r w:rsidRPr="007D382F">
        <w:t>nvestor</w:t>
      </w:r>
      <w:r w:rsidR="00526954">
        <w:t>-</w:t>
      </w:r>
      <w:r w:rsidRPr="007D382F">
        <w:t>state claims against the Australian Government</w:t>
      </w:r>
    </w:p>
    <w:p w14:paraId="54C01F0E" w14:textId="13A83043" w:rsidR="00E519C1" w:rsidRPr="004B5293" w:rsidRDefault="00E519C1" w:rsidP="0074298E">
      <w:r>
        <w:t>On 28 March 2023, t</w:t>
      </w:r>
      <w:r w:rsidRPr="004B5293">
        <w:t xml:space="preserve">he Commonwealth received a notice of arbitration from Singapore registered company </w:t>
      </w:r>
      <w:proofErr w:type="spellStart"/>
      <w:r w:rsidRPr="004B5293">
        <w:t>Zeph</w:t>
      </w:r>
      <w:proofErr w:type="spellEnd"/>
      <w:r w:rsidRPr="004B5293">
        <w:t xml:space="preserve"> Investments Pte Ltd (</w:t>
      </w:r>
      <w:proofErr w:type="spellStart"/>
      <w:r w:rsidRPr="004B5293">
        <w:t>Zeph</w:t>
      </w:r>
      <w:proofErr w:type="spellEnd"/>
      <w:r w:rsidRPr="004B5293">
        <w:t xml:space="preserve">) concerning a dispute about the </w:t>
      </w:r>
      <w:r w:rsidRPr="00B078A4">
        <w:rPr>
          <w:rStyle w:val="Emphasis"/>
        </w:rPr>
        <w:t>Iron</w:t>
      </w:r>
      <w:r w:rsidR="001071EC">
        <w:rPr>
          <w:rStyle w:val="Emphasis"/>
        </w:rPr>
        <w:t> </w:t>
      </w:r>
      <w:r w:rsidRPr="00B078A4">
        <w:rPr>
          <w:rStyle w:val="Emphasis"/>
        </w:rPr>
        <w:t>Ore Processing (Mineralogy Pty Ltd) Agreement Amendment Act 2020 (WA).</w:t>
      </w:r>
      <w:r w:rsidRPr="004B5293">
        <w:t xml:space="preserve"> </w:t>
      </w:r>
      <w:proofErr w:type="spellStart"/>
      <w:r w:rsidRPr="004B5293">
        <w:t>Zeph</w:t>
      </w:r>
      <w:proofErr w:type="spellEnd"/>
      <w:r w:rsidRPr="004B5293">
        <w:t xml:space="preserve"> raised</w:t>
      </w:r>
      <w:r w:rsidR="001071EC">
        <w:t> </w:t>
      </w:r>
      <w:r w:rsidRPr="004B5293">
        <w:t>this</w:t>
      </w:r>
      <w:r w:rsidR="001071EC">
        <w:t> </w:t>
      </w:r>
      <w:r w:rsidRPr="004B5293">
        <w:t xml:space="preserve">claim under Chapter 11 (Investment) of the </w:t>
      </w:r>
      <w:r w:rsidRPr="00B078A4">
        <w:rPr>
          <w:rStyle w:val="Emphasis"/>
        </w:rPr>
        <w:t>Agreement Establishing the ASEAN</w:t>
      </w:r>
      <w:r w:rsidR="00D23095">
        <w:rPr>
          <w:rStyle w:val="Emphasis"/>
        </w:rPr>
        <w:noBreakHyphen/>
      </w:r>
      <w:r w:rsidRPr="00B078A4">
        <w:rPr>
          <w:rStyle w:val="Emphasis"/>
        </w:rPr>
        <w:t>Australia</w:t>
      </w:r>
      <w:r w:rsidR="00D23095">
        <w:rPr>
          <w:rStyle w:val="Emphasis"/>
        </w:rPr>
        <w:noBreakHyphen/>
      </w:r>
      <w:r w:rsidRPr="00B078A4">
        <w:rPr>
          <w:rStyle w:val="Emphasis"/>
        </w:rPr>
        <w:t>New</w:t>
      </w:r>
      <w:r w:rsidR="001071EC">
        <w:rPr>
          <w:rStyle w:val="Emphasis"/>
        </w:rPr>
        <w:t> </w:t>
      </w:r>
      <w:r w:rsidRPr="00B078A4">
        <w:rPr>
          <w:rStyle w:val="Emphasis"/>
        </w:rPr>
        <w:t>Zealand Free Trade Area</w:t>
      </w:r>
      <w:r w:rsidRPr="004B5293">
        <w:rPr>
          <w:i/>
          <w:iCs/>
        </w:rPr>
        <w:t xml:space="preserve"> </w:t>
      </w:r>
      <w:r w:rsidRPr="004B5293">
        <w:t>(AANZFTA)</w:t>
      </w:r>
      <w:r w:rsidRPr="004B5293">
        <w:rPr>
          <w:i/>
          <w:iCs/>
        </w:rPr>
        <w:t>.</w:t>
      </w:r>
      <w:r w:rsidRPr="004B5293">
        <w:t xml:space="preserve"> </w:t>
      </w:r>
    </w:p>
    <w:p w14:paraId="697442BC" w14:textId="5F91DB7D" w:rsidR="00E519C1" w:rsidRPr="004B5293" w:rsidRDefault="00E519C1" w:rsidP="0074298E">
      <w:r w:rsidRPr="004B5293">
        <w:t>Subsequently, the Commonwealth received three further notices of arbitration from Zeph. The first concerns a dispute about exploration permits held by Waratah Coal Pty Ltd (Waratah) in the Galilee Basin of Queensland. The second concerns a dispute about a coal mine proposed by Waratah in the Galilee Basin. The third concerns a dispute about a coal</w:t>
      </w:r>
      <w:r w:rsidR="00D23095">
        <w:noBreakHyphen/>
      </w:r>
      <w:r w:rsidRPr="004B5293">
        <w:t xml:space="preserve">fired power station proposed by Waratah in the Galilee Basin. </w:t>
      </w:r>
      <w:proofErr w:type="spellStart"/>
      <w:r w:rsidRPr="004B5293">
        <w:t>Zeph</w:t>
      </w:r>
      <w:proofErr w:type="spellEnd"/>
      <w:r w:rsidRPr="004B5293">
        <w:t xml:space="preserve"> raised each of these claims under Chapter</w:t>
      </w:r>
      <w:r w:rsidR="00A017E3">
        <w:t> </w:t>
      </w:r>
      <w:r w:rsidRPr="004B5293">
        <w:t xml:space="preserve">11 (Investment) of the AANZFTA. </w:t>
      </w:r>
    </w:p>
    <w:p w14:paraId="31C50CE1" w14:textId="50505592" w:rsidR="0023618C" w:rsidRDefault="00E519C1" w:rsidP="0074298E">
      <w:r w:rsidRPr="004B5293">
        <w:t>Should the Australian Government be unsuccessful in these proceedings, it would be liable for any compensation found to be payable to Zeph. Any such potential liability cannot be quantified at this stage.</w:t>
      </w:r>
    </w:p>
    <w:p w14:paraId="35EEF228" w14:textId="0B0EF863" w:rsidR="00BB1C65" w:rsidRPr="00B832E0" w:rsidRDefault="00BB1C65" w:rsidP="0074298E">
      <w:pPr>
        <w:pStyle w:val="Heading4"/>
      </w:pPr>
      <w:r w:rsidRPr="00B832E0">
        <w:t>Native Title costs</w:t>
      </w:r>
    </w:p>
    <w:p w14:paraId="277E5E28" w14:textId="3A7C513A" w:rsidR="00BB1C65" w:rsidRPr="001D1B09" w:rsidRDefault="00BB1C65" w:rsidP="0074298E">
      <w:r w:rsidRPr="00B832E0">
        <w:t xml:space="preserve">The Australian Government will likely be liable for any compensation found to be payable under the </w:t>
      </w:r>
      <w:r w:rsidRPr="00D37700">
        <w:rPr>
          <w:rStyle w:val="Emphasis"/>
        </w:rPr>
        <w:t xml:space="preserve">Native Title Act 1993 </w:t>
      </w:r>
      <w:r w:rsidRPr="00B832E0">
        <w:t xml:space="preserve">in respect of compensable acts for which the </w:t>
      </w:r>
      <w:r>
        <w:t>Australian Government</w:t>
      </w:r>
      <w:r w:rsidRPr="00B832E0">
        <w:t xml:space="preserve"> is responsible. While the High Court</w:t>
      </w:r>
      <w:r w:rsidR="00D23095">
        <w:t>’</w:t>
      </w:r>
      <w:r w:rsidRPr="00B832E0">
        <w:t xml:space="preserve">s decision in the </w:t>
      </w:r>
      <w:r w:rsidRPr="00D37700">
        <w:rPr>
          <w:rStyle w:val="Emphasis"/>
        </w:rPr>
        <w:t>Timber</w:t>
      </w:r>
      <w:r w:rsidRPr="00D37700">
        <w:rPr>
          <w:rStyle w:val="Emphasis"/>
          <w:rFonts w:hint="eastAsia"/>
        </w:rPr>
        <w:t> </w:t>
      </w:r>
      <w:r w:rsidRPr="00D37700">
        <w:rPr>
          <w:rStyle w:val="Emphasis"/>
        </w:rPr>
        <w:t>Creek</w:t>
      </w:r>
      <w:r w:rsidRPr="00BB1C65">
        <w:t xml:space="preserve"> </w:t>
      </w:r>
      <w:r w:rsidRPr="00B832E0">
        <w:t>litigation (</w:t>
      </w:r>
      <w:r w:rsidRPr="00D37700">
        <w:rPr>
          <w:rStyle w:val="Emphasis"/>
        </w:rPr>
        <w:t>Northern Territory v Griffiths et al</w:t>
      </w:r>
      <w:r w:rsidRPr="00BB1C65">
        <w:t xml:space="preserve"> </w:t>
      </w:r>
      <w:r w:rsidRPr="00B832E0">
        <w:t>[2019]</w:t>
      </w:r>
      <w:r>
        <w:t> </w:t>
      </w:r>
      <w:r w:rsidRPr="00B832E0">
        <w:t>HCA</w:t>
      </w:r>
      <w:r>
        <w:t> </w:t>
      </w:r>
      <w:r w:rsidRPr="00B832E0">
        <w:t xml:space="preserve">7) provides guidance on the principles for calculating compensation under the </w:t>
      </w:r>
      <w:r w:rsidRPr="00D37700">
        <w:rPr>
          <w:rStyle w:val="Emphasis"/>
        </w:rPr>
        <w:t>Native Title Act,</w:t>
      </w:r>
      <w:r w:rsidRPr="00B832E0">
        <w:t xml:space="preserve"> the Australian</w:t>
      </w:r>
      <w:r w:rsidRPr="00B832E0">
        <w:rPr>
          <w:rFonts w:hint="eastAsia"/>
        </w:rPr>
        <w:t> </w:t>
      </w:r>
      <w:r w:rsidRPr="00B832E0">
        <w:t>Government</w:t>
      </w:r>
      <w:r w:rsidR="00D23095">
        <w:t>’</w:t>
      </w:r>
      <w:r w:rsidRPr="00B832E0">
        <w:t>s</w:t>
      </w:r>
      <w:r w:rsidRPr="00BB1C65">
        <w:t xml:space="preserve"> </w:t>
      </w:r>
      <w:r w:rsidRPr="00B832E0">
        <w:t>liability</w:t>
      </w:r>
      <w:r w:rsidRPr="00BB1C65">
        <w:t xml:space="preserve"> </w:t>
      </w:r>
      <w:r w:rsidRPr="00B832E0">
        <w:t>cannot</w:t>
      </w:r>
      <w:r w:rsidRPr="00BB1C65">
        <w:t xml:space="preserve"> </w:t>
      </w:r>
      <w:r w:rsidRPr="00B832E0">
        <w:t>be</w:t>
      </w:r>
      <w:r w:rsidRPr="00BB1C65">
        <w:t xml:space="preserve"> </w:t>
      </w:r>
      <w:r w:rsidRPr="00B832E0">
        <w:t>quantified</w:t>
      </w:r>
      <w:r w:rsidRPr="00BB1C65">
        <w:t xml:space="preserve"> </w:t>
      </w:r>
      <w:r w:rsidRPr="00B832E0">
        <w:t>owing</w:t>
      </w:r>
      <w:r w:rsidRPr="00BB1C65">
        <w:t xml:space="preserve"> </w:t>
      </w:r>
      <w:r w:rsidRPr="00B832E0">
        <w:t>to</w:t>
      </w:r>
      <w:r w:rsidRPr="00BB1C65">
        <w:t xml:space="preserve"> </w:t>
      </w:r>
      <w:r w:rsidRPr="00B832E0">
        <w:t>uncertainty</w:t>
      </w:r>
      <w:r w:rsidRPr="00BB1C65">
        <w:t xml:space="preserve"> </w:t>
      </w:r>
      <w:r w:rsidRPr="00B832E0">
        <w:t>about</w:t>
      </w:r>
      <w:r w:rsidRPr="00BB1C65">
        <w:t xml:space="preserve"> </w:t>
      </w:r>
      <w:r w:rsidRPr="00B832E0">
        <w:t>the</w:t>
      </w:r>
      <w:r w:rsidRPr="00BB1C65">
        <w:t xml:space="preserve"> </w:t>
      </w:r>
      <w:r w:rsidRPr="00B832E0">
        <w:t>number</w:t>
      </w:r>
      <w:r w:rsidRPr="00BB1C65">
        <w:t xml:space="preserve"> </w:t>
      </w:r>
      <w:r w:rsidRPr="00B832E0">
        <w:t>and effect of compensable acts, and the value of Native Title affected by those</w:t>
      </w:r>
      <w:r w:rsidRPr="00BB1C65">
        <w:t xml:space="preserve"> </w:t>
      </w:r>
      <w:r w:rsidRPr="00B832E0">
        <w:t>acts.</w:t>
      </w:r>
    </w:p>
    <w:p w14:paraId="6F8BF1D8" w14:textId="77777777" w:rsidR="0023618C" w:rsidRPr="00B832E0" w:rsidRDefault="0023618C" w:rsidP="0074298E">
      <w:pPr>
        <w:pStyle w:val="Heading3"/>
      </w:pPr>
      <w:bookmarkStart w:id="36" w:name="_Toc184039473"/>
      <w:bookmarkStart w:id="37" w:name="_Toc193536177"/>
      <w:r w:rsidRPr="00B832E0">
        <w:lastRenderedPageBreak/>
        <w:t>Contingent asset – unquantifiable</w:t>
      </w:r>
      <w:bookmarkEnd w:id="36"/>
      <w:bookmarkEnd w:id="37"/>
    </w:p>
    <w:p w14:paraId="66C9F110" w14:textId="4CB616F4" w:rsidR="0023618C" w:rsidRPr="007939C3" w:rsidRDefault="0023618C" w:rsidP="0074298E">
      <w:pPr>
        <w:pStyle w:val="Heading4"/>
        <w:rPr>
          <w:lang w:val="en-US"/>
        </w:rPr>
      </w:pPr>
      <w:bookmarkStart w:id="38" w:name="_Hlk148351180"/>
      <w:bookmarkStart w:id="39" w:name="_Hlk148524101"/>
      <w:r w:rsidRPr="007939C3">
        <w:rPr>
          <w:iCs/>
          <w:lang w:val="en-US"/>
        </w:rPr>
        <w:t>Civil penalty relating to the</w:t>
      </w:r>
      <w:r w:rsidRPr="007939C3">
        <w:rPr>
          <w:lang w:val="en-US"/>
        </w:rPr>
        <w:t xml:space="preserve"> </w:t>
      </w:r>
      <w:r w:rsidRPr="00D37700">
        <w:rPr>
          <w:rStyle w:val="Emphasis"/>
        </w:rPr>
        <w:t>Anti</w:t>
      </w:r>
      <w:r w:rsidR="00D23095">
        <w:rPr>
          <w:rStyle w:val="Emphasis"/>
        </w:rPr>
        <w:noBreakHyphen/>
      </w:r>
      <w:r w:rsidRPr="00D37700">
        <w:rPr>
          <w:rStyle w:val="Emphasis"/>
        </w:rPr>
        <w:t>Money Laundering and Counter</w:t>
      </w:r>
      <w:r w:rsidR="00D23095">
        <w:rPr>
          <w:rStyle w:val="Emphasis"/>
        </w:rPr>
        <w:noBreakHyphen/>
      </w:r>
      <w:r w:rsidRPr="00D37700">
        <w:rPr>
          <w:rStyle w:val="Emphasis"/>
        </w:rPr>
        <w:t>Terrorism Financing Act 2006</w:t>
      </w:r>
      <w:r w:rsidRPr="007939C3">
        <w:rPr>
          <w:lang w:val="en-US"/>
        </w:rPr>
        <w:t xml:space="preserve"> </w:t>
      </w:r>
      <w:r w:rsidR="00A577CE" w:rsidRPr="00B832E0">
        <w:t>–</w:t>
      </w:r>
      <w:r w:rsidR="00A577CE">
        <w:t xml:space="preserve"> </w:t>
      </w:r>
      <w:r w:rsidR="00EE7BA1">
        <w:t>The Star Pty</w:t>
      </w:r>
      <w:r w:rsidR="006977D3">
        <w:t xml:space="preserve"> Limited</w:t>
      </w:r>
      <w:r w:rsidR="00EE7BA1">
        <w:t xml:space="preserve"> and The Star Entertainment QLD</w:t>
      </w:r>
      <w:r w:rsidR="006977D3">
        <w:t xml:space="preserve"> Limited</w:t>
      </w:r>
    </w:p>
    <w:p w14:paraId="6B43AE16" w14:textId="061D3C9A" w:rsidR="00A577CE" w:rsidRPr="00A45685" w:rsidRDefault="00A577CE" w:rsidP="0074298E">
      <w:pPr>
        <w:rPr>
          <w:rFonts w:eastAsia="Arial"/>
        </w:rPr>
      </w:pPr>
      <w:bookmarkStart w:id="40" w:name="_Toc184039474"/>
      <w:bookmarkEnd w:id="38"/>
      <w:bookmarkEnd w:id="39"/>
      <w:r w:rsidRPr="00A45685">
        <w:rPr>
          <w:rFonts w:eastAsia="Arial"/>
        </w:rPr>
        <w:t>On 30 November 2022, the Australian Transaction Reports and Analysis Centre applied to the Federal Court of Australia for a civil penalty order against The</w:t>
      </w:r>
      <w:r w:rsidRPr="00A45685">
        <w:rPr>
          <w:rFonts w:eastAsia="Book Antiqua"/>
        </w:rPr>
        <w:t> </w:t>
      </w:r>
      <w:r w:rsidRPr="00A45685">
        <w:rPr>
          <w:rFonts w:eastAsia="Arial"/>
        </w:rPr>
        <w:t xml:space="preserve">Star Pty Limited and The Star Entertainment QLD Limited for alleged serious contraventions of the </w:t>
      </w:r>
      <w:r w:rsidRPr="00D37700">
        <w:rPr>
          <w:rStyle w:val="Emphasis"/>
          <w:rFonts w:eastAsia="Arial"/>
        </w:rPr>
        <w:t>Anti</w:t>
      </w:r>
      <w:r w:rsidR="00D23095">
        <w:rPr>
          <w:rStyle w:val="Emphasis"/>
          <w:rFonts w:eastAsia="Arial"/>
        </w:rPr>
        <w:noBreakHyphen/>
      </w:r>
      <w:r w:rsidRPr="00D37700">
        <w:rPr>
          <w:rStyle w:val="Emphasis"/>
          <w:rFonts w:eastAsia="Arial"/>
        </w:rPr>
        <w:t>Money Laundering and Counter</w:t>
      </w:r>
      <w:r w:rsidR="00D23095">
        <w:rPr>
          <w:rStyle w:val="Emphasis"/>
          <w:rFonts w:eastAsia="Arial"/>
        </w:rPr>
        <w:noBreakHyphen/>
      </w:r>
      <w:r w:rsidRPr="00D37700">
        <w:rPr>
          <w:rStyle w:val="Emphasis"/>
          <w:rFonts w:eastAsia="Arial"/>
        </w:rPr>
        <w:t>Terrorism Financing Act 2006</w:t>
      </w:r>
      <w:r w:rsidRPr="00A45685">
        <w:rPr>
          <w:rFonts w:eastAsia="Arial"/>
          <w:i/>
          <w:iCs/>
        </w:rPr>
        <w:t xml:space="preserve"> </w:t>
      </w:r>
      <w:r w:rsidRPr="00A45685">
        <w:rPr>
          <w:rFonts w:eastAsia="Arial"/>
        </w:rPr>
        <w:t xml:space="preserve"> </w:t>
      </w:r>
      <w:r w:rsidR="003D0FE2" w:rsidRPr="002D310C">
        <w:rPr>
          <w:rFonts w:eastAsia="Book Antiqua"/>
        </w:rPr>
        <w:t>(AML/CTF Act)</w:t>
      </w:r>
      <w:r w:rsidR="003D0FE2">
        <w:rPr>
          <w:rFonts w:eastAsia="Book Antiqua"/>
        </w:rPr>
        <w:t xml:space="preserve"> </w:t>
      </w:r>
      <w:r w:rsidRPr="00A45685">
        <w:rPr>
          <w:rFonts w:eastAsia="Arial"/>
        </w:rPr>
        <w:t xml:space="preserve">including failures to properly assess money laundering and terrorism financing risks, and failures to undertake appropriate customer due diligence. The matter </w:t>
      </w:r>
      <w:r>
        <w:rPr>
          <w:rFonts w:eastAsia="Arial"/>
        </w:rPr>
        <w:t xml:space="preserve">remains </w:t>
      </w:r>
      <w:proofErr w:type="gramStart"/>
      <w:r>
        <w:rPr>
          <w:rFonts w:eastAsia="Arial"/>
        </w:rPr>
        <w:t>ongoing</w:t>
      </w:r>
      <w:proofErr w:type="gramEnd"/>
      <w:r w:rsidR="007F711B">
        <w:rPr>
          <w:rFonts w:eastAsia="Arial"/>
        </w:rPr>
        <w:t xml:space="preserve"> </w:t>
      </w:r>
      <w:r>
        <w:rPr>
          <w:rFonts w:eastAsia="Arial"/>
        </w:rPr>
        <w:t>and</w:t>
      </w:r>
      <w:r w:rsidRPr="00A45685">
        <w:rPr>
          <w:rFonts w:eastAsia="Arial"/>
        </w:rPr>
        <w:t xml:space="preserve"> </w:t>
      </w:r>
      <w:r>
        <w:rPr>
          <w:rFonts w:eastAsia="Arial"/>
        </w:rPr>
        <w:t xml:space="preserve">any potential </w:t>
      </w:r>
      <w:r w:rsidRPr="00A45685">
        <w:rPr>
          <w:rFonts w:eastAsia="Arial"/>
        </w:rPr>
        <w:t xml:space="preserve">penalties </w:t>
      </w:r>
      <w:r>
        <w:rPr>
          <w:rFonts w:eastAsia="Arial"/>
        </w:rPr>
        <w:t>are unquantifiable at this time</w:t>
      </w:r>
      <w:r w:rsidRPr="00A45685">
        <w:rPr>
          <w:rFonts w:eastAsia="Arial"/>
        </w:rPr>
        <w:t xml:space="preserve">. </w:t>
      </w:r>
    </w:p>
    <w:p w14:paraId="7DE27620" w14:textId="1ED64DDB" w:rsidR="005D605E" w:rsidRPr="007939C3" w:rsidRDefault="005D605E" w:rsidP="0074298E">
      <w:pPr>
        <w:pStyle w:val="Heading4"/>
        <w:rPr>
          <w:lang w:val="en-US"/>
        </w:rPr>
      </w:pPr>
      <w:r w:rsidRPr="002D310C">
        <w:rPr>
          <w:rFonts w:eastAsia="Calibri"/>
          <w:lang w:eastAsia="en-US"/>
        </w:rPr>
        <w:t xml:space="preserve">Civil penalty relating to the </w:t>
      </w:r>
      <w:r w:rsidRPr="00D37700">
        <w:rPr>
          <w:rStyle w:val="Emphasis"/>
          <w:rFonts w:eastAsia="Calibri"/>
        </w:rPr>
        <w:t>Anti</w:t>
      </w:r>
      <w:r w:rsidR="00D23095">
        <w:rPr>
          <w:rStyle w:val="Emphasis"/>
          <w:rFonts w:eastAsia="Calibri"/>
        </w:rPr>
        <w:noBreakHyphen/>
      </w:r>
      <w:r w:rsidRPr="00D37700">
        <w:rPr>
          <w:rStyle w:val="Emphasis"/>
          <w:rFonts w:eastAsia="Calibri"/>
        </w:rPr>
        <w:t>Money Laundering and Counter</w:t>
      </w:r>
      <w:r w:rsidR="00D23095">
        <w:rPr>
          <w:rStyle w:val="Emphasis"/>
          <w:rFonts w:eastAsia="Calibri"/>
        </w:rPr>
        <w:noBreakHyphen/>
      </w:r>
      <w:r w:rsidRPr="00D37700">
        <w:rPr>
          <w:rStyle w:val="Emphasis"/>
          <w:rFonts w:eastAsia="Calibri"/>
        </w:rPr>
        <w:t>Terrorism Financing Act 2006</w:t>
      </w:r>
      <w:r>
        <w:rPr>
          <w:rFonts w:eastAsia="Calibri"/>
          <w:b w:val="0"/>
          <w:i/>
          <w:iCs/>
        </w:rPr>
        <w:t xml:space="preserve"> </w:t>
      </w:r>
      <w:r w:rsidRPr="00B832E0">
        <w:t>–</w:t>
      </w:r>
      <w:r>
        <w:t xml:space="preserve"> </w:t>
      </w:r>
      <w:proofErr w:type="spellStart"/>
      <w:r>
        <w:t>Entain</w:t>
      </w:r>
      <w:proofErr w:type="spellEnd"/>
      <w:r>
        <w:t xml:space="preserve"> Group Pty Ltd</w:t>
      </w:r>
    </w:p>
    <w:p w14:paraId="7C8B7BBA" w14:textId="1E735B90" w:rsidR="00DB549E" w:rsidRPr="002D310C" w:rsidRDefault="005D605E" w:rsidP="0074298E">
      <w:pPr>
        <w:rPr>
          <w:rFonts w:eastAsia="Book Antiqua"/>
        </w:rPr>
      </w:pPr>
      <w:r w:rsidRPr="002D310C">
        <w:rPr>
          <w:rFonts w:eastAsia="Book Antiqua"/>
        </w:rPr>
        <w:t xml:space="preserve">On 16 December 2024, the Australian Transaction Reports and Analysis Centre (AUSTRAC) applied to the Federal Court of Australia for a civil penalty order against </w:t>
      </w:r>
      <w:proofErr w:type="spellStart"/>
      <w:r w:rsidRPr="002D310C">
        <w:rPr>
          <w:rFonts w:eastAsia="Book Antiqua"/>
        </w:rPr>
        <w:t>Entain</w:t>
      </w:r>
      <w:proofErr w:type="spellEnd"/>
      <w:r w:rsidRPr="002D310C">
        <w:rPr>
          <w:rFonts w:eastAsia="Book Antiqua"/>
        </w:rPr>
        <w:t xml:space="preserve"> Group Pty Ltd (</w:t>
      </w:r>
      <w:proofErr w:type="spellStart"/>
      <w:r w:rsidRPr="002D310C">
        <w:rPr>
          <w:rFonts w:eastAsia="Book Antiqua"/>
        </w:rPr>
        <w:t>Entain</w:t>
      </w:r>
      <w:proofErr w:type="spellEnd"/>
      <w:r w:rsidRPr="002D310C">
        <w:rPr>
          <w:rFonts w:eastAsia="Book Antiqua"/>
        </w:rPr>
        <w:t>) for alleged serious and systemic non</w:t>
      </w:r>
      <w:r w:rsidR="00D23095">
        <w:rPr>
          <w:rFonts w:eastAsia="Book Antiqua"/>
        </w:rPr>
        <w:noBreakHyphen/>
      </w:r>
      <w:r w:rsidRPr="002D310C">
        <w:rPr>
          <w:rFonts w:eastAsia="Book Antiqua"/>
        </w:rPr>
        <w:t xml:space="preserve">compliance with the </w:t>
      </w:r>
      <w:r w:rsidRPr="00D37700">
        <w:rPr>
          <w:rStyle w:val="Emphasis"/>
          <w:rFonts w:eastAsia="Book Antiqua"/>
        </w:rPr>
        <w:t>Anti</w:t>
      </w:r>
      <w:r w:rsidR="00D23095">
        <w:rPr>
          <w:rStyle w:val="Emphasis"/>
          <w:rFonts w:eastAsia="Book Antiqua"/>
        </w:rPr>
        <w:noBreakHyphen/>
      </w:r>
      <w:r w:rsidRPr="00D37700">
        <w:rPr>
          <w:rStyle w:val="Emphasis"/>
          <w:rFonts w:eastAsia="Book Antiqua"/>
        </w:rPr>
        <w:t>Money Laundering and Counter</w:t>
      </w:r>
      <w:r w:rsidR="00D23095">
        <w:rPr>
          <w:rStyle w:val="Emphasis"/>
          <w:rFonts w:eastAsia="Book Antiqua"/>
        </w:rPr>
        <w:noBreakHyphen/>
      </w:r>
      <w:r w:rsidRPr="00D37700">
        <w:rPr>
          <w:rStyle w:val="Emphasis"/>
          <w:rFonts w:eastAsia="Book Antiqua"/>
        </w:rPr>
        <w:t>Terrorism Financing Act 2006</w:t>
      </w:r>
      <w:r w:rsidRPr="002D310C">
        <w:rPr>
          <w:rFonts w:eastAsia="Book Antiqua"/>
        </w:rPr>
        <w:t xml:space="preserve"> (AML/CTF Act). </w:t>
      </w:r>
    </w:p>
    <w:p w14:paraId="38198284" w14:textId="065764A2" w:rsidR="001938AA" w:rsidRDefault="005D605E" w:rsidP="00C0119D">
      <w:pPr>
        <w:rPr>
          <w:rFonts w:eastAsia="Book Antiqua"/>
        </w:rPr>
      </w:pPr>
      <w:r w:rsidRPr="002D310C">
        <w:rPr>
          <w:rFonts w:eastAsia="Book Antiqua"/>
        </w:rPr>
        <w:t xml:space="preserve">AUSTRAC alleges that </w:t>
      </w:r>
      <w:proofErr w:type="spellStart"/>
      <w:r w:rsidRPr="002D310C">
        <w:rPr>
          <w:rFonts w:eastAsia="Book Antiqua"/>
        </w:rPr>
        <w:t>Entain</w:t>
      </w:r>
      <w:proofErr w:type="spellEnd"/>
      <w:r w:rsidRPr="002D310C">
        <w:rPr>
          <w:rFonts w:eastAsia="Book Antiqua"/>
        </w:rPr>
        <w:t xml:space="preserve"> failed to comply with obligations under the AML/CTF Act, including failures to develop and maintain a compliant anti</w:t>
      </w:r>
      <w:r w:rsidR="00D23095">
        <w:rPr>
          <w:rFonts w:eastAsia="Book Antiqua"/>
        </w:rPr>
        <w:noBreakHyphen/>
      </w:r>
      <w:r w:rsidRPr="002D310C">
        <w:rPr>
          <w:rFonts w:eastAsia="Book Antiqua"/>
        </w:rPr>
        <w:t>money laundering program and failure to properly assess money laundering and terrorism financing risks. The outcome of this matter is unknown, including whether any penalties will be imposed by the Court and, if so, the quantum of any penalties.</w:t>
      </w:r>
      <w:r w:rsidR="001938AA">
        <w:rPr>
          <w:rFonts w:eastAsia="Book Antiqua"/>
        </w:rPr>
        <w:br w:type="page"/>
      </w:r>
    </w:p>
    <w:p w14:paraId="42BE2E99" w14:textId="5CE63300" w:rsidR="0023618C" w:rsidRPr="00B832E0" w:rsidRDefault="0023618C" w:rsidP="00C0119D">
      <w:pPr>
        <w:pStyle w:val="Heading2"/>
      </w:pPr>
      <w:bookmarkStart w:id="41" w:name="_Toc193536178"/>
      <w:r w:rsidRPr="00B832E0">
        <w:lastRenderedPageBreak/>
        <w:t>Climate Change, Energy, the Environment and Water</w:t>
      </w:r>
      <w:bookmarkEnd w:id="40"/>
      <w:bookmarkEnd w:id="41"/>
    </w:p>
    <w:p w14:paraId="504F4548" w14:textId="77777777" w:rsidR="00B13BE2" w:rsidRPr="000A117E" w:rsidRDefault="00B13BE2" w:rsidP="000A117E">
      <w:pPr>
        <w:pStyle w:val="Heading3"/>
      </w:pPr>
      <w:bookmarkStart w:id="42" w:name="_Toc166165493"/>
      <w:bookmarkStart w:id="43" w:name="_Toc193536179"/>
      <w:bookmarkStart w:id="44" w:name="_Toc184039475"/>
      <w:r w:rsidRPr="000A117E">
        <w:t>Fiscal Risk</w:t>
      </w:r>
      <w:bookmarkEnd w:id="42"/>
      <w:bookmarkEnd w:id="43"/>
    </w:p>
    <w:p w14:paraId="0C21C170" w14:textId="77777777" w:rsidR="00B13BE2" w:rsidRPr="00B832E0" w:rsidRDefault="00B13BE2" w:rsidP="00C0119D">
      <w:pPr>
        <w:pStyle w:val="Heading4"/>
      </w:pPr>
      <w:bookmarkStart w:id="45" w:name="_Toc71117834"/>
      <w:r w:rsidRPr="00B832E0">
        <w:t>Snowy Hydro Limited</w:t>
      </w:r>
      <w:bookmarkEnd w:id="45"/>
    </w:p>
    <w:p w14:paraId="060696D8" w14:textId="1212874D" w:rsidR="00B13BE2" w:rsidRPr="00B13BE2" w:rsidRDefault="00B13BE2" w:rsidP="00C0119D">
      <w:pPr>
        <w:rPr>
          <w:rFonts w:eastAsia="Arial"/>
        </w:rPr>
      </w:pPr>
      <w:r w:rsidRPr="00B13BE2">
        <w:rPr>
          <w:rFonts w:eastAsia="Arial"/>
        </w:rPr>
        <w:t>The Australian Government has committed to provide additional financial support to Snowy Hydro Limited to support the delivery of the Snowy 2.0 pumped hydro project and the Hunter Power Project. These projects will improve the security and reliability of the National Electricity Market by providing reliable, dispatchable power and large</w:t>
      </w:r>
      <w:r w:rsidR="00D23095">
        <w:rPr>
          <w:rFonts w:eastAsia="Arial"/>
        </w:rPr>
        <w:noBreakHyphen/>
      </w:r>
      <w:r w:rsidRPr="00B13BE2">
        <w:rPr>
          <w:rFonts w:eastAsia="Arial"/>
        </w:rPr>
        <w:t xml:space="preserve">scale energy storage. Project risks for both projects include potential construction delays, cost pressures and cash flow forecasts. </w:t>
      </w:r>
    </w:p>
    <w:p w14:paraId="7F754118" w14:textId="5B4BC992" w:rsidR="00B13BE2" w:rsidRPr="00B13BE2" w:rsidRDefault="00B13BE2" w:rsidP="00C0119D">
      <w:pPr>
        <w:rPr>
          <w:rFonts w:eastAsia="Arial"/>
        </w:rPr>
      </w:pPr>
      <w:r w:rsidRPr="00B13BE2">
        <w:rPr>
          <w:rFonts w:eastAsia="Arial"/>
        </w:rPr>
        <w:t>The Government continues to monitor these risks through engagement and oversight of Snowy Hydro Limited.</w:t>
      </w:r>
    </w:p>
    <w:p w14:paraId="150E8CA2" w14:textId="266D061A" w:rsidR="0023618C" w:rsidRPr="00B832E0" w:rsidRDefault="0023618C" w:rsidP="00C0119D">
      <w:pPr>
        <w:pStyle w:val="Heading3"/>
      </w:pPr>
      <w:bookmarkStart w:id="46" w:name="_Toc193536180"/>
      <w:r w:rsidRPr="00B832E0">
        <w:t xml:space="preserve">Significant but remote </w:t>
      </w:r>
      <w:bookmarkEnd w:id="44"/>
      <w:r>
        <w:t>contingenc</w:t>
      </w:r>
      <w:r w:rsidR="006D33B0">
        <w:t>ies</w:t>
      </w:r>
      <w:bookmarkEnd w:id="46"/>
    </w:p>
    <w:p w14:paraId="6A35EFA7" w14:textId="4793EF8F" w:rsidR="0023618C" w:rsidRPr="00B832E0" w:rsidRDefault="0023618C" w:rsidP="00C0119D">
      <w:pPr>
        <w:pStyle w:val="Heading4"/>
      </w:pPr>
      <w:bookmarkStart w:id="47" w:name="_Toc71117836"/>
      <w:r w:rsidRPr="00B832E0">
        <w:t>Snowy Hydro Limited – Board Members</w:t>
      </w:r>
      <w:r w:rsidR="00D23095">
        <w:t>’</w:t>
      </w:r>
      <w:r w:rsidRPr="00B832E0">
        <w:t xml:space="preserve"> indemnity</w:t>
      </w:r>
      <w:bookmarkEnd w:id="47"/>
    </w:p>
    <w:p w14:paraId="3237BA7A" w14:textId="69079995" w:rsidR="0023618C" w:rsidRDefault="0023618C" w:rsidP="00C0119D">
      <w:pPr>
        <w:rPr>
          <w:rFonts w:eastAsia="Book Antiqua"/>
        </w:rPr>
      </w:pPr>
      <w:r w:rsidRPr="00C02198">
        <w:rPr>
          <w:rFonts w:eastAsia="Book Antiqua"/>
        </w:rPr>
        <w:t xml:space="preserve">The </w:t>
      </w:r>
      <w:r>
        <w:rPr>
          <w:rFonts w:eastAsia="Book Antiqua"/>
        </w:rPr>
        <w:t>Australian Government</w:t>
      </w:r>
      <w:r w:rsidRPr="00C02198">
        <w:rPr>
          <w:rFonts w:eastAsia="Book Antiqua"/>
        </w:rPr>
        <w:t xml:space="preserve"> has provided an indemnity </w:t>
      </w:r>
      <w:r w:rsidRPr="004C2CCD">
        <w:rPr>
          <w:rFonts w:eastAsia="Book Antiqua"/>
        </w:rPr>
        <w:t>for some of the</w:t>
      </w:r>
      <w:r w:rsidRPr="00C02198">
        <w:rPr>
          <w:rFonts w:eastAsia="Book Antiqua"/>
        </w:rPr>
        <w:t xml:space="preserve"> Directors of Snowy</w:t>
      </w:r>
      <w:r w:rsidR="00AE12E2">
        <w:rPr>
          <w:rFonts w:eastAsia="Book Antiqua"/>
        </w:rPr>
        <w:t> </w:t>
      </w:r>
      <w:r w:rsidRPr="00C02198">
        <w:rPr>
          <w:rFonts w:eastAsia="Book Antiqua"/>
        </w:rPr>
        <w:t>Hydro Limited to protect them against certain claims relating to their employment as Directors. Until the indemnity agreements are varied or ceased, they will remain as contingent and unquantifiable liabilities.</w:t>
      </w:r>
    </w:p>
    <w:p w14:paraId="46E8FA4B" w14:textId="77777777" w:rsidR="005B2B69" w:rsidRPr="00B832E0" w:rsidRDefault="005B2B69" w:rsidP="00C0119D">
      <w:pPr>
        <w:pStyle w:val="Heading4"/>
      </w:pPr>
      <w:bookmarkStart w:id="48" w:name="_Toc71117837"/>
      <w:r w:rsidRPr="00B832E0">
        <w:t xml:space="preserve">Snowy Hydro Limited – Termination of </w:t>
      </w:r>
      <w:r w:rsidRPr="00164448">
        <w:t>the</w:t>
      </w:r>
      <w:r w:rsidRPr="00B832E0">
        <w:t xml:space="preserve"> Equity Subscription Agreement</w:t>
      </w:r>
      <w:bookmarkEnd w:id="48"/>
      <w:r w:rsidRPr="00B832E0">
        <w:t>s</w:t>
      </w:r>
    </w:p>
    <w:p w14:paraId="238BD7F8" w14:textId="6ED7991C" w:rsidR="005B2B69" w:rsidRDefault="005B2B69" w:rsidP="00C0119D">
      <w:pPr>
        <w:rPr>
          <w:rFonts w:eastAsia="Arial"/>
        </w:rPr>
      </w:pPr>
      <w:r w:rsidRPr="005B2B69">
        <w:rPr>
          <w:rFonts w:eastAsia="Arial"/>
        </w:rPr>
        <w:t xml:space="preserve">The Australian Government will provide sufficient funding to cover costs and liabilities incurred by Snowy Hydro Limited for the delivery of Snowy 2.0, capped to the total remaining undrawn equity, </w:t>
      </w:r>
      <w:proofErr w:type="gramStart"/>
      <w:r w:rsidRPr="005B2B69">
        <w:rPr>
          <w:rFonts w:eastAsia="Arial"/>
        </w:rPr>
        <w:t>in the event that</w:t>
      </w:r>
      <w:proofErr w:type="gramEnd"/>
      <w:r w:rsidRPr="005B2B69">
        <w:rPr>
          <w:rFonts w:eastAsia="Arial"/>
        </w:rPr>
        <w:t xml:space="preserve"> the Commonwealth terminates the Equity</w:t>
      </w:r>
      <w:r w:rsidR="00AE12E2">
        <w:rPr>
          <w:rFonts w:eastAsia="Arial"/>
        </w:rPr>
        <w:t> </w:t>
      </w:r>
      <w:r w:rsidRPr="005B2B69">
        <w:rPr>
          <w:rFonts w:eastAsia="Arial"/>
        </w:rPr>
        <w:t>Subscription Agreements between the Commonwealth and Snowy Hydro Limited.</w:t>
      </w:r>
      <w:r w:rsidR="005076D8">
        <w:rPr>
          <w:rFonts w:eastAsia="Arial"/>
        </w:rPr>
        <w:t xml:space="preserve"> </w:t>
      </w:r>
    </w:p>
    <w:p w14:paraId="18A27EAD" w14:textId="77777777" w:rsidR="00EC6002" w:rsidRPr="00B832E0" w:rsidRDefault="00EC6002" w:rsidP="00C0119D">
      <w:pPr>
        <w:pStyle w:val="Heading3"/>
        <w:rPr>
          <w:rFonts w:ascii="Arial" w:eastAsia="Arial" w:hAnsi="Arial" w:cs="Arial"/>
          <w:bCs/>
          <w:lang w:val="en-US"/>
        </w:rPr>
      </w:pPr>
      <w:bookmarkStart w:id="49" w:name="_Toc166165495"/>
      <w:bookmarkStart w:id="50" w:name="_Toc193536181"/>
      <w:r w:rsidRPr="00B832E0">
        <w:rPr>
          <w:rFonts w:ascii="Arial" w:eastAsia="Arial" w:hAnsi="Arial" w:cs="Arial"/>
          <w:bCs/>
          <w:lang w:val="en-US"/>
        </w:rPr>
        <w:t>Contingent liabilities – unquantifiable</w:t>
      </w:r>
      <w:bookmarkEnd w:id="49"/>
      <w:bookmarkEnd w:id="50"/>
    </w:p>
    <w:p w14:paraId="2CE25EC2" w14:textId="5E26218C" w:rsidR="00EC6002" w:rsidRPr="00EC6002" w:rsidRDefault="00EC6002" w:rsidP="00C0119D">
      <w:pPr>
        <w:pStyle w:val="Heading4"/>
        <w:rPr>
          <w:rFonts w:eastAsia="Arial"/>
        </w:rPr>
      </w:pPr>
      <w:r w:rsidRPr="00EC6002">
        <w:rPr>
          <w:rFonts w:eastAsia="Arial"/>
        </w:rPr>
        <w:t>Gorgon liquefied natural gas and carbon dioxide storage project –</w:t>
      </w:r>
      <w:r w:rsidR="00C066D0">
        <w:rPr>
          <w:rFonts w:eastAsia="Arial"/>
        </w:rPr>
        <w:br/>
      </w:r>
      <w:r w:rsidRPr="00EC6002">
        <w:rPr>
          <w:rFonts w:eastAsia="Arial"/>
        </w:rPr>
        <w:t>long</w:t>
      </w:r>
      <w:r w:rsidR="00C066D0">
        <w:rPr>
          <w:rFonts w:eastAsia="Arial"/>
        </w:rPr>
        <w:t>-</w:t>
      </w:r>
      <w:r w:rsidRPr="00EC6002">
        <w:rPr>
          <w:rFonts w:eastAsia="Arial"/>
        </w:rPr>
        <w:t>term liability</w:t>
      </w:r>
    </w:p>
    <w:p w14:paraId="0359FCE4" w14:textId="42054B15" w:rsidR="00EC6002" w:rsidRPr="00EC6002" w:rsidRDefault="00EC6002" w:rsidP="0074298E">
      <w:pPr>
        <w:rPr>
          <w:rFonts w:eastAsia="Arial"/>
        </w:rPr>
      </w:pPr>
      <w:r w:rsidRPr="00EC6002">
        <w:rPr>
          <w:rFonts w:eastAsia="Arial"/>
        </w:rPr>
        <w:t>The Australian and Western Australian (WA) Governments have provided an indemnity to the Gorgon Joint Venture Partners (GJV) against independent third</w:t>
      </w:r>
      <w:r w:rsidR="00D23095">
        <w:rPr>
          <w:rFonts w:eastAsia="Arial"/>
        </w:rPr>
        <w:noBreakHyphen/>
      </w:r>
      <w:r w:rsidRPr="00EC6002">
        <w:rPr>
          <w:rFonts w:eastAsia="Arial"/>
        </w:rPr>
        <w:t xml:space="preserve">party claims (relating to stored carbon dioxide) under common law, for loss or damage caused by the injection of carbon dioxide into the Dupuy formation under Barrow Island, WA. Claims can only occur at least 15 years after the cessation of carbon dioxide injections into the formation. The project commenced in 2019 and has an expected life of around 40 years. The claims are subject to conditions </w:t>
      </w:r>
      <w:proofErr w:type="gramStart"/>
      <w:r w:rsidRPr="00EC6002">
        <w:rPr>
          <w:rFonts w:eastAsia="Arial"/>
        </w:rPr>
        <w:t>similar to</w:t>
      </w:r>
      <w:proofErr w:type="gramEnd"/>
      <w:r w:rsidRPr="00EC6002">
        <w:rPr>
          <w:rFonts w:eastAsia="Arial"/>
        </w:rPr>
        <w:t xml:space="preserve"> those set out in the </w:t>
      </w:r>
      <w:r w:rsidRPr="00EC3F2F">
        <w:rPr>
          <w:rStyle w:val="Emphasis"/>
          <w:rFonts w:eastAsia="Arial"/>
        </w:rPr>
        <w:t>Offshore Petroleum and Greenhouse Gas Storage Act 2006</w:t>
      </w:r>
      <w:r w:rsidRPr="00EC6002">
        <w:rPr>
          <w:rFonts w:eastAsia="Arial"/>
        </w:rPr>
        <w:t>.</w:t>
      </w:r>
    </w:p>
    <w:p w14:paraId="2E476416" w14:textId="77777777" w:rsidR="00EC6002" w:rsidRPr="00A7305A" w:rsidDel="0088212A" w:rsidRDefault="00EC6002" w:rsidP="0074298E">
      <w:pPr>
        <w:rPr>
          <w:rFonts w:eastAsia="Arial"/>
        </w:rPr>
      </w:pPr>
      <w:r w:rsidRPr="00EC6002">
        <w:rPr>
          <w:rFonts w:eastAsia="Arial"/>
        </w:rPr>
        <w:t>The WA Government has indemnified the GJV and, subject to certain conditions being met, the Australian Government has indemnified the WA Government for 80 per cent of any amount determined to be payable under that indemnity.</w:t>
      </w:r>
    </w:p>
    <w:p w14:paraId="03D76EBF" w14:textId="77777777" w:rsidR="00EC6002" w:rsidRPr="00EC6002" w:rsidRDefault="00EC6002" w:rsidP="0074298E">
      <w:pPr>
        <w:pStyle w:val="Heading4"/>
        <w:rPr>
          <w:rFonts w:eastAsia="Arial"/>
        </w:rPr>
      </w:pPr>
      <w:bookmarkStart w:id="51" w:name="_Toc71117845"/>
      <w:r w:rsidRPr="00EC6002">
        <w:rPr>
          <w:rFonts w:eastAsia="Arial"/>
        </w:rPr>
        <w:lastRenderedPageBreak/>
        <w:t>Liability for costs incurred in a national liquid fuel emergency</w:t>
      </w:r>
      <w:bookmarkEnd w:id="51"/>
    </w:p>
    <w:p w14:paraId="7AC04530" w14:textId="198D16C0" w:rsidR="00EC6002" w:rsidRPr="00EC6002" w:rsidRDefault="00EC6002" w:rsidP="0074298E">
      <w:pPr>
        <w:rPr>
          <w:rFonts w:eastAsia="Arial"/>
        </w:rPr>
      </w:pPr>
      <w:r w:rsidRPr="00EC6002">
        <w:rPr>
          <w:rFonts w:eastAsia="Arial"/>
        </w:rPr>
        <w:t xml:space="preserve">The Australian Government has responsibility for the </w:t>
      </w:r>
      <w:r w:rsidRPr="005D426A">
        <w:rPr>
          <w:rStyle w:val="Emphasis"/>
          <w:rFonts w:eastAsia="Arial"/>
        </w:rPr>
        <w:t>Liquid Fuel Emergency Act 1984</w:t>
      </w:r>
      <w:r w:rsidRPr="00EC6002">
        <w:rPr>
          <w:rFonts w:eastAsia="Arial"/>
        </w:rPr>
        <w:t xml:space="preserve"> (the Liquid Fuel Act). In addition, the Australian Government</w:t>
      </w:r>
      <w:r w:rsidRPr="00272A7E">
        <w:rPr>
          <w:rFonts w:eastAsia="Arial"/>
        </w:rPr>
        <w:t xml:space="preserve"> and state and territory governments have entered into an inter</w:t>
      </w:r>
      <w:r w:rsidR="00D23095">
        <w:rPr>
          <w:rFonts w:eastAsia="Arial"/>
        </w:rPr>
        <w:noBreakHyphen/>
      </w:r>
      <w:r w:rsidRPr="00272A7E">
        <w:rPr>
          <w:rFonts w:eastAsia="Arial"/>
        </w:rPr>
        <w:t xml:space="preserve">governmental agreement (IGA) in 2006 in relation to a national liquid fuel emergency. Under the IGA, the </w:t>
      </w:r>
      <w:r>
        <w:rPr>
          <w:rFonts w:eastAsia="Arial"/>
        </w:rPr>
        <w:t>Australian Government</w:t>
      </w:r>
      <w:r w:rsidRPr="00272A7E">
        <w:rPr>
          <w:rFonts w:eastAsia="Arial"/>
        </w:rPr>
        <w:t xml:space="preserve"> agrees to consult IGA parties on a likely shortage and, if </w:t>
      </w:r>
      <w:proofErr w:type="gramStart"/>
      <w:r w:rsidRPr="00272A7E">
        <w:rPr>
          <w:rFonts w:eastAsia="Arial"/>
        </w:rPr>
        <w:t>necessary</w:t>
      </w:r>
      <w:proofErr w:type="gramEnd"/>
      <w:r w:rsidRPr="00272A7E">
        <w:rPr>
          <w:rFonts w:eastAsia="Arial"/>
        </w:rPr>
        <w:t xml:space="preserve"> after those consultations, to advise the Governor</w:t>
      </w:r>
      <w:r w:rsidR="00D23095">
        <w:rPr>
          <w:rFonts w:eastAsia="Arial"/>
        </w:rPr>
        <w:noBreakHyphen/>
      </w:r>
      <w:r w:rsidRPr="00272A7E">
        <w:rPr>
          <w:rFonts w:eastAsia="Arial"/>
        </w:rPr>
        <w:t>General of the Commonwealth of Australia to declare a national emergency under the Act.</w:t>
      </w:r>
    </w:p>
    <w:p w14:paraId="3D2B3E4B" w14:textId="55C0B9B1" w:rsidR="00EC6002" w:rsidRPr="00EC6002" w:rsidRDefault="00EC6002" w:rsidP="0074298E">
      <w:pPr>
        <w:rPr>
          <w:rFonts w:eastAsia="Arial"/>
        </w:rPr>
      </w:pPr>
      <w:r w:rsidRPr="00EC6002">
        <w:rPr>
          <w:rFonts w:eastAsia="Arial"/>
        </w:rPr>
        <w:t>The IGA contains three areas where the Australian Government may incur expenses in the unlikely event of a national liquid fuel emergency. These relate to the direct costs of managing a liquid fuel emergency and include the possibility of the Australian</w:t>
      </w:r>
      <w:r w:rsidR="00AE12E2">
        <w:rPr>
          <w:rFonts w:eastAsia="Arial"/>
        </w:rPr>
        <w:t> </w:t>
      </w:r>
      <w:r w:rsidRPr="00EC6002">
        <w:rPr>
          <w:rFonts w:eastAsia="Arial"/>
        </w:rPr>
        <w:t>Government reimbursing the state and territory governments for costs arising from their responses, and potential compensation for industry arising from Australian Government directions under the Liquid Fuel Act.</w:t>
      </w:r>
    </w:p>
    <w:p w14:paraId="3F01A6D4" w14:textId="4621E751" w:rsidR="00EC6002" w:rsidRPr="00EC6002" w:rsidRDefault="00EC6002" w:rsidP="00C0119D">
      <w:pPr>
        <w:pStyle w:val="Heading4"/>
        <w:rPr>
          <w:rFonts w:eastAsia="Arial"/>
        </w:rPr>
      </w:pPr>
      <w:r w:rsidRPr="00EC6002">
        <w:rPr>
          <w:rFonts w:eastAsia="Arial"/>
        </w:rPr>
        <w:t>Marinus Link Project – Shareholders</w:t>
      </w:r>
      <w:r w:rsidR="00D23095">
        <w:rPr>
          <w:rFonts w:eastAsia="Arial"/>
        </w:rPr>
        <w:t>’</w:t>
      </w:r>
      <w:r w:rsidRPr="00EC6002">
        <w:rPr>
          <w:rFonts w:eastAsia="Arial"/>
        </w:rPr>
        <w:t xml:space="preserve"> agreement</w:t>
      </w:r>
    </w:p>
    <w:p w14:paraId="3D69D5DA" w14:textId="6CA028DC" w:rsidR="00EC6002" w:rsidRPr="00EC6002" w:rsidRDefault="00EC6002" w:rsidP="00C0119D">
      <w:pPr>
        <w:rPr>
          <w:rFonts w:eastAsia="Arial"/>
        </w:rPr>
      </w:pPr>
      <w:r w:rsidRPr="00EC6002">
        <w:rPr>
          <w:rFonts w:eastAsia="Arial"/>
        </w:rPr>
        <w:t>The Australian Government, along with the Victorian and the Tasmanian Governments, has invested in the joint venture entity Marinus Link Pty Ltd to deliver the Marinus Link project. If the three shareholders decide not to proceed with the project and Marinus Link Pty Ltd is wound up, the shareholders may be required to contribute additional equity to meet any outstanding liabilities of Marinus Link Pty Ltd.</w:t>
      </w:r>
    </w:p>
    <w:p w14:paraId="203DE6F0" w14:textId="3744A60C" w:rsidR="00EC6002" w:rsidRPr="00EC6002" w:rsidRDefault="00EC6002" w:rsidP="00C0119D">
      <w:pPr>
        <w:rPr>
          <w:rFonts w:eastAsia="Arial"/>
        </w:rPr>
      </w:pPr>
      <w:r w:rsidRPr="00EC6002">
        <w:rPr>
          <w:rFonts w:eastAsia="Arial"/>
        </w:rPr>
        <w:t>Under the shareholders</w:t>
      </w:r>
      <w:r w:rsidR="00D23095">
        <w:rPr>
          <w:rFonts w:eastAsia="Arial"/>
        </w:rPr>
        <w:t>’</w:t>
      </w:r>
      <w:r w:rsidRPr="00EC6002">
        <w:rPr>
          <w:rFonts w:eastAsia="Arial"/>
        </w:rPr>
        <w:t xml:space="preserve"> agreement, the Tasmanian Government also has the option to sell some or </w:t>
      </w:r>
      <w:proofErr w:type="gramStart"/>
      <w:r w:rsidRPr="00EC6002">
        <w:rPr>
          <w:rFonts w:eastAsia="Arial"/>
        </w:rPr>
        <w:t>all of</w:t>
      </w:r>
      <w:proofErr w:type="gramEnd"/>
      <w:r w:rsidRPr="00EC6002">
        <w:rPr>
          <w:rFonts w:eastAsia="Arial"/>
        </w:rPr>
        <w:t xml:space="preserve"> its shares to the other shareholders. This option can only be exercised following the commencement of commercial operations of stage one of the project, currently scheduled for 2030. While the Victorian Government has the first right of refusal to purchase these shares (capped at 16.7 per cent of the Tasmanian Government</w:t>
      </w:r>
      <w:r w:rsidR="00D23095">
        <w:rPr>
          <w:rFonts w:eastAsia="Arial"/>
        </w:rPr>
        <w:t>’</w:t>
      </w:r>
      <w:r w:rsidRPr="00EC6002">
        <w:rPr>
          <w:rFonts w:eastAsia="Arial"/>
        </w:rPr>
        <w:t>s 17.7 per cent of the shareholdings), the Australian Government is required to purchase the shares that the Victorian Government does not acquire. Any additional shares purchased would be expected to generate a return in line with the Australian Government</w:t>
      </w:r>
      <w:r w:rsidR="00D23095">
        <w:rPr>
          <w:rFonts w:eastAsia="Arial"/>
        </w:rPr>
        <w:t>’</w:t>
      </w:r>
      <w:r w:rsidRPr="00EC6002">
        <w:rPr>
          <w:rFonts w:eastAsia="Arial"/>
        </w:rPr>
        <w:t>s existing shareholding in the entity.</w:t>
      </w:r>
    </w:p>
    <w:p w14:paraId="4BF11A82" w14:textId="0693BBD4" w:rsidR="00A577CE" w:rsidRDefault="00A577CE" w:rsidP="00C0119D">
      <w:pPr>
        <w:rPr>
          <w:rFonts w:eastAsia="Arial"/>
        </w:rPr>
      </w:pPr>
      <w:r w:rsidRPr="00924C83">
        <w:rPr>
          <w:rFonts w:eastAsia="Arial"/>
        </w:rPr>
        <w:t xml:space="preserve">There are also ongoing project risks as the project progresses, such as cost pressures, that may require additional financial support from the shareholders. The Australian Government will continue to monitor these risks through engagement and oversight of Marinus Link Pty </w:t>
      </w:r>
      <w:proofErr w:type="spellStart"/>
      <w:r w:rsidRPr="00924C83">
        <w:rPr>
          <w:rFonts w:eastAsia="Arial"/>
        </w:rPr>
        <w:t>Ltd</w:t>
      </w:r>
      <w:r w:rsidR="00D23095">
        <w:rPr>
          <w:rFonts w:eastAsia="Arial"/>
        </w:rPr>
        <w:t>’</w:t>
      </w:r>
      <w:r w:rsidRPr="00924C83">
        <w:rPr>
          <w:rFonts w:eastAsia="Arial"/>
        </w:rPr>
        <w:t>s</w:t>
      </w:r>
      <w:proofErr w:type="spellEnd"/>
      <w:r w:rsidRPr="00924C83">
        <w:rPr>
          <w:rFonts w:eastAsia="Arial"/>
        </w:rPr>
        <w:t xml:space="preserve"> activities. </w:t>
      </w:r>
    </w:p>
    <w:p w14:paraId="590C34B9" w14:textId="7DF085C5" w:rsidR="00651C75" w:rsidRPr="00924C83" w:rsidRDefault="00651C75" w:rsidP="00651C75">
      <w:pPr>
        <w:pStyle w:val="Heading4"/>
        <w:rPr>
          <w:rFonts w:eastAsia="Arial"/>
        </w:rPr>
      </w:pPr>
      <w:r w:rsidRPr="00651C75">
        <w:rPr>
          <w:rFonts w:eastAsia="Arial"/>
        </w:rPr>
        <w:t>Murray Darling Basin Reform – risk assignment</w:t>
      </w:r>
    </w:p>
    <w:p w14:paraId="00188437" w14:textId="658F0143" w:rsidR="00EC6002" w:rsidRPr="00EC6002" w:rsidRDefault="00EC6002" w:rsidP="0074298E">
      <w:pPr>
        <w:rPr>
          <w:rFonts w:eastAsia="Arial"/>
        </w:rPr>
      </w:pPr>
      <w:r w:rsidRPr="00EC6002">
        <w:rPr>
          <w:rFonts w:eastAsia="Arial"/>
        </w:rPr>
        <w:t>The Australian Government has committed to bridge the gap between the Baseline Diversion Limit and the Sustainable Diversion Limits in the</w:t>
      </w:r>
      <w:r w:rsidR="006977D3">
        <w:rPr>
          <w:rFonts w:eastAsia="Arial"/>
        </w:rPr>
        <w:t xml:space="preserve"> Murray-Darling</w:t>
      </w:r>
      <w:r w:rsidRPr="00EC6002">
        <w:rPr>
          <w:rFonts w:eastAsia="Arial"/>
        </w:rPr>
        <w:t xml:space="preserve"> Basin Plan 2012 through water recovery. On 1 July 2019, the Sustainable Diversion Limits took effect. The </w:t>
      </w:r>
      <w:r w:rsidRPr="005D426A">
        <w:rPr>
          <w:rStyle w:val="Emphasis"/>
          <w:rFonts w:eastAsia="Arial"/>
        </w:rPr>
        <w:t>Water Act 2007</w:t>
      </w:r>
      <w:r w:rsidRPr="00EC6002">
        <w:rPr>
          <w:rFonts w:eastAsia="Arial"/>
        </w:rPr>
        <w:t xml:space="preserve"> provides a risk assignment framework in which entitlement holders with reductions in water allocations, or changes in the reliability of water </w:t>
      </w:r>
      <w:r w:rsidRPr="00EC6002">
        <w:rPr>
          <w:rFonts w:eastAsia="Arial"/>
        </w:rPr>
        <w:lastRenderedPageBreak/>
        <w:t>allocations (where the gap has not been bridged and an accredited water resource plan is in place), may be eligible for a payment from the Commonwealth.</w:t>
      </w:r>
    </w:p>
    <w:p w14:paraId="4794EA7A" w14:textId="77777777" w:rsidR="00EC6002" w:rsidRPr="00EC6002" w:rsidRDefault="00EC6002" w:rsidP="0074298E">
      <w:pPr>
        <w:rPr>
          <w:rFonts w:eastAsia="Arial"/>
        </w:rPr>
      </w:pPr>
      <w:r w:rsidRPr="00EC6002">
        <w:rPr>
          <w:rFonts w:eastAsia="Arial"/>
        </w:rPr>
        <w:t>The total cost of the operation of the risk assignment framework cannot be quantified at this time and remains a fiscal risk until the gap between the Baseline Diversion Limit and Sustainable Diversion Limits is fully bridged.</w:t>
      </w:r>
    </w:p>
    <w:p w14:paraId="36F42283" w14:textId="77777777" w:rsidR="00EC6002" w:rsidRPr="00EC6002" w:rsidRDefault="00EC6002" w:rsidP="0074298E">
      <w:pPr>
        <w:pStyle w:val="Heading4"/>
        <w:rPr>
          <w:rFonts w:eastAsia="Arial"/>
        </w:rPr>
      </w:pPr>
      <w:r w:rsidRPr="006460F9">
        <w:rPr>
          <w:rFonts w:eastAsia="Arial"/>
        </w:rPr>
        <w:t>Remediation</w:t>
      </w:r>
      <w:r w:rsidRPr="00EC6002">
        <w:rPr>
          <w:rFonts w:eastAsia="Arial"/>
        </w:rPr>
        <w:t xml:space="preserve"> of Jabiru </w:t>
      </w:r>
      <w:bookmarkStart w:id="52" w:name="_Hlk148361227"/>
      <w:r w:rsidRPr="00EC6002">
        <w:rPr>
          <w:rFonts w:eastAsia="Arial"/>
        </w:rPr>
        <w:t>Township</w:t>
      </w:r>
      <w:bookmarkEnd w:id="52"/>
    </w:p>
    <w:p w14:paraId="4EDCDB0C" w14:textId="77777777" w:rsidR="00EC6002" w:rsidRPr="00EC6002" w:rsidRDefault="00EC6002" w:rsidP="0074298E">
      <w:pPr>
        <w:rPr>
          <w:rFonts w:eastAsia="Arial"/>
        </w:rPr>
      </w:pPr>
      <w:r w:rsidRPr="00EC6002">
        <w:rPr>
          <w:rFonts w:eastAsia="Arial"/>
        </w:rPr>
        <w:t xml:space="preserve">The Australian Government, the Northern Territory Government, </w:t>
      </w:r>
      <w:proofErr w:type="spellStart"/>
      <w:r w:rsidRPr="00EC6002">
        <w:rPr>
          <w:rFonts w:eastAsia="Arial"/>
        </w:rPr>
        <w:t>Gundjeihmi</w:t>
      </w:r>
      <w:proofErr w:type="spellEnd"/>
      <w:r w:rsidRPr="00EC6002">
        <w:rPr>
          <w:rFonts w:eastAsia="Arial"/>
        </w:rPr>
        <w:t xml:space="preserve"> Aboriginal Corporation and Energy Resources of Australia Ltd signed a Memorandum of Understanding in 2019. The Memorandum of Understanding underpins the transfer of ownership of Jabiru to the Traditional Owners and related make good and rehabilitation arrangements. On 26 June 2021, the Australian Government officially returned ownership of Jabiru to the Traditional Owners. Before the handover, the Australian Government signed a Remediation and Indemnity Deed between representatives of the Traditional Owners in Jabiru and the Northern Land Council. </w:t>
      </w:r>
    </w:p>
    <w:p w14:paraId="09CC44F0" w14:textId="53AB63E0" w:rsidR="00EC6002" w:rsidRPr="00EC6002" w:rsidRDefault="00EC6002" w:rsidP="0074298E">
      <w:pPr>
        <w:rPr>
          <w:rFonts w:eastAsia="Arial"/>
        </w:rPr>
      </w:pPr>
      <w:bookmarkStart w:id="53" w:name="_Hlk148966718"/>
      <w:r w:rsidRPr="00EC6002">
        <w:rPr>
          <w:rFonts w:eastAsia="Arial"/>
        </w:rPr>
        <w:t>Under these agreements, the Australian Government</w:t>
      </w:r>
      <w:r w:rsidR="00D23095">
        <w:rPr>
          <w:rFonts w:eastAsia="Arial"/>
        </w:rPr>
        <w:t>’</w:t>
      </w:r>
      <w:r w:rsidRPr="00EC6002">
        <w:rPr>
          <w:rFonts w:eastAsia="Arial"/>
        </w:rPr>
        <w:t>s responsibilities include</w:t>
      </w:r>
      <w:bookmarkEnd w:id="53"/>
      <w:r w:rsidRPr="00EC6002">
        <w:rPr>
          <w:rFonts w:eastAsia="Arial"/>
        </w:rPr>
        <w:t xml:space="preserve"> renewal or upgrading of some essential services infrastructure (stormwater, landfill and roads), managing contamination in Jabiru Lake, management or removal of hazardous materials and chemicals, replacing asbestos tiled roofs and improving housing stock, and other ecological remediation. Expenditure for the rehabilitation work will be shared between the Australian Government, Northern Territory Government and Energy Resources Australia. </w:t>
      </w:r>
    </w:p>
    <w:p w14:paraId="7C7D5C0A" w14:textId="77777777" w:rsidR="00EC6002" w:rsidRPr="00EC6002" w:rsidRDefault="00EC6002" w:rsidP="0074298E">
      <w:pPr>
        <w:pStyle w:val="Heading4"/>
        <w:rPr>
          <w:rFonts w:eastAsia="Arial"/>
        </w:rPr>
      </w:pPr>
      <w:bookmarkStart w:id="54" w:name="_Toc71117848"/>
      <w:r w:rsidRPr="00EC6002">
        <w:rPr>
          <w:rFonts w:eastAsia="Arial"/>
        </w:rPr>
        <w:t>United States Strategic Petroleum Reserve Lease Agreement – indemnity under certain conditions</w:t>
      </w:r>
      <w:bookmarkEnd w:id="54"/>
    </w:p>
    <w:p w14:paraId="7040D5F4" w14:textId="785B888B" w:rsidR="00EC6002" w:rsidRPr="00EC6002" w:rsidRDefault="00EC6002" w:rsidP="0074298E">
      <w:pPr>
        <w:rPr>
          <w:rFonts w:eastAsia="Arial"/>
        </w:rPr>
      </w:pPr>
      <w:r w:rsidRPr="1E8B5766">
        <w:rPr>
          <w:rFonts w:eastAsia="Arial"/>
          <w:lang w:val="en-US"/>
        </w:rPr>
        <w:t xml:space="preserve">On 3 June 2020, the </w:t>
      </w:r>
      <w:r>
        <w:rPr>
          <w:rFonts w:eastAsia="Arial"/>
          <w:lang w:val="en-US"/>
        </w:rPr>
        <w:t>Australian Government</w:t>
      </w:r>
      <w:r w:rsidRPr="1E8B5766">
        <w:rPr>
          <w:rFonts w:eastAsia="Arial"/>
          <w:lang w:val="en-US"/>
        </w:rPr>
        <w:t xml:space="preserve"> entered into a commercial leasing agreement </w:t>
      </w:r>
      <w:r w:rsidRPr="00EC6002">
        <w:rPr>
          <w:rFonts w:eastAsia="Arial"/>
        </w:rPr>
        <w:t>with the United States (US) Department of Energy. This agreement facilitates the storage of Australia</w:t>
      </w:r>
      <w:r w:rsidR="00D23095">
        <w:rPr>
          <w:rFonts w:eastAsia="Arial"/>
        </w:rPr>
        <w:t>’</w:t>
      </w:r>
      <w:r w:rsidRPr="00EC6002">
        <w:rPr>
          <w:rFonts w:eastAsia="Arial"/>
        </w:rPr>
        <w:t>s first government</w:t>
      </w:r>
      <w:r w:rsidR="00D23095">
        <w:rPr>
          <w:rFonts w:eastAsia="Arial"/>
        </w:rPr>
        <w:noBreakHyphen/>
      </w:r>
      <w:r w:rsidRPr="00EC6002">
        <w:rPr>
          <w:rFonts w:eastAsia="Arial"/>
        </w:rPr>
        <w:t>owned strategic fuel reserve in the US Strategic Petroleum Reserve (SPR).</w:t>
      </w:r>
    </w:p>
    <w:p w14:paraId="025CE842" w14:textId="04441267" w:rsidR="00EC6002" w:rsidRPr="00EC6002" w:rsidRDefault="00EC6002" w:rsidP="0074298E">
      <w:pPr>
        <w:rPr>
          <w:rFonts w:eastAsia="Arial"/>
        </w:rPr>
      </w:pPr>
      <w:r w:rsidRPr="00EC6002">
        <w:rPr>
          <w:rFonts w:eastAsia="Arial"/>
        </w:rPr>
        <w:t xml:space="preserve">Under the lease agreement, the Australian Government indemnifies the SPR for any liabilities incurred (subject to certain exceptions) arising from or related </w:t>
      </w:r>
      <w:proofErr w:type="gramStart"/>
      <w:r w:rsidRPr="00EC6002">
        <w:rPr>
          <w:rFonts w:eastAsia="Arial"/>
        </w:rPr>
        <w:t>to:</w:t>
      </w:r>
      <w:proofErr w:type="gramEnd"/>
      <w:r w:rsidRPr="00EC6002">
        <w:rPr>
          <w:rFonts w:eastAsia="Arial"/>
        </w:rPr>
        <w:t xml:space="preserve"> the transportation of crude oil to the SPR; third</w:t>
      </w:r>
      <w:r w:rsidR="00D23095">
        <w:rPr>
          <w:rFonts w:eastAsia="Arial"/>
        </w:rPr>
        <w:noBreakHyphen/>
      </w:r>
      <w:r w:rsidRPr="00EC6002">
        <w:rPr>
          <w:rFonts w:eastAsia="Arial"/>
        </w:rPr>
        <w:t>party claims made in connection with the drawdown or delivery of the oil; and customs duties, fees or other charges which may arise from the Australian Government</w:t>
      </w:r>
      <w:r w:rsidR="00D23095">
        <w:rPr>
          <w:rFonts w:eastAsia="Arial"/>
        </w:rPr>
        <w:t>’</w:t>
      </w:r>
      <w:r w:rsidRPr="00EC6002">
        <w:rPr>
          <w:rFonts w:eastAsia="Arial"/>
        </w:rPr>
        <w:t>s noncompliance with US Customs Law.</w:t>
      </w:r>
    </w:p>
    <w:p w14:paraId="6A28F8E0" w14:textId="0A24ED8D" w:rsidR="00EC6002" w:rsidRPr="00EC6002" w:rsidRDefault="00EC6002" w:rsidP="0074298E">
      <w:pPr>
        <w:rPr>
          <w:rFonts w:eastAsia="Arial"/>
        </w:rPr>
      </w:pPr>
      <w:r w:rsidRPr="00EC6002">
        <w:rPr>
          <w:rFonts w:eastAsia="Arial"/>
        </w:rPr>
        <w:t xml:space="preserve">Following the sale and delivery of all Australian oil held in the SPR in June 2022, the risk of any liability is currently significantly reduced. Australia continues to maintain its lease and could decide to store new reserves in the future. </w:t>
      </w:r>
    </w:p>
    <w:p w14:paraId="1EF9A7E0" w14:textId="77777777" w:rsidR="0023618C" w:rsidRPr="00B832E0" w:rsidRDefault="0023618C" w:rsidP="0074298E">
      <w:pPr>
        <w:pStyle w:val="Heading3"/>
        <w:rPr>
          <w:rFonts w:ascii="Arial" w:eastAsia="Arial" w:hAnsi="Arial" w:cs="Arial"/>
          <w:b w:val="0"/>
          <w:bCs/>
          <w:lang w:val="en-US"/>
        </w:rPr>
      </w:pPr>
      <w:bookmarkStart w:id="55" w:name="_Toc184039476"/>
      <w:bookmarkStart w:id="56" w:name="_Toc193536182"/>
      <w:r w:rsidRPr="00B832E0">
        <w:rPr>
          <w:rFonts w:ascii="Arial" w:eastAsia="Arial" w:hAnsi="Arial" w:cs="Arial"/>
          <w:bCs/>
          <w:lang w:val="en-US"/>
        </w:rPr>
        <w:lastRenderedPageBreak/>
        <w:t xml:space="preserve">Contingent </w:t>
      </w:r>
      <w:r>
        <w:rPr>
          <w:rFonts w:ascii="Arial" w:eastAsia="Arial" w:hAnsi="Arial" w:cs="Arial"/>
          <w:bCs/>
          <w:lang w:val="en-US"/>
        </w:rPr>
        <w:t>liabilities</w:t>
      </w:r>
      <w:r w:rsidRPr="00B832E0">
        <w:rPr>
          <w:rFonts w:ascii="Arial" w:eastAsia="Arial" w:hAnsi="Arial" w:cs="Arial"/>
          <w:bCs/>
          <w:lang w:val="en-US"/>
        </w:rPr>
        <w:t xml:space="preserve"> – quantifiable</w:t>
      </w:r>
      <w:bookmarkEnd w:id="55"/>
      <w:bookmarkEnd w:id="56"/>
    </w:p>
    <w:p w14:paraId="76F0C85B" w14:textId="6F5D9C96" w:rsidR="00306AD6" w:rsidRPr="00306AD6" w:rsidRDefault="00306AD6" w:rsidP="0074298E">
      <w:pPr>
        <w:pStyle w:val="Heading4"/>
        <w:rPr>
          <w:rFonts w:eastAsia="Arial"/>
        </w:rPr>
      </w:pPr>
      <w:r w:rsidRPr="00924C83">
        <w:rPr>
          <w:rFonts w:eastAsia="Arial"/>
        </w:rPr>
        <w:t>Capacity Investment Scheme</w:t>
      </w:r>
    </w:p>
    <w:p w14:paraId="0E433C0E" w14:textId="361A9161" w:rsidR="00306AD6" w:rsidRPr="00FC0363" w:rsidRDefault="00306AD6" w:rsidP="0074298E">
      <w:pPr>
        <w:rPr>
          <w:rFonts w:eastAsia="Book Antiqua"/>
        </w:rPr>
      </w:pPr>
      <w:r w:rsidRPr="00FC0363">
        <w:rPr>
          <w:rFonts w:eastAsia="Book Antiqua"/>
        </w:rPr>
        <w:t>The Australian Government has announced six projects through the South Australia and Victoria tender to enter into underwriting agreements under the Capacity Investment Scheme. These underwritings are expected to generate 3.62</w:t>
      </w:r>
      <w:r w:rsidR="00FD00AF">
        <w:rPr>
          <w:rFonts w:eastAsia="Book Antiqua"/>
        </w:rPr>
        <w:t> </w:t>
      </w:r>
      <w:r w:rsidRPr="00FC0363">
        <w:rPr>
          <w:rFonts w:eastAsia="Book Antiqua"/>
        </w:rPr>
        <w:t>gigawatt</w:t>
      </w:r>
      <w:r w:rsidR="00FD00AF">
        <w:rPr>
          <w:rFonts w:eastAsia="Book Antiqua"/>
        </w:rPr>
        <w:t> </w:t>
      </w:r>
      <w:r w:rsidRPr="00FC0363">
        <w:rPr>
          <w:rFonts w:eastAsia="Book Antiqua"/>
        </w:rPr>
        <w:t>hours</w:t>
      </w:r>
      <w:r w:rsidR="00FD00AF">
        <w:rPr>
          <w:rFonts w:eastAsia="Book Antiqua"/>
        </w:rPr>
        <w:t> </w:t>
      </w:r>
      <w:r w:rsidRPr="00FC0363">
        <w:rPr>
          <w:rFonts w:eastAsia="Book Antiqua"/>
        </w:rPr>
        <w:t>(GWh) in storage capacity.</w:t>
      </w:r>
    </w:p>
    <w:p w14:paraId="44639544" w14:textId="04046A6F" w:rsidR="00306AD6" w:rsidRDefault="00306AD6" w:rsidP="0074298E">
      <w:pPr>
        <w:rPr>
          <w:rFonts w:eastAsia="Book Antiqua"/>
        </w:rPr>
      </w:pPr>
      <w:r w:rsidRPr="00FC0363">
        <w:rPr>
          <w:rFonts w:eastAsia="Book Antiqua"/>
        </w:rPr>
        <w:t>The Australian Government announced a further 19 projects to enter into underwriting agreements through CIS Tender 1 – National Electricity Market (NEM) Generation, providing storage capacity of 3.56</w:t>
      </w:r>
      <w:r>
        <w:rPr>
          <w:rFonts w:eastAsia="Book Antiqua"/>
        </w:rPr>
        <w:t> </w:t>
      </w:r>
      <w:r w:rsidRPr="00FC0363">
        <w:rPr>
          <w:rFonts w:eastAsia="Book Antiqua"/>
        </w:rPr>
        <w:t xml:space="preserve">GWh and generating 6.38 gigawatts of renewable energy to the NEM. </w:t>
      </w:r>
    </w:p>
    <w:p w14:paraId="6C8ED0DE" w14:textId="6D1F79C5" w:rsidR="00D8266A" w:rsidRPr="00FC0363" w:rsidRDefault="00D8266A" w:rsidP="00D8266A">
      <w:pPr>
        <w:rPr>
          <w:rFonts w:eastAsia="Book Antiqua"/>
        </w:rPr>
      </w:pPr>
      <w:r>
        <w:rPr>
          <w:rFonts w:eastAsia="Book Antiqua"/>
        </w:rPr>
        <w:t>The Australian Government has also announced four projects to enter into underwriting agreements through CIS Tender 2 – Wholesaler Electricity Market Dispatchable, in Western Australia</w:t>
      </w:r>
      <w:r w:rsidR="00D23095">
        <w:rPr>
          <w:rFonts w:eastAsia="Book Antiqua"/>
        </w:rPr>
        <w:t xml:space="preserve">. </w:t>
      </w:r>
      <w:r>
        <w:rPr>
          <w:rFonts w:eastAsia="Book Antiqua"/>
        </w:rPr>
        <w:t>The projects have a combined capacity of around 2.6 GWh in storage capacity.</w:t>
      </w:r>
    </w:p>
    <w:p w14:paraId="3B6223AD" w14:textId="77777777" w:rsidR="00306AD6" w:rsidRPr="00FC0363" w:rsidRDefault="00306AD6" w:rsidP="0074298E">
      <w:pPr>
        <w:rPr>
          <w:rFonts w:eastAsia="Book Antiqua"/>
        </w:rPr>
      </w:pPr>
      <w:r w:rsidRPr="00FC0363">
        <w:rPr>
          <w:rFonts w:eastAsia="Book Antiqua"/>
        </w:rPr>
        <w:t>Under the terms of these underwriting agreements, once the projects are built and operational, if the annual revenue earned by a project is below the agreed revenue floor, the Australian Government will pay the project operator 90 per cent of the revenue shortfall up to the agreed annual cap for 15 years. If annual revenue earned by a project exceeds the agreed ceiling, the project operator pays the Australian Government 50 per cent of revenue above the ceiling up to the agreed cap.</w:t>
      </w:r>
    </w:p>
    <w:p w14:paraId="3EFF72BF" w14:textId="074CC048" w:rsidR="00306AD6" w:rsidRDefault="00306AD6" w:rsidP="00C0119D">
      <w:pPr>
        <w:rPr>
          <w:rFonts w:eastAsia="Book Antiqua"/>
        </w:rPr>
      </w:pPr>
      <w:r w:rsidRPr="00FC0363">
        <w:rPr>
          <w:rFonts w:eastAsia="Book Antiqua"/>
        </w:rPr>
        <w:t>The Australian Government</w:t>
      </w:r>
      <w:r w:rsidR="00D23095">
        <w:rPr>
          <w:rFonts w:eastAsia="Book Antiqua"/>
        </w:rPr>
        <w:t>’</w:t>
      </w:r>
      <w:r w:rsidRPr="00FC0363">
        <w:rPr>
          <w:rFonts w:eastAsia="Book Antiqua"/>
        </w:rPr>
        <w:t>s maximum liability and estimated payments under these agreements are not for publication due to commercial sensitivities. While estimated payments are not for publication, they are reflected in the forward estimates from</w:t>
      </w:r>
      <w:r w:rsidR="00FD00AF">
        <w:rPr>
          <w:rFonts w:eastAsia="Book Antiqua"/>
        </w:rPr>
        <w:t> </w:t>
      </w:r>
      <w:r w:rsidRPr="00FC0363">
        <w:rPr>
          <w:rFonts w:eastAsia="Book Antiqua"/>
        </w:rPr>
        <w:t>2026–27. Final payments will depend on future electricity prices and the resulting impact on project revenues.</w:t>
      </w:r>
    </w:p>
    <w:p w14:paraId="7EDF34A4" w14:textId="4489F59C" w:rsidR="00405AEC" w:rsidRPr="00FC0363" w:rsidRDefault="00405AEC" w:rsidP="00C0119D">
      <w:pPr>
        <w:rPr>
          <w:rFonts w:eastAsia="Book Antiqua"/>
        </w:rPr>
      </w:pPr>
      <w:r>
        <w:rPr>
          <w:rFonts w:eastAsia="Book Antiqua"/>
        </w:rPr>
        <w:t>Any a</w:t>
      </w:r>
      <w:r w:rsidRPr="00C63A0E">
        <w:rPr>
          <w:rFonts w:eastAsia="Book Antiqua"/>
        </w:rPr>
        <w:t>dditional specific risks associated with this program will be reflected in the Statement</w:t>
      </w:r>
      <w:r w:rsidR="009632E2">
        <w:rPr>
          <w:rFonts w:eastAsia="Book Antiqua"/>
        </w:rPr>
        <w:t xml:space="preserve"> of Risks</w:t>
      </w:r>
      <w:r w:rsidRPr="00C63A0E">
        <w:rPr>
          <w:rFonts w:eastAsia="Book Antiqua"/>
        </w:rPr>
        <w:t xml:space="preserve"> once further contracts are finalised and if it is determined that they meet the materiality thresholds for inclusion.</w:t>
      </w:r>
    </w:p>
    <w:p w14:paraId="6630FE4E" w14:textId="0EA0A870" w:rsidR="0023618C" w:rsidRPr="001B784D" w:rsidRDefault="0023618C" w:rsidP="00C0119D">
      <w:pPr>
        <w:pStyle w:val="Heading4"/>
        <w:rPr>
          <w:rFonts w:eastAsia="Arial"/>
          <w:bCs/>
          <w:i/>
          <w:lang w:val="en-US"/>
        </w:rPr>
      </w:pPr>
      <w:r w:rsidRPr="006460F9">
        <w:rPr>
          <w:rFonts w:eastAsia="Arial"/>
        </w:rPr>
        <w:t>Underwriting of the Marinus Link Project</w:t>
      </w:r>
    </w:p>
    <w:p w14:paraId="4975800D" w14:textId="77777777" w:rsidR="00306AD6" w:rsidRPr="008D4952" w:rsidRDefault="00306AD6" w:rsidP="00C0119D">
      <w:pPr>
        <w:rPr>
          <w:rFonts w:eastAsia="Arial"/>
        </w:rPr>
      </w:pPr>
      <w:bookmarkStart w:id="57" w:name="_Toc184039477"/>
      <w:bookmarkStart w:id="58" w:name="_Toc99141861"/>
      <w:bookmarkEnd w:id="34"/>
      <w:r w:rsidRPr="008D4952">
        <w:rPr>
          <w:rFonts w:eastAsia="Arial"/>
        </w:rPr>
        <w:t xml:space="preserve">The Australian Government has underwritten up to A$165.75 million for the Cancellation Fee payable for the Cable Engineering, Procurement, and Construction (EPC) Contract for the Marinus Link project (signed 31 July 2024). </w:t>
      </w:r>
    </w:p>
    <w:p w14:paraId="3BBE4E5C" w14:textId="79F23F3E" w:rsidR="00691BE5" w:rsidRDefault="00306AD6" w:rsidP="00C0119D">
      <w:pPr>
        <w:rPr>
          <w:rFonts w:eastAsia="Arial"/>
        </w:rPr>
      </w:pPr>
      <w:r w:rsidRPr="008D4952">
        <w:rPr>
          <w:rFonts w:eastAsia="Arial"/>
        </w:rPr>
        <w:t>The condition for this underwriting agreement to be called on relates to agreement to proceed with the project not being reached and the associated notices to proceed not being issued to the cable contractors by 31 August 2025.</w:t>
      </w:r>
      <w:r w:rsidR="00691BE5">
        <w:rPr>
          <w:rFonts w:eastAsia="Arial"/>
        </w:rPr>
        <w:br w:type="page"/>
      </w:r>
    </w:p>
    <w:p w14:paraId="16D5735F" w14:textId="77777777" w:rsidR="0023618C" w:rsidRDefault="0023618C" w:rsidP="00C0119D">
      <w:pPr>
        <w:pStyle w:val="Heading2"/>
      </w:pPr>
      <w:bookmarkStart w:id="59" w:name="_Toc193536183"/>
      <w:r>
        <w:lastRenderedPageBreak/>
        <w:t>Defence</w:t>
      </w:r>
      <w:bookmarkEnd w:id="57"/>
      <w:bookmarkEnd w:id="59"/>
    </w:p>
    <w:p w14:paraId="60450C67" w14:textId="77777777" w:rsidR="00426A0B" w:rsidRPr="000A117E" w:rsidRDefault="00426A0B" w:rsidP="000A117E">
      <w:pPr>
        <w:pStyle w:val="Heading3"/>
      </w:pPr>
      <w:bookmarkStart w:id="60" w:name="_Toc71117779"/>
      <w:bookmarkStart w:id="61" w:name="_Toc99141857"/>
      <w:bookmarkStart w:id="62" w:name="_Toc166165498"/>
      <w:bookmarkStart w:id="63" w:name="_Toc193536184"/>
      <w:r w:rsidRPr="000A117E">
        <w:t xml:space="preserve">Fiscal </w:t>
      </w:r>
      <w:bookmarkEnd w:id="60"/>
      <w:r w:rsidRPr="000A117E">
        <w:t>Risks</w:t>
      </w:r>
      <w:bookmarkEnd w:id="61"/>
      <w:bookmarkEnd w:id="62"/>
      <w:bookmarkEnd w:id="63"/>
    </w:p>
    <w:p w14:paraId="17FF5D15" w14:textId="19D3663D" w:rsidR="00701D45" w:rsidRPr="00701D45" w:rsidRDefault="00701D45" w:rsidP="000D2E10">
      <w:pPr>
        <w:pStyle w:val="Heading4"/>
      </w:pPr>
      <w:r w:rsidRPr="00701D45">
        <w:t>Implementation of the nuclear</w:t>
      </w:r>
      <w:r w:rsidR="00AE237D">
        <w:t>-</w:t>
      </w:r>
      <w:r w:rsidRPr="00701D45">
        <w:t>powered submarine program</w:t>
      </w:r>
    </w:p>
    <w:p w14:paraId="2FFCF055" w14:textId="452FE467" w:rsidR="00426A0B" w:rsidRPr="00426A0B" w:rsidRDefault="00426A0B" w:rsidP="00C0119D">
      <w:pPr>
        <w:rPr>
          <w:rFonts w:eastAsia="Arial"/>
        </w:rPr>
      </w:pPr>
      <w:r w:rsidRPr="00426A0B">
        <w:rPr>
          <w:rFonts w:eastAsia="Arial"/>
        </w:rPr>
        <w:t>On 14 March 2023, the Australian Government, alongside the governments of the United Kingdom and the United States of America, announced the optimal pathway for the nuclear</w:t>
      </w:r>
      <w:r w:rsidR="00D23095">
        <w:rPr>
          <w:rFonts w:eastAsia="Arial"/>
        </w:rPr>
        <w:noBreakHyphen/>
      </w:r>
      <w:r w:rsidRPr="00426A0B">
        <w:rPr>
          <w:rFonts w:eastAsia="Arial"/>
        </w:rPr>
        <w:t xml:space="preserve">powered submarine program for Australia under the AUKUS trilateral security partnership. </w:t>
      </w:r>
    </w:p>
    <w:p w14:paraId="159CC1C7" w14:textId="6E6C7DD0" w:rsidR="00426A0B" w:rsidRPr="00426A0B" w:rsidRDefault="00426A0B" w:rsidP="00C0119D">
      <w:pPr>
        <w:rPr>
          <w:rFonts w:eastAsia="Arial"/>
        </w:rPr>
      </w:pPr>
      <w:r w:rsidRPr="00426A0B">
        <w:rPr>
          <w:rFonts w:eastAsia="Arial"/>
        </w:rPr>
        <w:t xml:space="preserve">The Australian Government has agreed </w:t>
      </w:r>
      <w:proofErr w:type="gramStart"/>
      <w:r w:rsidRPr="00426A0B">
        <w:rPr>
          <w:rFonts w:eastAsia="Arial"/>
        </w:rPr>
        <w:t>a number of</w:t>
      </w:r>
      <w:proofErr w:type="gramEnd"/>
      <w:r w:rsidRPr="00426A0B">
        <w:rPr>
          <w:rFonts w:eastAsia="Arial"/>
        </w:rPr>
        <w:t xml:space="preserve"> measures to support the initial implementation of the nuclear</w:t>
      </w:r>
      <w:r w:rsidR="00D23095">
        <w:rPr>
          <w:rFonts w:eastAsia="Arial"/>
        </w:rPr>
        <w:noBreakHyphen/>
      </w:r>
      <w:r w:rsidRPr="00426A0B">
        <w:rPr>
          <w:rFonts w:eastAsia="Arial"/>
        </w:rPr>
        <w:t xml:space="preserve">powered submarine program, which have been outlined in Budget papers since 2023–24. </w:t>
      </w:r>
    </w:p>
    <w:p w14:paraId="58CDD679" w14:textId="0A7F557A" w:rsidR="00426A0B" w:rsidRDefault="00426A0B" w:rsidP="00C0119D">
      <w:pPr>
        <w:rPr>
          <w:rFonts w:eastAsia="Arial"/>
        </w:rPr>
      </w:pPr>
      <w:r w:rsidRPr="00426A0B">
        <w:rPr>
          <w:rFonts w:eastAsia="Arial"/>
        </w:rPr>
        <w:t>The total costs associated with the program will depend on the details of design and production processes and commercial and other arrangements, including the provision of indemnities, which will be finalised between governments and delivery partners.</w:t>
      </w:r>
    </w:p>
    <w:p w14:paraId="738D9485" w14:textId="51750AC3" w:rsidR="00645E76" w:rsidRPr="00670B7E" w:rsidRDefault="00645E76" w:rsidP="003B5049">
      <w:pPr>
        <w:pStyle w:val="Heading4"/>
        <w:rPr>
          <w:rFonts w:eastAsia="Arial"/>
        </w:rPr>
      </w:pPr>
      <w:bookmarkStart w:id="64" w:name="_Hlk192506556"/>
      <w:r w:rsidRPr="00670B7E">
        <w:rPr>
          <w:rFonts w:eastAsia="Arial"/>
        </w:rPr>
        <w:t xml:space="preserve">Major operations of the Australian Defence Force in </w:t>
      </w:r>
      <w:r w:rsidRPr="00670B7E">
        <w:rPr>
          <w:rFonts w:eastAsia="Arial"/>
          <w:bCs/>
        </w:rPr>
        <w:t>202</w:t>
      </w:r>
      <w:r>
        <w:rPr>
          <w:rFonts w:eastAsia="Arial"/>
          <w:bCs/>
        </w:rPr>
        <w:t>5</w:t>
      </w:r>
      <w:r w:rsidRPr="00670B7E">
        <w:rPr>
          <w:rFonts w:eastAsia="Arial"/>
          <w:bCs/>
        </w:rPr>
        <w:t>–2</w:t>
      </w:r>
      <w:r>
        <w:rPr>
          <w:rFonts w:eastAsia="Arial"/>
          <w:bCs/>
        </w:rPr>
        <w:t>6</w:t>
      </w:r>
    </w:p>
    <w:p w14:paraId="77DBB642" w14:textId="33FEB6DF" w:rsidR="00645E76" w:rsidRDefault="00645E76" w:rsidP="0074298E">
      <w:pPr>
        <w:rPr>
          <w:rFonts w:eastAsia="Arial"/>
        </w:rPr>
      </w:pPr>
      <w:bookmarkStart w:id="65" w:name="_Toc184039478"/>
      <w:bookmarkEnd w:id="64"/>
      <w:r w:rsidRPr="00670B7E">
        <w:rPr>
          <w:rFonts w:eastAsia="Arial"/>
        </w:rPr>
        <w:t>The 202</w:t>
      </w:r>
      <w:r>
        <w:rPr>
          <w:rFonts w:eastAsia="Arial"/>
        </w:rPr>
        <w:t>5</w:t>
      </w:r>
      <w:r w:rsidRPr="00670B7E">
        <w:rPr>
          <w:rFonts w:eastAsia="Arial"/>
        </w:rPr>
        <w:t>–2</w:t>
      </w:r>
      <w:r>
        <w:rPr>
          <w:rFonts w:eastAsia="Arial"/>
        </w:rPr>
        <w:t>6</w:t>
      </w:r>
      <w:r w:rsidRPr="00670B7E">
        <w:rPr>
          <w:rFonts w:eastAsia="Arial"/>
        </w:rPr>
        <w:t> estimates for the Department of Defence</w:t>
      </w:r>
      <w:r w:rsidR="009632E2">
        <w:rPr>
          <w:rFonts w:eastAsia="Arial"/>
        </w:rPr>
        <w:t xml:space="preserve"> (Defence)</w:t>
      </w:r>
      <w:r w:rsidRPr="00670B7E">
        <w:rPr>
          <w:rFonts w:eastAsia="Arial"/>
        </w:rPr>
        <w:t xml:space="preserve"> include the cost of major operations of the Australian Defence Force in 202</w:t>
      </w:r>
      <w:r>
        <w:rPr>
          <w:rFonts w:eastAsia="Arial"/>
        </w:rPr>
        <w:t>5</w:t>
      </w:r>
      <w:r w:rsidRPr="00670B7E">
        <w:rPr>
          <w:rFonts w:eastAsia="Arial"/>
        </w:rPr>
        <w:t>–2</w:t>
      </w:r>
      <w:r>
        <w:rPr>
          <w:rFonts w:eastAsia="Arial"/>
        </w:rPr>
        <w:t>6</w:t>
      </w:r>
      <w:r w:rsidRPr="00670B7E">
        <w:rPr>
          <w:rFonts w:eastAsia="Arial"/>
        </w:rPr>
        <w:t xml:space="preserve"> in the Middle East region, and to protect Australia</w:t>
      </w:r>
      <w:r w:rsidR="00D23095">
        <w:rPr>
          <w:rFonts w:eastAsia="Arial"/>
        </w:rPr>
        <w:t>’</w:t>
      </w:r>
      <w:r w:rsidRPr="00670B7E">
        <w:rPr>
          <w:rFonts w:eastAsia="Arial"/>
        </w:rPr>
        <w:t>s borders and offshore maritime interests. Funding for major Defence operations is considered and provisioned on a year</w:t>
      </w:r>
      <w:r w:rsidR="00D23095">
        <w:rPr>
          <w:rFonts w:eastAsia="Arial"/>
        </w:rPr>
        <w:noBreakHyphen/>
      </w:r>
      <w:r w:rsidRPr="00670B7E">
        <w:rPr>
          <w:rFonts w:eastAsia="Arial"/>
        </w:rPr>
        <w:t>by</w:t>
      </w:r>
      <w:r w:rsidR="00D23095">
        <w:rPr>
          <w:rFonts w:eastAsia="Arial"/>
        </w:rPr>
        <w:noBreakHyphen/>
      </w:r>
      <w:r w:rsidRPr="00670B7E">
        <w:rPr>
          <w:rFonts w:eastAsia="Arial"/>
        </w:rPr>
        <w:t>year basis.</w:t>
      </w:r>
    </w:p>
    <w:p w14:paraId="15B7B23B" w14:textId="196DA332" w:rsidR="0023618C" w:rsidRPr="00B832E0" w:rsidRDefault="0023618C" w:rsidP="0074298E">
      <w:pPr>
        <w:pStyle w:val="Heading3"/>
      </w:pPr>
      <w:bookmarkStart w:id="66" w:name="_Toc193536185"/>
      <w:r w:rsidRPr="00B832E0">
        <w:t>Significant but remote contingenc</w:t>
      </w:r>
      <w:bookmarkEnd w:id="65"/>
      <w:r w:rsidR="00276B9D">
        <w:t>ies</w:t>
      </w:r>
      <w:bookmarkEnd w:id="66"/>
    </w:p>
    <w:p w14:paraId="00CF5791" w14:textId="38EECA8C" w:rsidR="007677B3" w:rsidRPr="007677B3" w:rsidRDefault="007677B3" w:rsidP="0074298E">
      <w:pPr>
        <w:pStyle w:val="Heading4"/>
        <w:rPr>
          <w:bCs/>
          <w:lang w:val="en-US"/>
        </w:rPr>
      </w:pPr>
      <w:bookmarkStart w:id="67" w:name="_Toc71117782"/>
      <w:bookmarkStart w:id="68" w:name="_Toc71117784"/>
      <w:bookmarkStart w:id="69" w:name="_Hlk148351463"/>
      <w:bookmarkStart w:id="70" w:name="_Hlk148524785"/>
      <w:r w:rsidRPr="007677B3">
        <w:rPr>
          <w:bCs/>
          <w:lang w:val="en-US"/>
        </w:rPr>
        <w:t>ADI Limited – Officers</w:t>
      </w:r>
      <w:r w:rsidR="00D23095">
        <w:rPr>
          <w:bCs/>
          <w:lang w:val="en-US"/>
        </w:rPr>
        <w:t>’</w:t>
      </w:r>
      <w:r w:rsidRPr="007677B3">
        <w:rPr>
          <w:bCs/>
          <w:lang w:val="en-US"/>
        </w:rPr>
        <w:t xml:space="preserve"> and Directors</w:t>
      </w:r>
      <w:r w:rsidR="00D23095">
        <w:rPr>
          <w:bCs/>
          <w:lang w:val="en-US"/>
        </w:rPr>
        <w:t>’</w:t>
      </w:r>
      <w:r w:rsidRPr="007677B3">
        <w:rPr>
          <w:bCs/>
          <w:lang w:val="en-US"/>
        </w:rPr>
        <w:t xml:space="preserve"> indemnities</w:t>
      </w:r>
      <w:bookmarkEnd w:id="67"/>
    </w:p>
    <w:p w14:paraId="2D5F033C" w14:textId="30A22189" w:rsidR="007677B3" w:rsidRPr="007677B3" w:rsidRDefault="007677B3" w:rsidP="0074298E">
      <w:pPr>
        <w:rPr>
          <w:rFonts w:eastAsia="Arial"/>
        </w:rPr>
      </w:pPr>
      <w:r w:rsidRPr="007677B3">
        <w:rPr>
          <w:rFonts w:eastAsia="Arial"/>
        </w:rPr>
        <w:t>Under the sale agreements for ADI Limited, the Australian Government agreed to indemnify the directors, officers and employees of ADI Limited for claims and legal costs associated with assistance related to the sale of the Australian Government</w:t>
      </w:r>
      <w:r w:rsidR="00D23095">
        <w:rPr>
          <w:rFonts w:eastAsia="Arial"/>
        </w:rPr>
        <w:t>’</w:t>
      </w:r>
      <w:r w:rsidRPr="007677B3">
        <w:rPr>
          <w:rFonts w:eastAsia="Arial"/>
        </w:rPr>
        <w:t>s shares in the company. The Australian Government has also provided an indemnity to ADI</w:t>
      </w:r>
      <w:r w:rsidRPr="007677B3">
        <w:rPr>
          <w:rFonts w:eastAsia="Arial" w:hint="cs"/>
        </w:rPr>
        <w:t> </w:t>
      </w:r>
      <w:r w:rsidRPr="007677B3">
        <w:rPr>
          <w:rFonts w:eastAsia="Arial"/>
        </w:rPr>
        <w:t>Limited for uninsured losses relating to specific heads of claims.</w:t>
      </w:r>
    </w:p>
    <w:p w14:paraId="310BD90F" w14:textId="77777777" w:rsidR="007677B3" w:rsidRPr="00B832E0" w:rsidRDefault="007677B3" w:rsidP="0074298E">
      <w:pPr>
        <w:pStyle w:val="Heading4"/>
      </w:pPr>
      <w:bookmarkStart w:id="71" w:name="_Toc71117783"/>
      <w:r w:rsidRPr="00B832E0">
        <w:t>Litigation cases</w:t>
      </w:r>
      <w:bookmarkEnd w:id="71"/>
    </w:p>
    <w:p w14:paraId="2E92E5A3" w14:textId="77F440CF" w:rsidR="007677B3" w:rsidRPr="007677B3" w:rsidRDefault="007677B3" w:rsidP="0074298E">
      <w:pPr>
        <w:rPr>
          <w:rFonts w:eastAsia="Arial"/>
        </w:rPr>
      </w:pPr>
      <w:r w:rsidRPr="007677B3">
        <w:rPr>
          <w:rFonts w:eastAsia="Arial"/>
        </w:rPr>
        <w:t xml:space="preserve">Defence is involved in a wide range of litigation and other claims for compensation and/or damages that may result in litigation where the matters are not able to be finalised by negotiation. </w:t>
      </w:r>
    </w:p>
    <w:p w14:paraId="54805D7E" w14:textId="77777777" w:rsidR="007677B3" w:rsidRPr="00645E76" w:rsidRDefault="007677B3" w:rsidP="0074298E">
      <w:pPr>
        <w:rPr>
          <w:rFonts w:eastAsia="Arial"/>
        </w:rPr>
      </w:pPr>
      <w:r w:rsidRPr="00645E76">
        <w:rPr>
          <w:rFonts w:eastAsia="Arial"/>
        </w:rPr>
        <w:t>The litigation includes:</w:t>
      </w:r>
    </w:p>
    <w:p w14:paraId="5B8F809A" w14:textId="314C9B89" w:rsidR="007677B3" w:rsidRPr="00645E76" w:rsidRDefault="007677B3" w:rsidP="00A30F13">
      <w:pPr>
        <w:pStyle w:val="Bullet"/>
      </w:pPr>
      <w:r w:rsidRPr="00645E76">
        <w:t xml:space="preserve">common law liability claims, including for personal injury and property damage, </w:t>
      </w:r>
      <w:r w:rsidRPr="00645E76">
        <w:rPr>
          <w:spacing w:val="-5"/>
        </w:rPr>
        <w:t xml:space="preserve">investigations </w:t>
      </w:r>
      <w:r w:rsidRPr="00645E76">
        <w:t>of Defence</w:t>
      </w:r>
      <w:r w:rsidRPr="00645E76">
        <w:rPr>
          <w:spacing w:val="-6"/>
        </w:rPr>
        <w:t xml:space="preserve"> </w:t>
      </w:r>
      <w:r w:rsidRPr="00645E76">
        <w:t>by</w:t>
      </w:r>
      <w:r w:rsidRPr="00645E76">
        <w:rPr>
          <w:spacing w:val="-7"/>
        </w:rPr>
        <w:t xml:space="preserve"> </w:t>
      </w:r>
      <w:r w:rsidRPr="00645E76">
        <w:t xml:space="preserve">Comcare and active prosecutions </w:t>
      </w:r>
      <w:r w:rsidRPr="00645E76">
        <w:rPr>
          <w:spacing w:val="-6"/>
        </w:rPr>
        <w:t>in</w:t>
      </w:r>
      <w:r w:rsidRPr="00645E76">
        <w:rPr>
          <w:spacing w:val="-7"/>
        </w:rPr>
        <w:t xml:space="preserve"> </w:t>
      </w:r>
      <w:r w:rsidRPr="00645E76">
        <w:t>relation</w:t>
      </w:r>
      <w:r w:rsidRPr="00645E76">
        <w:rPr>
          <w:spacing w:val="-8"/>
        </w:rPr>
        <w:t xml:space="preserve"> </w:t>
      </w:r>
      <w:r w:rsidRPr="00645E76">
        <w:t>to</w:t>
      </w:r>
      <w:r w:rsidRPr="00645E76">
        <w:rPr>
          <w:spacing w:val="-8"/>
        </w:rPr>
        <w:t xml:space="preserve"> </w:t>
      </w:r>
      <w:r w:rsidRPr="00645E76">
        <w:t>alleged</w:t>
      </w:r>
      <w:r w:rsidRPr="00645E76">
        <w:rPr>
          <w:spacing w:val="-6"/>
        </w:rPr>
        <w:t xml:space="preserve"> </w:t>
      </w:r>
      <w:r w:rsidRPr="00645E76">
        <w:t xml:space="preserve">breaches of the </w:t>
      </w:r>
      <w:r w:rsidRPr="003B5049">
        <w:rPr>
          <w:rStyle w:val="Emphasis"/>
        </w:rPr>
        <w:t>Work</w:t>
      </w:r>
      <w:r w:rsidRPr="003B5049">
        <w:rPr>
          <w:rStyle w:val="Emphasis"/>
          <w:rFonts w:hint="eastAsia"/>
        </w:rPr>
        <w:t> </w:t>
      </w:r>
      <w:r w:rsidRPr="003B5049">
        <w:rPr>
          <w:rStyle w:val="Emphasis"/>
        </w:rPr>
        <w:t>Health and Safety Act 2011</w:t>
      </w:r>
    </w:p>
    <w:p w14:paraId="2B458397" w14:textId="06CD03C1" w:rsidR="007677B3" w:rsidRPr="00645E76" w:rsidRDefault="007677B3" w:rsidP="00A30F13">
      <w:pPr>
        <w:pStyle w:val="Bullet"/>
      </w:pPr>
      <w:r w:rsidRPr="00645E76">
        <w:lastRenderedPageBreak/>
        <w:t xml:space="preserve">claims seeking compensation for alleged loss or damage arising from Defence use of aqueous </w:t>
      </w:r>
      <w:r w:rsidRPr="00A30F13">
        <w:t>film</w:t>
      </w:r>
      <w:r w:rsidRPr="00645E76">
        <w:t xml:space="preserve"> </w:t>
      </w:r>
      <w:r w:rsidRPr="00A30F13">
        <w:t>forming</w:t>
      </w:r>
      <w:r w:rsidRPr="00645E76">
        <w:t xml:space="preserve"> foam that contained manmade per</w:t>
      </w:r>
      <w:r w:rsidR="00D23095">
        <w:noBreakHyphen/>
      </w:r>
      <w:r w:rsidRPr="00645E76">
        <w:t xml:space="preserve"> and poly</w:t>
      </w:r>
      <w:r w:rsidR="00D23095">
        <w:noBreakHyphen/>
      </w:r>
      <w:r w:rsidRPr="00645E76">
        <w:t xml:space="preserve">fluoroalkyl </w:t>
      </w:r>
      <w:r w:rsidR="00252CB0">
        <w:t xml:space="preserve">(PFAS) </w:t>
      </w:r>
      <w:r w:rsidRPr="00645E76">
        <w:t>substances</w:t>
      </w:r>
    </w:p>
    <w:p w14:paraId="24D6040F" w14:textId="77777777" w:rsidR="007677B3" w:rsidRPr="00645E76" w:rsidRDefault="007677B3" w:rsidP="00A30F13">
      <w:pPr>
        <w:pStyle w:val="Bullet"/>
      </w:pPr>
      <w:r w:rsidRPr="00645E76">
        <w:t xml:space="preserve">claims </w:t>
      </w:r>
      <w:r w:rsidRPr="00A30F13">
        <w:t>received</w:t>
      </w:r>
      <w:r w:rsidRPr="00645E76">
        <w:t xml:space="preserve"> following reviews into the Australian Defence Force and Defence culture. </w:t>
      </w:r>
    </w:p>
    <w:p w14:paraId="632E430E" w14:textId="3BFE1AC6" w:rsidR="007677B3" w:rsidRPr="007677B3" w:rsidRDefault="007677B3" w:rsidP="0074298E">
      <w:pPr>
        <w:rPr>
          <w:rFonts w:eastAsia="Arial"/>
        </w:rPr>
      </w:pPr>
      <w:r w:rsidRPr="00645E76">
        <w:rPr>
          <w:rFonts w:eastAsia="Arial"/>
        </w:rPr>
        <w:t>Claims may also arise from the disposal of assets to third parties where such assets contain hazardous materials, or components that have the potential to cause injury.</w:t>
      </w:r>
    </w:p>
    <w:p w14:paraId="433D3ACB" w14:textId="26D20C4A" w:rsidR="0023618C" w:rsidRPr="00685E86" w:rsidRDefault="0023618C" w:rsidP="0074298E">
      <w:pPr>
        <w:pStyle w:val="Heading4"/>
        <w:rPr>
          <w:bCs/>
          <w:lang w:val="en-US"/>
        </w:rPr>
      </w:pPr>
      <w:r w:rsidRPr="00685E86">
        <w:rPr>
          <w:bCs/>
          <w:lang w:val="en-US"/>
        </w:rPr>
        <w:t>Remote contingencies</w:t>
      </w:r>
      <w:bookmarkEnd w:id="68"/>
      <w:bookmarkEnd w:id="69"/>
      <w:bookmarkEnd w:id="70"/>
    </w:p>
    <w:p w14:paraId="1F05462B" w14:textId="5BD15ADE" w:rsidR="0023618C" w:rsidRPr="00301009" w:rsidRDefault="0023618C" w:rsidP="0074298E">
      <w:pPr>
        <w:rPr>
          <w:rFonts w:eastAsia="Arial"/>
        </w:rPr>
      </w:pPr>
      <w:r w:rsidRPr="00301009">
        <w:rPr>
          <w:rFonts w:eastAsia="Arial"/>
        </w:rPr>
        <w:t xml:space="preserve">As </w:t>
      </w:r>
      <w:proofErr w:type="gramStart"/>
      <w:r w:rsidRPr="00301009">
        <w:rPr>
          <w:rFonts w:eastAsia="Arial"/>
        </w:rPr>
        <w:t>at</w:t>
      </w:r>
      <w:proofErr w:type="gramEnd"/>
      <w:r w:rsidRPr="00301009">
        <w:rPr>
          <w:rFonts w:eastAsia="Arial"/>
        </w:rPr>
        <w:t xml:space="preserve"> 30 June 2024, Defence carried 412 instances of quantifiable remote contingent liabilities valued at $7.95</w:t>
      </w:r>
      <w:r>
        <w:rPr>
          <w:rFonts w:eastAsia="Arial"/>
        </w:rPr>
        <w:t> billion</w:t>
      </w:r>
      <w:r w:rsidRPr="00301009">
        <w:rPr>
          <w:rFonts w:eastAsia="Arial"/>
        </w:rPr>
        <w:t xml:space="preserve"> and 592 instances of unquantifiable remote contingent liabilities. </w:t>
      </w:r>
    </w:p>
    <w:p w14:paraId="28619546" w14:textId="77777777" w:rsidR="0023618C" w:rsidRDefault="0023618C" w:rsidP="0074298E">
      <w:pPr>
        <w:rPr>
          <w:rFonts w:eastAsia="Arial"/>
        </w:rPr>
      </w:pPr>
      <w:r w:rsidRPr="00301009">
        <w:rPr>
          <w:rFonts w:eastAsia="Arial"/>
        </w:rPr>
        <w:t>Details of these significant but remote contingent liabilities are not given due to commercial and/or national security sensitivities.</w:t>
      </w:r>
    </w:p>
    <w:p w14:paraId="156031C8" w14:textId="77777777" w:rsidR="002A2FE6" w:rsidRPr="00B832E0" w:rsidRDefault="002A2FE6" w:rsidP="0074298E">
      <w:pPr>
        <w:pStyle w:val="Heading3"/>
      </w:pPr>
      <w:bookmarkStart w:id="72" w:name="_Toc166165500"/>
      <w:bookmarkStart w:id="73" w:name="_Toc193536186"/>
      <w:r w:rsidRPr="00B832E0">
        <w:t>Contingent liabilities – unquantifiable</w:t>
      </w:r>
      <w:bookmarkEnd w:id="72"/>
      <w:bookmarkEnd w:id="73"/>
    </w:p>
    <w:p w14:paraId="266283A0" w14:textId="77777777" w:rsidR="002A2FE6" w:rsidRPr="00B832E0" w:rsidRDefault="002A2FE6" w:rsidP="0074298E">
      <w:pPr>
        <w:pStyle w:val="Heading4"/>
      </w:pPr>
      <w:bookmarkStart w:id="74" w:name="_Toc71117786"/>
      <w:r w:rsidRPr="00B832E0">
        <w:t>Cockatoo Island Dockyard</w:t>
      </w:r>
      <w:bookmarkEnd w:id="74"/>
    </w:p>
    <w:p w14:paraId="2C604CEB" w14:textId="77777777" w:rsidR="002A2FE6" w:rsidRPr="002A2FE6" w:rsidRDefault="002A2FE6" w:rsidP="0074298E">
      <w:pPr>
        <w:rPr>
          <w:rFonts w:eastAsia="Arial"/>
        </w:rPr>
      </w:pPr>
      <w:r w:rsidRPr="002A2FE6">
        <w:rPr>
          <w:rFonts w:eastAsia="Arial"/>
        </w:rPr>
        <w:t>On 13</w:t>
      </w:r>
      <w:r w:rsidRPr="002A2FE6">
        <w:rPr>
          <w:rFonts w:eastAsia="Arial" w:hint="eastAsia"/>
        </w:rPr>
        <w:t> </w:t>
      </w:r>
      <w:r w:rsidRPr="002A2FE6">
        <w:rPr>
          <w:rFonts w:eastAsia="Arial"/>
        </w:rPr>
        <w:t>October</w:t>
      </w:r>
      <w:r w:rsidRPr="002A2FE6">
        <w:rPr>
          <w:rFonts w:eastAsia="Arial" w:hint="eastAsia"/>
        </w:rPr>
        <w:t> </w:t>
      </w:r>
      <w:r w:rsidRPr="002A2FE6">
        <w:rPr>
          <w:rFonts w:eastAsia="Arial"/>
        </w:rPr>
        <w:t>2001, Cockatoo Island Dockyard</w:t>
      </w:r>
      <w:r w:rsidRPr="002A2FE6" w:rsidDel="003148BF">
        <w:rPr>
          <w:rFonts w:eastAsia="Arial"/>
        </w:rPr>
        <w:t xml:space="preserve"> </w:t>
      </w:r>
      <w:r w:rsidRPr="002A2FE6">
        <w:rPr>
          <w:rFonts w:eastAsia="Arial"/>
        </w:rPr>
        <w:t>commenced proceedings against the Commonwealth in the New</w:t>
      </w:r>
      <w:r w:rsidRPr="002A2FE6">
        <w:rPr>
          <w:rFonts w:eastAsia="Arial" w:hint="eastAsia"/>
        </w:rPr>
        <w:t> </w:t>
      </w:r>
      <w:r w:rsidRPr="002A2FE6">
        <w:rPr>
          <w:rFonts w:eastAsia="Arial"/>
        </w:rPr>
        <w:t>South</w:t>
      </w:r>
      <w:r w:rsidRPr="002A2FE6">
        <w:rPr>
          <w:rFonts w:eastAsia="Arial" w:hint="eastAsia"/>
        </w:rPr>
        <w:t> </w:t>
      </w:r>
      <w:r w:rsidRPr="002A2FE6">
        <w:rPr>
          <w:rFonts w:eastAsia="Arial"/>
        </w:rPr>
        <w:t>Wales</w:t>
      </w:r>
      <w:r w:rsidRPr="002A2FE6">
        <w:rPr>
          <w:rFonts w:eastAsia="Arial" w:hint="eastAsia"/>
        </w:rPr>
        <w:t> </w:t>
      </w:r>
      <w:r w:rsidRPr="002A2FE6">
        <w:rPr>
          <w:rFonts w:eastAsia="Arial"/>
        </w:rPr>
        <w:t>(NSW) Supreme Court seeking full reimbursement from the Australian</w:t>
      </w:r>
      <w:r w:rsidRPr="002A2FE6">
        <w:rPr>
          <w:rFonts w:eastAsia="Arial" w:hint="eastAsia"/>
        </w:rPr>
        <w:t> </w:t>
      </w:r>
      <w:r w:rsidRPr="002A2FE6">
        <w:rPr>
          <w:rFonts w:eastAsia="Arial"/>
        </w:rPr>
        <w:t>Government for personal injury claims costs incurred after 31</w:t>
      </w:r>
      <w:r w:rsidRPr="002A2FE6">
        <w:rPr>
          <w:rFonts w:eastAsia="Arial" w:hint="eastAsia"/>
        </w:rPr>
        <w:t> </w:t>
      </w:r>
      <w:r w:rsidRPr="002A2FE6">
        <w:rPr>
          <w:rFonts w:eastAsia="Arial"/>
        </w:rPr>
        <w:t>October</w:t>
      </w:r>
      <w:r w:rsidRPr="002A2FE6">
        <w:rPr>
          <w:rFonts w:eastAsia="Arial" w:hint="eastAsia"/>
        </w:rPr>
        <w:t> </w:t>
      </w:r>
      <w:r w:rsidRPr="002A2FE6">
        <w:rPr>
          <w:rFonts w:eastAsia="Arial"/>
        </w:rPr>
        <w:t>1995 in relation to asbestos exposure. Following decisions in the NSW</w:t>
      </w:r>
      <w:r w:rsidRPr="002A2FE6">
        <w:rPr>
          <w:rFonts w:eastAsia="Arial" w:hint="eastAsia"/>
        </w:rPr>
        <w:t> </w:t>
      </w:r>
      <w:r w:rsidRPr="002A2FE6">
        <w:rPr>
          <w:rFonts w:eastAsia="Arial"/>
        </w:rPr>
        <w:t>Supreme Court on 17</w:t>
      </w:r>
      <w:r w:rsidRPr="002A2FE6">
        <w:rPr>
          <w:rFonts w:eastAsia="Arial" w:hint="eastAsia"/>
        </w:rPr>
        <w:t> </w:t>
      </w:r>
      <w:r w:rsidRPr="002A2FE6">
        <w:rPr>
          <w:rFonts w:eastAsia="Arial"/>
        </w:rPr>
        <w:t>December</w:t>
      </w:r>
      <w:r w:rsidRPr="002A2FE6">
        <w:rPr>
          <w:rFonts w:eastAsia="Arial" w:hint="eastAsia"/>
        </w:rPr>
        <w:t> </w:t>
      </w:r>
      <w:r w:rsidRPr="002A2FE6">
        <w:rPr>
          <w:rFonts w:eastAsia="Arial"/>
        </w:rPr>
        <w:t>2004 and 4</w:t>
      </w:r>
      <w:r w:rsidRPr="002A2FE6">
        <w:rPr>
          <w:rFonts w:eastAsia="Arial" w:hint="eastAsia"/>
        </w:rPr>
        <w:t> </w:t>
      </w:r>
      <w:r w:rsidRPr="002A2FE6">
        <w:rPr>
          <w:rFonts w:eastAsia="Arial"/>
        </w:rPr>
        <w:t>February</w:t>
      </w:r>
      <w:r w:rsidRPr="002A2FE6">
        <w:rPr>
          <w:rFonts w:eastAsia="Arial" w:hint="eastAsia"/>
        </w:rPr>
        <w:t> </w:t>
      </w:r>
      <w:r w:rsidRPr="002A2FE6">
        <w:rPr>
          <w:rFonts w:eastAsia="Arial"/>
        </w:rPr>
        <w:t>2005, and the NSW</w:t>
      </w:r>
      <w:r w:rsidRPr="002A2FE6">
        <w:rPr>
          <w:rFonts w:eastAsia="Arial" w:hint="eastAsia"/>
        </w:rPr>
        <w:t> </w:t>
      </w:r>
      <w:r w:rsidRPr="002A2FE6">
        <w:rPr>
          <w:rFonts w:eastAsia="Arial"/>
        </w:rPr>
        <w:t>Court</w:t>
      </w:r>
      <w:r w:rsidRPr="002A2FE6">
        <w:rPr>
          <w:rFonts w:eastAsia="Arial" w:hint="eastAsia"/>
        </w:rPr>
        <w:t> </w:t>
      </w:r>
      <w:r w:rsidRPr="002A2FE6">
        <w:rPr>
          <w:rFonts w:eastAsia="Arial"/>
        </w:rPr>
        <w:t>of</w:t>
      </w:r>
      <w:r w:rsidRPr="002A2FE6">
        <w:rPr>
          <w:rFonts w:eastAsia="Arial" w:hint="eastAsia"/>
        </w:rPr>
        <w:t> </w:t>
      </w:r>
      <w:r w:rsidRPr="002A2FE6">
        <w:rPr>
          <w:rFonts w:eastAsia="Arial"/>
        </w:rPr>
        <w:t>Appeal on 23</w:t>
      </w:r>
      <w:r w:rsidRPr="002A2FE6">
        <w:rPr>
          <w:rFonts w:eastAsia="Arial" w:hint="eastAsia"/>
        </w:rPr>
        <w:t> </w:t>
      </w:r>
      <w:r w:rsidRPr="002A2FE6">
        <w:rPr>
          <w:rFonts w:eastAsia="Arial"/>
        </w:rPr>
        <w:t>November</w:t>
      </w:r>
      <w:r w:rsidRPr="002A2FE6">
        <w:rPr>
          <w:rFonts w:eastAsia="Arial" w:hint="eastAsia"/>
        </w:rPr>
        <w:t> </w:t>
      </w:r>
      <w:r w:rsidRPr="002A2FE6">
        <w:rPr>
          <w:rFonts w:eastAsia="Arial"/>
        </w:rPr>
        <w:t>2006, Cockatoo Island Dockyard</w:t>
      </w:r>
      <w:r w:rsidRPr="002A2FE6" w:rsidDel="003148BF">
        <w:rPr>
          <w:rFonts w:eastAsia="Arial"/>
        </w:rPr>
        <w:t xml:space="preserve"> </w:t>
      </w:r>
      <w:r w:rsidRPr="002A2FE6">
        <w:rPr>
          <w:rFonts w:eastAsia="Arial"/>
        </w:rPr>
        <w:t>was awarded a complete indemnity from the Commonwealth for its uninsured exposure to asbestos damages claims, plus profit of 7.5 per cent. Defence continues to manage reimbursement of claims costs incurred by Cockatoo Island Dockyard.</w:t>
      </w:r>
    </w:p>
    <w:p w14:paraId="0573AB44" w14:textId="77777777" w:rsidR="002A2FE6" w:rsidRPr="00B832E0" w:rsidRDefault="002A2FE6" w:rsidP="0074298E">
      <w:pPr>
        <w:pStyle w:val="Heading4"/>
      </w:pPr>
      <w:bookmarkStart w:id="75" w:name="_Toc71117787"/>
      <w:r w:rsidRPr="00B832E0">
        <w:t>Land decontamination, site restoration and decommissioning of Defence assets</w:t>
      </w:r>
      <w:bookmarkEnd w:id="75"/>
    </w:p>
    <w:p w14:paraId="6A6EF392" w14:textId="0C5F9DB3" w:rsidR="00645E76" w:rsidRPr="00645E76" w:rsidRDefault="00645E76" w:rsidP="00C0119D">
      <w:pPr>
        <w:shd w:val="clear" w:color="auto" w:fill="FFFFFF" w:themeFill="background1"/>
        <w:rPr>
          <w:rFonts w:eastAsia="Arial"/>
        </w:rPr>
      </w:pPr>
      <w:bookmarkStart w:id="76" w:name="_Toc184039479"/>
      <w:r w:rsidRPr="00C0119D">
        <w:rPr>
          <w:rFonts w:eastAsia="Arial"/>
          <w:shd w:val="clear" w:color="auto" w:fill="FFFFFF" w:themeFill="background1"/>
        </w:rPr>
        <w:t>Defence has made a financial provision for the estimated costs involved in remediating contaminated land on the Defence estate where a legal or constructive obligation has arisen. For cases where these obligations do not exist, or these contingencies are unquantified, a provision has not been made.</w:t>
      </w:r>
      <w:r w:rsidRPr="0009089A">
        <w:rPr>
          <w:rFonts w:eastAsia="Arial"/>
          <w:shd w:val="clear" w:color="auto" w:fill="FFFFCC"/>
        </w:rPr>
        <w:t xml:space="preserve"> </w:t>
      </w:r>
    </w:p>
    <w:p w14:paraId="42A85401" w14:textId="77777777" w:rsidR="0023618C" w:rsidRPr="00353085" w:rsidRDefault="0023618C" w:rsidP="0074298E">
      <w:pPr>
        <w:pStyle w:val="Heading3"/>
        <w:rPr>
          <w:bCs/>
          <w:lang w:val="en-US"/>
        </w:rPr>
      </w:pPr>
      <w:bookmarkStart w:id="77" w:name="_Toc193536187"/>
      <w:r w:rsidRPr="00353085">
        <w:rPr>
          <w:bCs/>
          <w:lang w:val="en-US"/>
        </w:rPr>
        <w:t xml:space="preserve">Contingent </w:t>
      </w:r>
      <w:r>
        <w:rPr>
          <w:bCs/>
          <w:lang w:val="en-US"/>
        </w:rPr>
        <w:t>liability</w:t>
      </w:r>
      <w:r w:rsidRPr="00353085">
        <w:rPr>
          <w:bCs/>
          <w:lang w:val="en-US"/>
        </w:rPr>
        <w:t xml:space="preserve"> – quantifiable</w:t>
      </w:r>
      <w:bookmarkEnd w:id="76"/>
      <w:bookmarkEnd w:id="77"/>
    </w:p>
    <w:p w14:paraId="4EAB7F55" w14:textId="77777777" w:rsidR="0023618C" w:rsidRPr="00B96F68" w:rsidRDefault="0023618C" w:rsidP="0074298E">
      <w:pPr>
        <w:pStyle w:val="Heading4"/>
        <w:rPr>
          <w:bCs/>
          <w:lang w:val="en-US"/>
        </w:rPr>
      </w:pPr>
      <w:r w:rsidRPr="00B96F68">
        <w:rPr>
          <w:bCs/>
          <w:lang w:val="en-US"/>
        </w:rPr>
        <w:t xml:space="preserve">Claims against the Department of </w:t>
      </w:r>
      <w:proofErr w:type="spellStart"/>
      <w:r w:rsidRPr="00B96F68">
        <w:rPr>
          <w:bCs/>
          <w:lang w:val="en-US"/>
        </w:rPr>
        <w:t>Defence</w:t>
      </w:r>
      <w:proofErr w:type="spellEnd"/>
    </w:p>
    <w:p w14:paraId="2440B8F8" w14:textId="2F27066E" w:rsidR="0023618C" w:rsidRPr="00301009" w:rsidRDefault="0023618C" w:rsidP="0074298E">
      <w:pPr>
        <w:rPr>
          <w:rFonts w:eastAsia="Arial"/>
        </w:rPr>
      </w:pPr>
      <w:r w:rsidRPr="00301009">
        <w:rPr>
          <w:rFonts w:eastAsia="Arial"/>
        </w:rPr>
        <w:t xml:space="preserve">The Department of Defence </w:t>
      </w:r>
      <w:r w:rsidR="000B1E8B">
        <w:rPr>
          <w:rFonts w:eastAsia="Arial"/>
        </w:rPr>
        <w:t xml:space="preserve">(Defence) </w:t>
      </w:r>
      <w:r w:rsidRPr="00301009">
        <w:rPr>
          <w:rFonts w:eastAsia="Arial"/>
        </w:rPr>
        <w:t>has 15 instances of non</w:t>
      </w:r>
      <w:r w:rsidR="00D23095">
        <w:rPr>
          <w:rFonts w:eastAsia="Arial"/>
        </w:rPr>
        <w:noBreakHyphen/>
      </w:r>
      <w:r w:rsidRPr="00301009">
        <w:rPr>
          <w:rFonts w:eastAsia="Arial"/>
        </w:rPr>
        <w:t>remote, quantifiable contingent liabilities in respect of claims against Defence valued at $17.9</w:t>
      </w:r>
      <w:r>
        <w:rPr>
          <w:rFonts w:eastAsia="Arial"/>
        </w:rPr>
        <w:t> million</w:t>
      </w:r>
      <w:r w:rsidRPr="00301009">
        <w:rPr>
          <w:rFonts w:eastAsia="Arial"/>
        </w:rPr>
        <w:t xml:space="preserve">. </w:t>
      </w:r>
    </w:p>
    <w:p w14:paraId="6204DACF" w14:textId="6B72F6EB" w:rsidR="00B64CBE" w:rsidRDefault="0023618C" w:rsidP="0074298E">
      <w:pPr>
        <w:rPr>
          <w:rFonts w:eastAsia="Arial"/>
        </w:rPr>
      </w:pPr>
      <w:r w:rsidRPr="00301009">
        <w:rPr>
          <w:rFonts w:eastAsia="Arial"/>
        </w:rPr>
        <w:t>The estimated figure is determined by an objective analysis of the probable amount payable for all matters managed by firms engaged by Defence using the Attorney</w:t>
      </w:r>
      <w:r w:rsidR="00D23095">
        <w:rPr>
          <w:rFonts w:eastAsia="Arial"/>
        </w:rPr>
        <w:noBreakHyphen/>
      </w:r>
      <w:r w:rsidRPr="00301009">
        <w:rPr>
          <w:rFonts w:eastAsia="Arial"/>
        </w:rPr>
        <w:t>General</w:t>
      </w:r>
      <w:r w:rsidR="00D23095">
        <w:rPr>
          <w:rFonts w:eastAsia="Arial"/>
        </w:rPr>
        <w:t>’</w:t>
      </w:r>
      <w:r w:rsidRPr="00301009">
        <w:rPr>
          <w:rFonts w:eastAsia="Arial"/>
        </w:rPr>
        <w:t xml:space="preserve">s </w:t>
      </w:r>
      <w:r w:rsidRPr="00301009">
        <w:rPr>
          <w:rFonts w:eastAsia="Arial"/>
        </w:rPr>
        <w:lastRenderedPageBreak/>
        <w:t>Whole</w:t>
      </w:r>
      <w:r w:rsidR="005B50CC">
        <w:rPr>
          <w:rFonts w:eastAsia="Arial"/>
        </w:rPr>
        <w:t> </w:t>
      </w:r>
      <w:r w:rsidRPr="00301009">
        <w:rPr>
          <w:rFonts w:eastAsia="Arial"/>
        </w:rPr>
        <w:t>of Australian Government Legal Services Panel and those being handled in</w:t>
      </w:r>
      <w:r w:rsidR="00D23095">
        <w:rPr>
          <w:rFonts w:eastAsia="Arial"/>
        </w:rPr>
        <w:noBreakHyphen/>
      </w:r>
      <w:r w:rsidRPr="00301009">
        <w:rPr>
          <w:rFonts w:eastAsia="Arial"/>
        </w:rPr>
        <w:t>house by Defence Legal Division. However, the exact amount payable under those claims is uncertain. Defence is defending the claims or trying to resolve them through alternative dispute resolution.</w:t>
      </w:r>
      <w:r w:rsidR="00B64CBE">
        <w:rPr>
          <w:rFonts w:eastAsia="Arial"/>
        </w:rPr>
        <w:br w:type="page"/>
      </w:r>
    </w:p>
    <w:p w14:paraId="6F4B136F" w14:textId="54DFB8CC" w:rsidR="0023618C" w:rsidRPr="00B832E0" w:rsidRDefault="0023618C" w:rsidP="0074298E">
      <w:pPr>
        <w:pStyle w:val="Heading2"/>
      </w:pPr>
      <w:bookmarkStart w:id="78" w:name="_Toc184039480"/>
      <w:bookmarkStart w:id="79" w:name="_Toc193536188"/>
      <w:r w:rsidRPr="00B832E0">
        <w:lastRenderedPageBreak/>
        <w:t>Employment and Workplace Relations</w:t>
      </w:r>
      <w:bookmarkEnd w:id="58"/>
      <w:bookmarkEnd w:id="78"/>
      <w:bookmarkEnd w:id="79"/>
    </w:p>
    <w:p w14:paraId="28728CAF" w14:textId="77777777" w:rsidR="00791B0A" w:rsidRPr="00B832E0" w:rsidRDefault="00791B0A" w:rsidP="0074298E">
      <w:pPr>
        <w:pStyle w:val="Heading3"/>
      </w:pPr>
      <w:bookmarkStart w:id="80" w:name="_Toc166165503"/>
      <w:bookmarkStart w:id="81" w:name="_Toc193536189"/>
      <w:bookmarkStart w:id="82" w:name="_Toc71117791"/>
      <w:bookmarkStart w:id="83" w:name="_Toc184039481"/>
      <w:bookmarkStart w:id="84" w:name="_Toc99141864"/>
      <w:r w:rsidRPr="00B832E0">
        <w:t>Fiscal Risk</w:t>
      </w:r>
      <w:bookmarkEnd w:id="80"/>
      <w:bookmarkEnd w:id="81"/>
    </w:p>
    <w:p w14:paraId="4D8BD33D" w14:textId="07885691" w:rsidR="00791B0A" w:rsidRPr="00791B0A" w:rsidRDefault="00791B0A" w:rsidP="0074298E">
      <w:pPr>
        <w:pStyle w:val="Heading4"/>
        <w:rPr>
          <w:rFonts w:eastAsia="Arial"/>
          <w:lang w:val="en-US"/>
        </w:rPr>
      </w:pPr>
      <w:r w:rsidRPr="00791B0A">
        <w:rPr>
          <w:rFonts w:eastAsia="Arial"/>
          <w:lang w:val="en-US"/>
        </w:rPr>
        <w:t>Recovery of inappropriately claimed VET FEE</w:t>
      </w:r>
      <w:r w:rsidR="00DD3647">
        <w:rPr>
          <w:rFonts w:eastAsia="Arial"/>
          <w:lang w:val="en-US"/>
        </w:rPr>
        <w:t>-</w:t>
      </w:r>
      <w:r w:rsidRPr="00791B0A">
        <w:rPr>
          <w:rFonts w:eastAsia="Arial"/>
          <w:lang w:val="en-US"/>
        </w:rPr>
        <w:t>HELP payments from VET providers</w:t>
      </w:r>
      <w:bookmarkEnd w:id="82"/>
    </w:p>
    <w:p w14:paraId="0833B7CF" w14:textId="7184FCD6" w:rsidR="00791B0A" w:rsidRPr="00791B0A" w:rsidRDefault="00791B0A" w:rsidP="0074298E">
      <w:pPr>
        <w:rPr>
          <w:rFonts w:eastAsia="Arial"/>
        </w:rPr>
      </w:pPr>
      <w:r w:rsidRPr="00791B0A">
        <w:rPr>
          <w:rFonts w:eastAsia="Arial"/>
        </w:rPr>
        <w:t>The Australian Government is undertaking compliance action, including court action, to recover VET FEE</w:t>
      </w:r>
      <w:r w:rsidR="00D23095">
        <w:rPr>
          <w:rFonts w:eastAsia="Arial"/>
        </w:rPr>
        <w:noBreakHyphen/>
      </w:r>
      <w:r w:rsidRPr="00791B0A">
        <w:rPr>
          <w:rFonts w:eastAsia="Arial"/>
        </w:rPr>
        <w:t>HELP payments from VET providers where loans were issued inappropriately to students by providers. The Government has legislated a remedy, which commenced 1 January 2019, for VET FEE–HELP students who incurred debts under the VET FEE</w:t>
      </w:r>
      <w:r w:rsidR="00D23095">
        <w:rPr>
          <w:rFonts w:eastAsia="Arial"/>
        </w:rPr>
        <w:noBreakHyphen/>
      </w:r>
      <w:r w:rsidRPr="00791B0A">
        <w:rPr>
          <w:rFonts w:eastAsia="Arial"/>
        </w:rPr>
        <w:t>HELP loan scheme following inappropriate conduct by VET providers. The Government will undertake recovery activities against VET providers in cases where the student was ineligible for a VET FEE</w:t>
      </w:r>
      <w:r w:rsidR="00D23095">
        <w:rPr>
          <w:rFonts w:eastAsia="Arial"/>
        </w:rPr>
        <w:noBreakHyphen/>
      </w:r>
      <w:r w:rsidRPr="00791B0A">
        <w:rPr>
          <w:rFonts w:eastAsia="Arial"/>
        </w:rPr>
        <w:t>HELP loan.</w:t>
      </w:r>
    </w:p>
    <w:p w14:paraId="431F4236" w14:textId="77777777" w:rsidR="00791B0A" w:rsidRPr="00791B0A" w:rsidRDefault="00791B0A" w:rsidP="0074298E">
      <w:pPr>
        <w:rPr>
          <w:rFonts w:eastAsia="Arial"/>
        </w:rPr>
      </w:pPr>
      <w:r w:rsidRPr="00791B0A">
        <w:rPr>
          <w:rFonts w:eastAsia="Arial"/>
        </w:rPr>
        <w:t xml:space="preserve">There are financial risks to the Commonwealth </w:t>
      </w:r>
      <w:proofErr w:type="gramStart"/>
      <w:r w:rsidRPr="00791B0A">
        <w:rPr>
          <w:rFonts w:eastAsia="Arial"/>
        </w:rPr>
        <w:t>in the event that</w:t>
      </w:r>
      <w:proofErr w:type="gramEnd"/>
      <w:r w:rsidRPr="00791B0A">
        <w:rPr>
          <w:rFonts w:eastAsia="Arial"/>
        </w:rPr>
        <w:t xml:space="preserve"> it cannot recover payments from VET providers where they have closed or entered into administration or liquidation.</w:t>
      </w:r>
    </w:p>
    <w:p w14:paraId="28D25779" w14:textId="2016C186" w:rsidR="00791B0A" w:rsidRPr="00791B0A" w:rsidRDefault="00791B0A" w:rsidP="0074298E">
      <w:pPr>
        <w:rPr>
          <w:rFonts w:eastAsia="Arial"/>
        </w:rPr>
      </w:pPr>
      <w:r w:rsidRPr="00791B0A">
        <w:rPr>
          <w:rFonts w:eastAsia="Arial"/>
        </w:rPr>
        <w:t>The financial risk to the Commonwealth is currently unquantifiable as it depends on the receipt and assessment of applications from students, as well as outcomes from the Government</w:t>
      </w:r>
      <w:r w:rsidR="00D23095">
        <w:rPr>
          <w:rFonts w:eastAsia="Arial"/>
        </w:rPr>
        <w:t>’</w:t>
      </w:r>
      <w:r w:rsidRPr="00791B0A">
        <w:rPr>
          <w:rFonts w:eastAsia="Arial"/>
        </w:rPr>
        <w:t>s investigations into VET providers</w:t>
      </w:r>
      <w:r w:rsidR="00D23095">
        <w:rPr>
          <w:rFonts w:eastAsia="Arial"/>
        </w:rPr>
        <w:t>’</w:t>
      </w:r>
      <w:r w:rsidRPr="00791B0A">
        <w:rPr>
          <w:rFonts w:eastAsia="Arial"/>
        </w:rPr>
        <w:t xml:space="preserve"> conduct.</w:t>
      </w:r>
    </w:p>
    <w:p w14:paraId="1FC3D855" w14:textId="1EC2CFEC" w:rsidR="00405AEC" w:rsidRPr="00B832E0" w:rsidRDefault="00405AEC" w:rsidP="00405AEC">
      <w:pPr>
        <w:pStyle w:val="Heading3"/>
      </w:pPr>
      <w:bookmarkStart w:id="85" w:name="_Toc193536190"/>
      <w:r w:rsidRPr="00B832E0">
        <w:t>Contingent liabilit</w:t>
      </w:r>
      <w:r w:rsidR="003E2F7C">
        <w:t>y</w:t>
      </w:r>
      <w:r>
        <w:t xml:space="preserve"> </w:t>
      </w:r>
      <w:r w:rsidRPr="00B832E0">
        <w:t xml:space="preserve">– </w:t>
      </w:r>
      <w:r>
        <w:t>un</w:t>
      </w:r>
      <w:r w:rsidRPr="00B832E0">
        <w:t>quantifiable</w:t>
      </w:r>
      <w:bookmarkEnd w:id="85"/>
    </w:p>
    <w:p w14:paraId="374EEF2D" w14:textId="3B200207" w:rsidR="00405AEC" w:rsidRPr="00EA3ACE" w:rsidRDefault="009F72C1" w:rsidP="00405AEC">
      <w:pPr>
        <w:pStyle w:val="Heading4"/>
        <w:rPr>
          <w:rFonts w:eastAsia="Calibri"/>
          <w:lang w:eastAsia="en-US"/>
        </w:rPr>
      </w:pPr>
      <w:r w:rsidRPr="009F72C1">
        <w:rPr>
          <w:rFonts w:eastAsia="Calibri"/>
          <w:lang w:eastAsia="en-US"/>
        </w:rPr>
        <w:t xml:space="preserve">Indemnity provided to the </w:t>
      </w:r>
      <w:r w:rsidR="009412E3">
        <w:rPr>
          <w:rFonts w:eastAsia="Calibri"/>
          <w:lang w:eastAsia="en-US"/>
        </w:rPr>
        <w:t>A</w:t>
      </w:r>
      <w:r w:rsidR="009412E3" w:rsidRPr="009F72C1">
        <w:rPr>
          <w:rFonts w:eastAsia="Calibri"/>
          <w:lang w:eastAsia="en-US"/>
        </w:rPr>
        <w:t xml:space="preserve">dministrator </w:t>
      </w:r>
      <w:r w:rsidRPr="009F72C1">
        <w:rPr>
          <w:rFonts w:eastAsia="Calibri"/>
          <w:lang w:eastAsia="en-US"/>
        </w:rPr>
        <w:t>of the Construction and General Division of the Construction, Forestry and Maritime Employees Union</w:t>
      </w:r>
    </w:p>
    <w:p w14:paraId="1F8BA540" w14:textId="7A93EC74" w:rsidR="003E2F7C" w:rsidRPr="00E93232" w:rsidRDefault="00326B49" w:rsidP="003E2F7C">
      <w:pPr>
        <w:shd w:val="clear" w:color="auto" w:fill="FFFFFF" w:themeFill="background1"/>
        <w:rPr>
          <w:rFonts w:eastAsia="Book Antiqua"/>
        </w:rPr>
      </w:pPr>
      <w:r>
        <w:rPr>
          <w:rFonts w:eastAsia="Book Antiqua"/>
        </w:rPr>
        <w:t>T</w:t>
      </w:r>
      <w:r w:rsidR="003E2F7C" w:rsidRPr="00E93232">
        <w:rPr>
          <w:rFonts w:eastAsia="Book Antiqua"/>
        </w:rPr>
        <w:t xml:space="preserve">he Commonwealth intends to </w:t>
      </w:r>
      <w:proofErr w:type="gramStart"/>
      <w:r w:rsidR="003E2F7C" w:rsidRPr="00E93232">
        <w:rPr>
          <w:rFonts w:eastAsia="Book Antiqua"/>
        </w:rPr>
        <w:t>enter into</w:t>
      </w:r>
      <w:proofErr w:type="gramEnd"/>
      <w:r w:rsidR="003E2F7C" w:rsidRPr="00E93232">
        <w:rPr>
          <w:rFonts w:eastAsia="Book Antiqua"/>
        </w:rPr>
        <w:t xml:space="preserve"> a deed of indemnity with the </w:t>
      </w:r>
      <w:r>
        <w:rPr>
          <w:rFonts w:eastAsia="Book Antiqua"/>
        </w:rPr>
        <w:t>A</w:t>
      </w:r>
      <w:r w:rsidR="003E2F7C" w:rsidRPr="00E93232">
        <w:rPr>
          <w:rFonts w:eastAsia="Book Antiqua"/>
        </w:rPr>
        <w:t xml:space="preserve">dministrator of the Construction and General Division (and its branches) of the Construction, Forestry and Maritime Employees Union. The indemnity is to ensure that, in the event relevant provisions in </w:t>
      </w:r>
      <w:r w:rsidR="003E2F7C" w:rsidRPr="000D23F1">
        <w:rPr>
          <w:rStyle w:val="Emphasis"/>
          <w:rFonts w:eastAsia="Book Antiqua"/>
        </w:rPr>
        <w:t>the Fair Work (Registered Organisations) Act 2009</w:t>
      </w:r>
      <w:r w:rsidR="003E2F7C" w:rsidRPr="00E93232">
        <w:rPr>
          <w:rFonts w:eastAsia="Book Antiqua"/>
        </w:rPr>
        <w:t xml:space="preserve"> and/or the </w:t>
      </w:r>
      <w:r w:rsidR="003E2F7C" w:rsidRPr="000D23F1">
        <w:rPr>
          <w:rStyle w:val="Emphasis"/>
          <w:rFonts w:eastAsia="Book Antiqua"/>
        </w:rPr>
        <w:t>Fair Work (Registered Organisations) (CFMEU Construction and General Division Administration) Determination 2024</w:t>
      </w:r>
      <w:r w:rsidR="003E2F7C" w:rsidRPr="00E93232">
        <w:rPr>
          <w:rFonts w:eastAsia="Book Antiqua"/>
        </w:rPr>
        <w:t xml:space="preserve"> (which contain an indemnity) are found to be invalid, the </w:t>
      </w:r>
      <w:r w:rsidR="006A3D2A">
        <w:rPr>
          <w:rFonts w:eastAsia="Book Antiqua"/>
        </w:rPr>
        <w:t>A</w:t>
      </w:r>
      <w:r w:rsidR="003E2F7C" w:rsidRPr="00E93232">
        <w:rPr>
          <w:rFonts w:eastAsia="Book Antiqua"/>
        </w:rPr>
        <w:t xml:space="preserve">dministrator and persons acting under his direction have continued indemnity in certain circumstances. The proposed indemnity is uncapped for certain liabilities (although subject to compliance with its terms) and currently unquantifiable as the potential liability cannot be accurately estimated at present. </w:t>
      </w:r>
    </w:p>
    <w:p w14:paraId="2E357A2B" w14:textId="3CF1B4FF" w:rsidR="0023618C" w:rsidRPr="00B832E0" w:rsidRDefault="0023618C" w:rsidP="0074298E">
      <w:pPr>
        <w:pStyle w:val="Heading3"/>
      </w:pPr>
      <w:bookmarkStart w:id="86" w:name="_Toc193536191"/>
      <w:r w:rsidRPr="00B832E0">
        <w:t>Contingent liabilit</w:t>
      </w:r>
      <w:r>
        <w:t xml:space="preserve">ies </w:t>
      </w:r>
      <w:r w:rsidRPr="00B832E0">
        <w:t>– quantifiable</w:t>
      </w:r>
      <w:bookmarkEnd w:id="83"/>
      <w:bookmarkEnd w:id="86"/>
    </w:p>
    <w:p w14:paraId="4B0CF7C9" w14:textId="77777777" w:rsidR="0093134C" w:rsidRPr="00EA3ACE" w:rsidRDefault="0093134C" w:rsidP="003B5049">
      <w:pPr>
        <w:pStyle w:val="Heading4"/>
        <w:rPr>
          <w:rFonts w:eastAsia="Calibri"/>
          <w:lang w:eastAsia="en-US"/>
        </w:rPr>
      </w:pPr>
      <w:bookmarkStart w:id="87" w:name="_Toc71117793"/>
      <w:r w:rsidRPr="00EA3ACE">
        <w:rPr>
          <w:rFonts w:eastAsia="Calibri"/>
          <w:lang w:eastAsia="en-US"/>
        </w:rPr>
        <w:t>Parent Pathways service</w:t>
      </w:r>
    </w:p>
    <w:p w14:paraId="4B8AA865" w14:textId="7B926101" w:rsidR="00EA530F" w:rsidRPr="00EA3ACE" w:rsidRDefault="00EA530F" w:rsidP="0074298E">
      <w:pPr>
        <w:rPr>
          <w:rFonts w:eastAsia="Book Antiqua"/>
        </w:rPr>
      </w:pPr>
      <w:r w:rsidRPr="00EA3ACE">
        <w:rPr>
          <w:rFonts w:eastAsia="Book Antiqua"/>
        </w:rPr>
        <w:t>Parent Pathways is a voluntary pre</w:t>
      </w:r>
      <w:r w:rsidR="00D23095">
        <w:rPr>
          <w:rFonts w:eastAsia="Book Antiqua"/>
        </w:rPr>
        <w:noBreakHyphen/>
      </w:r>
      <w:r w:rsidRPr="00EA3ACE">
        <w:rPr>
          <w:rFonts w:eastAsia="Book Antiqua"/>
        </w:rPr>
        <w:t>employment service which commenced on 1 November 2024. Parent Pathways supports parents and carers of children under six to work towards their employment and education goals, while valuing the important role of caring for children.</w:t>
      </w:r>
    </w:p>
    <w:p w14:paraId="216B0462" w14:textId="7A61DD45" w:rsidR="00EA530F" w:rsidRPr="00EA3ACE" w:rsidRDefault="00EA530F" w:rsidP="00F55BE6">
      <w:pPr>
        <w:keepLines/>
        <w:rPr>
          <w:rFonts w:eastAsia="Book Antiqua"/>
        </w:rPr>
      </w:pPr>
      <w:r w:rsidRPr="00EA3ACE">
        <w:rPr>
          <w:rFonts w:eastAsia="Book Antiqua"/>
        </w:rPr>
        <w:lastRenderedPageBreak/>
        <w:t>Participants can access financial assistance through the Individual and Pooled Funds. The Individual Fund provides participants with financial assistance to build their skills and capabilities and to attend appointments or activities. A notional amount of $1,250 is credited to each participant</w:t>
      </w:r>
      <w:r w:rsidR="00D23095">
        <w:rPr>
          <w:rFonts w:eastAsia="Book Antiqua"/>
        </w:rPr>
        <w:t>’</w:t>
      </w:r>
      <w:r w:rsidRPr="00EA3ACE">
        <w:rPr>
          <w:rFonts w:eastAsia="Book Antiqua"/>
        </w:rPr>
        <w:t>s Individual Fund on their commencement in the service. Every 12 months unused credits will lapse, and a new $1,250 credit will be applied to the participant</w:t>
      </w:r>
      <w:r w:rsidR="00D23095">
        <w:rPr>
          <w:rFonts w:eastAsia="Book Antiqua"/>
        </w:rPr>
        <w:t>’</w:t>
      </w:r>
      <w:r w:rsidRPr="00EA3ACE">
        <w:rPr>
          <w:rFonts w:eastAsia="Book Antiqua"/>
        </w:rPr>
        <w:t>s Individual Fund. The Pooled Fund supplements the Individual Fund and supports a broad range of purchases for participants who are in most need of assistance. When a participant commences, $600 is allocated to the provider</w:t>
      </w:r>
      <w:r w:rsidR="00D23095">
        <w:rPr>
          <w:rFonts w:eastAsia="Book Antiqua"/>
        </w:rPr>
        <w:t>’</w:t>
      </w:r>
      <w:r w:rsidRPr="00EA3ACE">
        <w:rPr>
          <w:rFonts w:eastAsia="Book Antiqua"/>
        </w:rPr>
        <w:t>s Pooled Fund.</w:t>
      </w:r>
    </w:p>
    <w:p w14:paraId="2193E757" w14:textId="77777777" w:rsidR="00EA530F" w:rsidRPr="00EA530F" w:rsidRDefault="00EA530F" w:rsidP="0074298E">
      <w:pPr>
        <w:rPr>
          <w:rFonts w:eastAsia="Book Antiqua"/>
        </w:rPr>
      </w:pPr>
      <w:r w:rsidRPr="00EA3ACE">
        <w:rPr>
          <w:rFonts w:eastAsia="Book Antiqua"/>
        </w:rPr>
        <w:t xml:space="preserve">As the service has only recently commenced, providers are forecast to spend less than the value of the available credits, creating a surplus of credits that present a contingent liability. As </w:t>
      </w:r>
      <w:proofErr w:type="gramStart"/>
      <w:r w:rsidRPr="00EA3ACE">
        <w:rPr>
          <w:rFonts w:eastAsia="Book Antiqua"/>
        </w:rPr>
        <w:t>at</w:t>
      </w:r>
      <w:proofErr w:type="gramEnd"/>
      <w:r w:rsidRPr="00EA3ACE">
        <w:rPr>
          <w:rFonts w:eastAsia="Book Antiqua"/>
        </w:rPr>
        <w:t xml:space="preserve"> 31 December 2024, there was $11.7 million in unspent credits in the Individual and Pooled Fund notional banks. </w:t>
      </w:r>
    </w:p>
    <w:p w14:paraId="549C8C60" w14:textId="64B2FB73" w:rsidR="0023618C" w:rsidRPr="004C4FB6" w:rsidRDefault="0023618C" w:rsidP="0074298E">
      <w:pPr>
        <w:pStyle w:val="Heading4"/>
        <w:rPr>
          <w:rFonts w:eastAsia="Arial"/>
          <w:lang w:val="en-US"/>
        </w:rPr>
      </w:pPr>
      <w:proofErr w:type="spellStart"/>
      <w:r w:rsidRPr="004C4FB6">
        <w:rPr>
          <w:rFonts w:eastAsia="Arial"/>
          <w:lang w:val="en-US"/>
        </w:rPr>
        <w:t>ParentsNext</w:t>
      </w:r>
      <w:proofErr w:type="spellEnd"/>
      <w:r w:rsidRPr="004C4FB6">
        <w:rPr>
          <w:rFonts w:eastAsia="Arial"/>
          <w:lang w:val="en-US"/>
        </w:rPr>
        <w:t xml:space="preserve"> program</w:t>
      </w:r>
      <w:bookmarkEnd w:id="87"/>
    </w:p>
    <w:p w14:paraId="14C22707" w14:textId="4DFAFDAB" w:rsidR="0023618C" w:rsidRPr="00F954CB" w:rsidRDefault="0023618C" w:rsidP="0074298E">
      <w:pPr>
        <w:rPr>
          <w:rFonts w:eastAsia="Arial"/>
        </w:rPr>
      </w:pPr>
      <w:bookmarkStart w:id="88" w:name="_Hlk183079646"/>
      <w:proofErr w:type="spellStart"/>
      <w:r w:rsidRPr="00F954CB">
        <w:rPr>
          <w:rFonts w:eastAsia="Arial"/>
        </w:rPr>
        <w:t>ParentsNext</w:t>
      </w:r>
      <w:proofErr w:type="spellEnd"/>
      <w:r w:rsidRPr="00F954CB">
        <w:rPr>
          <w:rFonts w:eastAsia="Arial"/>
        </w:rPr>
        <w:t xml:space="preserve"> supported parents to identify their education and employment related goals to build their work readiness, and plan and prepare for employment by the time their youngest child starts school.</w:t>
      </w:r>
      <w:r w:rsidRPr="00F954CB">
        <w:rPr>
          <w:rFonts w:eastAsia="Arial"/>
          <w:lang w:val="en-US"/>
        </w:rPr>
        <w:t xml:space="preserve"> </w:t>
      </w:r>
      <w:r w:rsidRPr="00F954CB">
        <w:rPr>
          <w:rFonts w:eastAsia="Arial"/>
        </w:rPr>
        <w:t>The program ceased on 31</w:t>
      </w:r>
      <w:r>
        <w:rPr>
          <w:rFonts w:eastAsia="Arial"/>
        </w:rPr>
        <w:t> </w:t>
      </w:r>
      <w:r w:rsidRPr="00F954CB">
        <w:rPr>
          <w:rFonts w:eastAsia="Arial"/>
        </w:rPr>
        <w:t>October</w:t>
      </w:r>
      <w:r w:rsidR="00015455">
        <w:rPr>
          <w:rFonts w:eastAsia="Arial"/>
        </w:rPr>
        <w:t> </w:t>
      </w:r>
      <w:r w:rsidRPr="00F954CB">
        <w:rPr>
          <w:rFonts w:eastAsia="Arial"/>
        </w:rPr>
        <w:t xml:space="preserve">2024. </w:t>
      </w:r>
    </w:p>
    <w:p w14:paraId="775FFD73" w14:textId="2119E43C" w:rsidR="0023618C" w:rsidRPr="00F954CB" w:rsidRDefault="0023618C" w:rsidP="0074298E">
      <w:pPr>
        <w:rPr>
          <w:rFonts w:eastAsia="Arial"/>
        </w:rPr>
      </w:pPr>
      <w:r w:rsidRPr="00F954CB">
        <w:rPr>
          <w:rFonts w:eastAsia="Arial"/>
        </w:rPr>
        <w:t>Under the program, providers accumulated one</w:t>
      </w:r>
      <w:r w:rsidR="00D23095">
        <w:rPr>
          <w:rFonts w:eastAsia="Arial"/>
        </w:rPr>
        <w:noBreakHyphen/>
      </w:r>
      <w:r w:rsidRPr="00F954CB">
        <w:rPr>
          <w:rFonts w:eastAsia="Arial"/>
        </w:rPr>
        <w:t>off credits which accrued to their provider</w:t>
      </w:r>
      <w:r w:rsidR="00D23095">
        <w:rPr>
          <w:rFonts w:eastAsia="Arial"/>
        </w:rPr>
        <w:t>’</w:t>
      </w:r>
      <w:r w:rsidRPr="00F954CB">
        <w:rPr>
          <w:rFonts w:eastAsia="Arial"/>
        </w:rPr>
        <w:t xml:space="preserve">s Participation Fund on commencement of a participant. </w:t>
      </w:r>
    </w:p>
    <w:p w14:paraId="584BC1F9" w14:textId="378FC9E2" w:rsidR="00EA530F" w:rsidRPr="006A067F" w:rsidRDefault="00EA530F" w:rsidP="00460ECE">
      <w:pPr>
        <w:shd w:val="clear" w:color="auto" w:fill="FFFFFF" w:themeFill="background1"/>
        <w:rPr>
          <w:rFonts w:eastAsia="Arial"/>
        </w:rPr>
      </w:pPr>
      <w:r w:rsidRPr="006A067F">
        <w:rPr>
          <w:rFonts w:eastAsia="Arial"/>
        </w:rPr>
        <w:t xml:space="preserve">Currently, providers are forecast to spend less than the value of the available credits, creating a surplus of credits that present a contingent liability. As </w:t>
      </w:r>
      <w:proofErr w:type="gramStart"/>
      <w:r w:rsidRPr="006A067F">
        <w:rPr>
          <w:rFonts w:eastAsia="Arial"/>
        </w:rPr>
        <w:t>at</w:t>
      </w:r>
      <w:proofErr w:type="gramEnd"/>
      <w:r w:rsidRPr="006A067F">
        <w:rPr>
          <w:rFonts w:eastAsia="Arial"/>
        </w:rPr>
        <w:t xml:space="preserve"> 31 </w:t>
      </w:r>
      <w:r>
        <w:rPr>
          <w:rFonts w:eastAsia="Arial"/>
        </w:rPr>
        <w:t>December</w:t>
      </w:r>
      <w:r w:rsidR="00015455">
        <w:rPr>
          <w:rFonts w:eastAsia="Arial"/>
        </w:rPr>
        <w:t> </w:t>
      </w:r>
      <w:r w:rsidRPr="006A067F">
        <w:rPr>
          <w:rFonts w:eastAsia="Arial"/>
        </w:rPr>
        <w:t>2024, there was $</w:t>
      </w:r>
      <w:r>
        <w:rPr>
          <w:rFonts w:eastAsia="Arial"/>
        </w:rPr>
        <w:t xml:space="preserve">80.8 </w:t>
      </w:r>
      <w:r w:rsidRPr="006A067F">
        <w:rPr>
          <w:rFonts w:eastAsia="Arial"/>
        </w:rPr>
        <w:t xml:space="preserve">million in unspent Participation Fund credits in the Participation Fund notional bank. </w:t>
      </w:r>
      <w:r w:rsidR="00460ECE" w:rsidRPr="006A067F">
        <w:rPr>
          <w:rFonts w:eastAsia="Arial"/>
        </w:rPr>
        <w:t xml:space="preserve">The surplus of credits will decline as providers seek reimbursement for funds expended before the </w:t>
      </w:r>
      <w:proofErr w:type="spellStart"/>
      <w:r w:rsidR="00460ECE" w:rsidRPr="006A067F">
        <w:rPr>
          <w:rFonts w:eastAsia="Arial"/>
        </w:rPr>
        <w:t>ParentsNext</w:t>
      </w:r>
      <w:proofErr w:type="spellEnd"/>
      <w:r w:rsidR="00460ECE" w:rsidRPr="006A067F">
        <w:rPr>
          <w:rFonts w:eastAsia="Arial"/>
        </w:rPr>
        <w:t xml:space="preserve"> program</w:t>
      </w:r>
      <w:r w:rsidR="00460ECE">
        <w:rPr>
          <w:rFonts w:eastAsia="Arial"/>
        </w:rPr>
        <w:t xml:space="preserve"> ceased on 31</w:t>
      </w:r>
      <w:r w:rsidR="00FF7FFB">
        <w:rPr>
          <w:rFonts w:eastAsia="Arial"/>
        </w:rPr>
        <w:t> </w:t>
      </w:r>
      <w:r w:rsidR="00460ECE">
        <w:rPr>
          <w:rFonts w:eastAsia="Arial"/>
        </w:rPr>
        <w:t>October</w:t>
      </w:r>
      <w:r w:rsidR="00FF7FFB">
        <w:rPr>
          <w:rFonts w:eastAsia="Arial"/>
        </w:rPr>
        <w:t> </w:t>
      </w:r>
      <w:r w:rsidR="00460ECE">
        <w:rPr>
          <w:rFonts w:eastAsia="Arial"/>
        </w:rPr>
        <w:t>2024</w:t>
      </w:r>
      <w:r w:rsidR="00460ECE" w:rsidRPr="006A067F">
        <w:rPr>
          <w:rFonts w:eastAsia="Arial"/>
        </w:rPr>
        <w:t>.</w:t>
      </w:r>
    </w:p>
    <w:bookmarkEnd w:id="88"/>
    <w:p w14:paraId="38CC0515" w14:textId="4A6F265B" w:rsidR="008262D7" w:rsidRPr="00F954CB" w:rsidRDefault="008262D7" w:rsidP="008262D7">
      <w:pPr>
        <w:shd w:val="clear" w:color="auto" w:fill="FFFFFF" w:themeFill="background1"/>
        <w:rPr>
          <w:rFonts w:eastAsia="Arial"/>
          <w:lang w:val="en-US"/>
        </w:rPr>
      </w:pPr>
      <w:r>
        <w:rPr>
          <w:rFonts w:eastAsia="Arial"/>
        </w:rPr>
        <w:t>The</w:t>
      </w:r>
      <w:r w:rsidRPr="00F954CB">
        <w:rPr>
          <w:rFonts w:eastAsia="Arial"/>
        </w:rPr>
        <w:t xml:space="preserve"> new voluntary pre</w:t>
      </w:r>
      <w:r w:rsidR="00D23095">
        <w:rPr>
          <w:rFonts w:eastAsia="Arial"/>
        </w:rPr>
        <w:noBreakHyphen/>
      </w:r>
      <w:r w:rsidRPr="00F954CB">
        <w:rPr>
          <w:rFonts w:eastAsia="Arial"/>
        </w:rPr>
        <w:t>employment service for parents, Parent Pathways, commenced on 1</w:t>
      </w:r>
      <w:r>
        <w:rPr>
          <w:rFonts w:eastAsia="Arial"/>
        </w:rPr>
        <w:t> </w:t>
      </w:r>
      <w:r w:rsidRPr="00F954CB">
        <w:rPr>
          <w:rFonts w:eastAsia="Arial"/>
        </w:rPr>
        <w:t>November</w:t>
      </w:r>
      <w:r>
        <w:rPr>
          <w:rFonts w:eastAsia="Arial"/>
        </w:rPr>
        <w:t> </w:t>
      </w:r>
      <w:r w:rsidRPr="00F954CB">
        <w:rPr>
          <w:rFonts w:eastAsia="Arial"/>
        </w:rPr>
        <w:t xml:space="preserve">2024. </w:t>
      </w:r>
    </w:p>
    <w:p w14:paraId="371CCC94" w14:textId="77777777" w:rsidR="0023618C" w:rsidRPr="00002090" w:rsidRDefault="0023618C" w:rsidP="0074298E">
      <w:pPr>
        <w:pStyle w:val="Heading4"/>
        <w:rPr>
          <w:rFonts w:eastAsia="Arial"/>
          <w:lang w:val="en-US"/>
        </w:rPr>
      </w:pPr>
      <w:r w:rsidRPr="00002090">
        <w:rPr>
          <w:rFonts w:eastAsia="Arial"/>
          <w:lang w:val="en-US"/>
        </w:rPr>
        <w:t xml:space="preserve">Workforce Australia </w:t>
      </w:r>
      <w:r>
        <w:rPr>
          <w:rFonts w:eastAsia="Calibri"/>
        </w:rPr>
        <w:t>–</w:t>
      </w:r>
      <w:r w:rsidRPr="00002090">
        <w:rPr>
          <w:rFonts w:eastAsia="Arial"/>
          <w:lang w:val="en-US"/>
        </w:rPr>
        <w:t xml:space="preserve"> Employment Fund</w:t>
      </w:r>
      <w:r>
        <w:rPr>
          <w:rFonts w:eastAsia="Arial"/>
          <w:lang w:val="en-US"/>
        </w:rPr>
        <w:t> </w:t>
      </w:r>
    </w:p>
    <w:p w14:paraId="6100C658" w14:textId="77777777" w:rsidR="00EA530F" w:rsidRPr="006A067F" w:rsidRDefault="00EA530F" w:rsidP="0074298E">
      <w:pPr>
        <w:rPr>
          <w:rFonts w:eastAsia="Arial"/>
        </w:rPr>
      </w:pPr>
      <w:r w:rsidRPr="006A067F">
        <w:rPr>
          <w:rFonts w:eastAsia="Arial"/>
        </w:rPr>
        <w:t xml:space="preserve">Since July 2022, with the introduction of Workforce Australia, contracted service providers and the Digital Services Contact Centre have had access to the Employment Fund, which can be used to purchase goods and services to help participants to get and keep a job. </w:t>
      </w:r>
    </w:p>
    <w:p w14:paraId="1FC1F7D3" w14:textId="424EDD0D" w:rsidR="00773AFE" w:rsidRPr="00622859" w:rsidRDefault="00773AFE" w:rsidP="00773AFE">
      <w:pPr>
        <w:pStyle w:val="Bullet"/>
        <w:numPr>
          <w:ilvl w:val="0"/>
          <w:numId w:val="3"/>
        </w:numPr>
        <w:shd w:val="clear" w:color="auto" w:fill="FFFFFF" w:themeFill="background1"/>
      </w:pPr>
      <w:r w:rsidRPr="006A067F">
        <w:t>Providers accumulate a $1,600 Employment Fund credit upon commencement of each participant in Workforce Australia Provider Services. This will reduce to $1,500 from 1 July 2025 as part of the 2024–25 Budget</w:t>
      </w:r>
      <w:r>
        <w:t xml:space="preserve"> measure </w:t>
      </w:r>
      <w:r w:rsidRPr="005A18D6">
        <w:rPr>
          <w:rStyle w:val="Emphasis"/>
        </w:rPr>
        <w:t>Employment Services Reform</w:t>
      </w:r>
      <w:r w:rsidR="00D23095">
        <w:rPr>
          <w:rStyle w:val="Emphasis"/>
        </w:rPr>
        <w:t xml:space="preserve"> – </w:t>
      </w:r>
      <w:r w:rsidRPr="005A18D6">
        <w:rPr>
          <w:rStyle w:val="Emphasis"/>
        </w:rPr>
        <w:t>Supporting Jobseekers Through Paid Employment Pathways Package</w:t>
      </w:r>
      <w:r w:rsidR="00D23095">
        <w:rPr>
          <w:rStyle w:val="Emphasis"/>
        </w:rPr>
        <w:t xml:space="preserve"> – </w:t>
      </w:r>
      <w:r w:rsidRPr="005A18D6">
        <w:rPr>
          <w:rStyle w:val="Emphasis"/>
        </w:rPr>
        <w:t>Real Jobs, Real Wages</w:t>
      </w:r>
      <w:r w:rsidRPr="00F22757">
        <w:t>.</w:t>
      </w:r>
      <w:r>
        <w:t xml:space="preserve"> </w:t>
      </w:r>
      <w:r w:rsidRPr="006D5532">
        <w:t>The Employment Fund credit remains at $1,600 for Broome Employment Services and Yarrabah Employment Services</w:t>
      </w:r>
      <w:r>
        <w:t xml:space="preserve"> </w:t>
      </w:r>
      <w:r w:rsidRPr="00B2215B">
        <w:t>as these two services have different policy and program settings</w:t>
      </w:r>
      <w:r>
        <w:t>.</w:t>
      </w:r>
    </w:p>
    <w:p w14:paraId="16D273FF" w14:textId="77AF4AD0" w:rsidR="000E0298" w:rsidRPr="00D54F98" w:rsidRDefault="000E0298" w:rsidP="00F55BE6">
      <w:pPr>
        <w:pStyle w:val="Bullet"/>
        <w:keepLines/>
        <w:numPr>
          <w:ilvl w:val="0"/>
          <w:numId w:val="3"/>
        </w:numPr>
        <w:shd w:val="clear" w:color="auto" w:fill="FFFFFF" w:themeFill="background1"/>
        <w:ind w:left="284" w:hanging="284"/>
      </w:pPr>
      <w:r w:rsidRPr="006A067F">
        <w:lastRenderedPageBreak/>
        <w:t>Participants in Workforce Australia Online attract an Employment Fund credit, credited after a participant has been in Digital Services for two months. The credit amount reduced from $300 to $250 in June 2024 as part of the 2024–25</w:t>
      </w:r>
      <w:r w:rsidRPr="00EA530F">
        <w:t> </w:t>
      </w:r>
      <w:r w:rsidRPr="006A067F">
        <w:t>Budget</w:t>
      </w:r>
      <w:r>
        <w:t xml:space="preserve"> measure </w:t>
      </w:r>
      <w:r w:rsidRPr="00BD73A0">
        <w:rPr>
          <w:rStyle w:val="Emphasis"/>
        </w:rPr>
        <w:t>Employment Services Reform</w:t>
      </w:r>
      <w:r w:rsidR="00D23095">
        <w:rPr>
          <w:rStyle w:val="Emphasis"/>
        </w:rPr>
        <w:t xml:space="preserve"> – </w:t>
      </w:r>
      <w:r w:rsidRPr="00BD73A0">
        <w:rPr>
          <w:rStyle w:val="Emphasis"/>
        </w:rPr>
        <w:t>Supporting Jobseekers Through Paid Employment Pathways Package</w:t>
      </w:r>
      <w:r w:rsidR="00D23095">
        <w:rPr>
          <w:rStyle w:val="Emphasis"/>
        </w:rPr>
        <w:t xml:space="preserve"> – </w:t>
      </w:r>
      <w:r w:rsidRPr="00BD73A0">
        <w:rPr>
          <w:rStyle w:val="Emphasis"/>
        </w:rPr>
        <w:t>Real Jobs, Real Wages</w:t>
      </w:r>
      <w:r>
        <w:t xml:space="preserve">. New </w:t>
      </w:r>
      <w:r w:rsidRPr="006D5532">
        <w:t xml:space="preserve">credits </w:t>
      </w:r>
      <w:r>
        <w:t xml:space="preserve">have been paused </w:t>
      </w:r>
      <w:r w:rsidRPr="006D5532">
        <w:t>for the duration of the 2025 calendar year</w:t>
      </w:r>
      <w:r>
        <w:t xml:space="preserve"> as part of the 2024</w:t>
      </w:r>
      <w:r w:rsidR="00B14568">
        <w:t>–</w:t>
      </w:r>
      <w:r>
        <w:t>25</w:t>
      </w:r>
      <w:r w:rsidR="002F47A2">
        <w:t> </w:t>
      </w:r>
      <w:r>
        <w:t>MYEFO measure</w:t>
      </w:r>
      <w:r w:rsidRPr="0007317E">
        <w:t xml:space="preserve"> </w:t>
      </w:r>
      <w:r w:rsidRPr="00192B66">
        <w:rPr>
          <w:rStyle w:val="Emphasis"/>
        </w:rPr>
        <w:t>Temporarily Pausing Workforce Australia Online Employment Fund Credits.</w:t>
      </w:r>
    </w:p>
    <w:p w14:paraId="7588BBC2" w14:textId="6B60ABCD" w:rsidR="00B64CBE" w:rsidRDefault="00EA530F" w:rsidP="0074298E">
      <w:pPr>
        <w:rPr>
          <w:rFonts w:eastAsia="Arial"/>
        </w:rPr>
      </w:pPr>
      <w:r w:rsidRPr="006A067F">
        <w:rPr>
          <w:rFonts w:eastAsia="Arial"/>
        </w:rPr>
        <w:t xml:space="preserve">Currently, Employment Fund expenditure is expected to be less than the value of the available credits, creating an accumulating surplus of credits that present a contingent liability. As </w:t>
      </w:r>
      <w:proofErr w:type="gramStart"/>
      <w:r w:rsidRPr="006A067F">
        <w:rPr>
          <w:rFonts w:eastAsia="Arial"/>
        </w:rPr>
        <w:t>at</w:t>
      </w:r>
      <w:proofErr w:type="gramEnd"/>
      <w:r w:rsidRPr="006A067F">
        <w:rPr>
          <w:rFonts w:eastAsia="Arial"/>
        </w:rPr>
        <w:t xml:space="preserve"> 31 </w:t>
      </w:r>
      <w:r>
        <w:rPr>
          <w:rFonts w:eastAsia="Arial"/>
        </w:rPr>
        <w:t>December</w:t>
      </w:r>
      <w:r w:rsidRPr="006A067F">
        <w:rPr>
          <w:rFonts w:eastAsia="Arial"/>
        </w:rPr>
        <w:t xml:space="preserve"> 2024, there was $</w:t>
      </w:r>
      <w:r>
        <w:rPr>
          <w:rFonts w:eastAsia="Arial"/>
        </w:rPr>
        <w:t xml:space="preserve">670.9 </w:t>
      </w:r>
      <w:r w:rsidRPr="006A067F">
        <w:rPr>
          <w:rFonts w:eastAsia="Arial"/>
        </w:rPr>
        <w:t>million in unspent Employment Fund Credits in the Workforce Australia Employment Fund notional bank</w:t>
      </w:r>
      <w:r w:rsidRPr="00593C46">
        <w:rPr>
          <w:rFonts w:eastAsia="Arial"/>
        </w:rPr>
        <w:t xml:space="preserve"> </w:t>
      </w:r>
      <w:r w:rsidRPr="006D5532">
        <w:rPr>
          <w:rFonts w:eastAsia="Arial"/>
        </w:rPr>
        <w:t>(this includes Workforce Australia Online Employment Fund</w:t>
      </w:r>
      <w:r>
        <w:rPr>
          <w:rFonts w:eastAsia="Arial"/>
        </w:rPr>
        <w:t>, Workforce Australia Services Employment Fund,</w:t>
      </w:r>
      <w:r w:rsidRPr="006D5532">
        <w:rPr>
          <w:rFonts w:eastAsia="Arial"/>
        </w:rPr>
        <w:t xml:space="preserve"> Broome Employment Services Employment Fund and Yarrabah Employment Services Employment Fund)</w:t>
      </w:r>
      <w:r w:rsidRPr="006A067F">
        <w:rPr>
          <w:rFonts w:eastAsia="Arial"/>
        </w:rPr>
        <w:t>.</w:t>
      </w:r>
      <w:r w:rsidRPr="006D5532">
        <w:rPr>
          <w:rFonts w:eastAsia="Arial"/>
        </w:rPr>
        <w:t xml:space="preserve"> </w:t>
      </w:r>
      <w:r w:rsidR="00B64CBE">
        <w:rPr>
          <w:rFonts w:eastAsia="Arial"/>
        </w:rPr>
        <w:br w:type="page"/>
      </w:r>
    </w:p>
    <w:p w14:paraId="4400BA0B" w14:textId="5958B9A6" w:rsidR="007C4C4F" w:rsidRDefault="007C4C4F" w:rsidP="00B1547E">
      <w:pPr>
        <w:pStyle w:val="Heading2"/>
        <w:shd w:val="clear" w:color="auto" w:fill="FFFFFF" w:themeFill="background1"/>
      </w:pPr>
      <w:bookmarkStart w:id="89" w:name="_Toc193536192"/>
      <w:bookmarkStart w:id="90" w:name="_Toc184039482"/>
      <w:bookmarkEnd w:id="84"/>
      <w:r>
        <w:lastRenderedPageBreak/>
        <w:t>Finance</w:t>
      </w:r>
      <w:bookmarkEnd w:id="89"/>
    </w:p>
    <w:p w14:paraId="36BFEF52" w14:textId="77777777" w:rsidR="00DC1572" w:rsidRPr="00B832E0" w:rsidRDefault="00DC1572" w:rsidP="00B1547E">
      <w:pPr>
        <w:pStyle w:val="Heading3"/>
        <w:shd w:val="clear" w:color="auto" w:fill="FFFFFF" w:themeFill="background1"/>
      </w:pPr>
      <w:bookmarkStart w:id="91" w:name="_Toc71117794"/>
      <w:bookmarkStart w:id="92" w:name="_Toc99141866"/>
      <w:bookmarkStart w:id="93" w:name="_Toc166165506"/>
      <w:bookmarkStart w:id="94" w:name="_Toc193536193"/>
      <w:r w:rsidRPr="00B832E0">
        <w:t>Significant but remote contingency</w:t>
      </w:r>
      <w:bookmarkEnd w:id="91"/>
      <w:bookmarkEnd w:id="92"/>
      <w:bookmarkEnd w:id="93"/>
      <w:bookmarkEnd w:id="94"/>
    </w:p>
    <w:p w14:paraId="7C4CDC2D" w14:textId="77777777" w:rsidR="00DC1572" w:rsidRPr="004829BD" w:rsidRDefault="00DC1572" w:rsidP="00B1547E">
      <w:pPr>
        <w:pStyle w:val="Heading4"/>
        <w:shd w:val="clear" w:color="auto" w:fill="FFFFFF" w:themeFill="background1"/>
        <w:rPr>
          <w:rFonts w:eastAsia="Arial"/>
          <w:lang w:val="en-US"/>
        </w:rPr>
      </w:pPr>
      <w:bookmarkStart w:id="95" w:name="_Toc71117795"/>
      <w:r w:rsidRPr="004829BD">
        <w:rPr>
          <w:rFonts w:eastAsia="Arial"/>
          <w:lang w:val="en-US"/>
        </w:rPr>
        <w:t>Australian Naval Infrastructure Pty Ltd – Termination of the Equity Funding Agreement</w:t>
      </w:r>
      <w:bookmarkEnd w:id="95"/>
    </w:p>
    <w:p w14:paraId="0D6582F4" w14:textId="14B5A2B3" w:rsidR="003719ED" w:rsidRPr="004829BD" w:rsidRDefault="00DC1572" w:rsidP="00B1547E">
      <w:pPr>
        <w:shd w:val="clear" w:color="auto" w:fill="FFFFFF" w:themeFill="background1"/>
        <w:rPr>
          <w:rFonts w:eastAsia="Arial"/>
        </w:rPr>
      </w:pPr>
      <w:bookmarkStart w:id="96" w:name="_Toc71117796"/>
      <w:bookmarkStart w:id="97" w:name="_Toc99141867"/>
      <w:r w:rsidRPr="004829BD">
        <w:rPr>
          <w:rFonts w:eastAsia="Arial"/>
        </w:rPr>
        <w:t xml:space="preserve">The Australian Government will provide sufficient funding to enable Australian Naval Infrastructure Pty Ltd (ANI) to meet the direct costs that may be incurred by ANI </w:t>
      </w:r>
      <w:proofErr w:type="gramStart"/>
      <w:r w:rsidRPr="004829BD">
        <w:rPr>
          <w:rFonts w:eastAsia="Arial"/>
        </w:rPr>
        <w:t>in the event that</w:t>
      </w:r>
      <w:proofErr w:type="gramEnd"/>
      <w:r w:rsidRPr="004829BD">
        <w:rPr>
          <w:rFonts w:eastAsia="Arial"/>
        </w:rPr>
        <w:t xml:space="preserve"> the Commonwealth terminates the Equity Funding Agreement entered into in October 2017 between the Commonwealth and ANI.</w:t>
      </w:r>
    </w:p>
    <w:p w14:paraId="585E0AF4" w14:textId="77777777" w:rsidR="00DC1572" w:rsidRPr="00B832E0" w:rsidRDefault="00DC1572" w:rsidP="00B1547E">
      <w:pPr>
        <w:pStyle w:val="Heading3"/>
        <w:shd w:val="clear" w:color="auto" w:fill="FFFFFF" w:themeFill="background1"/>
      </w:pPr>
      <w:bookmarkStart w:id="98" w:name="_Toc166165507"/>
      <w:bookmarkStart w:id="99" w:name="_Toc193536194"/>
      <w:r w:rsidRPr="00B832E0">
        <w:t>Contingent liabilities – unquantifiable</w:t>
      </w:r>
      <w:bookmarkEnd w:id="96"/>
      <w:bookmarkEnd w:id="97"/>
      <w:bookmarkEnd w:id="98"/>
      <w:bookmarkEnd w:id="99"/>
    </w:p>
    <w:p w14:paraId="2AD71D0A" w14:textId="46074FF5" w:rsidR="00DC1572" w:rsidRPr="00F323BD" w:rsidRDefault="00DC1572" w:rsidP="00B1547E">
      <w:pPr>
        <w:pStyle w:val="Heading4"/>
        <w:shd w:val="clear" w:color="auto" w:fill="FFFFFF" w:themeFill="background1"/>
        <w:rPr>
          <w:rFonts w:eastAsia="Arial"/>
          <w:lang w:val="en-US"/>
        </w:rPr>
      </w:pPr>
      <w:bookmarkStart w:id="100" w:name="_Toc71117797"/>
      <w:r w:rsidRPr="00F323BD">
        <w:rPr>
          <w:rFonts w:eastAsia="Arial"/>
          <w:lang w:val="en-US"/>
        </w:rPr>
        <w:t>ASC Pty Ltd – Directors</w:t>
      </w:r>
      <w:r w:rsidR="00D23095">
        <w:rPr>
          <w:rFonts w:eastAsia="Arial"/>
          <w:lang w:val="en-US"/>
        </w:rPr>
        <w:t>’</w:t>
      </w:r>
      <w:r w:rsidRPr="00F323BD">
        <w:rPr>
          <w:rFonts w:eastAsia="Arial"/>
          <w:lang w:val="en-US"/>
        </w:rPr>
        <w:t xml:space="preserve"> and Executives</w:t>
      </w:r>
      <w:r w:rsidR="00D23095">
        <w:rPr>
          <w:rFonts w:eastAsia="Arial"/>
          <w:lang w:val="en-US"/>
        </w:rPr>
        <w:t>’</w:t>
      </w:r>
      <w:r w:rsidRPr="00F323BD">
        <w:rPr>
          <w:rFonts w:eastAsia="Arial"/>
          <w:lang w:val="en-US"/>
        </w:rPr>
        <w:t xml:space="preserve"> indemnities</w:t>
      </w:r>
      <w:bookmarkEnd w:id="100"/>
    </w:p>
    <w:p w14:paraId="1981DFC7" w14:textId="77777777" w:rsidR="00DC1572" w:rsidRPr="00F323BD" w:rsidRDefault="00DC1572" w:rsidP="00B1547E">
      <w:pPr>
        <w:shd w:val="clear" w:color="auto" w:fill="FFFFFF" w:themeFill="background1"/>
        <w:rPr>
          <w:rFonts w:eastAsia="Arial"/>
        </w:rPr>
      </w:pPr>
      <w:r w:rsidRPr="00F323BD">
        <w:rPr>
          <w:rFonts w:eastAsia="Arial"/>
        </w:rPr>
        <w:t xml:space="preserve">In 2002, the Australian Government provided former directors of the then Australian Submarine Corporation Pty Ltd (now known as ASC Pty Ltd (ASC)) with indemnities for: </w:t>
      </w:r>
    </w:p>
    <w:p w14:paraId="26729249" w14:textId="2AB27ABA" w:rsidR="00DC1572" w:rsidRPr="00CD243D" w:rsidRDefault="00DC1572" w:rsidP="00B1547E">
      <w:pPr>
        <w:pStyle w:val="Bullet"/>
        <w:numPr>
          <w:ilvl w:val="0"/>
          <w:numId w:val="3"/>
        </w:numPr>
        <w:shd w:val="clear" w:color="auto" w:fill="FFFFFF" w:themeFill="background1"/>
      </w:pPr>
      <w:r w:rsidRPr="00CD243D">
        <w:t xml:space="preserve">any claim against them </w:t>
      </w:r>
      <w:proofErr w:type="gramStart"/>
      <w:r w:rsidRPr="00CD243D">
        <w:t>as a result of</w:t>
      </w:r>
      <w:proofErr w:type="gramEnd"/>
      <w:r w:rsidRPr="00CD243D">
        <w:t xml:space="preserve"> complying with ASC</w:t>
      </w:r>
      <w:r w:rsidR="00D23095">
        <w:t>’</w:t>
      </w:r>
      <w:r w:rsidRPr="00CD243D">
        <w:t>s obligations under the Process Agreement between the Electric Boat Corporation (EBC), the Australian</w:t>
      </w:r>
      <w:r w:rsidR="008B16A0">
        <w:t> </w:t>
      </w:r>
      <w:r w:rsidRPr="00CD243D">
        <w:t xml:space="preserve">Government and ASC </w:t>
      </w:r>
    </w:p>
    <w:p w14:paraId="1462CED1" w14:textId="52B46249" w:rsidR="00DC1572" w:rsidRPr="00CD243D" w:rsidRDefault="00DC1572" w:rsidP="00B1547E">
      <w:pPr>
        <w:pStyle w:val="Bullet"/>
        <w:numPr>
          <w:ilvl w:val="0"/>
          <w:numId w:val="3"/>
        </w:numPr>
        <w:shd w:val="clear" w:color="auto" w:fill="FFFFFF" w:themeFill="background1"/>
      </w:pPr>
      <w:r w:rsidRPr="00CD243D">
        <w:t xml:space="preserve">any claim against them </w:t>
      </w:r>
      <w:proofErr w:type="gramStart"/>
      <w:r w:rsidRPr="00CD243D">
        <w:t>as a result of</w:t>
      </w:r>
      <w:proofErr w:type="gramEnd"/>
      <w:r w:rsidRPr="00CD243D">
        <w:t xml:space="preserve"> complying with ASC</w:t>
      </w:r>
      <w:r w:rsidR="00D23095">
        <w:t>’</w:t>
      </w:r>
      <w:r w:rsidRPr="00CD243D">
        <w:t>s obligations under the Service Level Agreement between ASC, the Department of Defence, EBC and Electric</w:t>
      </w:r>
      <w:r w:rsidR="008B16A0">
        <w:t> </w:t>
      </w:r>
      <w:r w:rsidRPr="00CD243D">
        <w:t xml:space="preserve">Boat Australia </w:t>
      </w:r>
    </w:p>
    <w:p w14:paraId="2DA4E8AA" w14:textId="33AD7AFE" w:rsidR="00DC1572" w:rsidRPr="00CD243D" w:rsidRDefault="00DC1572" w:rsidP="00B1547E">
      <w:pPr>
        <w:pStyle w:val="Bullet"/>
        <w:numPr>
          <w:ilvl w:val="0"/>
          <w:numId w:val="3"/>
        </w:numPr>
        <w:shd w:val="clear" w:color="auto" w:fill="FFFFFF" w:themeFill="background1"/>
      </w:pPr>
      <w:r w:rsidRPr="00CD243D">
        <w:t>any claims and legal costs arising from the directors acting in accordance with the Board</w:t>
      </w:r>
      <w:r w:rsidR="00D23095">
        <w:t>’</w:t>
      </w:r>
      <w:r w:rsidRPr="00CD243D">
        <w:t>s tasks and responsibilities, as defined under the indemnity.</w:t>
      </w:r>
    </w:p>
    <w:p w14:paraId="2A7E9933" w14:textId="77777777" w:rsidR="00DC1572" w:rsidRPr="00F323BD" w:rsidRDefault="00DC1572" w:rsidP="00B1547E">
      <w:pPr>
        <w:shd w:val="clear" w:color="auto" w:fill="FFFFFF" w:themeFill="background1"/>
        <w:rPr>
          <w:rFonts w:eastAsia="Arial"/>
        </w:rPr>
      </w:pPr>
      <w:r w:rsidRPr="00F323BD">
        <w:rPr>
          <w:rFonts w:eastAsia="Arial"/>
        </w:rPr>
        <w:t>In 2018, the Australian Government provided directors and senior executives of ASC with indemnities to mitigate personal risk and provide coverage for legal costs related to any legal proceedings that may arise in relation to the transaction to separate ASC Shipbuilding Pty Limited from ASC.</w:t>
      </w:r>
    </w:p>
    <w:p w14:paraId="55C81264" w14:textId="77777777" w:rsidR="00DC1572" w:rsidRPr="00B832E0" w:rsidRDefault="00DC1572" w:rsidP="00B1547E">
      <w:pPr>
        <w:pStyle w:val="Heading4"/>
        <w:shd w:val="clear" w:color="auto" w:fill="FFFFFF" w:themeFill="background1"/>
      </w:pPr>
      <w:bookmarkStart w:id="101" w:name="_Toc71117798"/>
      <w:r w:rsidRPr="00B832E0">
        <w:t>ASC Pty Ltd – Guarantee of Indemnity from ASC in favour of ASC Shipbuilding Pty Limited</w:t>
      </w:r>
      <w:bookmarkEnd w:id="101"/>
    </w:p>
    <w:p w14:paraId="77767080" w14:textId="77777777" w:rsidR="00DC1572" w:rsidRPr="00F323BD" w:rsidRDefault="00DC1572" w:rsidP="00B1547E">
      <w:pPr>
        <w:shd w:val="clear" w:color="auto" w:fill="FFFFFF" w:themeFill="background1"/>
        <w:rPr>
          <w:rFonts w:eastAsia="Calibri"/>
        </w:rPr>
      </w:pPr>
      <w:r w:rsidRPr="00F323BD">
        <w:rPr>
          <w:rFonts w:eastAsia="Calibri"/>
        </w:rPr>
        <w:t>The Australian Government has provided a guarantee of an indemnity from ASC Pty Ltd (ASC) in favour of ASC Shipbuilding Pty Limited (ASC Shipbuilding).</w:t>
      </w:r>
    </w:p>
    <w:p w14:paraId="15C6C71A" w14:textId="77777777" w:rsidR="00DC1572" w:rsidRPr="00F323BD" w:rsidRDefault="00DC1572" w:rsidP="00B1547E">
      <w:pPr>
        <w:shd w:val="clear" w:color="auto" w:fill="FFFFFF" w:themeFill="background1"/>
        <w:rPr>
          <w:rFonts w:eastAsia="Calibri"/>
        </w:rPr>
      </w:pPr>
      <w:r w:rsidRPr="00F323BD">
        <w:rPr>
          <w:rFonts w:eastAsia="Calibri"/>
        </w:rPr>
        <w:t>ASC provided an indemnity in favour of ASC Shipbuilding prior to ASC Shipbuilding being separated from ASC Pty Ltd, which occurred in December 2018. This indemnity is intended to cover any liabilities unknown at the time of separation which may arise after separation. The indemnity is time limited to seven years.</w:t>
      </w:r>
    </w:p>
    <w:p w14:paraId="05D0F9CE" w14:textId="3B7CE2A2" w:rsidR="00DC1572" w:rsidRPr="00F323BD" w:rsidRDefault="00DC1572" w:rsidP="00B1547E">
      <w:pPr>
        <w:shd w:val="clear" w:color="auto" w:fill="FFFFFF" w:themeFill="background1"/>
        <w:rPr>
          <w:rFonts w:eastAsia="Calibri"/>
        </w:rPr>
      </w:pPr>
      <w:r w:rsidRPr="00F323BD">
        <w:rPr>
          <w:rFonts w:eastAsia="Calibri"/>
        </w:rPr>
        <w:lastRenderedPageBreak/>
        <w:t>The guarantee will only be called on if ASC is no longer owned by the Commonwealth and ASC can no longer meet its obligations under the terms of the indemnity. It is Australian</w:t>
      </w:r>
      <w:r w:rsidR="008B16A0">
        <w:rPr>
          <w:rFonts w:eastAsia="Calibri"/>
        </w:rPr>
        <w:t> </w:t>
      </w:r>
      <w:r w:rsidRPr="00F323BD">
        <w:rPr>
          <w:rFonts w:eastAsia="Calibri"/>
        </w:rPr>
        <w:t>Government policy to retain ASC as a Government Business Enterprise.</w:t>
      </w:r>
    </w:p>
    <w:p w14:paraId="3D0C00A5" w14:textId="77777777" w:rsidR="00DC1572" w:rsidRPr="00B832E0" w:rsidRDefault="00DC1572" w:rsidP="00B1547E">
      <w:pPr>
        <w:pStyle w:val="Heading4"/>
        <w:shd w:val="clear" w:color="auto" w:fill="FFFFFF" w:themeFill="background1"/>
      </w:pPr>
      <w:bookmarkStart w:id="102" w:name="_Toc71117799"/>
      <w:bookmarkStart w:id="103" w:name="_Toc71117800"/>
      <w:bookmarkEnd w:id="102"/>
      <w:r w:rsidRPr="00B832E0">
        <w:t xml:space="preserve">Australian Government general insurance fund – </w:t>
      </w:r>
      <w:proofErr w:type="spellStart"/>
      <w:r w:rsidRPr="00B832E0">
        <w:t>Comcover</w:t>
      </w:r>
      <w:bookmarkEnd w:id="103"/>
      <w:proofErr w:type="spellEnd"/>
    </w:p>
    <w:p w14:paraId="1081853F" w14:textId="30E62A8C" w:rsidR="00DC1572" w:rsidRPr="00F323BD" w:rsidRDefault="00DC1572" w:rsidP="00B1547E">
      <w:pPr>
        <w:shd w:val="clear" w:color="auto" w:fill="FFFFFF" w:themeFill="background1"/>
        <w:rPr>
          <w:rFonts w:eastAsia="Calibri"/>
        </w:rPr>
      </w:pPr>
      <w:r w:rsidRPr="00F323BD">
        <w:rPr>
          <w:rFonts w:eastAsia="Calibri"/>
        </w:rPr>
        <w:t>The Department of Finance provides insurance and risk management services to Australian Government general government sector entities. Insurance liabilities are subject to potential revisions as the total number and size of claims covered is subject to unforeseen future events.</w:t>
      </w:r>
    </w:p>
    <w:p w14:paraId="53E18A6B" w14:textId="77777777" w:rsidR="00DC1572" w:rsidRPr="00F323BD" w:rsidRDefault="00DC1572" w:rsidP="0074298E">
      <w:pPr>
        <w:rPr>
          <w:rFonts w:eastAsia="Calibri"/>
        </w:rPr>
      </w:pPr>
      <w:r w:rsidRPr="00F323BD">
        <w:rPr>
          <w:rFonts w:eastAsia="Calibri"/>
        </w:rPr>
        <w:t xml:space="preserve">The Department of Finance takes all reasonable steps to ensure it has appropriate information regarding its </w:t>
      </w:r>
      <w:proofErr w:type="gramStart"/>
      <w:r w:rsidRPr="00F323BD">
        <w:rPr>
          <w:rFonts w:eastAsia="Calibri"/>
        </w:rPr>
        <w:t>claims</w:t>
      </w:r>
      <w:proofErr w:type="gramEnd"/>
      <w:r w:rsidRPr="00F323BD">
        <w:rPr>
          <w:rFonts w:eastAsia="Calibri"/>
        </w:rPr>
        <w:t xml:space="preserve"> exposure, including regularly updating estimates and parameters based on analysis of claim experience, actuarial calculations and other relevant factors.</w:t>
      </w:r>
    </w:p>
    <w:p w14:paraId="0E87FE1F" w14:textId="77777777" w:rsidR="00DC1572" w:rsidRPr="00B832E0" w:rsidRDefault="00DC1572" w:rsidP="0074298E">
      <w:pPr>
        <w:pStyle w:val="Heading4"/>
      </w:pPr>
      <w:r w:rsidRPr="00B832E0">
        <w:t>Commonwealth Superannuation Corporation – immunity and indemnity</w:t>
      </w:r>
    </w:p>
    <w:p w14:paraId="122C972C" w14:textId="77777777" w:rsidR="00DC1572" w:rsidRPr="00F323BD" w:rsidRDefault="00DC1572" w:rsidP="0074298E">
      <w:pPr>
        <w:rPr>
          <w:rFonts w:eastAsia="Calibri"/>
        </w:rPr>
      </w:pPr>
      <w:r w:rsidRPr="00F323BD">
        <w:rPr>
          <w:rFonts w:eastAsia="Calibri"/>
        </w:rPr>
        <w:t xml:space="preserve">The </w:t>
      </w:r>
      <w:r w:rsidRPr="006339A6">
        <w:rPr>
          <w:rStyle w:val="Emphasis"/>
          <w:rFonts w:eastAsia="Calibri"/>
        </w:rPr>
        <w:t>Governance of Australian Government Superannuation Schemes Act 2011</w:t>
      </w:r>
      <w:r w:rsidRPr="00F323BD">
        <w:rPr>
          <w:rFonts w:eastAsia="Calibri"/>
        </w:rPr>
        <w:t xml:space="preserve"> (the Governance Act) provides specific immunities for activities undertaken in good faith by directors and delegates of the board of the Commonwealth Superannuation Corporation (CSC), provided these activities relate to the performance of their functions.</w:t>
      </w:r>
    </w:p>
    <w:p w14:paraId="53B03765" w14:textId="77777777" w:rsidR="00DC1572" w:rsidRPr="00F323BD" w:rsidRDefault="00DC1572" w:rsidP="0074298E">
      <w:pPr>
        <w:rPr>
          <w:rFonts w:eastAsia="Calibri"/>
        </w:rPr>
      </w:pPr>
      <w:r w:rsidRPr="00F323BD">
        <w:rPr>
          <w:rFonts w:eastAsia="Calibri"/>
        </w:rPr>
        <w:t xml:space="preserve">Under the Governance Act, other than where not permitted by the </w:t>
      </w:r>
      <w:r w:rsidRPr="006339A6">
        <w:rPr>
          <w:rStyle w:val="Emphasis"/>
          <w:rFonts w:eastAsia="Calibri"/>
        </w:rPr>
        <w:t>Superannuation Industry (Supervision) Act 1993</w:t>
      </w:r>
      <w:r w:rsidRPr="00F323BD">
        <w:rPr>
          <w:rFonts w:eastAsia="Calibri"/>
        </w:rPr>
        <w:t xml:space="preserve"> or regulations under that Act, any money that becomes payable by CSC in respect of an action, liability, claim or demand that relates to the superannuation schemes or funds for which it is responsible, is to be paid out of the relevant superannuation fund or, if there is no fund, the Consolidated Revenue Fund (CRF). Amounts paid from a superannuation fund are reimbursed to the fund from the CRF.</w:t>
      </w:r>
    </w:p>
    <w:p w14:paraId="2A49F150" w14:textId="77777777" w:rsidR="00DC1572" w:rsidRPr="00B832E0" w:rsidRDefault="00DC1572" w:rsidP="0074298E">
      <w:pPr>
        <w:pStyle w:val="Heading4"/>
      </w:pPr>
      <w:r w:rsidRPr="00B832E0">
        <w:t xml:space="preserve">Finance owned estate </w:t>
      </w:r>
    </w:p>
    <w:p w14:paraId="7EBEC1F5" w14:textId="36DAFE7C" w:rsidR="006F6338" w:rsidRDefault="006F6338" w:rsidP="0074298E">
      <w:bookmarkStart w:id="104" w:name="_Toc71117803"/>
      <w:r w:rsidRPr="00C530B1">
        <w:t>The Department of Finance owns and is responsible for managing properties in the Australian Government</w:t>
      </w:r>
      <w:r w:rsidR="00D23095">
        <w:t>’</w:t>
      </w:r>
      <w:r w:rsidRPr="00C530B1">
        <w:t>s domestic non</w:t>
      </w:r>
      <w:r w:rsidR="00D23095">
        <w:noBreakHyphen/>
      </w:r>
      <w:r w:rsidRPr="00C530B1">
        <w:t>Defence portfolio, including remediation of contaminated sites to ensure there is no threat to human health and the environment. A small number of properties may require remediation and are subject to further investigation. Except for propert</w:t>
      </w:r>
      <w:r>
        <w:t>y</w:t>
      </w:r>
      <w:r w:rsidRPr="00C530B1">
        <w:t xml:space="preserve"> at Lucas Heights in New South Wales</w:t>
      </w:r>
      <w:r>
        <w:t>,</w:t>
      </w:r>
      <w:r w:rsidRPr="00C530B1">
        <w:t xml:space="preserve"> none of the properties with potential remediation issues has had a provision for remediation recognised, as neither the conditions for legal nor constructive obligations have been met, nor is a reliable estimate of the obligation currently possible.</w:t>
      </w:r>
    </w:p>
    <w:p w14:paraId="3B4AF9BB" w14:textId="77777777" w:rsidR="00DC1572" w:rsidRPr="001A716D" w:rsidRDefault="00DC1572" w:rsidP="0074298E">
      <w:pPr>
        <w:pStyle w:val="Heading4"/>
      </w:pPr>
      <w:r w:rsidRPr="001A716D">
        <w:t>Future Fund Management Agency and Future Fund Board of Guardians – indemnity</w:t>
      </w:r>
      <w:bookmarkEnd w:id="104"/>
    </w:p>
    <w:p w14:paraId="465B5094" w14:textId="33A22DD7" w:rsidR="00DC1572" w:rsidRPr="00F323BD" w:rsidRDefault="00DC1572" w:rsidP="0074298E">
      <w:pPr>
        <w:rPr>
          <w:rFonts w:eastAsia="Calibri"/>
        </w:rPr>
      </w:pPr>
      <w:r w:rsidRPr="00F323BD">
        <w:rPr>
          <w:rFonts w:eastAsia="Calibri"/>
        </w:rPr>
        <w:t xml:space="preserve">The Australian Government has provided certain staff members of the Future Fund Management Agency (the Agency) and the members (board members) of the Future Fund Board of Guardians (the Board) with deeds of indemnity. The indemnities are intended to cover liabilities </w:t>
      </w:r>
      <w:proofErr w:type="gramStart"/>
      <w:r w:rsidRPr="00F323BD">
        <w:rPr>
          <w:rFonts w:eastAsia="Calibri"/>
        </w:rPr>
        <w:t>in excess of</w:t>
      </w:r>
      <w:proofErr w:type="gramEnd"/>
      <w:r w:rsidRPr="00F323BD">
        <w:rPr>
          <w:rFonts w:eastAsia="Calibri"/>
        </w:rPr>
        <w:t xml:space="preserve"> the insurance cover (including </w:t>
      </w:r>
      <w:proofErr w:type="spellStart"/>
      <w:r w:rsidRPr="00F323BD">
        <w:rPr>
          <w:rFonts w:eastAsia="Calibri"/>
        </w:rPr>
        <w:t>Comcover</w:t>
      </w:r>
      <w:proofErr w:type="spellEnd"/>
      <w:r w:rsidRPr="00F323BD">
        <w:rPr>
          <w:rFonts w:eastAsia="Calibri"/>
        </w:rPr>
        <w:t xml:space="preserve">) of the Board, its </w:t>
      </w:r>
      <w:r w:rsidRPr="00F323BD">
        <w:rPr>
          <w:rFonts w:eastAsia="Calibri"/>
        </w:rPr>
        <w:lastRenderedPageBreak/>
        <w:t>subsidiary entities and the Agency. Board members are indemnified for liabilities incurred arising out of an act, omission or breach of statutory duty by the Board or a board member that relates to the performance of the Board</w:t>
      </w:r>
      <w:r w:rsidR="00D23095">
        <w:rPr>
          <w:rFonts w:eastAsia="Calibri"/>
        </w:rPr>
        <w:t>’</w:t>
      </w:r>
      <w:r w:rsidRPr="00F323BD">
        <w:rPr>
          <w:rFonts w:eastAsia="Calibri"/>
        </w:rPr>
        <w:t>s functions or the exercise of the Board</w:t>
      </w:r>
      <w:r w:rsidR="00D23095">
        <w:rPr>
          <w:rFonts w:eastAsia="Calibri"/>
        </w:rPr>
        <w:t>’</w:t>
      </w:r>
      <w:r w:rsidRPr="00F323BD">
        <w:rPr>
          <w:rFonts w:eastAsia="Calibri"/>
        </w:rPr>
        <w:t>s powers or that relates to any act, omission or breach of statutory duty by a board member as a director or officer of a wholly</w:t>
      </w:r>
      <w:r w:rsidR="00D23095">
        <w:rPr>
          <w:rFonts w:eastAsia="Calibri"/>
        </w:rPr>
        <w:noBreakHyphen/>
      </w:r>
      <w:r w:rsidRPr="00F323BD">
        <w:rPr>
          <w:rFonts w:eastAsia="Calibri"/>
        </w:rPr>
        <w:t>owned Australian subsidiary of the Board.</w:t>
      </w:r>
    </w:p>
    <w:p w14:paraId="382F08D8" w14:textId="77777777" w:rsidR="00DC1572" w:rsidRPr="00F323BD" w:rsidRDefault="00DC1572" w:rsidP="0074298E">
      <w:pPr>
        <w:rPr>
          <w:rFonts w:eastAsia="Calibri"/>
        </w:rPr>
      </w:pPr>
      <w:r w:rsidRPr="00F323BD">
        <w:rPr>
          <w:rFonts w:eastAsia="Calibri"/>
        </w:rPr>
        <w:t>Certain Agency staff members are indemnified in connection with the performance of functions or the exercise of powers in their capacity as a director or officer of investee companies or subsidiaries of the Board. Subject to certain exceptions or qualifications, board members and Agency staff members are indemnified for amounts up to the value of the relevant funds.</w:t>
      </w:r>
    </w:p>
    <w:p w14:paraId="7F732074" w14:textId="08FB0518" w:rsidR="00DC1572" w:rsidRPr="00F323BD" w:rsidRDefault="00DC1572" w:rsidP="0074298E">
      <w:pPr>
        <w:rPr>
          <w:rFonts w:eastAsia="Calibri"/>
        </w:rPr>
      </w:pPr>
      <w:r w:rsidRPr="00F323BD">
        <w:rPr>
          <w:rFonts w:eastAsia="Calibri"/>
        </w:rPr>
        <w:t xml:space="preserve">Board members are not indemnified in respect of any liability owed by them to the Board or its subsidiary, or which results from a contravention of a civil penalty provision of the </w:t>
      </w:r>
      <w:r w:rsidRPr="006339A6">
        <w:rPr>
          <w:rStyle w:val="Emphasis"/>
          <w:rFonts w:eastAsia="Calibri"/>
        </w:rPr>
        <w:t xml:space="preserve">Future Fund Act 2006 </w:t>
      </w:r>
      <w:r w:rsidRPr="00C20C97">
        <w:rPr>
          <w:rFonts w:eastAsia="Calibri"/>
        </w:rPr>
        <w:t>or the</w:t>
      </w:r>
      <w:r w:rsidRPr="00F323BD">
        <w:rPr>
          <w:rFonts w:eastAsia="Calibri"/>
          <w:i/>
          <w:iCs/>
        </w:rPr>
        <w:t xml:space="preserve"> </w:t>
      </w:r>
      <w:r w:rsidRPr="006339A6">
        <w:rPr>
          <w:rStyle w:val="Emphasis"/>
          <w:rFonts w:eastAsia="Calibri"/>
        </w:rPr>
        <w:t>Corporations Act 2001.</w:t>
      </w:r>
      <w:r w:rsidRPr="00F323BD">
        <w:rPr>
          <w:rFonts w:eastAsia="Calibri"/>
        </w:rPr>
        <w:t xml:space="preserve"> Agency staff members are not indemnified to the extent they are indemnified by the relevant investee company or subsidiary, in respect of any liability owed to the Board or the Commonwealth, or to the extent that they are granted and receive financial assistance under </w:t>
      </w:r>
      <w:r w:rsidRPr="00CD4FD7">
        <w:rPr>
          <w:rFonts w:eastAsia="Calibri"/>
        </w:rPr>
        <w:t>Appendix E of the</w:t>
      </w:r>
      <w:r w:rsidRPr="00CD4FD7">
        <w:rPr>
          <w:rFonts w:eastAsia="Calibri"/>
          <w:i/>
          <w:iCs/>
        </w:rPr>
        <w:t xml:space="preserve"> </w:t>
      </w:r>
      <w:r w:rsidRPr="006339A6">
        <w:rPr>
          <w:rStyle w:val="Emphasis"/>
          <w:rFonts w:eastAsia="Calibri"/>
        </w:rPr>
        <w:t>Legal Services Directions 2017</w:t>
      </w:r>
      <w:r w:rsidRPr="00F323BD">
        <w:rPr>
          <w:rFonts w:eastAsia="Calibri"/>
        </w:rPr>
        <w:t xml:space="preserve">. Both board members and Agency staff members are not indemnified for any liability resulting from conduct they engage in other than in good faith, to the extent they recover a liability under a Directors and Officers insurance policy (including </w:t>
      </w:r>
      <w:proofErr w:type="spellStart"/>
      <w:r w:rsidRPr="00F323BD">
        <w:rPr>
          <w:rFonts w:eastAsia="Calibri"/>
        </w:rPr>
        <w:t>Comcover</w:t>
      </w:r>
      <w:proofErr w:type="spellEnd"/>
      <w:r w:rsidRPr="00F323BD">
        <w:rPr>
          <w:rFonts w:eastAsia="Calibri"/>
        </w:rPr>
        <w:t>) or in respect of legal costs incurred by them in unsuccessfully defending or resisting criminal proceedings or proceedings regarding a contravention of a civil penalty provision.</w:t>
      </w:r>
    </w:p>
    <w:p w14:paraId="7EB1081C" w14:textId="77777777" w:rsidR="00DC1572" w:rsidRPr="00B832E0" w:rsidRDefault="00DC1572" w:rsidP="0074298E">
      <w:pPr>
        <w:pStyle w:val="Heading4"/>
      </w:pPr>
      <w:bookmarkStart w:id="105" w:name="_Toc71117804"/>
      <w:proofErr w:type="spellStart"/>
      <w:r w:rsidRPr="00B832E0">
        <w:t>Googong</w:t>
      </w:r>
      <w:proofErr w:type="spellEnd"/>
      <w:r w:rsidRPr="00B832E0">
        <w:t xml:space="preserve"> Dam</w:t>
      </w:r>
      <w:bookmarkEnd w:id="105"/>
    </w:p>
    <w:p w14:paraId="689111AE" w14:textId="454C3ABA" w:rsidR="00DC1572" w:rsidRPr="00DC1205" w:rsidRDefault="00DC1572" w:rsidP="0074298E">
      <w:pPr>
        <w:rPr>
          <w:rFonts w:eastAsia="Calibri"/>
        </w:rPr>
      </w:pPr>
      <w:r w:rsidRPr="00DC1205">
        <w:rPr>
          <w:rFonts w:eastAsia="Calibri"/>
        </w:rPr>
        <w:t>On 4</w:t>
      </w:r>
      <w:r w:rsidRPr="00DC1205">
        <w:rPr>
          <w:rFonts w:eastAsia="Calibri" w:hint="eastAsia"/>
        </w:rPr>
        <w:t> </w:t>
      </w:r>
      <w:r w:rsidRPr="00DC1205">
        <w:rPr>
          <w:rFonts w:eastAsia="Calibri"/>
        </w:rPr>
        <w:t>September</w:t>
      </w:r>
      <w:r w:rsidRPr="00DC1205">
        <w:rPr>
          <w:rFonts w:eastAsia="Calibri" w:hint="eastAsia"/>
        </w:rPr>
        <w:t> </w:t>
      </w:r>
      <w:r w:rsidRPr="00DC1205">
        <w:rPr>
          <w:rFonts w:eastAsia="Calibri"/>
        </w:rPr>
        <w:t>2008, a 150</w:t>
      </w:r>
      <w:r w:rsidR="00D23095">
        <w:rPr>
          <w:rFonts w:eastAsia="Calibri"/>
        </w:rPr>
        <w:noBreakHyphen/>
      </w:r>
      <w:r w:rsidRPr="00DC1205">
        <w:rPr>
          <w:rFonts w:eastAsia="Calibri"/>
        </w:rPr>
        <w:t xml:space="preserve">year lease for </w:t>
      </w:r>
      <w:proofErr w:type="spellStart"/>
      <w:r w:rsidRPr="00DC1205">
        <w:rPr>
          <w:rFonts w:eastAsia="Calibri"/>
        </w:rPr>
        <w:t>Googong</w:t>
      </w:r>
      <w:proofErr w:type="spellEnd"/>
      <w:r w:rsidRPr="00DC1205">
        <w:rPr>
          <w:rFonts w:eastAsia="Calibri"/>
        </w:rPr>
        <w:t xml:space="preserve"> Dam was signed between the Australian</w:t>
      </w:r>
      <w:r w:rsidR="00FB4A7B">
        <w:rPr>
          <w:rFonts w:eastAsia="Calibri"/>
        </w:rPr>
        <w:t> </w:t>
      </w:r>
      <w:r w:rsidRPr="00DC1205">
        <w:rPr>
          <w:rFonts w:eastAsia="Calibri"/>
        </w:rPr>
        <w:t>Government and the Australian Capital Territory (ACT) Government. The Australian</w:t>
      </w:r>
      <w:r w:rsidR="00FB4A7B">
        <w:rPr>
          <w:rFonts w:eastAsia="Calibri"/>
        </w:rPr>
        <w:t> </w:t>
      </w:r>
      <w:r w:rsidRPr="00DC1205">
        <w:rPr>
          <w:rFonts w:eastAsia="Calibri"/>
        </w:rPr>
        <w:t xml:space="preserve">Government is liable to pay just terms compensation if the terms of the lease are breached by introducing new legislation or changing the </w:t>
      </w:r>
      <w:r w:rsidRPr="006339A6">
        <w:rPr>
          <w:rStyle w:val="Emphasis"/>
          <w:rFonts w:eastAsia="Calibri"/>
        </w:rPr>
        <w:t>Canberra Water Supply (</w:t>
      </w:r>
      <w:proofErr w:type="spellStart"/>
      <w:r w:rsidRPr="006339A6">
        <w:rPr>
          <w:rStyle w:val="Emphasis"/>
          <w:rFonts w:eastAsia="Calibri"/>
        </w:rPr>
        <w:t>Googong</w:t>
      </w:r>
      <w:proofErr w:type="spellEnd"/>
      <w:r w:rsidRPr="006339A6">
        <w:rPr>
          <w:rStyle w:val="Emphasis"/>
          <w:rFonts w:eastAsia="Calibri"/>
        </w:rPr>
        <w:t> Dam) Act 1974</w:t>
      </w:r>
      <w:r w:rsidRPr="00DC1205">
        <w:rPr>
          <w:rFonts w:eastAsia="Calibri"/>
        </w:rPr>
        <w:t xml:space="preserve"> in a way that impacts on the rights of the ACT. The lease includes a requirement for the Australian Government to undertake rectification of easements or any defects in title in relation to </w:t>
      </w:r>
      <w:proofErr w:type="spellStart"/>
      <w:r w:rsidRPr="00DC1205">
        <w:rPr>
          <w:rFonts w:eastAsia="Calibri"/>
        </w:rPr>
        <w:t>Googong</w:t>
      </w:r>
      <w:proofErr w:type="spellEnd"/>
      <w:r w:rsidRPr="00DC1205">
        <w:rPr>
          <w:rFonts w:eastAsia="Calibri"/>
        </w:rPr>
        <w:t xml:space="preserve"> Dam, and remediation of any contamination it may have caused to the</w:t>
      </w:r>
      <w:r w:rsidRPr="00DC1205">
        <w:rPr>
          <w:rFonts w:eastAsia="Calibri" w:hint="eastAsia"/>
        </w:rPr>
        <w:t> </w:t>
      </w:r>
      <w:r w:rsidRPr="00DC1205">
        <w:rPr>
          <w:rFonts w:eastAsia="Calibri"/>
        </w:rPr>
        <w:t>site. It also gives an indemnity in relation to acts or omissions by the Australian Government.</w:t>
      </w:r>
    </w:p>
    <w:p w14:paraId="206035A0" w14:textId="77777777" w:rsidR="00DC1572" w:rsidRPr="00B832E0" w:rsidRDefault="00DC1572" w:rsidP="0074298E">
      <w:pPr>
        <w:pStyle w:val="Heading4"/>
      </w:pPr>
      <w:r w:rsidRPr="00B832E0">
        <w:t>Indemnities for the Reserve Bank of Australia and private sector banks</w:t>
      </w:r>
    </w:p>
    <w:p w14:paraId="25F606CE" w14:textId="03FAD3B6" w:rsidR="00DC1572" w:rsidRPr="00DC1205" w:rsidRDefault="00DC1572" w:rsidP="0074298E">
      <w:pPr>
        <w:rPr>
          <w:rFonts w:eastAsia="Calibri"/>
        </w:rPr>
      </w:pPr>
      <w:r w:rsidRPr="00DC1205">
        <w:rPr>
          <w:rFonts w:eastAsia="Calibri"/>
        </w:rPr>
        <w:t>In accordance with Government entities</w:t>
      </w:r>
      <w:r w:rsidR="00D23095">
        <w:rPr>
          <w:rFonts w:eastAsia="Calibri"/>
        </w:rPr>
        <w:t>’</w:t>
      </w:r>
      <w:r w:rsidRPr="00DC1205">
        <w:rPr>
          <w:rFonts w:eastAsia="Calibri"/>
        </w:rPr>
        <w:t xml:space="preserve"> contracts for transactional banking services, the Australian Government has indemnified the Reserve Bank of Australia and contracted private sector banks against loss and damage arising from error or fraud by an entity, or transactions made by a bank with the authority of an entity.</w:t>
      </w:r>
    </w:p>
    <w:p w14:paraId="5ED23078" w14:textId="77777777" w:rsidR="00DC1572" w:rsidRPr="00B832E0" w:rsidRDefault="00DC1572" w:rsidP="0074298E">
      <w:pPr>
        <w:pStyle w:val="Heading4"/>
      </w:pPr>
      <w:bookmarkStart w:id="106" w:name="_Toc71117806"/>
      <w:r w:rsidRPr="00B832E0">
        <w:lastRenderedPageBreak/>
        <w:t>Indemnities relating to other former asset sales, privatisations and information technology outsourcing projects</w:t>
      </w:r>
      <w:bookmarkEnd w:id="106"/>
    </w:p>
    <w:p w14:paraId="409A661A" w14:textId="77777777" w:rsidR="00DC1572" w:rsidRPr="00DC1205" w:rsidRDefault="00DC1572" w:rsidP="0074298E">
      <w:pPr>
        <w:rPr>
          <w:rFonts w:eastAsia="Calibri"/>
        </w:rPr>
      </w:pPr>
      <w:r w:rsidRPr="00DC1205">
        <w:rPr>
          <w:rFonts w:eastAsia="Calibri"/>
        </w:rPr>
        <w:t>Ongoing and terminating indemnities have been given in respect of a range of asset sales, privatisations and information technology outsourcing projects that have been conducted by the Department of Finance and the former Office of Asset Sales and Commercial Support and its predecessors. The probability of an action being brought under one of these indemnities diminishes over time.</w:t>
      </w:r>
    </w:p>
    <w:p w14:paraId="7E4BCC9B" w14:textId="7BE9B74B" w:rsidR="00DC1572" w:rsidRDefault="00DC1572" w:rsidP="0074298E">
      <w:pPr>
        <w:rPr>
          <w:rFonts w:eastAsia="Book Antiqua"/>
          <w:lang w:val="en-US"/>
        </w:rPr>
      </w:pPr>
      <w:r w:rsidRPr="00DC1205">
        <w:rPr>
          <w:rFonts w:eastAsia="Calibri"/>
        </w:rPr>
        <w:t>Details of indemnities in respect of other asset sales and privatisations have been provided in previous Budget and MYEFO papers, and previous Annual Reports of the Department of Finance and the Office of Asset Sales and Commercial Support.</w:t>
      </w:r>
    </w:p>
    <w:p w14:paraId="3CF55C5B" w14:textId="77777777" w:rsidR="00DC1572" w:rsidRPr="00DC1205" w:rsidRDefault="00DC1572" w:rsidP="0074298E">
      <w:pPr>
        <w:rPr>
          <w:rFonts w:eastAsia="Calibri"/>
        </w:rPr>
      </w:pPr>
      <w:r w:rsidRPr="00DC1205">
        <w:rPr>
          <w:rFonts w:eastAsia="Calibri"/>
        </w:rPr>
        <w:t>Indemnified bodies are listed below. Apart from instances noted elsewhere, the Department of Finance does not currently expect any other action to be taken in respect of these indemnities.</w:t>
      </w:r>
    </w:p>
    <w:tbl>
      <w:tblPr>
        <w:tblW w:w="5000" w:type="pct"/>
        <w:tblBorders>
          <w:top w:val="single" w:sz="4" w:space="0" w:color="002A54" w:themeColor="text2"/>
          <w:bottom w:val="single" w:sz="4" w:space="0" w:color="002A54" w:themeColor="text2"/>
          <w:insideH w:val="single" w:sz="4" w:space="0" w:color="002A54" w:themeColor="text2"/>
        </w:tblBorders>
        <w:tblLayout w:type="fixed"/>
        <w:tblLook w:val="01E0" w:firstRow="1" w:lastRow="1" w:firstColumn="1" w:lastColumn="1" w:noHBand="0" w:noVBand="0"/>
        <w:tblCaption w:val="Table"/>
      </w:tblPr>
      <w:tblGrid>
        <w:gridCol w:w="5853"/>
        <w:gridCol w:w="1857"/>
      </w:tblGrid>
      <w:tr w:rsidR="00DC1572" w:rsidRPr="00B832E0" w14:paraId="140E1DDE" w14:textId="77777777" w:rsidTr="00C94DB9">
        <w:trPr>
          <w:trHeight w:val="263"/>
          <w:tblHeader/>
        </w:trPr>
        <w:tc>
          <w:tcPr>
            <w:tcW w:w="5854" w:type="dxa"/>
            <w:shd w:val="clear" w:color="auto" w:fill="E6F2FF"/>
          </w:tcPr>
          <w:p w14:paraId="2BE4E740" w14:textId="77777777" w:rsidR="00DC1572" w:rsidRPr="00B832E0" w:rsidRDefault="00DC1572" w:rsidP="0074298E">
            <w:pPr>
              <w:pStyle w:val="TableColumnHeadingLeft"/>
              <w:rPr>
                <w:rFonts w:eastAsia="Arial"/>
              </w:rPr>
            </w:pPr>
            <w:r w:rsidRPr="00B832E0">
              <w:rPr>
                <w:rFonts w:eastAsia="Arial"/>
              </w:rPr>
              <w:t>Indemnified body</w:t>
            </w:r>
          </w:p>
        </w:tc>
        <w:tc>
          <w:tcPr>
            <w:tcW w:w="1857" w:type="dxa"/>
            <w:shd w:val="clear" w:color="auto" w:fill="E6F2FF"/>
          </w:tcPr>
          <w:p w14:paraId="07885413" w14:textId="77777777" w:rsidR="00DC1572" w:rsidRPr="00B832E0" w:rsidRDefault="00DC1572" w:rsidP="0074298E">
            <w:pPr>
              <w:pStyle w:val="TableColumnHeadingLeft"/>
              <w:rPr>
                <w:rFonts w:eastAsia="Arial"/>
              </w:rPr>
            </w:pPr>
            <w:r w:rsidRPr="00B832E0">
              <w:rPr>
                <w:rFonts w:eastAsia="Arial"/>
              </w:rPr>
              <w:t>Year(s) raised</w:t>
            </w:r>
          </w:p>
        </w:tc>
      </w:tr>
      <w:tr w:rsidR="00DC1572" w:rsidRPr="00B832E0" w14:paraId="14DABA12" w14:textId="77777777" w:rsidTr="00C94DB9">
        <w:trPr>
          <w:trHeight w:val="225"/>
        </w:trPr>
        <w:tc>
          <w:tcPr>
            <w:tcW w:w="5854" w:type="dxa"/>
          </w:tcPr>
          <w:p w14:paraId="7C9C93A1" w14:textId="77777777" w:rsidR="00DC1572" w:rsidRPr="00B832E0" w:rsidRDefault="00DC1572" w:rsidP="0074298E">
            <w:pPr>
              <w:pStyle w:val="TableTextLeft"/>
              <w:rPr>
                <w:rFonts w:eastAsia="Arial"/>
              </w:rPr>
            </w:pPr>
            <w:r w:rsidRPr="00B832E0">
              <w:rPr>
                <w:rFonts w:eastAsia="Arial"/>
              </w:rPr>
              <w:t>ADI Ltd</w:t>
            </w:r>
          </w:p>
        </w:tc>
        <w:tc>
          <w:tcPr>
            <w:tcW w:w="1857" w:type="dxa"/>
          </w:tcPr>
          <w:p w14:paraId="1DD87A5B" w14:textId="77777777" w:rsidR="00DC1572" w:rsidRPr="00B832E0" w:rsidRDefault="00DC1572" w:rsidP="0074298E">
            <w:pPr>
              <w:pStyle w:val="TableTextLeft"/>
              <w:rPr>
                <w:rFonts w:eastAsia="Arial"/>
              </w:rPr>
            </w:pPr>
            <w:r w:rsidRPr="00B832E0">
              <w:rPr>
                <w:rFonts w:eastAsia="Arial"/>
              </w:rPr>
              <w:t>1998</w:t>
            </w:r>
          </w:p>
        </w:tc>
      </w:tr>
      <w:tr w:rsidR="00DC1572" w:rsidRPr="00B832E0" w14:paraId="6AC9DDB9" w14:textId="77777777" w:rsidTr="00C94DB9">
        <w:trPr>
          <w:trHeight w:val="225"/>
        </w:trPr>
        <w:tc>
          <w:tcPr>
            <w:tcW w:w="5854" w:type="dxa"/>
          </w:tcPr>
          <w:p w14:paraId="2621032E" w14:textId="77777777" w:rsidR="00DC1572" w:rsidRPr="00B832E0" w:rsidRDefault="00DC1572" w:rsidP="0074298E">
            <w:pPr>
              <w:pStyle w:val="TableTextLeft"/>
              <w:rPr>
                <w:rFonts w:eastAsia="Arial"/>
              </w:rPr>
            </w:pPr>
            <w:r w:rsidRPr="00B832E0">
              <w:rPr>
                <w:rFonts w:eastAsia="Arial"/>
              </w:rPr>
              <w:t>Albury–Wodonga Development Corporation</w:t>
            </w:r>
          </w:p>
        </w:tc>
        <w:tc>
          <w:tcPr>
            <w:tcW w:w="1857" w:type="dxa"/>
          </w:tcPr>
          <w:p w14:paraId="5B83CFDB" w14:textId="77777777" w:rsidR="00DC1572" w:rsidRPr="00B832E0" w:rsidRDefault="00DC1572" w:rsidP="0074298E">
            <w:pPr>
              <w:pStyle w:val="TableTextLeft"/>
              <w:rPr>
                <w:rFonts w:eastAsia="Arial"/>
              </w:rPr>
            </w:pPr>
            <w:r w:rsidRPr="00B832E0">
              <w:rPr>
                <w:rFonts w:eastAsia="Arial"/>
              </w:rPr>
              <w:t>2014</w:t>
            </w:r>
          </w:p>
        </w:tc>
      </w:tr>
      <w:tr w:rsidR="00DC1572" w:rsidRPr="00B832E0" w14:paraId="1A4451A4" w14:textId="77777777" w:rsidTr="00C94DB9">
        <w:trPr>
          <w:trHeight w:val="225"/>
        </w:trPr>
        <w:tc>
          <w:tcPr>
            <w:tcW w:w="5854" w:type="dxa"/>
          </w:tcPr>
          <w:p w14:paraId="5D4BE1E4" w14:textId="77777777" w:rsidR="00DC1572" w:rsidRPr="00B832E0" w:rsidRDefault="00DC1572" w:rsidP="0074298E">
            <w:pPr>
              <w:pStyle w:val="TableTextLeft"/>
              <w:rPr>
                <w:rFonts w:eastAsia="Arial"/>
              </w:rPr>
            </w:pPr>
            <w:r w:rsidRPr="00B832E0">
              <w:rPr>
                <w:rFonts w:eastAsia="Arial"/>
              </w:rPr>
              <w:t>Australian Airlines</w:t>
            </w:r>
          </w:p>
        </w:tc>
        <w:tc>
          <w:tcPr>
            <w:tcW w:w="1857" w:type="dxa"/>
          </w:tcPr>
          <w:p w14:paraId="4325C005" w14:textId="77777777" w:rsidR="00DC1572" w:rsidRPr="00B832E0" w:rsidRDefault="00DC1572" w:rsidP="0074298E">
            <w:pPr>
              <w:pStyle w:val="TableTextLeft"/>
              <w:rPr>
                <w:rFonts w:eastAsia="Arial"/>
              </w:rPr>
            </w:pPr>
            <w:r w:rsidRPr="00B832E0">
              <w:rPr>
                <w:rFonts w:eastAsia="Arial"/>
              </w:rPr>
              <w:t>1991</w:t>
            </w:r>
          </w:p>
        </w:tc>
      </w:tr>
      <w:tr w:rsidR="00DC1572" w:rsidRPr="00B832E0" w14:paraId="2420B630" w14:textId="77777777" w:rsidTr="00C94DB9">
        <w:trPr>
          <w:trHeight w:val="222"/>
        </w:trPr>
        <w:tc>
          <w:tcPr>
            <w:tcW w:w="5854" w:type="dxa"/>
          </w:tcPr>
          <w:p w14:paraId="49FCC18A" w14:textId="77777777" w:rsidR="00DC1572" w:rsidRPr="00B832E0" w:rsidRDefault="00DC1572" w:rsidP="0074298E">
            <w:pPr>
              <w:pStyle w:val="TableTextLeft"/>
              <w:rPr>
                <w:rFonts w:eastAsia="Arial"/>
              </w:rPr>
            </w:pPr>
            <w:r w:rsidRPr="00B832E0">
              <w:rPr>
                <w:rFonts w:eastAsia="Arial"/>
              </w:rPr>
              <w:t>Australian Industry Development Corporation</w:t>
            </w:r>
          </w:p>
        </w:tc>
        <w:tc>
          <w:tcPr>
            <w:tcW w:w="1857" w:type="dxa"/>
          </w:tcPr>
          <w:p w14:paraId="0099B77C" w14:textId="77777777" w:rsidR="00DC1572" w:rsidRPr="00B832E0" w:rsidRDefault="00DC1572" w:rsidP="0074298E">
            <w:pPr>
              <w:pStyle w:val="TableTextLeft"/>
              <w:rPr>
                <w:rFonts w:eastAsia="Arial"/>
              </w:rPr>
            </w:pPr>
            <w:r w:rsidRPr="00B832E0">
              <w:rPr>
                <w:rFonts w:eastAsia="Arial"/>
              </w:rPr>
              <w:t>1996</w:t>
            </w:r>
          </w:p>
        </w:tc>
      </w:tr>
      <w:tr w:rsidR="00DC1572" w:rsidRPr="00B832E0" w14:paraId="49AD3546" w14:textId="77777777" w:rsidTr="00C94DB9">
        <w:trPr>
          <w:trHeight w:val="225"/>
        </w:trPr>
        <w:tc>
          <w:tcPr>
            <w:tcW w:w="5854" w:type="dxa"/>
          </w:tcPr>
          <w:p w14:paraId="15FA1460" w14:textId="77777777" w:rsidR="00DC1572" w:rsidRPr="00B832E0" w:rsidRDefault="00DC1572" w:rsidP="0074298E">
            <w:pPr>
              <w:pStyle w:val="TableTextLeft"/>
              <w:rPr>
                <w:rFonts w:eastAsia="Arial"/>
              </w:rPr>
            </w:pPr>
            <w:r w:rsidRPr="00B832E0">
              <w:rPr>
                <w:rFonts w:eastAsia="Arial"/>
              </w:rPr>
              <w:t>Australian Multimedia Enterprise</w:t>
            </w:r>
          </w:p>
        </w:tc>
        <w:tc>
          <w:tcPr>
            <w:tcW w:w="1857" w:type="dxa"/>
          </w:tcPr>
          <w:p w14:paraId="35EC6A0D" w14:textId="77777777" w:rsidR="00DC1572" w:rsidRPr="00B832E0" w:rsidRDefault="00DC1572" w:rsidP="0074298E">
            <w:pPr>
              <w:pStyle w:val="TableTextLeft"/>
              <w:rPr>
                <w:rFonts w:eastAsia="Arial"/>
              </w:rPr>
            </w:pPr>
            <w:r w:rsidRPr="00B832E0">
              <w:rPr>
                <w:rFonts w:eastAsia="Arial"/>
              </w:rPr>
              <w:t>1997</w:t>
            </w:r>
          </w:p>
        </w:tc>
      </w:tr>
      <w:tr w:rsidR="00DC1572" w:rsidRPr="00B832E0" w14:paraId="5C615308" w14:textId="77777777" w:rsidTr="00C94DB9">
        <w:trPr>
          <w:trHeight w:val="225"/>
        </w:trPr>
        <w:tc>
          <w:tcPr>
            <w:tcW w:w="5854" w:type="dxa"/>
          </w:tcPr>
          <w:p w14:paraId="14E19799" w14:textId="77777777" w:rsidR="00DC1572" w:rsidRPr="00B832E0" w:rsidRDefault="00DC1572" w:rsidP="0074298E">
            <w:pPr>
              <w:pStyle w:val="TableTextLeft"/>
              <w:rPr>
                <w:rFonts w:eastAsia="Arial"/>
              </w:rPr>
            </w:pPr>
            <w:r w:rsidRPr="00B832E0">
              <w:rPr>
                <w:rFonts w:eastAsia="Arial"/>
              </w:rPr>
              <w:t>Australian National Rail Commission and National Rail Corporation Ltd</w:t>
            </w:r>
          </w:p>
        </w:tc>
        <w:tc>
          <w:tcPr>
            <w:tcW w:w="1857" w:type="dxa"/>
          </w:tcPr>
          <w:p w14:paraId="2D8181E7" w14:textId="77777777" w:rsidR="00DC1572" w:rsidRPr="00B832E0" w:rsidRDefault="00DC1572" w:rsidP="0074298E">
            <w:pPr>
              <w:pStyle w:val="TableTextLeft"/>
              <w:rPr>
                <w:rFonts w:eastAsia="Arial"/>
              </w:rPr>
            </w:pPr>
            <w:r w:rsidRPr="00B832E0">
              <w:rPr>
                <w:rFonts w:eastAsia="Arial"/>
              </w:rPr>
              <w:t>1997 and 2000</w:t>
            </w:r>
          </w:p>
        </w:tc>
      </w:tr>
      <w:tr w:rsidR="00DC1572" w:rsidRPr="00B832E0" w14:paraId="56563EB9" w14:textId="77777777" w:rsidTr="00C94DB9">
        <w:trPr>
          <w:trHeight w:val="222"/>
        </w:trPr>
        <w:tc>
          <w:tcPr>
            <w:tcW w:w="5854" w:type="dxa"/>
          </w:tcPr>
          <w:p w14:paraId="1CBB4B20" w14:textId="77777777" w:rsidR="00DC1572" w:rsidRPr="00B832E0" w:rsidRDefault="00DC1572" w:rsidP="0074298E">
            <w:pPr>
              <w:pStyle w:val="TableTextLeft"/>
              <w:rPr>
                <w:rFonts w:eastAsia="Arial"/>
              </w:rPr>
            </w:pPr>
            <w:r w:rsidRPr="00B832E0">
              <w:rPr>
                <w:rFonts w:eastAsia="Arial"/>
              </w:rPr>
              <w:t>Australian River Co Ltd</w:t>
            </w:r>
          </w:p>
        </w:tc>
        <w:tc>
          <w:tcPr>
            <w:tcW w:w="1857" w:type="dxa"/>
          </w:tcPr>
          <w:p w14:paraId="583DCFB5" w14:textId="77777777" w:rsidR="00DC1572" w:rsidRPr="00B832E0" w:rsidRDefault="00DC1572" w:rsidP="0074298E">
            <w:pPr>
              <w:pStyle w:val="TableTextLeft"/>
              <w:rPr>
                <w:rFonts w:eastAsia="Arial"/>
              </w:rPr>
            </w:pPr>
            <w:r w:rsidRPr="00B832E0">
              <w:rPr>
                <w:rFonts w:eastAsia="Arial"/>
              </w:rPr>
              <w:t>1999</w:t>
            </w:r>
          </w:p>
        </w:tc>
      </w:tr>
      <w:tr w:rsidR="00DC1572" w:rsidRPr="00B832E0" w14:paraId="581EABA3" w14:textId="77777777" w:rsidTr="00C94DB9">
        <w:trPr>
          <w:trHeight w:val="225"/>
        </w:trPr>
        <w:tc>
          <w:tcPr>
            <w:tcW w:w="5854" w:type="dxa"/>
          </w:tcPr>
          <w:p w14:paraId="45B13598" w14:textId="77777777" w:rsidR="00DC1572" w:rsidRPr="00B832E0" w:rsidRDefault="00DC1572" w:rsidP="0074298E">
            <w:pPr>
              <w:pStyle w:val="TableTextLeft"/>
              <w:rPr>
                <w:rFonts w:eastAsia="Arial"/>
              </w:rPr>
            </w:pPr>
            <w:r w:rsidRPr="00B832E0">
              <w:rPr>
                <w:rFonts w:eastAsia="Arial"/>
              </w:rPr>
              <w:t>Australian Submarine Corporation Pty Ltd</w:t>
            </w:r>
          </w:p>
        </w:tc>
        <w:tc>
          <w:tcPr>
            <w:tcW w:w="1857" w:type="dxa"/>
          </w:tcPr>
          <w:p w14:paraId="3A61E1C2" w14:textId="77777777" w:rsidR="00DC1572" w:rsidRPr="00B832E0" w:rsidRDefault="00DC1572" w:rsidP="0074298E">
            <w:pPr>
              <w:pStyle w:val="TableTextLeft"/>
              <w:rPr>
                <w:rFonts w:eastAsia="Arial"/>
              </w:rPr>
            </w:pPr>
            <w:r w:rsidRPr="00B832E0">
              <w:rPr>
                <w:rFonts w:eastAsia="Arial"/>
              </w:rPr>
              <w:t>2000</w:t>
            </w:r>
          </w:p>
        </w:tc>
      </w:tr>
      <w:tr w:rsidR="00DC1572" w:rsidRPr="00B832E0" w14:paraId="430E8878" w14:textId="77777777" w:rsidTr="00C94DB9">
        <w:trPr>
          <w:trHeight w:val="222"/>
        </w:trPr>
        <w:tc>
          <w:tcPr>
            <w:tcW w:w="5854" w:type="dxa"/>
          </w:tcPr>
          <w:p w14:paraId="2BAB7617" w14:textId="77777777" w:rsidR="00DC1572" w:rsidRPr="00B832E0" w:rsidRDefault="00DC1572" w:rsidP="0074298E">
            <w:pPr>
              <w:pStyle w:val="TableTextLeft"/>
              <w:rPr>
                <w:rFonts w:eastAsia="Arial"/>
              </w:rPr>
            </w:pPr>
            <w:r w:rsidRPr="00B832E0">
              <w:rPr>
                <w:rFonts w:eastAsia="Arial"/>
              </w:rPr>
              <w:t>Bankstown Airport Ltd</w:t>
            </w:r>
          </w:p>
        </w:tc>
        <w:tc>
          <w:tcPr>
            <w:tcW w:w="1857" w:type="dxa"/>
          </w:tcPr>
          <w:p w14:paraId="6BDE1D14" w14:textId="77777777" w:rsidR="00DC1572" w:rsidRPr="00B832E0" w:rsidRDefault="00DC1572" w:rsidP="0074298E">
            <w:pPr>
              <w:pStyle w:val="TableTextLeft"/>
              <w:rPr>
                <w:rFonts w:eastAsia="Arial"/>
              </w:rPr>
            </w:pPr>
            <w:r w:rsidRPr="00B832E0">
              <w:rPr>
                <w:rFonts w:eastAsia="Arial"/>
              </w:rPr>
              <w:t>2002</w:t>
            </w:r>
          </w:p>
        </w:tc>
      </w:tr>
      <w:tr w:rsidR="00DC1572" w:rsidRPr="00B832E0" w14:paraId="09420FD7" w14:textId="77777777" w:rsidTr="00C94DB9">
        <w:trPr>
          <w:trHeight w:val="225"/>
        </w:trPr>
        <w:tc>
          <w:tcPr>
            <w:tcW w:w="5854" w:type="dxa"/>
          </w:tcPr>
          <w:p w14:paraId="1F963558" w14:textId="77777777" w:rsidR="00DC1572" w:rsidRPr="00B832E0" w:rsidRDefault="00DC1572" w:rsidP="0074298E">
            <w:pPr>
              <w:pStyle w:val="TableTextLeft"/>
              <w:rPr>
                <w:rFonts w:eastAsia="Arial"/>
              </w:rPr>
            </w:pPr>
            <w:r w:rsidRPr="00B832E0">
              <w:rPr>
                <w:rFonts w:eastAsia="Arial"/>
              </w:rPr>
              <w:t>Camden Airport Ltd</w:t>
            </w:r>
          </w:p>
        </w:tc>
        <w:tc>
          <w:tcPr>
            <w:tcW w:w="1857" w:type="dxa"/>
          </w:tcPr>
          <w:p w14:paraId="60892AF6" w14:textId="77777777" w:rsidR="00DC1572" w:rsidRPr="00B832E0" w:rsidRDefault="00DC1572" w:rsidP="0074298E">
            <w:pPr>
              <w:pStyle w:val="TableTextLeft"/>
              <w:rPr>
                <w:rFonts w:eastAsia="Arial"/>
              </w:rPr>
            </w:pPr>
            <w:r w:rsidRPr="00B832E0">
              <w:rPr>
                <w:rFonts w:eastAsia="Arial"/>
              </w:rPr>
              <w:t>2002</w:t>
            </w:r>
          </w:p>
        </w:tc>
      </w:tr>
      <w:tr w:rsidR="00DC1572" w:rsidRPr="00B832E0" w14:paraId="55DE1EDF" w14:textId="77777777" w:rsidTr="00C94DB9">
        <w:trPr>
          <w:trHeight w:val="225"/>
        </w:trPr>
        <w:tc>
          <w:tcPr>
            <w:tcW w:w="5854" w:type="dxa"/>
          </w:tcPr>
          <w:p w14:paraId="466650DF" w14:textId="77777777" w:rsidR="00DC1572" w:rsidRPr="00B832E0" w:rsidRDefault="00DC1572" w:rsidP="0074298E">
            <w:pPr>
              <w:pStyle w:val="TableTextLeft"/>
              <w:rPr>
                <w:rFonts w:eastAsia="Arial"/>
              </w:rPr>
            </w:pPr>
            <w:proofErr w:type="spellStart"/>
            <w:r w:rsidRPr="00B832E0">
              <w:rPr>
                <w:rFonts w:eastAsia="Arial"/>
              </w:rPr>
              <w:t>ComLand</w:t>
            </w:r>
            <w:proofErr w:type="spellEnd"/>
            <w:r w:rsidRPr="00B832E0">
              <w:rPr>
                <w:rFonts w:eastAsia="Arial"/>
              </w:rPr>
              <w:t xml:space="preserve"> Ltd</w:t>
            </w:r>
          </w:p>
        </w:tc>
        <w:tc>
          <w:tcPr>
            <w:tcW w:w="1857" w:type="dxa"/>
          </w:tcPr>
          <w:p w14:paraId="5E394377" w14:textId="77777777" w:rsidR="00DC1572" w:rsidRPr="00B832E0" w:rsidRDefault="00DC1572" w:rsidP="0074298E">
            <w:pPr>
              <w:pStyle w:val="TableTextLeft"/>
              <w:rPr>
                <w:rFonts w:eastAsia="Arial"/>
              </w:rPr>
            </w:pPr>
            <w:r w:rsidRPr="00B832E0">
              <w:rPr>
                <w:rFonts w:eastAsia="Arial"/>
              </w:rPr>
              <w:t>2004</w:t>
            </w:r>
          </w:p>
        </w:tc>
      </w:tr>
      <w:tr w:rsidR="00DC1572" w:rsidRPr="00B832E0" w14:paraId="14C31D12" w14:textId="77777777" w:rsidTr="00C94DB9">
        <w:trPr>
          <w:trHeight w:val="225"/>
        </w:trPr>
        <w:tc>
          <w:tcPr>
            <w:tcW w:w="5854" w:type="dxa"/>
          </w:tcPr>
          <w:p w14:paraId="45532767" w14:textId="77777777" w:rsidR="00DC1572" w:rsidRPr="00B832E0" w:rsidRDefault="00DC1572" w:rsidP="0074298E">
            <w:pPr>
              <w:pStyle w:val="TableTextLeft"/>
              <w:rPr>
                <w:rFonts w:eastAsia="Arial"/>
              </w:rPr>
            </w:pPr>
            <w:r w:rsidRPr="00B832E0">
              <w:rPr>
                <w:rFonts w:eastAsia="Arial"/>
              </w:rPr>
              <w:t>Commonwealth Accommodation and Catering Services</w:t>
            </w:r>
          </w:p>
        </w:tc>
        <w:tc>
          <w:tcPr>
            <w:tcW w:w="1857" w:type="dxa"/>
          </w:tcPr>
          <w:p w14:paraId="221B84D1" w14:textId="77777777" w:rsidR="00DC1572" w:rsidRPr="00B832E0" w:rsidRDefault="00DC1572" w:rsidP="0074298E">
            <w:pPr>
              <w:pStyle w:val="TableTextLeft"/>
              <w:rPr>
                <w:rFonts w:eastAsia="Arial"/>
              </w:rPr>
            </w:pPr>
            <w:r w:rsidRPr="00B832E0">
              <w:rPr>
                <w:rFonts w:eastAsia="Arial"/>
              </w:rPr>
              <w:t>1988</w:t>
            </w:r>
          </w:p>
        </w:tc>
      </w:tr>
      <w:tr w:rsidR="00DC1572" w:rsidRPr="00B832E0" w14:paraId="169EB322" w14:textId="77777777" w:rsidTr="00C94DB9">
        <w:trPr>
          <w:trHeight w:val="225"/>
        </w:trPr>
        <w:tc>
          <w:tcPr>
            <w:tcW w:w="5854" w:type="dxa"/>
          </w:tcPr>
          <w:p w14:paraId="1C3EF889" w14:textId="77777777" w:rsidR="00DC1572" w:rsidRPr="00B832E0" w:rsidRDefault="00DC1572" w:rsidP="0074298E">
            <w:pPr>
              <w:pStyle w:val="TableTextLeft"/>
              <w:rPr>
                <w:rFonts w:eastAsia="Arial"/>
              </w:rPr>
            </w:pPr>
            <w:r w:rsidRPr="00B832E0">
              <w:rPr>
                <w:rFonts w:eastAsia="Arial"/>
              </w:rPr>
              <w:t>Commonwealth Bank of Australia</w:t>
            </w:r>
          </w:p>
        </w:tc>
        <w:tc>
          <w:tcPr>
            <w:tcW w:w="1857" w:type="dxa"/>
          </w:tcPr>
          <w:p w14:paraId="36D14DB4" w14:textId="77777777" w:rsidR="00DC1572" w:rsidRPr="00B832E0" w:rsidRDefault="00DC1572" w:rsidP="0074298E">
            <w:pPr>
              <w:pStyle w:val="TableTextLeft"/>
              <w:rPr>
                <w:rFonts w:eastAsia="Arial"/>
              </w:rPr>
            </w:pPr>
            <w:r w:rsidRPr="00B832E0">
              <w:rPr>
                <w:rFonts w:eastAsia="Arial"/>
              </w:rPr>
              <w:t>1993 to 1996</w:t>
            </w:r>
          </w:p>
        </w:tc>
      </w:tr>
      <w:tr w:rsidR="00DC1572" w:rsidRPr="00B832E0" w14:paraId="1E995CD4" w14:textId="77777777" w:rsidTr="00C94DB9">
        <w:trPr>
          <w:trHeight w:val="222"/>
        </w:trPr>
        <w:tc>
          <w:tcPr>
            <w:tcW w:w="5854" w:type="dxa"/>
          </w:tcPr>
          <w:p w14:paraId="614AD06E" w14:textId="77777777" w:rsidR="00DC1572" w:rsidRPr="00B832E0" w:rsidRDefault="00DC1572" w:rsidP="0074298E">
            <w:pPr>
              <w:pStyle w:val="TableTextLeft"/>
              <w:rPr>
                <w:rFonts w:eastAsia="Arial"/>
              </w:rPr>
            </w:pPr>
            <w:r w:rsidRPr="00B832E0">
              <w:rPr>
                <w:rFonts w:eastAsia="Arial"/>
              </w:rPr>
              <w:t>Commonwealth Funds Management and Total Risk Management</w:t>
            </w:r>
          </w:p>
        </w:tc>
        <w:tc>
          <w:tcPr>
            <w:tcW w:w="1857" w:type="dxa"/>
          </w:tcPr>
          <w:p w14:paraId="0E2AE4D4" w14:textId="77777777" w:rsidR="00DC1572" w:rsidRPr="00B832E0" w:rsidRDefault="00DC1572" w:rsidP="0074298E">
            <w:pPr>
              <w:pStyle w:val="TableTextLeft"/>
              <w:rPr>
                <w:rFonts w:eastAsia="Arial"/>
              </w:rPr>
            </w:pPr>
            <w:r w:rsidRPr="00B832E0">
              <w:rPr>
                <w:rFonts w:eastAsia="Arial"/>
              </w:rPr>
              <w:t>1996 to 1997</w:t>
            </w:r>
          </w:p>
        </w:tc>
      </w:tr>
      <w:tr w:rsidR="00DC1572" w:rsidRPr="00B832E0" w14:paraId="75C47656" w14:textId="77777777" w:rsidTr="00C94DB9">
        <w:trPr>
          <w:trHeight w:val="225"/>
        </w:trPr>
        <w:tc>
          <w:tcPr>
            <w:tcW w:w="5854" w:type="dxa"/>
          </w:tcPr>
          <w:p w14:paraId="7C8AF340" w14:textId="77777777" w:rsidR="00DC1572" w:rsidRPr="00B832E0" w:rsidRDefault="00DC1572" w:rsidP="0074298E">
            <w:pPr>
              <w:pStyle w:val="TableTextLeft"/>
              <w:rPr>
                <w:rFonts w:eastAsia="Arial"/>
              </w:rPr>
            </w:pPr>
            <w:r w:rsidRPr="00B832E0">
              <w:rPr>
                <w:rFonts w:eastAsia="Arial"/>
              </w:rPr>
              <w:t>Employment National Ltd</w:t>
            </w:r>
          </w:p>
        </w:tc>
        <w:tc>
          <w:tcPr>
            <w:tcW w:w="1857" w:type="dxa"/>
          </w:tcPr>
          <w:p w14:paraId="79A2CDF7" w14:textId="77777777" w:rsidR="00DC1572" w:rsidRPr="00B832E0" w:rsidRDefault="00DC1572" w:rsidP="0074298E">
            <w:pPr>
              <w:pStyle w:val="TableTextLeft"/>
              <w:rPr>
                <w:rFonts w:eastAsia="Arial"/>
              </w:rPr>
            </w:pPr>
            <w:r w:rsidRPr="00B832E0">
              <w:rPr>
                <w:rFonts w:eastAsia="Arial"/>
              </w:rPr>
              <w:t>2003</w:t>
            </w:r>
          </w:p>
        </w:tc>
      </w:tr>
      <w:tr w:rsidR="00DC1572" w:rsidRPr="00B832E0" w14:paraId="1DA91C30" w14:textId="77777777" w:rsidTr="00C94DB9">
        <w:trPr>
          <w:trHeight w:val="225"/>
        </w:trPr>
        <w:tc>
          <w:tcPr>
            <w:tcW w:w="5854" w:type="dxa"/>
          </w:tcPr>
          <w:p w14:paraId="0CFCB9F5" w14:textId="77777777" w:rsidR="00DC1572" w:rsidRPr="00B832E0" w:rsidRDefault="00DC1572" w:rsidP="0074298E">
            <w:pPr>
              <w:pStyle w:val="TableTextLeft"/>
              <w:rPr>
                <w:rFonts w:eastAsia="Arial"/>
              </w:rPr>
            </w:pPr>
            <w:r w:rsidRPr="00B832E0">
              <w:rPr>
                <w:rFonts w:eastAsia="Arial"/>
              </w:rPr>
              <w:t>Essendon Airport Ltd</w:t>
            </w:r>
          </w:p>
        </w:tc>
        <w:tc>
          <w:tcPr>
            <w:tcW w:w="1857" w:type="dxa"/>
          </w:tcPr>
          <w:p w14:paraId="56769118" w14:textId="77777777" w:rsidR="00DC1572" w:rsidRPr="00B832E0" w:rsidRDefault="00DC1572" w:rsidP="0074298E">
            <w:pPr>
              <w:pStyle w:val="TableTextLeft"/>
              <w:rPr>
                <w:rFonts w:eastAsia="Arial"/>
              </w:rPr>
            </w:pPr>
            <w:r w:rsidRPr="00B832E0">
              <w:rPr>
                <w:rFonts w:eastAsia="Arial"/>
              </w:rPr>
              <w:t>2001</w:t>
            </w:r>
          </w:p>
        </w:tc>
      </w:tr>
      <w:tr w:rsidR="00DC1572" w:rsidRPr="00B832E0" w14:paraId="2D957845" w14:textId="77777777" w:rsidTr="00C94DB9">
        <w:trPr>
          <w:trHeight w:val="225"/>
        </w:trPr>
        <w:tc>
          <w:tcPr>
            <w:tcW w:w="5854" w:type="dxa"/>
          </w:tcPr>
          <w:p w14:paraId="7BAB2870" w14:textId="20FCC869" w:rsidR="00DC1572" w:rsidRPr="00B832E0" w:rsidRDefault="00DC1572" w:rsidP="0074298E">
            <w:pPr>
              <w:pStyle w:val="TableTextLeft"/>
              <w:rPr>
                <w:rFonts w:eastAsia="Arial"/>
              </w:rPr>
            </w:pPr>
            <w:r w:rsidRPr="00B832E0">
              <w:rPr>
                <w:rFonts w:eastAsia="Arial"/>
              </w:rPr>
              <w:t>Federal Airports Corporation</w:t>
            </w:r>
            <w:r w:rsidR="00D23095">
              <w:rPr>
                <w:rFonts w:eastAsia="Arial"/>
              </w:rPr>
              <w:t>’</w:t>
            </w:r>
            <w:r w:rsidRPr="00B832E0">
              <w:rPr>
                <w:rFonts w:eastAsia="Arial"/>
              </w:rPr>
              <w:t>s Airports</w:t>
            </w:r>
          </w:p>
        </w:tc>
        <w:tc>
          <w:tcPr>
            <w:tcW w:w="1857" w:type="dxa"/>
          </w:tcPr>
          <w:p w14:paraId="703B4A12" w14:textId="77777777" w:rsidR="00DC1572" w:rsidRPr="00B832E0" w:rsidRDefault="00DC1572" w:rsidP="0074298E">
            <w:pPr>
              <w:pStyle w:val="TableTextLeft"/>
              <w:rPr>
                <w:rFonts w:eastAsia="Arial"/>
              </w:rPr>
            </w:pPr>
            <w:r w:rsidRPr="00B832E0">
              <w:rPr>
                <w:rFonts w:eastAsia="Arial"/>
              </w:rPr>
              <w:t>1995 to 1997</w:t>
            </w:r>
          </w:p>
        </w:tc>
      </w:tr>
      <w:tr w:rsidR="00DC1572" w:rsidRPr="00B832E0" w14:paraId="1FE6F027" w14:textId="77777777" w:rsidTr="00C94DB9">
        <w:trPr>
          <w:trHeight w:val="222"/>
        </w:trPr>
        <w:tc>
          <w:tcPr>
            <w:tcW w:w="5854" w:type="dxa"/>
          </w:tcPr>
          <w:p w14:paraId="5A33BFEA" w14:textId="77777777" w:rsidR="00DC1572" w:rsidRPr="00B832E0" w:rsidRDefault="00DC1572" w:rsidP="0074298E">
            <w:pPr>
              <w:pStyle w:val="TableTextLeft"/>
              <w:rPr>
                <w:rFonts w:eastAsia="Arial"/>
              </w:rPr>
            </w:pPr>
            <w:r w:rsidRPr="00B832E0">
              <w:rPr>
                <w:rFonts w:eastAsia="Arial"/>
              </w:rPr>
              <w:t>Health Insurance Commission</w:t>
            </w:r>
          </w:p>
        </w:tc>
        <w:tc>
          <w:tcPr>
            <w:tcW w:w="1857" w:type="dxa"/>
          </w:tcPr>
          <w:p w14:paraId="0E564D7A" w14:textId="77777777" w:rsidR="00DC1572" w:rsidRPr="00B832E0" w:rsidRDefault="00DC1572" w:rsidP="0074298E">
            <w:pPr>
              <w:pStyle w:val="TableTextLeft"/>
              <w:rPr>
                <w:rFonts w:eastAsia="Arial"/>
              </w:rPr>
            </w:pPr>
            <w:r w:rsidRPr="00B832E0">
              <w:rPr>
                <w:rFonts w:eastAsia="Arial"/>
              </w:rPr>
              <w:t>2000</w:t>
            </w:r>
          </w:p>
        </w:tc>
      </w:tr>
      <w:tr w:rsidR="00DC1572" w:rsidRPr="00B832E0" w14:paraId="6C97F716" w14:textId="77777777" w:rsidTr="00C94DB9">
        <w:trPr>
          <w:trHeight w:val="225"/>
        </w:trPr>
        <w:tc>
          <w:tcPr>
            <w:tcW w:w="5854" w:type="dxa"/>
          </w:tcPr>
          <w:p w14:paraId="7997CFCC" w14:textId="77777777" w:rsidR="00DC1572" w:rsidRPr="00B832E0" w:rsidRDefault="00DC1572" w:rsidP="0074298E">
            <w:pPr>
              <w:pStyle w:val="TableTextLeft"/>
              <w:rPr>
                <w:rFonts w:eastAsia="Arial"/>
              </w:rPr>
            </w:pPr>
            <w:r w:rsidRPr="00B832E0">
              <w:rPr>
                <w:rFonts w:eastAsia="Arial"/>
              </w:rPr>
              <w:t>Housing Loans Insurance Corporation Ltd</w:t>
            </w:r>
          </w:p>
        </w:tc>
        <w:tc>
          <w:tcPr>
            <w:tcW w:w="1857" w:type="dxa"/>
          </w:tcPr>
          <w:p w14:paraId="500BB7D3" w14:textId="77777777" w:rsidR="00DC1572" w:rsidRPr="00B832E0" w:rsidRDefault="00DC1572" w:rsidP="0074298E">
            <w:pPr>
              <w:pStyle w:val="TableTextLeft"/>
              <w:rPr>
                <w:rFonts w:eastAsia="Arial"/>
              </w:rPr>
            </w:pPr>
            <w:r w:rsidRPr="00B832E0">
              <w:rPr>
                <w:rFonts w:eastAsia="Arial"/>
              </w:rPr>
              <w:t>1996</w:t>
            </w:r>
          </w:p>
        </w:tc>
      </w:tr>
      <w:tr w:rsidR="00DC1572" w:rsidRPr="00B832E0" w14:paraId="628E3689" w14:textId="77777777" w:rsidTr="00C94DB9">
        <w:trPr>
          <w:trHeight w:val="225"/>
        </w:trPr>
        <w:tc>
          <w:tcPr>
            <w:tcW w:w="5854" w:type="dxa"/>
          </w:tcPr>
          <w:p w14:paraId="1CEEF43D" w14:textId="77777777" w:rsidR="00DC1572" w:rsidRPr="00B832E0" w:rsidRDefault="00DC1572" w:rsidP="0074298E">
            <w:pPr>
              <w:pStyle w:val="TableTextLeft"/>
              <w:rPr>
                <w:rFonts w:eastAsia="Arial"/>
              </w:rPr>
            </w:pPr>
            <w:r w:rsidRPr="00B832E0">
              <w:rPr>
                <w:rFonts w:eastAsia="Arial"/>
              </w:rPr>
              <w:t>Hoxton Park Airport Limited</w:t>
            </w:r>
          </w:p>
        </w:tc>
        <w:tc>
          <w:tcPr>
            <w:tcW w:w="1857" w:type="dxa"/>
          </w:tcPr>
          <w:p w14:paraId="161C9BB5" w14:textId="77777777" w:rsidR="00DC1572" w:rsidRPr="00B832E0" w:rsidRDefault="00DC1572" w:rsidP="0074298E">
            <w:pPr>
              <w:pStyle w:val="TableTextLeft"/>
              <w:rPr>
                <w:rFonts w:eastAsia="Arial"/>
              </w:rPr>
            </w:pPr>
            <w:r w:rsidRPr="00B832E0">
              <w:rPr>
                <w:rFonts w:eastAsia="Arial"/>
              </w:rPr>
              <w:t>2002</w:t>
            </w:r>
          </w:p>
        </w:tc>
      </w:tr>
      <w:tr w:rsidR="00DC1572" w:rsidRPr="00B832E0" w14:paraId="461BE5B4" w14:textId="77777777" w:rsidTr="00C94DB9">
        <w:trPr>
          <w:trHeight w:val="223"/>
        </w:trPr>
        <w:tc>
          <w:tcPr>
            <w:tcW w:w="5854" w:type="dxa"/>
          </w:tcPr>
          <w:p w14:paraId="04CF0010" w14:textId="77777777" w:rsidR="00DC1572" w:rsidRPr="00B832E0" w:rsidRDefault="00DC1572" w:rsidP="0074298E">
            <w:pPr>
              <w:pStyle w:val="TableTextLeft"/>
              <w:rPr>
                <w:rFonts w:eastAsia="Arial"/>
              </w:rPr>
            </w:pPr>
            <w:r w:rsidRPr="00B832E0">
              <w:rPr>
                <w:rFonts w:eastAsia="Arial"/>
              </w:rPr>
              <w:t>Medibank Private Limited</w:t>
            </w:r>
          </w:p>
        </w:tc>
        <w:tc>
          <w:tcPr>
            <w:tcW w:w="1857" w:type="dxa"/>
          </w:tcPr>
          <w:p w14:paraId="14421492" w14:textId="77777777" w:rsidR="00DC1572" w:rsidRPr="00B832E0" w:rsidRDefault="00DC1572" w:rsidP="0074298E">
            <w:pPr>
              <w:pStyle w:val="TableTextLeft"/>
              <w:rPr>
                <w:rFonts w:eastAsia="Arial"/>
              </w:rPr>
            </w:pPr>
            <w:r w:rsidRPr="00B832E0">
              <w:rPr>
                <w:rFonts w:eastAsia="Arial"/>
              </w:rPr>
              <w:t>2014</w:t>
            </w:r>
          </w:p>
        </w:tc>
      </w:tr>
      <w:tr w:rsidR="00DC1572" w:rsidRPr="00B832E0" w14:paraId="5F22B9DD" w14:textId="77777777" w:rsidTr="00C94DB9">
        <w:trPr>
          <w:trHeight w:val="225"/>
        </w:trPr>
        <w:tc>
          <w:tcPr>
            <w:tcW w:w="5854" w:type="dxa"/>
          </w:tcPr>
          <w:p w14:paraId="3747FADD" w14:textId="77777777" w:rsidR="00DC1572" w:rsidRPr="00B832E0" w:rsidRDefault="00DC1572" w:rsidP="0074298E">
            <w:pPr>
              <w:pStyle w:val="TableTextLeft"/>
              <w:rPr>
                <w:rFonts w:eastAsia="Arial"/>
              </w:rPr>
            </w:pPr>
            <w:r w:rsidRPr="00B832E0">
              <w:rPr>
                <w:rFonts w:eastAsia="Arial"/>
              </w:rPr>
              <w:t>National Transmission Network</w:t>
            </w:r>
          </w:p>
        </w:tc>
        <w:tc>
          <w:tcPr>
            <w:tcW w:w="1857" w:type="dxa"/>
          </w:tcPr>
          <w:p w14:paraId="5F6FCD45" w14:textId="77777777" w:rsidR="00DC1572" w:rsidRPr="00B832E0" w:rsidRDefault="00DC1572" w:rsidP="0074298E">
            <w:pPr>
              <w:pStyle w:val="TableTextLeft"/>
              <w:rPr>
                <w:rFonts w:eastAsia="Arial"/>
              </w:rPr>
            </w:pPr>
            <w:r w:rsidRPr="00B832E0">
              <w:rPr>
                <w:rFonts w:eastAsia="Arial"/>
              </w:rPr>
              <w:t>1999</w:t>
            </w:r>
          </w:p>
        </w:tc>
      </w:tr>
      <w:tr w:rsidR="00DC1572" w:rsidRPr="00B832E0" w14:paraId="6F4E8851" w14:textId="77777777" w:rsidTr="00C94DB9">
        <w:trPr>
          <w:trHeight w:val="225"/>
        </w:trPr>
        <w:tc>
          <w:tcPr>
            <w:tcW w:w="5854" w:type="dxa"/>
          </w:tcPr>
          <w:p w14:paraId="52413F68" w14:textId="77777777" w:rsidR="00DC1572" w:rsidRPr="00B832E0" w:rsidRDefault="00DC1572" w:rsidP="0074298E">
            <w:pPr>
              <w:pStyle w:val="TableTextLeft"/>
              <w:rPr>
                <w:rFonts w:eastAsia="Arial"/>
              </w:rPr>
            </w:pPr>
            <w:r w:rsidRPr="00B832E0">
              <w:rPr>
                <w:rFonts w:eastAsia="Arial"/>
              </w:rPr>
              <w:t>Sydney Airports Corporation Ltd</w:t>
            </w:r>
          </w:p>
        </w:tc>
        <w:tc>
          <w:tcPr>
            <w:tcW w:w="1857" w:type="dxa"/>
          </w:tcPr>
          <w:p w14:paraId="2C2A56BE" w14:textId="77777777" w:rsidR="00DC1572" w:rsidRPr="00B832E0" w:rsidRDefault="00DC1572" w:rsidP="0074298E">
            <w:pPr>
              <w:pStyle w:val="TableTextLeft"/>
              <w:rPr>
                <w:rFonts w:eastAsia="Arial"/>
              </w:rPr>
            </w:pPr>
            <w:r w:rsidRPr="00B832E0">
              <w:rPr>
                <w:rFonts w:eastAsia="Arial"/>
              </w:rPr>
              <w:t>2001</w:t>
            </w:r>
          </w:p>
        </w:tc>
      </w:tr>
      <w:tr w:rsidR="00DC1572" w:rsidRPr="00B832E0" w14:paraId="2E0E00CD" w14:textId="77777777" w:rsidTr="00C94DB9">
        <w:trPr>
          <w:trHeight w:val="225"/>
        </w:trPr>
        <w:tc>
          <w:tcPr>
            <w:tcW w:w="5854" w:type="dxa"/>
          </w:tcPr>
          <w:p w14:paraId="32D08EB4" w14:textId="77777777" w:rsidR="00DC1572" w:rsidRPr="00B832E0" w:rsidRDefault="00DC1572" w:rsidP="0074298E">
            <w:pPr>
              <w:pStyle w:val="TableTextLeft"/>
              <w:rPr>
                <w:rFonts w:eastAsia="Arial"/>
              </w:rPr>
            </w:pPr>
            <w:r w:rsidRPr="00B832E0">
              <w:rPr>
                <w:rFonts w:eastAsia="Arial"/>
              </w:rPr>
              <w:t>Telstra</w:t>
            </w:r>
          </w:p>
        </w:tc>
        <w:tc>
          <w:tcPr>
            <w:tcW w:w="1857" w:type="dxa"/>
          </w:tcPr>
          <w:p w14:paraId="05FF4BDD" w14:textId="77777777" w:rsidR="00DC1572" w:rsidRPr="00B832E0" w:rsidRDefault="00DC1572" w:rsidP="0074298E">
            <w:pPr>
              <w:pStyle w:val="TableTextLeft"/>
              <w:rPr>
                <w:rFonts w:eastAsia="Arial"/>
              </w:rPr>
            </w:pPr>
            <w:r w:rsidRPr="00B832E0">
              <w:rPr>
                <w:rFonts w:eastAsia="Arial"/>
              </w:rPr>
              <w:t>1996, 1999 and 2006</w:t>
            </w:r>
          </w:p>
        </w:tc>
      </w:tr>
      <w:tr w:rsidR="00DC1572" w:rsidRPr="00B832E0" w14:paraId="6FC62C38" w14:textId="77777777" w:rsidTr="00C94DB9">
        <w:trPr>
          <w:trHeight w:val="222"/>
        </w:trPr>
        <w:tc>
          <w:tcPr>
            <w:tcW w:w="5854" w:type="dxa"/>
          </w:tcPr>
          <w:p w14:paraId="6A41960E" w14:textId="77777777" w:rsidR="00DC1572" w:rsidRPr="00B832E0" w:rsidRDefault="00DC1572" w:rsidP="0074298E">
            <w:pPr>
              <w:pStyle w:val="TableTextLeft"/>
              <w:rPr>
                <w:rFonts w:eastAsia="Arial"/>
              </w:rPr>
            </w:pPr>
            <w:r w:rsidRPr="00B832E0">
              <w:rPr>
                <w:rFonts w:eastAsia="Arial"/>
              </w:rPr>
              <w:t>Wool International</w:t>
            </w:r>
          </w:p>
        </w:tc>
        <w:tc>
          <w:tcPr>
            <w:tcW w:w="1857" w:type="dxa"/>
          </w:tcPr>
          <w:p w14:paraId="71269244" w14:textId="77777777" w:rsidR="00DC1572" w:rsidRPr="00B832E0" w:rsidRDefault="00DC1572" w:rsidP="0074298E">
            <w:pPr>
              <w:pStyle w:val="TableTextLeft"/>
              <w:rPr>
                <w:rFonts w:eastAsia="Arial"/>
              </w:rPr>
            </w:pPr>
            <w:r w:rsidRPr="00B832E0">
              <w:rPr>
                <w:rFonts w:eastAsia="Arial"/>
              </w:rPr>
              <w:t>1999</w:t>
            </w:r>
          </w:p>
        </w:tc>
      </w:tr>
    </w:tbl>
    <w:p w14:paraId="3250008F" w14:textId="77777777" w:rsidR="00CC70CE" w:rsidRDefault="00CC70CE" w:rsidP="00CC70CE">
      <w:pPr>
        <w:pStyle w:val="SingleParagraph"/>
        <w:rPr>
          <w:rFonts w:eastAsia="Calibri"/>
          <w:lang w:eastAsia="en-US"/>
        </w:rPr>
      </w:pPr>
    </w:p>
    <w:p w14:paraId="3C644F86" w14:textId="7C21A8A7" w:rsidR="009C29D2" w:rsidRPr="00215231" w:rsidRDefault="009C29D2" w:rsidP="008C06A7">
      <w:pPr>
        <w:pStyle w:val="Heading4"/>
        <w:rPr>
          <w:rFonts w:eastAsia="Calibri"/>
          <w:lang w:eastAsia="en-US"/>
        </w:rPr>
      </w:pPr>
      <w:proofErr w:type="spellStart"/>
      <w:r w:rsidRPr="00215231">
        <w:rPr>
          <w:rFonts w:eastAsia="Calibri"/>
          <w:lang w:eastAsia="en-US"/>
        </w:rPr>
        <w:t>Kenbi</w:t>
      </w:r>
      <w:proofErr w:type="spellEnd"/>
      <w:r w:rsidRPr="00215231">
        <w:rPr>
          <w:rFonts w:eastAsia="Calibri"/>
          <w:lang w:eastAsia="en-US"/>
        </w:rPr>
        <w:t xml:space="preserve"> Land Claim No. 37, Cox Peninsula, Northern Territory</w:t>
      </w:r>
    </w:p>
    <w:p w14:paraId="6F4BA929" w14:textId="791217EF" w:rsidR="00976E48" w:rsidRPr="00215231" w:rsidRDefault="00976E48" w:rsidP="0074298E">
      <w:pPr>
        <w:rPr>
          <w:rFonts w:eastAsia="Book Antiqua"/>
        </w:rPr>
      </w:pPr>
      <w:r w:rsidRPr="00215231">
        <w:rPr>
          <w:rFonts w:eastAsia="Book Antiqua"/>
        </w:rPr>
        <w:t xml:space="preserve">On 5 December 2024, the Department of Finance, on behalf of the Commonwealth, finalised the transfer of the final Commonwealth parcels of land under </w:t>
      </w:r>
      <w:proofErr w:type="spellStart"/>
      <w:r w:rsidRPr="00215231">
        <w:rPr>
          <w:rFonts w:eastAsia="Book Antiqua"/>
        </w:rPr>
        <w:t>Kenbi</w:t>
      </w:r>
      <w:proofErr w:type="spellEnd"/>
      <w:r w:rsidRPr="00215231">
        <w:rPr>
          <w:rFonts w:eastAsia="Book Antiqua"/>
        </w:rPr>
        <w:t xml:space="preserve"> Land Claim No.</w:t>
      </w:r>
      <w:r w:rsidR="00FB4A7B">
        <w:rPr>
          <w:rFonts w:eastAsia="Book Antiqua"/>
        </w:rPr>
        <w:t> </w:t>
      </w:r>
      <w:r w:rsidRPr="00215231">
        <w:rPr>
          <w:rFonts w:eastAsia="Book Antiqua"/>
        </w:rPr>
        <w:t xml:space="preserve">37 at </w:t>
      </w:r>
      <w:r w:rsidRPr="00215231">
        <w:rPr>
          <w:rFonts w:eastAsia="Book Antiqua"/>
        </w:rPr>
        <w:lastRenderedPageBreak/>
        <w:t xml:space="preserve">Cox Peninsula, Northern Territory to the traditional owners. The Transfer of Deed Arrangement was agreed to and signed by the Commonwealth, the Northern Territory Government, the Northern Land Council and the </w:t>
      </w:r>
      <w:proofErr w:type="spellStart"/>
      <w:r w:rsidRPr="00215231">
        <w:rPr>
          <w:rFonts w:eastAsia="Book Antiqua"/>
        </w:rPr>
        <w:t>Kenbi</w:t>
      </w:r>
      <w:proofErr w:type="spellEnd"/>
      <w:r w:rsidRPr="00215231">
        <w:rPr>
          <w:rFonts w:eastAsia="Book Antiqua"/>
        </w:rPr>
        <w:t xml:space="preserve"> Land Trust, and included provisions of two uncapped indemnities and three warranties.</w:t>
      </w:r>
    </w:p>
    <w:p w14:paraId="34DE145D" w14:textId="7021863C" w:rsidR="001B4DD2" w:rsidRPr="00E1062A" w:rsidRDefault="00976E48" w:rsidP="0074298E">
      <w:pPr>
        <w:rPr>
          <w:rFonts w:eastAsia="Book Antiqua"/>
        </w:rPr>
      </w:pPr>
      <w:r w:rsidRPr="00215231">
        <w:rPr>
          <w:rFonts w:eastAsia="Book Antiqua"/>
        </w:rPr>
        <w:t xml:space="preserve">Under section 60 of the </w:t>
      </w:r>
      <w:r w:rsidRPr="00E1062A">
        <w:rPr>
          <w:rStyle w:val="Emphasis"/>
          <w:rFonts w:eastAsia="Book Antiqua"/>
        </w:rPr>
        <w:t>Public Governance, Performance and Accountability Act 2013</w:t>
      </w:r>
      <w:r w:rsidRPr="00215231">
        <w:rPr>
          <w:rFonts w:eastAsia="Book Antiqua"/>
          <w:i/>
        </w:rPr>
        <w:t>,</w:t>
      </w:r>
      <w:r w:rsidRPr="00215231">
        <w:rPr>
          <w:rFonts w:eastAsia="Book Antiqua"/>
        </w:rPr>
        <w:t xml:space="preserve"> the uncapped indemnities and warranties were granted by the Minister for Finance for the contingent liabilities that may arise from the Commonwealth</w:t>
      </w:r>
      <w:r w:rsidR="00D23095">
        <w:rPr>
          <w:rFonts w:eastAsia="Book Antiqua"/>
        </w:rPr>
        <w:t>’</w:t>
      </w:r>
      <w:r w:rsidRPr="00215231">
        <w:rPr>
          <w:rFonts w:eastAsia="Book Antiqua"/>
        </w:rPr>
        <w:t>s historic use and ownership of the site, including potential future health claims, resulting from contamination of the site.</w:t>
      </w:r>
    </w:p>
    <w:p w14:paraId="3C64E1FF" w14:textId="77777777" w:rsidR="006A3D2A" w:rsidRDefault="006A3D2A">
      <w:pPr>
        <w:spacing w:before="0" w:after="160" w:line="259" w:lineRule="auto"/>
        <w:rPr>
          <w:rFonts w:ascii="Arial Bold" w:hAnsi="Arial Bold"/>
          <w:b/>
          <w:sz w:val="26"/>
        </w:rPr>
      </w:pPr>
      <w:r>
        <w:br w:type="page"/>
      </w:r>
    </w:p>
    <w:p w14:paraId="28AB9CD6" w14:textId="1EE11810" w:rsidR="0023618C" w:rsidRPr="00B832E0" w:rsidRDefault="0023618C" w:rsidP="0074298E">
      <w:pPr>
        <w:pStyle w:val="Heading2"/>
      </w:pPr>
      <w:bookmarkStart w:id="107" w:name="_Toc193536195"/>
      <w:r w:rsidRPr="00B832E0">
        <w:lastRenderedPageBreak/>
        <w:t>Foreign Affairs and Trade</w:t>
      </w:r>
      <w:bookmarkEnd w:id="90"/>
      <w:bookmarkEnd w:id="107"/>
    </w:p>
    <w:p w14:paraId="5AAC8B11" w14:textId="468B2D01" w:rsidR="0023618C" w:rsidRPr="00B832E0" w:rsidRDefault="0023618C" w:rsidP="00BD4364">
      <w:pPr>
        <w:pStyle w:val="Heading3"/>
        <w:shd w:val="clear" w:color="auto" w:fill="FFFFFF" w:themeFill="background1"/>
      </w:pPr>
      <w:bookmarkStart w:id="108" w:name="_Toc71117807"/>
      <w:bookmarkStart w:id="109" w:name="_Toc99141869"/>
      <w:bookmarkStart w:id="110" w:name="_Toc184039483"/>
      <w:bookmarkStart w:id="111" w:name="_Toc193536196"/>
      <w:r w:rsidRPr="00B832E0">
        <w:t>Fiscal Risk</w:t>
      </w:r>
      <w:bookmarkEnd w:id="108"/>
      <w:bookmarkEnd w:id="109"/>
      <w:bookmarkEnd w:id="110"/>
      <w:bookmarkEnd w:id="111"/>
    </w:p>
    <w:p w14:paraId="285FF666" w14:textId="536E1787" w:rsidR="0023618C" w:rsidRDefault="0023618C" w:rsidP="00BD4364">
      <w:pPr>
        <w:pStyle w:val="Heading4"/>
        <w:shd w:val="clear" w:color="auto" w:fill="FFFFFF" w:themeFill="background1"/>
        <w:rPr>
          <w:rFonts w:eastAsia="Arial"/>
          <w:lang w:val="en-US"/>
        </w:rPr>
      </w:pPr>
      <w:bookmarkStart w:id="112" w:name="_Toc71117808"/>
      <w:bookmarkStart w:id="113" w:name="_Toc71117811"/>
      <w:bookmarkStart w:id="114" w:name="_Toc99141870"/>
      <w:r w:rsidRPr="00B35882">
        <w:rPr>
          <w:rFonts w:eastAsia="Arial"/>
          <w:lang w:val="en-US"/>
        </w:rPr>
        <w:t xml:space="preserve">Export Finance Australia </w:t>
      </w:r>
      <w:r>
        <w:rPr>
          <w:rFonts w:eastAsia="Calibri"/>
        </w:rPr>
        <w:t>–</w:t>
      </w:r>
      <w:r w:rsidRPr="00B35882">
        <w:rPr>
          <w:rFonts w:eastAsia="Arial"/>
          <w:lang w:val="en-US"/>
        </w:rPr>
        <w:t xml:space="preserve"> National Interest Account</w:t>
      </w:r>
      <w:bookmarkEnd w:id="112"/>
    </w:p>
    <w:p w14:paraId="66ABCEAF" w14:textId="77A88F9F" w:rsidR="0086088F" w:rsidRPr="0086088F" w:rsidRDefault="0086088F" w:rsidP="001D588A">
      <w:pPr>
        <w:rPr>
          <w:rFonts w:eastAsia="Calibri"/>
        </w:rPr>
      </w:pPr>
      <w:r w:rsidRPr="0086088F">
        <w:rPr>
          <w:rFonts w:eastAsia="Calibri"/>
        </w:rPr>
        <w:t>There are five financing facilities under Export Finance Australia</w:t>
      </w:r>
      <w:r w:rsidR="00D23095">
        <w:rPr>
          <w:rFonts w:eastAsia="Calibri"/>
        </w:rPr>
        <w:t>’</w:t>
      </w:r>
      <w:r w:rsidRPr="0086088F">
        <w:rPr>
          <w:rFonts w:eastAsia="Calibri"/>
        </w:rPr>
        <w:t xml:space="preserve">s National Interest Account. </w:t>
      </w:r>
    </w:p>
    <w:p w14:paraId="118AF79A" w14:textId="5A809920" w:rsidR="007C6379" w:rsidRPr="0086088F" w:rsidRDefault="007C6379" w:rsidP="007C6379">
      <w:pPr>
        <w:rPr>
          <w:rFonts w:eastAsia="Calibri"/>
        </w:rPr>
      </w:pPr>
      <w:bookmarkStart w:id="115" w:name="_Toc184039484"/>
      <w:r w:rsidRPr="0086088F">
        <w:rPr>
          <w:rFonts w:eastAsia="Calibri"/>
        </w:rPr>
        <w:t>The Australian Infrastructure Financing Facility for the Pacific (AIFFP) started operation on 1 July 2019. The AIFFP can provide up to $4.0 billion in facilities, including up to $1.0 billion in grants and the balance in loans and guarantees, to support high priority infrastructure development in Pacific countries and Timor</w:t>
      </w:r>
      <w:r w:rsidR="00D23095">
        <w:rPr>
          <w:rFonts w:eastAsia="Calibri"/>
        </w:rPr>
        <w:noBreakHyphen/>
      </w:r>
      <w:r w:rsidRPr="0086088F">
        <w:rPr>
          <w:rFonts w:eastAsia="Calibri"/>
        </w:rPr>
        <w:t>Leste. To date, the Australian</w:t>
      </w:r>
      <w:r w:rsidRPr="0086088F">
        <w:rPr>
          <w:rFonts w:eastAsia="Book Antiqua"/>
        </w:rPr>
        <w:t> </w:t>
      </w:r>
      <w:r w:rsidRPr="0086088F">
        <w:rPr>
          <w:rFonts w:eastAsia="Calibri"/>
        </w:rPr>
        <w:t>Government has agreed to provide loans, guarantees and grants to support the development of 41 infrastructure projects in 11</w:t>
      </w:r>
      <w:r>
        <w:rPr>
          <w:rFonts w:eastAsia="Calibri"/>
        </w:rPr>
        <w:t xml:space="preserve"> </w:t>
      </w:r>
      <w:r w:rsidRPr="0086088F">
        <w:rPr>
          <w:rFonts w:eastAsia="Calibri"/>
        </w:rPr>
        <w:t xml:space="preserve">countries. </w:t>
      </w:r>
      <w:r w:rsidRPr="002016DE">
        <w:rPr>
          <w:rFonts w:eastAsia="Calibri"/>
        </w:rPr>
        <w:t xml:space="preserve">As </w:t>
      </w:r>
      <w:proofErr w:type="gramStart"/>
      <w:r w:rsidRPr="002016DE">
        <w:rPr>
          <w:rFonts w:eastAsia="Calibri"/>
        </w:rPr>
        <w:t>at</w:t>
      </w:r>
      <w:proofErr w:type="gramEnd"/>
      <w:r w:rsidRPr="002016DE">
        <w:rPr>
          <w:rFonts w:eastAsia="Calibri"/>
        </w:rPr>
        <w:t xml:space="preserve"> 31</w:t>
      </w:r>
      <w:r w:rsidR="00387667">
        <w:rPr>
          <w:rFonts w:eastAsia="Calibri"/>
        </w:rPr>
        <w:t> </w:t>
      </w:r>
      <w:r>
        <w:rPr>
          <w:rFonts w:eastAsia="Calibri"/>
        </w:rPr>
        <w:t>January</w:t>
      </w:r>
      <w:r w:rsidR="00387667">
        <w:rPr>
          <w:rFonts w:eastAsia="Calibri"/>
        </w:rPr>
        <w:t> </w:t>
      </w:r>
      <w:r w:rsidRPr="002016DE">
        <w:rPr>
          <w:rFonts w:eastAsia="Calibri"/>
        </w:rPr>
        <w:t>202</w:t>
      </w:r>
      <w:r>
        <w:rPr>
          <w:rFonts w:eastAsia="Calibri"/>
        </w:rPr>
        <w:t>5</w:t>
      </w:r>
      <w:r w:rsidRPr="002016DE">
        <w:rPr>
          <w:rFonts w:eastAsia="Calibri"/>
        </w:rPr>
        <w:t>, the maximum loan exposure is $1.1 billion, of which $2</w:t>
      </w:r>
      <w:r>
        <w:rPr>
          <w:rFonts w:eastAsia="Calibri"/>
        </w:rPr>
        <w:t>24.7</w:t>
      </w:r>
      <w:r w:rsidRPr="002016DE">
        <w:rPr>
          <w:rFonts w:eastAsia="Calibri"/>
        </w:rPr>
        <w:t> million was drawn down.</w:t>
      </w:r>
    </w:p>
    <w:p w14:paraId="1B497875" w14:textId="1104F405" w:rsidR="007C6379" w:rsidRPr="0086088F" w:rsidRDefault="007C6379" w:rsidP="007C6379">
      <w:pPr>
        <w:rPr>
          <w:rFonts w:eastAsia="Calibri"/>
        </w:rPr>
      </w:pPr>
      <w:r w:rsidRPr="0086088F">
        <w:rPr>
          <w:rFonts w:eastAsia="Calibri"/>
        </w:rPr>
        <w:t>The Critical Minerals Facility (CMF) was established on 28</w:t>
      </w:r>
      <w:r w:rsidR="00387667">
        <w:rPr>
          <w:rFonts w:eastAsia="Calibri"/>
        </w:rPr>
        <w:t> </w:t>
      </w:r>
      <w:r w:rsidRPr="0086088F">
        <w:rPr>
          <w:rFonts w:eastAsia="Calibri"/>
        </w:rPr>
        <w:t>September</w:t>
      </w:r>
      <w:r w:rsidR="00387667">
        <w:rPr>
          <w:rFonts w:eastAsia="Calibri"/>
        </w:rPr>
        <w:t> </w:t>
      </w:r>
      <w:r w:rsidRPr="0086088F">
        <w:rPr>
          <w:rFonts w:eastAsia="Calibri"/>
        </w:rPr>
        <w:t xml:space="preserve">2021 to provide finance to critical minerals projects in Australia where private sector finance is unavailable or insufficient. In the 2023–24 MYEFO, the Australian Government expanded the CMF by $2.0 billion for a maximum aggregate exposure of $4.0 billion. To date, the Government has agreed to provide a total of approximately $2.63 billion to support five projects under the facility. </w:t>
      </w:r>
      <w:r w:rsidRPr="002016DE">
        <w:rPr>
          <w:rFonts w:eastAsia="Calibri"/>
        </w:rPr>
        <w:t xml:space="preserve">As </w:t>
      </w:r>
      <w:proofErr w:type="gramStart"/>
      <w:r w:rsidRPr="002016DE">
        <w:rPr>
          <w:rFonts w:eastAsia="Calibri"/>
        </w:rPr>
        <w:t>at</w:t>
      </w:r>
      <w:proofErr w:type="gramEnd"/>
      <w:r w:rsidRPr="002016DE">
        <w:rPr>
          <w:rFonts w:eastAsia="Calibri"/>
        </w:rPr>
        <w:t xml:space="preserve"> 31</w:t>
      </w:r>
      <w:r w:rsidR="00387667">
        <w:rPr>
          <w:rFonts w:eastAsia="Calibri"/>
        </w:rPr>
        <w:t> </w:t>
      </w:r>
      <w:r>
        <w:rPr>
          <w:rFonts w:eastAsia="Calibri"/>
        </w:rPr>
        <w:t>January</w:t>
      </w:r>
      <w:r w:rsidR="00387667">
        <w:rPr>
          <w:rFonts w:eastAsia="Calibri"/>
        </w:rPr>
        <w:t> </w:t>
      </w:r>
      <w:r w:rsidRPr="002016DE">
        <w:rPr>
          <w:rFonts w:eastAsia="Calibri"/>
        </w:rPr>
        <w:t>202</w:t>
      </w:r>
      <w:r>
        <w:rPr>
          <w:rFonts w:eastAsia="Calibri"/>
        </w:rPr>
        <w:t>5</w:t>
      </w:r>
      <w:r w:rsidRPr="002016DE">
        <w:rPr>
          <w:rFonts w:eastAsia="Calibri"/>
        </w:rPr>
        <w:t>, $</w:t>
      </w:r>
      <w:r>
        <w:rPr>
          <w:rFonts w:eastAsia="Calibri"/>
        </w:rPr>
        <w:t>248.8</w:t>
      </w:r>
      <w:r w:rsidRPr="002016DE">
        <w:rPr>
          <w:rFonts w:eastAsia="Calibri"/>
        </w:rPr>
        <w:t xml:space="preserve"> million was drawn down from the CMF. </w:t>
      </w:r>
    </w:p>
    <w:p w14:paraId="6C9EEC1B" w14:textId="34CD1C67" w:rsidR="007C6379" w:rsidRPr="0086088F" w:rsidRDefault="007C6379" w:rsidP="007C6379">
      <w:pPr>
        <w:rPr>
          <w:rFonts w:eastAsia="Calibri"/>
        </w:rPr>
      </w:pPr>
      <w:r w:rsidRPr="0086088F">
        <w:rPr>
          <w:rFonts w:eastAsia="Calibri"/>
        </w:rPr>
        <w:t>The Defence Export Facility (DEF) was established to grow Australia</w:t>
      </w:r>
      <w:r w:rsidR="00D23095">
        <w:rPr>
          <w:rFonts w:eastAsia="Calibri"/>
        </w:rPr>
        <w:t>’</w:t>
      </w:r>
      <w:r w:rsidRPr="0086088F">
        <w:rPr>
          <w:rFonts w:eastAsia="Calibri"/>
        </w:rPr>
        <w:t>s defence exports by helping to overcome difficulties in accessing private sector finance. The DEF has a maximum aggregate exposure of US$3.0 billion (approximately A$4.8</w:t>
      </w:r>
      <w:r w:rsidR="00387667">
        <w:rPr>
          <w:rFonts w:eastAsia="Calibri"/>
        </w:rPr>
        <w:t> </w:t>
      </w:r>
      <w:r w:rsidRPr="0086088F">
        <w:rPr>
          <w:rFonts w:eastAsia="Calibri"/>
        </w:rPr>
        <w:t xml:space="preserve">billion as </w:t>
      </w:r>
      <w:proofErr w:type="gramStart"/>
      <w:r w:rsidRPr="0086088F">
        <w:rPr>
          <w:rFonts w:eastAsia="Calibri"/>
        </w:rPr>
        <w:t>at</w:t>
      </w:r>
      <w:proofErr w:type="gramEnd"/>
      <w:r w:rsidRPr="0086088F">
        <w:rPr>
          <w:rFonts w:eastAsia="Calibri"/>
        </w:rPr>
        <w:t xml:space="preserve"> 31</w:t>
      </w:r>
      <w:r>
        <w:rPr>
          <w:rFonts w:eastAsia="Calibri"/>
        </w:rPr>
        <w:t> </w:t>
      </w:r>
      <w:r w:rsidRPr="0086088F">
        <w:rPr>
          <w:rFonts w:eastAsia="Calibri"/>
        </w:rPr>
        <w:t xml:space="preserve">January 2025). </w:t>
      </w:r>
      <w:r w:rsidRPr="002016DE">
        <w:rPr>
          <w:rFonts w:eastAsia="Calibri"/>
        </w:rPr>
        <w:t xml:space="preserve">To date, three loans under the DEF have been agreed for a total signing value of A$228 million. As </w:t>
      </w:r>
      <w:proofErr w:type="gramStart"/>
      <w:r w:rsidRPr="002016DE">
        <w:rPr>
          <w:rFonts w:eastAsia="Calibri"/>
        </w:rPr>
        <w:t>at</w:t>
      </w:r>
      <w:proofErr w:type="gramEnd"/>
      <w:r w:rsidRPr="002016DE">
        <w:rPr>
          <w:rFonts w:eastAsia="Calibri"/>
        </w:rPr>
        <w:t xml:space="preserve"> 31</w:t>
      </w:r>
      <w:r w:rsidR="00387667">
        <w:rPr>
          <w:rFonts w:eastAsia="Calibri"/>
        </w:rPr>
        <w:t> </w:t>
      </w:r>
      <w:r>
        <w:rPr>
          <w:rFonts w:eastAsia="Calibri"/>
        </w:rPr>
        <w:t>January</w:t>
      </w:r>
      <w:r w:rsidR="00387667">
        <w:rPr>
          <w:rFonts w:eastAsia="Calibri"/>
        </w:rPr>
        <w:t xml:space="preserve"> </w:t>
      </w:r>
      <w:r w:rsidRPr="002016DE">
        <w:rPr>
          <w:rFonts w:eastAsia="Calibri"/>
        </w:rPr>
        <w:t>202</w:t>
      </w:r>
      <w:r>
        <w:rPr>
          <w:rFonts w:eastAsia="Calibri"/>
        </w:rPr>
        <w:t>5</w:t>
      </w:r>
      <w:r w:rsidRPr="002016DE">
        <w:rPr>
          <w:rFonts w:eastAsia="Calibri"/>
        </w:rPr>
        <w:t>, A$16</w:t>
      </w:r>
      <w:r>
        <w:rPr>
          <w:rFonts w:eastAsia="Calibri"/>
        </w:rPr>
        <w:t>7</w:t>
      </w:r>
      <w:r w:rsidRPr="002016DE">
        <w:rPr>
          <w:rFonts w:eastAsia="Calibri"/>
        </w:rPr>
        <w:t>.</w:t>
      </w:r>
      <w:r>
        <w:rPr>
          <w:rFonts w:eastAsia="Calibri"/>
        </w:rPr>
        <w:t>9</w:t>
      </w:r>
      <w:r w:rsidRPr="002016DE">
        <w:rPr>
          <w:rFonts w:eastAsia="Calibri"/>
        </w:rPr>
        <w:t> million was outstanding</w:t>
      </w:r>
      <w:r w:rsidR="00D23095">
        <w:rPr>
          <w:rFonts w:eastAsia="Calibri"/>
        </w:rPr>
        <w:t xml:space="preserve">. </w:t>
      </w:r>
    </w:p>
    <w:p w14:paraId="27D4AC37" w14:textId="1D397677" w:rsidR="007C6379" w:rsidRPr="0086088F" w:rsidRDefault="007C6379" w:rsidP="007C6379">
      <w:pPr>
        <w:rPr>
          <w:rFonts w:eastAsia="Calibri"/>
        </w:rPr>
      </w:pPr>
      <w:r w:rsidRPr="0086088F">
        <w:rPr>
          <w:rFonts w:eastAsia="Calibri"/>
        </w:rPr>
        <w:t>The COVID</w:t>
      </w:r>
      <w:r w:rsidR="00D23095">
        <w:rPr>
          <w:rFonts w:eastAsia="Calibri"/>
        </w:rPr>
        <w:noBreakHyphen/>
      </w:r>
      <w:r w:rsidRPr="0086088F">
        <w:rPr>
          <w:rFonts w:eastAsia="Calibri"/>
        </w:rPr>
        <w:t>19 Export Capital Facility was announced on 15</w:t>
      </w:r>
      <w:r w:rsidR="00387667">
        <w:rPr>
          <w:rFonts w:eastAsia="Calibri"/>
        </w:rPr>
        <w:t> </w:t>
      </w:r>
      <w:r w:rsidRPr="0086088F">
        <w:rPr>
          <w:rFonts w:eastAsia="Calibri"/>
        </w:rPr>
        <w:t>April</w:t>
      </w:r>
      <w:r w:rsidR="00387667">
        <w:rPr>
          <w:rFonts w:eastAsia="Calibri"/>
        </w:rPr>
        <w:t> </w:t>
      </w:r>
      <w:r w:rsidRPr="0086088F">
        <w:rPr>
          <w:rFonts w:eastAsia="Calibri"/>
        </w:rPr>
        <w:t>2020, with a maximum aggregate exposure of $500.0 million. The COVID</w:t>
      </w:r>
      <w:r w:rsidR="00D23095">
        <w:rPr>
          <w:rFonts w:eastAsia="Calibri"/>
        </w:rPr>
        <w:noBreakHyphen/>
      </w:r>
      <w:r w:rsidRPr="0086088F">
        <w:rPr>
          <w:rFonts w:eastAsia="Calibri"/>
        </w:rPr>
        <w:t xml:space="preserve">19 Export Capital Facility expired in April 2021. </w:t>
      </w:r>
      <w:r w:rsidRPr="002016DE">
        <w:rPr>
          <w:rFonts w:eastAsia="Calibri"/>
        </w:rPr>
        <w:t xml:space="preserve">As </w:t>
      </w:r>
      <w:proofErr w:type="gramStart"/>
      <w:r w:rsidRPr="002016DE">
        <w:rPr>
          <w:rFonts w:eastAsia="Calibri"/>
        </w:rPr>
        <w:t>at</w:t>
      </w:r>
      <w:proofErr w:type="gramEnd"/>
      <w:r w:rsidRPr="002016DE">
        <w:rPr>
          <w:rFonts w:eastAsia="Calibri"/>
        </w:rPr>
        <w:t xml:space="preserve"> 31</w:t>
      </w:r>
      <w:r>
        <w:rPr>
          <w:rFonts w:eastAsia="Calibri"/>
        </w:rPr>
        <w:t> January </w:t>
      </w:r>
      <w:r w:rsidRPr="002016DE">
        <w:rPr>
          <w:rFonts w:eastAsia="Calibri"/>
        </w:rPr>
        <w:t>202</w:t>
      </w:r>
      <w:r>
        <w:rPr>
          <w:rFonts w:eastAsia="Calibri"/>
        </w:rPr>
        <w:t>5</w:t>
      </w:r>
      <w:r w:rsidRPr="002016DE">
        <w:rPr>
          <w:rFonts w:eastAsia="Calibri"/>
        </w:rPr>
        <w:t>, $0.</w:t>
      </w:r>
      <w:r>
        <w:rPr>
          <w:rFonts w:eastAsia="Calibri"/>
        </w:rPr>
        <w:t>045</w:t>
      </w:r>
      <w:r w:rsidRPr="002016DE">
        <w:rPr>
          <w:rFonts w:eastAsia="Calibri"/>
        </w:rPr>
        <w:t> million was outstanding</w:t>
      </w:r>
      <w:r>
        <w:rPr>
          <w:rFonts w:eastAsia="Calibri"/>
        </w:rPr>
        <w:t xml:space="preserve">. </w:t>
      </w:r>
    </w:p>
    <w:p w14:paraId="24DF7CBE" w14:textId="6067522F" w:rsidR="007C6379" w:rsidRPr="0086088F" w:rsidRDefault="007C6379" w:rsidP="007C6379">
      <w:pPr>
        <w:rPr>
          <w:rFonts w:eastAsia="Calibri"/>
        </w:rPr>
      </w:pPr>
      <w:r w:rsidRPr="0086088F">
        <w:rPr>
          <w:rFonts w:eastAsia="Calibri"/>
        </w:rPr>
        <w:t>The Southeast Asia Investment Financing Facility (SEAIFF) was announced on 5 March 2024. The SEAIFF will provide up to $2.0 billion in loans, guarantees, equity and insurance for projects that would boost Australian trade and investment in Southeast Asia, particularly in support of the region</w:t>
      </w:r>
      <w:r w:rsidR="00D23095">
        <w:rPr>
          <w:rFonts w:eastAsia="Calibri"/>
        </w:rPr>
        <w:t>’</w:t>
      </w:r>
      <w:r w:rsidRPr="0086088F">
        <w:rPr>
          <w:rFonts w:eastAsia="Calibri"/>
        </w:rPr>
        <w:t>s clean energy transition and infrastructure development. In the 2024–25</w:t>
      </w:r>
      <w:r w:rsidR="00387667">
        <w:rPr>
          <w:rFonts w:eastAsia="Calibri"/>
        </w:rPr>
        <w:t> </w:t>
      </w:r>
      <w:r w:rsidRPr="0086088F">
        <w:rPr>
          <w:rFonts w:eastAsia="Calibri"/>
        </w:rPr>
        <w:t>MYEFO, the Australian Government agreed to provide US$50.0 million (approximately A$73.2</w:t>
      </w:r>
      <w:r w:rsidR="00387667">
        <w:rPr>
          <w:rFonts w:eastAsia="Calibri"/>
        </w:rPr>
        <w:t> </w:t>
      </w:r>
      <w:r w:rsidRPr="0086088F">
        <w:rPr>
          <w:rFonts w:eastAsia="Calibri"/>
        </w:rPr>
        <w:t xml:space="preserve">million as </w:t>
      </w:r>
      <w:proofErr w:type="gramStart"/>
      <w:r w:rsidRPr="0086088F">
        <w:rPr>
          <w:rFonts w:eastAsia="Calibri"/>
        </w:rPr>
        <w:t>at</w:t>
      </w:r>
      <w:proofErr w:type="gramEnd"/>
      <w:r w:rsidRPr="0086088F">
        <w:rPr>
          <w:rFonts w:eastAsia="Calibri"/>
        </w:rPr>
        <w:t xml:space="preserve"> 22 September 2024) to support one project under the SEAIFF. As </w:t>
      </w:r>
      <w:proofErr w:type="gramStart"/>
      <w:r w:rsidRPr="0086088F">
        <w:rPr>
          <w:rFonts w:eastAsia="Calibri"/>
        </w:rPr>
        <w:t>at</w:t>
      </w:r>
      <w:proofErr w:type="gramEnd"/>
      <w:r w:rsidRPr="0086088F">
        <w:rPr>
          <w:rFonts w:eastAsia="Calibri"/>
        </w:rPr>
        <w:t xml:space="preserve"> </w:t>
      </w:r>
      <w:r>
        <w:rPr>
          <w:rFonts w:eastAsia="Calibri"/>
        </w:rPr>
        <w:t>31</w:t>
      </w:r>
      <w:r w:rsidR="00387667">
        <w:rPr>
          <w:rFonts w:eastAsia="Calibri"/>
        </w:rPr>
        <w:t> </w:t>
      </w:r>
      <w:r>
        <w:rPr>
          <w:rFonts w:eastAsia="Calibri"/>
        </w:rPr>
        <w:t>January</w:t>
      </w:r>
      <w:r w:rsidR="00387667">
        <w:rPr>
          <w:rFonts w:eastAsia="Calibri"/>
        </w:rPr>
        <w:t> </w:t>
      </w:r>
      <w:r>
        <w:rPr>
          <w:rFonts w:eastAsia="Calibri"/>
        </w:rPr>
        <w:t>2025</w:t>
      </w:r>
      <w:r w:rsidRPr="0086088F">
        <w:rPr>
          <w:rFonts w:eastAsia="Calibri"/>
        </w:rPr>
        <w:t xml:space="preserve">, </w:t>
      </w:r>
      <w:r>
        <w:rPr>
          <w:rFonts w:eastAsia="Calibri"/>
        </w:rPr>
        <w:t>no funds had been drawn down</w:t>
      </w:r>
      <w:r w:rsidRPr="0086088F">
        <w:rPr>
          <w:rFonts w:eastAsia="Calibri"/>
        </w:rPr>
        <w:t xml:space="preserve">. </w:t>
      </w:r>
    </w:p>
    <w:p w14:paraId="2CC158CB" w14:textId="77777777" w:rsidR="007C6379" w:rsidRPr="005470CE" w:rsidRDefault="007C6379" w:rsidP="007C6379">
      <w:pPr>
        <w:rPr>
          <w:rFonts w:eastAsia="Calibri"/>
          <w:lang w:eastAsia="en-US"/>
        </w:rPr>
      </w:pPr>
      <w:r w:rsidRPr="0086088F">
        <w:rPr>
          <w:rFonts w:eastAsia="Calibri"/>
          <w:lang w:eastAsia="en-US"/>
        </w:rPr>
        <w:t xml:space="preserve">The </w:t>
      </w:r>
      <w:r w:rsidRPr="00C94DB9">
        <w:rPr>
          <w:rStyle w:val="Emphasis"/>
          <w:rFonts w:eastAsia="Calibri"/>
        </w:rPr>
        <w:t>Export Finance and Insurance Corporation Act 1991</w:t>
      </w:r>
      <w:r w:rsidRPr="0086088F">
        <w:rPr>
          <w:rFonts w:eastAsia="Calibri"/>
          <w:i/>
          <w:iCs/>
          <w:lang w:eastAsia="en-US"/>
        </w:rPr>
        <w:t xml:space="preserve"> </w:t>
      </w:r>
      <w:r>
        <w:rPr>
          <w:rFonts w:eastAsia="Calibri"/>
          <w:lang w:eastAsia="en-US"/>
        </w:rPr>
        <w:t>has been amended</w:t>
      </w:r>
      <w:r w:rsidRPr="00F22757">
        <w:rPr>
          <w:rFonts w:eastAsia="Calibri"/>
        </w:rPr>
        <w:t xml:space="preserve"> </w:t>
      </w:r>
      <w:r w:rsidRPr="0086088F">
        <w:rPr>
          <w:rFonts w:eastAsia="Calibri"/>
          <w:lang w:eastAsia="en-US"/>
        </w:rPr>
        <w:t>to enable Export Finance Australia to finance domestic projects in the national interest where they are consistent with the Future Made in Australia</w:t>
      </w:r>
      <w:r>
        <w:rPr>
          <w:rFonts w:eastAsia="Calibri"/>
          <w:lang w:eastAsia="en-US"/>
        </w:rPr>
        <w:t xml:space="preserve"> National Interest</w:t>
      </w:r>
      <w:r w:rsidRPr="0086088F">
        <w:rPr>
          <w:rFonts w:eastAsia="Calibri"/>
          <w:lang w:eastAsia="en-US"/>
        </w:rPr>
        <w:t xml:space="preserve"> Framework. The Government will be able to consider supporting projects on the National Interest Account through financing including debt or equity, where projects are unable to progress solely through commercial financing.</w:t>
      </w:r>
    </w:p>
    <w:p w14:paraId="6D7B7CFA" w14:textId="0A520095" w:rsidR="0023618C" w:rsidRPr="00B832E0" w:rsidRDefault="0023618C" w:rsidP="00BD4364">
      <w:pPr>
        <w:pStyle w:val="Heading3"/>
        <w:shd w:val="clear" w:color="auto" w:fill="FFFFFF" w:themeFill="background1"/>
      </w:pPr>
      <w:bookmarkStart w:id="116" w:name="_Toc193536197"/>
      <w:r w:rsidRPr="00B832E0">
        <w:lastRenderedPageBreak/>
        <w:t>Contingent liabilit</w:t>
      </w:r>
      <w:r w:rsidR="004A0E82">
        <w:t>ies</w:t>
      </w:r>
      <w:r w:rsidRPr="00B832E0">
        <w:t xml:space="preserve"> – quantifiable</w:t>
      </w:r>
      <w:bookmarkEnd w:id="113"/>
      <w:bookmarkEnd w:id="114"/>
      <w:bookmarkEnd w:id="115"/>
      <w:bookmarkEnd w:id="116"/>
    </w:p>
    <w:p w14:paraId="7BB121B3" w14:textId="031B17CE" w:rsidR="009A1B56" w:rsidRPr="00620CE6" w:rsidRDefault="009A1B56" w:rsidP="00BD4364">
      <w:pPr>
        <w:pStyle w:val="Heading4"/>
        <w:shd w:val="clear" w:color="auto" w:fill="FFFFFF" w:themeFill="background1"/>
        <w:rPr>
          <w:rFonts w:eastAsia="Arial"/>
        </w:rPr>
      </w:pPr>
      <w:bookmarkStart w:id="117" w:name="_Toc71117812"/>
      <w:r w:rsidRPr="00620CE6">
        <w:rPr>
          <w:rFonts w:eastAsia="Arial"/>
        </w:rPr>
        <w:t>Export Finance Australia</w:t>
      </w:r>
      <w:bookmarkEnd w:id="117"/>
      <w:r w:rsidR="00604B2D">
        <w:rPr>
          <w:rFonts w:eastAsia="Arial"/>
        </w:rPr>
        <w:t xml:space="preserve"> </w:t>
      </w:r>
    </w:p>
    <w:p w14:paraId="71F86CDD" w14:textId="4E2B6A1D" w:rsidR="00D541E2" w:rsidRDefault="00D541E2" w:rsidP="00D541E2">
      <w:r w:rsidRPr="002016DE">
        <w:t xml:space="preserve">The Australian Government guarantees the due payment of money that is, or may at any time become, payable by Export Finance Australia to anyone other than the Government. As </w:t>
      </w:r>
      <w:proofErr w:type="gramStart"/>
      <w:r w:rsidRPr="002016DE">
        <w:t>at</w:t>
      </w:r>
      <w:proofErr w:type="gramEnd"/>
      <w:r w:rsidRPr="002016DE">
        <w:t xml:space="preserve"> </w:t>
      </w:r>
      <w:r>
        <w:t>31 January 2025</w:t>
      </w:r>
      <w:r w:rsidRPr="002016DE">
        <w:t>, the Government</w:t>
      </w:r>
      <w:r w:rsidR="00D23095">
        <w:t>’</w:t>
      </w:r>
      <w:r w:rsidRPr="002016DE">
        <w:t>s total contingent liability was $</w:t>
      </w:r>
      <w:r>
        <w:t>7.5</w:t>
      </w:r>
      <w:r w:rsidRPr="002016DE">
        <w:t> billion, comprising Export Finance Australia</w:t>
      </w:r>
      <w:r w:rsidR="00D23095">
        <w:t>’</w:t>
      </w:r>
      <w:r w:rsidRPr="002016DE">
        <w:t>s liabilities to third parties ($</w:t>
      </w:r>
      <w:r>
        <w:t>6.4</w:t>
      </w:r>
      <w:r w:rsidRPr="002016DE">
        <w:t> billion) and Export Finance Australia</w:t>
      </w:r>
      <w:r w:rsidR="00D23095">
        <w:t>’</w:t>
      </w:r>
      <w:r w:rsidRPr="002016DE">
        <w:t>s overseas investment insurance, contracts of insurance and guarantees ($1.1 billion). Of the total contingent liability, $</w:t>
      </w:r>
      <w:r>
        <w:t>3.8</w:t>
      </w:r>
      <w:r w:rsidRPr="002016DE">
        <w:t> billion relates to Export Finance Australia</w:t>
      </w:r>
      <w:r w:rsidR="00D23095">
        <w:t>’</w:t>
      </w:r>
      <w:r w:rsidRPr="002016DE">
        <w:t>s Commercial Account and $3.</w:t>
      </w:r>
      <w:r>
        <w:t>7</w:t>
      </w:r>
      <w:r w:rsidRPr="002016DE">
        <w:t> billion relates to the National Interest Account.</w:t>
      </w:r>
    </w:p>
    <w:p w14:paraId="35768113" w14:textId="7CC7B0C3" w:rsidR="0023618C" w:rsidRPr="00F65567" w:rsidRDefault="0023618C" w:rsidP="00BD4364">
      <w:pPr>
        <w:pStyle w:val="Heading4"/>
        <w:shd w:val="clear" w:color="auto" w:fill="FFFFFF" w:themeFill="background1"/>
        <w:rPr>
          <w:rFonts w:ascii="Arial" w:eastAsia="Arial" w:hAnsi="Arial" w:cs="Arial"/>
          <w:b w:val="0"/>
          <w:bCs/>
          <w:i/>
          <w:iCs/>
          <w:lang w:eastAsia="en-US"/>
        </w:rPr>
      </w:pPr>
      <w:r w:rsidRPr="009744DB">
        <w:rPr>
          <w:rFonts w:eastAsia="Arial"/>
        </w:rPr>
        <w:t xml:space="preserve">Papua New Guinea National Rugby League Franchise </w:t>
      </w:r>
    </w:p>
    <w:p w14:paraId="1E42924B" w14:textId="770F5ABF" w:rsidR="0023618C" w:rsidRPr="00FE72B7" w:rsidRDefault="0023618C" w:rsidP="00BD4364">
      <w:pPr>
        <w:shd w:val="clear" w:color="auto" w:fill="FFFFFF" w:themeFill="background1"/>
        <w:rPr>
          <w:rFonts w:eastAsia="Calibri"/>
        </w:rPr>
      </w:pPr>
      <w:r w:rsidRPr="00FE72B7">
        <w:rPr>
          <w:rFonts w:eastAsia="Calibri"/>
        </w:rPr>
        <w:t>The Australian Government has agreed to support the Australian Rugby League Commission and NRL Bid 25 Limited to establish and support the operation of the Papua</w:t>
      </w:r>
      <w:r w:rsidR="003B3983">
        <w:rPr>
          <w:rFonts w:eastAsia="Calibri"/>
        </w:rPr>
        <w:t> </w:t>
      </w:r>
      <w:r w:rsidRPr="00FE72B7">
        <w:rPr>
          <w:rFonts w:eastAsia="Calibri"/>
        </w:rPr>
        <w:t>New</w:t>
      </w:r>
      <w:r w:rsidR="003B3983">
        <w:rPr>
          <w:rFonts w:eastAsia="Calibri"/>
        </w:rPr>
        <w:t> </w:t>
      </w:r>
      <w:r w:rsidRPr="00FE72B7">
        <w:rPr>
          <w:rFonts w:eastAsia="Calibri"/>
        </w:rPr>
        <w:t>Guinea National Rugby League franchise</w:t>
      </w:r>
      <w:r>
        <w:rPr>
          <w:rFonts w:eastAsia="Calibri"/>
        </w:rPr>
        <w:t xml:space="preserve">. </w:t>
      </w:r>
    </w:p>
    <w:p w14:paraId="7AF2F94C" w14:textId="042F5EA7" w:rsidR="00B64CBE" w:rsidRDefault="0023618C" w:rsidP="00BD4364">
      <w:pPr>
        <w:shd w:val="clear" w:color="auto" w:fill="FFFFFF" w:themeFill="background1"/>
        <w:rPr>
          <w:rFonts w:eastAsia="Calibri"/>
        </w:rPr>
      </w:pPr>
      <w:bookmarkStart w:id="118" w:name="_Toc99141874"/>
      <w:bookmarkStart w:id="119" w:name="_Toc184039485"/>
      <w:r w:rsidRPr="002016DE">
        <w:rPr>
          <w:rFonts w:eastAsia="Calibri"/>
        </w:rPr>
        <w:t>The support will include contingent liabilities for the Commonwealth. Details of these liabilities are not provided as they include commercial</w:t>
      </w:r>
      <w:r w:rsidR="00D23095">
        <w:rPr>
          <w:rFonts w:eastAsia="Calibri" w:cs="Arial"/>
          <w:szCs w:val="19"/>
          <w:lang w:eastAsia="en-US"/>
        </w:rPr>
        <w:noBreakHyphen/>
      </w:r>
      <w:r w:rsidRPr="002016DE">
        <w:rPr>
          <w:rFonts w:eastAsia="Calibri"/>
        </w:rPr>
        <w:t>in</w:t>
      </w:r>
      <w:r w:rsidR="00D23095">
        <w:rPr>
          <w:rFonts w:eastAsia="Calibri" w:cs="Arial"/>
          <w:szCs w:val="19"/>
          <w:lang w:eastAsia="en-US"/>
        </w:rPr>
        <w:noBreakHyphen/>
      </w:r>
      <w:r w:rsidRPr="002016DE">
        <w:rPr>
          <w:rFonts w:eastAsia="Calibri"/>
        </w:rPr>
        <w:t xml:space="preserve">confidence sensitivities. </w:t>
      </w:r>
      <w:r w:rsidR="00B64CBE">
        <w:rPr>
          <w:rFonts w:eastAsia="Calibri"/>
        </w:rPr>
        <w:br w:type="page"/>
      </w:r>
    </w:p>
    <w:p w14:paraId="29DC70A0" w14:textId="77777777" w:rsidR="008E4D2F" w:rsidRPr="00B832E0" w:rsidRDefault="008E4D2F" w:rsidP="005A0CBD">
      <w:pPr>
        <w:pStyle w:val="Heading2"/>
      </w:pPr>
      <w:bookmarkStart w:id="120" w:name="_Toc99141871"/>
      <w:bookmarkStart w:id="121" w:name="_Toc166165511"/>
      <w:bookmarkStart w:id="122" w:name="_Toc193536198"/>
      <w:r w:rsidRPr="00B832E0">
        <w:lastRenderedPageBreak/>
        <w:t>Health</w:t>
      </w:r>
      <w:bookmarkEnd w:id="120"/>
      <w:r w:rsidRPr="00B832E0">
        <w:t xml:space="preserve"> and Aged Care</w:t>
      </w:r>
      <w:bookmarkEnd w:id="121"/>
      <w:bookmarkEnd w:id="122"/>
    </w:p>
    <w:p w14:paraId="7845CA15" w14:textId="77777777" w:rsidR="005A0CBD" w:rsidRPr="00B832E0" w:rsidRDefault="005A0CBD" w:rsidP="005A0CBD">
      <w:pPr>
        <w:pStyle w:val="Heading3"/>
        <w:shd w:val="clear" w:color="auto" w:fill="FFFFFF" w:themeFill="background1"/>
      </w:pPr>
      <w:bookmarkStart w:id="123" w:name="_Toc166165512"/>
      <w:bookmarkStart w:id="124" w:name="_Toc193536199"/>
      <w:bookmarkStart w:id="125" w:name="_Toc166165513"/>
      <w:r w:rsidRPr="00B832E0">
        <w:t>Fiscal Risk</w:t>
      </w:r>
      <w:bookmarkEnd w:id="123"/>
      <w:bookmarkEnd w:id="124"/>
    </w:p>
    <w:p w14:paraId="28668A61" w14:textId="77777777" w:rsidR="005A0CBD" w:rsidRPr="005A0CBD" w:rsidRDefault="005A0CBD" w:rsidP="005A0CBD">
      <w:pPr>
        <w:pStyle w:val="Heading4"/>
        <w:shd w:val="clear" w:color="auto" w:fill="FFFFFF" w:themeFill="background1"/>
      </w:pPr>
      <w:r w:rsidRPr="005A0CBD">
        <w:t>Aged Care</w:t>
      </w:r>
    </w:p>
    <w:p w14:paraId="00D783BC" w14:textId="75BD3451" w:rsidR="005A0CBD" w:rsidRPr="005A0CBD" w:rsidRDefault="005A0CBD" w:rsidP="005A0CBD">
      <w:pPr>
        <w:shd w:val="clear" w:color="auto" w:fill="FFFFFF" w:themeFill="background1"/>
      </w:pPr>
      <w:r w:rsidRPr="005A0CBD">
        <w:t>The Australian Government is the principal funder of aged care services, including residential aged care and in</w:t>
      </w:r>
      <w:r w:rsidR="00D23095">
        <w:noBreakHyphen/>
      </w:r>
      <w:r w:rsidRPr="005A0CBD">
        <w:t xml:space="preserve">home aged care services. </w:t>
      </w:r>
    </w:p>
    <w:p w14:paraId="66E56443" w14:textId="3299FF72" w:rsidR="005A0CBD" w:rsidRPr="005A0CBD" w:rsidRDefault="005A0CBD" w:rsidP="005A0CBD">
      <w:pPr>
        <w:shd w:val="clear" w:color="auto" w:fill="FFFFFF" w:themeFill="background1"/>
      </w:pPr>
      <w:r w:rsidRPr="005A0CBD">
        <w:t xml:space="preserve">The </w:t>
      </w:r>
      <w:r w:rsidRPr="00C94DB9">
        <w:rPr>
          <w:rStyle w:val="Emphasis"/>
        </w:rPr>
        <w:t>Aged Care Act 2024</w:t>
      </w:r>
      <w:r w:rsidRPr="005A0CBD">
        <w:t xml:space="preserve"> will commence on 1</w:t>
      </w:r>
      <w:r w:rsidR="00387667">
        <w:t> </w:t>
      </w:r>
      <w:r w:rsidRPr="005A0CBD">
        <w:t>July</w:t>
      </w:r>
      <w:r w:rsidR="00387667">
        <w:t> </w:t>
      </w:r>
      <w:r w:rsidRPr="005A0CBD">
        <w:t>2025 and provides the legislative basis for the Government</w:t>
      </w:r>
      <w:r w:rsidR="00D23095">
        <w:t>’</w:t>
      </w:r>
      <w:r w:rsidRPr="005A0CBD">
        <w:t>s reforms to aged care services, including the establishment of the Support at Home program to deliver improved and more targeted in</w:t>
      </w:r>
      <w:r w:rsidR="00D23095">
        <w:noBreakHyphen/>
      </w:r>
      <w:r w:rsidRPr="005A0CBD">
        <w:t>home care services, and a new framework for participant contributions for residential aged care and in</w:t>
      </w:r>
      <w:r w:rsidR="00D23095">
        <w:noBreakHyphen/>
      </w:r>
      <w:r w:rsidRPr="005A0CBD">
        <w:t>home aged care services to create a more equitable and sustainable aged care system.</w:t>
      </w:r>
    </w:p>
    <w:p w14:paraId="17B0E4CA" w14:textId="792B11C8" w:rsidR="005A0CBD" w:rsidRPr="005A0CBD" w:rsidRDefault="005A0CBD" w:rsidP="005A0CBD">
      <w:pPr>
        <w:shd w:val="clear" w:color="auto" w:fill="FFFFFF" w:themeFill="background1"/>
      </w:pPr>
      <w:r w:rsidRPr="005A0CBD">
        <w:t>As with other new demand</w:t>
      </w:r>
      <w:r w:rsidR="00D23095">
        <w:noBreakHyphen/>
      </w:r>
      <w:r w:rsidRPr="005A0CBD">
        <w:t>driven programs, there is greater potential for the estimated costs of the aged care programs to be subject to adjustments to reflect observed changes in actual payments. The estimated costs for the Support at Home program will depend on successful implementation, demand for the new program, the level of services that care recipients are assessed as eligible for, the services they choose to access and the amount that care recipients contribute towards their costs. The observed impact of the changes to the contribution arrangements for care recipients in residential aged care may also impact on the estimated costs for residential aged care.</w:t>
      </w:r>
    </w:p>
    <w:p w14:paraId="29F1465C" w14:textId="5EEF26D0" w:rsidR="00BB3914" w:rsidRPr="00B832E0" w:rsidRDefault="00BB3914" w:rsidP="00BD4364">
      <w:pPr>
        <w:pStyle w:val="Heading3"/>
        <w:shd w:val="clear" w:color="auto" w:fill="FFFFFF" w:themeFill="background1"/>
      </w:pPr>
      <w:bookmarkStart w:id="126" w:name="_Toc193536200"/>
      <w:r w:rsidRPr="00B832E0">
        <w:t>Contingent liabilities – unquantifiable</w:t>
      </w:r>
      <w:bookmarkEnd w:id="125"/>
      <w:bookmarkEnd w:id="126"/>
    </w:p>
    <w:p w14:paraId="2824F517" w14:textId="67ACBC3A" w:rsidR="00BB3914" w:rsidRPr="00B832E0" w:rsidRDefault="00BB3914" w:rsidP="00BD4364">
      <w:pPr>
        <w:pStyle w:val="Heading4"/>
        <w:shd w:val="clear" w:color="auto" w:fill="FFFFFF" w:themeFill="background1"/>
      </w:pPr>
      <w:bookmarkStart w:id="127" w:name="_Toc71117814"/>
      <w:bookmarkStart w:id="128" w:name="_Toc71117815"/>
      <w:r w:rsidRPr="00B832E0">
        <w:t>Accommodation Payment Guarantee Scheme</w:t>
      </w:r>
      <w:bookmarkEnd w:id="127"/>
    </w:p>
    <w:p w14:paraId="70093B7E" w14:textId="1286DD05" w:rsidR="00775C93" w:rsidRDefault="00775C93" w:rsidP="00BD4364">
      <w:pPr>
        <w:shd w:val="clear" w:color="auto" w:fill="FFFFFF" w:themeFill="background1"/>
      </w:pPr>
      <w:r w:rsidRPr="004665D1">
        <w:t>The Accommodation Payment Guarantee Scheme guarantees the repayment of aged care residents</w:t>
      </w:r>
      <w:r w:rsidR="00D23095">
        <w:t>’</w:t>
      </w:r>
      <w:r w:rsidRPr="004665D1">
        <w:t xml:space="preserve"> refundable accommodation payments (including refundable deposits and accommodation bonds) if the approved provider becomes insolvent or bankrupt and defaults on its refund obligations. In return for the payment, the rights that the resident had to recover the amount from their approved provider are transferred to the Australian</w:t>
      </w:r>
      <w:r w:rsidR="003B3983">
        <w:t> </w:t>
      </w:r>
      <w:r w:rsidRPr="004665D1">
        <w:t>Government so it can pursue the approved provider for the funds. In cases where the funds are unable to be recovered, the Australian Government may levy all approved providers holding bonds, entry contributions and refundable accommodation deposits to meet any shortfall.</w:t>
      </w:r>
    </w:p>
    <w:p w14:paraId="713F0A96" w14:textId="28696884" w:rsidR="00BB3914" w:rsidRPr="00B832E0" w:rsidRDefault="00BB3914" w:rsidP="0074298E">
      <w:pPr>
        <w:pStyle w:val="Heading4"/>
      </w:pPr>
      <w:r w:rsidRPr="00B832E0">
        <w:t>Advance Purchasing Agreements for COVID</w:t>
      </w:r>
      <w:r w:rsidR="0096126F">
        <w:t>-</w:t>
      </w:r>
      <w:r w:rsidRPr="00B832E0">
        <w:t xml:space="preserve">19 </w:t>
      </w:r>
      <w:bookmarkEnd w:id="128"/>
      <w:r w:rsidRPr="00B832E0">
        <w:t>vaccines</w:t>
      </w:r>
    </w:p>
    <w:p w14:paraId="18B1DEC0" w14:textId="5A070264" w:rsidR="00A7419E" w:rsidRDefault="00A7419E" w:rsidP="0074298E">
      <w:r w:rsidRPr="004665D1">
        <w:t>The Australian Government has provided indemnities to the suppliers of COVID</w:t>
      </w:r>
      <w:r w:rsidR="00D23095">
        <w:noBreakHyphen/>
      </w:r>
      <w:r w:rsidRPr="004665D1">
        <w:t xml:space="preserve">19 vaccines, for which the Australian Government has </w:t>
      </w:r>
      <w:proofErr w:type="gramStart"/>
      <w:r w:rsidRPr="004665D1">
        <w:t>entered into</w:t>
      </w:r>
      <w:proofErr w:type="gramEnd"/>
      <w:r w:rsidRPr="004665D1">
        <w:t xml:space="preserve"> Advance Purchasing Agreements, covering certain liabilities that could result from the use of the vaccines. These agreements </w:t>
      </w:r>
      <w:r>
        <w:t>relate</w:t>
      </w:r>
      <w:r w:rsidRPr="004665D1">
        <w:t xml:space="preserve"> to vaccines from AstraZeneca Pty Ltd, Pfizer Inc, Moderna Switzerland GmbH and Novavax, Inc.</w:t>
      </w:r>
    </w:p>
    <w:p w14:paraId="262D08A8" w14:textId="77777777" w:rsidR="00BB3914" w:rsidRPr="00B832E0" w:rsidRDefault="00BB3914" w:rsidP="0074298E">
      <w:pPr>
        <w:pStyle w:val="Heading4"/>
      </w:pPr>
      <w:r w:rsidRPr="00B832E0">
        <w:lastRenderedPageBreak/>
        <w:t>Australian Red Cross Society – indemnities</w:t>
      </w:r>
    </w:p>
    <w:p w14:paraId="28B1DF36" w14:textId="28994A95" w:rsidR="00BB3914" w:rsidRPr="00E3792D" w:rsidRDefault="00BB3914" w:rsidP="0074298E">
      <w:pPr>
        <w:rPr>
          <w:rFonts w:eastAsia="Calibri"/>
        </w:rPr>
      </w:pPr>
      <w:bookmarkStart w:id="129" w:name="_Toc71117817"/>
      <w:r w:rsidRPr="00E3792D">
        <w:rPr>
          <w:rFonts w:eastAsia="Calibri"/>
        </w:rPr>
        <w:t>Deeds of Agreement between the Australian Red Cross Society (the Red Cross) and the National Blood Authority in relation to the operation of Australian Red Cross Lifeblood and the development of principal manufacturing sites in Sydney and Melbourne, include certain indemnities and a limitation of liability in favour of the Red Cross. These indemnities cover defined sets of potential business, product and employee risks and liabilities. Certain indemnities for specific risk events that operate within the term of the Deed of Agreement are capped and must meet specified pre</w:t>
      </w:r>
      <w:r w:rsidR="00D23095">
        <w:rPr>
          <w:rFonts w:eastAsia="Calibri"/>
        </w:rPr>
        <w:noBreakHyphen/>
      </w:r>
      <w:r w:rsidRPr="00E3792D">
        <w:rPr>
          <w:rFonts w:eastAsia="Calibri"/>
        </w:rPr>
        <w:t>conditions. Other indemnities and the limitation of liability only operate in the event of the expiry and non</w:t>
      </w:r>
      <w:r w:rsidR="00D23095">
        <w:rPr>
          <w:rFonts w:eastAsia="Calibri"/>
        </w:rPr>
        <w:noBreakHyphen/>
      </w:r>
      <w:r w:rsidRPr="00E3792D">
        <w:rPr>
          <w:rFonts w:eastAsia="Calibri"/>
        </w:rPr>
        <w:t>renewal, or the earlier termination, of the Deed of Agreement relating to the operation of the Red Cross or the cessation of funding for the principal sites, and only within a certain scope. All indemnities are also subject to appropriate limitations and conditions, including in relation to mitigation, contributory fault, and the process of handling relevant claims.</w:t>
      </w:r>
    </w:p>
    <w:p w14:paraId="4ACCEDB6" w14:textId="77777777" w:rsidR="00BB3914" w:rsidRPr="00B832E0" w:rsidRDefault="00BB3914" w:rsidP="0074298E">
      <w:pPr>
        <w:pStyle w:val="Heading4"/>
      </w:pPr>
      <w:r w:rsidRPr="00B832E0">
        <w:t>Blood and blood products liability cover</w:t>
      </w:r>
      <w:bookmarkEnd w:id="129"/>
    </w:p>
    <w:p w14:paraId="32C849D1" w14:textId="6DD2EE15" w:rsidR="00BB3914" w:rsidRPr="00E3792D" w:rsidRDefault="00BB3914" w:rsidP="0074298E">
      <w:pPr>
        <w:rPr>
          <w:rFonts w:eastAsia="Calibri"/>
        </w:rPr>
      </w:pPr>
      <w:bookmarkStart w:id="130" w:name="_Toc71117818"/>
      <w:r w:rsidRPr="00E3792D">
        <w:rPr>
          <w:rFonts w:eastAsia="Calibri"/>
        </w:rPr>
        <w:t>The National Managed Fund (NMF) was established by a memorandum of understanding between the Australian Government, Australian Red Cross Lifeblood (Lifeblood) and state and territory governments to cover potential future claims in relation to the supply of blood and blood products by Lifeblood. The NMF provides for liabilities incurred by Lifeblood where other available mitigation or cover is not available. Under certain conditions, the Australian Government and the state and territory governments may jointly provide indemnity for Lifeblood through a cost</w:t>
      </w:r>
      <w:r w:rsidR="00D23095">
        <w:rPr>
          <w:rFonts w:eastAsia="Calibri"/>
        </w:rPr>
        <w:noBreakHyphen/>
      </w:r>
      <w:r w:rsidRPr="00E3792D">
        <w:rPr>
          <w:rFonts w:eastAsia="Calibri"/>
        </w:rPr>
        <w:t>sharing arrangement for claims, both current and potential, regarding personal injury and loss or damage suffered by a recipient of certain blood products. If there are insufficient funds in the NMF to cover claim costs, the Jurisdictional Blood Committee will consider a report provided by the National Funds Manager to determine the level of additional funds required. The Australian</w:t>
      </w:r>
      <w:r w:rsidR="00FF0491">
        <w:rPr>
          <w:rFonts w:eastAsia="Calibri"/>
        </w:rPr>
        <w:t> </w:t>
      </w:r>
      <w:r w:rsidRPr="00E3792D">
        <w:rPr>
          <w:rFonts w:eastAsia="Calibri"/>
        </w:rPr>
        <w:t>Government</w:t>
      </w:r>
      <w:r w:rsidR="00D23095">
        <w:rPr>
          <w:rFonts w:eastAsia="Calibri"/>
        </w:rPr>
        <w:t>’</w:t>
      </w:r>
      <w:r w:rsidRPr="00E3792D">
        <w:rPr>
          <w:rFonts w:eastAsia="Calibri"/>
        </w:rPr>
        <w:t>s share of any additional liability is limited to 63 per cent of any agreed net cost.</w:t>
      </w:r>
    </w:p>
    <w:p w14:paraId="48C4A394" w14:textId="77777777" w:rsidR="00BB3914" w:rsidRPr="00B832E0" w:rsidRDefault="00BB3914" w:rsidP="0074298E">
      <w:pPr>
        <w:pStyle w:val="Heading4"/>
      </w:pPr>
      <w:r w:rsidRPr="00B832E0">
        <w:t>CSL Ltd</w:t>
      </w:r>
      <w:bookmarkEnd w:id="130"/>
    </w:p>
    <w:p w14:paraId="3AC437A3" w14:textId="2641A067" w:rsidR="00BB3914" w:rsidRPr="00E3792D" w:rsidRDefault="00BB3914" w:rsidP="0074298E">
      <w:pPr>
        <w:rPr>
          <w:rFonts w:eastAsia="Calibri"/>
        </w:rPr>
      </w:pPr>
      <w:r w:rsidRPr="00E3792D">
        <w:rPr>
          <w:rFonts w:eastAsia="Calibri"/>
        </w:rPr>
        <w:t>CSL Limited (CSL) is indemnified against claims made by individuals who contract specified infections from specified products and against employees contracting asbestos</w:t>
      </w:r>
      <w:r w:rsidR="00D23095">
        <w:rPr>
          <w:rFonts w:eastAsia="Calibri"/>
        </w:rPr>
        <w:noBreakHyphen/>
      </w:r>
      <w:r w:rsidRPr="00E3792D">
        <w:rPr>
          <w:rFonts w:eastAsia="Calibri"/>
        </w:rPr>
        <w:t xml:space="preserve">related injuries. CSL has unlimited cover for most events that occurred before the sale of CSL on </w:t>
      </w:r>
      <w:proofErr w:type="gramStart"/>
      <w:r w:rsidRPr="00E3792D">
        <w:rPr>
          <w:rFonts w:eastAsia="Calibri"/>
        </w:rPr>
        <w:t>1 January 1994, but</w:t>
      </w:r>
      <w:proofErr w:type="gramEnd"/>
      <w:r w:rsidRPr="00E3792D">
        <w:rPr>
          <w:rFonts w:eastAsia="Calibri"/>
        </w:rPr>
        <w:t xml:space="preserve"> has more limited cover for a specified range of events that occurred during the operation of the Plasma Fractionation Agreement from 1 January 1994 to 31 December 2004. Where alternative cover was not arranged by CSL, the Australian Government may have a contingent liability. </w:t>
      </w:r>
    </w:p>
    <w:p w14:paraId="14973E03" w14:textId="77777777" w:rsidR="00BB3914" w:rsidRPr="00E3792D" w:rsidRDefault="00BB3914" w:rsidP="0074298E">
      <w:pPr>
        <w:rPr>
          <w:rFonts w:eastAsia="Calibri"/>
        </w:rPr>
      </w:pPr>
      <w:r w:rsidRPr="00E3792D">
        <w:rPr>
          <w:rFonts w:eastAsia="Calibri"/>
        </w:rPr>
        <w:t xml:space="preserve">The National Fractionation Agreement for Australia with CSL Behring (Australia) Pty Ltd (a subsidiary of CSL), which has operated since 1 January 2018, includes a requirement that the National Blood Authority make a defined payment to CSL Behring (Australia) Pty Ltd in certain circumstances only, </w:t>
      </w:r>
      <w:proofErr w:type="gramStart"/>
      <w:r w:rsidRPr="00E3792D">
        <w:rPr>
          <w:rFonts w:eastAsia="Calibri"/>
        </w:rPr>
        <w:t>in the event that</w:t>
      </w:r>
      <w:proofErr w:type="gramEnd"/>
      <w:r w:rsidRPr="00E3792D">
        <w:rPr>
          <w:rFonts w:eastAsia="Calibri"/>
        </w:rPr>
        <w:t xml:space="preserve"> the volume of plasma supplied annually to CSL Behring (Australia) Pty Ltd is less than a specified amount.</w:t>
      </w:r>
    </w:p>
    <w:p w14:paraId="0932ABBF" w14:textId="77777777" w:rsidR="00BB3914" w:rsidRPr="00B832E0" w:rsidRDefault="00BB3914" w:rsidP="0074298E">
      <w:pPr>
        <w:pStyle w:val="Heading4"/>
      </w:pPr>
      <w:r w:rsidRPr="00B832E0">
        <w:lastRenderedPageBreak/>
        <w:t>Indemnities relating to vaccines</w:t>
      </w:r>
    </w:p>
    <w:p w14:paraId="77F369C4" w14:textId="02FC849C" w:rsidR="00BB3914" w:rsidRPr="00E3792D" w:rsidRDefault="00BB3914" w:rsidP="0074298E">
      <w:pPr>
        <w:rPr>
          <w:rFonts w:eastAsia="Calibri"/>
        </w:rPr>
      </w:pPr>
      <w:r w:rsidRPr="00E3792D">
        <w:rPr>
          <w:rFonts w:eastAsia="Calibri"/>
        </w:rPr>
        <w:t xml:space="preserve">The Australian Government has provided indemnities to a manufacturer of a smallpox/monkeypox vaccine held by the Australian Government, covering possible adverse events that could result from the use of the vaccine in </w:t>
      </w:r>
      <w:proofErr w:type="gramStart"/>
      <w:r w:rsidRPr="00E3792D">
        <w:rPr>
          <w:rFonts w:eastAsia="Calibri"/>
        </w:rPr>
        <w:t>an emergency situation</w:t>
      </w:r>
      <w:proofErr w:type="gramEnd"/>
      <w:r w:rsidRPr="00E3792D">
        <w:rPr>
          <w:rFonts w:eastAsia="Calibri"/>
        </w:rPr>
        <w:t>. Indemnities have also been provided to a particular manufacturer of pandemic and pre</w:t>
      </w:r>
      <w:r w:rsidR="00D23095">
        <w:rPr>
          <w:rFonts w:eastAsia="Calibri"/>
        </w:rPr>
        <w:noBreakHyphen/>
      </w:r>
      <w:r w:rsidRPr="00E3792D">
        <w:rPr>
          <w:rFonts w:eastAsia="Calibri"/>
        </w:rPr>
        <w:t>pandemic influenza vaccines for the supply or future supply of influenza vaccines under certain conditions (including H1N1 and H5N1).</w:t>
      </w:r>
    </w:p>
    <w:p w14:paraId="502D8AEC" w14:textId="77777777" w:rsidR="00BB3914" w:rsidRPr="00071068" w:rsidRDefault="00BB3914" w:rsidP="0074298E">
      <w:pPr>
        <w:pStyle w:val="Heading4"/>
        <w:rPr>
          <w:rFonts w:eastAsia="Arial"/>
        </w:rPr>
      </w:pPr>
      <w:bookmarkStart w:id="131" w:name="_Toc71117820"/>
      <w:r w:rsidRPr="00BB3914">
        <w:t>Major sporting events</w:t>
      </w:r>
    </w:p>
    <w:p w14:paraId="7E377059" w14:textId="4B2E7E93" w:rsidR="00BB3914" w:rsidRPr="00626C68" w:rsidRDefault="00BB3914" w:rsidP="0074298E">
      <w:pPr>
        <w:keepLines/>
      </w:pPr>
      <w:r w:rsidRPr="0033037A">
        <w:rPr>
          <w:rStyle w:val="Strong"/>
        </w:rPr>
        <w:t>Brisbane 2032 Olympic and Paralympic Games</w:t>
      </w:r>
      <w:r>
        <w:t xml:space="preserve"> – </w:t>
      </w:r>
      <w:r w:rsidRPr="00E3792D">
        <w:rPr>
          <w:rFonts w:eastAsia="Calibri"/>
        </w:rPr>
        <w:t xml:space="preserve">On 21 July 2021, the International Olympic Committee selected Brisbane to host the 2032 Olympic and Paralympic Games. On 17 February 2023, the Australian Government and the Queensland Government signed a bilateral agreement on matters of shared interest, including a capped capital contribution towards venue infrastructure by the Australian Government. The Australian Government has also provided a range of guarantees to the International Olympic Committee for provision of government services in support of Brisbane hosting the Games, at no cost to the Organising Committee of the Olympic Games. The financial implications of this support are not quantifiable </w:t>
      </w:r>
      <w:proofErr w:type="gramStart"/>
      <w:r w:rsidRPr="00E3792D">
        <w:rPr>
          <w:rFonts w:eastAsia="Calibri"/>
        </w:rPr>
        <w:t>at this time</w:t>
      </w:r>
      <w:proofErr w:type="gramEnd"/>
      <w:r w:rsidRPr="00E3792D">
        <w:rPr>
          <w:rFonts w:eastAsia="Calibri"/>
        </w:rPr>
        <w:t>.</w:t>
      </w:r>
    </w:p>
    <w:p w14:paraId="2FDE06C3" w14:textId="35C0CB21" w:rsidR="00BB3914" w:rsidRPr="00626C68" w:rsidRDefault="00BB3914" w:rsidP="0074298E">
      <w:r w:rsidRPr="0033037A">
        <w:rPr>
          <w:rStyle w:val="Strong"/>
        </w:rPr>
        <w:t>2027 Rugby World Cup and 2029 Women</w:t>
      </w:r>
      <w:r w:rsidR="00D23095">
        <w:rPr>
          <w:rStyle w:val="Strong"/>
        </w:rPr>
        <w:t>’</w:t>
      </w:r>
      <w:r w:rsidRPr="0033037A">
        <w:rPr>
          <w:rStyle w:val="Strong"/>
        </w:rPr>
        <w:t>s Rugby World Cup</w:t>
      </w:r>
      <w:r>
        <w:t xml:space="preserve"> – On </w:t>
      </w:r>
      <w:r w:rsidRPr="00E3792D">
        <w:rPr>
          <w:rFonts w:eastAsia="Calibri"/>
        </w:rPr>
        <w:t>12 May 2022, World Rugby selected Australia as the host of the 2027 Rugby World Cup and the 2029 Women</w:t>
      </w:r>
      <w:r w:rsidR="00D23095">
        <w:rPr>
          <w:rFonts w:eastAsia="Calibri"/>
        </w:rPr>
        <w:t>’</w:t>
      </w:r>
      <w:r w:rsidRPr="00E3792D">
        <w:rPr>
          <w:rFonts w:eastAsia="Calibri"/>
        </w:rPr>
        <w:t>s Rugby World Cup. In addition to the financial assistance provided in the 2022</w:t>
      </w:r>
      <w:r w:rsidRPr="00E3792D">
        <w:rPr>
          <w:rFonts w:ascii="Times New Roman" w:eastAsia="Calibri" w:hAnsi="Times New Roman"/>
        </w:rPr>
        <w:t>‍</w:t>
      </w:r>
      <w:r w:rsidRPr="00E3792D">
        <w:rPr>
          <w:rFonts w:eastAsia="Calibri"/>
        </w:rPr>
        <w:t>–</w:t>
      </w:r>
      <w:r w:rsidRPr="00E3792D">
        <w:rPr>
          <w:rFonts w:ascii="Times New Roman" w:eastAsia="Calibri" w:hAnsi="Times New Roman"/>
        </w:rPr>
        <w:t>‍</w:t>
      </w:r>
      <w:r w:rsidRPr="00E3792D">
        <w:rPr>
          <w:rFonts w:eastAsia="Calibri"/>
        </w:rPr>
        <w:t xml:space="preserve">23 March Budget to support event delivery and legacy programs, the Government has committed to provide services and support (such as security commitments and visa processing for participants and support staff). The financial implication of this additional support is not quantifiable </w:t>
      </w:r>
      <w:proofErr w:type="gramStart"/>
      <w:r w:rsidRPr="00E3792D">
        <w:rPr>
          <w:rFonts w:eastAsia="Calibri"/>
        </w:rPr>
        <w:t>at this time</w:t>
      </w:r>
      <w:proofErr w:type="gramEnd"/>
      <w:r w:rsidRPr="00E3792D">
        <w:rPr>
          <w:rFonts w:eastAsia="Calibri"/>
        </w:rPr>
        <w:t>.</w:t>
      </w:r>
    </w:p>
    <w:p w14:paraId="73B62733" w14:textId="40A3E530" w:rsidR="00BB3914" w:rsidRDefault="00BB3914" w:rsidP="0074298E">
      <w:r w:rsidRPr="0033037A">
        <w:rPr>
          <w:rStyle w:val="Strong"/>
        </w:rPr>
        <w:t>2023 FIFA Women</w:t>
      </w:r>
      <w:r w:rsidR="00D23095">
        <w:rPr>
          <w:rStyle w:val="Strong"/>
        </w:rPr>
        <w:t>’</w:t>
      </w:r>
      <w:r w:rsidRPr="0033037A">
        <w:rPr>
          <w:rStyle w:val="Strong"/>
        </w:rPr>
        <w:t>s World Cup</w:t>
      </w:r>
      <w:r w:rsidRPr="1BEC0AA8">
        <w:rPr>
          <w:b/>
          <w:bCs/>
        </w:rPr>
        <w:t xml:space="preserve"> </w:t>
      </w:r>
      <w:r>
        <w:t>– Between 20 July 2023 and 20 August 2023, Australia and New Zealand co</w:t>
      </w:r>
      <w:r w:rsidR="00D23095">
        <w:noBreakHyphen/>
      </w:r>
      <w:r>
        <w:t>hosted the 2023 FIFA Women</w:t>
      </w:r>
      <w:r w:rsidR="00D23095">
        <w:t>’</w:t>
      </w:r>
      <w:r>
        <w:t xml:space="preserve">s World Cup. In addition to the financial assistance provided by the Australian Government to support direct event delivery costs and legacy programs, the Government committed to provide Commonwealth guarantees for the event including taxation exemptions. The financial implication of this additional support is not quantifiable </w:t>
      </w:r>
      <w:proofErr w:type="gramStart"/>
      <w:r>
        <w:t>at this time</w:t>
      </w:r>
      <w:proofErr w:type="gramEnd"/>
      <w:r>
        <w:t>.</w:t>
      </w:r>
    </w:p>
    <w:p w14:paraId="2E0AD0DB" w14:textId="77777777" w:rsidR="00BB3914" w:rsidRPr="00B832E0" w:rsidRDefault="00BB3914" w:rsidP="0074298E">
      <w:pPr>
        <w:pStyle w:val="Heading4"/>
      </w:pPr>
      <w:r w:rsidRPr="00B832E0">
        <w:t>Medical Indemnity Exceptional Claims Scheme</w:t>
      </w:r>
      <w:bookmarkEnd w:id="131"/>
    </w:p>
    <w:p w14:paraId="6FFB28D0" w14:textId="76DE787C" w:rsidR="00BB3914" w:rsidRDefault="00BB3914" w:rsidP="0074298E">
      <w:pPr>
        <w:rPr>
          <w:rFonts w:eastAsia="Arial"/>
        </w:rPr>
      </w:pPr>
      <w:r>
        <w:t>Under the Medical Indemnity Exceptional Claims Scheme, the Australian Government assumes liability for 100 per cent of any damages payable against practitioners practising in a medical profession that exceed a specified level of cover provided by the practitioner</w:t>
      </w:r>
      <w:r w:rsidR="00D23095">
        <w:t>’</w:t>
      </w:r>
      <w:r>
        <w:t>s medical indemnity insurer (currently $20 million). These arrangements apply to payouts either related to a single large claim or to multiple claims that in aggregate exceed the cover provided by the practitioner</w:t>
      </w:r>
      <w:r w:rsidR="00D23095">
        <w:t>’</w:t>
      </w:r>
      <w:r>
        <w:t xml:space="preserve">s medical indemnity </w:t>
      </w:r>
      <w:proofErr w:type="gramStart"/>
      <w:r>
        <w:t>insurer, and</w:t>
      </w:r>
      <w:proofErr w:type="gramEnd"/>
      <w:r>
        <w:t xml:space="preserve"> would apply to claims notified under contract</w:t>
      </w:r>
      <w:r w:rsidR="00D23095">
        <w:noBreakHyphen/>
      </w:r>
      <w:r>
        <w:t xml:space="preserve">based cover since 2003. From 1 July 2020, the </w:t>
      </w:r>
      <w:r w:rsidRPr="00E16B59">
        <w:rPr>
          <w:rStyle w:val="Emphasis"/>
          <w:rFonts w:eastAsia="Book Antiqua"/>
        </w:rPr>
        <w:t>Medical and Midwife Indemnity Legislation Amendment Act 2019</w:t>
      </w:r>
      <w:r>
        <w:t xml:space="preserve"> provides transferred eligibility for allied health professionals (including registered only midwives) into the Allied Health High Cost Claims </w:t>
      </w:r>
      <w:r>
        <w:lastRenderedPageBreak/>
        <w:t xml:space="preserve">Scheme and Allied Health Exceptional Claims Scheme within the </w:t>
      </w:r>
      <w:r w:rsidRPr="00E16B59">
        <w:rPr>
          <w:rStyle w:val="Emphasis"/>
        </w:rPr>
        <w:t>Medical Indemnity Act 2002.</w:t>
      </w:r>
    </w:p>
    <w:p w14:paraId="1159A9CD" w14:textId="04F81F4C" w:rsidR="00BB3914" w:rsidRPr="00BC75D3" w:rsidRDefault="00BB3914" w:rsidP="0074298E">
      <w:pPr>
        <w:pStyle w:val="Heading4"/>
      </w:pPr>
      <w:r w:rsidRPr="00BB3914">
        <w:t>Medical Rural Bonded Scholarship Waivers</w:t>
      </w:r>
    </w:p>
    <w:p w14:paraId="03E79325" w14:textId="58E3DD97" w:rsidR="00F034DE" w:rsidRDefault="00F034DE" w:rsidP="0074298E">
      <w:pPr>
        <w:keepLines/>
      </w:pPr>
      <w:r w:rsidRPr="004665D1">
        <w:t>The Department of Health and Aged Care is using debt waivers to address the creation of statutory debts by participants of the Medical Rural Bonded Scholarship Scheme who inadvertently breached contractual arrangements from 2020, when the reformed Bonded Medical Program was implemented. In 202</w:t>
      </w:r>
      <w:r>
        <w:t>3</w:t>
      </w:r>
      <w:r w:rsidRPr="004665D1">
        <w:t>–2</w:t>
      </w:r>
      <w:r>
        <w:t>4</w:t>
      </w:r>
      <w:r w:rsidRPr="004665D1">
        <w:t xml:space="preserve">, the Department of Health and Aged Care waived </w:t>
      </w:r>
      <w:r>
        <w:t>no</w:t>
      </w:r>
      <w:r w:rsidRPr="004665D1">
        <w:t xml:space="preserve"> statutory debts</w:t>
      </w:r>
      <w:r>
        <w:t>,</w:t>
      </w:r>
      <w:r w:rsidRPr="004665D1">
        <w:t xml:space="preserve"> </w:t>
      </w:r>
      <w:r>
        <w:t xml:space="preserve">however </w:t>
      </w:r>
      <w:r w:rsidRPr="004665D1">
        <w:t>further waivers may be required. The total value of the waivers cannot yet be quantified.</w:t>
      </w:r>
    </w:p>
    <w:p w14:paraId="57A7220C" w14:textId="3DD5689F" w:rsidR="00BB3914" w:rsidRPr="00B832E0" w:rsidRDefault="00BB3914" w:rsidP="0074298E">
      <w:pPr>
        <w:pStyle w:val="Heading4"/>
      </w:pPr>
      <w:r w:rsidRPr="00B832E0">
        <w:t>mRNA manufacturing facility – indemnities</w:t>
      </w:r>
    </w:p>
    <w:p w14:paraId="41D2073E" w14:textId="0513A5A7" w:rsidR="00BB3914" w:rsidRPr="00A61D6A" w:rsidRDefault="00BB3914" w:rsidP="0074298E">
      <w:r w:rsidRPr="00A61D6A">
        <w:t xml:space="preserve">The Commonwealth has </w:t>
      </w:r>
      <w:proofErr w:type="gramStart"/>
      <w:r w:rsidRPr="00A61D6A">
        <w:t>entered into</w:t>
      </w:r>
      <w:proofErr w:type="gramEnd"/>
      <w:r w:rsidRPr="00A61D6A">
        <w:t xml:space="preserve"> a strategic partnership with Moderna</w:t>
      </w:r>
      <w:r>
        <w:rPr>
          <w:iCs/>
        </w:rPr>
        <w:t xml:space="preserve"> Australia Pty Ltd</w:t>
      </w:r>
      <w:r w:rsidRPr="00A61D6A">
        <w:t xml:space="preserve"> </w:t>
      </w:r>
      <w:r>
        <w:t xml:space="preserve">(Moderna) </w:t>
      </w:r>
      <w:r w:rsidRPr="00A61D6A">
        <w:t>to establish domestic mRNA vaccine manufacturing capacity and capability in Australia. Under the agreement between the Commonwealth and Moderna, the Commonwealth may enter into a pandemic vaccine advance purchase agreement with Moderna for locally manufactured mRNA vaccines in certain circumstances where an infectious disease pandemic is declared. Moderna will also have the capacity to supply the</w:t>
      </w:r>
      <w:r>
        <w:t> </w:t>
      </w:r>
      <w:r w:rsidRPr="00A61D6A">
        <w:t>Commonwealth with non</w:t>
      </w:r>
      <w:r w:rsidR="00D23095">
        <w:noBreakHyphen/>
      </w:r>
      <w:r w:rsidRPr="00A61D6A">
        <w:t>pandemic vaccines through a non</w:t>
      </w:r>
      <w:r w:rsidR="00D23095">
        <w:noBreakHyphen/>
      </w:r>
      <w:r w:rsidRPr="00A61D6A">
        <w:t>pandemic vaccine supply</w:t>
      </w:r>
      <w:r>
        <w:t> </w:t>
      </w:r>
      <w:r w:rsidRPr="00A61D6A">
        <w:t>agreement.</w:t>
      </w:r>
    </w:p>
    <w:p w14:paraId="316CAA0B" w14:textId="77777777" w:rsidR="00BB3914" w:rsidRPr="00A61D6A" w:rsidRDefault="00BB3914" w:rsidP="0074298E">
      <w:r w:rsidRPr="00A61D6A">
        <w:t xml:space="preserve">The Commonwealth does provide indemnities to Moderna under these arrangements to cover certain liabilities that could result from the implementation of the arrangement. </w:t>
      </w:r>
    </w:p>
    <w:p w14:paraId="30C43DA4" w14:textId="77777777" w:rsidR="00BB3914" w:rsidRPr="00A7157A" w:rsidRDefault="00BB3914" w:rsidP="0074298E">
      <w:pPr>
        <w:rPr>
          <w:iCs/>
        </w:rPr>
      </w:pPr>
      <w:bookmarkStart w:id="132" w:name="_Toc99141873"/>
      <w:r w:rsidRPr="00A61D6A">
        <w:t>There are also indemnities provided by Moderna in favour of the Commonwealth for certain liabilities, which reflect risk</w:t>
      </w:r>
      <w:r>
        <w:rPr>
          <w:iCs/>
        </w:rPr>
        <w:t xml:space="preserve"> </w:t>
      </w:r>
      <w:r w:rsidRPr="00A7157A">
        <w:rPr>
          <w:iCs/>
        </w:rPr>
        <w:t xml:space="preserve">sharing between the parties and are intended to limit financial exposure to the </w:t>
      </w:r>
      <w:r>
        <w:rPr>
          <w:iCs/>
        </w:rPr>
        <w:t>Australian Government</w:t>
      </w:r>
      <w:r w:rsidRPr="00A7157A">
        <w:rPr>
          <w:iCs/>
        </w:rPr>
        <w:t>.</w:t>
      </w:r>
    </w:p>
    <w:p w14:paraId="737D87A7" w14:textId="77777777" w:rsidR="00BB3914" w:rsidRPr="00B832E0" w:rsidRDefault="00BB3914" w:rsidP="0074298E">
      <w:pPr>
        <w:pStyle w:val="Heading3"/>
        <w:rPr>
          <w:rFonts w:eastAsia="Arial"/>
        </w:rPr>
      </w:pPr>
      <w:bookmarkStart w:id="133" w:name="_Toc166165514"/>
      <w:bookmarkStart w:id="134" w:name="_Toc193536201"/>
      <w:r w:rsidRPr="00B832E0">
        <w:rPr>
          <w:rFonts w:eastAsia="Arial"/>
        </w:rPr>
        <w:t>Contingent asset – unquantifiable</w:t>
      </w:r>
      <w:bookmarkEnd w:id="132"/>
      <w:bookmarkEnd w:id="133"/>
      <w:bookmarkEnd w:id="134"/>
    </w:p>
    <w:p w14:paraId="31CA1205" w14:textId="3F1B7693" w:rsidR="00BB3914" w:rsidRPr="00B832E0" w:rsidRDefault="00BB3914" w:rsidP="0074298E">
      <w:pPr>
        <w:pStyle w:val="Heading4"/>
      </w:pPr>
      <w:bookmarkStart w:id="135" w:name="_Toc71117823"/>
      <w:r w:rsidRPr="00B832E0">
        <w:t>Legal action seeking compensation</w:t>
      </w:r>
      <w:bookmarkEnd w:id="135"/>
    </w:p>
    <w:p w14:paraId="2962918B" w14:textId="24F6BF80" w:rsidR="00B64CBE" w:rsidRDefault="00707FC3" w:rsidP="0074298E">
      <w:pPr>
        <w:widowControl w:val="0"/>
        <w:autoSpaceDE w:val="0"/>
        <w:autoSpaceDN w:val="0"/>
        <w:spacing w:after="0" w:line="276" w:lineRule="auto"/>
      </w:pPr>
      <w:r w:rsidRPr="004665D1">
        <w:t xml:space="preserve">The </w:t>
      </w:r>
      <w:r>
        <w:t xml:space="preserve">Commonwealth </w:t>
      </w:r>
      <w:r w:rsidRPr="004665D1">
        <w:t xml:space="preserve">is engaged in legal action against </w:t>
      </w:r>
      <w:r>
        <w:t>Otsuka</w:t>
      </w:r>
      <w:r w:rsidRPr="004665D1">
        <w:t xml:space="preserve"> to recover</w:t>
      </w:r>
      <w:r>
        <w:t xml:space="preserve"> compensation for losses associated with the delayed listing of generic brands of aripiprazole on the Pharmaceutical Benefits Scheme. The Commonwealth is claiming that this is due to interim injunctions granted to Otsuka in unsuccessful patent litigation, which had the effect of </w:t>
      </w:r>
      <w:r w:rsidRPr="004665D1">
        <w:t xml:space="preserve">delaying statutory and price disclosure related price reductions for </w:t>
      </w:r>
      <w:r>
        <w:t xml:space="preserve">this drug. </w:t>
      </w:r>
      <w:r w:rsidR="00B64CBE">
        <w:br w:type="page"/>
      </w:r>
    </w:p>
    <w:p w14:paraId="5652BF56" w14:textId="77777777" w:rsidR="0023618C" w:rsidRPr="00B832E0" w:rsidRDefault="0023618C" w:rsidP="0074298E">
      <w:pPr>
        <w:pStyle w:val="Heading2"/>
      </w:pPr>
      <w:bookmarkStart w:id="136" w:name="_Toc193536202"/>
      <w:r w:rsidRPr="00B832E0">
        <w:lastRenderedPageBreak/>
        <w:t>Home Affairs</w:t>
      </w:r>
      <w:bookmarkEnd w:id="118"/>
      <w:bookmarkEnd w:id="119"/>
      <w:bookmarkEnd w:id="136"/>
    </w:p>
    <w:p w14:paraId="3F832148" w14:textId="77777777" w:rsidR="0023618C" w:rsidRPr="00B832E0" w:rsidRDefault="0023618C" w:rsidP="0074298E">
      <w:pPr>
        <w:pStyle w:val="Heading3"/>
      </w:pPr>
      <w:bookmarkStart w:id="137" w:name="_Toc71117824"/>
      <w:bookmarkStart w:id="138" w:name="_Toc99141875"/>
      <w:bookmarkStart w:id="139" w:name="_Toc184039486"/>
      <w:bookmarkStart w:id="140" w:name="_Toc193536203"/>
      <w:bookmarkStart w:id="141" w:name="_Toc99141879"/>
      <w:r w:rsidRPr="00B832E0">
        <w:t>Fiscal Risk</w:t>
      </w:r>
      <w:bookmarkEnd w:id="137"/>
      <w:bookmarkEnd w:id="138"/>
      <w:bookmarkEnd w:id="139"/>
      <w:bookmarkEnd w:id="140"/>
    </w:p>
    <w:p w14:paraId="24A0953C" w14:textId="77777777" w:rsidR="0023618C" w:rsidRDefault="0023618C" w:rsidP="0074298E">
      <w:pPr>
        <w:pStyle w:val="Heading4"/>
      </w:pPr>
      <w:bookmarkStart w:id="142" w:name="_Toc71117825"/>
      <w:r w:rsidRPr="00B832E0">
        <w:t>Regional processing arrangements</w:t>
      </w:r>
      <w:bookmarkEnd w:id="142"/>
    </w:p>
    <w:p w14:paraId="3F89DC9D" w14:textId="73B25029" w:rsidR="0023618C" w:rsidRPr="00FE72B7" w:rsidRDefault="0023618C" w:rsidP="0074298E">
      <w:pPr>
        <w:rPr>
          <w:rFonts w:eastAsia="Calibri"/>
        </w:rPr>
      </w:pPr>
      <w:bookmarkStart w:id="143" w:name="_Hlk182822350"/>
      <w:r w:rsidRPr="00FE72B7">
        <w:rPr>
          <w:rFonts w:eastAsia="Calibri"/>
        </w:rPr>
        <w:t>Under a Memorandum of Understanding between Australia and the Republic of Nauru on the Enduring Regional Processing Capability in the Republic of Nauru, the Australian</w:t>
      </w:r>
      <w:r w:rsidR="00B36CFE">
        <w:rPr>
          <w:rFonts w:eastAsia="Calibri"/>
        </w:rPr>
        <w:t> </w:t>
      </w:r>
      <w:r w:rsidRPr="00FE72B7">
        <w:rPr>
          <w:rFonts w:eastAsia="Calibri"/>
        </w:rPr>
        <w:t>Government supports the Government of Nauru to provide support and services to transferees residing in Nauru. Any significant changes in the number of transferees, the arrangements that underpin the provision of those services, relevant litigation or legislative changes, may incur a cost or generate cost reductions which are unquantifiable at this time.</w:t>
      </w:r>
      <w:bookmarkStart w:id="144" w:name="_Toc71117826"/>
      <w:bookmarkStart w:id="145" w:name="_Toc99141876"/>
      <w:bookmarkEnd w:id="143"/>
      <w:bookmarkEnd w:id="144"/>
      <w:bookmarkEnd w:id="145"/>
    </w:p>
    <w:p w14:paraId="2B7768BF" w14:textId="77777777" w:rsidR="0023618C" w:rsidRDefault="0023618C" w:rsidP="0074298E">
      <w:pPr>
        <w:pStyle w:val="Heading3"/>
      </w:pPr>
      <w:bookmarkStart w:id="146" w:name="_Toc193536204"/>
      <w:r w:rsidRPr="00933D29">
        <w:t>Contingent liabilities – unquantifiable</w:t>
      </w:r>
      <w:bookmarkEnd w:id="146"/>
    </w:p>
    <w:p w14:paraId="48FAB5A3" w14:textId="77777777" w:rsidR="008966C8" w:rsidRPr="00B832E0" w:rsidRDefault="008966C8" w:rsidP="0074298E">
      <w:pPr>
        <w:pStyle w:val="Heading4"/>
      </w:pPr>
      <w:bookmarkStart w:id="147" w:name="_Toc71117828"/>
      <w:r w:rsidRPr="00B832E0">
        <w:t>Australian victims of terrorism overseas payment</w:t>
      </w:r>
      <w:bookmarkEnd w:id="147"/>
    </w:p>
    <w:p w14:paraId="63BC46F3" w14:textId="0180DEA0" w:rsidR="008966C8" w:rsidRPr="008966C8" w:rsidRDefault="008966C8" w:rsidP="0074298E">
      <w:pPr>
        <w:rPr>
          <w:rFonts w:eastAsiaTheme="minorHAnsi"/>
        </w:rPr>
      </w:pPr>
      <w:r>
        <w:t xml:space="preserve">The </w:t>
      </w:r>
      <w:r w:rsidRPr="00E16B59">
        <w:rPr>
          <w:rStyle w:val="Emphasis"/>
        </w:rPr>
        <w:t>Social Security Amendment (Supporting Australian Victims of Terrorism Overseas) Act 2012</w:t>
      </w:r>
      <w:r>
        <w:t xml:space="preserve"> inserted Part 2.24AA into the </w:t>
      </w:r>
      <w:r w:rsidRPr="00E16B59">
        <w:rPr>
          <w:rStyle w:val="Emphasis"/>
        </w:rPr>
        <w:t>Social Security Act 1991</w:t>
      </w:r>
      <w:r>
        <w:t xml:space="preserve"> to create a scheme to provide financial assistance to </w:t>
      </w:r>
      <w:r w:rsidRPr="00F5415A">
        <w:t>Australian residents who are victims of an overseas terrorist act that has been declared by the Prime Minister. The scheme commenced on 22 January 2013. Under the scheme, Australian residents who are harmed (primary victims) or whose close family member dies (secondary victims) as a direct result of a declared terrorist act are eligible to claim one</w:t>
      </w:r>
      <w:r w:rsidR="00D23095">
        <w:noBreakHyphen/>
      </w:r>
      <w:r w:rsidRPr="00F5415A">
        <w:t>off payments of up to $75,000. As acts of terrorism are unpredictable, and the declaration of overseas terrorists acts discretionary, the cost of the scheme is unquantifiable</w:t>
      </w:r>
      <w:r>
        <w:t xml:space="preserve">. </w:t>
      </w:r>
    </w:p>
    <w:p w14:paraId="1EFA42F4" w14:textId="1BA0C4F0" w:rsidR="0023618C" w:rsidRPr="005358B1" w:rsidRDefault="0023618C" w:rsidP="0074298E">
      <w:pPr>
        <w:pStyle w:val="Heading4"/>
      </w:pPr>
      <w:bookmarkStart w:id="148" w:name="_Hlk183617417"/>
      <w:r w:rsidRPr="005358B1">
        <w:t>Commonwealth Community Safety Order Scheme – Federation Funding Agreement – indemnity</w:t>
      </w:r>
    </w:p>
    <w:p w14:paraId="11E53257" w14:textId="77777777" w:rsidR="007C6D1E" w:rsidRDefault="0023618C" w:rsidP="0074298E">
      <w:pPr>
        <w:rPr>
          <w:rFonts w:eastAsia="Calibri"/>
        </w:rPr>
      </w:pPr>
      <w:bookmarkStart w:id="149" w:name="_Hlk183617286"/>
      <w:bookmarkStart w:id="150" w:name="_Hlk183617469"/>
      <w:bookmarkStart w:id="151" w:name="_Hlk192249278"/>
      <w:bookmarkEnd w:id="148"/>
      <w:r w:rsidRPr="00FE72B7">
        <w:rPr>
          <w:rFonts w:eastAsia="Calibri"/>
        </w:rPr>
        <w:t>The Department of Home Affairs has negotiated arrangements for the Community Safety Order scheme and has, on behalf of the Commonwealth, entered into a Federation Funding Agreement (FFA) with New South Wales (NSW) ending on 30 June 2025. The FFA provides for delivery of services including evidence collection, specialist legal support, accommodation (in prison) and case management support for offenders in the community.</w:t>
      </w:r>
    </w:p>
    <w:p w14:paraId="1F1318E7" w14:textId="22E6F8D8" w:rsidR="0023618C" w:rsidRDefault="0023618C" w:rsidP="0074298E">
      <w:pPr>
        <w:rPr>
          <w:rFonts w:eastAsia="Book Antiqua"/>
        </w:rPr>
      </w:pPr>
      <w:r w:rsidRPr="00FE72B7">
        <w:rPr>
          <w:rFonts w:eastAsia="Calibri"/>
        </w:rPr>
        <w:t>The accommodation component of the services is governed by a housing agreement that stipulates baseline detention under a Community Safety Detention Order. The housing agreement indemnifies NSW, and each of its employees, officers and agents, for all costs reasonably sustained or incurred in the operation of the housing agreement.</w:t>
      </w:r>
      <w:r w:rsidRPr="00FE72B7">
        <w:rPr>
          <w:rFonts w:eastAsia="Book Antiqua"/>
        </w:rPr>
        <w:t xml:space="preserve"> </w:t>
      </w:r>
      <w:bookmarkEnd w:id="149"/>
      <w:bookmarkEnd w:id="150"/>
    </w:p>
    <w:bookmarkEnd w:id="151"/>
    <w:p w14:paraId="4B8AD810" w14:textId="01AFF55F" w:rsidR="00D938CB" w:rsidRPr="001B1431" w:rsidRDefault="00D938CB" w:rsidP="0074298E">
      <w:pPr>
        <w:pStyle w:val="Heading4"/>
        <w:rPr>
          <w:rFonts w:eastAsia="Arial"/>
          <w:lang w:val="en-US"/>
        </w:rPr>
      </w:pPr>
      <w:r w:rsidRPr="001B1431">
        <w:rPr>
          <w:rFonts w:eastAsia="Arial"/>
          <w:lang w:val="en-US"/>
        </w:rPr>
        <w:t>Disaster Recovery</w:t>
      </w:r>
    </w:p>
    <w:p w14:paraId="288FC810" w14:textId="0E243F8A" w:rsidR="00D938CB" w:rsidRPr="00903045" w:rsidRDefault="00D938CB" w:rsidP="0074298E">
      <w:pPr>
        <w:rPr>
          <w:rFonts w:eastAsia="Arial"/>
        </w:rPr>
      </w:pPr>
      <w:r>
        <w:t>The Australian Government provides funding to states and territories through the jointly</w:t>
      </w:r>
      <w:r w:rsidR="00D23095">
        <w:noBreakHyphen/>
      </w:r>
      <w:r>
        <w:t>funded Commonwealth</w:t>
      </w:r>
      <w:r w:rsidR="00D23095">
        <w:noBreakHyphen/>
      </w:r>
      <w:r>
        <w:t xml:space="preserve">State Disaster Recovery Funding Arrangements (DRFA) to assist with natural disaster relief and recovery costs. A state or territory may claim DRFA </w:t>
      </w:r>
      <w:r>
        <w:lastRenderedPageBreak/>
        <w:t xml:space="preserve">funding if a natural disaster occurs and relief and recovery expenditure for that event </w:t>
      </w:r>
      <w:r w:rsidR="00DD20E2" w:rsidRPr="00284A56">
        <w:t>meet</w:t>
      </w:r>
      <w:r w:rsidR="00DD20E2">
        <w:t>s</w:t>
      </w:r>
      <w:r>
        <w:t xml:space="preserve"> the thresholds set out in the DRFA. </w:t>
      </w:r>
    </w:p>
    <w:p w14:paraId="2EFAD705" w14:textId="77777777" w:rsidR="00D938CB" w:rsidRDefault="00D938CB" w:rsidP="0074298E">
      <w:r>
        <w:t xml:space="preserve">The forward estimates for the DRFA include preliminary estimates of costs for past events, based on the best information available at the time of preparation. Preliminary estimates of the cost of disaster relief and recovery and the timing of expenditure are subject to change. The total cost of relief and recovery from past events may not be completely realised for several years. </w:t>
      </w:r>
    </w:p>
    <w:p w14:paraId="6817A00C" w14:textId="77777777" w:rsidR="00D938CB" w:rsidRDefault="00D938CB" w:rsidP="0074298E">
      <w:r>
        <w:t>For major disasters, the Australian Government may approve payments to individuals, such as the Australian Government Disaster Recovery Payment and Disaster Recovery Allowance. As natural disasters and their impacts are unpredictable, the cost of these payments for future disasters is unquantifiable and is not included in the forward estimates.</w:t>
      </w:r>
    </w:p>
    <w:p w14:paraId="109A7941" w14:textId="552A55FE" w:rsidR="0006539F" w:rsidRDefault="0006539F" w:rsidP="0074298E">
      <w:r w:rsidRPr="0006539F">
        <w:t xml:space="preserve">The full impact of </w:t>
      </w:r>
      <w:r w:rsidR="0077113C">
        <w:t xml:space="preserve">the </w:t>
      </w:r>
      <w:r w:rsidR="006A3D2A">
        <w:t>e</w:t>
      </w:r>
      <w:r w:rsidRPr="0006539F">
        <w:t>x</w:t>
      </w:r>
      <w:r w:rsidR="00D23095">
        <w:noBreakHyphen/>
      </w:r>
      <w:r w:rsidRPr="0006539F">
        <w:t xml:space="preserve">Tropical Cyclone Alfred in Queensland and New South Wales in early March 2025 is unknown. Any assistance provided under the DRFA, AGDRP or DRA may have further impacts on expenditure </w:t>
      </w:r>
      <w:r w:rsidR="005B04D9">
        <w:t>that</w:t>
      </w:r>
      <w:r w:rsidRPr="0006539F">
        <w:t xml:space="preserve"> are currently unquantifiable.</w:t>
      </w:r>
    </w:p>
    <w:p w14:paraId="6D63E644" w14:textId="45B784B2" w:rsidR="00D938CB" w:rsidRPr="00B832E0" w:rsidRDefault="00D938CB" w:rsidP="0074298E">
      <w:pPr>
        <w:pStyle w:val="Heading4"/>
      </w:pPr>
      <w:r w:rsidRPr="00B832E0">
        <w:t>Facilities, garrison, transferee arrivals and reception, and health services in the Republic of Nauru – liability limit</w:t>
      </w:r>
    </w:p>
    <w:p w14:paraId="6C8ED7A4" w14:textId="77777777" w:rsidR="00D938CB" w:rsidRPr="00E95A11" w:rsidRDefault="00D938CB" w:rsidP="0074298E">
      <w:pPr>
        <w:rPr>
          <w:rFonts w:eastAsia="Book Antiqua"/>
        </w:rPr>
      </w:pPr>
      <w:r>
        <w:rPr>
          <w:rFonts w:eastAsia="Book Antiqua"/>
        </w:rPr>
        <w:t xml:space="preserve">The Department of Home Affairs </w:t>
      </w:r>
      <w:proofErr w:type="gramStart"/>
      <w:r>
        <w:rPr>
          <w:rFonts w:eastAsia="Book Antiqua"/>
        </w:rPr>
        <w:t xml:space="preserve">entered </w:t>
      </w:r>
      <w:r w:rsidDel="0045436C">
        <w:rPr>
          <w:rFonts w:eastAsia="Book Antiqua"/>
        </w:rPr>
        <w:t>into</w:t>
      </w:r>
      <w:proofErr w:type="gramEnd"/>
      <w:r w:rsidDel="0045436C">
        <w:rPr>
          <w:rFonts w:eastAsia="Book Antiqua"/>
        </w:rPr>
        <w:t xml:space="preserve"> </w:t>
      </w:r>
      <w:r>
        <w:t xml:space="preserve">two </w:t>
      </w:r>
      <w:r>
        <w:rPr>
          <w:rFonts w:eastAsia="Book Antiqua"/>
        </w:rPr>
        <w:t>contracts for the provision of services and facilities in the Republic of Nauru in relation to regional processing arrangements with the following entities:</w:t>
      </w:r>
    </w:p>
    <w:p w14:paraId="3EF38F03" w14:textId="1617ABD5" w:rsidR="00D938CB" w:rsidRPr="00F5415A" w:rsidRDefault="00D938CB" w:rsidP="00E16B59">
      <w:pPr>
        <w:pStyle w:val="Bullet"/>
        <w:rPr>
          <w:rFonts w:eastAsia="Book Antiqua"/>
        </w:rPr>
      </w:pPr>
      <w:r>
        <w:rPr>
          <w:rFonts w:eastAsia="Book Antiqua"/>
        </w:rPr>
        <w:t xml:space="preserve">Management &amp; Training Corporation Pty Ltd </w:t>
      </w:r>
      <w:r>
        <w:t>(MTC), which commenced on 1 </w:t>
      </w:r>
      <w:r w:rsidRPr="00F5415A">
        <w:t>October 2022, for the provision of facilities, garrison and transferee arrival and reception services. The contract includes a provision that limits MTC</w:t>
      </w:r>
      <w:r w:rsidR="00D23095">
        <w:t>’</w:t>
      </w:r>
      <w:r w:rsidRPr="00F5415A">
        <w:t>s liability to the Commonwealth to a maximum of $200 million in aggregate for the term of the contract.</w:t>
      </w:r>
      <w:r w:rsidRPr="00F5415A">
        <w:rPr>
          <w:rFonts w:eastAsia="Book Antiqua"/>
        </w:rPr>
        <w:t xml:space="preserve"> </w:t>
      </w:r>
      <w:r w:rsidRPr="00F5415A">
        <w:t>The limitation of liability does not apply to loss arising from claims in relation to death or bodily injury, disease or illness of any person caused by MTC</w:t>
      </w:r>
      <w:r w:rsidR="00D23095">
        <w:t>’</w:t>
      </w:r>
      <w:r w:rsidRPr="00F5415A">
        <w:t>s breach of contract, negligent act or omission, wilful default, or breach of law. The limitation of liability also does not apply to loss arising from: criminal acts, malicious damage or wilful default of the service provider or its subcontractors; statutory penalties; breach of privacy legislation; breach of confidentiality; third party claims in relation to infringement of intellectual property rights; or claims brought by third parties to the extent they are caused by the breach of contract, wilful default, or negligence of the service provider.</w:t>
      </w:r>
    </w:p>
    <w:p w14:paraId="20C2373D" w14:textId="75FF51D6" w:rsidR="00D938CB" w:rsidRDefault="00D938CB" w:rsidP="00E16B59">
      <w:pPr>
        <w:pStyle w:val="Bullet"/>
      </w:pPr>
      <w:r w:rsidRPr="00F5415A">
        <w:t>International Health and Medical Services Pty Ltd (IHMS), which commenced on 13 August 2022, for the provision of health services in the Republic of Nauru. The contract includes a provision that limits IHMS</w:t>
      </w:r>
      <w:r w:rsidR="00D23095">
        <w:t>’</w:t>
      </w:r>
      <w:r w:rsidRPr="00F5415A">
        <w:t xml:space="preserve"> liability to the Commonwealth with an indemnity limit of no less than $45 million in respect of </w:t>
      </w:r>
      <w:proofErr w:type="gramStart"/>
      <w:r w:rsidRPr="00F5415A">
        <w:t>each and every</w:t>
      </w:r>
      <w:proofErr w:type="gramEnd"/>
      <w:r w:rsidRPr="00F5415A">
        <w:t xml:space="preserve"> occurrence, and in respect of product liability only, and in the aggregate for all occurrences arising during any one 12</w:t>
      </w:r>
      <w:r w:rsidR="00D23095">
        <w:noBreakHyphen/>
      </w:r>
      <w:r w:rsidRPr="00F5415A">
        <w:t>month policy period. The limitation of liability does not apply to loss arising from claims in relation to death or bodily injury, disease or illness (including mental health) of any person caused by IHMS</w:t>
      </w:r>
      <w:r w:rsidR="00D23095">
        <w:t>’</w:t>
      </w:r>
      <w:r w:rsidRPr="00F5415A">
        <w:t xml:space="preserve"> breach of contract, negligent act or omission, wilful default, or breach of law. The limitation of liability also does not apply </w:t>
      </w:r>
      <w:r w:rsidRPr="00F5415A">
        <w:lastRenderedPageBreak/>
        <w:t xml:space="preserve">to loss arising from: criminal acts, malicious damage or wilful default of the service provider or its subcontractors; statutory penalties; liability that cannot be excluded at </w:t>
      </w:r>
      <w:r w:rsidRPr="00EE4135">
        <w:t xml:space="preserve">law; breach of privacy legislation; breach of confidentiality; third party claims in relation to infringement of </w:t>
      </w:r>
      <w:r w:rsidR="00E15362">
        <w:t>i</w:t>
      </w:r>
      <w:r w:rsidR="00E15362" w:rsidRPr="00284A56">
        <w:t xml:space="preserve">ntellectual </w:t>
      </w:r>
      <w:r w:rsidR="00E15362">
        <w:t>p</w:t>
      </w:r>
      <w:r w:rsidR="00E15362" w:rsidRPr="00284A56">
        <w:t xml:space="preserve">roperty </w:t>
      </w:r>
      <w:r w:rsidR="00E15362">
        <w:t>r</w:t>
      </w:r>
      <w:r w:rsidRPr="00EE4135">
        <w:t>ights; or claims brought by third parties to the extent they are caused by the breach of contract, wilful default, or negligence of the service provider.</w:t>
      </w:r>
    </w:p>
    <w:p w14:paraId="2CDC890C" w14:textId="2C6A7230" w:rsidR="00D938CB" w:rsidRPr="00EE4135" w:rsidRDefault="00D938CB" w:rsidP="0074298E">
      <w:pPr>
        <w:pStyle w:val="Heading4"/>
        <w:rPr>
          <w:rFonts w:eastAsia="Arial"/>
        </w:rPr>
      </w:pPr>
      <w:bookmarkStart w:id="152" w:name="_Toc71117831"/>
      <w:r w:rsidRPr="00EE4135">
        <w:rPr>
          <w:rFonts w:eastAsia="Arial"/>
        </w:rPr>
        <w:t xml:space="preserve">Immigration detention services by state and territory governments </w:t>
      </w:r>
      <w:r w:rsidRPr="00EE4135">
        <w:rPr>
          <w:rFonts w:eastAsia="Calibri"/>
        </w:rPr>
        <w:t>–</w:t>
      </w:r>
      <w:r w:rsidRPr="00EE4135">
        <w:rPr>
          <w:rFonts w:eastAsia="Arial"/>
        </w:rPr>
        <w:t xml:space="preserve"> liability limit</w:t>
      </w:r>
      <w:bookmarkEnd w:id="152"/>
    </w:p>
    <w:p w14:paraId="3F38F3F7" w14:textId="77777777" w:rsidR="00D938CB" w:rsidRDefault="00D938CB" w:rsidP="0074298E">
      <w:r w:rsidRPr="00CE6387">
        <w:t xml:space="preserve">The Department of Home Affairs </w:t>
      </w:r>
      <w:r w:rsidRPr="00B832E0">
        <w:t xml:space="preserve">has negotiated arrangements with </w:t>
      </w:r>
      <w:r>
        <w:t>some</w:t>
      </w:r>
      <w:r w:rsidRPr="00B832E0">
        <w:t xml:space="preserve"> state and territory governments for the provision of various services (including</w:t>
      </w:r>
      <w:r>
        <w:t xml:space="preserve"> </w:t>
      </w:r>
      <w:r w:rsidRPr="00B832E0">
        <w:t xml:space="preserve">health, corrective and policing services) to immigration detention facilities and people in immigration detention. </w:t>
      </w:r>
    </w:p>
    <w:p w14:paraId="06F42B51" w14:textId="5992EA06" w:rsidR="00D938CB" w:rsidRPr="006858B9" w:rsidRDefault="00D938CB" w:rsidP="0074298E">
      <w:r w:rsidRPr="00B832E0">
        <w:t xml:space="preserve">Some jurisdictions sought indemnification by the </w:t>
      </w:r>
      <w:r>
        <w:t>Australian Government</w:t>
      </w:r>
      <w:r w:rsidRPr="00B832E0">
        <w:t xml:space="preserve"> for the provision of th</w:t>
      </w:r>
      <w:r>
        <w:t>ese</w:t>
      </w:r>
      <w:r w:rsidRPr="00B832E0">
        <w:t xml:space="preserve"> services. These agreements, listed below, provide indemnities relating to any damage or loss incurred by state and </w:t>
      </w:r>
      <w:r w:rsidRPr="006858B9">
        <w:t>territory governments arising out of, or incidental to, the provision of services under these agreements.</w:t>
      </w:r>
    </w:p>
    <w:tbl>
      <w:tblPr>
        <w:tblW w:w="5000" w:type="pct"/>
        <w:jc w:val="center"/>
        <w:tblBorders>
          <w:top w:val="single" w:sz="4" w:space="0" w:color="293F5B"/>
          <w:bottom w:val="single" w:sz="4" w:space="0" w:color="293F5B"/>
          <w:insideH w:val="single" w:sz="4" w:space="0" w:color="293F5B"/>
        </w:tblBorders>
        <w:tblLook w:val="01E0" w:firstRow="1" w:lastRow="1" w:firstColumn="1" w:lastColumn="1" w:noHBand="0" w:noVBand="0"/>
        <w:tblCaption w:val="Table"/>
      </w:tblPr>
      <w:tblGrid>
        <w:gridCol w:w="1961"/>
        <w:gridCol w:w="1963"/>
        <w:gridCol w:w="3786"/>
      </w:tblGrid>
      <w:tr w:rsidR="00D938CB" w:rsidRPr="00B832E0" w14:paraId="4D8F78D9" w14:textId="77777777" w:rsidTr="00F14217">
        <w:trPr>
          <w:trHeight w:val="263"/>
          <w:tblHeader/>
          <w:jc w:val="center"/>
        </w:trPr>
        <w:tc>
          <w:tcPr>
            <w:tcW w:w="1272" w:type="pct"/>
            <w:tcBorders>
              <w:top w:val="single" w:sz="4" w:space="0" w:color="002A54" w:themeColor="text2"/>
              <w:bottom w:val="single" w:sz="4" w:space="0" w:color="002A54" w:themeColor="text2"/>
            </w:tcBorders>
            <w:shd w:val="clear" w:color="auto" w:fill="E6F2FF"/>
          </w:tcPr>
          <w:p w14:paraId="70CACD7D" w14:textId="77777777" w:rsidR="00D938CB" w:rsidRPr="00B832E0" w:rsidRDefault="00D938CB" w:rsidP="0074298E">
            <w:pPr>
              <w:pStyle w:val="TableColumnHeadingLeft"/>
              <w:rPr>
                <w:rFonts w:eastAsia="Arial"/>
              </w:rPr>
            </w:pPr>
            <w:r w:rsidRPr="00B832E0">
              <w:rPr>
                <w:rFonts w:eastAsia="Arial"/>
              </w:rPr>
              <w:t>Jurisdiction</w:t>
            </w:r>
          </w:p>
        </w:tc>
        <w:tc>
          <w:tcPr>
            <w:tcW w:w="1273" w:type="pct"/>
            <w:tcBorders>
              <w:top w:val="single" w:sz="4" w:space="0" w:color="002A54" w:themeColor="text2"/>
              <w:bottom w:val="single" w:sz="4" w:space="0" w:color="002A54" w:themeColor="text2"/>
            </w:tcBorders>
            <w:shd w:val="clear" w:color="auto" w:fill="E6F2FF"/>
          </w:tcPr>
          <w:p w14:paraId="2F3A2448" w14:textId="77777777" w:rsidR="00D938CB" w:rsidRPr="00B832E0" w:rsidRDefault="00D938CB" w:rsidP="0074298E">
            <w:pPr>
              <w:pStyle w:val="TableColumnHeadingLeft"/>
              <w:rPr>
                <w:rFonts w:eastAsia="Arial"/>
              </w:rPr>
            </w:pPr>
            <w:r w:rsidRPr="00B832E0">
              <w:rPr>
                <w:rFonts w:eastAsia="Arial"/>
              </w:rPr>
              <w:t>Service Stream</w:t>
            </w:r>
          </w:p>
        </w:tc>
        <w:tc>
          <w:tcPr>
            <w:tcW w:w="2455" w:type="pct"/>
            <w:tcBorders>
              <w:top w:val="single" w:sz="4" w:space="0" w:color="002A54" w:themeColor="text2"/>
              <w:bottom w:val="single" w:sz="4" w:space="0" w:color="002A54" w:themeColor="text2"/>
            </w:tcBorders>
            <w:shd w:val="clear" w:color="auto" w:fill="E6F2FF"/>
          </w:tcPr>
          <w:p w14:paraId="648E98F9" w14:textId="77777777" w:rsidR="00D938CB" w:rsidRPr="00B832E0" w:rsidRDefault="00D938CB" w:rsidP="0074298E">
            <w:pPr>
              <w:pStyle w:val="TableColumnHeadingLeft"/>
              <w:rPr>
                <w:rFonts w:eastAsia="Arial"/>
              </w:rPr>
            </w:pPr>
            <w:r w:rsidRPr="00B832E0">
              <w:rPr>
                <w:rFonts w:eastAsia="Arial"/>
              </w:rPr>
              <w:t>Details</w:t>
            </w:r>
          </w:p>
        </w:tc>
      </w:tr>
      <w:tr w:rsidR="00D938CB" w:rsidRPr="00B832E0" w:rsidDel="0077531E" w14:paraId="7D8D5CCF" w14:textId="77777777" w:rsidTr="00F14217">
        <w:trPr>
          <w:trHeight w:val="227"/>
          <w:jc w:val="center"/>
        </w:trPr>
        <w:tc>
          <w:tcPr>
            <w:tcW w:w="1272" w:type="pct"/>
            <w:tcBorders>
              <w:bottom w:val="single" w:sz="4" w:space="0" w:color="293F5B"/>
            </w:tcBorders>
            <w:tcMar>
              <w:left w:w="108" w:type="dxa"/>
              <w:right w:w="108" w:type="dxa"/>
            </w:tcMar>
          </w:tcPr>
          <w:p w14:paraId="141C085B" w14:textId="77777777" w:rsidR="00D938CB" w:rsidRPr="00BE3D8E" w:rsidRDefault="00D938CB" w:rsidP="0074298E">
            <w:pPr>
              <w:pStyle w:val="TableTextLeft"/>
              <w:rPr>
                <w:rFonts w:eastAsia="Arial"/>
              </w:rPr>
            </w:pPr>
            <w:r w:rsidRPr="00BE3D8E">
              <w:rPr>
                <w:rFonts w:eastAsia="Arial"/>
              </w:rPr>
              <w:t>Christmas Island</w:t>
            </w:r>
          </w:p>
        </w:tc>
        <w:tc>
          <w:tcPr>
            <w:tcW w:w="1273" w:type="pct"/>
            <w:tcMar>
              <w:left w:w="108" w:type="dxa"/>
              <w:right w:w="108" w:type="dxa"/>
            </w:tcMar>
          </w:tcPr>
          <w:p w14:paraId="127957A3" w14:textId="77777777" w:rsidR="00D938CB" w:rsidRPr="00BE3D8E" w:rsidRDefault="00D938CB" w:rsidP="0074298E">
            <w:pPr>
              <w:pStyle w:val="TableTextLeft"/>
              <w:rPr>
                <w:rFonts w:eastAsia="Arial"/>
              </w:rPr>
            </w:pPr>
            <w:r w:rsidRPr="00BE3D8E">
              <w:rPr>
                <w:rFonts w:eastAsia="Arial"/>
              </w:rPr>
              <w:t>Health</w:t>
            </w:r>
          </w:p>
        </w:tc>
        <w:tc>
          <w:tcPr>
            <w:tcW w:w="2455" w:type="pct"/>
            <w:tcMar>
              <w:left w:w="108" w:type="dxa"/>
              <w:right w:w="108" w:type="dxa"/>
            </w:tcMar>
          </w:tcPr>
          <w:p w14:paraId="5423D41E" w14:textId="77777777" w:rsidR="00D938CB" w:rsidRPr="00BE3D8E" w:rsidDel="0077531E" w:rsidRDefault="00D938CB" w:rsidP="0074298E">
            <w:pPr>
              <w:pStyle w:val="TableTextLeft"/>
              <w:rPr>
                <w:rFonts w:eastAsia="Arial"/>
              </w:rPr>
            </w:pPr>
            <w:r w:rsidRPr="00BE3D8E">
              <w:rPr>
                <w:rFonts w:eastAsia="Arial"/>
              </w:rPr>
              <w:t>$5 million per claim or event</w:t>
            </w:r>
          </w:p>
        </w:tc>
      </w:tr>
      <w:tr w:rsidR="00D938CB" w:rsidRPr="00B832E0" w14:paraId="24145143" w14:textId="77777777" w:rsidTr="00F14217">
        <w:trPr>
          <w:trHeight w:val="227"/>
          <w:jc w:val="center"/>
        </w:trPr>
        <w:tc>
          <w:tcPr>
            <w:tcW w:w="1272" w:type="pct"/>
            <w:vMerge w:val="restart"/>
            <w:tcMar>
              <w:left w:w="108" w:type="dxa"/>
              <w:right w:w="108" w:type="dxa"/>
            </w:tcMar>
          </w:tcPr>
          <w:p w14:paraId="332E7034" w14:textId="77777777" w:rsidR="00D938CB" w:rsidRPr="00BE3D8E" w:rsidRDefault="00D938CB" w:rsidP="0074298E">
            <w:pPr>
              <w:pStyle w:val="TableTextLeft"/>
              <w:rPr>
                <w:rFonts w:eastAsia="Arial"/>
              </w:rPr>
            </w:pPr>
            <w:r w:rsidRPr="00BE3D8E">
              <w:rPr>
                <w:rFonts w:eastAsia="Arial"/>
              </w:rPr>
              <w:t>NSW</w:t>
            </w:r>
          </w:p>
        </w:tc>
        <w:tc>
          <w:tcPr>
            <w:tcW w:w="1273" w:type="pct"/>
            <w:tcMar>
              <w:left w:w="108" w:type="dxa"/>
              <w:right w:w="108" w:type="dxa"/>
            </w:tcMar>
          </w:tcPr>
          <w:p w14:paraId="1793503D" w14:textId="77777777" w:rsidR="00D938CB" w:rsidRPr="00BE3D8E" w:rsidRDefault="00D938CB" w:rsidP="0074298E">
            <w:pPr>
              <w:pStyle w:val="TableTextLeft"/>
              <w:rPr>
                <w:rFonts w:eastAsia="Arial"/>
              </w:rPr>
            </w:pPr>
            <w:r w:rsidRPr="00BE3D8E">
              <w:rPr>
                <w:rFonts w:eastAsia="Arial"/>
              </w:rPr>
              <w:t>Corrections</w:t>
            </w:r>
          </w:p>
        </w:tc>
        <w:tc>
          <w:tcPr>
            <w:tcW w:w="2455" w:type="pct"/>
            <w:tcMar>
              <w:left w:w="108" w:type="dxa"/>
              <w:right w:w="108" w:type="dxa"/>
            </w:tcMar>
          </w:tcPr>
          <w:p w14:paraId="0979E35E" w14:textId="77777777" w:rsidR="00D938CB" w:rsidRPr="00BE3D8E" w:rsidRDefault="00D938CB" w:rsidP="0074298E">
            <w:pPr>
              <w:pStyle w:val="TableTextLeft"/>
              <w:rPr>
                <w:rFonts w:eastAsia="Arial"/>
              </w:rPr>
            </w:pPr>
            <w:r w:rsidRPr="00BE3D8E">
              <w:rPr>
                <w:rFonts w:eastAsia="Arial"/>
              </w:rPr>
              <w:t>Uncapped – with a risk rating assessment, no</w:t>
            </w:r>
            <w:r>
              <w:rPr>
                <w:rFonts w:eastAsia="Arial"/>
              </w:rPr>
              <w:t> </w:t>
            </w:r>
            <w:r w:rsidRPr="00BE3D8E">
              <w:rPr>
                <w:rFonts w:eastAsia="Arial"/>
              </w:rPr>
              <w:t>more than $30 million per event</w:t>
            </w:r>
          </w:p>
        </w:tc>
      </w:tr>
      <w:tr w:rsidR="00D938CB" w:rsidRPr="00B832E0" w14:paraId="5E58353D" w14:textId="77777777" w:rsidTr="00F14217">
        <w:trPr>
          <w:trHeight w:val="227"/>
          <w:jc w:val="center"/>
        </w:trPr>
        <w:tc>
          <w:tcPr>
            <w:tcW w:w="1272" w:type="pct"/>
            <w:vMerge/>
            <w:tcMar>
              <w:left w:w="108" w:type="dxa"/>
              <w:right w:w="108" w:type="dxa"/>
            </w:tcMar>
          </w:tcPr>
          <w:p w14:paraId="3A7E2F16" w14:textId="77777777" w:rsidR="00D938CB" w:rsidRPr="00BE3D8E" w:rsidRDefault="00D938CB" w:rsidP="0074298E">
            <w:pPr>
              <w:pStyle w:val="TableTextLeft"/>
              <w:rPr>
                <w:rFonts w:eastAsia="Arial"/>
              </w:rPr>
            </w:pPr>
          </w:p>
        </w:tc>
        <w:tc>
          <w:tcPr>
            <w:tcW w:w="1273" w:type="pct"/>
            <w:tcMar>
              <w:left w:w="108" w:type="dxa"/>
              <w:right w:w="108" w:type="dxa"/>
            </w:tcMar>
          </w:tcPr>
          <w:p w14:paraId="15E13E3B" w14:textId="77777777" w:rsidR="00D938CB" w:rsidRPr="00BE3D8E" w:rsidRDefault="00D938CB" w:rsidP="0074298E">
            <w:pPr>
              <w:pStyle w:val="TableTextLeft"/>
              <w:rPr>
                <w:rFonts w:eastAsia="Arial"/>
              </w:rPr>
            </w:pPr>
            <w:r w:rsidRPr="00BE3D8E">
              <w:rPr>
                <w:rFonts w:eastAsia="Arial"/>
              </w:rPr>
              <w:t>Police</w:t>
            </w:r>
          </w:p>
        </w:tc>
        <w:tc>
          <w:tcPr>
            <w:tcW w:w="2455" w:type="pct"/>
            <w:tcMar>
              <w:left w:w="108" w:type="dxa"/>
              <w:right w:w="108" w:type="dxa"/>
            </w:tcMar>
          </w:tcPr>
          <w:p w14:paraId="7D1D0BBC" w14:textId="77777777" w:rsidR="00D938CB" w:rsidRPr="00BE3D8E" w:rsidRDefault="00D938CB" w:rsidP="0074298E">
            <w:pPr>
              <w:pStyle w:val="TableTextLeft"/>
              <w:rPr>
                <w:rFonts w:eastAsia="Arial"/>
              </w:rPr>
            </w:pPr>
            <w:r w:rsidRPr="00BE3D8E">
              <w:rPr>
                <w:rFonts w:eastAsia="Arial"/>
              </w:rPr>
              <w:t>$5 million per claim or event</w:t>
            </w:r>
          </w:p>
        </w:tc>
      </w:tr>
      <w:tr w:rsidR="00D938CB" w:rsidRPr="00B832E0" w14:paraId="30CA0072" w14:textId="77777777" w:rsidTr="00F14217">
        <w:trPr>
          <w:trHeight w:val="227"/>
          <w:jc w:val="center"/>
        </w:trPr>
        <w:tc>
          <w:tcPr>
            <w:tcW w:w="1272" w:type="pct"/>
            <w:tcBorders>
              <w:top w:val="single" w:sz="4" w:space="0" w:color="002A54" w:themeColor="text2"/>
              <w:bottom w:val="single" w:sz="4" w:space="0" w:color="002A54" w:themeColor="text2"/>
            </w:tcBorders>
            <w:tcMar>
              <w:left w:w="108" w:type="dxa"/>
              <w:right w:w="108" w:type="dxa"/>
            </w:tcMar>
          </w:tcPr>
          <w:p w14:paraId="78FF4E6E" w14:textId="77777777" w:rsidR="00D938CB" w:rsidRPr="00BE3D8E" w:rsidRDefault="00D938CB" w:rsidP="0074298E">
            <w:pPr>
              <w:pStyle w:val="TableTextLeft"/>
              <w:rPr>
                <w:rFonts w:eastAsia="Arial"/>
              </w:rPr>
            </w:pPr>
            <w:r w:rsidRPr="00BE3D8E">
              <w:rPr>
                <w:rFonts w:eastAsia="Arial"/>
              </w:rPr>
              <w:t>QLD</w:t>
            </w:r>
          </w:p>
        </w:tc>
        <w:tc>
          <w:tcPr>
            <w:tcW w:w="1273" w:type="pct"/>
            <w:tcBorders>
              <w:top w:val="single" w:sz="4" w:space="0" w:color="002A54" w:themeColor="text2"/>
              <w:bottom w:val="single" w:sz="4" w:space="0" w:color="002A54" w:themeColor="text2"/>
            </w:tcBorders>
            <w:tcMar>
              <w:left w:w="108" w:type="dxa"/>
              <w:right w:w="108" w:type="dxa"/>
            </w:tcMar>
          </w:tcPr>
          <w:p w14:paraId="7570DA07" w14:textId="77777777" w:rsidR="00D938CB" w:rsidRPr="00BE3D8E" w:rsidRDefault="00D938CB" w:rsidP="0074298E">
            <w:pPr>
              <w:pStyle w:val="TableTextLeft"/>
              <w:rPr>
                <w:rFonts w:eastAsia="Arial"/>
              </w:rPr>
            </w:pPr>
            <w:r w:rsidRPr="00BE3D8E">
              <w:rPr>
                <w:rFonts w:eastAsia="Arial"/>
              </w:rPr>
              <w:t>Police</w:t>
            </w:r>
          </w:p>
        </w:tc>
        <w:tc>
          <w:tcPr>
            <w:tcW w:w="2455" w:type="pct"/>
            <w:tcBorders>
              <w:top w:val="single" w:sz="4" w:space="0" w:color="002A54" w:themeColor="text2"/>
              <w:bottom w:val="single" w:sz="4" w:space="0" w:color="002A54" w:themeColor="text2"/>
            </w:tcBorders>
            <w:tcMar>
              <w:left w:w="108" w:type="dxa"/>
              <w:right w:w="108" w:type="dxa"/>
            </w:tcMar>
          </w:tcPr>
          <w:p w14:paraId="0569395B" w14:textId="77777777" w:rsidR="00D938CB" w:rsidRPr="00BE3D8E" w:rsidRDefault="00D938CB" w:rsidP="0074298E">
            <w:pPr>
              <w:pStyle w:val="TableTextLeft"/>
              <w:rPr>
                <w:rFonts w:eastAsia="Arial"/>
              </w:rPr>
            </w:pPr>
            <w:r w:rsidRPr="00BE3D8E">
              <w:rPr>
                <w:rFonts w:eastAsia="Arial"/>
              </w:rPr>
              <w:t>$5 million per claim or event</w:t>
            </w:r>
          </w:p>
        </w:tc>
      </w:tr>
      <w:tr w:rsidR="00D938CB" w:rsidRPr="00B832E0" w14:paraId="788F55EE" w14:textId="77777777" w:rsidTr="00F14217">
        <w:trPr>
          <w:trHeight w:val="227"/>
          <w:jc w:val="center"/>
        </w:trPr>
        <w:tc>
          <w:tcPr>
            <w:tcW w:w="1272" w:type="pct"/>
            <w:tcBorders>
              <w:top w:val="single" w:sz="4" w:space="0" w:color="002A54" w:themeColor="text2"/>
              <w:bottom w:val="single" w:sz="4" w:space="0" w:color="002A54" w:themeColor="text2"/>
            </w:tcBorders>
            <w:tcMar>
              <w:left w:w="108" w:type="dxa"/>
              <w:right w:w="108" w:type="dxa"/>
            </w:tcMar>
          </w:tcPr>
          <w:p w14:paraId="507FEB95" w14:textId="77777777" w:rsidR="00D938CB" w:rsidRPr="00BE3D8E" w:rsidRDefault="00D938CB" w:rsidP="0074298E">
            <w:pPr>
              <w:pStyle w:val="TableTextLeft"/>
              <w:rPr>
                <w:rFonts w:eastAsia="Arial"/>
              </w:rPr>
            </w:pPr>
            <w:r w:rsidRPr="00BE3D8E">
              <w:rPr>
                <w:rFonts w:eastAsia="Arial"/>
              </w:rPr>
              <w:t>SA</w:t>
            </w:r>
          </w:p>
        </w:tc>
        <w:tc>
          <w:tcPr>
            <w:tcW w:w="1273" w:type="pct"/>
            <w:tcBorders>
              <w:top w:val="single" w:sz="4" w:space="0" w:color="002A54" w:themeColor="text2"/>
              <w:bottom w:val="single" w:sz="4" w:space="0" w:color="002A54" w:themeColor="text2"/>
            </w:tcBorders>
            <w:tcMar>
              <w:left w:w="108" w:type="dxa"/>
              <w:right w:w="108" w:type="dxa"/>
            </w:tcMar>
          </w:tcPr>
          <w:p w14:paraId="567D889F" w14:textId="77777777" w:rsidR="00D938CB" w:rsidRPr="00BE3D8E" w:rsidRDefault="00D938CB" w:rsidP="0074298E">
            <w:pPr>
              <w:pStyle w:val="TableTextLeft"/>
              <w:rPr>
                <w:rFonts w:eastAsia="Arial"/>
              </w:rPr>
            </w:pPr>
            <w:r w:rsidRPr="00BE3D8E">
              <w:rPr>
                <w:rFonts w:eastAsia="Arial"/>
              </w:rPr>
              <w:t>Police</w:t>
            </w:r>
          </w:p>
        </w:tc>
        <w:tc>
          <w:tcPr>
            <w:tcW w:w="2455" w:type="pct"/>
            <w:tcBorders>
              <w:top w:val="single" w:sz="4" w:space="0" w:color="002A54" w:themeColor="text2"/>
              <w:bottom w:val="single" w:sz="4" w:space="0" w:color="002A54" w:themeColor="text2"/>
            </w:tcBorders>
            <w:tcMar>
              <w:left w:w="108" w:type="dxa"/>
              <w:right w:w="108" w:type="dxa"/>
            </w:tcMar>
          </w:tcPr>
          <w:p w14:paraId="28EF1F45" w14:textId="77777777" w:rsidR="00D938CB" w:rsidRPr="00BE3D8E" w:rsidRDefault="00D938CB" w:rsidP="0074298E">
            <w:pPr>
              <w:pStyle w:val="TableTextLeft"/>
              <w:rPr>
                <w:rFonts w:eastAsia="Arial"/>
              </w:rPr>
            </w:pPr>
            <w:r w:rsidRPr="00BE3D8E">
              <w:rPr>
                <w:rFonts w:eastAsia="Arial"/>
              </w:rPr>
              <w:t>$5 million per claim or event</w:t>
            </w:r>
          </w:p>
        </w:tc>
      </w:tr>
      <w:tr w:rsidR="00D938CB" w:rsidRPr="00B832E0" w14:paraId="77509749" w14:textId="77777777" w:rsidTr="00F14217">
        <w:trPr>
          <w:trHeight w:val="227"/>
          <w:jc w:val="center"/>
        </w:trPr>
        <w:tc>
          <w:tcPr>
            <w:tcW w:w="1272" w:type="pct"/>
            <w:tcMar>
              <w:left w:w="108" w:type="dxa"/>
              <w:right w:w="108" w:type="dxa"/>
            </w:tcMar>
          </w:tcPr>
          <w:p w14:paraId="2DE090AF" w14:textId="77777777" w:rsidR="00D938CB" w:rsidRPr="00BE3D8E" w:rsidRDefault="00D938CB" w:rsidP="0074298E">
            <w:pPr>
              <w:pStyle w:val="TableTextLeft"/>
              <w:rPr>
                <w:rFonts w:eastAsia="Arial"/>
              </w:rPr>
            </w:pPr>
            <w:r w:rsidRPr="00BE3D8E">
              <w:rPr>
                <w:rFonts w:eastAsia="Arial"/>
              </w:rPr>
              <w:t>VIC</w:t>
            </w:r>
          </w:p>
        </w:tc>
        <w:tc>
          <w:tcPr>
            <w:tcW w:w="1273" w:type="pct"/>
            <w:tcMar>
              <w:left w:w="108" w:type="dxa"/>
              <w:right w:w="108" w:type="dxa"/>
            </w:tcMar>
          </w:tcPr>
          <w:p w14:paraId="1B1B61EB" w14:textId="77777777" w:rsidR="00D938CB" w:rsidRPr="00BE3D8E" w:rsidRDefault="00D938CB" w:rsidP="0074298E">
            <w:pPr>
              <w:pStyle w:val="TableTextLeft"/>
              <w:rPr>
                <w:rFonts w:eastAsia="Arial"/>
              </w:rPr>
            </w:pPr>
            <w:r w:rsidRPr="00BE3D8E">
              <w:rPr>
                <w:rFonts w:eastAsia="Arial"/>
              </w:rPr>
              <w:t>Police</w:t>
            </w:r>
          </w:p>
        </w:tc>
        <w:tc>
          <w:tcPr>
            <w:tcW w:w="2455" w:type="pct"/>
            <w:tcMar>
              <w:left w:w="108" w:type="dxa"/>
              <w:right w:w="108" w:type="dxa"/>
            </w:tcMar>
          </w:tcPr>
          <w:p w14:paraId="04882DC5" w14:textId="77777777" w:rsidR="00D938CB" w:rsidRPr="00BE3D8E" w:rsidRDefault="00D938CB" w:rsidP="0074298E">
            <w:pPr>
              <w:pStyle w:val="TableTextLeft"/>
              <w:rPr>
                <w:rFonts w:eastAsia="Arial"/>
              </w:rPr>
            </w:pPr>
            <w:r w:rsidRPr="00BE3D8E">
              <w:rPr>
                <w:rFonts w:eastAsia="Arial"/>
              </w:rPr>
              <w:t>$5 million per claim or event</w:t>
            </w:r>
          </w:p>
        </w:tc>
      </w:tr>
      <w:tr w:rsidR="00D938CB" w:rsidRPr="00B832E0" w14:paraId="12B8DA83" w14:textId="77777777" w:rsidTr="00F14217">
        <w:trPr>
          <w:trHeight w:val="227"/>
          <w:jc w:val="center"/>
        </w:trPr>
        <w:tc>
          <w:tcPr>
            <w:tcW w:w="1272" w:type="pct"/>
            <w:tcMar>
              <w:left w:w="108" w:type="dxa"/>
              <w:right w:w="108" w:type="dxa"/>
            </w:tcMar>
          </w:tcPr>
          <w:p w14:paraId="69C8B89D" w14:textId="77777777" w:rsidR="00D938CB" w:rsidRPr="00BE3D8E" w:rsidRDefault="00D938CB" w:rsidP="0074298E">
            <w:pPr>
              <w:pStyle w:val="TableTextLeft"/>
              <w:rPr>
                <w:rFonts w:eastAsia="Arial"/>
              </w:rPr>
            </w:pPr>
            <w:r w:rsidRPr="00BE3D8E">
              <w:rPr>
                <w:rFonts w:eastAsia="Arial"/>
              </w:rPr>
              <w:t>WA</w:t>
            </w:r>
          </w:p>
        </w:tc>
        <w:tc>
          <w:tcPr>
            <w:tcW w:w="1273" w:type="pct"/>
            <w:tcMar>
              <w:left w:w="108" w:type="dxa"/>
              <w:right w:w="108" w:type="dxa"/>
            </w:tcMar>
          </w:tcPr>
          <w:p w14:paraId="545F4ADB" w14:textId="77777777" w:rsidR="00D938CB" w:rsidRPr="00BE3D8E" w:rsidRDefault="00D938CB" w:rsidP="0074298E">
            <w:pPr>
              <w:pStyle w:val="TableTextLeft"/>
              <w:rPr>
                <w:rFonts w:eastAsia="Arial"/>
              </w:rPr>
            </w:pPr>
            <w:r w:rsidRPr="00BE3D8E">
              <w:rPr>
                <w:rFonts w:eastAsia="Arial"/>
              </w:rPr>
              <w:t>Police</w:t>
            </w:r>
          </w:p>
        </w:tc>
        <w:tc>
          <w:tcPr>
            <w:tcW w:w="2455" w:type="pct"/>
            <w:tcMar>
              <w:left w:w="108" w:type="dxa"/>
              <w:right w:w="108" w:type="dxa"/>
            </w:tcMar>
          </w:tcPr>
          <w:p w14:paraId="66C79C02" w14:textId="77777777" w:rsidR="00D938CB" w:rsidRPr="00BE3D8E" w:rsidRDefault="00D938CB" w:rsidP="0074298E">
            <w:pPr>
              <w:pStyle w:val="TableTextLeft"/>
              <w:rPr>
                <w:rFonts w:eastAsia="Arial"/>
              </w:rPr>
            </w:pPr>
            <w:r w:rsidRPr="00BE3D8E">
              <w:rPr>
                <w:rFonts w:eastAsia="Arial"/>
              </w:rPr>
              <w:t>$5 million per claim or event</w:t>
            </w:r>
          </w:p>
        </w:tc>
      </w:tr>
      <w:tr w:rsidR="00D938CB" w:rsidRPr="00B832E0" w14:paraId="3729BB31" w14:textId="77777777" w:rsidTr="00F14217">
        <w:trPr>
          <w:trHeight w:val="227"/>
          <w:jc w:val="center"/>
        </w:trPr>
        <w:tc>
          <w:tcPr>
            <w:tcW w:w="1272" w:type="pct"/>
            <w:tcMar>
              <w:left w:w="108" w:type="dxa"/>
              <w:right w:w="108" w:type="dxa"/>
            </w:tcMar>
          </w:tcPr>
          <w:p w14:paraId="58A388A3" w14:textId="77777777" w:rsidR="00D938CB" w:rsidRPr="00BE3D8E" w:rsidRDefault="00D938CB" w:rsidP="0074298E">
            <w:pPr>
              <w:pStyle w:val="TableTextLeft"/>
              <w:rPr>
                <w:rFonts w:eastAsia="Arial"/>
              </w:rPr>
            </w:pPr>
            <w:r w:rsidRPr="00BE3D8E">
              <w:rPr>
                <w:rFonts w:eastAsia="Arial"/>
              </w:rPr>
              <w:t>NT</w:t>
            </w:r>
          </w:p>
        </w:tc>
        <w:tc>
          <w:tcPr>
            <w:tcW w:w="1273" w:type="pct"/>
            <w:tcMar>
              <w:left w:w="108" w:type="dxa"/>
              <w:right w:w="108" w:type="dxa"/>
            </w:tcMar>
          </w:tcPr>
          <w:p w14:paraId="14BDC622" w14:textId="77777777" w:rsidR="00D938CB" w:rsidRPr="00BE3D8E" w:rsidRDefault="00D938CB" w:rsidP="0074298E">
            <w:pPr>
              <w:pStyle w:val="TableTextLeft"/>
              <w:rPr>
                <w:rFonts w:eastAsia="Arial"/>
              </w:rPr>
            </w:pPr>
            <w:r w:rsidRPr="00BE3D8E">
              <w:rPr>
                <w:rFonts w:eastAsia="Arial"/>
              </w:rPr>
              <w:t>Corrections</w:t>
            </w:r>
          </w:p>
        </w:tc>
        <w:tc>
          <w:tcPr>
            <w:tcW w:w="2455" w:type="pct"/>
            <w:tcMar>
              <w:left w:w="108" w:type="dxa"/>
              <w:right w:w="108" w:type="dxa"/>
            </w:tcMar>
          </w:tcPr>
          <w:p w14:paraId="4F66D5ED" w14:textId="77777777" w:rsidR="00D938CB" w:rsidRPr="00BE3D8E" w:rsidRDefault="00D938CB" w:rsidP="0074298E">
            <w:pPr>
              <w:pStyle w:val="TableTextLeft"/>
              <w:rPr>
                <w:rFonts w:eastAsia="Arial"/>
              </w:rPr>
            </w:pPr>
            <w:r w:rsidRPr="00BE3D8E">
              <w:rPr>
                <w:rFonts w:eastAsia="Arial"/>
              </w:rPr>
              <w:t>$5 million per claim or event</w:t>
            </w:r>
          </w:p>
        </w:tc>
      </w:tr>
    </w:tbl>
    <w:p w14:paraId="56FF1553" w14:textId="77777777" w:rsidR="00D938CB" w:rsidRDefault="00D938CB" w:rsidP="0074298E">
      <w:r>
        <w:t xml:space="preserve">The Department of Home Affairs negotiates arrangements as necessary for the provision of corrective services. The indemnity provided to state and territory governments under these arrangements is no more than $30 million per event. </w:t>
      </w:r>
    </w:p>
    <w:p w14:paraId="119ABEE6" w14:textId="15CFC0E2" w:rsidR="00D938CB" w:rsidRPr="00D938CB" w:rsidRDefault="00D938CB" w:rsidP="00E67FBD">
      <w:r>
        <w:t xml:space="preserve">The status of each agreement with state and territory governments varies, such as </w:t>
      </w:r>
      <w:r w:rsidR="00D23095">
        <w:t>‘</w:t>
      </w:r>
      <w:r w:rsidRPr="00FB4966">
        <w:t>in progress</w:t>
      </w:r>
      <w:r w:rsidR="00D23095">
        <w:t>’</w:t>
      </w:r>
      <w:r w:rsidRPr="00FB4966">
        <w:t xml:space="preserve">, </w:t>
      </w:r>
      <w:r w:rsidR="00D23095">
        <w:t>‘</w:t>
      </w:r>
      <w:r w:rsidRPr="00FB4966">
        <w:t>under review</w:t>
      </w:r>
      <w:r w:rsidR="00D23095">
        <w:t>’</w:t>
      </w:r>
      <w:r w:rsidRPr="00FB4966">
        <w:t xml:space="preserve"> and </w:t>
      </w:r>
      <w:r w:rsidR="00D23095">
        <w:t>‘</w:t>
      </w:r>
      <w:r w:rsidRPr="00FB4966">
        <w:t>legacy</w:t>
      </w:r>
      <w:r w:rsidR="00D23095">
        <w:t>’</w:t>
      </w:r>
      <w:r>
        <w:t xml:space="preserve">. The table above sets out all known current agreements with confirmed indemnity liability in accordance with the </w:t>
      </w:r>
      <w:r w:rsidRPr="00E67FBD">
        <w:rPr>
          <w:rStyle w:val="Emphasis"/>
        </w:rPr>
        <w:t>Public Governance, Performance and Accountability Act 2013</w:t>
      </w:r>
      <w:r w:rsidRPr="1BEC0AA8">
        <w:rPr>
          <w:i/>
          <w:iCs/>
        </w:rPr>
        <w:t>.</w:t>
      </w:r>
    </w:p>
    <w:p w14:paraId="66FF6AD8" w14:textId="4EEB59B8" w:rsidR="0023618C" w:rsidRPr="005358B1" w:rsidRDefault="0023618C" w:rsidP="0074298E">
      <w:pPr>
        <w:pStyle w:val="Heading4"/>
        <w:rPr>
          <w:rFonts w:eastAsia="Arial"/>
          <w:lang w:eastAsia="en-US"/>
        </w:rPr>
      </w:pPr>
      <w:r w:rsidRPr="005358B1">
        <w:rPr>
          <w:rFonts w:eastAsia="Arial"/>
          <w:lang w:eastAsia="en-US"/>
        </w:rPr>
        <w:t>Immigration detention services contract (Secure Journeys) – liability limit</w:t>
      </w:r>
    </w:p>
    <w:p w14:paraId="345B7C68" w14:textId="61FBF692" w:rsidR="00E26A3D" w:rsidRDefault="00E26A3D" w:rsidP="00E26A3D">
      <w:pPr>
        <w:rPr>
          <w:rFonts w:eastAsia="Calibri"/>
        </w:rPr>
      </w:pPr>
      <w:bookmarkStart w:id="153" w:name="_Toc184039487"/>
      <w:r w:rsidRPr="00284A56">
        <w:rPr>
          <w:rFonts w:eastAsia="Calibri"/>
        </w:rPr>
        <w:t xml:space="preserve">The Department of Home Affairs </w:t>
      </w:r>
      <w:proofErr w:type="gramStart"/>
      <w:r w:rsidRPr="00284A56">
        <w:rPr>
          <w:rFonts w:eastAsia="Calibri"/>
        </w:rPr>
        <w:t>entered into</w:t>
      </w:r>
      <w:proofErr w:type="gramEnd"/>
      <w:r w:rsidRPr="00284A56">
        <w:rPr>
          <w:rFonts w:eastAsia="Calibri"/>
        </w:rPr>
        <w:t xml:space="preserve"> a new contract with Secure Journeys Pty Ltd (Secure Journeys) commencing on 11 December 2024, to deliver immigration detention services at facilities in Australia on behalf of the Australian Government. The contract limits Secure Journey</w:t>
      </w:r>
      <w:r w:rsidR="0008278C">
        <w:rPr>
          <w:rFonts w:eastAsia="Calibri"/>
        </w:rPr>
        <w:t>s</w:t>
      </w:r>
      <w:r w:rsidR="00D23095">
        <w:rPr>
          <w:rFonts w:eastAsia="Calibri"/>
        </w:rPr>
        <w:t>’</w:t>
      </w:r>
      <w:r w:rsidRPr="00284A56">
        <w:rPr>
          <w:rFonts w:eastAsia="Calibri"/>
        </w:rPr>
        <w:t xml:space="preserve"> total liability to the Commonwealth under the contract to a maximum of $300 million. </w:t>
      </w:r>
      <w:r>
        <w:rPr>
          <w:rFonts w:eastAsia="Calibri"/>
        </w:rPr>
        <w:t xml:space="preserve">The limitation of liability does not apply to </w:t>
      </w:r>
      <w:r w:rsidRPr="00284A56">
        <w:rPr>
          <w:rFonts w:eastAsia="Calibri"/>
        </w:rPr>
        <w:t>specific events defined under the contrac</w:t>
      </w:r>
      <w:r>
        <w:rPr>
          <w:rFonts w:eastAsia="Calibri"/>
        </w:rPr>
        <w:t xml:space="preserve">t – including loss arising from claims </w:t>
      </w:r>
      <w:r w:rsidRPr="00A16F8B">
        <w:rPr>
          <w:rFonts w:eastAsia="Calibri"/>
        </w:rPr>
        <w:t xml:space="preserve">in relation to death, or bodily injury, disease or illness (including mental illness) of any person; statutory penalties; and breach of </w:t>
      </w:r>
      <w:r>
        <w:rPr>
          <w:rFonts w:eastAsia="Calibri"/>
        </w:rPr>
        <w:t xml:space="preserve">Commonwealth or </w:t>
      </w:r>
      <w:r w:rsidRPr="00A16F8B">
        <w:rPr>
          <w:rFonts w:eastAsia="Calibri"/>
        </w:rPr>
        <w:t>State privacy legislation</w:t>
      </w:r>
      <w:r>
        <w:rPr>
          <w:rFonts w:eastAsia="Calibri"/>
        </w:rPr>
        <w:t>.</w:t>
      </w:r>
    </w:p>
    <w:p w14:paraId="6A19D165" w14:textId="77777777" w:rsidR="00FA18DB" w:rsidRPr="005358B1" w:rsidRDefault="00FA18DB" w:rsidP="0074298E">
      <w:pPr>
        <w:pStyle w:val="Heading4"/>
        <w:rPr>
          <w:rFonts w:eastAsia="Arial"/>
          <w:lang w:eastAsia="en-US"/>
        </w:rPr>
      </w:pPr>
      <w:r w:rsidRPr="005358B1">
        <w:rPr>
          <w:rFonts w:eastAsia="Arial"/>
          <w:lang w:eastAsia="en-US"/>
        </w:rPr>
        <w:lastRenderedPageBreak/>
        <w:t>Immigration detention services contract (Serco) – liability limit</w:t>
      </w:r>
    </w:p>
    <w:p w14:paraId="77584583" w14:textId="6A12A446" w:rsidR="00B64CBE" w:rsidRDefault="00FA18DB" w:rsidP="0074298E">
      <w:pPr>
        <w:rPr>
          <w:rFonts w:eastAsia="Calibri"/>
        </w:rPr>
      </w:pPr>
      <w:r w:rsidRPr="00FE72B7">
        <w:rPr>
          <w:rFonts w:eastAsia="Calibri"/>
        </w:rPr>
        <w:t xml:space="preserve">The Department of Home Affairs </w:t>
      </w:r>
      <w:proofErr w:type="gramStart"/>
      <w:r w:rsidRPr="00FE72B7">
        <w:rPr>
          <w:rFonts w:eastAsia="Calibri"/>
        </w:rPr>
        <w:t>entered into</w:t>
      </w:r>
      <w:proofErr w:type="gramEnd"/>
      <w:r w:rsidRPr="00FE72B7">
        <w:rPr>
          <w:rFonts w:eastAsia="Calibri"/>
        </w:rPr>
        <w:t xml:space="preserve"> a contract with Serco Australia Pty Ltd (Serco), which commenced on 11 December 2014, to deliver immigration detention services at facilities in Australia on behalf of the Australian Government. The contract limits Serco</w:t>
      </w:r>
      <w:r w:rsidR="00D23095">
        <w:rPr>
          <w:rFonts w:eastAsia="Calibri"/>
        </w:rPr>
        <w:t>’</w:t>
      </w:r>
      <w:r w:rsidRPr="00FE72B7">
        <w:rPr>
          <w:rFonts w:eastAsia="Calibri"/>
        </w:rPr>
        <w:t>s liability to the Commonwealth to a maximum of any insurance proceeds recovered by Serco up to a value of $330</w:t>
      </w:r>
      <w:r>
        <w:rPr>
          <w:rFonts w:eastAsia="Calibri"/>
        </w:rPr>
        <w:t> million</w:t>
      </w:r>
      <w:r w:rsidRPr="00FE72B7">
        <w:rPr>
          <w:rFonts w:eastAsia="Calibri"/>
        </w:rPr>
        <w:t xml:space="preserve"> for the term of the contract. Serco</w:t>
      </w:r>
      <w:r w:rsidR="00D23095">
        <w:rPr>
          <w:rFonts w:eastAsia="Calibri"/>
        </w:rPr>
        <w:t>’</w:t>
      </w:r>
      <w:r w:rsidRPr="00FE72B7">
        <w:rPr>
          <w:rFonts w:eastAsia="Calibri"/>
        </w:rPr>
        <w:t>s liability is unlimited for specific events defined under the contract. This liability limit will operate simultaneously with a new immigration detention services contract until completion of transition activities.</w:t>
      </w:r>
      <w:r w:rsidR="00B64CBE">
        <w:rPr>
          <w:rFonts w:eastAsia="Calibri"/>
        </w:rPr>
        <w:br w:type="page"/>
      </w:r>
    </w:p>
    <w:p w14:paraId="388524A5" w14:textId="77777777" w:rsidR="0023618C" w:rsidRPr="00B832E0" w:rsidRDefault="0023618C" w:rsidP="0074298E">
      <w:pPr>
        <w:pStyle w:val="Heading2"/>
      </w:pPr>
      <w:bookmarkStart w:id="154" w:name="_Toc193536205"/>
      <w:r w:rsidRPr="00B832E0">
        <w:lastRenderedPageBreak/>
        <w:t>Industry, Science and Resources</w:t>
      </w:r>
      <w:bookmarkEnd w:id="141"/>
      <w:bookmarkEnd w:id="153"/>
      <w:bookmarkEnd w:id="154"/>
    </w:p>
    <w:p w14:paraId="33A7BCF5" w14:textId="3455B5AD" w:rsidR="00E7460C" w:rsidRDefault="00E7460C" w:rsidP="0074298E">
      <w:pPr>
        <w:pStyle w:val="Heading3"/>
      </w:pPr>
      <w:bookmarkStart w:id="155" w:name="_Toc71117833"/>
      <w:bookmarkStart w:id="156" w:name="_Toc99141880"/>
      <w:bookmarkStart w:id="157" w:name="_Toc166165519"/>
      <w:bookmarkStart w:id="158" w:name="_Toc193536206"/>
      <w:bookmarkStart w:id="159" w:name="_Toc71117835"/>
      <w:bookmarkStart w:id="160" w:name="_Toc99141881"/>
      <w:bookmarkStart w:id="161" w:name="_Toc184039488"/>
      <w:bookmarkStart w:id="162" w:name="_Toc99141885"/>
      <w:r w:rsidRPr="00B832E0">
        <w:t xml:space="preserve">Fiscal </w:t>
      </w:r>
      <w:bookmarkEnd w:id="155"/>
      <w:bookmarkEnd w:id="156"/>
      <w:bookmarkEnd w:id="157"/>
      <w:r w:rsidRPr="00B832E0">
        <w:t>Risk</w:t>
      </w:r>
      <w:r w:rsidR="006F132F">
        <w:t>s</w:t>
      </w:r>
      <w:bookmarkEnd w:id="158"/>
    </w:p>
    <w:p w14:paraId="10373923" w14:textId="5946A69D" w:rsidR="00264B3B" w:rsidRPr="00104925" w:rsidRDefault="00264B3B" w:rsidP="0009089A">
      <w:pPr>
        <w:pStyle w:val="Heading4"/>
      </w:pPr>
      <w:bookmarkStart w:id="163" w:name="_Hlk192251067"/>
      <w:r w:rsidRPr="00E634CE">
        <w:t>Government support for Whyalla Steelworks</w:t>
      </w:r>
    </w:p>
    <w:p w14:paraId="1BF5D864" w14:textId="169F9E85" w:rsidR="00264B3B" w:rsidRPr="00EA3F7D" w:rsidRDefault="00264B3B" w:rsidP="0074298E">
      <w:pPr>
        <w:rPr>
          <w:rFonts w:eastAsia="Book Antiqua"/>
        </w:rPr>
      </w:pPr>
      <w:r w:rsidRPr="004164CC">
        <w:rPr>
          <w:rFonts w:eastAsia="Book Antiqua"/>
        </w:rPr>
        <w:t>On 19 February 2025, the South Australian Government appointed an administrator to OneSteel Manufacturing Pty Ltd (OneSteel). On 20 February 2025, the Australian and South Australian Governments announced joint support of $2.4 billion to stabilise and secure the longer</w:t>
      </w:r>
      <w:r w:rsidR="00D23095">
        <w:rPr>
          <w:rFonts w:eastAsia="Book Antiqua"/>
        </w:rPr>
        <w:noBreakHyphen/>
      </w:r>
      <w:r w:rsidRPr="004164CC">
        <w:rPr>
          <w:rFonts w:eastAsia="Book Antiqua"/>
        </w:rPr>
        <w:t>term future of the Whyalla Steelworks, including up to $1.9 billion for the transformation of the Steelworks. The Australian Government</w:t>
      </w:r>
      <w:r w:rsidR="00D23095">
        <w:rPr>
          <w:rFonts w:eastAsia="Book Antiqua"/>
        </w:rPr>
        <w:t>’</w:t>
      </w:r>
      <w:r w:rsidRPr="004164CC">
        <w:rPr>
          <w:rFonts w:eastAsia="Book Antiqua"/>
        </w:rPr>
        <w:t xml:space="preserve">s funding contribution for immediate on the ground support and the administration process are reflected in the </w:t>
      </w:r>
      <w:r w:rsidR="00F2136A">
        <w:rPr>
          <w:rFonts w:eastAsia="Book Antiqua"/>
        </w:rPr>
        <w:t>2025</w:t>
      </w:r>
      <w:r w:rsidR="00AF3497">
        <w:rPr>
          <w:rFonts w:eastAsia="Book Antiqua"/>
        </w:rPr>
        <w:t>‍–‍</w:t>
      </w:r>
      <w:r w:rsidR="00F2136A">
        <w:rPr>
          <w:rFonts w:eastAsia="Book Antiqua"/>
        </w:rPr>
        <w:t>26</w:t>
      </w:r>
      <w:r w:rsidR="00AF3497">
        <w:rPr>
          <w:rFonts w:eastAsia="Book Antiqua"/>
        </w:rPr>
        <w:t> </w:t>
      </w:r>
      <w:r w:rsidR="00F2136A">
        <w:rPr>
          <w:rFonts w:eastAsia="Book Antiqua"/>
        </w:rPr>
        <w:t>Budget</w:t>
      </w:r>
      <w:r w:rsidRPr="004164CC">
        <w:rPr>
          <w:rFonts w:eastAsia="Book Antiqua"/>
        </w:rPr>
        <w:t>, as is the commitment of up to $500 million of the Green Iron Investment Fund to support the longer</w:t>
      </w:r>
      <w:r w:rsidR="00D23095">
        <w:rPr>
          <w:rFonts w:eastAsia="Book Antiqua"/>
        </w:rPr>
        <w:noBreakHyphen/>
      </w:r>
      <w:r w:rsidRPr="004164CC">
        <w:rPr>
          <w:rFonts w:eastAsia="Book Antiqua"/>
        </w:rPr>
        <w:t>term transformation of the Steelworks. The Australian Government has also committed to make additional financing contributions, subject to commercial negotiations, as part of the $1.9 billion joint commitment to the long</w:t>
      </w:r>
      <w:r w:rsidR="00D23095">
        <w:rPr>
          <w:rFonts w:eastAsia="Book Antiqua"/>
        </w:rPr>
        <w:noBreakHyphen/>
      </w:r>
      <w:r w:rsidRPr="004164CC">
        <w:rPr>
          <w:rFonts w:eastAsia="Book Antiqua"/>
        </w:rPr>
        <w:t xml:space="preserve">term transformation of the steelworks. Further funding to support an extension of the administration process could also be </w:t>
      </w:r>
      <w:proofErr w:type="gramStart"/>
      <w:r w:rsidRPr="004164CC">
        <w:rPr>
          <w:rFonts w:eastAsia="Book Antiqua"/>
        </w:rPr>
        <w:t>considered</w:t>
      </w:r>
      <w:proofErr w:type="gramEnd"/>
      <w:r w:rsidRPr="004164CC">
        <w:rPr>
          <w:rFonts w:eastAsia="Book Antiqua"/>
        </w:rPr>
        <w:t xml:space="preserve"> if necessary, but this would be subject to a future decision of government so is unable to be quantified at this time.</w:t>
      </w:r>
      <w:bookmarkEnd w:id="163"/>
    </w:p>
    <w:p w14:paraId="4508C3BE" w14:textId="77777777" w:rsidR="00E7460C" w:rsidRPr="00B832E0" w:rsidRDefault="00E7460C" w:rsidP="0074298E">
      <w:pPr>
        <w:pStyle w:val="Heading4"/>
      </w:pPr>
      <w:r w:rsidRPr="00B832E0">
        <w:t>Rehabilitation of the Ranger Uranium Mine</w:t>
      </w:r>
    </w:p>
    <w:p w14:paraId="7C4A2776" w14:textId="1D17AF44" w:rsidR="00E7460C" w:rsidRPr="008A16E2" w:rsidRDefault="00E7460C" w:rsidP="0074298E">
      <w:r>
        <w:t>The Australian Government approved the Ranger Uranium Mine (Ranger) in the late</w:t>
      </w:r>
      <w:r w:rsidR="00F92717">
        <w:t> </w:t>
      </w:r>
      <w:r>
        <w:t xml:space="preserve">1970s. Energy Resources of Australia Ltd (ERA) was authorised to mine uranium at Ranger until </w:t>
      </w:r>
      <w:proofErr w:type="gramStart"/>
      <w:r>
        <w:t>2021, and</w:t>
      </w:r>
      <w:proofErr w:type="gramEnd"/>
      <w:r>
        <w:t xml:space="preserve"> is required to rehabilitate the site to achieve an environmental condition similar to adjacent areas. Pursuant to the renegotiated agreement between the Australian</w:t>
      </w:r>
      <w:r w:rsidR="00A572BD">
        <w:t> </w:t>
      </w:r>
      <w:r>
        <w:t>Government and the Northern Land Council, the Australian Government would be responsible for carrying out rehabilitation works at the Ranger site should ERA fail to</w:t>
      </w:r>
      <w:r w:rsidR="006D6889">
        <w:t xml:space="preserve"> </w:t>
      </w:r>
      <w:r>
        <w:t>complete the works. ERA has provided a rehabilitation security to the Australian Government to cover the expected costs of rehabilitation should it be called upon.</w:t>
      </w:r>
    </w:p>
    <w:p w14:paraId="0EA38EBE" w14:textId="056A25D9" w:rsidR="00E7460C" w:rsidRPr="00E7460C" w:rsidRDefault="00E7460C" w:rsidP="00BD4364">
      <w:pPr>
        <w:shd w:val="clear" w:color="auto" w:fill="FFFFFF" w:themeFill="background1"/>
        <w:rPr>
          <w:rFonts w:eastAsia="Arial"/>
          <w:b/>
          <w:bCs/>
          <w:lang w:val="en-US"/>
        </w:rPr>
      </w:pPr>
      <w:r>
        <w:t xml:space="preserve">The rehabilitation security is revalued periodically based on estimated rehabilitation costs at a point in time, and ERA may be required to provide further security if </w:t>
      </w:r>
      <w:proofErr w:type="gramStart"/>
      <w:r>
        <w:t>necessary</w:t>
      </w:r>
      <w:proofErr w:type="gramEnd"/>
      <w:r>
        <w:t xml:space="preserve"> following a revaluation. The security currently reflects valuation assumptions as </w:t>
      </w:r>
      <w:proofErr w:type="gramStart"/>
      <w:r>
        <w:t>at</w:t>
      </w:r>
      <w:proofErr w:type="gramEnd"/>
      <w:r>
        <w:t xml:space="preserve"> March 2020. Recent assessments of the rehabilitation costs undertaken by the Government indicate that the potential costs have increased significantly following the last security valuation (in March 2020) and that, at present, the security held by the Australian Government would not be sufficient to rehabilitate the site should the Australian Government be required to do so. The Government acknowledges the uncertainty in costing rehabilitation works beyond 2027 and the impact this has on the timing of the next security valuation. Until the security can be valued </w:t>
      </w:r>
      <w:proofErr w:type="gramStart"/>
      <w:r>
        <w:t>in light of</w:t>
      </w:r>
      <w:proofErr w:type="gramEnd"/>
      <w:r>
        <w:t xml:space="preserve"> the cost uncertainties being experienced by ERA, the difference between the expected rehabilitation costs and the security held by the Australian</w:t>
      </w:r>
      <w:r w:rsidR="000579E8">
        <w:t> </w:t>
      </w:r>
      <w:r>
        <w:t>Government represents a fiscal risk to the Budget.</w:t>
      </w:r>
    </w:p>
    <w:p w14:paraId="66DBA5AE" w14:textId="7DFAEDA4" w:rsidR="0023618C" w:rsidRDefault="0023618C" w:rsidP="00BD4364">
      <w:pPr>
        <w:pStyle w:val="Heading3"/>
        <w:shd w:val="clear" w:color="auto" w:fill="FFFFFF" w:themeFill="background1"/>
      </w:pPr>
      <w:bookmarkStart w:id="164" w:name="_Toc193536207"/>
      <w:r w:rsidRPr="00B832E0">
        <w:lastRenderedPageBreak/>
        <w:t xml:space="preserve">Significant but remote </w:t>
      </w:r>
      <w:bookmarkEnd w:id="159"/>
      <w:bookmarkEnd w:id="160"/>
      <w:bookmarkEnd w:id="161"/>
      <w:r>
        <w:t>contingenc</w:t>
      </w:r>
      <w:r w:rsidR="00E7460C">
        <w:t>ies</w:t>
      </w:r>
      <w:bookmarkEnd w:id="164"/>
    </w:p>
    <w:p w14:paraId="2268BF80" w14:textId="145161D9" w:rsidR="001C57B8" w:rsidRPr="00B832E0" w:rsidRDefault="001C57B8" w:rsidP="00BD4364">
      <w:pPr>
        <w:pStyle w:val="Heading4"/>
        <w:shd w:val="clear" w:color="auto" w:fill="FFFFFF" w:themeFill="background1"/>
      </w:pPr>
      <w:r w:rsidRPr="00B832E0">
        <w:t>Liability for damages caused by space and certain high</w:t>
      </w:r>
      <w:r w:rsidR="00934EDE">
        <w:t>-</w:t>
      </w:r>
      <w:r w:rsidRPr="00B832E0">
        <w:t>power rocket activities</w:t>
      </w:r>
    </w:p>
    <w:p w14:paraId="27874E92" w14:textId="3D752C78" w:rsidR="001C57B8" w:rsidRPr="00B832E0" w:rsidRDefault="001C57B8" w:rsidP="00BD4364">
      <w:pPr>
        <w:shd w:val="clear" w:color="auto" w:fill="FFFFFF" w:themeFill="background1"/>
      </w:pPr>
      <w:r w:rsidRPr="00B832E0">
        <w:t xml:space="preserve">Under the United Nations Convention on International Liability for Damage Caused by Space Objects, the Australian Government may be liable to pay compensation for damage caused to nationals of other countries by space objects launched from Australia, or by Australian nationals overseas. For activities approved under the </w:t>
      </w:r>
      <w:r w:rsidRPr="00452A5F">
        <w:rPr>
          <w:rStyle w:val="Emphasis"/>
        </w:rPr>
        <w:t>Space (Launches and Returns) Act 2018</w:t>
      </w:r>
      <w:r w:rsidRPr="00B832E0">
        <w:t xml:space="preserve"> the Government also accepts liability for damage suffered by Australian</w:t>
      </w:r>
      <w:r w:rsidR="006D6889">
        <w:t> </w:t>
      </w:r>
      <w:r w:rsidRPr="00B832E0">
        <w:t>nationals, to a maximum value of $3 billion above an insured level.</w:t>
      </w:r>
    </w:p>
    <w:p w14:paraId="0CDDEBF1" w14:textId="472FFAD8" w:rsidR="001C57B8" w:rsidRPr="00B832E0" w:rsidDel="00186710" w:rsidRDefault="001C57B8" w:rsidP="00BD4364">
      <w:pPr>
        <w:shd w:val="clear" w:color="auto" w:fill="FFFFFF" w:themeFill="background1"/>
      </w:pPr>
      <w:r w:rsidRPr="00B832E0">
        <w:t xml:space="preserve">To address this risk, </w:t>
      </w:r>
      <w:proofErr w:type="gramStart"/>
      <w:r w:rsidRPr="00B832E0">
        <w:t>in order to</w:t>
      </w:r>
      <w:proofErr w:type="gramEnd"/>
      <w:r w:rsidRPr="00B832E0">
        <w:t xml:space="preserve"> have a space or high</w:t>
      </w:r>
      <w:r w:rsidR="00D23095">
        <w:noBreakHyphen/>
      </w:r>
      <w:r w:rsidRPr="00B832E0">
        <w:t>power rocket activity approved under the</w:t>
      </w:r>
      <w:r w:rsidRPr="00B832E0" w:rsidDel="00283BBD">
        <w:t xml:space="preserve"> </w:t>
      </w:r>
      <w:r w:rsidRPr="00452A5F">
        <w:rPr>
          <w:rStyle w:val="Emphasis"/>
        </w:rPr>
        <w:t xml:space="preserve">Space (Launches and Returns) Act, </w:t>
      </w:r>
      <w:r w:rsidRPr="00283BBD">
        <w:rPr>
          <w:iCs/>
        </w:rPr>
        <w:t>the</w:t>
      </w:r>
      <w:r w:rsidRPr="00B832E0">
        <w:t xml:space="preserve"> responsible party is required to insure against, or take financial responsibility for, damage to third parties. The amount of insurance or financial responsibility is capped at $100 million. </w:t>
      </w:r>
    </w:p>
    <w:p w14:paraId="3EB0DF06" w14:textId="096D7C4C" w:rsidR="001C57B8" w:rsidRPr="001C57B8" w:rsidRDefault="001C57B8" w:rsidP="00BD4364">
      <w:pPr>
        <w:shd w:val="clear" w:color="auto" w:fill="FFFFFF" w:themeFill="background1"/>
      </w:pPr>
      <w:r w:rsidRPr="00B832E0">
        <w:t>The</w:t>
      </w:r>
      <w:r>
        <w:t> </w:t>
      </w:r>
      <w:r w:rsidRPr="00452A5F">
        <w:rPr>
          <w:rStyle w:val="Emphasis"/>
        </w:rPr>
        <w:t>Space (Launches and Returns) Act</w:t>
      </w:r>
      <w:r w:rsidRPr="00283BBD">
        <w:rPr>
          <w:iCs/>
        </w:rPr>
        <w:t xml:space="preserve"> provides</w:t>
      </w:r>
      <w:r w:rsidRPr="00B832E0">
        <w:t xml:space="preserve"> for amounts lower than $100</w:t>
      </w:r>
      <w:r>
        <w:t> </w:t>
      </w:r>
      <w:r w:rsidRPr="00B832E0">
        <w:t>million depending on the risk profile of the activity. A maximum probable loss methodology is also</w:t>
      </w:r>
      <w:r>
        <w:t> </w:t>
      </w:r>
      <w:r w:rsidRPr="00B832E0">
        <w:t>available to calculate the amount of insurance or financial responsibility.</w:t>
      </w:r>
    </w:p>
    <w:p w14:paraId="136FF8F4" w14:textId="77777777" w:rsidR="0023618C" w:rsidRDefault="0023618C" w:rsidP="00BD4364">
      <w:pPr>
        <w:pStyle w:val="Heading4"/>
        <w:shd w:val="clear" w:color="auto" w:fill="FFFFFF" w:themeFill="background1"/>
      </w:pPr>
      <w:bookmarkStart w:id="165" w:name="_Toc71117839"/>
      <w:bookmarkStart w:id="166" w:name="_Toc71117838"/>
      <w:r w:rsidRPr="00B832E0">
        <w:t>Operations and maintenance of the Northern Endeavour and associated infrastructure</w:t>
      </w:r>
      <w:bookmarkEnd w:id="165"/>
    </w:p>
    <w:p w14:paraId="49AE5BF7" w14:textId="46110109" w:rsidR="0023618C" w:rsidRPr="00E7328E" w:rsidRDefault="0023618C" w:rsidP="00BD4364">
      <w:pPr>
        <w:widowControl w:val="0"/>
        <w:shd w:val="clear" w:color="auto" w:fill="FFFFFF" w:themeFill="background1"/>
        <w:spacing w:line="240" w:lineRule="auto"/>
        <w:rPr>
          <w:rFonts w:eastAsia="Calibri" w:cs="Arial"/>
          <w:szCs w:val="19"/>
          <w:lang w:eastAsia="en-US"/>
        </w:rPr>
      </w:pPr>
      <w:r w:rsidRPr="00E7328E">
        <w:rPr>
          <w:rFonts w:eastAsia="Calibri" w:cs="Arial"/>
          <w:szCs w:val="19"/>
          <w:lang w:eastAsia="en-US"/>
        </w:rPr>
        <w:t>On 31 March 2022, Petrofac Facilities Management Limited (Petrofac) was engaged to deliver Phase One of the decommissioning of the Northern Endeavour. This will see the floating production storage and offtake facility (FPSO) disconnected from the sub</w:t>
      </w:r>
      <w:r w:rsidR="00D23095">
        <w:rPr>
          <w:rFonts w:eastAsia="Calibri" w:cs="Arial"/>
          <w:szCs w:val="19"/>
          <w:lang w:eastAsia="en-US"/>
        </w:rPr>
        <w:noBreakHyphen/>
      </w:r>
      <w:r w:rsidRPr="00E7328E">
        <w:rPr>
          <w:rFonts w:eastAsia="Calibri" w:cs="Arial"/>
          <w:szCs w:val="19"/>
          <w:lang w:eastAsia="en-US"/>
        </w:rPr>
        <w:t>sea equipment and temporary suspension of the wells. On 30</w:t>
      </w:r>
      <w:r w:rsidR="006D6889">
        <w:rPr>
          <w:rFonts w:eastAsia="Calibri" w:cs="Arial"/>
          <w:szCs w:val="19"/>
          <w:lang w:eastAsia="en-US"/>
        </w:rPr>
        <w:t> </w:t>
      </w:r>
      <w:r w:rsidRPr="00E7328E">
        <w:rPr>
          <w:rFonts w:eastAsia="Calibri" w:cs="Arial"/>
          <w:szCs w:val="19"/>
          <w:lang w:eastAsia="en-US"/>
        </w:rPr>
        <w:t>September</w:t>
      </w:r>
      <w:r w:rsidR="006D6889">
        <w:rPr>
          <w:rFonts w:eastAsia="Calibri" w:cs="Arial"/>
          <w:szCs w:val="19"/>
          <w:lang w:eastAsia="en-US"/>
        </w:rPr>
        <w:t> </w:t>
      </w:r>
      <w:r w:rsidRPr="00E7328E">
        <w:rPr>
          <w:rFonts w:eastAsia="Calibri" w:cs="Arial"/>
          <w:szCs w:val="19"/>
          <w:lang w:eastAsia="en-US"/>
        </w:rPr>
        <w:t xml:space="preserve">2022, the operational control of the facility transitioned from Upstream Production Solutions Pty Ltd to Petrofac. </w:t>
      </w:r>
    </w:p>
    <w:p w14:paraId="410AFCD4" w14:textId="06C811AC" w:rsidR="0023618C" w:rsidRPr="00E7328E" w:rsidRDefault="0023618C" w:rsidP="00BD4364">
      <w:pPr>
        <w:widowControl w:val="0"/>
        <w:shd w:val="clear" w:color="auto" w:fill="FFFFFF" w:themeFill="background1"/>
        <w:spacing w:line="240" w:lineRule="auto"/>
        <w:rPr>
          <w:rFonts w:eastAsia="Calibri" w:cs="Arial"/>
          <w:szCs w:val="19"/>
          <w:lang w:eastAsia="en-US"/>
        </w:rPr>
      </w:pPr>
      <w:r w:rsidRPr="00E7328E">
        <w:rPr>
          <w:rFonts w:eastAsia="Calibri" w:cs="Arial"/>
          <w:szCs w:val="19"/>
          <w:lang w:eastAsia="en-US"/>
        </w:rPr>
        <w:t xml:space="preserve">The contract with Petrofac has adopted an industry standard </w:t>
      </w:r>
      <w:r w:rsidR="00D23095">
        <w:rPr>
          <w:rFonts w:eastAsia="Calibri" w:cs="Arial"/>
          <w:szCs w:val="19"/>
          <w:lang w:eastAsia="en-US"/>
        </w:rPr>
        <w:t>‘</w:t>
      </w:r>
      <w:r w:rsidRPr="00E7328E">
        <w:rPr>
          <w:rFonts w:eastAsia="Calibri" w:cs="Arial"/>
          <w:szCs w:val="19"/>
          <w:lang w:eastAsia="en-US"/>
        </w:rPr>
        <w:t>knock</w:t>
      </w:r>
      <w:r w:rsidR="00D23095">
        <w:rPr>
          <w:rFonts w:eastAsia="Calibri" w:cs="Arial"/>
          <w:szCs w:val="19"/>
          <w:lang w:eastAsia="en-US"/>
        </w:rPr>
        <w:noBreakHyphen/>
      </w:r>
      <w:r w:rsidRPr="00E7328E">
        <w:rPr>
          <w:rFonts w:eastAsia="Calibri" w:cs="Arial"/>
          <w:szCs w:val="19"/>
          <w:lang w:eastAsia="en-US"/>
        </w:rPr>
        <w:t>for</w:t>
      </w:r>
      <w:r w:rsidR="00D23095">
        <w:rPr>
          <w:rFonts w:eastAsia="Calibri" w:cs="Arial"/>
          <w:szCs w:val="19"/>
          <w:lang w:eastAsia="en-US"/>
        </w:rPr>
        <w:noBreakHyphen/>
      </w:r>
      <w:r w:rsidRPr="00E7328E">
        <w:rPr>
          <w:rFonts w:eastAsia="Calibri" w:cs="Arial"/>
          <w:szCs w:val="19"/>
          <w:lang w:eastAsia="en-US"/>
        </w:rPr>
        <w:t>knock</w:t>
      </w:r>
      <w:r w:rsidR="00D23095">
        <w:rPr>
          <w:rFonts w:eastAsia="Calibri" w:cs="Arial"/>
          <w:szCs w:val="19"/>
          <w:lang w:eastAsia="en-US"/>
        </w:rPr>
        <w:t>’</w:t>
      </w:r>
      <w:r w:rsidRPr="00E7328E">
        <w:rPr>
          <w:rFonts w:eastAsia="Calibri" w:cs="Arial"/>
          <w:szCs w:val="19"/>
          <w:lang w:eastAsia="en-US"/>
        </w:rPr>
        <w:t xml:space="preserve"> risk and liability allocation arrangement, that positions risks so that they are borne by the party most likely to be able to financially manage the consequences of a risk materialising. Petrofac is liable, to a pre</w:t>
      </w:r>
      <w:r w:rsidR="00D23095">
        <w:rPr>
          <w:rFonts w:eastAsia="Calibri" w:cs="Arial"/>
          <w:szCs w:val="19"/>
          <w:lang w:eastAsia="en-US"/>
        </w:rPr>
        <w:noBreakHyphen/>
      </w:r>
      <w:r w:rsidRPr="00E7328E">
        <w:rPr>
          <w:rFonts w:eastAsia="Calibri" w:cs="Arial"/>
          <w:szCs w:val="19"/>
          <w:lang w:eastAsia="en-US"/>
        </w:rPr>
        <w:t>determined cap, for several insured risks, including to property, pollution and the environment. Petrofac will also bear responsibility for some instances of loss or damage to the extent it is caused by Petrofac</w:t>
      </w:r>
      <w:r w:rsidR="00D23095">
        <w:rPr>
          <w:rFonts w:eastAsia="Calibri" w:cs="Arial"/>
          <w:szCs w:val="19"/>
          <w:lang w:eastAsia="en-US"/>
        </w:rPr>
        <w:t>’</w:t>
      </w:r>
      <w:r w:rsidRPr="00E7328E">
        <w:rPr>
          <w:rFonts w:eastAsia="Calibri" w:cs="Arial"/>
          <w:szCs w:val="19"/>
          <w:lang w:eastAsia="en-US"/>
        </w:rPr>
        <w:t xml:space="preserve">s negligence or wilful misconduct. </w:t>
      </w:r>
    </w:p>
    <w:p w14:paraId="5D9232A5" w14:textId="655F360E" w:rsidR="0023618C" w:rsidRPr="00E7328E" w:rsidRDefault="0023618C" w:rsidP="00BD4364">
      <w:pPr>
        <w:widowControl w:val="0"/>
        <w:shd w:val="clear" w:color="auto" w:fill="FFFFFF" w:themeFill="background1"/>
        <w:spacing w:line="240" w:lineRule="auto"/>
        <w:rPr>
          <w:rFonts w:eastAsia="Calibri" w:cs="Arial"/>
          <w:szCs w:val="19"/>
          <w:lang w:eastAsia="en-US"/>
        </w:rPr>
      </w:pPr>
      <w:r w:rsidRPr="00E7328E">
        <w:rPr>
          <w:rFonts w:eastAsia="Calibri" w:cs="Arial"/>
          <w:szCs w:val="19"/>
          <w:lang w:eastAsia="en-US"/>
        </w:rPr>
        <w:t>The Australian Government has obtained protection and indemnity, facility damage and control of well insurance, and taken out membership with oil spill response agencies. These limit the Government</w:t>
      </w:r>
      <w:r w:rsidR="00D23095">
        <w:rPr>
          <w:rFonts w:eastAsia="Calibri" w:cs="Arial"/>
          <w:szCs w:val="19"/>
          <w:lang w:eastAsia="en-US"/>
        </w:rPr>
        <w:t>’</w:t>
      </w:r>
      <w:r w:rsidRPr="00E7328E">
        <w:rPr>
          <w:rFonts w:eastAsia="Calibri" w:cs="Arial"/>
          <w:szCs w:val="19"/>
          <w:lang w:eastAsia="en-US"/>
        </w:rPr>
        <w:t xml:space="preserve">s potential risk and financial exposure. </w:t>
      </w:r>
    </w:p>
    <w:p w14:paraId="4CADD7C8" w14:textId="77777777" w:rsidR="0023618C" w:rsidRPr="00E7328E" w:rsidRDefault="0023618C" w:rsidP="00BD4364">
      <w:pPr>
        <w:widowControl w:val="0"/>
        <w:shd w:val="clear" w:color="auto" w:fill="FFFFFF" w:themeFill="background1"/>
        <w:spacing w:line="240" w:lineRule="auto"/>
        <w:rPr>
          <w:rFonts w:eastAsia="Calibri" w:cs="Arial"/>
          <w:szCs w:val="19"/>
          <w:lang w:eastAsia="en-US"/>
        </w:rPr>
      </w:pPr>
      <w:r w:rsidRPr="00E7328E">
        <w:rPr>
          <w:rFonts w:eastAsia="Calibri" w:cs="Arial"/>
          <w:szCs w:val="19"/>
          <w:lang w:eastAsia="en-US"/>
        </w:rPr>
        <w:t xml:space="preserve">The risk of an incident is remote. The floating production storage offtake facility is being maintained with safety critical maintenance carried out, limited oil in storage and no further oil production taking place. The additional works to prepare for disconnection are not considered to materially increase the risk. </w:t>
      </w:r>
    </w:p>
    <w:p w14:paraId="443BE674" w14:textId="08D38DA3" w:rsidR="0023618C" w:rsidRPr="00E7328E" w:rsidRDefault="0023618C" w:rsidP="00BD4364">
      <w:pPr>
        <w:widowControl w:val="0"/>
        <w:shd w:val="clear" w:color="auto" w:fill="FFFFFF" w:themeFill="background1"/>
        <w:spacing w:line="240" w:lineRule="auto"/>
        <w:rPr>
          <w:rFonts w:eastAsia="Calibri" w:cs="Arial"/>
          <w:szCs w:val="19"/>
          <w:lang w:eastAsia="en-US"/>
        </w:rPr>
      </w:pPr>
      <w:r w:rsidRPr="00E7328E">
        <w:rPr>
          <w:rFonts w:eastAsia="Calibri" w:cs="Arial"/>
          <w:szCs w:val="19"/>
          <w:lang w:eastAsia="en-US"/>
        </w:rPr>
        <w:t>Petrofac Limited, the parent company of Petrofac, is experiencing financial difficulties and is pursuing a financial restructure to resolve its solvency issues. So far, delivery of Phase</w:t>
      </w:r>
      <w:r w:rsidR="00E75D7D">
        <w:rPr>
          <w:rFonts w:eastAsia="Calibri" w:cs="Arial"/>
          <w:szCs w:val="19"/>
          <w:lang w:eastAsia="en-US"/>
        </w:rPr>
        <w:t> </w:t>
      </w:r>
      <w:r w:rsidRPr="00E7328E">
        <w:rPr>
          <w:rFonts w:eastAsia="Calibri" w:cs="Arial"/>
          <w:szCs w:val="19"/>
          <w:lang w:eastAsia="en-US"/>
        </w:rPr>
        <w:t xml:space="preserve">One decommissioning of the Northern Endeavour has remained largely unaffected </w:t>
      </w:r>
      <w:r w:rsidRPr="00E7328E">
        <w:rPr>
          <w:rFonts w:eastAsia="Calibri" w:cs="Arial"/>
          <w:szCs w:val="19"/>
          <w:lang w:eastAsia="en-US"/>
        </w:rPr>
        <w:lastRenderedPageBreak/>
        <w:t>by this financial situation, however solvency issues could increase project delivery risks and potentially lead to delays and increase costs. The Australian</w:t>
      </w:r>
      <w:r w:rsidR="00E75D7D">
        <w:rPr>
          <w:rFonts w:eastAsia="Calibri" w:cs="Arial"/>
          <w:szCs w:val="19"/>
          <w:lang w:eastAsia="en-US"/>
        </w:rPr>
        <w:t> </w:t>
      </w:r>
      <w:r w:rsidRPr="00E7328E">
        <w:rPr>
          <w:rFonts w:eastAsia="Calibri" w:cs="Arial"/>
          <w:szCs w:val="19"/>
          <w:lang w:eastAsia="en-US"/>
        </w:rPr>
        <w:t>Government continues to work with Petrofac to anticipate and minimise any potential impacts to program delivery.</w:t>
      </w:r>
    </w:p>
    <w:p w14:paraId="4904BEF7" w14:textId="2F2CB2A3" w:rsidR="0023618C" w:rsidRDefault="0023618C" w:rsidP="00BD4364">
      <w:pPr>
        <w:widowControl w:val="0"/>
        <w:shd w:val="clear" w:color="auto" w:fill="FFFFFF" w:themeFill="background1"/>
        <w:spacing w:line="240" w:lineRule="auto"/>
        <w:rPr>
          <w:rFonts w:asciiTheme="minorHAnsi" w:eastAsia="Calibri" w:hAnsiTheme="minorHAnsi" w:cs="Arial"/>
          <w:i/>
          <w:iCs/>
          <w:szCs w:val="19"/>
          <w:lang w:eastAsia="en-US"/>
        </w:rPr>
      </w:pPr>
      <w:r w:rsidRPr="00E7328E">
        <w:rPr>
          <w:rFonts w:eastAsia="Calibri" w:cs="Arial"/>
          <w:szCs w:val="19"/>
          <w:lang w:eastAsia="en-US"/>
        </w:rPr>
        <w:t>The Australian Government has committed to decommission the Northern Endeavour FPSO and remediate the Laminaria</w:t>
      </w:r>
      <w:r w:rsidR="00D23095">
        <w:rPr>
          <w:rFonts w:eastAsia="Calibri" w:cs="Arial"/>
          <w:szCs w:val="19"/>
          <w:lang w:eastAsia="en-US"/>
        </w:rPr>
        <w:noBreakHyphen/>
      </w:r>
      <w:r w:rsidRPr="00E7328E">
        <w:rPr>
          <w:rFonts w:eastAsia="Calibri" w:cs="Arial"/>
          <w:szCs w:val="19"/>
          <w:lang w:eastAsia="en-US"/>
        </w:rPr>
        <w:t>Corallina oil fields. The cost to deliver Phase</w:t>
      </w:r>
      <w:r w:rsidR="006D6889">
        <w:rPr>
          <w:rFonts w:eastAsia="Calibri" w:cs="Arial"/>
          <w:szCs w:val="19"/>
          <w:lang w:eastAsia="en-US"/>
        </w:rPr>
        <w:t> </w:t>
      </w:r>
      <w:r w:rsidRPr="00E7328E">
        <w:rPr>
          <w:rFonts w:eastAsia="Calibri" w:cs="Arial"/>
          <w:szCs w:val="19"/>
          <w:lang w:eastAsia="en-US"/>
        </w:rPr>
        <w:t xml:space="preserve">One of the decommissioning, including the disconnection and disposal of the FPSO, is </w:t>
      </w:r>
      <w:proofErr w:type="gramStart"/>
      <w:r w:rsidRPr="00E7328E">
        <w:rPr>
          <w:rFonts w:eastAsia="Calibri" w:cs="Arial"/>
          <w:szCs w:val="19"/>
          <w:lang w:eastAsia="en-US"/>
        </w:rPr>
        <w:t>taken into account</w:t>
      </w:r>
      <w:proofErr w:type="gramEnd"/>
      <w:r w:rsidRPr="00E7328E">
        <w:rPr>
          <w:rFonts w:eastAsia="Calibri" w:cs="Arial"/>
          <w:szCs w:val="19"/>
          <w:lang w:eastAsia="en-US"/>
        </w:rPr>
        <w:t xml:space="preserve"> in the forward estimates. However, costs for the subsequent phases of the decommissioning – the permanent plug and abandonment of the wells (Phase</w:t>
      </w:r>
      <w:r w:rsidR="002112AB">
        <w:rPr>
          <w:rFonts w:eastAsia="Calibri" w:cs="Arial"/>
          <w:szCs w:val="19"/>
          <w:lang w:eastAsia="en-US"/>
        </w:rPr>
        <w:t> </w:t>
      </w:r>
      <w:r w:rsidRPr="00E7328E">
        <w:rPr>
          <w:rFonts w:eastAsia="Calibri" w:cs="Arial"/>
          <w:szCs w:val="19"/>
          <w:lang w:eastAsia="en-US"/>
        </w:rPr>
        <w:t xml:space="preserve">Two) and the removal of subsea infrastructure (Phase Three), which are estimated to commence over the forward estimates period – are not able to be fully quantified until procurement activities for those Phases have been completed. Actual costs associated with Northern Endeavour decommissioning will be recovered through the </w:t>
      </w:r>
      <w:r w:rsidRPr="00A05D88">
        <w:rPr>
          <w:rStyle w:val="Emphasis"/>
          <w:rFonts w:eastAsia="Calibri"/>
        </w:rPr>
        <w:t>Offshore Petroleum (Laminaria and Corallina Decommissioning Cost Recovery Levy) Act 2022.</w:t>
      </w:r>
    </w:p>
    <w:p w14:paraId="0C75873B" w14:textId="77777777" w:rsidR="00C4798A" w:rsidRPr="00B832E0" w:rsidRDefault="00C4798A" w:rsidP="00BD4364">
      <w:pPr>
        <w:pStyle w:val="Heading3"/>
        <w:shd w:val="clear" w:color="auto" w:fill="FFFFFF" w:themeFill="background1"/>
      </w:pPr>
      <w:bookmarkStart w:id="167" w:name="_Toc166165521"/>
      <w:bookmarkStart w:id="168" w:name="_Toc193536208"/>
      <w:r w:rsidRPr="00B832E0">
        <w:t>Contingent liabilities – unquantifiable</w:t>
      </w:r>
      <w:bookmarkEnd w:id="167"/>
      <w:bookmarkEnd w:id="168"/>
    </w:p>
    <w:p w14:paraId="13D1A220" w14:textId="77777777" w:rsidR="00C4798A" w:rsidRPr="00B832E0" w:rsidRDefault="00C4798A" w:rsidP="00BD4364">
      <w:pPr>
        <w:pStyle w:val="Heading4"/>
        <w:shd w:val="clear" w:color="auto" w:fill="FFFFFF" w:themeFill="background1"/>
      </w:pPr>
      <w:r w:rsidRPr="00B832E0">
        <w:t>Australian Nuclear Science and Technology Organisation – asbestos contamination</w:t>
      </w:r>
    </w:p>
    <w:p w14:paraId="6C45683C" w14:textId="1AF1D0E6" w:rsidR="00C4798A" w:rsidRDefault="00C4798A" w:rsidP="00BD4364">
      <w:pPr>
        <w:shd w:val="clear" w:color="auto" w:fill="FFFFFF" w:themeFill="background1"/>
      </w:pPr>
      <w:bookmarkStart w:id="169" w:name="_Toc71117842"/>
      <w:r>
        <w:t>The Australian Nuclear Science and Technology Organisation (ANSTO) site contains asbestos in several buildings and in the soil at the Lucas Heights campus. Although there is potential for claims to be made in relation to asbestos</w:t>
      </w:r>
      <w:r w:rsidR="00D23095">
        <w:noBreakHyphen/>
      </w:r>
      <w:r>
        <w:t>related diseases, the potential costs have not been assessed and are unquantifiable contingencies.</w:t>
      </w:r>
    </w:p>
    <w:p w14:paraId="3DBCB1FE" w14:textId="0AAB66E5" w:rsidR="00C4798A" w:rsidRPr="00B832E0" w:rsidRDefault="00C4798A" w:rsidP="00BD4364">
      <w:pPr>
        <w:pStyle w:val="Heading4"/>
        <w:shd w:val="clear" w:color="auto" w:fill="FFFFFF" w:themeFill="background1"/>
      </w:pPr>
      <w:r w:rsidRPr="00B832E0">
        <w:t>Australian Nuclear Science and Technology Organisation – indemnity</w:t>
      </w:r>
      <w:bookmarkEnd w:id="169"/>
    </w:p>
    <w:p w14:paraId="54FCF826" w14:textId="55835054" w:rsidR="00673909" w:rsidRDefault="00673909" w:rsidP="00673909">
      <w:r>
        <w:t>The</w:t>
      </w:r>
      <w:r w:rsidRPr="007B35FD">
        <w:t xml:space="preserve"> Minister for Industry and Science </w:t>
      </w:r>
      <w:r>
        <w:t>has renewed</w:t>
      </w:r>
      <w:r w:rsidRPr="007B35FD">
        <w:t xml:space="preserve"> a Deed of Indemnity between the Australian Government</w:t>
      </w:r>
      <w:r>
        <w:t xml:space="preserve"> and </w:t>
      </w:r>
      <w:r w:rsidRPr="007B35FD">
        <w:t>ANSTO</w:t>
      </w:r>
      <w:r>
        <w:t xml:space="preserve"> </w:t>
      </w:r>
      <w:r w:rsidRPr="007B35FD">
        <w:t>under which the Government formally agreed to indemnify ANSTO and ANSTO officers</w:t>
      </w:r>
      <w:r>
        <w:t xml:space="preserve"> </w:t>
      </w:r>
      <w:r w:rsidRPr="007B35FD">
        <w:t>from any loss or liability arising from claims caused by ionising radiation. This Deed will remain in place until </w:t>
      </w:r>
      <w:r>
        <w:t>March</w:t>
      </w:r>
      <w:r w:rsidR="002112AB">
        <w:t> </w:t>
      </w:r>
      <w:r>
        <w:t>2035</w:t>
      </w:r>
      <w:r w:rsidRPr="007B35FD">
        <w:t>.</w:t>
      </w:r>
    </w:p>
    <w:p w14:paraId="63C99211" w14:textId="4955E247" w:rsidR="00C4798A" w:rsidRPr="00B832E0" w:rsidRDefault="00C4798A" w:rsidP="00BD4364">
      <w:pPr>
        <w:pStyle w:val="Heading4"/>
        <w:shd w:val="clear" w:color="auto" w:fill="FFFFFF" w:themeFill="background1"/>
      </w:pPr>
      <w:r w:rsidRPr="00B832E0">
        <w:t>Australian Nuclear Science and Technology Organisation – legacy waste management to final disposal</w:t>
      </w:r>
    </w:p>
    <w:p w14:paraId="5DDF1B70" w14:textId="5A9A2C98" w:rsidR="00C84887" w:rsidRDefault="00C84887" w:rsidP="00BD4364">
      <w:pPr>
        <w:shd w:val="clear" w:color="auto" w:fill="FFFFFF" w:themeFill="background1"/>
      </w:pPr>
      <w:bookmarkStart w:id="170" w:name="_Toc71117843"/>
      <w:r w:rsidRPr="007B35FD">
        <w:t xml:space="preserve">ANSTO has accumulated, and will continue to accumulate, </w:t>
      </w:r>
      <w:r w:rsidR="005134A2">
        <w:t>radioactive</w:t>
      </w:r>
      <w:r w:rsidR="005134A2" w:rsidRPr="007B35FD">
        <w:t xml:space="preserve"> </w:t>
      </w:r>
      <w:r w:rsidRPr="007B35FD">
        <w:t xml:space="preserve">waste, the final disposal of which is unfunded. </w:t>
      </w:r>
      <w:proofErr w:type="gramStart"/>
      <w:r w:rsidRPr="007B35FD">
        <w:t>The majority of</w:t>
      </w:r>
      <w:proofErr w:type="gramEnd"/>
      <w:r w:rsidRPr="007B35FD">
        <w:t xml:space="preserve"> this waste has arisen from the production of nuclear medicine and will require characterisation in order to determine the nature of, and therefore the costs and timing required to manage, the waste to final disposal. It is anticipated that the long</w:t>
      </w:r>
      <w:r w:rsidR="00D23095">
        <w:noBreakHyphen/>
      </w:r>
      <w:r w:rsidRPr="007B35FD">
        <w:t xml:space="preserve">term storage of the </w:t>
      </w:r>
      <w:r w:rsidR="005134A2">
        <w:t xml:space="preserve">radioactive </w:t>
      </w:r>
      <w:r w:rsidRPr="007B35FD">
        <w:t xml:space="preserve">waste will be the responsibility of the </w:t>
      </w:r>
      <w:r w:rsidR="00CA486C">
        <w:t xml:space="preserve">Australian </w:t>
      </w:r>
      <w:r>
        <w:t>Radioactive Waste</w:t>
      </w:r>
      <w:r w:rsidR="005134A2">
        <w:t xml:space="preserve"> </w:t>
      </w:r>
      <w:r w:rsidR="00CA486C">
        <w:t>Agency</w:t>
      </w:r>
      <w:r w:rsidRPr="007B35FD">
        <w:t>. If this changes, ANSTO may need to meet the costs of the future management of the waste.</w:t>
      </w:r>
    </w:p>
    <w:p w14:paraId="515B552D" w14:textId="77777777" w:rsidR="00C4798A" w:rsidRPr="00B832E0" w:rsidRDefault="00C4798A" w:rsidP="00BD4364">
      <w:pPr>
        <w:pStyle w:val="Heading4"/>
        <w:shd w:val="clear" w:color="auto" w:fill="FFFFFF" w:themeFill="background1"/>
      </w:pPr>
      <w:r w:rsidRPr="00B832E0">
        <w:t>Former British atomic test site at Maralinga</w:t>
      </w:r>
      <w:bookmarkEnd w:id="170"/>
    </w:p>
    <w:p w14:paraId="5419B77C" w14:textId="553D995A" w:rsidR="0093529D" w:rsidRDefault="0093529D" w:rsidP="00BD4364">
      <w:pPr>
        <w:shd w:val="clear" w:color="auto" w:fill="FFFFFF" w:themeFill="background1"/>
      </w:pPr>
      <w:bookmarkStart w:id="171" w:name="_Toc71117846"/>
      <w:r w:rsidRPr="007B35FD">
        <w:t>The Australian Government is responsible for 14 unlimited indemnities relating to the Maralinga Rehabilitation Project (1995–2000). In November 2009, the Australian Government agreed to the handback of the former nuclear test site – Maralinga Section 400 – to the site</w:t>
      </w:r>
      <w:r w:rsidR="00D23095">
        <w:t>’</w:t>
      </w:r>
      <w:r w:rsidRPr="007B35FD">
        <w:t xml:space="preserve">s Traditional Owners, Maralinga </w:t>
      </w:r>
      <w:proofErr w:type="spellStart"/>
      <w:r w:rsidRPr="007B35FD">
        <w:t>Tjarutja</w:t>
      </w:r>
      <w:proofErr w:type="spellEnd"/>
      <w:r w:rsidRPr="007B35FD">
        <w:t xml:space="preserve">. Under the terms of the </w:t>
      </w:r>
      <w:r w:rsidRPr="00A05D88">
        <w:rPr>
          <w:rStyle w:val="Emphasis"/>
        </w:rPr>
        <w:lastRenderedPageBreak/>
        <w:t>2009</w:t>
      </w:r>
      <w:r w:rsidR="00036397" w:rsidRPr="00A05D88">
        <w:rPr>
          <w:rStyle w:val="Emphasis"/>
        </w:rPr>
        <w:t> </w:t>
      </w:r>
      <w:r w:rsidRPr="00A05D88">
        <w:rPr>
          <w:rStyle w:val="Emphasis"/>
        </w:rPr>
        <w:t xml:space="preserve">Maralinga Nuclear Test Site Handback Deed, </w:t>
      </w:r>
      <w:r w:rsidRPr="007B35FD">
        <w:t>the Australian Government has indemnified the Maralinga </w:t>
      </w:r>
      <w:proofErr w:type="spellStart"/>
      <w:r w:rsidRPr="007B35FD">
        <w:t>Tjarutja</w:t>
      </w:r>
      <w:proofErr w:type="spellEnd"/>
      <w:r w:rsidRPr="007B35FD">
        <w:t xml:space="preserve"> people and the South Australian Government in respect of claims arising from test site contamination.</w:t>
      </w:r>
    </w:p>
    <w:p w14:paraId="137DF502" w14:textId="77777777" w:rsidR="00C4798A" w:rsidRPr="00B832E0" w:rsidRDefault="00C4798A" w:rsidP="00BD4364">
      <w:pPr>
        <w:pStyle w:val="Heading4"/>
        <w:shd w:val="clear" w:color="auto" w:fill="FFFFFF" w:themeFill="background1"/>
      </w:pPr>
      <w:r w:rsidRPr="00B832E0">
        <w:t>Land decontamination and site restoration for CSIRO property</w:t>
      </w:r>
      <w:bookmarkEnd w:id="171"/>
    </w:p>
    <w:p w14:paraId="400A419C" w14:textId="197282BE" w:rsidR="00B64CBE" w:rsidRDefault="00C4798A" w:rsidP="00BD4364">
      <w:pPr>
        <w:shd w:val="clear" w:color="auto" w:fill="FFFFFF" w:themeFill="background1"/>
      </w:pPr>
      <w:r w:rsidRPr="00B832E0">
        <w:t>The Commonwealth Scientific and Industrial Research Organisation (CSIRO) has made a financial provision for the estimated costs in restoring and decontaminating land where a legal or constructive obligation has arisen. For cases where there is no legal or constructive obligation, the potential costs have not been assessed and are unquantifiable contingencies.</w:t>
      </w:r>
      <w:r w:rsidR="00B64CBE">
        <w:br w:type="page"/>
      </w:r>
    </w:p>
    <w:p w14:paraId="561EE6DE" w14:textId="77777777" w:rsidR="0023618C" w:rsidRPr="00B832E0" w:rsidRDefault="0023618C" w:rsidP="00BD4364">
      <w:pPr>
        <w:pStyle w:val="Heading2"/>
        <w:shd w:val="clear" w:color="auto" w:fill="FFFFFF" w:themeFill="background1"/>
      </w:pPr>
      <w:bookmarkStart w:id="172" w:name="_Toc184039489"/>
      <w:bookmarkStart w:id="173" w:name="_Toc193536209"/>
      <w:bookmarkEnd w:id="166"/>
      <w:r w:rsidRPr="00B832E0">
        <w:lastRenderedPageBreak/>
        <w:t>Infrastructure, Transport, Regional Development, Communications</w:t>
      </w:r>
      <w:bookmarkEnd w:id="162"/>
      <w:r w:rsidRPr="00B832E0">
        <w:t xml:space="preserve"> and the Arts</w:t>
      </w:r>
      <w:bookmarkEnd w:id="172"/>
      <w:bookmarkEnd w:id="173"/>
    </w:p>
    <w:p w14:paraId="7A8BA404" w14:textId="77777777" w:rsidR="0023618C" w:rsidRDefault="0023618C" w:rsidP="00BD4364">
      <w:pPr>
        <w:pStyle w:val="Heading3"/>
        <w:shd w:val="clear" w:color="auto" w:fill="FFFFFF" w:themeFill="background1"/>
      </w:pPr>
      <w:bookmarkStart w:id="174" w:name="_Toc184039490"/>
      <w:bookmarkStart w:id="175" w:name="_Toc193536210"/>
      <w:bookmarkStart w:id="176" w:name="_Toc71117852"/>
      <w:bookmarkStart w:id="177" w:name="_Toc71117853"/>
      <w:bookmarkStart w:id="178" w:name="_Toc99141890"/>
      <w:r>
        <w:t>Fiscal Risks</w:t>
      </w:r>
      <w:bookmarkEnd w:id="174"/>
      <w:bookmarkEnd w:id="175"/>
    </w:p>
    <w:p w14:paraId="5A2037B2" w14:textId="1A20568B" w:rsidR="0023618C" w:rsidRPr="00BE6C2E" w:rsidRDefault="0023618C" w:rsidP="00BD4364">
      <w:pPr>
        <w:pStyle w:val="Heading4"/>
        <w:shd w:val="clear" w:color="auto" w:fill="FFFFFF" w:themeFill="background1"/>
        <w:rPr>
          <w:rFonts w:eastAsia="Arial"/>
          <w:lang w:val="en-US"/>
        </w:rPr>
      </w:pPr>
      <w:r w:rsidRPr="00BE6C2E">
        <w:rPr>
          <w:rFonts w:eastAsia="Arial"/>
          <w:lang w:val="en-US"/>
        </w:rPr>
        <w:t>Australia Post</w:t>
      </w:r>
      <w:r w:rsidR="00D23095">
        <w:rPr>
          <w:rFonts w:eastAsia="Arial"/>
          <w:lang w:val="en-US"/>
        </w:rPr>
        <w:t>’</w:t>
      </w:r>
      <w:r w:rsidRPr="00BE6C2E">
        <w:rPr>
          <w:rFonts w:eastAsia="Arial"/>
          <w:lang w:val="en-US"/>
        </w:rPr>
        <w:t>s financial stability</w:t>
      </w:r>
    </w:p>
    <w:p w14:paraId="21058673" w14:textId="7E14EA13" w:rsidR="0023618C" w:rsidRPr="00FE72B7" w:rsidRDefault="0023618C" w:rsidP="00BD4364">
      <w:pPr>
        <w:shd w:val="clear" w:color="auto" w:fill="FFFFFF" w:themeFill="background1"/>
        <w:rPr>
          <w:rFonts w:eastAsia="Calibri"/>
        </w:rPr>
      </w:pPr>
      <w:r w:rsidRPr="00FE72B7">
        <w:rPr>
          <w:rFonts w:eastAsia="Calibri"/>
        </w:rPr>
        <w:t>Australia Post is a Government Business Enterprise wholly owned by the Australian</w:t>
      </w:r>
      <w:r w:rsidR="00F15151">
        <w:rPr>
          <w:rFonts w:eastAsia="Calibri"/>
        </w:rPr>
        <w:t> </w:t>
      </w:r>
      <w:r w:rsidRPr="00FE72B7">
        <w:rPr>
          <w:rFonts w:eastAsia="Calibri"/>
        </w:rPr>
        <w:t>Government. In the 2023–24 financial year, Australia Post reported a full financial year pre</w:t>
      </w:r>
      <w:r w:rsidR="00D23095">
        <w:rPr>
          <w:rFonts w:eastAsia="Calibri"/>
        </w:rPr>
        <w:noBreakHyphen/>
      </w:r>
      <w:r w:rsidRPr="00FE72B7">
        <w:rPr>
          <w:rFonts w:eastAsia="Calibri"/>
        </w:rPr>
        <w:t>tax loss of $88.5</w:t>
      </w:r>
      <w:r>
        <w:rPr>
          <w:rFonts w:eastAsia="Calibri"/>
        </w:rPr>
        <w:t> million</w:t>
      </w:r>
      <w:r w:rsidRPr="00FE72B7">
        <w:rPr>
          <w:rFonts w:eastAsia="Calibri"/>
        </w:rPr>
        <w:t>. This is Australia Post</w:t>
      </w:r>
      <w:r w:rsidR="00D23095">
        <w:rPr>
          <w:rFonts w:eastAsia="Calibri"/>
        </w:rPr>
        <w:t>’</w:t>
      </w:r>
      <w:r w:rsidRPr="00FE72B7">
        <w:rPr>
          <w:rFonts w:eastAsia="Calibri"/>
        </w:rPr>
        <w:t>s second annual loss since 2014–15. It reflects the way in which digitisation of the global and national economy is changing how many people and businesses use postal and related services. Australia</w:t>
      </w:r>
      <w:r w:rsidR="00F15151">
        <w:rPr>
          <w:rFonts w:eastAsia="Calibri"/>
        </w:rPr>
        <w:t> </w:t>
      </w:r>
      <w:r w:rsidRPr="00FE72B7">
        <w:rPr>
          <w:rFonts w:eastAsia="Calibri"/>
        </w:rPr>
        <w:t xml:space="preserve">Post does not receive financial support from the Australian Government but is required to meet a range of Community Service Obligations. </w:t>
      </w:r>
    </w:p>
    <w:p w14:paraId="6C03BAFF" w14:textId="77777777" w:rsidR="0023618C" w:rsidRPr="00FE72B7" w:rsidRDefault="0023618C" w:rsidP="00BD4364">
      <w:pPr>
        <w:shd w:val="clear" w:color="auto" w:fill="FFFFFF" w:themeFill="background1"/>
        <w:rPr>
          <w:rFonts w:eastAsia="Calibri"/>
        </w:rPr>
      </w:pPr>
      <w:r w:rsidRPr="00FE72B7">
        <w:rPr>
          <w:rFonts w:eastAsia="Calibri"/>
        </w:rPr>
        <w:t xml:space="preserve">On 6 December 2023, the Australian Government announced a package of reforms to enable Australia Post to boost productivity, increase its focus on parcel delivery services, and improve financial sustainability. The Government is monitoring the implementation of these reforms to assess whether they are achieving meaningful financial benefits as intended. </w:t>
      </w:r>
    </w:p>
    <w:p w14:paraId="6629C4F1" w14:textId="4C288FBB" w:rsidR="0023618C" w:rsidRDefault="0023618C" w:rsidP="00BD4364">
      <w:pPr>
        <w:shd w:val="clear" w:color="auto" w:fill="FFFFFF" w:themeFill="background1"/>
        <w:rPr>
          <w:rFonts w:eastAsia="Calibri"/>
        </w:rPr>
      </w:pPr>
      <w:r w:rsidRPr="00FE72B7">
        <w:rPr>
          <w:rFonts w:eastAsia="Calibri"/>
        </w:rPr>
        <w:t>Given the uncertainty surrounding Australia Post</w:t>
      </w:r>
      <w:r w:rsidR="00D23095">
        <w:rPr>
          <w:rFonts w:eastAsia="Calibri"/>
        </w:rPr>
        <w:t>’</w:t>
      </w:r>
      <w:r w:rsidRPr="00FE72B7">
        <w:rPr>
          <w:rFonts w:eastAsia="Calibri"/>
        </w:rPr>
        <w:t>s financial position, there is a risk that the Australian Government will need to consider providing financial assistance to Australia</w:t>
      </w:r>
      <w:r w:rsidR="00F15151">
        <w:rPr>
          <w:rFonts w:eastAsia="Calibri"/>
        </w:rPr>
        <w:t> </w:t>
      </w:r>
      <w:r w:rsidRPr="00FE72B7">
        <w:rPr>
          <w:rFonts w:eastAsia="Calibri"/>
        </w:rPr>
        <w:t>Post in the future.</w:t>
      </w:r>
      <w:bookmarkEnd w:id="176"/>
    </w:p>
    <w:p w14:paraId="6B753893" w14:textId="390A1544" w:rsidR="0023618C" w:rsidRPr="008228B1" w:rsidRDefault="0023618C" w:rsidP="00BD4364">
      <w:pPr>
        <w:pStyle w:val="Heading4"/>
        <w:shd w:val="clear" w:color="auto" w:fill="FFFFFF" w:themeFill="background1"/>
        <w:rPr>
          <w:rFonts w:eastAsia="Arial"/>
          <w:lang w:val="en-US"/>
        </w:rPr>
      </w:pPr>
      <w:r w:rsidRPr="008228B1">
        <w:rPr>
          <w:rFonts w:eastAsia="Arial"/>
          <w:lang w:val="en-US"/>
        </w:rPr>
        <w:t>Infrastructure Investment Program</w:t>
      </w:r>
      <w:r w:rsidRPr="00971BE1">
        <w:rPr>
          <w:rFonts w:eastAsia="Arial"/>
          <w:lang w:val="en-US"/>
        </w:rPr>
        <w:t xml:space="preserve"> </w:t>
      </w:r>
      <w:r w:rsidRPr="008228B1">
        <w:rPr>
          <w:rFonts w:eastAsia="Arial"/>
          <w:lang w:val="en-US"/>
        </w:rPr>
        <w:t>project</w:t>
      </w:r>
      <w:r w:rsidRPr="00971BE1">
        <w:rPr>
          <w:rFonts w:eastAsia="Arial"/>
          <w:lang w:val="en-US"/>
        </w:rPr>
        <w:t xml:space="preserve"> </w:t>
      </w:r>
      <w:r w:rsidRPr="008228B1">
        <w:rPr>
          <w:rFonts w:eastAsia="Arial"/>
          <w:lang w:val="en-US"/>
        </w:rPr>
        <w:t xml:space="preserve">slippage </w:t>
      </w:r>
      <w:r w:rsidRPr="00971BE1">
        <w:rPr>
          <w:rFonts w:eastAsia="Arial"/>
          <w:lang w:val="en-US"/>
        </w:rPr>
        <w:t xml:space="preserve">adjustment </w:t>
      </w:r>
    </w:p>
    <w:p w14:paraId="3746AA54" w14:textId="6B086676" w:rsidR="001870FC" w:rsidRPr="00C95A04" w:rsidRDefault="001870FC" w:rsidP="001870FC">
      <w:pPr>
        <w:rPr>
          <w:rFonts w:eastAsia="Calibri"/>
          <w:lang w:eastAsia="en-US"/>
        </w:rPr>
      </w:pPr>
      <w:bookmarkStart w:id="179" w:name="_Toc99141888"/>
      <w:bookmarkStart w:id="180" w:name="_Toc184039491"/>
      <w:bookmarkStart w:id="181" w:name="_Toc71117860"/>
      <w:r w:rsidRPr="00C95A04">
        <w:rPr>
          <w:rFonts w:eastAsia="Calibri"/>
          <w:lang w:eastAsia="en-US"/>
        </w:rPr>
        <w:t xml:space="preserve">The Infrastructure Investment Program includes a slippage adjustment to take account of historical experience, including the timing of states claiming payments against milestones and the complexity of delivery. </w:t>
      </w:r>
      <w:r>
        <w:rPr>
          <w:rFonts w:eastAsia="Calibri"/>
          <w:lang w:eastAsia="en-US"/>
        </w:rPr>
        <w:t>In the 2025</w:t>
      </w:r>
      <w:r w:rsidR="00B14568">
        <w:rPr>
          <w:rFonts w:eastAsia="Calibri"/>
          <w:lang w:eastAsia="en-US"/>
        </w:rPr>
        <w:t>–</w:t>
      </w:r>
      <w:r>
        <w:rPr>
          <w:rFonts w:eastAsia="Calibri"/>
          <w:lang w:eastAsia="en-US"/>
        </w:rPr>
        <w:t>26 Budget, t</w:t>
      </w:r>
      <w:r w:rsidRPr="00EE551C">
        <w:rPr>
          <w:rFonts w:eastAsia="Book Antiqua"/>
        </w:rPr>
        <w:t>he adjustment is set at $1.7</w:t>
      </w:r>
      <w:r>
        <w:rPr>
          <w:rFonts w:eastAsia="Book Antiqua"/>
        </w:rPr>
        <w:t> </w:t>
      </w:r>
      <w:r w:rsidRPr="00EE551C">
        <w:rPr>
          <w:rFonts w:eastAsia="Book Antiqua"/>
        </w:rPr>
        <w:t>billion in 2024–25, $1.7</w:t>
      </w:r>
      <w:r w:rsidR="002112AB">
        <w:rPr>
          <w:rFonts w:eastAsia="Book Antiqua"/>
        </w:rPr>
        <w:t> </w:t>
      </w:r>
      <w:r w:rsidRPr="00EE551C">
        <w:rPr>
          <w:rFonts w:eastAsia="Book Antiqua"/>
        </w:rPr>
        <w:t>billion in 2025–26, $1.5</w:t>
      </w:r>
      <w:r w:rsidR="002112AB">
        <w:rPr>
          <w:rFonts w:eastAsia="Book Antiqua"/>
        </w:rPr>
        <w:t> </w:t>
      </w:r>
      <w:r w:rsidRPr="00EE551C">
        <w:rPr>
          <w:rFonts w:eastAsia="Book Antiqua"/>
        </w:rPr>
        <w:t>billion in 2026</w:t>
      </w:r>
      <w:r w:rsidR="00B14568">
        <w:rPr>
          <w:rFonts w:eastAsia="Book Antiqua"/>
        </w:rPr>
        <w:t>–</w:t>
      </w:r>
      <w:r w:rsidRPr="00EE551C">
        <w:rPr>
          <w:rFonts w:eastAsia="Book Antiqua"/>
        </w:rPr>
        <w:t>27 and $0.4</w:t>
      </w:r>
      <w:r w:rsidR="002112AB">
        <w:rPr>
          <w:rFonts w:eastAsia="Book Antiqua"/>
        </w:rPr>
        <w:t> </w:t>
      </w:r>
      <w:r w:rsidRPr="00EE551C">
        <w:rPr>
          <w:rFonts w:eastAsia="Book Antiqua"/>
        </w:rPr>
        <w:t>billion in 2027</w:t>
      </w:r>
      <w:r w:rsidR="00B14568">
        <w:rPr>
          <w:rFonts w:eastAsia="Book Antiqua"/>
        </w:rPr>
        <w:t>–</w:t>
      </w:r>
      <w:r w:rsidRPr="00EE551C">
        <w:rPr>
          <w:rFonts w:eastAsia="Book Antiqua"/>
        </w:rPr>
        <w:t>28</w:t>
      </w:r>
      <w:r>
        <w:rPr>
          <w:rFonts w:eastAsia="Book Antiqua"/>
        </w:rPr>
        <w:t>,</w:t>
      </w:r>
      <w:r w:rsidRPr="00EE551C">
        <w:rPr>
          <w:rFonts w:eastAsia="Book Antiqua"/>
        </w:rPr>
        <w:t xml:space="preserve"> and is unwound over 2028</w:t>
      </w:r>
      <w:r w:rsidR="00B14568">
        <w:rPr>
          <w:rFonts w:eastAsia="Book Antiqua"/>
        </w:rPr>
        <w:t>–</w:t>
      </w:r>
      <w:r w:rsidRPr="00EE551C">
        <w:rPr>
          <w:rFonts w:eastAsia="Book Antiqua"/>
        </w:rPr>
        <w:t>29 to 2033</w:t>
      </w:r>
      <w:r w:rsidR="00B14568">
        <w:rPr>
          <w:rFonts w:eastAsia="Book Antiqua"/>
        </w:rPr>
        <w:t>–</w:t>
      </w:r>
      <w:r w:rsidRPr="00EE551C">
        <w:rPr>
          <w:rFonts w:eastAsia="Book Antiqua"/>
        </w:rPr>
        <w:t>34.</w:t>
      </w:r>
      <w:r w:rsidRPr="00DC68C1" w:rsidDel="00DC68C1">
        <w:rPr>
          <w:rFonts w:eastAsia="Calibri"/>
          <w:lang w:eastAsia="en-US"/>
        </w:rPr>
        <w:t xml:space="preserve"> </w:t>
      </w:r>
    </w:p>
    <w:p w14:paraId="5C3E673C" w14:textId="554CA461" w:rsidR="00F7222E" w:rsidRDefault="00F7222E" w:rsidP="00BD4364">
      <w:pPr>
        <w:shd w:val="clear" w:color="auto" w:fill="FFFFFF" w:themeFill="background1"/>
        <w:rPr>
          <w:rFonts w:eastAsia="Calibri"/>
          <w:lang w:eastAsia="en-US"/>
        </w:rPr>
      </w:pPr>
      <w:r w:rsidRPr="00C95A04">
        <w:rPr>
          <w:rFonts w:eastAsia="Calibri"/>
          <w:lang w:eastAsia="en-US"/>
        </w:rPr>
        <w:t>As the adjustment does not affect the Australian Government</w:t>
      </w:r>
      <w:r w:rsidR="00D23095">
        <w:rPr>
          <w:rFonts w:eastAsia="Calibri"/>
          <w:lang w:eastAsia="en-US"/>
        </w:rPr>
        <w:t>’</w:t>
      </w:r>
      <w:r w:rsidRPr="00C95A04">
        <w:rPr>
          <w:rFonts w:eastAsia="Calibri"/>
          <w:lang w:eastAsia="en-US"/>
        </w:rPr>
        <w:t>s commitments to individual states and territories, there is an equivalent financial risk to the Australian</w:t>
      </w:r>
      <w:r w:rsidRPr="00C95A04">
        <w:rPr>
          <w:rFonts w:eastAsia="Book Antiqua"/>
        </w:rPr>
        <w:t> </w:t>
      </w:r>
      <w:r w:rsidRPr="00C95A04">
        <w:rPr>
          <w:rFonts w:eastAsia="Calibri"/>
          <w:lang w:eastAsia="en-US"/>
        </w:rPr>
        <w:t xml:space="preserve">Government should the states and territories meet all current project milestones. A similar adjustment was implemented in the </w:t>
      </w:r>
      <w:r w:rsidR="00202422">
        <w:rPr>
          <w:rFonts w:eastAsia="Calibri"/>
          <w:lang w:eastAsia="en-US"/>
        </w:rPr>
        <w:t>2024</w:t>
      </w:r>
      <w:r w:rsidR="003D1796">
        <w:rPr>
          <w:rFonts w:eastAsia="Calibri"/>
          <w:lang w:eastAsia="en-US"/>
        </w:rPr>
        <w:t>–</w:t>
      </w:r>
      <w:r w:rsidR="00202422">
        <w:rPr>
          <w:rFonts w:eastAsia="Calibri"/>
          <w:lang w:eastAsia="en-US"/>
        </w:rPr>
        <w:t>25</w:t>
      </w:r>
      <w:r w:rsidR="002112AB">
        <w:rPr>
          <w:rFonts w:eastAsia="Calibri"/>
          <w:lang w:eastAsia="en-US"/>
        </w:rPr>
        <w:t> </w:t>
      </w:r>
      <w:r w:rsidR="00202422">
        <w:rPr>
          <w:rFonts w:eastAsia="Calibri"/>
          <w:lang w:eastAsia="en-US"/>
        </w:rPr>
        <w:t>MYEFO</w:t>
      </w:r>
      <w:r w:rsidRPr="00C95A04">
        <w:rPr>
          <w:rFonts w:eastAsia="Calibri"/>
          <w:lang w:eastAsia="en-US"/>
        </w:rPr>
        <w:t>.</w:t>
      </w:r>
    </w:p>
    <w:p w14:paraId="373EF3E0" w14:textId="77777777" w:rsidR="002321F3" w:rsidRPr="00B832E0" w:rsidRDefault="002321F3" w:rsidP="00BD4364">
      <w:pPr>
        <w:pStyle w:val="Heading4"/>
        <w:shd w:val="clear" w:color="auto" w:fill="FFFFFF" w:themeFill="background1"/>
      </w:pPr>
      <w:r w:rsidRPr="00B832E0">
        <w:t>Inland Rail – delivery</w:t>
      </w:r>
    </w:p>
    <w:p w14:paraId="051EB19E" w14:textId="73F661D1" w:rsidR="002321F3" w:rsidRPr="00FC623D" w:rsidRDefault="002321F3" w:rsidP="00BD4364">
      <w:pPr>
        <w:shd w:val="clear" w:color="auto" w:fill="FFFFFF" w:themeFill="background1"/>
      </w:pPr>
      <w:r>
        <w:t>In April 2023, the Australian Government released the findings of the Independent Review of Inland Rail (the Review) and agreed to the 19 recommendations in full or in principle. The Review assessed the project</w:t>
      </w:r>
      <w:r w:rsidR="00D23095">
        <w:t>’</w:t>
      </w:r>
      <w:r>
        <w:t>s scope, schedule and cost. While final project costs will not be known until the completion of procurement for all sections of Inland Rail, following finalisation of design, planning and gaining environmental approvals, the Review identified that the estimated cost to complete Inland Rail will be significantly higher than the available funding.</w:t>
      </w:r>
    </w:p>
    <w:p w14:paraId="0590BAB1" w14:textId="77777777" w:rsidR="002321F3" w:rsidRPr="00FC623D" w:rsidRDefault="002321F3" w:rsidP="00BD4364">
      <w:pPr>
        <w:shd w:val="clear" w:color="auto" w:fill="FFFFFF" w:themeFill="background1"/>
      </w:pPr>
      <w:r>
        <w:lastRenderedPageBreak/>
        <w:t>The Australian Government will work with independent specialists to review the cost, scope, engineering, delivery models and schedule of the project. In the interim, Inland Rail Pty Ltd (IRPL) is prioritising the delivery of sections from Beveridge to Parkes.</w:t>
      </w:r>
    </w:p>
    <w:p w14:paraId="1C56C5EF" w14:textId="4DCF6D0B" w:rsidR="002321F3" w:rsidRDefault="002321F3" w:rsidP="00BD4364">
      <w:pPr>
        <w:shd w:val="clear" w:color="auto" w:fill="FFFFFF" w:themeFill="background1"/>
        <w:rPr>
          <w:rFonts w:eastAsia="Arial"/>
        </w:rPr>
      </w:pPr>
      <w:r>
        <w:t>Significant project delivery risks will remain, including securing jurisdictional support, cost and scheduling pressures,</w:t>
      </w:r>
      <w:r w:rsidDel="009D5317">
        <w:t xml:space="preserve"> </w:t>
      </w:r>
      <w:r>
        <w:t>pre</w:t>
      </w:r>
      <w:r w:rsidR="00D23095">
        <w:noBreakHyphen/>
      </w:r>
      <w:r>
        <w:t>existing land and contamination, and realising revenues.</w:t>
      </w:r>
    </w:p>
    <w:p w14:paraId="5407352C" w14:textId="45091FAF" w:rsidR="001F0ADD" w:rsidRPr="001F0ADD" w:rsidRDefault="001F0ADD" w:rsidP="00BD4364">
      <w:pPr>
        <w:keepNext/>
        <w:shd w:val="clear" w:color="auto" w:fill="FFFFFF" w:themeFill="background1"/>
        <w:spacing w:before="0" w:after="120" w:line="240" w:lineRule="auto"/>
        <w:outlineLvl w:val="3"/>
        <w:rPr>
          <w:rFonts w:ascii="Arial Bold" w:eastAsia="Calibri" w:hAnsi="Arial Bold"/>
          <w:b/>
          <w:bCs/>
          <w:sz w:val="20"/>
          <w:lang w:eastAsia="en-US"/>
        </w:rPr>
      </w:pPr>
      <w:r w:rsidRPr="001F0ADD">
        <w:rPr>
          <w:rFonts w:ascii="Arial Bold" w:eastAsia="Calibri" w:hAnsi="Arial Bold"/>
          <w:b/>
          <w:bCs/>
          <w:sz w:val="20"/>
          <w:lang w:eastAsia="en-US"/>
        </w:rPr>
        <w:t>Regional Express Holdings Limited (Administrators Appointed) (Rex)</w:t>
      </w:r>
    </w:p>
    <w:p w14:paraId="338FB885" w14:textId="77777777" w:rsidR="001F0ADD" w:rsidRPr="001F0ADD" w:rsidRDefault="001F0ADD" w:rsidP="00BD4364">
      <w:pPr>
        <w:shd w:val="clear" w:color="auto" w:fill="FFFFFF" w:themeFill="background1"/>
        <w:rPr>
          <w:rFonts w:eastAsia="Book Antiqua"/>
        </w:rPr>
      </w:pPr>
      <w:r w:rsidRPr="001F0ADD">
        <w:rPr>
          <w:rFonts w:eastAsia="Book Antiqua"/>
        </w:rPr>
        <w:t>The Australian Government has provided a loan of up to $80.0 million to fund the operations of Regional Express Holdings Limited (Rex) during the convening period of the voluntary administration, until 30 June 2025, and has acquired $50.0 million of debt owed by Rex to become the major secured creditor.</w:t>
      </w:r>
    </w:p>
    <w:p w14:paraId="6D2E859E" w14:textId="25F98BE6" w:rsidR="00790057" w:rsidRPr="0009089A" w:rsidRDefault="001F0ADD" w:rsidP="00BD4364">
      <w:pPr>
        <w:shd w:val="clear" w:color="auto" w:fill="FFFFFF" w:themeFill="background1"/>
        <w:rPr>
          <w:rFonts w:eastAsia="Book Antiqua"/>
        </w:rPr>
      </w:pPr>
      <w:r w:rsidRPr="001F0ADD">
        <w:rPr>
          <w:rFonts w:eastAsia="Book Antiqua"/>
        </w:rPr>
        <w:t>On 12 February 2025, the Australian Government announced it would work with the Administrators of Rex to support the sale of the business as a going concern, following a competitive sales process. The Australian Government will negotiate with shortlisted bidders to support a successful market</w:t>
      </w:r>
      <w:r w:rsidR="00D23095">
        <w:rPr>
          <w:rFonts w:eastAsia="Book Antiqua"/>
        </w:rPr>
        <w:noBreakHyphen/>
      </w:r>
      <w:r w:rsidRPr="001F0ADD">
        <w:rPr>
          <w:rFonts w:eastAsia="Book Antiqua"/>
        </w:rPr>
        <w:t>led outcome. In the event there is no sale, the Government will undertake work on contingency options in consultation with relevant states, including preparations necessary for potential Australian Government acquisition of Rex. Further financial support, including to support the competitive sale process or in potential contingency options, would be subject to a future decision of government.</w:t>
      </w:r>
    </w:p>
    <w:p w14:paraId="47F42D0D" w14:textId="77777777" w:rsidR="002321F3" w:rsidRPr="00B832E0" w:rsidRDefault="002321F3" w:rsidP="00BD4364">
      <w:pPr>
        <w:pStyle w:val="Heading3"/>
        <w:shd w:val="clear" w:color="auto" w:fill="FFFFFF" w:themeFill="background1"/>
      </w:pPr>
      <w:bookmarkStart w:id="182" w:name="_Toc99141887"/>
      <w:bookmarkStart w:id="183" w:name="_Toc166165524"/>
      <w:bookmarkStart w:id="184" w:name="_Toc193536211"/>
      <w:r w:rsidRPr="00B832E0">
        <w:t>Significant but remote contingencies</w:t>
      </w:r>
      <w:bookmarkEnd w:id="182"/>
      <w:bookmarkEnd w:id="183"/>
      <w:bookmarkEnd w:id="184"/>
    </w:p>
    <w:p w14:paraId="7D7133A5" w14:textId="77777777" w:rsidR="002321F3" w:rsidRPr="00B832E0" w:rsidRDefault="002321F3" w:rsidP="00BD4364">
      <w:pPr>
        <w:pStyle w:val="Heading4"/>
        <w:shd w:val="clear" w:color="auto" w:fill="FFFFFF" w:themeFill="background1"/>
      </w:pPr>
      <w:bookmarkStart w:id="185" w:name="_Toc71117854"/>
      <w:r w:rsidRPr="00B832E0">
        <w:t>Inland Rail – Termination of the Equity Financing Agreement</w:t>
      </w:r>
      <w:bookmarkEnd w:id="185"/>
    </w:p>
    <w:p w14:paraId="7AD73EAB" w14:textId="77777777" w:rsidR="002321F3" w:rsidRPr="003423F8" w:rsidRDefault="002321F3" w:rsidP="00BD4364">
      <w:pPr>
        <w:shd w:val="clear" w:color="auto" w:fill="FFFFFF" w:themeFill="background1"/>
        <w:rPr>
          <w:rFonts w:eastAsia="Arial"/>
          <w:b/>
          <w:bCs/>
          <w:lang w:val="en-US"/>
        </w:rPr>
      </w:pPr>
      <w:bookmarkStart w:id="186" w:name="_Toc71117855"/>
      <w:r>
        <w:t>The Australian Government will provide sufficient funding to cover all costs and liabilities incurred by the Australian Rail Track Corporation (ARTC) or Inland Rail Pty Ltd for delivery of Inland Rail in the event the Commonwealth terminates the Equity Financing Agreement between the Commonwealth and the ARTC.</w:t>
      </w:r>
    </w:p>
    <w:p w14:paraId="2E8C1E88" w14:textId="5BC360A3" w:rsidR="002321F3" w:rsidRPr="00B832E0" w:rsidRDefault="002321F3" w:rsidP="00BD4364">
      <w:pPr>
        <w:pStyle w:val="Heading4"/>
        <w:shd w:val="clear" w:color="auto" w:fill="FFFFFF" w:themeFill="background1"/>
      </w:pPr>
      <w:r w:rsidRPr="00B832E0">
        <w:t>Maritime Industry Finance Company Limited – Board Members</w:t>
      </w:r>
      <w:r w:rsidR="00D23095">
        <w:t>’</w:t>
      </w:r>
      <w:r w:rsidRPr="00B832E0">
        <w:t xml:space="preserve"> indemnity</w:t>
      </w:r>
      <w:bookmarkEnd w:id="186"/>
    </w:p>
    <w:p w14:paraId="507C1D59" w14:textId="3DAF801D" w:rsidR="002321F3" w:rsidRPr="00F5415A" w:rsidRDefault="002321F3" w:rsidP="00BD4364">
      <w:pPr>
        <w:shd w:val="clear" w:color="auto" w:fill="FFFFFF" w:themeFill="background1"/>
      </w:pPr>
      <w:r w:rsidRPr="00B832E0">
        <w:t>Indemn</w:t>
      </w:r>
      <w:r w:rsidRPr="00F5415A">
        <w:t>ities for Maritime Industry Finance Company Limited (MIFCO) board members were provided to protect them against civil claims relating to their employment and conduct as Directors. MIFCO was placed into voluntary liquidation in November 2006 and was deregistered on 24 April 2008. The indemnity is not time</w:t>
      </w:r>
      <w:r w:rsidR="00D23095">
        <w:noBreakHyphen/>
      </w:r>
      <w:r w:rsidRPr="00F5415A">
        <w:t>limited and continues even though the company has been liquidated. Until the indemnity agreements are varied or ended, they will remain as contingent and unquantifiable liabilities.</w:t>
      </w:r>
    </w:p>
    <w:p w14:paraId="447EC649" w14:textId="77777777" w:rsidR="002321F3" w:rsidRPr="00B832E0" w:rsidRDefault="002321F3" w:rsidP="00BD4364">
      <w:pPr>
        <w:pStyle w:val="Heading4"/>
        <w:shd w:val="clear" w:color="auto" w:fill="FFFFFF" w:themeFill="background1"/>
      </w:pPr>
      <w:bookmarkStart w:id="187" w:name="_Toc71117857"/>
      <w:r w:rsidRPr="00B832E0">
        <w:t>Moorebank Intermodal Project – Glenfield Waste Site Easement</w:t>
      </w:r>
      <w:bookmarkEnd w:id="187"/>
    </w:p>
    <w:p w14:paraId="4E89A806" w14:textId="77777777" w:rsidR="002321F3" w:rsidRPr="00B832E0" w:rsidRDefault="002321F3" w:rsidP="00BD4364">
      <w:pPr>
        <w:shd w:val="clear" w:color="auto" w:fill="FFFFFF" w:themeFill="background1"/>
      </w:pPr>
      <w:r w:rsidRPr="00B832E0">
        <w:t xml:space="preserve">The </w:t>
      </w:r>
      <w:r>
        <w:t>Australian Government</w:t>
      </w:r>
      <w:r w:rsidRPr="00B832E0">
        <w:t xml:space="preserve"> has provided an indemnity to cover all costs and liabilities that may be incurred by the Grantor (the private sector owner of the Glenfield Waste Site) of any easement for the rail spur going across the Glenfield Waste Site, to the extent such costs or liabilities are caused or contributed to by the Commonwealth or its agents.</w:t>
      </w:r>
    </w:p>
    <w:p w14:paraId="11FFCF4A" w14:textId="5F378824" w:rsidR="002321F3" w:rsidRPr="00B832E0" w:rsidRDefault="002321F3" w:rsidP="00BD4364">
      <w:pPr>
        <w:pStyle w:val="Heading4"/>
        <w:shd w:val="clear" w:color="auto" w:fill="FFFFFF" w:themeFill="background1"/>
      </w:pPr>
      <w:bookmarkStart w:id="188" w:name="_Toc71117856"/>
      <w:r w:rsidRPr="00B832E0">
        <w:lastRenderedPageBreak/>
        <w:t>National Intermodal Corporation</w:t>
      </w:r>
      <w:r w:rsidRPr="00B832E0">
        <w:rPr>
          <w:rFonts w:ascii="Arial" w:eastAsia="Arial" w:hAnsi="Arial" w:cs="Arial"/>
          <w:bCs/>
          <w:i/>
          <w:lang w:val="en-US" w:eastAsia="en-US"/>
        </w:rPr>
        <w:t xml:space="preserve"> </w:t>
      </w:r>
      <w:r w:rsidRPr="00B832E0">
        <w:t>Limited – Termination of the Funding Agreement</w:t>
      </w:r>
      <w:bookmarkEnd w:id="188"/>
    </w:p>
    <w:p w14:paraId="1DC00CF2" w14:textId="77777777" w:rsidR="002321F3" w:rsidRDefault="002321F3" w:rsidP="00BD4364">
      <w:pPr>
        <w:shd w:val="clear" w:color="auto" w:fill="FFFFFF" w:themeFill="background1"/>
      </w:pPr>
      <w:r w:rsidRPr="00F5415A">
        <w:t xml:space="preserve">The Australian Government has provided an indemnity to cover all costs and liabilities that may be incurred by the </w:t>
      </w:r>
      <w:r w:rsidRPr="00F5415A">
        <w:rPr>
          <w:rFonts w:eastAsia="Book Antiqua"/>
        </w:rPr>
        <w:t xml:space="preserve">National Intermodal Corporation </w:t>
      </w:r>
      <w:r w:rsidRPr="00F5415A">
        <w:t>Limited (</w:t>
      </w:r>
      <w:r w:rsidRPr="00F5415A">
        <w:rPr>
          <w:rFonts w:eastAsia="Book Antiqua"/>
        </w:rPr>
        <w:t>National Intermodal</w:t>
      </w:r>
      <w:r w:rsidRPr="00F5415A">
        <w:t xml:space="preserve">) if the Commonwealth terminates the Funding Agreement between the Commonwealth and </w:t>
      </w:r>
      <w:r w:rsidRPr="00F5415A">
        <w:rPr>
          <w:rFonts w:eastAsia="Book Antiqua"/>
        </w:rPr>
        <w:t>National Intermodal</w:t>
      </w:r>
      <w:r w:rsidRPr="00B832E0">
        <w:t>.</w:t>
      </w:r>
      <w:bookmarkStart w:id="189" w:name="_Toc71117859"/>
    </w:p>
    <w:p w14:paraId="32B3D977" w14:textId="706EB1DB" w:rsidR="006650C5" w:rsidRPr="004A1064" w:rsidRDefault="006650C5" w:rsidP="006650C5">
      <w:pPr>
        <w:pStyle w:val="Heading4"/>
      </w:pPr>
      <w:r w:rsidRPr="004A1064">
        <w:t>NBN Co Limited – Termination of the Equity Funding Agreement</w:t>
      </w:r>
    </w:p>
    <w:p w14:paraId="6739E284" w14:textId="76896586" w:rsidR="006650C5" w:rsidRDefault="006650C5" w:rsidP="006650C5">
      <w:r w:rsidRPr="004A1064">
        <w:t>The Australian Government is required to cover all costs and liabilities that may be incurred by NBN Co if the Commonwealth terminates the Equity Funding Agreement between the Commonwealth and NBN Co.</w:t>
      </w:r>
    </w:p>
    <w:p w14:paraId="6BBD6931" w14:textId="22C7CFA3" w:rsidR="002321F3" w:rsidRPr="00B832E0" w:rsidRDefault="002321F3" w:rsidP="00BD4364">
      <w:pPr>
        <w:pStyle w:val="Heading4"/>
        <w:shd w:val="clear" w:color="auto" w:fill="FFFFFF" w:themeFill="background1"/>
      </w:pPr>
      <w:r w:rsidRPr="00B832E0">
        <w:t>Telstra Financial Guarantee</w:t>
      </w:r>
      <w:bookmarkEnd w:id="189"/>
    </w:p>
    <w:p w14:paraId="112D48B1" w14:textId="22C04F63" w:rsidR="00D44E4B" w:rsidDel="00D44E4B" w:rsidRDefault="002321F3" w:rsidP="00081F8D">
      <w:r>
        <w:t>The Australian Government has provided Telstra Corporation Limited (Telstra) a guarantee in respect of NBN Co</w:t>
      </w:r>
      <w:r w:rsidR="00D23095">
        <w:t>’</w:t>
      </w:r>
      <w:r>
        <w:t xml:space="preserve">s financial obligations under the Definitive Agreements. The Agreements were amended on 14 December 2014. The Guarantee was not amended at that </w:t>
      </w:r>
      <w:proofErr w:type="gramStart"/>
      <w:r>
        <w:t>time</w:t>
      </w:r>
      <w:proofErr w:type="gramEnd"/>
      <w:r>
        <w:t xml:space="preserve"> and it continues in force in accordance with its terms in respect of the amended Definitive Agreements. The liabilities under the Definitive Agreements between Telstra and NBN Co arise progressively during the roll</w:t>
      </w:r>
      <w:r w:rsidR="00D23095">
        <w:noBreakHyphen/>
      </w:r>
      <w:r>
        <w:t>out of the National Broadband Network as Telstra</w:t>
      </w:r>
      <w:r w:rsidR="00D23095">
        <w:t>’</w:t>
      </w:r>
      <w:r>
        <w:t>s infrastructure is accessed and Telstra</w:t>
      </w:r>
      <w:r w:rsidR="00D23095">
        <w:t>’</w:t>
      </w:r>
      <w:r>
        <w:t xml:space="preserve">s customers are disconnected from its copper and Hybrid Fibre Coaxial cable networks. The Australian Government is only liable in the event NBN Co does not pay an amount when due under the Definitive Agreements. </w:t>
      </w:r>
      <w:r w:rsidR="00D44E4B">
        <w:t xml:space="preserve">As </w:t>
      </w:r>
      <w:proofErr w:type="gramStart"/>
      <w:r w:rsidR="00D44E4B">
        <w:t>at</w:t>
      </w:r>
      <w:proofErr w:type="gramEnd"/>
      <w:r w:rsidR="00D44E4B">
        <w:t xml:space="preserve"> 31 December 2024, NBN Co had liabilities covered by the Guarantee estimated at $11.2 billion. </w:t>
      </w:r>
    </w:p>
    <w:p w14:paraId="114A5EA2" w14:textId="77777777" w:rsidR="00D44E4B" w:rsidRPr="00EA530F" w:rsidRDefault="00D44E4B" w:rsidP="00081F8D">
      <w:r w:rsidRPr="00EA530F">
        <w:t>The Guarantee will terminate when:</w:t>
      </w:r>
    </w:p>
    <w:p w14:paraId="0534076F" w14:textId="77777777" w:rsidR="002321F3" w:rsidRPr="00EA530F" w:rsidRDefault="002321F3" w:rsidP="00B82A8E">
      <w:pPr>
        <w:pStyle w:val="Bullet"/>
        <w:rPr>
          <w:rFonts w:eastAsia="Arial"/>
        </w:rPr>
      </w:pPr>
      <w:r w:rsidRPr="00EA530F">
        <w:t xml:space="preserve">NBN Co achieves specified credit </w:t>
      </w:r>
      <w:r w:rsidRPr="00B82A8E">
        <w:t>ratings</w:t>
      </w:r>
      <w:r w:rsidRPr="00EA530F">
        <w:t xml:space="preserve"> for a period of two continuous years</w:t>
      </w:r>
    </w:p>
    <w:p w14:paraId="380DD99C" w14:textId="77777777" w:rsidR="002321F3" w:rsidRPr="00EA530F" w:rsidRDefault="002321F3" w:rsidP="00BD4364">
      <w:pPr>
        <w:pStyle w:val="Bullet"/>
        <w:numPr>
          <w:ilvl w:val="0"/>
          <w:numId w:val="3"/>
        </w:numPr>
        <w:shd w:val="clear" w:color="auto" w:fill="FFFFFF" w:themeFill="background1"/>
        <w:ind w:left="284" w:hanging="284"/>
        <w:rPr>
          <w:rFonts w:eastAsia="Arial"/>
        </w:rPr>
      </w:pPr>
      <w:r w:rsidRPr="00EA530F">
        <w:rPr>
          <w:rFonts w:eastAsia="Arial"/>
        </w:rPr>
        <w:t>the company is capitalised by the Commonwealth to the agreed amount</w:t>
      </w:r>
    </w:p>
    <w:p w14:paraId="0661F690" w14:textId="77777777" w:rsidR="002321F3" w:rsidRPr="00EA530F" w:rsidRDefault="002321F3" w:rsidP="00BD4364">
      <w:pPr>
        <w:pStyle w:val="Bullet"/>
        <w:numPr>
          <w:ilvl w:val="0"/>
          <w:numId w:val="3"/>
        </w:numPr>
        <w:shd w:val="clear" w:color="auto" w:fill="FFFFFF" w:themeFill="background1"/>
        <w:spacing w:after="240"/>
        <w:ind w:left="284" w:hanging="284"/>
      </w:pPr>
      <w:r w:rsidRPr="00EA530F">
        <w:t xml:space="preserve">the </w:t>
      </w:r>
      <w:proofErr w:type="gramStart"/>
      <w:r w:rsidRPr="00EA530F">
        <w:t>Communications Minister</w:t>
      </w:r>
      <w:proofErr w:type="gramEnd"/>
      <w:r w:rsidRPr="00EA530F">
        <w:t xml:space="preserve"> declares, under </w:t>
      </w:r>
      <w:r w:rsidRPr="00081F8D">
        <w:rPr>
          <w:rStyle w:val="Emphasis"/>
        </w:rPr>
        <w:t>the National Broadband Network Companies Act 2011</w:t>
      </w:r>
      <w:r w:rsidRPr="00EA530F">
        <w:t>, that, in his or her opinion, the National Broadband Network should be treated as built and fully operational. This declaration was made on 11 December 2020.</w:t>
      </w:r>
    </w:p>
    <w:p w14:paraId="773CB153" w14:textId="77777777" w:rsidR="002321F3" w:rsidRPr="00B832E0" w:rsidRDefault="002321F3" w:rsidP="00BD4364">
      <w:pPr>
        <w:pStyle w:val="Heading4"/>
        <w:shd w:val="clear" w:color="auto" w:fill="FFFFFF" w:themeFill="background1"/>
      </w:pPr>
      <w:r w:rsidRPr="00B832E0">
        <w:t>Tripartite deeds relating to the sale of federal leased airports</w:t>
      </w:r>
    </w:p>
    <w:p w14:paraId="6E6BB423" w14:textId="41662E76" w:rsidR="002321F3" w:rsidRPr="00B832E0" w:rsidRDefault="002321F3" w:rsidP="00BD4364">
      <w:pPr>
        <w:shd w:val="clear" w:color="auto" w:fill="FFFFFF" w:themeFill="background1"/>
      </w:pPr>
      <w:r w:rsidRPr="00B832E0">
        <w:t>The tripartite deeds between the Australian Government, the airport lessee company and financiers, amend airport (head) leases to provide for limited step</w:t>
      </w:r>
      <w:r w:rsidR="00D23095">
        <w:noBreakHyphen/>
      </w:r>
      <w:r w:rsidRPr="00B832E0">
        <w:t xml:space="preserve">in rights for financiers in circumstances where the Australian Government terminates the head lease to enable the financiers to correct the circumstances that triggered such a termination event. The tripartite deeds may require the Australian Government to pay financiers compensation </w:t>
      </w:r>
      <w:proofErr w:type="gramStart"/>
      <w:r w:rsidRPr="00B832E0">
        <w:t>as a result of</w:t>
      </w:r>
      <w:proofErr w:type="gramEnd"/>
      <w:r w:rsidRPr="00B832E0">
        <w:t xml:space="preserve"> terminating the (head) lease, once all Australian Government costs have been recovered. The Australian Government</w:t>
      </w:r>
      <w:r w:rsidR="00D23095">
        <w:t>’</w:t>
      </w:r>
      <w:r w:rsidRPr="00B832E0">
        <w:t xml:space="preserve">s contingent liabilities </w:t>
      </w:r>
      <w:proofErr w:type="gramStart"/>
      <w:r w:rsidRPr="00B832E0">
        <w:t>are considered to be</w:t>
      </w:r>
      <w:proofErr w:type="gramEnd"/>
      <w:r w:rsidRPr="00B832E0">
        <w:t xml:space="preserve"> unquantifiable and remote.</w:t>
      </w:r>
    </w:p>
    <w:p w14:paraId="34EA8DA3" w14:textId="17C50142" w:rsidR="002321F3" w:rsidRPr="00B832E0" w:rsidDel="00892695" w:rsidRDefault="002321F3" w:rsidP="00BD4364">
      <w:pPr>
        <w:pStyle w:val="Heading4"/>
        <w:shd w:val="clear" w:color="auto" w:fill="FFFFFF" w:themeFill="background1"/>
      </w:pPr>
      <w:bookmarkStart w:id="190" w:name="_Toc71117861"/>
      <w:r w:rsidRPr="00B832E0">
        <w:lastRenderedPageBreak/>
        <w:t xml:space="preserve">WSA Co Limited – </w:t>
      </w:r>
      <w:r w:rsidRPr="00B832E0" w:rsidDel="00892695">
        <w:t>Board Members</w:t>
      </w:r>
      <w:r w:rsidR="00D23095">
        <w:t>’</w:t>
      </w:r>
      <w:r w:rsidRPr="00B832E0">
        <w:t xml:space="preserve"> i</w:t>
      </w:r>
      <w:r w:rsidRPr="00B832E0" w:rsidDel="00892695">
        <w:t>ndemnities</w:t>
      </w:r>
      <w:bookmarkEnd w:id="190"/>
    </w:p>
    <w:p w14:paraId="254887D9" w14:textId="77777777" w:rsidR="002321F3" w:rsidRDefault="002321F3" w:rsidP="00BD4364">
      <w:pPr>
        <w:shd w:val="clear" w:color="auto" w:fill="FFFFFF" w:themeFill="background1"/>
      </w:pPr>
      <w:r>
        <w:t>The Australian Government has provided an indemnity to the inaugural directors of WSA Co Limited (WSA Co) to protect them against certain claims relating to their role as directors. Unless the indemnity agreements are varied or ended, they cease to apply from the date the Commonwealth has fully satisfied its obligations to subscribe for equity in WSA Co pursuant to the WSA Co Equity Subscription Agreement.</w:t>
      </w:r>
    </w:p>
    <w:p w14:paraId="6A905D4E" w14:textId="77777777" w:rsidR="002321F3" w:rsidRPr="00B832E0" w:rsidRDefault="002321F3" w:rsidP="00BD4364">
      <w:pPr>
        <w:pStyle w:val="Heading4"/>
        <w:shd w:val="clear" w:color="auto" w:fill="FFFFFF" w:themeFill="background1"/>
      </w:pPr>
      <w:r w:rsidRPr="00B832E0">
        <w:t>WSA Co Limited – Sydney Metro – Western Sydney Airport indemnity</w:t>
      </w:r>
    </w:p>
    <w:p w14:paraId="3F58727F" w14:textId="5EE4E1B8" w:rsidR="002321F3" w:rsidRPr="00B832E0" w:rsidDel="00892695" w:rsidRDefault="002321F3" w:rsidP="00BD4364">
      <w:pPr>
        <w:shd w:val="clear" w:color="auto" w:fill="FFFFFF" w:themeFill="background1"/>
      </w:pPr>
      <w:r w:rsidRPr="00B832E0">
        <w:t xml:space="preserve">The Australian Government has provided an indemnity to cover liabilities that may be </w:t>
      </w:r>
      <w:r w:rsidRPr="00F5415A">
        <w:t>incurred by WSA Co related to the integration of the Sydney Metro – Western Sydney Airport project (delivered by the New South Wales Government) with the Western Sydney International (Nancy</w:t>
      </w:r>
      <w:r w:rsidR="00D23095">
        <w:noBreakHyphen/>
      </w:r>
      <w:r w:rsidRPr="00F5415A">
        <w:t>Bird Walton) Airport, to the extent such liabilities are established in the Airport</w:t>
      </w:r>
      <w:r w:rsidR="00D23095">
        <w:noBreakHyphen/>
      </w:r>
      <w:r w:rsidRPr="00F5415A">
        <w:t>Rail Integration Deed.</w:t>
      </w:r>
    </w:p>
    <w:p w14:paraId="3F2D40F6" w14:textId="77777777" w:rsidR="002321F3" w:rsidRPr="00B832E0" w:rsidRDefault="002321F3" w:rsidP="00BD4364">
      <w:pPr>
        <w:pStyle w:val="Heading4"/>
        <w:keepLines/>
        <w:shd w:val="clear" w:color="auto" w:fill="FFFFFF" w:themeFill="background1"/>
      </w:pPr>
      <w:bookmarkStart w:id="191" w:name="_Toc71117862"/>
      <w:r w:rsidRPr="00B832E0">
        <w:t>WSA Co Limited –</w:t>
      </w:r>
      <w:r>
        <w:t xml:space="preserve"> </w:t>
      </w:r>
      <w:r w:rsidRPr="00B832E0">
        <w:t>Termination of the Equity Subscription Agreement</w:t>
      </w:r>
      <w:bookmarkEnd w:id="191"/>
    </w:p>
    <w:p w14:paraId="2D0C0E4E" w14:textId="553D6F5E" w:rsidR="002321F3" w:rsidRPr="002321F3" w:rsidRDefault="002321F3" w:rsidP="00BD4364">
      <w:pPr>
        <w:keepLines/>
        <w:shd w:val="clear" w:color="auto" w:fill="FFFFFF" w:themeFill="background1"/>
      </w:pPr>
      <w:r w:rsidRPr="00B832E0">
        <w:t>The Australian Government is required to cover all costs and liabilities that may be incurred by WSA Co if the Commonwealth terminates the Equity Subscription Agreement between the Commonwealth and WSA</w:t>
      </w:r>
      <w:r>
        <w:t> </w:t>
      </w:r>
      <w:r w:rsidRPr="00B832E0">
        <w:t>Co.</w:t>
      </w:r>
    </w:p>
    <w:p w14:paraId="314617FC" w14:textId="6BC90D44" w:rsidR="0023618C" w:rsidRPr="00B832E0" w:rsidRDefault="0023618C" w:rsidP="00BD4364">
      <w:pPr>
        <w:pStyle w:val="Heading3"/>
        <w:shd w:val="clear" w:color="auto" w:fill="FFFFFF" w:themeFill="background1"/>
      </w:pPr>
      <w:bookmarkStart w:id="192" w:name="_Toc193536212"/>
      <w:r w:rsidRPr="00B832E0">
        <w:t>Contingent liabilit</w:t>
      </w:r>
      <w:r w:rsidR="002321F3">
        <w:t>ies</w:t>
      </w:r>
      <w:r w:rsidRPr="00B832E0">
        <w:t xml:space="preserve"> – unquantifiable</w:t>
      </w:r>
      <w:bookmarkEnd w:id="179"/>
      <w:bookmarkEnd w:id="180"/>
      <w:bookmarkEnd w:id="192"/>
    </w:p>
    <w:p w14:paraId="2B2FAFD5" w14:textId="57D78065" w:rsidR="00984727" w:rsidRPr="007455A4" w:rsidRDefault="00984727" w:rsidP="00BD4364">
      <w:pPr>
        <w:pStyle w:val="Heading4"/>
        <w:keepLines/>
        <w:shd w:val="clear" w:color="auto" w:fill="FFFFFF" w:themeFill="background1"/>
        <w:rPr>
          <w:rFonts w:eastAsia="Arial"/>
          <w:lang w:val="en-US"/>
        </w:rPr>
      </w:pPr>
      <w:bookmarkStart w:id="193" w:name="_Toc71117865"/>
      <w:bookmarkStart w:id="194" w:name="_Toc71117866"/>
      <w:r w:rsidRPr="059F3E68">
        <w:rPr>
          <w:rFonts w:eastAsia="Arial"/>
          <w:lang w:val="en-US"/>
        </w:rPr>
        <w:t xml:space="preserve">Australian Maritime Safety Authority </w:t>
      </w:r>
      <w:r>
        <w:rPr>
          <w:rFonts w:eastAsia="Arial"/>
          <w:lang w:val="en-US"/>
        </w:rPr>
        <w:t>– ship</w:t>
      </w:r>
      <w:r w:rsidR="00D23095">
        <w:rPr>
          <w:rFonts w:eastAsia="Arial"/>
          <w:lang w:val="en-US"/>
        </w:rPr>
        <w:noBreakHyphen/>
      </w:r>
      <w:r>
        <w:rPr>
          <w:rFonts w:eastAsia="Arial"/>
          <w:lang w:val="en-US"/>
        </w:rPr>
        <w:t xml:space="preserve">sourced pollution </w:t>
      </w:r>
      <w:r w:rsidRPr="059F3E68">
        <w:rPr>
          <w:rFonts w:eastAsia="Arial"/>
          <w:lang w:val="en-US"/>
        </w:rPr>
        <w:t>incident costs</w:t>
      </w:r>
    </w:p>
    <w:p w14:paraId="182409E4" w14:textId="0CF39598" w:rsidR="007E7CC1" w:rsidRPr="00F53D2A" w:rsidRDefault="00984727" w:rsidP="00BD4364">
      <w:pPr>
        <w:shd w:val="clear" w:color="auto" w:fill="FFFFFF" w:themeFill="background1"/>
        <w:rPr>
          <w:color w:val="000000" w:themeColor="text1"/>
        </w:rPr>
      </w:pPr>
      <w:r w:rsidRPr="00F53D2A">
        <w:rPr>
          <w:color w:val="000000" w:themeColor="text1"/>
        </w:rPr>
        <w:t>In the normal course of operations, shipowners carry the liability for any clean</w:t>
      </w:r>
      <w:r w:rsidR="00D23095">
        <w:rPr>
          <w:color w:val="000000" w:themeColor="text1"/>
        </w:rPr>
        <w:noBreakHyphen/>
      </w:r>
      <w:r w:rsidRPr="00F53D2A">
        <w:rPr>
          <w:color w:val="000000" w:themeColor="text1"/>
        </w:rPr>
        <w:t>up costs following a ship</w:t>
      </w:r>
      <w:r w:rsidR="00D23095">
        <w:rPr>
          <w:color w:val="000000" w:themeColor="text1"/>
        </w:rPr>
        <w:noBreakHyphen/>
      </w:r>
      <w:r w:rsidRPr="00F53D2A">
        <w:rPr>
          <w:color w:val="000000" w:themeColor="text1"/>
        </w:rPr>
        <w:t xml:space="preserve">sourced </w:t>
      </w:r>
      <w:r w:rsidR="007E7CC1" w:rsidRPr="00F53D2A">
        <w:rPr>
          <w:color w:val="000000" w:themeColor="text1"/>
        </w:rPr>
        <w:t>marine pollution incident. The Australian Maritime Safety Authority (AMSA) is responsible for the provision of interim funds necessary to immediately meet clean</w:t>
      </w:r>
      <w:r w:rsidR="00D23095">
        <w:rPr>
          <w:color w:val="000000" w:themeColor="text1"/>
        </w:rPr>
        <w:noBreakHyphen/>
      </w:r>
      <w:r w:rsidR="007E7CC1" w:rsidRPr="00F53D2A">
        <w:rPr>
          <w:color w:val="000000" w:themeColor="text1"/>
        </w:rPr>
        <w:t>up operations and, in all circumstances, seeks to recover these costs from ship owners. Where a polluter is not identified, or excess costs cannot be recovered from shipowners, AMSA bears the liability.</w:t>
      </w:r>
    </w:p>
    <w:p w14:paraId="399C1D29" w14:textId="5EF6120E" w:rsidR="007E7CC1" w:rsidRPr="00F53D2A" w:rsidRDefault="007E7CC1" w:rsidP="00BD4364">
      <w:pPr>
        <w:shd w:val="clear" w:color="auto" w:fill="FFFFFF" w:themeFill="background1"/>
        <w:rPr>
          <w:color w:val="000000" w:themeColor="text1"/>
        </w:rPr>
      </w:pPr>
      <w:r w:rsidRPr="00F53D2A">
        <w:rPr>
          <w:color w:val="000000" w:themeColor="text1"/>
        </w:rPr>
        <w:t>AMSA has established a pollution response financial capability to provide funds for clean</w:t>
      </w:r>
      <w:r w:rsidR="00D23095">
        <w:rPr>
          <w:color w:val="000000" w:themeColor="text1"/>
        </w:rPr>
        <w:noBreakHyphen/>
      </w:r>
      <w:r w:rsidRPr="00F53D2A">
        <w:rPr>
          <w:color w:val="000000" w:themeColor="text1"/>
        </w:rPr>
        <w:t xml:space="preserve">up expenditure (which may be across a range of concurrent incidents) pending recoveries. This is backed by liquid investment reserves of </w:t>
      </w:r>
      <w:proofErr w:type="gramStart"/>
      <w:r w:rsidRPr="00F53D2A">
        <w:rPr>
          <w:color w:val="000000" w:themeColor="text1"/>
        </w:rPr>
        <w:t>$10 million, and</w:t>
      </w:r>
      <w:proofErr w:type="gramEnd"/>
      <w:r w:rsidRPr="00F53D2A">
        <w:rPr>
          <w:color w:val="000000" w:themeColor="text1"/>
        </w:rPr>
        <w:t xml:space="preserve"> supported by a commercial line</w:t>
      </w:r>
      <w:r w:rsidR="00D23095">
        <w:rPr>
          <w:color w:val="000000" w:themeColor="text1"/>
        </w:rPr>
        <w:noBreakHyphen/>
      </w:r>
      <w:r w:rsidRPr="00F53D2A">
        <w:rPr>
          <w:color w:val="000000" w:themeColor="text1"/>
        </w:rPr>
        <w:t>of</w:t>
      </w:r>
      <w:r w:rsidR="00D23095">
        <w:rPr>
          <w:color w:val="000000" w:themeColor="text1"/>
        </w:rPr>
        <w:noBreakHyphen/>
      </w:r>
      <w:r w:rsidRPr="00F53D2A">
        <w:rPr>
          <w:color w:val="000000" w:themeColor="text1"/>
        </w:rPr>
        <w:t xml:space="preserve">credit of $40 million. </w:t>
      </w:r>
    </w:p>
    <w:p w14:paraId="24A72B80" w14:textId="28080DBA" w:rsidR="00984727" w:rsidRPr="0009089A" w:rsidRDefault="007E7CC1" w:rsidP="00BD4364">
      <w:pPr>
        <w:shd w:val="clear" w:color="auto" w:fill="FFFFFF" w:themeFill="background1"/>
        <w:rPr>
          <w:rFonts w:eastAsia="Arial"/>
          <w:color w:val="000000" w:themeColor="text1"/>
        </w:rPr>
      </w:pPr>
      <w:r w:rsidRPr="00F53D2A">
        <w:rPr>
          <w:color w:val="000000" w:themeColor="text1"/>
        </w:rPr>
        <w:t>The Australian Government meets costs that cannot be recovered and exceeds AMSA</w:t>
      </w:r>
      <w:r w:rsidR="00D23095">
        <w:rPr>
          <w:color w:val="000000" w:themeColor="text1"/>
        </w:rPr>
        <w:t>’</w:t>
      </w:r>
      <w:r w:rsidRPr="00F53D2A">
        <w:rPr>
          <w:color w:val="000000" w:themeColor="text1"/>
        </w:rPr>
        <w:t>s pollution response financial capability. Given the nature of ship</w:t>
      </w:r>
      <w:r w:rsidR="00D23095">
        <w:rPr>
          <w:color w:val="000000" w:themeColor="text1"/>
        </w:rPr>
        <w:noBreakHyphen/>
      </w:r>
      <w:r w:rsidRPr="00F53D2A">
        <w:rPr>
          <w:color w:val="000000" w:themeColor="text1"/>
        </w:rPr>
        <w:t>sourced pollution incidents, it is not possible to estimate the amounts of any eventual payments that may be required</w:t>
      </w:r>
      <w:r>
        <w:rPr>
          <w:color w:val="000000" w:themeColor="text1"/>
        </w:rPr>
        <w:t>.</w:t>
      </w:r>
    </w:p>
    <w:p w14:paraId="6912DC10" w14:textId="47FA04E7" w:rsidR="0023618C" w:rsidRPr="00BE6C2E" w:rsidRDefault="0023618C" w:rsidP="00BD4364">
      <w:pPr>
        <w:pStyle w:val="Heading4"/>
        <w:shd w:val="clear" w:color="auto" w:fill="FFFFFF" w:themeFill="background1"/>
        <w:rPr>
          <w:rFonts w:eastAsia="Arial"/>
          <w:lang w:val="en-US"/>
        </w:rPr>
      </w:pPr>
      <w:r w:rsidRPr="00BE6C2E">
        <w:rPr>
          <w:rFonts w:eastAsia="Arial"/>
          <w:lang w:val="en-US"/>
        </w:rPr>
        <w:t>Aviation rescue and firefighting services potential per</w:t>
      </w:r>
      <w:r w:rsidR="00264F14">
        <w:rPr>
          <w:rFonts w:eastAsia="Arial"/>
          <w:lang w:val="en-US"/>
        </w:rPr>
        <w:t>-</w:t>
      </w:r>
      <w:r w:rsidRPr="00BE6C2E">
        <w:rPr>
          <w:rFonts w:eastAsia="Arial"/>
          <w:lang w:val="en-US"/>
        </w:rPr>
        <w:t xml:space="preserve"> and poly</w:t>
      </w:r>
      <w:r w:rsidR="00264F14">
        <w:rPr>
          <w:rFonts w:eastAsia="Arial"/>
          <w:lang w:val="en-US"/>
        </w:rPr>
        <w:t>-</w:t>
      </w:r>
      <w:r w:rsidRPr="00BE6C2E">
        <w:rPr>
          <w:rFonts w:eastAsia="Arial"/>
          <w:lang w:val="en-US"/>
        </w:rPr>
        <w:t>fluoroalkyl substances contamination</w:t>
      </w:r>
      <w:bookmarkEnd w:id="193"/>
    </w:p>
    <w:p w14:paraId="13913086" w14:textId="1F197F0D" w:rsidR="0023618C" w:rsidRPr="00404290" w:rsidRDefault="0023618C" w:rsidP="00BD4364">
      <w:pPr>
        <w:shd w:val="clear" w:color="auto" w:fill="FFFFFF" w:themeFill="background1"/>
        <w:rPr>
          <w:rFonts w:eastAsia="Calibri"/>
          <w:lang w:eastAsia="en-US"/>
        </w:rPr>
      </w:pPr>
      <w:bookmarkStart w:id="195" w:name="_Hlk182824988"/>
      <w:r w:rsidRPr="00404290">
        <w:rPr>
          <w:rFonts w:eastAsia="Calibri"/>
          <w:lang w:eastAsia="en-US"/>
        </w:rPr>
        <w:t xml:space="preserve">The Department of Infrastructure, Transport, Regional Development, Communications and the Arts (DITRDCA) has identified </w:t>
      </w:r>
      <w:proofErr w:type="gramStart"/>
      <w:r w:rsidRPr="00404290">
        <w:rPr>
          <w:rFonts w:eastAsia="Calibri"/>
          <w:lang w:eastAsia="en-US"/>
        </w:rPr>
        <w:t>a number of</w:t>
      </w:r>
      <w:proofErr w:type="gramEnd"/>
      <w:r w:rsidRPr="00404290">
        <w:rPr>
          <w:rFonts w:eastAsia="Calibri"/>
          <w:lang w:eastAsia="en-US"/>
        </w:rPr>
        <w:t xml:space="preserve"> sites in Australia potentially contaminated </w:t>
      </w:r>
      <w:r w:rsidRPr="00E9609F">
        <w:rPr>
          <w:rFonts w:eastAsia="Calibri"/>
          <w:lang w:eastAsia="en-US"/>
        </w:rPr>
        <w:lastRenderedPageBreak/>
        <w:t>with per</w:t>
      </w:r>
      <w:r w:rsidR="00D23095">
        <w:rPr>
          <w:rFonts w:eastAsia="Calibri"/>
          <w:lang w:eastAsia="en-US"/>
        </w:rPr>
        <w:noBreakHyphen/>
      </w:r>
      <w:r w:rsidRPr="00E9609F">
        <w:rPr>
          <w:rFonts w:eastAsia="Calibri"/>
          <w:lang w:eastAsia="en-US"/>
        </w:rPr>
        <w:t xml:space="preserve"> and</w:t>
      </w:r>
      <w:r w:rsidRPr="00404290">
        <w:rPr>
          <w:rFonts w:eastAsia="Calibri"/>
          <w:lang w:eastAsia="en-US"/>
        </w:rPr>
        <w:t xml:space="preserve"> pol</w:t>
      </w:r>
      <w:r w:rsidRPr="0031206D">
        <w:rPr>
          <w:rFonts w:eastAsia="Calibri"/>
          <w:lang w:eastAsia="en-US"/>
        </w:rPr>
        <w:t>y</w:t>
      </w:r>
      <w:r w:rsidR="00D23095">
        <w:rPr>
          <w:rFonts w:eastAsia="Calibri"/>
          <w:lang w:eastAsia="en-US"/>
        </w:rPr>
        <w:noBreakHyphen/>
      </w:r>
      <w:r w:rsidRPr="0031206D">
        <w:rPr>
          <w:rFonts w:eastAsia="Calibri"/>
          <w:lang w:eastAsia="en-US"/>
        </w:rPr>
        <w:t>fluoroalkyl</w:t>
      </w:r>
      <w:r w:rsidRPr="00404290">
        <w:rPr>
          <w:rFonts w:eastAsia="Calibri"/>
          <w:lang w:eastAsia="en-US"/>
        </w:rPr>
        <w:t xml:space="preserve"> substances (PFAS), which were contained in firefighting foams. </w:t>
      </w:r>
    </w:p>
    <w:p w14:paraId="43FF4EEF" w14:textId="77777777" w:rsidR="0023618C" w:rsidRPr="00404290" w:rsidRDefault="0023618C" w:rsidP="00BD4364">
      <w:pPr>
        <w:shd w:val="clear" w:color="auto" w:fill="FFFFFF" w:themeFill="background1"/>
        <w:rPr>
          <w:rFonts w:eastAsia="Calibri"/>
          <w:lang w:eastAsia="en-US"/>
        </w:rPr>
      </w:pPr>
      <w:r w:rsidRPr="00404290">
        <w:rPr>
          <w:rFonts w:eastAsia="Calibri"/>
          <w:lang w:eastAsia="en-US"/>
        </w:rPr>
        <w:t xml:space="preserve">PFAS contaminants do not naturally break down in the environment and several have been listed on the Stockholm Convention as persistent contaminants. Australian health and environmental agencies have set a range of standards for environmental protection and precautionary health measures. </w:t>
      </w:r>
    </w:p>
    <w:p w14:paraId="348400E4" w14:textId="648CD719" w:rsidR="0023618C" w:rsidRPr="00404290" w:rsidRDefault="0023618C" w:rsidP="00BD4364">
      <w:pPr>
        <w:shd w:val="clear" w:color="auto" w:fill="FFFFFF" w:themeFill="background1"/>
        <w:rPr>
          <w:rFonts w:eastAsia="Calibri"/>
          <w:lang w:eastAsia="en-US"/>
        </w:rPr>
      </w:pPr>
      <w:r w:rsidRPr="00404290">
        <w:rPr>
          <w:rFonts w:eastAsia="Calibri"/>
          <w:lang w:eastAsia="en-US"/>
        </w:rPr>
        <w:t>Up to 37 airport sites are potentially contaminated with PFAS (20 federally</w:t>
      </w:r>
      <w:r w:rsidR="00D23095">
        <w:rPr>
          <w:rFonts w:eastAsia="Calibri"/>
          <w:lang w:eastAsia="en-US"/>
        </w:rPr>
        <w:noBreakHyphen/>
      </w:r>
      <w:r w:rsidRPr="00404290">
        <w:rPr>
          <w:rFonts w:eastAsia="Calibri"/>
          <w:lang w:eastAsia="en-US"/>
        </w:rPr>
        <w:t>leased airports and 17 regional airports), which relate to the Australian Government</w:t>
      </w:r>
      <w:r w:rsidR="00D23095">
        <w:rPr>
          <w:rFonts w:eastAsia="Calibri"/>
          <w:lang w:eastAsia="en-US"/>
        </w:rPr>
        <w:t>’</w:t>
      </w:r>
      <w:r w:rsidRPr="00404290">
        <w:rPr>
          <w:rFonts w:eastAsia="Calibri"/>
          <w:lang w:eastAsia="en-US"/>
        </w:rPr>
        <w:t>s provision of firefighting services. DITRDCA is undertaking PFAS investigations at these airports to understand the risks and develop management plans for any identified PFAS contamination. These investigations are funded under DITRDCA</w:t>
      </w:r>
      <w:r w:rsidR="00D23095">
        <w:rPr>
          <w:rFonts w:eastAsia="Calibri"/>
          <w:lang w:eastAsia="en-US"/>
        </w:rPr>
        <w:t>’</w:t>
      </w:r>
      <w:r w:rsidRPr="00404290">
        <w:rPr>
          <w:rFonts w:eastAsia="Calibri"/>
          <w:lang w:eastAsia="en-US"/>
        </w:rPr>
        <w:t>s $130.5</w:t>
      </w:r>
      <w:r>
        <w:rPr>
          <w:rFonts w:eastAsia="Calibri"/>
          <w:lang w:eastAsia="en-US"/>
        </w:rPr>
        <w:t> million</w:t>
      </w:r>
      <w:r w:rsidRPr="00404290">
        <w:rPr>
          <w:rFonts w:eastAsia="Calibri"/>
          <w:lang w:eastAsia="en-US"/>
        </w:rPr>
        <w:t xml:space="preserve"> PFAS Airports Investigation Program (the Program). Airservices Australia (Airservices) is continuing to implement the National PFAS Management Program, which includes ongoing PFAS investigations at 18 airport sites. The costs of potential long</w:t>
      </w:r>
      <w:r w:rsidR="00D23095">
        <w:rPr>
          <w:rFonts w:eastAsia="Calibri"/>
          <w:lang w:eastAsia="en-US"/>
        </w:rPr>
        <w:noBreakHyphen/>
      </w:r>
      <w:r w:rsidRPr="00404290">
        <w:rPr>
          <w:rFonts w:eastAsia="Calibri"/>
          <w:lang w:eastAsia="en-US"/>
        </w:rPr>
        <w:t xml:space="preserve">term management options cannot be accurately quantified at this time. </w:t>
      </w:r>
    </w:p>
    <w:p w14:paraId="4722EB0B" w14:textId="3D0BB6ED" w:rsidR="0023618C" w:rsidRPr="00404290" w:rsidRDefault="0023618C" w:rsidP="00BD4364">
      <w:pPr>
        <w:shd w:val="clear" w:color="auto" w:fill="FFFFFF" w:themeFill="background1"/>
        <w:rPr>
          <w:rFonts w:eastAsia="Calibri"/>
          <w:lang w:eastAsia="en-US"/>
        </w:rPr>
      </w:pPr>
      <w:r w:rsidRPr="00404290">
        <w:rPr>
          <w:rFonts w:eastAsia="Calibri"/>
          <w:lang w:eastAsia="en-US"/>
        </w:rPr>
        <w:t>For Commonwealth</w:t>
      </w:r>
      <w:r w:rsidR="00D23095">
        <w:rPr>
          <w:rFonts w:eastAsia="Calibri"/>
          <w:lang w:eastAsia="en-US"/>
        </w:rPr>
        <w:noBreakHyphen/>
      </w:r>
      <w:r w:rsidRPr="00404290">
        <w:rPr>
          <w:rFonts w:eastAsia="Calibri"/>
          <w:lang w:eastAsia="en-US"/>
        </w:rPr>
        <w:t>owned airports that are leased on a long</w:t>
      </w:r>
      <w:r w:rsidR="00D23095">
        <w:rPr>
          <w:rFonts w:eastAsia="Calibri"/>
          <w:lang w:eastAsia="en-US"/>
        </w:rPr>
        <w:noBreakHyphen/>
      </w:r>
      <w:r w:rsidRPr="00404290">
        <w:rPr>
          <w:rFonts w:eastAsia="Calibri"/>
          <w:lang w:eastAsia="en-US"/>
        </w:rPr>
        <w:t>term basis, Airport Lessee Companies are responsible for environmental management of their airport sites. Airport leases indemnify the Commonwealth in relation to damages or injury to the environment, including in respect of costs and claims arising due to such damages or injury. However, these leases do not indemnify Airservices, as it is a corporate Commonwealth entity. The Commonwealth is not indemnified for 16 airports (which are privately or local government owned) in the Program</w:t>
      </w:r>
      <w:r w:rsidR="00D23095">
        <w:rPr>
          <w:rFonts w:eastAsia="Calibri"/>
          <w:lang w:eastAsia="en-US"/>
        </w:rPr>
        <w:t>’</w:t>
      </w:r>
      <w:r w:rsidRPr="00404290">
        <w:rPr>
          <w:rFonts w:eastAsia="Calibri"/>
          <w:lang w:eastAsia="en-US"/>
        </w:rPr>
        <w:t>s scope because the Commonwealth is not a party to any lease deed at these airports. The costs of potential long</w:t>
      </w:r>
      <w:r w:rsidR="00D23095">
        <w:rPr>
          <w:rFonts w:eastAsia="Calibri"/>
          <w:lang w:eastAsia="en-US"/>
        </w:rPr>
        <w:noBreakHyphen/>
      </w:r>
      <w:r w:rsidRPr="00404290">
        <w:rPr>
          <w:rFonts w:eastAsia="Calibri"/>
          <w:lang w:eastAsia="en-US"/>
        </w:rPr>
        <w:t xml:space="preserve">term management options cannot be quantified at this time. </w:t>
      </w:r>
    </w:p>
    <w:p w14:paraId="219FD206" w14:textId="77777777" w:rsidR="0023618C" w:rsidRPr="00404290" w:rsidRDefault="0023618C" w:rsidP="0074298E">
      <w:pPr>
        <w:rPr>
          <w:rFonts w:eastAsia="Calibri"/>
          <w:lang w:eastAsia="en-US"/>
        </w:rPr>
      </w:pPr>
      <w:proofErr w:type="gramStart"/>
      <w:r w:rsidRPr="00404290">
        <w:rPr>
          <w:rFonts w:eastAsia="Calibri"/>
          <w:lang w:eastAsia="en-US"/>
        </w:rPr>
        <w:t>A number of</w:t>
      </w:r>
      <w:proofErr w:type="gramEnd"/>
      <w:r w:rsidRPr="00404290">
        <w:rPr>
          <w:rFonts w:eastAsia="Calibri"/>
          <w:lang w:eastAsia="en-US"/>
        </w:rPr>
        <w:t xml:space="preserve"> Airport Lessee Companies have requested that Airport Environment Officer</w:t>
      </w:r>
      <w:r>
        <w:rPr>
          <w:rFonts w:eastAsia="Calibri"/>
          <w:lang w:eastAsia="en-US"/>
        </w:rPr>
        <w:t>s</w:t>
      </w:r>
      <w:r w:rsidRPr="00404290">
        <w:rPr>
          <w:rFonts w:eastAsia="Calibri"/>
          <w:lang w:eastAsia="en-US"/>
        </w:rPr>
        <w:t xml:space="preserve"> (AEO</w:t>
      </w:r>
      <w:r>
        <w:rPr>
          <w:rFonts w:eastAsia="Calibri"/>
          <w:lang w:eastAsia="en-US"/>
        </w:rPr>
        <w:t>s</w:t>
      </w:r>
      <w:r w:rsidRPr="00404290">
        <w:rPr>
          <w:rFonts w:eastAsia="Calibri"/>
          <w:lang w:eastAsia="en-US"/>
        </w:rPr>
        <w:t xml:space="preserve">) issue remedial orders to Airservices for PFAS contamination under the </w:t>
      </w:r>
      <w:r w:rsidRPr="00FE72B7">
        <w:rPr>
          <w:rFonts w:eastAsia="Calibri"/>
        </w:rPr>
        <w:t xml:space="preserve">Airports (Environment Protection) Regulations 1997. </w:t>
      </w:r>
      <w:r w:rsidRPr="00404290">
        <w:rPr>
          <w:rFonts w:eastAsia="Calibri"/>
          <w:lang w:eastAsia="en-US"/>
        </w:rPr>
        <w:t>Two Environmental Remedial Orders (EROs) have been issued to Airservices, directing it to undertake specified remedial work at Launceston and Canberra airports, within a set timeframe. AEO</w:t>
      </w:r>
      <w:r>
        <w:rPr>
          <w:rFonts w:eastAsia="Calibri"/>
          <w:lang w:eastAsia="en-US"/>
        </w:rPr>
        <w:t>s</w:t>
      </w:r>
      <w:r w:rsidRPr="00404290">
        <w:rPr>
          <w:rFonts w:eastAsia="Calibri"/>
          <w:lang w:eastAsia="en-US"/>
        </w:rPr>
        <w:t xml:space="preserve"> </w:t>
      </w:r>
      <w:r>
        <w:rPr>
          <w:rFonts w:eastAsia="Calibri"/>
          <w:lang w:eastAsia="en-US"/>
        </w:rPr>
        <w:t xml:space="preserve">are </w:t>
      </w:r>
      <w:r w:rsidRPr="00404290">
        <w:rPr>
          <w:rFonts w:eastAsia="Calibri"/>
          <w:lang w:eastAsia="en-US"/>
        </w:rPr>
        <w:t xml:space="preserve">also actively considering regulatory action at Brisbane, Moorabbin and Sydney Airports. </w:t>
      </w:r>
    </w:p>
    <w:p w14:paraId="0B48FF88" w14:textId="03C7DE67" w:rsidR="0023618C" w:rsidRDefault="0023618C" w:rsidP="0074298E">
      <w:pPr>
        <w:rPr>
          <w:rFonts w:eastAsia="Calibri"/>
          <w:lang w:eastAsia="en-US"/>
        </w:rPr>
      </w:pPr>
      <w:r w:rsidRPr="00404290">
        <w:rPr>
          <w:rFonts w:eastAsia="Calibri"/>
          <w:lang w:eastAsia="en-US"/>
        </w:rPr>
        <w:t>Brisbane Airport Corporation has commenced legal proceedings in the Queensland Supreme Court against Airservices concerning legacy PFAS contamination from Airservices</w:t>
      </w:r>
      <w:r w:rsidR="00D23095">
        <w:rPr>
          <w:rFonts w:eastAsia="Calibri"/>
          <w:lang w:eastAsia="en-US"/>
        </w:rPr>
        <w:t>’</w:t>
      </w:r>
      <w:r w:rsidRPr="00404290">
        <w:rPr>
          <w:rFonts w:eastAsia="Calibri"/>
          <w:lang w:eastAsia="en-US"/>
        </w:rPr>
        <w:t xml:space="preserve"> use of firefighting foams containing PFAS at the airport. Australia Pacific Airports Launceston and Perth Airport Pty Ltd have also commenced legal proceedings against Airservices in relation to PFAS contamination in the Federal Court. Potential costs relating to these matters are unquantifiable </w:t>
      </w:r>
      <w:proofErr w:type="gramStart"/>
      <w:r w:rsidRPr="00404290">
        <w:rPr>
          <w:rFonts w:eastAsia="Calibri"/>
          <w:lang w:eastAsia="en-US"/>
        </w:rPr>
        <w:t>at this time</w:t>
      </w:r>
      <w:proofErr w:type="gramEnd"/>
      <w:r w:rsidRPr="00404290">
        <w:rPr>
          <w:rFonts w:eastAsia="Calibri"/>
          <w:lang w:eastAsia="en-US"/>
        </w:rPr>
        <w:t>.</w:t>
      </w:r>
      <w:bookmarkEnd w:id="177"/>
      <w:bookmarkEnd w:id="181"/>
      <w:bookmarkEnd w:id="194"/>
      <w:bookmarkEnd w:id="195"/>
      <w:r>
        <w:rPr>
          <w:rFonts w:eastAsia="Calibri"/>
          <w:lang w:eastAsia="en-US"/>
        </w:rPr>
        <w:t xml:space="preserve"> </w:t>
      </w:r>
    </w:p>
    <w:p w14:paraId="2BDCD1C8" w14:textId="77777777" w:rsidR="0018593F" w:rsidRPr="00B832E0" w:rsidRDefault="0018593F" w:rsidP="0074298E">
      <w:pPr>
        <w:pStyle w:val="Heading4"/>
      </w:pPr>
      <w:r w:rsidRPr="00B832E0">
        <w:t>Indemnity provided to the New South Wales Rural Fire Fighting Service in relation to the Jervis Bay Territory</w:t>
      </w:r>
    </w:p>
    <w:p w14:paraId="5168A4F8" w14:textId="77777777" w:rsidR="0018593F" w:rsidRPr="00F90E4D" w:rsidRDefault="0018593F" w:rsidP="00BD4364">
      <w:pPr>
        <w:shd w:val="clear" w:color="auto" w:fill="FFFFFF" w:themeFill="background1"/>
        <w:rPr>
          <w:rFonts w:eastAsia="Arial"/>
          <w:b/>
          <w:bCs/>
          <w:lang w:val="en-US"/>
        </w:rPr>
      </w:pPr>
      <w:bookmarkStart w:id="196" w:name="_Toc71117868"/>
      <w:r>
        <w:t xml:space="preserve">The Department of Infrastructure, Transport, Regional Development, Communications and the Arts (DITRDCA) engages the New South Wales Rural Fire Service (NSW RFS) to provide fire management in the Jervis Bay Territory (JBT). To provide these services, the </w:t>
      </w:r>
      <w:r>
        <w:lastRenderedPageBreak/>
        <w:t xml:space="preserve">NSW RFS requires the Australian Government to provide an uncapped indemnity against any actions or claims resulting from the actions of the NSW RFS while providing fire management services in the JBT. The indemnity covers the same </w:t>
      </w:r>
      <w:proofErr w:type="gramStart"/>
      <w:r>
        <w:t>period of time</w:t>
      </w:r>
      <w:proofErr w:type="gramEnd"/>
      <w:r>
        <w:t xml:space="preserve"> for which NSW RFS is engaged to provide the fire management services. The likelihood of an event occurring that may result in a liability for the Australian Government is assessed as unlikely. The risk of a liability is mitigated through a range of risk management measures, including the </w:t>
      </w:r>
      <w:r w:rsidRPr="00536C90">
        <w:rPr>
          <w:rStyle w:val="Emphasis"/>
        </w:rPr>
        <w:t>Jervis Bay Territory Rural Fires Ordinance 2014</w:t>
      </w:r>
      <w:r>
        <w:t>, the establishment of a JBT Emergency Management Committee (EMC), a fire management plan prepared and implemented by the EMC, NSW RFS staff training and professional qualifications and DITRDCA actively managing the Service Level Agreement with the NSW RFS.</w:t>
      </w:r>
    </w:p>
    <w:p w14:paraId="368DAA97" w14:textId="77777777" w:rsidR="0018593F" w:rsidRPr="00B832E0" w:rsidRDefault="0018593F" w:rsidP="00BD4364">
      <w:pPr>
        <w:pStyle w:val="Heading4"/>
        <w:shd w:val="clear" w:color="auto" w:fill="FFFFFF" w:themeFill="background1"/>
      </w:pPr>
      <w:r w:rsidRPr="00B832E0">
        <w:t>Moorebank Intermodal Project – Georges River rail crossing</w:t>
      </w:r>
      <w:bookmarkEnd w:id="196"/>
    </w:p>
    <w:p w14:paraId="73D63D4B" w14:textId="4DFE6B99" w:rsidR="0018593F" w:rsidRPr="00B832E0" w:rsidRDefault="0018593F" w:rsidP="00BD4364">
      <w:pPr>
        <w:shd w:val="clear" w:color="auto" w:fill="FFFFFF" w:themeFill="background1"/>
      </w:pPr>
      <w:r w:rsidRPr="00B832E0">
        <w:t>The</w:t>
      </w:r>
      <w:r w:rsidRPr="00B832E0">
        <w:rPr>
          <w:spacing w:val="-12"/>
        </w:rPr>
        <w:t xml:space="preserve"> </w:t>
      </w:r>
      <w:r w:rsidRPr="00B832E0">
        <w:t>Australian</w:t>
      </w:r>
      <w:r w:rsidRPr="00B832E0">
        <w:rPr>
          <w:spacing w:val="-13"/>
        </w:rPr>
        <w:t xml:space="preserve"> </w:t>
      </w:r>
      <w:r w:rsidRPr="00B832E0">
        <w:t>Government</w:t>
      </w:r>
      <w:r w:rsidRPr="00B832E0">
        <w:rPr>
          <w:spacing w:val="-12"/>
        </w:rPr>
        <w:t xml:space="preserve"> </w:t>
      </w:r>
      <w:r w:rsidRPr="00B832E0">
        <w:t>has</w:t>
      </w:r>
      <w:r w:rsidRPr="00B832E0">
        <w:rPr>
          <w:spacing w:val="-13"/>
        </w:rPr>
        <w:t xml:space="preserve"> </w:t>
      </w:r>
      <w:r w:rsidRPr="00B832E0">
        <w:t>provided</w:t>
      </w:r>
      <w:r w:rsidRPr="00B832E0">
        <w:rPr>
          <w:spacing w:val="-12"/>
        </w:rPr>
        <w:t xml:space="preserve"> </w:t>
      </w:r>
      <w:r w:rsidRPr="00B832E0">
        <w:t>an</w:t>
      </w:r>
      <w:r w:rsidRPr="00B832E0">
        <w:rPr>
          <w:spacing w:val="-12"/>
        </w:rPr>
        <w:t xml:space="preserve"> </w:t>
      </w:r>
      <w:r w:rsidRPr="00B832E0">
        <w:t>indemnity</w:t>
      </w:r>
      <w:r w:rsidRPr="00B832E0">
        <w:rPr>
          <w:spacing w:val="-13"/>
        </w:rPr>
        <w:t xml:space="preserve"> </w:t>
      </w:r>
      <w:r w:rsidRPr="00B832E0">
        <w:t>to</w:t>
      </w:r>
      <w:r w:rsidRPr="00B832E0">
        <w:rPr>
          <w:spacing w:val="-14"/>
        </w:rPr>
        <w:t xml:space="preserve"> </w:t>
      </w:r>
      <w:r w:rsidRPr="00B832E0">
        <w:t>cover</w:t>
      </w:r>
      <w:r w:rsidRPr="00B832E0">
        <w:rPr>
          <w:spacing w:val="-11"/>
        </w:rPr>
        <w:t xml:space="preserve"> </w:t>
      </w:r>
      <w:r w:rsidRPr="00B832E0">
        <w:t>costs</w:t>
      </w:r>
      <w:r w:rsidRPr="00B832E0">
        <w:rPr>
          <w:spacing w:val="-13"/>
        </w:rPr>
        <w:t xml:space="preserve"> </w:t>
      </w:r>
      <w:r w:rsidRPr="00B832E0">
        <w:t>and</w:t>
      </w:r>
      <w:r w:rsidRPr="00B832E0">
        <w:rPr>
          <w:spacing w:val="-12"/>
        </w:rPr>
        <w:t xml:space="preserve"> </w:t>
      </w:r>
      <w:r w:rsidRPr="00B832E0">
        <w:t>liabilities</w:t>
      </w:r>
      <w:r w:rsidRPr="00B832E0">
        <w:rPr>
          <w:spacing w:val="-12"/>
        </w:rPr>
        <w:t xml:space="preserve"> </w:t>
      </w:r>
      <w:r w:rsidRPr="00B832E0">
        <w:t>that may</w:t>
      </w:r>
      <w:r w:rsidRPr="00B832E0">
        <w:rPr>
          <w:spacing w:val="-7"/>
        </w:rPr>
        <w:t xml:space="preserve"> </w:t>
      </w:r>
      <w:r w:rsidRPr="00B832E0">
        <w:t>be</w:t>
      </w:r>
      <w:r w:rsidRPr="00B832E0">
        <w:rPr>
          <w:spacing w:val="-6"/>
        </w:rPr>
        <w:t xml:space="preserve"> </w:t>
      </w:r>
      <w:r w:rsidRPr="00B832E0">
        <w:t>incurred</w:t>
      </w:r>
      <w:r w:rsidRPr="00B832E0">
        <w:rPr>
          <w:spacing w:val="-6"/>
        </w:rPr>
        <w:t xml:space="preserve"> </w:t>
      </w:r>
      <w:r w:rsidRPr="00B832E0">
        <w:t>by</w:t>
      </w:r>
      <w:r w:rsidRPr="00B832E0">
        <w:rPr>
          <w:spacing w:val="-7"/>
        </w:rPr>
        <w:t xml:space="preserve"> </w:t>
      </w:r>
      <w:r w:rsidRPr="00B832E0">
        <w:t>the</w:t>
      </w:r>
      <w:r w:rsidRPr="00B832E0">
        <w:rPr>
          <w:spacing w:val="-6"/>
        </w:rPr>
        <w:t xml:space="preserve"> </w:t>
      </w:r>
      <w:r w:rsidRPr="00B832E0">
        <w:t>State</w:t>
      </w:r>
      <w:r w:rsidRPr="00B832E0">
        <w:rPr>
          <w:spacing w:val="-6"/>
        </w:rPr>
        <w:t xml:space="preserve"> </w:t>
      </w:r>
      <w:r w:rsidRPr="00B832E0">
        <w:t>of</w:t>
      </w:r>
      <w:r w:rsidRPr="00B832E0">
        <w:rPr>
          <w:spacing w:val="-6"/>
        </w:rPr>
        <w:t xml:space="preserve"> </w:t>
      </w:r>
      <w:r w:rsidRPr="00B832E0">
        <w:t>New</w:t>
      </w:r>
      <w:r w:rsidRPr="00B832E0">
        <w:rPr>
          <w:spacing w:val="-7"/>
        </w:rPr>
        <w:t xml:space="preserve"> </w:t>
      </w:r>
      <w:r w:rsidRPr="00B832E0">
        <w:t>South</w:t>
      </w:r>
      <w:r w:rsidRPr="00B832E0">
        <w:rPr>
          <w:spacing w:val="-5"/>
        </w:rPr>
        <w:t xml:space="preserve"> </w:t>
      </w:r>
      <w:r w:rsidRPr="00B832E0">
        <w:t>Wales</w:t>
      </w:r>
      <w:r w:rsidRPr="00B832E0">
        <w:rPr>
          <w:spacing w:val="-7"/>
        </w:rPr>
        <w:t xml:space="preserve"> </w:t>
      </w:r>
      <w:r w:rsidRPr="00B832E0">
        <w:t>arising</w:t>
      </w:r>
      <w:r w:rsidRPr="00B832E0">
        <w:rPr>
          <w:spacing w:val="-7"/>
        </w:rPr>
        <w:t xml:space="preserve"> </w:t>
      </w:r>
      <w:r w:rsidRPr="00B832E0">
        <w:t>under</w:t>
      </w:r>
      <w:r w:rsidRPr="00B832E0">
        <w:rPr>
          <w:spacing w:val="-6"/>
        </w:rPr>
        <w:t xml:space="preserve"> </w:t>
      </w:r>
      <w:r w:rsidRPr="00B832E0">
        <w:t>the</w:t>
      </w:r>
      <w:r w:rsidRPr="00B832E0">
        <w:rPr>
          <w:spacing w:val="-1"/>
        </w:rPr>
        <w:t xml:space="preserve"> </w:t>
      </w:r>
      <w:r w:rsidRPr="00536C90">
        <w:rPr>
          <w:rStyle w:val="Emphasis"/>
        </w:rPr>
        <w:t>Native Title Act 1993 (</w:t>
      </w:r>
      <w:proofErr w:type="spellStart"/>
      <w:r w:rsidRPr="00536C90">
        <w:rPr>
          <w:rStyle w:val="Emphasis"/>
        </w:rPr>
        <w:t>Cth</w:t>
      </w:r>
      <w:proofErr w:type="spellEnd"/>
      <w:r w:rsidRPr="00536C90">
        <w:rPr>
          <w:rStyle w:val="Emphasis"/>
        </w:rPr>
        <w:t>)</w:t>
      </w:r>
      <w:r w:rsidRPr="00B832E0">
        <w:rPr>
          <w:i/>
        </w:rPr>
        <w:t xml:space="preserve"> </w:t>
      </w:r>
      <w:r w:rsidRPr="00B832E0">
        <w:t xml:space="preserve">associated with the construction of a rail bridge over the Georges River </w:t>
      </w:r>
      <w:r w:rsidRPr="00B832E0">
        <w:rPr>
          <w:spacing w:val="4"/>
        </w:rPr>
        <w:t xml:space="preserve">to </w:t>
      </w:r>
      <w:r w:rsidRPr="00B832E0">
        <w:t>the Moorebank Intermodal Terminal. The likelihood of costs being incurred is considered remote and potential costs are unquantifiable.</w:t>
      </w:r>
    </w:p>
    <w:p w14:paraId="7CFA494C" w14:textId="667566B9" w:rsidR="0018593F" w:rsidRPr="00BE6C2E" w:rsidRDefault="0018593F" w:rsidP="00BD4364">
      <w:pPr>
        <w:pStyle w:val="Heading4"/>
        <w:keepLines/>
        <w:shd w:val="clear" w:color="auto" w:fill="FFFFFF" w:themeFill="background1"/>
        <w:rPr>
          <w:rFonts w:eastAsia="Arial"/>
          <w:lang w:val="en-US"/>
        </w:rPr>
      </w:pPr>
      <w:bookmarkStart w:id="197" w:name="_Toc71117869"/>
      <w:r w:rsidRPr="00BE6C2E">
        <w:rPr>
          <w:rFonts w:eastAsia="Arial"/>
          <w:lang w:val="en-US"/>
        </w:rPr>
        <w:t xml:space="preserve">Service Delivery Arrangement Indemnities </w:t>
      </w:r>
      <w:r>
        <w:rPr>
          <w:rFonts w:eastAsia="Calibri"/>
        </w:rPr>
        <w:t>–</w:t>
      </w:r>
      <w:r w:rsidRPr="00BE6C2E">
        <w:rPr>
          <w:rFonts w:eastAsia="Arial"/>
          <w:lang w:val="en-US"/>
        </w:rPr>
        <w:t xml:space="preserve"> Indian Ocean Territories and Jervis Bay Territory</w:t>
      </w:r>
      <w:bookmarkEnd w:id="197"/>
    </w:p>
    <w:p w14:paraId="1C8E883F" w14:textId="16831AA8" w:rsidR="0018593F" w:rsidRPr="00D92D94" w:rsidRDefault="0018593F" w:rsidP="00BD4364">
      <w:pPr>
        <w:keepLines/>
        <w:shd w:val="clear" w:color="auto" w:fill="FFFFFF" w:themeFill="background1"/>
      </w:pPr>
      <w:bookmarkStart w:id="198" w:name="_Toc71117870"/>
      <w:r w:rsidRPr="00D92D94">
        <w:t xml:space="preserve">Since 1992, the Australian Government has </w:t>
      </w:r>
      <w:proofErr w:type="gramStart"/>
      <w:r w:rsidRPr="00D92D94">
        <w:t>enter</w:t>
      </w:r>
      <w:r>
        <w:t>ed</w:t>
      </w:r>
      <w:r w:rsidRPr="00D92D94">
        <w:t xml:space="preserve"> into</w:t>
      </w:r>
      <w:proofErr w:type="gramEnd"/>
      <w:r w:rsidRPr="00D92D94">
        <w:t xml:space="preserve"> Service Delivery Arrangements with the Western Australian (WA) Government for the provision of services to the Indian Ocean Territories of Christmas Island and the Cocos (Keeling) Islands. The </w:t>
      </w:r>
      <w:r>
        <w:t>Australian</w:t>
      </w:r>
      <w:r w:rsidR="00A11E21">
        <w:t> </w:t>
      </w:r>
      <w:r>
        <w:t>Government</w:t>
      </w:r>
      <w:r w:rsidRPr="00D92D94">
        <w:t xml:space="preserve"> has provided certain indemnities for the WA Government</w:t>
      </w:r>
      <w:r>
        <w:t xml:space="preserve"> and</w:t>
      </w:r>
      <w:r w:rsidRPr="00D92D94">
        <w:t xml:space="preserve"> </w:t>
      </w:r>
      <w:r>
        <w:t>its</w:t>
      </w:r>
      <w:r w:rsidRPr="00D92D94">
        <w:t xml:space="preserve"> respective officers, agents, contractors and employees against civil claims relating to their employment and conduct as officers.</w:t>
      </w:r>
    </w:p>
    <w:p w14:paraId="230D908F" w14:textId="77A82FD7" w:rsidR="0018593F" w:rsidRPr="00D92D94" w:rsidRDefault="00310512" w:rsidP="0074298E">
      <w:r w:rsidRPr="00C95A04">
        <w:t xml:space="preserve">The Australian Capital Territory (ACT) </w:t>
      </w:r>
      <w:r>
        <w:t>Government</w:t>
      </w:r>
      <w:r w:rsidR="0018593F" w:rsidRPr="00D92D94">
        <w:t xml:space="preserve"> provides services to the Jervis Bay Territory under </w:t>
      </w:r>
      <w:r w:rsidR="0018593F">
        <w:t xml:space="preserve">a </w:t>
      </w:r>
      <w:r w:rsidR="0018593F" w:rsidRPr="00D92D94">
        <w:t>Memorand</w:t>
      </w:r>
      <w:r w:rsidR="0018593F">
        <w:t>um</w:t>
      </w:r>
      <w:r w:rsidR="0018593F" w:rsidRPr="00D92D94">
        <w:t xml:space="preserve"> of Understanding. The Australian</w:t>
      </w:r>
      <w:r w:rsidR="00A11E21">
        <w:t> </w:t>
      </w:r>
      <w:r w:rsidR="0018593F" w:rsidRPr="00D92D94">
        <w:t xml:space="preserve">Government has provided certain indemnities for the ACT Government authorities and officials </w:t>
      </w:r>
      <w:r w:rsidR="0018593F">
        <w:t>in relation to</w:t>
      </w:r>
      <w:r w:rsidR="0018593F" w:rsidRPr="00D92D94">
        <w:t xml:space="preserve"> the delivery of services to the Jervis Bay Territory.</w:t>
      </w:r>
    </w:p>
    <w:p w14:paraId="5A6F9637" w14:textId="091924C2" w:rsidR="00B64CBE" w:rsidRDefault="0018593F" w:rsidP="0074298E">
      <w:r w:rsidRPr="00D92D94">
        <w:t xml:space="preserve">The likelihood of an event occurring that may result in a liability for the </w:t>
      </w:r>
      <w:r>
        <w:t>Australian Government</w:t>
      </w:r>
      <w:r w:rsidRPr="00D92D94">
        <w:t xml:space="preserve"> has been assessed as remote and the risks are currently mitigated through the training and professional qualifications of the staff of these agencies</w:t>
      </w:r>
      <w:r>
        <w:t xml:space="preserve"> and the existence of systems, processes and standards for the delivery of services.</w:t>
      </w:r>
      <w:bookmarkEnd w:id="198"/>
      <w:r w:rsidR="00B64CBE">
        <w:br w:type="page"/>
      </w:r>
    </w:p>
    <w:p w14:paraId="0DB3FF96" w14:textId="77777777" w:rsidR="00A12F96" w:rsidRPr="00B832E0" w:rsidRDefault="00A12F96" w:rsidP="0074298E">
      <w:pPr>
        <w:pStyle w:val="Heading2"/>
      </w:pPr>
      <w:bookmarkStart w:id="199" w:name="_Toc166165526"/>
      <w:bookmarkStart w:id="200" w:name="_Toc193536213"/>
      <w:r w:rsidRPr="00B832E0">
        <w:lastRenderedPageBreak/>
        <w:t>Prime Minister and Cabinet</w:t>
      </w:r>
      <w:bookmarkEnd w:id="199"/>
      <w:bookmarkEnd w:id="200"/>
    </w:p>
    <w:p w14:paraId="4D60E31A" w14:textId="77777777" w:rsidR="00A12F96" w:rsidRPr="00B832E0" w:rsidRDefault="00A12F96" w:rsidP="0074298E">
      <w:pPr>
        <w:pStyle w:val="Heading3"/>
        <w:rPr>
          <w:rFonts w:ascii="Arial" w:eastAsia="Arial" w:hAnsi="Arial" w:cs="Arial"/>
          <w:b w:val="0"/>
          <w:lang w:val="en-US"/>
        </w:rPr>
      </w:pPr>
      <w:bookmarkStart w:id="201" w:name="_Toc71117876"/>
      <w:bookmarkStart w:id="202" w:name="_Toc99141892"/>
      <w:bookmarkStart w:id="203" w:name="_Toc166165528"/>
      <w:bookmarkStart w:id="204" w:name="_Toc193536214"/>
      <w:r w:rsidRPr="00B832E0">
        <w:t>Contingent liability – quantifiable</w:t>
      </w:r>
      <w:bookmarkEnd w:id="201"/>
      <w:bookmarkEnd w:id="202"/>
      <w:bookmarkEnd w:id="203"/>
      <w:bookmarkEnd w:id="204"/>
    </w:p>
    <w:p w14:paraId="18F54379" w14:textId="40F2A9A0" w:rsidR="00A12F96" w:rsidRDefault="00A12F96" w:rsidP="0074298E">
      <w:pPr>
        <w:pStyle w:val="Heading4"/>
      </w:pPr>
      <w:r w:rsidRPr="00166E5C">
        <w:t xml:space="preserve">Indigenous Land and Sea Corporation </w:t>
      </w:r>
      <w:r>
        <w:rPr>
          <w:rFonts w:hint="eastAsia"/>
        </w:rPr>
        <w:t>–</w:t>
      </w:r>
      <w:r w:rsidRPr="00166E5C">
        <w:t xml:space="preserve"> Voyages Indigenous Tourism Australia</w:t>
      </w:r>
    </w:p>
    <w:p w14:paraId="4BBB359F" w14:textId="2C2D5776" w:rsidR="00AA303F" w:rsidRPr="006A2D85" w:rsidRDefault="00AA303F" w:rsidP="00AA303F">
      <w:r w:rsidRPr="006A2D85">
        <w:t>Voyages Indigenous Tourism Australia Pty Ltd (Voyages), the owners of the Ayers Rock Resort, has debt facilities with ANZ Banking Group Limited ($11</w:t>
      </w:r>
      <w:r>
        <w:t>2</w:t>
      </w:r>
      <w:r w:rsidRPr="006A2D85">
        <w:t>.5 million) and the Northern Australia Infrastructure Facility ($27.5 million). The Indigenous Land and Sea Corporation is the guarantor for each of these facilities.</w:t>
      </w:r>
    </w:p>
    <w:p w14:paraId="218E1D3B" w14:textId="589DC05E" w:rsidR="0018593F" w:rsidRPr="00AA303F" w:rsidRDefault="00AA303F" w:rsidP="00AA303F">
      <w:pPr>
        <w:widowControl w:val="0"/>
        <w:autoSpaceDE w:val="0"/>
        <w:autoSpaceDN w:val="0"/>
        <w:spacing w:after="0" w:line="276" w:lineRule="auto"/>
        <w:rPr>
          <w:rFonts w:eastAsia="MS Mincho"/>
        </w:rPr>
      </w:pPr>
      <w:r w:rsidRPr="00B738C9">
        <w:rPr>
          <w:rFonts w:eastAsia="MS Mincho"/>
        </w:rPr>
        <w:t>The Indigenous Land and Sea Corporation has initiated a sale of Voyages, including the Ayers Rock Resort. The Indigenous Land and Sea Corporation awaits the receipt of binding offers to determine whether sale proceeds will be sufficient to repay debt facilities in full.</w:t>
      </w:r>
      <w:r w:rsidR="0018593F">
        <w:br w:type="page"/>
      </w:r>
    </w:p>
    <w:p w14:paraId="0A7FC599" w14:textId="77777777" w:rsidR="0023618C" w:rsidRPr="00B832E0" w:rsidRDefault="0023618C" w:rsidP="0074298E">
      <w:pPr>
        <w:pStyle w:val="Heading2"/>
      </w:pPr>
      <w:bookmarkStart w:id="205" w:name="_Toc184039492"/>
      <w:bookmarkStart w:id="206" w:name="_Toc193536215"/>
      <w:bookmarkEnd w:id="178"/>
      <w:r w:rsidRPr="00B832E0">
        <w:lastRenderedPageBreak/>
        <w:t>Social Services</w:t>
      </w:r>
      <w:bookmarkEnd w:id="205"/>
      <w:bookmarkEnd w:id="206"/>
      <w:r w:rsidRPr="00B832E0">
        <w:t xml:space="preserve"> </w:t>
      </w:r>
    </w:p>
    <w:p w14:paraId="62CC331B" w14:textId="77777777" w:rsidR="0023618C" w:rsidRPr="007F0E00" w:rsidRDefault="0023618C" w:rsidP="0074298E">
      <w:pPr>
        <w:pStyle w:val="Heading3"/>
        <w:rPr>
          <w:rFonts w:eastAsia="Book Antiqua"/>
        </w:rPr>
      </w:pPr>
      <w:bookmarkStart w:id="207" w:name="_Toc99141894"/>
      <w:bookmarkStart w:id="208" w:name="_Toc184039493"/>
      <w:bookmarkStart w:id="209" w:name="_Toc193536216"/>
      <w:bookmarkStart w:id="210" w:name="_Toc99141896"/>
      <w:r w:rsidRPr="00B832E0">
        <w:t xml:space="preserve">Fiscal </w:t>
      </w:r>
      <w:r w:rsidRPr="003669F3">
        <w:t>Risk</w:t>
      </w:r>
      <w:bookmarkEnd w:id="207"/>
      <w:bookmarkEnd w:id="208"/>
      <w:bookmarkEnd w:id="209"/>
    </w:p>
    <w:p w14:paraId="4ED1794F" w14:textId="11B17C4A" w:rsidR="0023618C" w:rsidRDefault="0023618C" w:rsidP="0074298E">
      <w:pPr>
        <w:pStyle w:val="Heading4"/>
      </w:pPr>
      <w:r w:rsidRPr="00B832E0">
        <w:t xml:space="preserve">National Disability Insurance Scheme </w:t>
      </w:r>
    </w:p>
    <w:p w14:paraId="0466003A" w14:textId="77777777" w:rsidR="002E0904" w:rsidRPr="009471AB" w:rsidRDefault="002E0904" w:rsidP="0074298E">
      <w:pPr>
        <w:rPr>
          <w:rFonts w:eastAsia="Book Antiqua"/>
        </w:rPr>
      </w:pPr>
      <w:bookmarkStart w:id="211" w:name="_Toc184039494"/>
      <w:r w:rsidRPr="009471AB">
        <w:rPr>
          <w:rFonts w:eastAsia="Book Antiqua"/>
        </w:rPr>
        <w:t xml:space="preserve">The National Disability Insurance Scheme (NDIS) provides financial support to Australians with permanent and significant disability to build capacity, increase independence and establish stronger connections with their community. </w:t>
      </w:r>
    </w:p>
    <w:p w14:paraId="5823557C" w14:textId="77777777" w:rsidR="002E0904" w:rsidRPr="009471AB" w:rsidRDefault="002E0904" w:rsidP="0074298E">
      <w:pPr>
        <w:rPr>
          <w:rFonts w:eastAsia="Book Antiqua"/>
        </w:rPr>
      </w:pPr>
      <w:r w:rsidRPr="009471AB">
        <w:rPr>
          <w:rFonts w:eastAsia="Book Antiqua"/>
        </w:rPr>
        <w:t>As with other demand driven programs, the estimated costs for the Scheme are subject to adjustments to reflect observed changes in actual payments. Scheme projections are liable to change as significant reform initiatives are implemented and the Scheme continues to mature. Reform initiatives may lead to revisions to forecasts of the number of Scheme participants, the funds allocated in participant support packages, the payments by participants from those funds for supports, and the resourcing required by the National Disability Insurance Agency to effectively administer the Scheme.</w:t>
      </w:r>
    </w:p>
    <w:p w14:paraId="7F58FD1B" w14:textId="107B1369" w:rsidR="002E0904" w:rsidRPr="009471AB" w:rsidRDefault="002E0904" w:rsidP="0074298E">
      <w:pPr>
        <w:rPr>
          <w:rFonts w:eastAsia="Book Antiqua"/>
        </w:rPr>
      </w:pPr>
      <w:r w:rsidRPr="009471AB">
        <w:rPr>
          <w:rFonts w:eastAsia="Book Antiqua"/>
        </w:rPr>
        <w:t xml:space="preserve">National Cabinet committed to a NDIS Financial Sustainability Framework to ensure the Scheme is sustainable in the long term, with an annual growth target for Scheme costs of no more than 8 per cent from 1 July 2026. </w:t>
      </w:r>
    </w:p>
    <w:p w14:paraId="13F2F9A9" w14:textId="5CA44C0E" w:rsidR="002E0904" w:rsidRPr="009471AB" w:rsidRDefault="002E0904" w:rsidP="0074298E">
      <w:pPr>
        <w:rPr>
          <w:rFonts w:eastAsia="Book Antiqua"/>
        </w:rPr>
      </w:pPr>
      <w:r w:rsidRPr="009471AB">
        <w:rPr>
          <w:rFonts w:eastAsia="Book Antiqua"/>
        </w:rPr>
        <w:t xml:space="preserve">The </w:t>
      </w:r>
      <w:r w:rsidRPr="00536C90">
        <w:rPr>
          <w:rStyle w:val="Emphasis"/>
          <w:rFonts w:eastAsia="Book Antiqua"/>
        </w:rPr>
        <w:t>National Disability Insurance Scheme Amendment (Getting the NDIS Back on Track No. 1) Act 2024</w:t>
      </w:r>
      <w:r w:rsidRPr="009471AB">
        <w:rPr>
          <w:rFonts w:eastAsia="Book Antiqua"/>
        </w:rPr>
        <w:t xml:space="preserve"> (the amending Act) commenced on 3 October 2024. Changes in the amending Act and subsequent amendments to NDIS rules and other legislative instruments will moderate growth in Scheme expenditure by determining Scheme participant plan budgets more consistently based on participant need and supporting participants to spend in accordance with their plans.</w:t>
      </w:r>
    </w:p>
    <w:p w14:paraId="2F24C7A8" w14:textId="6807D2FF" w:rsidR="005D1DC3" w:rsidRDefault="005D1DC3" w:rsidP="005D1DC3">
      <w:pPr>
        <w:rPr>
          <w:rFonts w:eastAsia="Book Antiqua"/>
        </w:rPr>
      </w:pPr>
      <w:r w:rsidRPr="0015239C">
        <w:rPr>
          <w:rFonts w:eastAsia="Book Antiqua"/>
        </w:rPr>
        <w:t>The 2025</w:t>
      </w:r>
      <w:r w:rsidR="00B14568">
        <w:rPr>
          <w:rFonts w:eastAsia="Book Antiqua"/>
        </w:rPr>
        <w:t>–</w:t>
      </w:r>
      <w:r w:rsidRPr="0015239C">
        <w:rPr>
          <w:rFonts w:eastAsia="Book Antiqua"/>
        </w:rPr>
        <w:t>26</w:t>
      </w:r>
      <w:r w:rsidR="00863A20">
        <w:rPr>
          <w:rFonts w:eastAsia="Book Antiqua"/>
        </w:rPr>
        <w:t> </w:t>
      </w:r>
      <w:r w:rsidRPr="0015239C">
        <w:rPr>
          <w:rFonts w:eastAsia="Book Antiqua"/>
        </w:rPr>
        <w:t>Budget estimates for the Scheme are based on actual expenditure as at end February 2025 and updated projections from the NDIS Actuary.</w:t>
      </w:r>
    </w:p>
    <w:p w14:paraId="6FC7A852" w14:textId="770AAE49" w:rsidR="0023618C" w:rsidRDefault="0023618C" w:rsidP="00BD4364">
      <w:pPr>
        <w:pStyle w:val="Heading3"/>
        <w:shd w:val="clear" w:color="auto" w:fill="FFFFFF" w:themeFill="background1"/>
      </w:pPr>
      <w:bookmarkStart w:id="212" w:name="_Toc193536217"/>
      <w:r>
        <w:t>Contingent liabilit</w:t>
      </w:r>
      <w:r w:rsidR="00A12F96">
        <w:t>ies</w:t>
      </w:r>
      <w:r>
        <w:t xml:space="preserve"> </w:t>
      </w:r>
      <w:r>
        <w:rPr>
          <w:rFonts w:hint="eastAsia"/>
        </w:rPr>
        <w:t>–</w:t>
      </w:r>
      <w:r>
        <w:t xml:space="preserve"> unquantifiable</w:t>
      </w:r>
      <w:bookmarkEnd w:id="211"/>
      <w:bookmarkEnd w:id="212"/>
    </w:p>
    <w:p w14:paraId="66DC6EF1" w14:textId="0825C980" w:rsidR="003D75B2" w:rsidRPr="006E7CB9" w:rsidRDefault="003D75B2" w:rsidP="00BD4364">
      <w:pPr>
        <w:pStyle w:val="Heading4"/>
        <w:keepLines/>
        <w:shd w:val="clear" w:color="auto" w:fill="FFFFFF" w:themeFill="background1"/>
        <w:rPr>
          <w:rFonts w:eastAsia="Arial"/>
          <w:lang w:val="en-US"/>
        </w:rPr>
      </w:pPr>
      <w:r>
        <w:rPr>
          <w:rFonts w:eastAsia="Arial"/>
          <w:lang w:val="en-US"/>
        </w:rPr>
        <w:t>Income apportionment and debt pause</w:t>
      </w:r>
    </w:p>
    <w:p w14:paraId="738E26BD" w14:textId="5AC20FC3" w:rsidR="00322F4A" w:rsidRPr="002D1C58" w:rsidRDefault="00322F4A" w:rsidP="00BD4364">
      <w:pPr>
        <w:shd w:val="clear" w:color="auto" w:fill="FFFFFF" w:themeFill="background1"/>
        <w:rPr>
          <w:rFonts w:eastAsia="Book Antiqua"/>
        </w:rPr>
      </w:pPr>
      <w:r w:rsidRPr="002D1C58">
        <w:rPr>
          <w:rFonts w:eastAsia="Book Antiqua"/>
        </w:rPr>
        <w:t>In November 2020, legislative changes were introduced to simplify income reporting in the social security system: income is now reported when it is received, removing the need for customers to calculate and report what they have earned each fortnight. This new approach took effect from 7 December 2020. Prior to 7 December 2020, the Australian</w:t>
      </w:r>
      <w:r w:rsidR="00D52D57">
        <w:rPr>
          <w:rFonts w:eastAsia="Book Antiqua"/>
        </w:rPr>
        <w:t> </w:t>
      </w:r>
      <w:r w:rsidRPr="002D1C58">
        <w:rPr>
          <w:rFonts w:eastAsia="Book Antiqua"/>
        </w:rPr>
        <w:t>Government applied a methodology called income apportionment to calculate a customer</w:t>
      </w:r>
      <w:r w:rsidR="00D23095">
        <w:rPr>
          <w:rFonts w:eastAsia="Book Antiqua"/>
        </w:rPr>
        <w:t>’</w:t>
      </w:r>
      <w:r w:rsidRPr="002D1C58">
        <w:rPr>
          <w:rFonts w:eastAsia="Book Antiqua"/>
        </w:rPr>
        <w:t>s income support entitlement in circumstances when a customer</w:t>
      </w:r>
      <w:r w:rsidR="00D23095">
        <w:rPr>
          <w:rFonts w:eastAsia="Book Antiqua"/>
        </w:rPr>
        <w:t>’</w:t>
      </w:r>
      <w:r w:rsidRPr="002D1C58">
        <w:rPr>
          <w:rFonts w:eastAsia="Book Antiqua"/>
        </w:rPr>
        <w:t xml:space="preserve">s employment income was spread across two or more Centrelink fortnightly reporting periods. </w:t>
      </w:r>
    </w:p>
    <w:p w14:paraId="2F712343" w14:textId="77777777" w:rsidR="00322F4A" w:rsidRPr="002D1C58" w:rsidRDefault="00322F4A" w:rsidP="00BD4364">
      <w:pPr>
        <w:shd w:val="clear" w:color="auto" w:fill="FFFFFF" w:themeFill="background1"/>
        <w:rPr>
          <w:rFonts w:eastAsia="Book Antiqua"/>
        </w:rPr>
      </w:pPr>
      <w:r w:rsidRPr="002D1C58">
        <w:rPr>
          <w:rFonts w:eastAsia="Book Antiqua"/>
        </w:rPr>
        <w:t xml:space="preserve">Where income apportionment was or may have been applied to determine certain Commonwealth social security debts prior to 7 December 2020, recovery activities have been paused, except </w:t>
      </w:r>
      <w:proofErr w:type="gramStart"/>
      <w:r w:rsidRPr="002D1C58">
        <w:rPr>
          <w:rFonts w:eastAsia="Book Antiqua"/>
        </w:rPr>
        <w:t>in particular circumstances</w:t>
      </w:r>
      <w:proofErr w:type="gramEnd"/>
      <w:r w:rsidRPr="002D1C58">
        <w:rPr>
          <w:rFonts w:eastAsia="Book Antiqua"/>
        </w:rPr>
        <w:t xml:space="preserve">. The decision made by the former </w:t>
      </w:r>
      <w:r w:rsidRPr="002D1C58">
        <w:rPr>
          <w:rFonts w:eastAsia="Book Antiqua"/>
        </w:rPr>
        <w:lastRenderedPageBreak/>
        <w:t>Administrative Appeals Tribunal regarding income apportionment (</w:t>
      </w:r>
      <w:r w:rsidRPr="00536C90">
        <w:rPr>
          <w:rStyle w:val="Emphasis"/>
          <w:rFonts w:eastAsia="Book Antiqua"/>
        </w:rPr>
        <w:t>Secretary, Department of Social Services and FTXB</w:t>
      </w:r>
      <w:r w:rsidRPr="002D1C58">
        <w:rPr>
          <w:rFonts w:eastAsia="Book Antiqua"/>
        </w:rPr>
        <w:t xml:space="preserve">) has been appealed to the Full Federal Court by the respondent. </w:t>
      </w:r>
    </w:p>
    <w:p w14:paraId="5991331F" w14:textId="7CCCAAA1" w:rsidR="0023618C" w:rsidRDefault="0023618C" w:rsidP="00BD4364">
      <w:pPr>
        <w:pStyle w:val="Heading4"/>
        <w:shd w:val="clear" w:color="auto" w:fill="FFFFFF" w:themeFill="background1"/>
        <w:rPr>
          <w:rFonts w:eastAsia="Arial"/>
          <w:lang w:val="en-US"/>
        </w:rPr>
      </w:pPr>
      <w:proofErr w:type="spellStart"/>
      <w:r w:rsidRPr="000E058D">
        <w:rPr>
          <w:rFonts w:eastAsia="Arial"/>
          <w:lang w:val="en-US"/>
        </w:rPr>
        <w:t>Prygodicz</w:t>
      </w:r>
      <w:proofErr w:type="spellEnd"/>
      <w:r w:rsidRPr="000E058D">
        <w:rPr>
          <w:rFonts w:eastAsia="Arial"/>
          <w:lang w:val="en-US"/>
        </w:rPr>
        <w:t xml:space="preserve"> v Commonwealth</w:t>
      </w:r>
    </w:p>
    <w:p w14:paraId="3263044E" w14:textId="77777777" w:rsidR="0023618C" w:rsidRPr="00926FD4" w:rsidRDefault="0023618C" w:rsidP="00BD4364">
      <w:pPr>
        <w:shd w:val="clear" w:color="auto" w:fill="FFFFFF" w:themeFill="background1"/>
        <w:rPr>
          <w:rFonts w:eastAsia="Arial"/>
        </w:rPr>
      </w:pPr>
      <w:bookmarkStart w:id="213" w:name="_Hlk181886079"/>
      <w:r w:rsidRPr="00926FD4">
        <w:rPr>
          <w:rFonts w:eastAsia="Arial"/>
        </w:rPr>
        <w:t>In September 2024, Gord</w:t>
      </w:r>
      <w:r>
        <w:rPr>
          <w:rFonts w:eastAsia="Arial"/>
        </w:rPr>
        <w:t>o</w:t>
      </w:r>
      <w:r w:rsidRPr="00926FD4">
        <w:rPr>
          <w:rFonts w:eastAsia="Arial"/>
        </w:rPr>
        <w:t xml:space="preserve">n Legal filed an extension application in the Federal Court of Australia to appeal settlement orders granted in the </w:t>
      </w:r>
      <w:proofErr w:type="spellStart"/>
      <w:r w:rsidRPr="00926FD4">
        <w:rPr>
          <w:rFonts w:eastAsia="Arial"/>
        </w:rPr>
        <w:t>Prygodicz</w:t>
      </w:r>
      <w:proofErr w:type="spellEnd"/>
      <w:r w:rsidRPr="00926FD4">
        <w:rPr>
          <w:rFonts w:eastAsia="Arial"/>
        </w:rPr>
        <w:t xml:space="preserve"> v Commonwealth class action on behalf of representative applicants impacted by the Income Compliance Program (the </w:t>
      </w:r>
      <w:proofErr w:type="spellStart"/>
      <w:r w:rsidRPr="00926FD4">
        <w:rPr>
          <w:rFonts w:eastAsia="Arial"/>
        </w:rPr>
        <w:t>Robodebt</w:t>
      </w:r>
      <w:proofErr w:type="spellEnd"/>
      <w:r w:rsidRPr="00926FD4">
        <w:rPr>
          <w:rFonts w:eastAsia="Arial"/>
        </w:rPr>
        <w:t xml:space="preserve"> scheme). Costs associated with the appeal (if any) and any potential related future litigation are not quantifiable until the matter is determined by the Court or otherwise resolved.</w:t>
      </w:r>
    </w:p>
    <w:p w14:paraId="1BA8E839" w14:textId="77777777" w:rsidR="0023618C" w:rsidRPr="00B832E0" w:rsidRDefault="0023618C" w:rsidP="00BD4364">
      <w:pPr>
        <w:pStyle w:val="Heading3"/>
        <w:shd w:val="clear" w:color="auto" w:fill="FFFFFF" w:themeFill="background1"/>
      </w:pPr>
      <w:bookmarkStart w:id="214" w:name="_Toc99141895"/>
      <w:bookmarkStart w:id="215" w:name="_Toc184039495"/>
      <w:bookmarkStart w:id="216" w:name="_Toc193536218"/>
      <w:bookmarkEnd w:id="213"/>
      <w:r w:rsidRPr="00B832E0">
        <w:t>Contingent asset – quantifiable</w:t>
      </w:r>
      <w:bookmarkEnd w:id="214"/>
      <w:bookmarkEnd w:id="215"/>
      <w:bookmarkEnd w:id="216"/>
    </w:p>
    <w:p w14:paraId="39E19BEA" w14:textId="77777777" w:rsidR="0023618C" w:rsidRPr="00114905" w:rsidRDefault="0023618C" w:rsidP="00BD4364">
      <w:pPr>
        <w:pStyle w:val="Heading4"/>
        <w:shd w:val="clear" w:color="auto" w:fill="FFFFFF" w:themeFill="background1"/>
        <w:rPr>
          <w:rFonts w:eastAsia="Arial"/>
          <w:lang w:val="en-US"/>
        </w:rPr>
      </w:pPr>
      <w:r w:rsidRPr="00114905">
        <w:rPr>
          <w:rFonts w:eastAsia="Arial"/>
          <w:lang w:val="en-US"/>
        </w:rPr>
        <w:t>National Redress Scheme</w:t>
      </w:r>
    </w:p>
    <w:p w14:paraId="1F27253E" w14:textId="77777777" w:rsidR="0023618C" w:rsidRPr="00BE56C1" w:rsidRDefault="0023618C" w:rsidP="00BD4364">
      <w:pPr>
        <w:shd w:val="clear" w:color="auto" w:fill="FFFFFF" w:themeFill="background1"/>
      </w:pPr>
      <w:r w:rsidRPr="00BE56C1">
        <w:t xml:space="preserve">The </w:t>
      </w:r>
      <w:r w:rsidRPr="00EE2148">
        <w:t xml:space="preserve">National Redress Scheme for Institutional </w:t>
      </w:r>
      <w:r w:rsidRPr="00536C90">
        <w:rPr>
          <w:rStyle w:val="Emphasis"/>
        </w:rPr>
        <w:t xml:space="preserve">Child Sexual Abuse Act 2018 </w:t>
      </w:r>
      <w:r w:rsidRPr="00BE56C1">
        <w:t>supports people who experienced institutional child sexual abuse by providing a monetary payment and facilitating access to counselling and psychological services and a direct personal response from the institution determined to be responsible for the abuse. The Department of Social Services (DSS) administers the National Redress Scheme. In this capacity, DSS makes the monetary payment to the survivor and then recovers this amount from the responsible institution.</w:t>
      </w:r>
    </w:p>
    <w:p w14:paraId="04A3ECDE" w14:textId="461E9420" w:rsidR="00043665" w:rsidRPr="0046656E" w:rsidRDefault="00043665" w:rsidP="00BD4364">
      <w:pPr>
        <w:shd w:val="clear" w:color="auto" w:fill="FFFFFF" w:themeFill="background1"/>
      </w:pPr>
      <w:bookmarkStart w:id="217" w:name="_Toc184039496"/>
      <w:r w:rsidRPr="0046656E">
        <w:t xml:space="preserve">As </w:t>
      </w:r>
      <w:proofErr w:type="gramStart"/>
      <w:r w:rsidRPr="0046656E">
        <w:t>at</w:t>
      </w:r>
      <w:proofErr w:type="gramEnd"/>
      <w:r>
        <w:t xml:space="preserve"> 3 February 2025</w:t>
      </w:r>
      <w:r w:rsidRPr="0046656E">
        <w:t>, DSS has an administered quantifiable contingent asset of</w:t>
      </w:r>
      <w:r w:rsidR="00D52D57">
        <w:t xml:space="preserve"> </w:t>
      </w:r>
      <w:r w:rsidRPr="0046656E">
        <w:t>$</w:t>
      </w:r>
      <w:r>
        <w:t>578.3</w:t>
      </w:r>
      <w:r w:rsidR="00D52D57">
        <w:t> </w:t>
      </w:r>
      <w:r w:rsidRPr="0046656E">
        <w:t xml:space="preserve">million in relation to the probable recovery from responsible institutions of monetary payments that may be made to survivors. The value is based on applications that have been referred to an independent decision maker for assessment and average payment values. </w:t>
      </w:r>
    </w:p>
    <w:p w14:paraId="31996D52" w14:textId="1D909D4A" w:rsidR="00043665" w:rsidRPr="0046656E" w:rsidRDefault="00043665" w:rsidP="00BD4364">
      <w:pPr>
        <w:shd w:val="clear" w:color="auto" w:fill="FFFFFF" w:themeFill="background1"/>
      </w:pPr>
      <w:r w:rsidRPr="0046656E">
        <w:t xml:space="preserve">As </w:t>
      </w:r>
      <w:proofErr w:type="gramStart"/>
      <w:r w:rsidRPr="0046656E">
        <w:t>at</w:t>
      </w:r>
      <w:proofErr w:type="gramEnd"/>
      <w:r>
        <w:t xml:space="preserve"> 3 February 2025</w:t>
      </w:r>
      <w:r w:rsidRPr="0046656E">
        <w:t>, DSS has an administered quantifiable contingent liability of $</w:t>
      </w:r>
      <w:r>
        <w:t>390.1</w:t>
      </w:r>
      <w:r w:rsidR="00D52D57">
        <w:t> </w:t>
      </w:r>
      <w:r w:rsidRPr="0046656E">
        <w:t xml:space="preserve">million in relation to applications made under the National Redress Scheme that have been referred to an independent decision maker for assessment. The amount is based on the number of applications and average payment values. </w:t>
      </w:r>
    </w:p>
    <w:p w14:paraId="6603BD13" w14:textId="72965AE7" w:rsidR="00B64CBE" w:rsidRDefault="00043665" w:rsidP="00BD4364">
      <w:pPr>
        <w:shd w:val="clear" w:color="auto" w:fill="FFFFFF" w:themeFill="background1"/>
        <w:rPr>
          <w:iCs/>
        </w:rPr>
      </w:pPr>
      <w:r w:rsidRPr="0046656E">
        <w:rPr>
          <w:iCs/>
        </w:rPr>
        <w:t>The difference between the contingent asset and the contingent liability represents the net risk to the Budget from the National Redress Scheme.</w:t>
      </w:r>
      <w:r w:rsidR="00B64CBE">
        <w:rPr>
          <w:iCs/>
        </w:rPr>
        <w:br w:type="page"/>
      </w:r>
    </w:p>
    <w:p w14:paraId="38797D63" w14:textId="77777777" w:rsidR="0023618C" w:rsidRPr="00B832E0" w:rsidRDefault="0023618C" w:rsidP="00BD4364">
      <w:pPr>
        <w:pStyle w:val="Heading2"/>
        <w:shd w:val="clear" w:color="auto" w:fill="FFFFFF" w:themeFill="background1"/>
      </w:pPr>
      <w:bookmarkStart w:id="218" w:name="_Toc193536219"/>
      <w:r w:rsidRPr="00B832E0">
        <w:lastRenderedPageBreak/>
        <w:t>Treasury</w:t>
      </w:r>
      <w:bookmarkEnd w:id="210"/>
      <w:bookmarkEnd w:id="217"/>
      <w:bookmarkEnd w:id="218"/>
    </w:p>
    <w:p w14:paraId="27CBFFA1" w14:textId="77777777" w:rsidR="0023618C" w:rsidRDefault="0023618C" w:rsidP="00BD4364">
      <w:pPr>
        <w:pStyle w:val="Heading3"/>
        <w:shd w:val="clear" w:color="auto" w:fill="FFFFFF" w:themeFill="background1"/>
      </w:pPr>
      <w:bookmarkStart w:id="219" w:name="_Toc71117878"/>
      <w:bookmarkStart w:id="220" w:name="_Toc184039497"/>
      <w:bookmarkStart w:id="221" w:name="_Toc193536220"/>
      <w:bookmarkStart w:id="222" w:name="_Toc71117880"/>
      <w:bookmarkStart w:id="223" w:name="_Toc99141897"/>
      <w:bookmarkStart w:id="224" w:name="_Toc99141900"/>
      <w:bookmarkEnd w:id="219"/>
      <w:r>
        <w:t>Fiscal risk</w:t>
      </w:r>
      <w:bookmarkEnd w:id="220"/>
      <w:bookmarkEnd w:id="221"/>
    </w:p>
    <w:p w14:paraId="600C396D" w14:textId="45705BC6" w:rsidR="007341E5" w:rsidRPr="008C6DFD" w:rsidRDefault="007341E5" w:rsidP="00BD4364">
      <w:pPr>
        <w:pStyle w:val="Heading4"/>
        <w:shd w:val="clear" w:color="auto" w:fill="FFFFFF" w:themeFill="background1"/>
      </w:pPr>
      <w:bookmarkStart w:id="225" w:name="_Toc184039498"/>
      <w:r w:rsidRPr="008C6DFD">
        <w:t xml:space="preserve">Guarantee for </w:t>
      </w:r>
      <w:r w:rsidR="0008278C">
        <w:t>Australia and New Zealand Banking Group Limited’s</w:t>
      </w:r>
      <w:r w:rsidRPr="008C6DFD">
        <w:t xml:space="preserve"> Pacific </w:t>
      </w:r>
      <w:r w:rsidR="0008278C">
        <w:t>L</w:t>
      </w:r>
      <w:r w:rsidRPr="008C6DFD">
        <w:t xml:space="preserve">iabilities </w:t>
      </w:r>
    </w:p>
    <w:p w14:paraId="5003ED81" w14:textId="2513B74A" w:rsidR="007341E5" w:rsidRPr="008C6DFD" w:rsidRDefault="007341E5" w:rsidP="00BD4364">
      <w:pPr>
        <w:shd w:val="clear" w:color="auto" w:fill="FFFFFF" w:themeFill="background1"/>
        <w:rPr>
          <w:rFonts w:eastAsia="Book Antiqua"/>
        </w:rPr>
      </w:pPr>
      <w:r w:rsidRPr="005846C7">
        <w:rPr>
          <w:rFonts w:eastAsia="Book Antiqua"/>
        </w:rPr>
        <w:t>The Commonwealth has provided a 10</w:t>
      </w:r>
      <w:r w:rsidR="00D23095">
        <w:rPr>
          <w:rFonts w:eastAsia="Book Antiqua"/>
        </w:rPr>
        <w:noBreakHyphen/>
      </w:r>
      <w:r w:rsidRPr="005846C7">
        <w:rPr>
          <w:rFonts w:eastAsia="Book Antiqua"/>
        </w:rPr>
        <w:t xml:space="preserve">year guarantee to </w:t>
      </w:r>
      <w:r w:rsidRPr="007A457F">
        <w:rPr>
          <w:rFonts w:eastAsia="Book Antiqua"/>
        </w:rPr>
        <w:t xml:space="preserve">Australia and New Zealand Banking Group Limited </w:t>
      </w:r>
      <w:r>
        <w:rPr>
          <w:rFonts w:eastAsia="Book Antiqua"/>
        </w:rPr>
        <w:t>(</w:t>
      </w:r>
      <w:r w:rsidRPr="005846C7">
        <w:rPr>
          <w:rFonts w:eastAsia="Book Antiqua"/>
        </w:rPr>
        <w:t>ANZ</w:t>
      </w:r>
      <w:r>
        <w:rPr>
          <w:rFonts w:eastAsia="Book Antiqua"/>
        </w:rPr>
        <w:t>)</w:t>
      </w:r>
      <w:r w:rsidRPr="005846C7">
        <w:rPr>
          <w:rFonts w:eastAsia="Book Antiqua"/>
        </w:rPr>
        <w:t xml:space="preserve"> to secure its long</w:t>
      </w:r>
      <w:r w:rsidR="00D23095">
        <w:rPr>
          <w:rFonts w:eastAsia="Book Antiqua"/>
        </w:rPr>
        <w:noBreakHyphen/>
      </w:r>
      <w:r w:rsidRPr="005846C7">
        <w:rPr>
          <w:rFonts w:eastAsia="Book Antiqua"/>
        </w:rPr>
        <w:t>term commitment to the Pacific. The guarantee transfers certain credit risks associated with eligible exposures related to ANZ</w:t>
      </w:r>
      <w:r w:rsidR="00D23095">
        <w:rPr>
          <w:rFonts w:eastAsia="Book Antiqua"/>
        </w:rPr>
        <w:t>’</w:t>
      </w:r>
      <w:r w:rsidRPr="005846C7">
        <w:rPr>
          <w:rFonts w:eastAsia="Book Antiqua"/>
        </w:rPr>
        <w:t>s Pacific operations to the Commonwealth. The guarantee can be called on if there is an unremedied default by a third party on those exposures held by ANZ. The guarantee will support ANZ to maintain and enhance its current retail banking services in the Pacific, and deliver financial literacy and inclusion programs, supporting the ongoing connectivity of the Pacific region and Timor</w:t>
      </w:r>
      <w:r w:rsidR="00D23095">
        <w:rPr>
          <w:rFonts w:eastAsia="Book Antiqua"/>
        </w:rPr>
        <w:noBreakHyphen/>
      </w:r>
      <w:r w:rsidRPr="005846C7">
        <w:rPr>
          <w:rFonts w:eastAsia="Book Antiqua"/>
        </w:rPr>
        <w:t>Leste to the Australian and global financial systems.</w:t>
      </w:r>
    </w:p>
    <w:p w14:paraId="31E75EE7" w14:textId="2F7B9EA5" w:rsidR="007932FD" w:rsidRPr="007932FD" w:rsidRDefault="007932FD" w:rsidP="00BD4364">
      <w:pPr>
        <w:pStyle w:val="Heading4"/>
        <w:shd w:val="clear" w:color="auto" w:fill="FFFFFF" w:themeFill="background1"/>
      </w:pPr>
      <w:r w:rsidRPr="007932FD">
        <w:t>Guarantee for the Asian Development Bank</w:t>
      </w:r>
      <w:r w:rsidR="00D23095">
        <w:t>’</w:t>
      </w:r>
      <w:r w:rsidRPr="007932FD">
        <w:t>s Innovative Finance Facility</w:t>
      </w:r>
    </w:p>
    <w:p w14:paraId="0EAB215B" w14:textId="27C15D24" w:rsidR="007932FD" w:rsidRPr="007932FD" w:rsidRDefault="007932FD" w:rsidP="00BD4364">
      <w:pPr>
        <w:shd w:val="clear" w:color="auto" w:fill="FFFFFF" w:themeFill="background1"/>
        <w:rPr>
          <w:rFonts w:eastAsiaTheme="minorEastAsia"/>
          <w:lang w:val="en-US"/>
        </w:rPr>
      </w:pPr>
      <w:r w:rsidRPr="007932FD">
        <w:rPr>
          <w:rFonts w:eastAsiaTheme="minorEastAsia"/>
          <w:lang w:val="en-US"/>
        </w:rPr>
        <w:t>The Australian Government has committed to enter into a 25</w:t>
      </w:r>
      <w:r w:rsidR="00D23095">
        <w:rPr>
          <w:rFonts w:eastAsiaTheme="minorEastAsia"/>
          <w:lang w:val="en-US"/>
        </w:rPr>
        <w:noBreakHyphen/>
      </w:r>
      <w:r w:rsidRPr="007932FD">
        <w:rPr>
          <w:rFonts w:eastAsiaTheme="minorEastAsia"/>
          <w:lang w:val="en-US"/>
        </w:rPr>
        <w:t>year guarantee capped at US$200 million (estimated at A$</w:t>
      </w:r>
      <w:r w:rsidRPr="0009089A">
        <w:rPr>
          <w:rFonts w:eastAsiaTheme="minorEastAsia"/>
          <w:lang w:val="en-US"/>
        </w:rPr>
        <w:t>321.3</w:t>
      </w:r>
      <w:r w:rsidRPr="007932FD">
        <w:rPr>
          <w:rFonts w:eastAsiaTheme="minorEastAsia"/>
          <w:lang w:val="en-US"/>
        </w:rPr>
        <w:t xml:space="preserve"> million as </w:t>
      </w:r>
      <w:proofErr w:type="gramStart"/>
      <w:r w:rsidRPr="007932FD">
        <w:rPr>
          <w:rFonts w:eastAsiaTheme="minorEastAsia"/>
          <w:lang w:val="en-US"/>
        </w:rPr>
        <w:t>at</w:t>
      </w:r>
      <w:proofErr w:type="gramEnd"/>
      <w:r w:rsidRPr="007932FD">
        <w:rPr>
          <w:rFonts w:eastAsiaTheme="minorEastAsia"/>
          <w:lang w:val="en-US"/>
        </w:rPr>
        <w:t xml:space="preserve"> 31 January 2025) with the Asian Development Bank (ADB) to support its Innovative Finance Facility for Climate in Asia and the Pacific (the</w:t>
      </w:r>
      <w:r w:rsidR="0008278C">
        <w:rPr>
          <w:rFonts w:eastAsiaTheme="minorEastAsia"/>
          <w:lang w:val="en-US"/>
        </w:rPr>
        <w:t xml:space="preserve"> ADB</w:t>
      </w:r>
      <w:r w:rsidRPr="007932FD">
        <w:rPr>
          <w:rFonts w:eastAsiaTheme="minorEastAsia"/>
          <w:lang w:val="en-US"/>
        </w:rPr>
        <w:t xml:space="preserve"> facility). The </w:t>
      </w:r>
      <w:r w:rsidR="00DC0099">
        <w:rPr>
          <w:rFonts w:eastAsiaTheme="minorEastAsia"/>
          <w:lang w:val="en-US"/>
        </w:rPr>
        <w:t xml:space="preserve">ADB </w:t>
      </w:r>
      <w:r w:rsidRPr="007932FD">
        <w:rPr>
          <w:rFonts w:eastAsiaTheme="minorEastAsia"/>
          <w:lang w:val="en-US"/>
        </w:rPr>
        <w:t xml:space="preserve">facility will support climate mitigation and adaptation finance projects of sovereign nations identified by ADB in the Asia and Pacific region. </w:t>
      </w:r>
    </w:p>
    <w:p w14:paraId="562B637E" w14:textId="7754D884" w:rsidR="007932FD" w:rsidRPr="007932FD" w:rsidRDefault="007932FD" w:rsidP="00BD4364">
      <w:pPr>
        <w:shd w:val="clear" w:color="auto" w:fill="FFFFFF" w:themeFill="background1"/>
        <w:rPr>
          <w:rFonts w:eastAsiaTheme="minorEastAsia"/>
          <w:lang w:val="en-US"/>
        </w:rPr>
      </w:pPr>
      <w:r w:rsidRPr="007932FD">
        <w:rPr>
          <w:rFonts w:eastAsiaTheme="minorEastAsia"/>
          <w:lang w:val="en-US"/>
        </w:rPr>
        <w:t>The guarantee transfers a portion of risk associated with sovereign nations</w:t>
      </w:r>
      <w:r w:rsidR="00D23095">
        <w:rPr>
          <w:rFonts w:eastAsiaTheme="minorEastAsia"/>
          <w:lang w:val="en-US"/>
        </w:rPr>
        <w:t>’</w:t>
      </w:r>
      <w:r w:rsidRPr="007932FD">
        <w:rPr>
          <w:rFonts w:eastAsiaTheme="minorEastAsia"/>
          <w:lang w:val="en-US"/>
        </w:rPr>
        <w:t xml:space="preserve"> default from the ADB </w:t>
      </w:r>
      <w:r w:rsidR="000444BC">
        <w:rPr>
          <w:rFonts w:eastAsiaTheme="minorEastAsia"/>
          <w:lang w:val="en-US"/>
        </w:rPr>
        <w:t>f</w:t>
      </w:r>
      <w:r w:rsidRPr="007932FD">
        <w:rPr>
          <w:rFonts w:eastAsiaTheme="minorEastAsia"/>
          <w:lang w:val="en-US"/>
        </w:rPr>
        <w:t>acility to the Australian Government. The guarantee will only be called on in the event of a sovereign nation defaulting on a project under the</w:t>
      </w:r>
      <w:r w:rsidR="00DC0099">
        <w:rPr>
          <w:rFonts w:eastAsiaTheme="minorEastAsia"/>
          <w:lang w:val="en-US"/>
        </w:rPr>
        <w:t xml:space="preserve"> ADB</w:t>
      </w:r>
      <w:r w:rsidRPr="007932FD">
        <w:rPr>
          <w:rFonts w:eastAsiaTheme="minorEastAsia"/>
          <w:lang w:val="en-US"/>
        </w:rPr>
        <w:t xml:space="preserve"> facility.</w:t>
      </w:r>
    </w:p>
    <w:p w14:paraId="5994C4E5" w14:textId="77777777" w:rsidR="0023618C" w:rsidRPr="00B832E0" w:rsidRDefault="0023618C" w:rsidP="00BD4364">
      <w:pPr>
        <w:pStyle w:val="Heading3"/>
        <w:shd w:val="clear" w:color="auto" w:fill="FFFFFF" w:themeFill="background1"/>
      </w:pPr>
      <w:bookmarkStart w:id="226" w:name="_Toc193536221"/>
      <w:r w:rsidRPr="00B832E0">
        <w:t>Significant but remote contingencies</w:t>
      </w:r>
      <w:bookmarkEnd w:id="222"/>
      <w:bookmarkEnd w:id="223"/>
      <w:bookmarkEnd w:id="225"/>
      <w:bookmarkEnd w:id="226"/>
    </w:p>
    <w:p w14:paraId="0729A89B" w14:textId="118B9EC0" w:rsidR="0054405F" w:rsidRPr="00B832E0" w:rsidRDefault="0054405F" w:rsidP="00BD4364">
      <w:pPr>
        <w:pStyle w:val="Heading4"/>
        <w:shd w:val="clear" w:color="auto" w:fill="FFFFFF" w:themeFill="background1"/>
      </w:pPr>
      <w:bookmarkStart w:id="227" w:name="_Toc71117881"/>
      <w:bookmarkStart w:id="228" w:name="_Toc71117882"/>
      <w:bookmarkStart w:id="229" w:name="_Toc71117883"/>
      <w:r w:rsidRPr="00B832E0">
        <w:t>Asbestos Injuries Compensation Fund</w:t>
      </w:r>
      <w:bookmarkEnd w:id="227"/>
    </w:p>
    <w:bookmarkEnd w:id="228"/>
    <w:p w14:paraId="6435F4E2" w14:textId="570887FB" w:rsidR="00BC7550" w:rsidRPr="00BA24C3" w:rsidRDefault="00BC7550" w:rsidP="00BD4364">
      <w:pPr>
        <w:shd w:val="clear" w:color="auto" w:fill="FFFFFF" w:themeFill="background1"/>
        <w:rPr>
          <w:rFonts w:eastAsia="MS Mincho"/>
        </w:rPr>
      </w:pPr>
      <w:r w:rsidRPr="00BA24C3">
        <w:rPr>
          <w:rFonts w:eastAsia="MS Mincho"/>
        </w:rPr>
        <w:t>In February 2016, the Commonwealth agreed to assume one third of the default risk associated with a $320</w:t>
      </w:r>
      <w:r>
        <w:rPr>
          <w:rFonts w:eastAsia="MS Mincho"/>
        </w:rPr>
        <w:t> </w:t>
      </w:r>
      <w:r w:rsidRPr="00BA24C3">
        <w:rPr>
          <w:rFonts w:eastAsia="MS Mincho"/>
        </w:rPr>
        <w:t>million New South Wales (NSW) Government loan to the Asbestos Injuries Compensation Fund (AICF), contingent on all states and territories agreeing to assume the remaining default risk. States and territories agreed to assume the remaining default risk following the publication of the 2016–17</w:t>
      </w:r>
      <w:r w:rsidR="0088413C">
        <w:rPr>
          <w:rFonts w:eastAsia="MS Mincho"/>
        </w:rPr>
        <w:t> </w:t>
      </w:r>
      <w:r w:rsidRPr="00BA24C3">
        <w:rPr>
          <w:rFonts w:eastAsia="MS Mincho"/>
        </w:rPr>
        <w:t>Budget.</w:t>
      </w:r>
    </w:p>
    <w:p w14:paraId="0500733F" w14:textId="3EF6BEE4" w:rsidR="00BC7550" w:rsidRPr="00BA24C3" w:rsidRDefault="00BC7550" w:rsidP="00BD4364">
      <w:pPr>
        <w:shd w:val="clear" w:color="auto" w:fill="FFFFFF" w:themeFill="background1"/>
        <w:rPr>
          <w:rFonts w:eastAsia="MS Mincho"/>
        </w:rPr>
      </w:pPr>
      <w:r w:rsidRPr="00BA24C3">
        <w:rPr>
          <w:rFonts w:eastAsia="MS Mincho"/>
        </w:rPr>
        <w:t xml:space="preserve">The AICF provides compensation to Australian asbestos disease related claims against former subsidiaries of the James Hardie Group and is funded on an ongoing basis through contributions from the James Hardie Group. NSW provided a $320 million loan facility in 2010 to enable AICF to continue to pay compensation as lump sums, rather than </w:t>
      </w:r>
      <w:r>
        <w:rPr>
          <w:rFonts w:eastAsia="MS Mincho"/>
        </w:rPr>
        <w:t>in</w:t>
      </w:r>
      <w:r w:rsidRPr="00BA24C3">
        <w:rPr>
          <w:rFonts w:eastAsia="MS Mincho"/>
        </w:rPr>
        <w:t xml:space="preserve"> instalment</w:t>
      </w:r>
      <w:r>
        <w:rPr>
          <w:rFonts w:eastAsia="MS Mincho"/>
        </w:rPr>
        <w:t>s</w:t>
      </w:r>
      <w:r w:rsidRPr="00BA24C3">
        <w:rPr>
          <w:rFonts w:eastAsia="MS Mincho"/>
        </w:rPr>
        <w:t>.</w:t>
      </w:r>
    </w:p>
    <w:p w14:paraId="7D51F600" w14:textId="3455F8A1" w:rsidR="0054405F" w:rsidRPr="006F0D8E" w:rsidRDefault="0054405F" w:rsidP="00BD4364">
      <w:pPr>
        <w:pStyle w:val="Heading4"/>
        <w:shd w:val="clear" w:color="auto" w:fill="FFFFFF" w:themeFill="background1"/>
      </w:pPr>
      <w:r w:rsidRPr="006F0D8E">
        <w:lastRenderedPageBreak/>
        <w:t>Financial Claims Scheme</w:t>
      </w:r>
    </w:p>
    <w:p w14:paraId="5FC971BA" w14:textId="0A9FC111" w:rsidR="00F5480E" w:rsidRPr="00E074F7" w:rsidRDefault="00F5480E" w:rsidP="00BD4364">
      <w:pPr>
        <w:shd w:val="clear" w:color="auto" w:fill="FFFFFF" w:themeFill="background1"/>
        <w:rPr>
          <w:rFonts w:eastAsia="MS Mincho"/>
        </w:rPr>
      </w:pPr>
      <w:bookmarkStart w:id="230" w:name="_Toc71117884"/>
      <w:bookmarkStart w:id="231" w:name="_Toc71117885"/>
      <w:bookmarkEnd w:id="229"/>
      <w:r w:rsidRPr="00E074F7">
        <w:rPr>
          <w:rFonts w:eastAsia="MS Mincho"/>
        </w:rPr>
        <w:t>The Financial Claims Scheme provides depositors of authorised deposit</w:t>
      </w:r>
      <w:r w:rsidR="00D23095">
        <w:rPr>
          <w:rFonts w:eastAsia="MS Mincho"/>
        </w:rPr>
        <w:noBreakHyphen/>
      </w:r>
      <w:r w:rsidRPr="00E074F7">
        <w:rPr>
          <w:rFonts w:eastAsia="MS Mincho"/>
        </w:rPr>
        <w:t xml:space="preserve">taking institutions (ADIs) and claimants against general insurers with timely access to their funds in the event of a financial institution failure. </w:t>
      </w:r>
    </w:p>
    <w:p w14:paraId="4E1CD984" w14:textId="10E667C7" w:rsidR="00F5480E" w:rsidRPr="00E074F7" w:rsidRDefault="00F5480E" w:rsidP="00BD4364">
      <w:pPr>
        <w:shd w:val="clear" w:color="auto" w:fill="FFFFFF" w:themeFill="background1"/>
        <w:rPr>
          <w:rFonts w:eastAsia="MS Mincho"/>
        </w:rPr>
      </w:pPr>
      <w:r w:rsidRPr="00E074F7">
        <w:rPr>
          <w:rFonts w:eastAsia="MS Mincho"/>
        </w:rPr>
        <w:t xml:space="preserve">Under the </w:t>
      </w:r>
      <w:r w:rsidRPr="004C449A">
        <w:rPr>
          <w:rStyle w:val="Emphasis"/>
          <w:rFonts w:eastAsia="MS Mincho"/>
        </w:rPr>
        <w:t>Banking Act 1959</w:t>
      </w:r>
      <w:r w:rsidRPr="00E074F7">
        <w:rPr>
          <w:rFonts w:eastAsia="MS Mincho"/>
        </w:rPr>
        <w:t>, the Financial Claims Scheme</w:t>
      </w:r>
      <w:r w:rsidRPr="00E074F7" w:rsidDel="00215DB1">
        <w:rPr>
          <w:rFonts w:eastAsia="MS Mincho"/>
        </w:rPr>
        <w:t xml:space="preserve"> </w:t>
      </w:r>
      <w:r w:rsidRPr="00E074F7">
        <w:rPr>
          <w:rFonts w:eastAsia="MS Mincho"/>
        </w:rPr>
        <w:t>provides a mechanism for making payments to depositors under the Australian Government</w:t>
      </w:r>
      <w:r w:rsidR="00D23095">
        <w:rPr>
          <w:rFonts w:eastAsia="MS Mincho"/>
        </w:rPr>
        <w:t>’</w:t>
      </w:r>
      <w:r w:rsidRPr="00E074F7">
        <w:rPr>
          <w:rFonts w:eastAsia="MS Mincho"/>
        </w:rPr>
        <w:t xml:space="preserve">s guarantee of deposits in ADIs. Payments are capped at $250,000 per account holder per ADI. The total value of deposits eligible for coverage under the Financial Claims Scheme was estimated at $1.3 trillion as </w:t>
      </w:r>
      <w:proofErr w:type="gramStart"/>
      <w:r w:rsidRPr="00E074F7">
        <w:rPr>
          <w:rFonts w:eastAsia="MS Mincho"/>
        </w:rPr>
        <w:t>at</w:t>
      </w:r>
      <w:proofErr w:type="gramEnd"/>
      <w:r w:rsidRPr="00E074F7">
        <w:rPr>
          <w:rFonts w:eastAsia="MS Mincho"/>
        </w:rPr>
        <w:t xml:space="preserve"> </w:t>
      </w:r>
      <w:r>
        <w:rPr>
          <w:rFonts w:eastAsia="MS Mincho"/>
        </w:rPr>
        <w:t>30 June 2024</w:t>
      </w:r>
      <w:r w:rsidRPr="00E074F7">
        <w:rPr>
          <w:rFonts w:eastAsia="MS Mincho"/>
        </w:rPr>
        <w:t xml:space="preserve">. </w:t>
      </w:r>
    </w:p>
    <w:p w14:paraId="43D17AD7" w14:textId="77777777" w:rsidR="00F5480E" w:rsidRDefault="00F5480E" w:rsidP="00BD4364">
      <w:pPr>
        <w:shd w:val="clear" w:color="auto" w:fill="FFFFFF" w:themeFill="background1"/>
        <w:rPr>
          <w:rFonts w:eastAsia="MS Mincho"/>
        </w:rPr>
      </w:pPr>
      <w:r w:rsidRPr="00E074F7">
        <w:rPr>
          <w:rFonts w:eastAsia="MS Mincho"/>
        </w:rPr>
        <w:t>Under the</w:t>
      </w:r>
      <w:r w:rsidRPr="00E074F7">
        <w:rPr>
          <w:rFonts w:eastAsia="MS Mincho"/>
          <w:i/>
        </w:rPr>
        <w:t xml:space="preserve"> </w:t>
      </w:r>
      <w:r w:rsidRPr="004C449A">
        <w:rPr>
          <w:rStyle w:val="Emphasis"/>
          <w:rFonts w:eastAsia="MS Mincho"/>
        </w:rPr>
        <w:t>Insurance Act 1973</w:t>
      </w:r>
      <w:r w:rsidRPr="00E074F7">
        <w:rPr>
          <w:rFonts w:eastAsia="MS Mincho"/>
        </w:rPr>
        <w:t>, the Financial Claims Scheme provides a mechanism for making payments to eligible beneficiaries with a valid claim against a failed general insurer. It is not possible to estimate the amounts of any eventual payments that may be required in relation to general insurance claims.</w:t>
      </w:r>
    </w:p>
    <w:p w14:paraId="5662546F" w14:textId="77777777" w:rsidR="00F5480E" w:rsidRPr="007E6C62" w:rsidRDefault="00F5480E" w:rsidP="00BD4364">
      <w:pPr>
        <w:shd w:val="clear" w:color="auto" w:fill="FFFFFF" w:themeFill="background1"/>
        <w:rPr>
          <w:rFonts w:eastAsia="MS Mincho"/>
        </w:rPr>
      </w:pPr>
      <w:r w:rsidRPr="007E6C62">
        <w:rPr>
          <w:rFonts w:eastAsia="MS Mincho"/>
        </w:rPr>
        <w:t xml:space="preserve">In the very unlikely event of an ADI or general insurer failure, any payments made under the Financial Claims Scheme would be recovered through the liquidation of the failed institution. If there was a shortfall in the amount recovered through the liquidation of the failed institution, a levy could be applied to the relevant industry to recover the difference between the amount expended and the amount recovered in the liquidation. </w:t>
      </w:r>
    </w:p>
    <w:p w14:paraId="154E075C" w14:textId="045D43F0" w:rsidR="00F5480E" w:rsidRPr="007E6C62" w:rsidRDefault="00F5480E" w:rsidP="00BD4364">
      <w:pPr>
        <w:shd w:val="clear" w:color="auto" w:fill="FFFFFF" w:themeFill="background1"/>
        <w:rPr>
          <w:rFonts w:eastAsia="MS Mincho"/>
        </w:rPr>
      </w:pPr>
      <w:r w:rsidRPr="007E6C62">
        <w:rPr>
          <w:rFonts w:eastAsia="MS Mincho"/>
        </w:rPr>
        <w:t>The Australian Prudential Regulation Authority (APRA) is responsible for the administration of the Financial Claims Scheme. Under the Financial Claims Scheme, any payments to account holders with eligible protected accounts or eligible claimants would be made from APRA</w:t>
      </w:r>
      <w:r w:rsidR="00D23095">
        <w:rPr>
          <w:rFonts w:eastAsia="MS Mincho"/>
        </w:rPr>
        <w:t>’</w:t>
      </w:r>
      <w:r w:rsidRPr="007E6C62">
        <w:rPr>
          <w:rFonts w:eastAsia="MS Mincho"/>
        </w:rPr>
        <w:t>s Financial Claims Scheme Special Account. Under the legislation, upon declaration by the Minister in relation to a specified ADI, up to $20 billion per institution would be available to meet Financial Claims Scheme payments and up to $100 million per institution for administration costs.</w:t>
      </w:r>
    </w:p>
    <w:p w14:paraId="130CA92F" w14:textId="0C8604B1" w:rsidR="00BE0477" w:rsidRPr="00BE0477" w:rsidRDefault="0054405F" w:rsidP="00BD4364">
      <w:pPr>
        <w:pStyle w:val="Heading4"/>
        <w:shd w:val="clear" w:color="auto" w:fill="FFFFFF" w:themeFill="background1"/>
      </w:pPr>
      <w:r w:rsidRPr="00BD728C">
        <w:t>Guarantee</w:t>
      </w:r>
      <w:r w:rsidRPr="00AD0F90">
        <w:t xml:space="preserve"> for Housing Australia</w:t>
      </w:r>
      <w:bookmarkEnd w:id="230"/>
      <w:bookmarkEnd w:id="231"/>
    </w:p>
    <w:p w14:paraId="67C33C0D" w14:textId="77777777" w:rsidR="00BE0477" w:rsidRPr="00C263D8" w:rsidRDefault="00BE0477" w:rsidP="0074298E">
      <w:pPr>
        <w:rPr>
          <w:rFonts w:eastAsia="Book Antiqua"/>
        </w:rPr>
      </w:pPr>
      <w:r w:rsidRPr="00C263D8">
        <w:rPr>
          <w:rFonts w:eastAsia="Book Antiqua"/>
        </w:rPr>
        <w:t>The Australian Government guarantees the due payment of money payable by Housing Australia to anyone other than the Government.</w:t>
      </w:r>
    </w:p>
    <w:p w14:paraId="47E3B69C" w14:textId="77777777" w:rsidR="00BE0477" w:rsidRPr="00C263D8" w:rsidRDefault="00BE0477" w:rsidP="0074298E">
      <w:pPr>
        <w:rPr>
          <w:rFonts w:eastAsia="Book Antiqua"/>
        </w:rPr>
      </w:pPr>
      <w:r w:rsidRPr="00C263D8">
        <w:rPr>
          <w:rFonts w:eastAsia="Book Antiqua"/>
        </w:rPr>
        <w:t xml:space="preserve">The Housing Australia Board must not allow Housing Australia to </w:t>
      </w:r>
      <w:proofErr w:type="gramStart"/>
      <w:r w:rsidRPr="00C263D8">
        <w:rPr>
          <w:rFonts w:eastAsia="Book Antiqua"/>
        </w:rPr>
        <w:t>enter into</w:t>
      </w:r>
      <w:proofErr w:type="gramEnd"/>
      <w:r w:rsidRPr="00C263D8">
        <w:rPr>
          <w:rFonts w:eastAsia="Book Antiqua"/>
        </w:rPr>
        <w:t xml:space="preserve"> a transaction that would result in its total guaranteed liabilities, and any outstanding amount borrowed from the Government, to exceed $26 billion, unless approved by the Government.</w:t>
      </w:r>
    </w:p>
    <w:p w14:paraId="3B526327" w14:textId="75845A51" w:rsidR="0023618C" w:rsidRPr="008A1120" w:rsidRDefault="008A1120" w:rsidP="00237992">
      <w:pPr>
        <w:pStyle w:val="Heading4"/>
        <w:rPr>
          <w:rFonts w:eastAsia="Arial"/>
          <w:lang w:eastAsia="en-US"/>
        </w:rPr>
      </w:pPr>
      <w:r w:rsidRPr="00426150">
        <w:rPr>
          <w:rFonts w:eastAsia="Arial"/>
          <w:lang w:eastAsia="en-US"/>
        </w:rPr>
        <w:t xml:space="preserve">Guarantees under the </w:t>
      </w:r>
      <w:r w:rsidRPr="00237992">
        <w:rPr>
          <w:rStyle w:val="Emphasis"/>
          <w:rFonts w:eastAsia="Arial"/>
        </w:rPr>
        <w:t>Commonwealth Bank Sale Act 1995</w:t>
      </w:r>
    </w:p>
    <w:p w14:paraId="3F36F82C" w14:textId="6FA8DF47" w:rsidR="00774E89" w:rsidRPr="002A7171" w:rsidRDefault="00774E89" w:rsidP="0074298E">
      <w:pPr>
        <w:widowControl w:val="0"/>
        <w:spacing w:line="240" w:lineRule="auto"/>
        <w:rPr>
          <w:rFonts w:eastAsia="MS Mincho"/>
        </w:rPr>
      </w:pPr>
      <w:bookmarkStart w:id="232" w:name="_Toc99141898"/>
      <w:r w:rsidRPr="002A7171">
        <w:rPr>
          <w:rFonts w:eastAsia="MS Mincho"/>
        </w:rPr>
        <w:t xml:space="preserve">Under the </w:t>
      </w:r>
      <w:r w:rsidRPr="00237992">
        <w:rPr>
          <w:rStyle w:val="Emphasis"/>
          <w:rFonts w:eastAsia="MS Mincho"/>
        </w:rPr>
        <w:t>Commonwealth Bank Sale Act 1995</w:t>
      </w:r>
      <w:r w:rsidRPr="002A7171">
        <w:rPr>
          <w:rFonts w:eastAsia="MS Mincho"/>
        </w:rPr>
        <w:t>, the Australian Government guarantees various superannuation and other liabilities of the Commonwealth Bank</w:t>
      </w:r>
      <w:r w:rsidR="0008278C">
        <w:rPr>
          <w:rFonts w:eastAsia="MS Mincho"/>
        </w:rPr>
        <w:t xml:space="preserve"> of Australia</w:t>
      </w:r>
      <w:r w:rsidRPr="002A7171">
        <w:rPr>
          <w:rFonts w:eastAsia="MS Mincho"/>
        </w:rPr>
        <w:t xml:space="preserve">. As </w:t>
      </w:r>
      <w:proofErr w:type="gramStart"/>
      <w:r w:rsidRPr="002A7171">
        <w:rPr>
          <w:rFonts w:eastAsia="MS Mincho"/>
        </w:rPr>
        <w:t>at</w:t>
      </w:r>
      <w:proofErr w:type="gramEnd"/>
      <w:r w:rsidRPr="002A7171">
        <w:rPr>
          <w:rFonts w:eastAsia="MS Mincho"/>
        </w:rPr>
        <w:t xml:space="preserve"> 3</w:t>
      </w:r>
      <w:r>
        <w:rPr>
          <w:rFonts w:eastAsia="MS Mincho"/>
        </w:rPr>
        <w:t>1</w:t>
      </w:r>
      <w:r w:rsidRPr="002A7171">
        <w:rPr>
          <w:rFonts w:eastAsia="MS Mincho"/>
        </w:rPr>
        <w:t> </w:t>
      </w:r>
      <w:r>
        <w:rPr>
          <w:rFonts w:eastAsia="MS Mincho"/>
        </w:rPr>
        <w:t>December</w:t>
      </w:r>
      <w:r w:rsidRPr="002A7171">
        <w:rPr>
          <w:rFonts w:eastAsia="MS Mincho"/>
        </w:rPr>
        <w:t> 2024, the Commonwealth Bank of Australia holds no attributed liabilities and $4.3 billion is attributable to liabilities of the Commonwealth Bank Officers</w:t>
      </w:r>
      <w:r w:rsidR="00D23095">
        <w:rPr>
          <w:rFonts w:eastAsia="MS Mincho"/>
        </w:rPr>
        <w:t>’</w:t>
      </w:r>
      <w:r w:rsidRPr="002A7171">
        <w:rPr>
          <w:rFonts w:eastAsia="MS Mincho"/>
        </w:rPr>
        <w:t xml:space="preserve"> Superannuation.</w:t>
      </w:r>
    </w:p>
    <w:p w14:paraId="79C2D223" w14:textId="6C970F4B" w:rsidR="0023618C" w:rsidRDefault="0023618C" w:rsidP="0074298E">
      <w:pPr>
        <w:pStyle w:val="Heading4"/>
      </w:pPr>
      <w:r w:rsidRPr="00C531BE">
        <w:lastRenderedPageBreak/>
        <w:t xml:space="preserve">Reserve Bank of Australia </w:t>
      </w:r>
      <w:r w:rsidRPr="00C531BE">
        <w:rPr>
          <w:rFonts w:eastAsia="Calibri"/>
        </w:rPr>
        <w:t>–</w:t>
      </w:r>
      <w:r w:rsidRPr="00C531BE">
        <w:t xml:space="preserve"> Guarantee</w:t>
      </w:r>
    </w:p>
    <w:p w14:paraId="1154B5D3" w14:textId="11918D3A" w:rsidR="003D07B5" w:rsidRPr="00431DB4" w:rsidRDefault="003D07B5" w:rsidP="0074298E">
      <w:pPr>
        <w:widowControl w:val="0"/>
        <w:spacing w:line="240" w:lineRule="auto"/>
        <w:rPr>
          <w:rFonts w:eastAsia="MS Mincho"/>
        </w:rPr>
      </w:pPr>
      <w:bookmarkStart w:id="233" w:name="_Toc99141899"/>
      <w:bookmarkStart w:id="234" w:name="_Toc184039499"/>
      <w:bookmarkEnd w:id="232"/>
      <w:r w:rsidRPr="00431DB4">
        <w:rPr>
          <w:rFonts w:eastAsia="MS Mincho"/>
        </w:rPr>
        <w:t xml:space="preserve">The Australian Government guarantees the liabilities of the Reserve Bank of Australia (RBA), measured as the </w:t>
      </w:r>
      <w:r w:rsidR="00133562">
        <w:rPr>
          <w:rFonts w:eastAsia="MS Mincho"/>
        </w:rPr>
        <w:t>RBA’s</w:t>
      </w:r>
      <w:r w:rsidRPr="00431DB4">
        <w:rPr>
          <w:rFonts w:eastAsia="MS Mincho"/>
        </w:rPr>
        <w:t xml:space="preserve"> total liabilities excluding capital, reserves, and Australian Government deposits. The principal component of the RBA</w:t>
      </w:r>
      <w:r w:rsidR="00D23095">
        <w:rPr>
          <w:rFonts w:eastAsia="MS Mincho"/>
        </w:rPr>
        <w:t>’</w:t>
      </w:r>
      <w:r w:rsidRPr="00431DB4">
        <w:rPr>
          <w:rFonts w:eastAsia="MS Mincho"/>
        </w:rPr>
        <w:t xml:space="preserve">s liabilities consists of exchange settlement balances. As </w:t>
      </w:r>
      <w:proofErr w:type="gramStart"/>
      <w:r w:rsidRPr="00431DB4">
        <w:rPr>
          <w:rFonts w:eastAsia="MS Mincho"/>
        </w:rPr>
        <w:t>at</w:t>
      </w:r>
      <w:proofErr w:type="gramEnd"/>
      <w:r w:rsidRPr="00431DB4">
        <w:rPr>
          <w:rFonts w:eastAsia="MS Mincho"/>
        </w:rPr>
        <w:t xml:space="preserve"> </w:t>
      </w:r>
      <w:r>
        <w:rPr>
          <w:rFonts w:eastAsia="MS Mincho"/>
        </w:rPr>
        <w:t>31</w:t>
      </w:r>
      <w:r w:rsidR="00FA4283">
        <w:rPr>
          <w:rFonts w:eastAsia="MS Mincho"/>
        </w:rPr>
        <w:t> </w:t>
      </w:r>
      <w:r>
        <w:rPr>
          <w:rFonts w:eastAsia="MS Mincho"/>
        </w:rPr>
        <w:t>January</w:t>
      </w:r>
      <w:r w:rsidR="00FA4283">
        <w:rPr>
          <w:rFonts w:eastAsia="MS Mincho"/>
        </w:rPr>
        <w:t> </w:t>
      </w:r>
      <w:r w:rsidRPr="00431DB4">
        <w:rPr>
          <w:rFonts w:eastAsia="MS Mincho"/>
        </w:rPr>
        <w:t>202</w:t>
      </w:r>
      <w:r>
        <w:rPr>
          <w:rFonts w:eastAsia="MS Mincho"/>
        </w:rPr>
        <w:t>5</w:t>
      </w:r>
      <w:r w:rsidRPr="00431DB4">
        <w:rPr>
          <w:rFonts w:eastAsia="MS Mincho"/>
        </w:rPr>
        <w:t>, exchange settlement balances amount to $2</w:t>
      </w:r>
      <w:r>
        <w:rPr>
          <w:rFonts w:eastAsia="MS Mincho"/>
        </w:rPr>
        <w:t>60.2</w:t>
      </w:r>
      <w:r w:rsidRPr="00431DB4">
        <w:rPr>
          <w:rFonts w:eastAsia="MS Mincho"/>
        </w:rPr>
        <w:t> billion, and the total guarantee is $3</w:t>
      </w:r>
      <w:r>
        <w:rPr>
          <w:rFonts w:eastAsia="MS Mincho"/>
        </w:rPr>
        <w:t>78.2</w:t>
      </w:r>
      <w:r w:rsidRPr="00431DB4">
        <w:rPr>
          <w:rFonts w:eastAsia="MS Mincho"/>
        </w:rPr>
        <w:t> billion.</w:t>
      </w:r>
    </w:p>
    <w:p w14:paraId="6F9C759B" w14:textId="44B73E03" w:rsidR="00EE144B" w:rsidRPr="00B832E0" w:rsidRDefault="00EE144B" w:rsidP="0074298E">
      <w:pPr>
        <w:pStyle w:val="Heading3"/>
        <w:rPr>
          <w:rFonts w:eastAsia="Arial"/>
        </w:rPr>
      </w:pPr>
      <w:bookmarkStart w:id="235" w:name="_Toc193536222"/>
      <w:r w:rsidRPr="00B832E0">
        <w:rPr>
          <w:rFonts w:eastAsia="Arial"/>
        </w:rPr>
        <w:t xml:space="preserve">Contingent liabilities – </w:t>
      </w:r>
      <w:r>
        <w:rPr>
          <w:rFonts w:eastAsia="Arial"/>
        </w:rPr>
        <w:t>un</w:t>
      </w:r>
      <w:r w:rsidRPr="00B832E0">
        <w:rPr>
          <w:rFonts w:eastAsia="Arial"/>
        </w:rPr>
        <w:t>quantifiable</w:t>
      </w:r>
      <w:bookmarkEnd w:id="235"/>
    </w:p>
    <w:p w14:paraId="0FFEAEA3" w14:textId="2B7428A3" w:rsidR="00A50D8E" w:rsidRPr="00B832E0" w:rsidRDefault="00A50D8E" w:rsidP="0009089A">
      <w:pPr>
        <w:pStyle w:val="Heading4"/>
        <w:rPr>
          <w:rFonts w:eastAsia="Arial"/>
        </w:rPr>
      </w:pPr>
      <w:bookmarkStart w:id="236" w:name="_Toc71117879"/>
      <w:r w:rsidRPr="0046570E">
        <w:rPr>
          <w:rFonts w:eastAsia="Arial"/>
        </w:rPr>
        <w:t>Establishment of a cyclone and related flooding reinsurance pool</w:t>
      </w:r>
      <w:bookmarkEnd w:id="236"/>
    </w:p>
    <w:p w14:paraId="648E39C9" w14:textId="2247B102" w:rsidR="005B64FF" w:rsidRPr="00206300" w:rsidRDefault="005B64FF" w:rsidP="0074298E">
      <w:pPr>
        <w:rPr>
          <w:rFonts w:eastAsia="MS Mincho"/>
        </w:rPr>
      </w:pPr>
      <w:bookmarkStart w:id="237" w:name="_Hlk192664357"/>
      <w:r w:rsidRPr="00206300">
        <w:rPr>
          <w:rFonts w:eastAsia="MS Mincho"/>
        </w:rPr>
        <w:t>The Government provides an annually reinstated Government guarantee to the Australian Reinsurance Pool Corporation (ARPC) of $10 billion, or a larger amount if required, to support a reinsurance pool for the impact of cyclones and related flooding on eligible insured properties. The guarantee took effect from 1</w:t>
      </w:r>
      <w:r w:rsidRPr="00206300">
        <w:rPr>
          <w:rFonts w:eastAsia="MS Mincho" w:hint="cs"/>
        </w:rPr>
        <w:t> July </w:t>
      </w:r>
      <w:r w:rsidRPr="00206300">
        <w:rPr>
          <w:rFonts w:eastAsia="MS Mincho"/>
        </w:rPr>
        <w:t>2022, following the passage of legislation in March 2022, and may be called upon in the event of a large cyclone and related flooding, or in a year with a high number of cyclones and related flooding, to ensure the ARPC can pay all liabilities.</w:t>
      </w:r>
    </w:p>
    <w:bookmarkEnd w:id="237"/>
    <w:p w14:paraId="26FE8D22" w14:textId="41579591" w:rsidR="007233FB" w:rsidRDefault="005B64FF" w:rsidP="0009089A">
      <w:pPr>
        <w:rPr>
          <w:rFonts w:eastAsia="MS Mincho"/>
        </w:rPr>
      </w:pPr>
      <w:r w:rsidRPr="00206300">
        <w:rPr>
          <w:rFonts w:eastAsia="MS Mincho"/>
        </w:rPr>
        <w:t>The reinsurance pool is designed to be cost neutral to Government over time, based on the predicted cost and frequency of cyclone events. The estimated value and range of calls on the guarantee is unquantifiable due to significant uncertainty in the frequency and severity of cyclones and the resulting losses.</w:t>
      </w:r>
    </w:p>
    <w:p w14:paraId="152D9B6F" w14:textId="373A1F7C" w:rsidR="00AF147B" w:rsidRPr="00AF147B" w:rsidRDefault="00982AA6" w:rsidP="0009089A">
      <w:pPr>
        <w:pStyle w:val="Heading4"/>
        <w:rPr>
          <w:rFonts w:eastAsia="Arial"/>
        </w:rPr>
      </w:pPr>
      <w:r>
        <w:t>G</w:t>
      </w:r>
      <w:r w:rsidR="00545D19" w:rsidRPr="00545D19">
        <w:t>uarantees for housing</w:t>
      </w:r>
    </w:p>
    <w:p w14:paraId="112E2815" w14:textId="77777777" w:rsidR="004E75A0" w:rsidRPr="0063017F" w:rsidRDefault="004E75A0" w:rsidP="0009089A">
      <w:pPr>
        <w:rPr>
          <w:rFonts w:eastAsiaTheme="minorEastAsia"/>
        </w:rPr>
      </w:pPr>
      <w:bookmarkStart w:id="238" w:name="_Toc71117887"/>
      <w:bookmarkStart w:id="239" w:name="_Hlk71275883"/>
      <w:r w:rsidRPr="000579F2">
        <w:rPr>
          <w:rFonts w:eastAsia="MS Mincho"/>
        </w:rPr>
        <w:t xml:space="preserve">The Australian Government has several programs to support individuals to enter the housing market sooner. These are administered by Housing Australia. </w:t>
      </w:r>
    </w:p>
    <w:p w14:paraId="32C47496" w14:textId="79EB604D" w:rsidR="004E75A0" w:rsidRPr="0063017F" w:rsidRDefault="004E75A0" w:rsidP="0009089A">
      <w:pPr>
        <w:rPr>
          <w:rFonts w:eastAsiaTheme="minorEastAsia"/>
        </w:rPr>
      </w:pPr>
      <w:r w:rsidRPr="000579F2">
        <w:rPr>
          <w:rFonts w:eastAsia="MS Mincho"/>
        </w:rPr>
        <w:t>The</w:t>
      </w:r>
      <w:r w:rsidRPr="000579F2">
        <w:rPr>
          <w:rFonts w:eastAsia="MS Mincho"/>
          <w:b/>
        </w:rPr>
        <w:t xml:space="preserve"> </w:t>
      </w:r>
      <w:r w:rsidRPr="00E255FF">
        <w:rPr>
          <w:rStyle w:val="Strong"/>
          <w:rFonts w:eastAsia="MS Mincho"/>
        </w:rPr>
        <w:t>First Home Guarantee</w:t>
      </w:r>
      <w:r w:rsidRPr="000579F2">
        <w:rPr>
          <w:rFonts w:eastAsia="MS Mincho"/>
        </w:rPr>
        <w:t xml:space="preserve"> (formerly the First Home Loan Deposit Scheme) is designed to support eligible first home buyers, and non</w:t>
      </w:r>
      <w:r w:rsidR="00D23095">
        <w:rPr>
          <w:rFonts w:eastAsia="MS Mincho"/>
        </w:rPr>
        <w:noBreakHyphen/>
      </w:r>
      <w:r w:rsidRPr="000579F2">
        <w:rPr>
          <w:rFonts w:eastAsia="MS Mincho"/>
        </w:rPr>
        <w:t>first home buyers who have not owned a property in Australia within the past ten years, to build or purchase a home by providing a guarantee to participating lenders for up to 15 per cent of the property purchase price. The</w:t>
      </w:r>
      <w:r w:rsidRPr="000579F2">
        <w:rPr>
          <w:rFonts w:eastAsia="MS Mincho" w:hint="eastAsia"/>
        </w:rPr>
        <w:t> </w:t>
      </w:r>
      <w:r w:rsidRPr="000579F2">
        <w:rPr>
          <w:rFonts w:eastAsia="MS Mincho"/>
        </w:rPr>
        <w:t>First Home Guarantee began on 1 January 2020.</w:t>
      </w:r>
    </w:p>
    <w:p w14:paraId="35B978DB" w14:textId="4BD6A2AD" w:rsidR="004E75A0" w:rsidRPr="0063017F" w:rsidRDefault="004E75A0" w:rsidP="0009089A">
      <w:pPr>
        <w:rPr>
          <w:rFonts w:eastAsiaTheme="minorEastAsia"/>
        </w:rPr>
      </w:pPr>
      <w:r w:rsidRPr="000579F2">
        <w:rPr>
          <w:rFonts w:eastAsia="MS Mincho"/>
        </w:rPr>
        <w:t xml:space="preserve">The </w:t>
      </w:r>
      <w:r w:rsidRPr="00E255FF">
        <w:rPr>
          <w:rStyle w:val="Strong"/>
          <w:rFonts w:eastAsia="MS Mincho"/>
        </w:rPr>
        <w:t>New Home Guarantee</w:t>
      </w:r>
      <w:r w:rsidRPr="000579F2">
        <w:rPr>
          <w:rFonts w:eastAsia="MS Mincho"/>
          <w:b/>
        </w:rPr>
        <w:t xml:space="preserve"> </w:t>
      </w:r>
      <w:r w:rsidRPr="000579F2">
        <w:rPr>
          <w:rFonts w:eastAsia="MS Mincho"/>
        </w:rPr>
        <w:t>is designed to support eligible first home buyers seeking to build a new home or purchase a newly built home by providing a guarantee to participating lenders for up to 15 per cent of the property purchase price. A second tranche of 10,000 New Home Guarantees was made available from 1</w:t>
      </w:r>
      <w:r w:rsidRPr="000579F2">
        <w:rPr>
          <w:rFonts w:eastAsia="MS Mincho" w:hint="eastAsia"/>
        </w:rPr>
        <w:t> July </w:t>
      </w:r>
      <w:r w:rsidRPr="000579F2">
        <w:rPr>
          <w:rFonts w:eastAsia="MS Mincho"/>
        </w:rPr>
        <w:t>2021. The New Home Guarantee concluded on 30</w:t>
      </w:r>
      <w:r w:rsidRPr="000579F2">
        <w:rPr>
          <w:rFonts w:eastAsia="MS Mincho" w:hint="eastAsia"/>
        </w:rPr>
        <w:t> </w:t>
      </w:r>
      <w:r w:rsidRPr="000579F2">
        <w:rPr>
          <w:rFonts w:eastAsia="MS Mincho"/>
        </w:rPr>
        <w:t>June</w:t>
      </w:r>
      <w:r w:rsidRPr="000579F2">
        <w:rPr>
          <w:rFonts w:eastAsia="MS Mincho" w:hint="eastAsia"/>
        </w:rPr>
        <w:t> </w:t>
      </w:r>
      <w:r w:rsidRPr="000579F2">
        <w:rPr>
          <w:rFonts w:eastAsia="MS Mincho"/>
        </w:rPr>
        <w:t xml:space="preserve">2022 but guarantees issued in previous financial years remain active. </w:t>
      </w:r>
    </w:p>
    <w:p w14:paraId="275E45A6" w14:textId="33D98838" w:rsidR="004E75A0" w:rsidRPr="0063017F" w:rsidRDefault="004E75A0" w:rsidP="0009089A">
      <w:pPr>
        <w:rPr>
          <w:rFonts w:eastAsiaTheme="minorEastAsia"/>
        </w:rPr>
      </w:pPr>
      <w:r w:rsidRPr="000579F2">
        <w:rPr>
          <w:rFonts w:eastAsia="MS Mincho"/>
        </w:rPr>
        <w:t xml:space="preserve">The </w:t>
      </w:r>
      <w:r w:rsidRPr="00E255FF">
        <w:rPr>
          <w:rStyle w:val="Strong"/>
          <w:rFonts w:eastAsia="MS Mincho"/>
        </w:rPr>
        <w:t>Family Home Guarantee</w:t>
      </w:r>
      <w:r w:rsidRPr="000579F2">
        <w:rPr>
          <w:rFonts w:eastAsia="MS Mincho"/>
        </w:rPr>
        <w:t xml:space="preserve"> is designed to support single parents and single legal guardians with dependents seeking to enter, or re</w:t>
      </w:r>
      <w:r w:rsidR="00D23095">
        <w:rPr>
          <w:rFonts w:eastAsia="MS Mincho"/>
        </w:rPr>
        <w:noBreakHyphen/>
      </w:r>
      <w:r w:rsidRPr="000579F2">
        <w:rPr>
          <w:rFonts w:eastAsia="MS Mincho"/>
        </w:rPr>
        <w:t xml:space="preserve">enter, the housing market. The Family Home Guarantee commenced on 1 July 2021. </w:t>
      </w:r>
    </w:p>
    <w:p w14:paraId="66A2ADD8" w14:textId="5F9AD199" w:rsidR="004E75A0" w:rsidRPr="0063017F" w:rsidRDefault="004E75A0" w:rsidP="0009089A">
      <w:pPr>
        <w:rPr>
          <w:rFonts w:eastAsiaTheme="minorEastAsia"/>
        </w:rPr>
      </w:pPr>
      <w:r w:rsidRPr="000579F2">
        <w:rPr>
          <w:rFonts w:eastAsia="MS Mincho"/>
        </w:rPr>
        <w:lastRenderedPageBreak/>
        <w:t>The</w:t>
      </w:r>
      <w:r w:rsidRPr="000579F2">
        <w:rPr>
          <w:rFonts w:eastAsia="MS Mincho"/>
          <w:b/>
          <w:bCs/>
        </w:rPr>
        <w:t xml:space="preserve"> </w:t>
      </w:r>
      <w:r w:rsidRPr="00E255FF">
        <w:rPr>
          <w:rStyle w:val="Strong"/>
          <w:rFonts w:eastAsia="MS Mincho"/>
        </w:rPr>
        <w:t>Regional First Home Buyer Guarantee</w:t>
      </w:r>
      <w:r w:rsidRPr="000579F2">
        <w:rPr>
          <w:rFonts w:eastAsia="MS Mincho"/>
          <w:b/>
          <w:bCs/>
        </w:rPr>
        <w:t xml:space="preserve"> </w:t>
      </w:r>
      <w:r w:rsidRPr="000579F2">
        <w:rPr>
          <w:rFonts w:eastAsia="MS Mincho"/>
        </w:rPr>
        <w:t>is designed to support eligible first home buyers and non</w:t>
      </w:r>
      <w:r w:rsidR="00D23095">
        <w:rPr>
          <w:rFonts w:eastAsia="MS Mincho"/>
        </w:rPr>
        <w:noBreakHyphen/>
      </w:r>
      <w:r w:rsidRPr="000579F2">
        <w:rPr>
          <w:rFonts w:eastAsia="MS Mincho"/>
        </w:rPr>
        <w:t xml:space="preserve">first home buyers who have not owned a property in Australia within the past ten years, to build or purchase a home in a regional location by providing a guarantee to participating lenders of up to 15 per cent of the property purchase price (subject to a minimum deposit of 5 per cent). The Regional First Home Buyer Guarantee commenced on 1 October 2022. </w:t>
      </w:r>
    </w:p>
    <w:p w14:paraId="63CA1E45" w14:textId="7AE06EF1" w:rsidR="00031A7C" w:rsidRPr="000579F2" w:rsidRDefault="004E75A0" w:rsidP="0009089A">
      <w:pPr>
        <w:rPr>
          <w:rFonts w:eastAsia="MS Mincho"/>
        </w:rPr>
      </w:pPr>
      <w:r w:rsidRPr="000579F2">
        <w:rPr>
          <w:rFonts w:eastAsia="MS Mincho"/>
        </w:rPr>
        <w:t>For the four programs listed above, the Australian Government guarantees the liabilities as they arise. Guaranteed liabilities arise where a lender</w:t>
      </w:r>
      <w:r w:rsidR="00D23095">
        <w:rPr>
          <w:rFonts w:eastAsia="MS Mincho"/>
        </w:rPr>
        <w:t>’</w:t>
      </w:r>
      <w:r w:rsidRPr="000579F2">
        <w:rPr>
          <w:rFonts w:eastAsia="MS Mincho"/>
        </w:rPr>
        <w:t>s loss is covered by the guarantee. The lender then makes a claim against the guarantee and Housing Australia assesses the claim. Given liabilities under the Scheme are met by a standing appropriation, Housing Australia is not required to maintain capital and reserves to meet the liabilities associated with these programs.</w:t>
      </w:r>
    </w:p>
    <w:p w14:paraId="77AFA2AC" w14:textId="1DD22399" w:rsidR="00A50D8E" w:rsidRPr="00B832E0" w:rsidRDefault="00A50D8E" w:rsidP="0074298E">
      <w:pPr>
        <w:pStyle w:val="Heading4"/>
      </w:pPr>
      <w:r w:rsidRPr="00B832E0">
        <w:t>Indemnities for specialised external advisers during the COVID</w:t>
      </w:r>
      <w:r w:rsidR="005D13E4">
        <w:t>-</w:t>
      </w:r>
      <w:r w:rsidRPr="00B832E0">
        <w:t>19 pandemic</w:t>
      </w:r>
      <w:bookmarkEnd w:id="238"/>
    </w:p>
    <w:p w14:paraId="28009C0B" w14:textId="3635787A" w:rsidR="00A50D8E" w:rsidRPr="00B832E0" w:rsidRDefault="00A50D8E" w:rsidP="0074298E">
      <w:pPr>
        <w:rPr>
          <w:rFonts w:eastAsia="Book Antiqua"/>
        </w:rPr>
      </w:pPr>
      <w:r w:rsidRPr="00B832E0">
        <w:rPr>
          <w:rFonts w:eastAsia="Book Antiqua"/>
        </w:rPr>
        <w:t>The Government has provided indemnities for certain specialised external advisers engaged to provide advice on emerging markets issues related to</w:t>
      </w:r>
      <w:r>
        <w:rPr>
          <w:rFonts w:eastAsia="Book Antiqua"/>
        </w:rPr>
        <w:t> </w:t>
      </w:r>
      <w:r w:rsidRPr="00B832E0">
        <w:rPr>
          <w:rFonts w:eastAsia="Book Antiqua"/>
        </w:rPr>
        <w:t>COVID</w:t>
      </w:r>
      <w:r w:rsidR="00D23095">
        <w:rPr>
          <w:rFonts w:eastAsia="Book Antiqua"/>
        </w:rPr>
        <w:noBreakHyphen/>
      </w:r>
      <w:r w:rsidRPr="00B832E0">
        <w:rPr>
          <w:rFonts w:eastAsia="Book Antiqua"/>
        </w:rPr>
        <w:t>19. Indemnities were provided to mitigate personal risk and provide coverage for costs related to any legal proceedings that may arise in relation to the provision of that advice.</w:t>
      </w:r>
    </w:p>
    <w:p w14:paraId="3A6F19B4" w14:textId="05485304" w:rsidR="00A50D8E" w:rsidRPr="00B832E0" w:rsidRDefault="00A50D8E" w:rsidP="0074298E">
      <w:pPr>
        <w:rPr>
          <w:rFonts w:eastAsia="Book Antiqua"/>
        </w:rPr>
      </w:pPr>
      <w:r w:rsidRPr="00B832E0">
        <w:rPr>
          <w:rFonts w:eastAsia="Book Antiqua"/>
        </w:rPr>
        <w:t>The indemnities apply for the period of engagement as advisers and for claims that are notified within 12</w:t>
      </w:r>
      <w:r>
        <w:rPr>
          <w:rFonts w:eastAsia="Book Antiqua"/>
        </w:rPr>
        <w:t> </w:t>
      </w:r>
      <w:r w:rsidRPr="00B832E0">
        <w:rPr>
          <w:rFonts w:eastAsia="Book Antiqua"/>
        </w:rPr>
        <w:t>years after cessation of the adviser</w:t>
      </w:r>
      <w:r w:rsidR="00D23095">
        <w:rPr>
          <w:rFonts w:eastAsia="Book Antiqua"/>
        </w:rPr>
        <w:t>’</w:t>
      </w:r>
      <w:r w:rsidRPr="00B832E0">
        <w:rPr>
          <w:rFonts w:eastAsia="Book Antiqua"/>
        </w:rPr>
        <w:t>s engagement. Until the indemnity agreements are varied or expire, they will remain as contingent and unquantifiable liabilities.</w:t>
      </w:r>
    </w:p>
    <w:p w14:paraId="5339E1B6" w14:textId="77777777" w:rsidR="00A50D8E" w:rsidRPr="00B832E0" w:rsidRDefault="00A50D8E" w:rsidP="0074298E">
      <w:pPr>
        <w:pStyle w:val="Heading4"/>
      </w:pPr>
      <w:bookmarkStart w:id="240" w:name="_Toc71117888"/>
      <w:bookmarkEnd w:id="239"/>
      <w:r w:rsidRPr="00B832E0">
        <w:t>Small and Medium Enterprise (SME) Guarantee Scheme</w:t>
      </w:r>
      <w:bookmarkEnd w:id="240"/>
      <w:r w:rsidRPr="00B832E0">
        <w:t xml:space="preserve"> and SME Recovery Loan Scheme</w:t>
      </w:r>
    </w:p>
    <w:p w14:paraId="6E94DC5B" w14:textId="23AE8357" w:rsidR="00A50D8E" w:rsidRPr="00B832E0" w:rsidRDefault="00A50D8E" w:rsidP="0074298E">
      <w:pPr>
        <w:rPr>
          <w:rFonts w:eastAsia="Book Antiqua"/>
        </w:rPr>
      </w:pPr>
      <w:r w:rsidRPr="00B832E0">
        <w:rPr>
          <w:rFonts w:eastAsia="Book Antiqua"/>
        </w:rPr>
        <w:t>The Australian Government provided support for small and medium enterprises during the COVID</w:t>
      </w:r>
      <w:r w:rsidR="00D23095">
        <w:rPr>
          <w:rFonts w:eastAsia="Book Antiqua"/>
        </w:rPr>
        <w:noBreakHyphen/>
      </w:r>
      <w:r w:rsidRPr="00B832E0">
        <w:rPr>
          <w:rFonts w:eastAsia="Book Antiqua"/>
        </w:rPr>
        <w:t>19</w:t>
      </w:r>
      <w:r>
        <w:rPr>
          <w:rFonts w:eastAsia="Book Antiqua"/>
        </w:rPr>
        <w:t> </w:t>
      </w:r>
      <w:r w:rsidRPr="00B832E0">
        <w:rPr>
          <w:rFonts w:eastAsia="Book Antiqua"/>
        </w:rPr>
        <w:t>pandemic through guaranteeing loans issued by participating lenders. This</w:t>
      </w:r>
      <w:r w:rsidRPr="00B832E0">
        <w:rPr>
          <w:rFonts w:eastAsia="Book Antiqua" w:hint="cs"/>
        </w:rPr>
        <w:t> </w:t>
      </w:r>
      <w:r w:rsidRPr="00B832E0">
        <w:rPr>
          <w:rFonts w:eastAsia="Book Antiqua"/>
        </w:rPr>
        <w:t xml:space="preserve">support was provided under </w:t>
      </w:r>
      <w:proofErr w:type="gramStart"/>
      <w:r w:rsidRPr="00B832E0">
        <w:rPr>
          <w:rFonts w:eastAsia="Book Antiqua"/>
        </w:rPr>
        <w:t>a number of</w:t>
      </w:r>
      <w:proofErr w:type="gramEnd"/>
      <w:r w:rsidRPr="00B832E0">
        <w:rPr>
          <w:rFonts w:eastAsia="Book Antiqua"/>
        </w:rPr>
        <w:t xml:space="preserve"> schemes.</w:t>
      </w:r>
    </w:p>
    <w:p w14:paraId="5FD675B5" w14:textId="39AF3B3E" w:rsidR="00A50D8E" w:rsidRPr="00B832E0" w:rsidRDefault="00A50D8E" w:rsidP="0074298E">
      <w:pPr>
        <w:rPr>
          <w:rFonts w:eastAsia="Book Antiqua"/>
        </w:rPr>
      </w:pPr>
      <w:r w:rsidRPr="00B832E0">
        <w:rPr>
          <w:rFonts w:eastAsia="Book Antiqua"/>
        </w:rPr>
        <w:t xml:space="preserve">The </w:t>
      </w:r>
      <w:r w:rsidRPr="00E255FF">
        <w:rPr>
          <w:rStyle w:val="Strong"/>
          <w:rFonts w:eastAsia="Book Antiqua"/>
        </w:rPr>
        <w:t>Coronavirus Small and Medium Enterprises (SME) Guarantee Scheme</w:t>
      </w:r>
      <w:r w:rsidRPr="00B832E0">
        <w:rPr>
          <w:rFonts w:eastAsia="Book Antiqua"/>
        </w:rPr>
        <w:t xml:space="preserve"> provided a guarantee of 50</w:t>
      </w:r>
      <w:r>
        <w:rPr>
          <w:rFonts w:eastAsia="Book Antiqua"/>
        </w:rPr>
        <w:t> </w:t>
      </w:r>
      <w:r w:rsidRPr="00B832E0">
        <w:rPr>
          <w:rFonts w:eastAsia="Book Antiqua"/>
        </w:rPr>
        <w:t>per</w:t>
      </w:r>
      <w:r>
        <w:rPr>
          <w:rFonts w:eastAsia="Book Antiqua"/>
        </w:rPr>
        <w:t> </w:t>
      </w:r>
      <w:r w:rsidRPr="00B832E0">
        <w:rPr>
          <w:rFonts w:eastAsia="Book Antiqua"/>
        </w:rPr>
        <w:t xml:space="preserve">cent of the eligible loan amount for eligible </w:t>
      </w:r>
      <w:r w:rsidR="00133562">
        <w:rPr>
          <w:rFonts w:eastAsia="Book Antiqua"/>
        </w:rPr>
        <w:t>small and medium enterprises</w:t>
      </w:r>
      <w:r w:rsidRPr="00B832E0">
        <w:rPr>
          <w:rFonts w:eastAsia="Book Antiqua"/>
        </w:rPr>
        <w:t xml:space="preserve"> and the </w:t>
      </w:r>
      <w:r w:rsidRPr="00E255FF">
        <w:rPr>
          <w:rStyle w:val="Strong"/>
          <w:rFonts w:eastAsia="Book Antiqua"/>
        </w:rPr>
        <w:t>Show Starter Loan Scheme</w:t>
      </w:r>
      <w:r w:rsidRPr="00B832E0">
        <w:rPr>
          <w:rFonts w:eastAsia="Book Antiqua"/>
        </w:rPr>
        <w:t xml:space="preserve"> provided a guarantee of 100</w:t>
      </w:r>
      <w:r>
        <w:rPr>
          <w:rFonts w:eastAsia="Book Antiqua"/>
        </w:rPr>
        <w:t> </w:t>
      </w:r>
      <w:r w:rsidRPr="00B832E0">
        <w:rPr>
          <w:rFonts w:eastAsia="Book Antiqua"/>
        </w:rPr>
        <w:t>per</w:t>
      </w:r>
      <w:r>
        <w:rPr>
          <w:rFonts w:eastAsia="Book Antiqua"/>
        </w:rPr>
        <w:t> </w:t>
      </w:r>
      <w:r w:rsidRPr="00B832E0">
        <w:rPr>
          <w:rFonts w:eastAsia="Book Antiqua"/>
        </w:rPr>
        <w:t>cent of the eligible loan amount for the arts and entertainment businesses, with both schemes closing for new loans on 30</w:t>
      </w:r>
      <w:r w:rsidRPr="00B832E0">
        <w:rPr>
          <w:rFonts w:eastAsia="Book Antiqua" w:hint="cs"/>
        </w:rPr>
        <w:t> </w:t>
      </w:r>
      <w:r w:rsidRPr="00B832E0">
        <w:rPr>
          <w:rFonts w:eastAsia="Book Antiqua"/>
        </w:rPr>
        <w:t>June</w:t>
      </w:r>
      <w:r w:rsidRPr="00B832E0">
        <w:rPr>
          <w:rFonts w:eastAsia="Book Antiqua" w:hint="cs"/>
        </w:rPr>
        <w:t> </w:t>
      </w:r>
      <w:r w:rsidRPr="00B832E0">
        <w:rPr>
          <w:rFonts w:eastAsia="Book Antiqua"/>
        </w:rPr>
        <w:t>2021.</w:t>
      </w:r>
    </w:p>
    <w:p w14:paraId="416E9B43" w14:textId="77777777" w:rsidR="00A50D8E" w:rsidRPr="00B832E0" w:rsidRDefault="00A50D8E" w:rsidP="0074298E">
      <w:pPr>
        <w:rPr>
          <w:rFonts w:eastAsia="Book Antiqua"/>
        </w:rPr>
      </w:pPr>
      <w:r w:rsidRPr="00B832E0">
        <w:rPr>
          <w:rFonts w:eastAsia="Book Antiqua"/>
        </w:rPr>
        <w:t xml:space="preserve">The </w:t>
      </w:r>
      <w:r w:rsidRPr="00542F90">
        <w:rPr>
          <w:rStyle w:val="Strong"/>
          <w:rFonts w:eastAsia="Book Antiqua"/>
        </w:rPr>
        <w:t>SME Recovery Loan Scheme</w:t>
      </w:r>
      <w:r w:rsidRPr="00B832E0">
        <w:rPr>
          <w:rFonts w:eastAsia="Book Antiqua"/>
        </w:rPr>
        <w:t>, an expansion and extension of the Coronavirus SME Guarantee Scheme, provided a guarantee of up to 80</w:t>
      </w:r>
      <w:r>
        <w:rPr>
          <w:rFonts w:eastAsia="Book Antiqua"/>
        </w:rPr>
        <w:t> per cent</w:t>
      </w:r>
      <w:r w:rsidRPr="00B832E0">
        <w:rPr>
          <w:rFonts w:eastAsia="Book Antiqua"/>
        </w:rPr>
        <w:t xml:space="preserve"> of the eligible loan amount, and was initially available to applicants from 1</w:t>
      </w:r>
      <w:r w:rsidRPr="00B832E0">
        <w:rPr>
          <w:rFonts w:eastAsia="Book Antiqua" w:hint="cs"/>
        </w:rPr>
        <w:t> </w:t>
      </w:r>
      <w:r w:rsidRPr="00B832E0">
        <w:rPr>
          <w:rFonts w:eastAsia="Book Antiqua"/>
        </w:rPr>
        <w:t>April</w:t>
      </w:r>
      <w:r w:rsidRPr="00B832E0">
        <w:rPr>
          <w:rFonts w:eastAsia="Book Antiqua" w:hint="cs"/>
        </w:rPr>
        <w:t> </w:t>
      </w:r>
      <w:r w:rsidRPr="00B832E0">
        <w:rPr>
          <w:rFonts w:eastAsia="Book Antiqua"/>
        </w:rPr>
        <w:t>2021 until 31</w:t>
      </w:r>
      <w:r w:rsidRPr="00B832E0">
        <w:rPr>
          <w:rFonts w:eastAsia="Book Antiqua" w:hint="cs"/>
        </w:rPr>
        <w:t> </w:t>
      </w:r>
      <w:r w:rsidRPr="00B832E0">
        <w:rPr>
          <w:rFonts w:eastAsia="Book Antiqua"/>
        </w:rPr>
        <w:t>December</w:t>
      </w:r>
      <w:r w:rsidRPr="00B832E0">
        <w:rPr>
          <w:rFonts w:eastAsia="Book Antiqua" w:hint="cs"/>
        </w:rPr>
        <w:t> </w:t>
      </w:r>
      <w:r w:rsidRPr="00B832E0">
        <w:rPr>
          <w:rFonts w:eastAsia="Book Antiqua"/>
        </w:rPr>
        <w:t>2021.</w:t>
      </w:r>
    </w:p>
    <w:p w14:paraId="4B473281" w14:textId="77777777" w:rsidR="00A50D8E" w:rsidRPr="00B832E0" w:rsidRDefault="00A50D8E" w:rsidP="0074298E">
      <w:pPr>
        <w:rPr>
          <w:rFonts w:eastAsia="Book Antiqua"/>
        </w:rPr>
      </w:pPr>
      <w:r w:rsidRPr="00B832E0">
        <w:rPr>
          <w:rFonts w:eastAsia="Book Antiqua"/>
        </w:rPr>
        <w:t>The SME Recovery Loan Scheme was extended from 1</w:t>
      </w:r>
      <w:r>
        <w:rPr>
          <w:rFonts w:eastAsia="Book Antiqua"/>
        </w:rPr>
        <w:t> </w:t>
      </w:r>
      <w:r w:rsidRPr="00B832E0">
        <w:rPr>
          <w:rFonts w:eastAsia="Book Antiqua"/>
        </w:rPr>
        <w:t>January</w:t>
      </w:r>
      <w:r>
        <w:rPr>
          <w:rFonts w:eastAsia="Book Antiqua"/>
        </w:rPr>
        <w:t> </w:t>
      </w:r>
      <w:r w:rsidRPr="00B832E0">
        <w:rPr>
          <w:rFonts w:eastAsia="Book Antiqua"/>
        </w:rPr>
        <w:t>2022 to 30</w:t>
      </w:r>
      <w:r w:rsidRPr="00B832E0">
        <w:rPr>
          <w:rFonts w:eastAsia="Book Antiqua" w:hint="cs"/>
        </w:rPr>
        <w:t> </w:t>
      </w:r>
      <w:r w:rsidRPr="00B832E0">
        <w:rPr>
          <w:rFonts w:eastAsia="Book Antiqua"/>
        </w:rPr>
        <w:t>June</w:t>
      </w:r>
      <w:r w:rsidRPr="00B832E0">
        <w:rPr>
          <w:rFonts w:eastAsia="Book Antiqua" w:hint="cs"/>
        </w:rPr>
        <w:t> </w:t>
      </w:r>
      <w:r w:rsidRPr="00B832E0">
        <w:rPr>
          <w:rFonts w:eastAsia="Book Antiqua"/>
        </w:rPr>
        <w:t>2022, and during this period the Government provided a guarantee of 50</w:t>
      </w:r>
      <w:r>
        <w:rPr>
          <w:rFonts w:eastAsia="Book Antiqua"/>
        </w:rPr>
        <w:t> </w:t>
      </w:r>
      <w:r w:rsidRPr="00B832E0">
        <w:rPr>
          <w:rFonts w:eastAsia="Book Antiqua"/>
        </w:rPr>
        <w:t>per</w:t>
      </w:r>
      <w:r>
        <w:rPr>
          <w:rFonts w:eastAsia="Book Antiqua"/>
        </w:rPr>
        <w:t> </w:t>
      </w:r>
      <w:r w:rsidRPr="00B832E0">
        <w:rPr>
          <w:rFonts w:eastAsia="Book Antiqua"/>
        </w:rPr>
        <w:t>cent of the eligible loan</w:t>
      </w:r>
      <w:r>
        <w:rPr>
          <w:rFonts w:eastAsia="Book Antiqua"/>
        </w:rPr>
        <w:t> </w:t>
      </w:r>
      <w:r w:rsidRPr="00B832E0">
        <w:rPr>
          <w:rFonts w:eastAsia="Book Antiqua"/>
        </w:rPr>
        <w:t>amount.</w:t>
      </w:r>
    </w:p>
    <w:p w14:paraId="05695E8D" w14:textId="77777777" w:rsidR="00A50D8E" w:rsidRPr="00B832E0" w:rsidRDefault="00A50D8E" w:rsidP="0074298E">
      <w:pPr>
        <w:rPr>
          <w:rFonts w:eastAsia="Book Antiqua"/>
        </w:rPr>
      </w:pPr>
      <w:r w:rsidRPr="00B832E0">
        <w:rPr>
          <w:rFonts w:eastAsia="Book Antiqua"/>
        </w:rPr>
        <w:lastRenderedPageBreak/>
        <w:t>Under each of the above schemes, the Australian</w:t>
      </w:r>
      <w:r w:rsidRPr="00B832E0">
        <w:rPr>
          <w:rFonts w:eastAsia="Book Antiqua" w:hint="cs"/>
        </w:rPr>
        <w:t> </w:t>
      </w:r>
      <w:r w:rsidRPr="00B832E0">
        <w:rPr>
          <w:rFonts w:eastAsia="Book Antiqua"/>
        </w:rPr>
        <w:t>Government guaranteed to pay an approved lender in the event of default by small and medium enterprises. Although all schemes have closed to new loans, the risk to the Australian</w:t>
      </w:r>
      <w:r w:rsidRPr="00B832E0">
        <w:rPr>
          <w:rFonts w:eastAsia="Book Antiqua" w:hint="cs"/>
        </w:rPr>
        <w:t> </w:t>
      </w:r>
      <w:r w:rsidRPr="00B832E0">
        <w:rPr>
          <w:rFonts w:eastAsia="Book Antiqua"/>
        </w:rPr>
        <w:t>Government remains until the final claim date for SME Recovery Loan Scheme on 30</w:t>
      </w:r>
      <w:r w:rsidRPr="00B832E0">
        <w:rPr>
          <w:rFonts w:eastAsia="Book Antiqua" w:hint="cs"/>
        </w:rPr>
        <w:t> </w:t>
      </w:r>
      <w:r w:rsidRPr="00B832E0">
        <w:rPr>
          <w:rFonts w:eastAsia="Book Antiqua"/>
        </w:rPr>
        <w:t>September</w:t>
      </w:r>
      <w:r w:rsidRPr="00B832E0">
        <w:rPr>
          <w:rFonts w:eastAsia="Book Antiqua" w:hint="cs"/>
        </w:rPr>
        <w:t> </w:t>
      </w:r>
      <w:r w:rsidRPr="00B832E0">
        <w:rPr>
          <w:rFonts w:eastAsia="Book Antiqua"/>
        </w:rPr>
        <w:t xml:space="preserve">2033. </w:t>
      </w:r>
    </w:p>
    <w:p w14:paraId="365CF8FA" w14:textId="77777777" w:rsidR="00A50D8E" w:rsidRPr="00B832E0" w:rsidRDefault="00A50D8E" w:rsidP="0074298E">
      <w:pPr>
        <w:pStyle w:val="Heading4"/>
        <w:rPr>
          <w:rFonts w:eastAsia="Arial"/>
        </w:rPr>
      </w:pPr>
      <w:r w:rsidRPr="00B832E0">
        <w:rPr>
          <w:rFonts w:eastAsia="Arial"/>
        </w:rPr>
        <w:t>Terrorism insurance – commercial cover</w:t>
      </w:r>
    </w:p>
    <w:p w14:paraId="41DA5284" w14:textId="625A0C3E" w:rsidR="00EE144B" w:rsidRPr="00A50D8E" w:rsidRDefault="00A50D8E" w:rsidP="0074298E">
      <w:pPr>
        <w:rPr>
          <w:rFonts w:eastAsiaTheme="minorEastAsia"/>
        </w:rPr>
      </w:pPr>
      <w:r w:rsidRPr="1809C9FA">
        <w:rPr>
          <w:rFonts w:eastAsiaTheme="minorEastAsia"/>
          <w:lang w:val="en-US"/>
        </w:rPr>
        <w:t xml:space="preserve">The </w:t>
      </w:r>
      <w:r w:rsidRPr="00542F90">
        <w:rPr>
          <w:rStyle w:val="Emphasis"/>
          <w:rFonts w:eastAsiaTheme="minorEastAsia"/>
        </w:rPr>
        <w:t>Terrorism and Cyclone Insurance Act 2003</w:t>
      </w:r>
      <w:r>
        <w:rPr>
          <w:rFonts w:eastAsiaTheme="minorEastAsia"/>
          <w:lang w:val="en-US"/>
        </w:rPr>
        <w:t xml:space="preserve"> (formerly the </w:t>
      </w:r>
      <w:r w:rsidRPr="006C56CA">
        <w:rPr>
          <w:rStyle w:val="Emphasis"/>
          <w:rFonts w:eastAsiaTheme="minorEastAsia"/>
        </w:rPr>
        <w:t>Terrorism Act 2003</w:t>
      </w:r>
      <w:r>
        <w:rPr>
          <w:rFonts w:eastAsiaTheme="minorEastAsia"/>
          <w:lang w:val="en-US"/>
        </w:rPr>
        <w:t>)</w:t>
      </w:r>
      <w:r w:rsidRPr="1809C9FA">
        <w:rPr>
          <w:rFonts w:eastAsiaTheme="minorEastAsia"/>
          <w:lang w:val="en-US"/>
        </w:rPr>
        <w:t xml:space="preserve"> established a</w:t>
      </w:r>
      <w:r>
        <w:rPr>
          <w:rFonts w:eastAsiaTheme="minorEastAsia"/>
          <w:lang w:val="en-US"/>
        </w:rPr>
        <w:t> </w:t>
      </w:r>
      <w:r w:rsidRPr="1809C9FA">
        <w:rPr>
          <w:rFonts w:eastAsiaTheme="minorEastAsia"/>
          <w:lang w:val="en-US"/>
        </w:rPr>
        <w:t>scheme for terrorism insurance covering damage to commercial property, including associated business interruption and public liability (extended in 2017 to mixed</w:t>
      </w:r>
      <w:r w:rsidR="00D23095">
        <w:rPr>
          <w:rFonts w:eastAsiaTheme="minorEastAsia"/>
          <w:lang w:val="en-US"/>
        </w:rPr>
        <w:noBreakHyphen/>
      </w:r>
      <w:r w:rsidRPr="1809C9FA">
        <w:rPr>
          <w:rFonts w:eastAsiaTheme="minorEastAsia"/>
          <w:lang w:val="en-US"/>
        </w:rPr>
        <w:t>use and high</w:t>
      </w:r>
      <w:r w:rsidR="00D23095">
        <w:rPr>
          <w:rFonts w:eastAsiaTheme="minorEastAsia"/>
          <w:lang w:val="en-US"/>
        </w:rPr>
        <w:noBreakHyphen/>
      </w:r>
      <w:r w:rsidRPr="1809C9FA">
        <w:rPr>
          <w:rFonts w:eastAsiaTheme="minorEastAsia"/>
          <w:lang w:val="en-US"/>
        </w:rPr>
        <w:t>value residential buildings). The Australian Reinsurance Pool Corporation (ARPC) uses reinsurance premiums paid by insurers to meet its administrative expenses, to maintain a pool of funds and to purchase reinsurance to help meet future claims. The</w:t>
      </w:r>
      <w:r>
        <w:rPr>
          <w:rFonts w:eastAsiaTheme="minorEastAsia"/>
          <w:lang w:val="en-US"/>
        </w:rPr>
        <w:t> </w:t>
      </w:r>
      <w:r w:rsidRPr="00FE7B65">
        <w:rPr>
          <w:rFonts w:eastAsiaTheme="minorEastAsia"/>
        </w:rPr>
        <w:t xml:space="preserve">Australian Government guarantees to pay any liabilities of the </w:t>
      </w:r>
      <w:proofErr w:type="gramStart"/>
      <w:r w:rsidRPr="00FE7B65">
        <w:rPr>
          <w:rFonts w:eastAsiaTheme="minorEastAsia"/>
        </w:rPr>
        <w:t>ARPC,</w:t>
      </w:r>
      <w:proofErr w:type="gramEnd"/>
      <w:r w:rsidRPr="00FE7B65">
        <w:rPr>
          <w:rFonts w:eastAsiaTheme="minorEastAsia"/>
        </w:rPr>
        <w:t xml:space="preserve"> however the responsible Minister (or delegate) must declare a reduced payout rate to insured entities if the Government</w:t>
      </w:r>
      <w:r w:rsidR="00D23095">
        <w:rPr>
          <w:rFonts w:eastAsiaTheme="minorEastAsia"/>
        </w:rPr>
        <w:t>’</w:t>
      </w:r>
      <w:r w:rsidRPr="00FE7B65">
        <w:rPr>
          <w:rFonts w:eastAsiaTheme="minorEastAsia"/>
        </w:rPr>
        <w:t>s liability would otherwise exceed $10 billion.</w:t>
      </w:r>
    </w:p>
    <w:p w14:paraId="445E6199" w14:textId="2230B69C" w:rsidR="0023618C" w:rsidRPr="00B832E0" w:rsidRDefault="0023618C" w:rsidP="0074298E">
      <w:pPr>
        <w:pStyle w:val="Heading3"/>
        <w:rPr>
          <w:rFonts w:eastAsia="Arial"/>
        </w:rPr>
      </w:pPr>
      <w:bookmarkStart w:id="241" w:name="_Toc193536223"/>
      <w:r w:rsidRPr="00B832E0">
        <w:rPr>
          <w:rFonts w:eastAsia="Arial"/>
        </w:rPr>
        <w:t>Contingent liabilities – quantifiable</w:t>
      </w:r>
      <w:bookmarkEnd w:id="233"/>
      <w:bookmarkEnd w:id="234"/>
      <w:bookmarkEnd w:id="241"/>
    </w:p>
    <w:p w14:paraId="73D30F22" w14:textId="77777777" w:rsidR="0023618C" w:rsidRPr="002E7D92" w:rsidRDefault="0023618C" w:rsidP="0074298E">
      <w:pPr>
        <w:pStyle w:val="Heading4"/>
      </w:pPr>
      <w:bookmarkStart w:id="242" w:name="_Toc71117889"/>
      <w:r w:rsidRPr="002E7D92">
        <w:t xml:space="preserve">Australian Taxation Office </w:t>
      </w:r>
      <w:r>
        <w:rPr>
          <w:rFonts w:hint="eastAsia"/>
        </w:rPr>
        <w:t>–</w:t>
      </w:r>
      <w:r w:rsidRPr="002E7D92">
        <w:t xml:space="preserve"> tax </w:t>
      </w:r>
      <w:r w:rsidRPr="00BD728C">
        <w:t>disputes</w:t>
      </w:r>
    </w:p>
    <w:bookmarkEnd w:id="242"/>
    <w:p w14:paraId="2411725C" w14:textId="4DE49189" w:rsidR="00D0119A" w:rsidRPr="00947AA4" w:rsidRDefault="00D0119A" w:rsidP="0074298E">
      <w:pPr>
        <w:rPr>
          <w:rFonts w:eastAsia="MS Mincho"/>
        </w:rPr>
      </w:pPr>
      <w:r>
        <w:rPr>
          <w:rFonts w:eastAsia="MS Mincho"/>
        </w:rPr>
        <w:t>T</w:t>
      </w:r>
      <w:r w:rsidRPr="00947AA4">
        <w:rPr>
          <w:rFonts w:eastAsia="MS Mincho"/>
        </w:rPr>
        <w:t>he Australian Taxation Office is</w:t>
      </w:r>
      <w:r>
        <w:rPr>
          <w:rFonts w:eastAsia="MS Mincho"/>
        </w:rPr>
        <w:t xml:space="preserve"> </w:t>
      </w:r>
      <w:r w:rsidR="006054AD">
        <w:rPr>
          <w:rFonts w:eastAsia="MS Mincho"/>
        </w:rPr>
        <w:t>regularly</w:t>
      </w:r>
      <w:r w:rsidRPr="00947AA4">
        <w:rPr>
          <w:rFonts w:eastAsia="MS Mincho"/>
        </w:rPr>
        <w:t xml:space="preserve"> involved in a range of dispute resolution processes, including litigation, relating to tax disputes. </w:t>
      </w:r>
    </w:p>
    <w:p w14:paraId="4C5D0731" w14:textId="2083161E" w:rsidR="00D0119A" w:rsidRPr="00947AA4" w:rsidRDefault="00D0119A" w:rsidP="0074298E">
      <w:pPr>
        <w:rPr>
          <w:rFonts w:eastAsia="MS Mincho"/>
        </w:rPr>
      </w:pPr>
      <w:r w:rsidRPr="00947AA4">
        <w:rPr>
          <w:rFonts w:eastAsia="MS Mincho"/>
        </w:rPr>
        <w:t xml:space="preserve">Details of the outcome of dispute resolution processes remain uncertain until a court ruling is made and/or an agreement is reached with the taxpayer. Accordingly, in most cases it is not possible to reliably estimate the likely financial impact of current disputes. The estimated aggregate value of tax in dispute as </w:t>
      </w:r>
      <w:proofErr w:type="gramStart"/>
      <w:r w:rsidRPr="00947AA4">
        <w:rPr>
          <w:rFonts w:eastAsia="MS Mincho"/>
        </w:rPr>
        <w:t>at</w:t>
      </w:r>
      <w:proofErr w:type="gramEnd"/>
      <w:r w:rsidRPr="00947AA4">
        <w:rPr>
          <w:rFonts w:eastAsia="MS Mincho"/>
        </w:rPr>
        <w:t xml:space="preserve"> 30</w:t>
      </w:r>
      <w:r>
        <w:rPr>
          <w:rFonts w:eastAsia="MS Mincho"/>
        </w:rPr>
        <w:t xml:space="preserve"> September</w:t>
      </w:r>
      <w:r w:rsidRPr="00947AA4">
        <w:rPr>
          <w:rFonts w:eastAsia="MS Mincho"/>
        </w:rPr>
        <w:t xml:space="preserve"> 2024, for which a provision has not been made, is $</w:t>
      </w:r>
      <w:r>
        <w:rPr>
          <w:rFonts w:eastAsia="MS Mincho"/>
        </w:rPr>
        <w:t>12.5</w:t>
      </w:r>
      <w:r w:rsidRPr="00947AA4">
        <w:rPr>
          <w:rFonts w:eastAsia="MS Mincho"/>
        </w:rPr>
        <w:t xml:space="preserve"> billion. </w:t>
      </w:r>
    </w:p>
    <w:p w14:paraId="27E9BF7D" w14:textId="62E7E323" w:rsidR="00D0119A" w:rsidRPr="00947AA4" w:rsidRDefault="00D0119A" w:rsidP="0074298E">
      <w:pPr>
        <w:rPr>
          <w:rFonts w:eastAsia="MS Mincho"/>
        </w:rPr>
      </w:pPr>
      <w:r w:rsidRPr="00947AA4">
        <w:rPr>
          <w:rFonts w:eastAsia="MS Mincho"/>
        </w:rPr>
        <w:t>Outcomes of dispute resolution processes are included in the Commissioner of Taxation</w:t>
      </w:r>
      <w:r w:rsidR="00D23095">
        <w:rPr>
          <w:rFonts w:eastAsia="MS Mincho"/>
        </w:rPr>
        <w:t>’</w:t>
      </w:r>
      <w:r w:rsidRPr="00947AA4">
        <w:rPr>
          <w:rFonts w:eastAsia="MS Mincho"/>
        </w:rPr>
        <w:t>s Annual Report each year. This may include disputes resolved through objections, settlements and court and tribunal decisions. It may also include amounts owed by taxpayers that are subject to dispute but not finalised.</w:t>
      </w:r>
    </w:p>
    <w:p w14:paraId="1C012D88" w14:textId="77777777" w:rsidR="0023618C" w:rsidRPr="00DE183C" w:rsidRDefault="0023618C" w:rsidP="0074298E">
      <w:pPr>
        <w:pStyle w:val="Heading4"/>
      </w:pPr>
      <w:r w:rsidRPr="00DE183C">
        <w:t xml:space="preserve">International </w:t>
      </w:r>
      <w:r w:rsidRPr="001D7010">
        <w:t>financial</w:t>
      </w:r>
      <w:r w:rsidRPr="00DE183C">
        <w:t xml:space="preserve"> institutions </w:t>
      </w:r>
      <w:r>
        <w:rPr>
          <w:rFonts w:hint="eastAsia"/>
        </w:rPr>
        <w:t>–</w:t>
      </w:r>
      <w:r w:rsidRPr="00DE183C">
        <w:t xml:space="preserve"> uncalled capital subscriptions</w:t>
      </w:r>
    </w:p>
    <w:p w14:paraId="2D5B7B35" w14:textId="5A2352C8" w:rsidR="00FC2462" w:rsidRPr="00602B3F" w:rsidRDefault="00FC2462" w:rsidP="0074298E">
      <w:pPr>
        <w:rPr>
          <w:rFonts w:eastAsia="MS Mincho"/>
        </w:rPr>
      </w:pPr>
      <w:r w:rsidRPr="00602B3F">
        <w:rPr>
          <w:rFonts w:eastAsia="MS Mincho"/>
        </w:rPr>
        <w:t xml:space="preserve">The Australian Government has held an uncalled capital subscription in the International Bank for Reconstruction and Development (IBRD) since 1947. As </w:t>
      </w:r>
      <w:proofErr w:type="gramStart"/>
      <w:r w:rsidRPr="00602B3F">
        <w:rPr>
          <w:rFonts w:eastAsia="MS Mincho"/>
        </w:rPr>
        <w:t>at</w:t>
      </w:r>
      <w:proofErr w:type="gramEnd"/>
      <w:r w:rsidRPr="00602B3F">
        <w:rPr>
          <w:rFonts w:eastAsia="MS Mincho"/>
        </w:rPr>
        <w:t xml:space="preserve"> 31 January 2025, Australia</w:t>
      </w:r>
      <w:r w:rsidR="00D23095">
        <w:rPr>
          <w:rFonts w:eastAsia="MS Mincho"/>
        </w:rPr>
        <w:t>’</w:t>
      </w:r>
      <w:r w:rsidRPr="00602B3F">
        <w:rPr>
          <w:rFonts w:eastAsia="MS Mincho"/>
        </w:rPr>
        <w:t>s uncalled capital subscription to the IBRD was around US$4.4 billion (approximately A$</w:t>
      </w:r>
      <w:r>
        <w:rPr>
          <w:rFonts w:eastAsia="MS Mincho"/>
        </w:rPr>
        <w:t>7.0</w:t>
      </w:r>
      <w:r w:rsidRPr="00602B3F">
        <w:rPr>
          <w:rFonts w:eastAsia="MS Mincho"/>
        </w:rPr>
        <w:t xml:space="preserve"> billion). </w:t>
      </w:r>
    </w:p>
    <w:p w14:paraId="29927407" w14:textId="5B229130" w:rsidR="00FC2462" w:rsidRPr="00602B3F" w:rsidRDefault="00FC2462" w:rsidP="0074298E">
      <w:pPr>
        <w:rPr>
          <w:rFonts w:eastAsia="MS Mincho"/>
        </w:rPr>
      </w:pPr>
      <w:r w:rsidRPr="00602B3F">
        <w:rPr>
          <w:rFonts w:eastAsia="MS Mincho"/>
        </w:rPr>
        <w:t>The Australian Government has</w:t>
      </w:r>
      <w:r>
        <w:rPr>
          <w:rFonts w:eastAsia="MS Mincho"/>
        </w:rPr>
        <w:t xml:space="preserve"> held</w:t>
      </w:r>
      <w:r w:rsidRPr="00602B3F">
        <w:rPr>
          <w:rFonts w:eastAsia="MS Mincho"/>
        </w:rPr>
        <w:t xml:space="preserve"> an uncalled capital subscription in the European Bank for Reconstruction and Development (EBRD) since 1991. As </w:t>
      </w:r>
      <w:proofErr w:type="gramStart"/>
      <w:r w:rsidRPr="00602B3F">
        <w:rPr>
          <w:rFonts w:eastAsia="MS Mincho"/>
        </w:rPr>
        <w:t>at</w:t>
      </w:r>
      <w:proofErr w:type="gramEnd"/>
      <w:r w:rsidRPr="00602B3F">
        <w:rPr>
          <w:rFonts w:eastAsia="MS Mincho"/>
        </w:rPr>
        <w:t xml:space="preserve"> 31 January 2025, Australia</w:t>
      </w:r>
      <w:r w:rsidR="00D23095">
        <w:rPr>
          <w:rFonts w:eastAsia="MS Mincho"/>
        </w:rPr>
        <w:t>’</w:t>
      </w:r>
      <w:r w:rsidRPr="00602B3F">
        <w:rPr>
          <w:rFonts w:eastAsia="MS Mincho"/>
        </w:rPr>
        <w:t>s uncalled capital subscription to the EBRD was around EUR237.5 million (approximately A$3</w:t>
      </w:r>
      <w:r w:rsidRPr="0009089A">
        <w:rPr>
          <w:rFonts w:eastAsia="MS Mincho"/>
        </w:rPr>
        <w:t>9</w:t>
      </w:r>
      <w:r>
        <w:rPr>
          <w:rFonts w:eastAsia="MS Mincho"/>
        </w:rPr>
        <w:t>6.4</w:t>
      </w:r>
      <w:r w:rsidRPr="00602B3F">
        <w:rPr>
          <w:rFonts w:eastAsia="MS Mincho"/>
        </w:rPr>
        <w:t xml:space="preserve"> million). </w:t>
      </w:r>
    </w:p>
    <w:p w14:paraId="7279E6DD" w14:textId="2FBBF03D" w:rsidR="00FC2462" w:rsidRPr="00602B3F" w:rsidRDefault="00FC2462" w:rsidP="0074298E">
      <w:pPr>
        <w:rPr>
          <w:rFonts w:eastAsia="MS Mincho"/>
        </w:rPr>
      </w:pPr>
      <w:r w:rsidRPr="00602B3F">
        <w:rPr>
          <w:rFonts w:eastAsia="MS Mincho"/>
        </w:rPr>
        <w:lastRenderedPageBreak/>
        <w:t xml:space="preserve">The Australian Government has held an uncalled capital subscription in the Asian Development Bank (ADB) since 1966. As </w:t>
      </w:r>
      <w:proofErr w:type="gramStart"/>
      <w:r w:rsidRPr="00602B3F">
        <w:rPr>
          <w:rFonts w:eastAsia="MS Mincho"/>
        </w:rPr>
        <w:t>at</w:t>
      </w:r>
      <w:proofErr w:type="gramEnd"/>
      <w:r w:rsidRPr="00602B3F">
        <w:rPr>
          <w:rFonts w:eastAsia="MS Mincho"/>
        </w:rPr>
        <w:t xml:space="preserve"> 31 January 2025, Australia</w:t>
      </w:r>
      <w:r w:rsidR="00D23095">
        <w:rPr>
          <w:rFonts w:eastAsia="MS Mincho"/>
        </w:rPr>
        <w:t>’</w:t>
      </w:r>
      <w:r w:rsidRPr="00602B3F">
        <w:rPr>
          <w:rFonts w:eastAsia="MS Mincho"/>
        </w:rPr>
        <w:t>s uncalled capital subscription to the ADB was around US$7.0 billion (approximately A$</w:t>
      </w:r>
      <w:r w:rsidRPr="0009089A">
        <w:rPr>
          <w:rFonts w:eastAsia="MS Mincho"/>
        </w:rPr>
        <w:t>11</w:t>
      </w:r>
      <w:r w:rsidRPr="00602B3F">
        <w:rPr>
          <w:rFonts w:eastAsia="MS Mincho"/>
        </w:rPr>
        <w:t>.</w:t>
      </w:r>
      <w:r>
        <w:rPr>
          <w:rFonts w:eastAsia="MS Mincho"/>
        </w:rPr>
        <w:t>3</w:t>
      </w:r>
      <w:r w:rsidRPr="00602B3F">
        <w:rPr>
          <w:rFonts w:eastAsia="MS Mincho"/>
        </w:rPr>
        <w:t xml:space="preserve"> billion). </w:t>
      </w:r>
    </w:p>
    <w:p w14:paraId="181CFE07" w14:textId="7ED41ACF" w:rsidR="00FC2462" w:rsidRPr="00C37643" w:rsidRDefault="00FC2462" w:rsidP="0074298E">
      <w:pPr>
        <w:rPr>
          <w:rFonts w:eastAsiaTheme="minorEastAsia"/>
        </w:rPr>
      </w:pPr>
      <w:r w:rsidRPr="00C37643">
        <w:rPr>
          <w:rFonts w:eastAsiaTheme="minorEastAsia"/>
        </w:rPr>
        <w:t xml:space="preserve">The Australian Government has </w:t>
      </w:r>
      <w:r>
        <w:rPr>
          <w:rFonts w:eastAsia="MS Mincho"/>
        </w:rPr>
        <w:t xml:space="preserve">held </w:t>
      </w:r>
      <w:r w:rsidRPr="00C37643">
        <w:rPr>
          <w:rFonts w:eastAsiaTheme="minorEastAsia"/>
        </w:rPr>
        <w:t xml:space="preserve">an uncalled capital subscription in the Multilateral Investment Guarantee Agency </w:t>
      </w:r>
      <w:r w:rsidRPr="00602B3F">
        <w:rPr>
          <w:rFonts w:eastAsia="MS Mincho"/>
        </w:rPr>
        <w:t>(MIGA)</w:t>
      </w:r>
      <w:r>
        <w:rPr>
          <w:rFonts w:eastAsia="MS Mincho"/>
        </w:rPr>
        <w:t xml:space="preserve"> since 1999</w:t>
      </w:r>
      <w:r w:rsidRPr="00602B3F">
        <w:rPr>
          <w:rFonts w:eastAsia="MS Mincho"/>
        </w:rPr>
        <w:t xml:space="preserve">. As </w:t>
      </w:r>
      <w:proofErr w:type="gramStart"/>
      <w:r w:rsidRPr="00602B3F">
        <w:rPr>
          <w:rFonts w:eastAsia="MS Mincho"/>
        </w:rPr>
        <w:t>at</w:t>
      </w:r>
      <w:proofErr w:type="gramEnd"/>
      <w:r w:rsidRPr="00602B3F">
        <w:rPr>
          <w:rFonts w:eastAsia="MS Mincho"/>
        </w:rPr>
        <w:t xml:space="preserve"> 31 January 2025, Australia</w:t>
      </w:r>
      <w:r w:rsidR="00D23095">
        <w:rPr>
          <w:rFonts w:eastAsia="MS Mincho"/>
        </w:rPr>
        <w:t>’</w:t>
      </w:r>
      <w:r w:rsidRPr="00602B3F">
        <w:rPr>
          <w:rFonts w:eastAsia="MS Mincho"/>
        </w:rPr>
        <w:t xml:space="preserve">s uncalled capital subscription to the MIGA was </w:t>
      </w:r>
      <w:r w:rsidRPr="00C37643">
        <w:rPr>
          <w:rFonts w:eastAsiaTheme="minorEastAsia"/>
        </w:rPr>
        <w:t>around US$26.5</w:t>
      </w:r>
      <w:r>
        <w:rPr>
          <w:rFonts w:eastAsiaTheme="minorEastAsia"/>
        </w:rPr>
        <w:t> million</w:t>
      </w:r>
      <w:r w:rsidRPr="00C37643">
        <w:rPr>
          <w:rFonts w:eastAsiaTheme="minorEastAsia"/>
        </w:rPr>
        <w:t xml:space="preserve"> (approximately A$</w:t>
      </w:r>
      <w:r>
        <w:rPr>
          <w:rFonts w:eastAsia="MS Mincho"/>
        </w:rPr>
        <w:t>42.5</w:t>
      </w:r>
      <w:r>
        <w:rPr>
          <w:rFonts w:eastAsiaTheme="minorEastAsia"/>
        </w:rPr>
        <w:t> million</w:t>
      </w:r>
      <w:r w:rsidRPr="00602B3F">
        <w:rPr>
          <w:rFonts w:eastAsia="MS Mincho"/>
        </w:rPr>
        <w:t>).</w:t>
      </w:r>
      <w:r w:rsidRPr="00C37643">
        <w:rPr>
          <w:rFonts w:eastAsiaTheme="minorEastAsia"/>
        </w:rPr>
        <w:t xml:space="preserve"> </w:t>
      </w:r>
    </w:p>
    <w:p w14:paraId="77248738" w14:textId="13EBC3AB" w:rsidR="00031A7C" w:rsidRPr="00E67173" w:rsidRDefault="00FC2462" w:rsidP="0074298E">
      <w:pPr>
        <w:rPr>
          <w:rFonts w:eastAsia="MS Mincho"/>
        </w:rPr>
      </w:pPr>
      <w:r w:rsidRPr="001604FD">
        <w:rPr>
          <w:rFonts w:eastAsiaTheme="minorEastAsia"/>
        </w:rPr>
        <w:t xml:space="preserve">The Australian Government has </w:t>
      </w:r>
      <w:r>
        <w:rPr>
          <w:rFonts w:eastAsia="MS Mincho"/>
        </w:rPr>
        <w:t xml:space="preserve">held an uncalled capital subscription in the </w:t>
      </w:r>
      <w:r w:rsidRPr="00306153">
        <w:rPr>
          <w:rFonts w:eastAsia="MS Mincho"/>
        </w:rPr>
        <w:t>Asian Infrastructure Investment Bank</w:t>
      </w:r>
      <w:r>
        <w:rPr>
          <w:rFonts w:eastAsia="MS Mincho"/>
        </w:rPr>
        <w:t xml:space="preserve"> (AIIB) since</w:t>
      </w:r>
      <w:r w:rsidRPr="00602B3F">
        <w:rPr>
          <w:rFonts w:eastAsia="MS Mincho"/>
        </w:rPr>
        <w:t xml:space="preserve"> </w:t>
      </w:r>
      <w:r>
        <w:rPr>
          <w:rFonts w:eastAsia="MS Mincho"/>
        </w:rPr>
        <w:t xml:space="preserve">2015. </w:t>
      </w:r>
      <w:r w:rsidRPr="00602B3F">
        <w:rPr>
          <w:rFonts w:eastAsia="MS Mincho"/>
        </w:rPr>
        <w:t xml:space="preserve">As </w:t>
      </w:r>
      <w:proofErr w:type="gramStart"/>
      <w:r w:rsidRPr="00602B3F">
        <w:rPr>
          <w:rFonts w:eastAsia="MS Mincho"/>
        </w:rPr>
        <w:t>at</w:t>
      </w:r>
      <w:proofErr w:type="gramEnd"/>
      <w:r w:rsidRPr="00602B3F">
        <w:rPr>
          <w:rFonts w:eastAsia="MS Mincho"/>
        </w:rPr>
        <w:t xml:space="preserve"> 31 January 2025, Australia</w:t>
      </w:r>
      <w:r w:rsidR="00D23095">
        <w:rPr>
          <w:rFonts w:eastAsia="MS Mincho"/>
        </w:rPr>
        <w:t>’</w:t>
      </w:r>
      <w:r w:rsidRPr="00602B3F">
        <w:rPr>
          <w:rFonts w:eastAsia="MS Mincho"/>
        </w:rPr>
        <w:t>s uncalled capital subscription to the AIIB was around US$3.0 billion (approximately A$4.</w:t>
      </w:r>
      <w:r w:rsidRPr="0009089A">
        <w:rPr>
          <w:rFonts w:eastAsia="MS Mincho"/>
        </w:rPr>
        <w:t>7</w:t>
      </w:r>
      <w:r>
        <w:rPr>
          <w:rFonts w:eastAsiaTheme="minorEastAsia"/>
        </w:rPr>
        <w:t> billion</w:t>
      </w:r>
      <w:r w:rsidRPr="001604FD">
        <w:rPr>
          <w:rFonts w:eastAsiaTheme="minorEastAsia"/>
        </w:rPr>
        <w:t>)</w:t>
      </w:r>
      <w:r w:rsidRPr="00602B3F">
        <w:rPr>
          <w:rFonts w:eastAsia="MS Mincho"/>
        </w:rPr>
        <w:t>.</w:t>
      </w:r>
    </w:p>
    <w:p w14:paraId="5287F778" w14:textId="6663858A" w:rsidR="0023618C" w:rsidRPr="00F83B5C" w:rsidRDefault="0023618C" w:rsidP="0074298E">
      <w:pPr>
        <w:pStyle w:val="Heading4"/>
        <w:rPr>
          <w:rFonts w:ascii="Arial" w:eastAsia="Arial" w:hAnsi="Arial" w:cs="Arial"/>
          <w:bCs/>
          <w:lang w:val="en-US"/>
        </w:rPr>
      </w:pPr>
      <w:r w:rsidRPr="00F83B5C">
        <w:rPr>
          <w:rFonts w:eastAsia="Arial"/>
        </w:rPr>
        <w:t>International Monetary Fund – 16</w:t>
      </w:r>
      <w:proofErr w:type="spellStart"/>
      <w:r w:rsidRPr="00F83B5C">
        <w:rPr>
          <w:rFonts w:ascii="Arial" w:eastAsia="Arial" w:hAnsi="Arial" w:cs="Arial"/>
          <w:bCs/>
          <w:vertAlign w:val="superscript"/>
          <w:lang w:val="en-US"/>
        </w:rPr>
        <w:t>th</w:t>
      </w:r>
      <w:proofErr w:type="spellEnd"/>
      <w:r w:rsidRPr="00F83B5C">
        <w:rPr>
          <w:rFonts w:ascii="Arial" w:eastAsia="Arial" w:hAnsi="Arial" w:cs="Arial"/>
          <w:bCs/>
          <w:lang w:val="en-US"/>
        </w:rPr>
        <w:t xml:space="preserve"> General Review of Quota</w:t>
      </w:r>
    </w:p>
    <w:p w14:paraId="51963C33" w14:textId="44AE816A" w:rsidR="008766C2" w:rsidRPr="00E9254D" w:rsidRDefault="008766C2" w:rsidP="0074298E">
      <w:r w:rsidRPr="00E9254D">
        <w:t xml:space="preserve">The Australian Government has </w:t>
      </w:r>
      <w:r>
        <w:t>consented</w:t>
      </w:r>
      <w:r w:rsidRPr="00E9254D">
        <w:t xml:space="preserve"> to a 50 per cent increase to its International Monetary Fund (IMF) quota. </w:t>
      </w:r>
      <w:r w:rsidRPr="00E9254D" w:rsidDel="00017452">
        <w:t>Under the agreement, Australia</w:t>
      </w:r>
      <w:r w:rsidR="00D23095">
        <w:t>’</w:t>
      </w:r>
      <w:r w:rsidRPr="00E9254D" w:rsidDel="00017452">
        <w:t xml:space="preserve">s quota will increase from </w:t>
      </w:r>
      <w:r w:rsidRPr="00E9254D">
        <w:t>Special</w:t>
      </w:r>
      <w:r w:rsidRPr="00E9254D" w:rsidDel="00017452">
        <w:t xml:space="preserve"> Drawing Rights (SDR)</w:t>
      </w:r>
      <w:r w:rsidRPr="00E9254D">
        <w:t xml:space="preserve"> </w:t>
      </w:r>
      <w:r w:rsidRPr="00E9254D" w:rsidDel="00017452">
        <w:t>6.6</w:t>
      </w:r>
      <w:r w:rsidRPr="00E9254D">
        <w:t> billion</w:t>
      </w:r>
      <w:r w:rsidRPr="00E9254D" w:rsidDel="00017452">
        <w:t xml:space="preserve"> (approximately A$13.</w:t>
      </w:r>
      <w:r>
        <w:t>8</w:t>
      </w:r>
      <w:r w:rsidRPr="00E9254D">
        <w:t> billion</w:t>
      </w:r>
      <w:r>
        <w:t xml:space="preserve"> as </w:t>
      </w:r>
      <w:proofErr w:type="gramStart"/>
      <w:r>
        <w:t>at</w:t>
      </w:r>
      <w:proofErr w:type="gramEnd"/>
      <w:r>
        <w:t xml:space="preserve"> 31 January</w:t>
      </w:r>
      <w:r w:rsidR="002212E0">
        <w:t> </w:t>
      </w:r>
      <w:r>
        <w:t>2025</w:t>
      </w:r>
      <w:r w:rsidRPr="00E9254D">
        <w:t>)</w:t>
      </w:r>
      <w:r w:rsidRPr="00E9254D" w:rsidDel="00017452">
        <w:t xml:space="preserve"> to SDR</w:t>
      </w:r>
      <w:r w:rsidRPr="00E9254D">
        <w:t> </w:t>
      </w:r>
      <w:r w:rsidRPr="00E9254D" w:rsidDel="00017452">
        <w:t>9.9</w:t>
      </w:r>
      <w:r w:rsidRPr="00E9254D">
        <w:t> billion</w:t>
      </w:r>
      <w:r w:rsidRPr="00E9254D" w:rsidDel="00017452">
        <w:t xml:space="preserve"> (approximately A$</w:t>
      </w:r>
      <w:r>
        <w:t>20.7</w:t>
      </w:r>
      <w:r w:rsidRPr="00E9254D">
        <w:t xml:space="preserve"> billion as at </w:t>
      </w:r>
      <w:r>
        <w:t>31 January 2025)</w:t>
      </w:r>
      <w:r w:rsidRPr="00E9254D" w:rsidDel="00017452">
        <w:t xml:space="preserve">. </w:t>
      </w:r>
      <w:r w:rsidRPr="00E9254D">
        <w:t>This increase maintains Australia</w:t>
      </w:r>
      <w:r w:rsidR="00D23095">
        <w:t>’</w:t>
      </w:r>
      <w:r w:rsidRPr="00E9254D">
        <w:t xml:space="preserve">s voting power at the IMF and share of any future SDR </w:t>
      </w:r>
      <w:proofErr w:type="gramStart"/>
      <w:r w:rsidRPr="00E9254D">
        <w:t>allocation, and</w:t>
      </w:r>
      <w:proofErr w:type="gramEnd"/>
      <w:r w:rsidRPr="00E9254D">
        <w:t xml:space="preserve"> increases access to fund financing. </w:t>
      </w:r>
    </w:p>
    <w:p w14:paraId="0B90595B" w14:textId="19935479" w:rsidR="008766C2" w:rsidRPr="00E9254D" w:rsidRDefault="008766C2" w:rsidP="0074298E">
      <w:r w:rsidRPr="00E9254D">
        <w:t xml:space="preserve">The timing of the </w:t>
      </w:r>
      <w:r>
        <w:t xml:space="preserve">implementation of the quota </w:t>
      </w:r>
      <w:proofErr w:type="gramStart"/>
      <w:r>
        <w:t>increase</w:t>
      </w:r>
      <w:proofErr w:type="gramEnd"/>
      <w:r>
        <w:t xml:space="preserve"> and the accompanying required</w:t>
      </w:r>
      <w:r w:rsidRPr="00E9254D">
        <w:t xml:space="preserve"> contribution is uncertain; and is subject to conditions including consent by members representing 85 per cent of the existing quota. </w:t>
      </w:r>
      <w:r w:rsidRPr="00E9254D" w:rsidDel="00072574">
        <w:t>25</w:t>
      </w:r>
      <w:r w:rsidRPr="00E9254D">
        <w:t> per cent of the increase, SDR</w:t>
      </w:r>
      <w:r>
        <w:t> </w:t>
      </w:r>
      <w:r w:rsidRPr="00E9254D">
        <w:t>821.6 million (approximately A$1.</w:t>
      </w:r>
      <w:r>
        <w:t>7</w:t>
      </w:r>
      <w:r w:rsidRPr="00E9254D">
        <w:t xml:space="preserve"> billion as </w:t>
      </w:r>
      <w:proofErr w:type="gramStart"/>
      <w:r w:rsidRPr="00E9254D">
        <w:t>at</w:t>
      </w:r>
      <w:proofErr w:type="gramEnd"/>
      <w:r w:rsidRPr="00E9254D">
        <w:t xml:space="preserve"> </w:t>
      </w:r>
      <w:r>
        <w:t>31 January 2025)</w:t>
      </w:r>
      <w:r w:rsidRPr="00E9254D">
        <w:t xml:space="preserve">, will be made in foreign currency (in consultation with the IMF) and the remainder will be covered by Australian dollar denominated promissory notes. If the IMF quota increase is </w:t>
      </w:r>
      <w:proofErr w:type="gramStart"/>
      <w:r w:rsidRPr="00E9254D">
        <w:t>implemented</w:t>
      </w:r>
      <w:proofErr w:type="gramEnd"/>
      <w:r w:rsidRPr="00E9254D">
        <w:t xml:space="preserve"> it will be largely offset by reductions in Australia</w:t>
      </w:r>
      <w:r w:rsidR="00D23095">
        <w:t>’</w:t>
      </w:r>
      <w:r w:rsidRPr="00E9254D">
        <w:t>s other IMF commitments.</w:t>
      </w:r>
    </w:p>
    <w:p w14:paraId="164364A9" w14:textId="77777777" w:rsidR="0023618C" w:rsidRPr="00DE183C" w:rsidRDefault="0023618C" w:rsidP="0074298E">
      <w:pPr>
        <w:pStyle w:val="Heading4"/>
      </w:pPr>
      <w:r w:rsidRPr="00DE183C">
        <w:t xml:space="preserve">International Monetary Fund </w:t>
      </w:r>
      <w:r>
        <w:rPr>
          <w:rFonts w:hint="eastAsia"/>
        </w:rPr>
        <w:t>–</w:t>
      </w:r>
      <w:r w:rsidRPr="00DE183C">
        <w:t xml:space="preserve"> New Arrangements to Borrow &amp; Bilateral </w:t>
      </w:r>
      <w:r w:rsidRPr="001D7010">
        <w:t>Borrowing</w:t>
      </w:r>
      <w:r w:rsidRPr="00DE183C">
        <w:t xml:space="preserve"> Agreement</w:t>
      </w:r>
    </w:p>
    <w:p w14:paraId="327967D6" w14:textId="77777777" w:rsidR="00432756" w:rsidRPr="000F6C41" w:rsidRDefault="00432756" w:rsidP="0074298E">
      <w:r w:rsidRPr="000F6C41">
        <w:t xml:space="preserve">Australia has made a line of credit available to the International Monetary Fund (IMF) under its New Arrangements to Borrow since 1998. This is a contingent loan to help ensure that the IMF has the resources available to maintain stability in the global economy. </w:t>
      </w:r>
    </w:p>
    <w:p w14:paraId="76914F4F" w14:textId="4478AE95" w:rsidR="00432756" w:rsidRPr="000F6C41" w:rsidRDefault="00432756" w:rsidP="0074298E">
      <w:r w:rsidRPr="000F6C41">
        <w:t>On 26 January 2020, the IMF Executive Board approved amendments to the New Arrangements to Borrow decision, including increasing the credit arrangements of all participants and extending the arrangement from 1 January 2021 to 31 December</w:t>
      </w:r>
      <w:r w:rsidR="003239B8">
        <w:t> </w:t>
      </w:r>
      <w:r w:rsidRPr="000F6C41">
        <w:t>2025. On 8</w:t>
      </w:r>
      <w:r w:rsidRPr="000F6C41">
        <w:rPr>
          <w:rFonts w:eastAsia="Book Antiqua"/>
        </w:rPr>
        <w:t> </w:t>
      </w:r>
      <w:r w:rsidRPr="000F6C41">
        <w:t>October 2020, the Australian Government advised the IMF that Australia consented to this decision. On 19 July 2024, a renewal of the New Arrangements to Borrow was adopted by a decision of the IMF</w:t>
      </w:r>
      <w:r w:rsidR="00D23095">
        <w:t>’</w:t>
      </w:r>
      <w:r w:rsidRPr="000F6C41">
        <w:t xml:space="preserve">s Executive Board. The Government is undertaking the relevant process under the </w:t>
      </w:r>
      <w:r w:rsidRPr="005D4F09">
        <w:rPr>
          <w:rStyle w:val="Emphasis"/>
        </w:rPr>
        <w:t>International Monetary Agreements Act 1947</w:t>
      </w:r>
      <w:r w:rsidRPr="000F6C41">
        <w:t xml:space="preserve"> to enable Australia to carry out its obligations. As </w:t>
      </w:r>
      <w:proofErr w:type="gramStart"/>
      <w:r w:rsidRPr="000F6C41">
        <w:t>at</w:t>
      </w:r>
      <w:proofErr w:type="gramEnd"/>
      <w:r w:rsidRPr="000F6C41">
        <w:t xml:space="preserve"> </w:t>
      </w:r>
      <w:r>
        <w:t>31 January 2025</w:t>
      </w:r>
      <w:r w:rsidRPr="000F6C41">
        <w:t>, the value of Australia</w:t>
      </w:r>
      <w:r w:rsidR="00D23095">
        <w:t>’</w:t>
      </w:r>
      <w:r w:rsidRPr="000F6C41">
        <w:t>s New Arrangements to Borrow credit arrangement is around Special Drawing Rights (SDR) 4.4</w:t>
      </w:r>
      <w:r w:rsidR="00DB122B">
        <w:t> </w:t>
      </w:r>
      <w:r w:rsidRPr="000F6C41">
        <w:t>billion (approximately A$</w:t>
      </w:r>
      <w:r>
        <w:t>9.3</w:t>
      </w:r>
      <w:r w:rsidRPr="000F6C41">
        <w:t xml:space="preserve"> billion). If the IMF quota increase is implemented, the value of </w:t>
      </w:r>
      <w:r w:rsidRPr="000F6C41">
        <w:lastRenderedPageBreak/>
        <w:t>Australia</w:t>
      </w:r>
      <w:r w:rsidR="00D23095">
        <w:t>’</w:t>
      </w:r>
      <w:r w:rsidRPr="000F6C41">
        <w:t>s contribution will decrease by SDR 0.7 billion to SDR 3.7 billion (approximately A$7.</w:t>
      </w:r>
      <w:r>
        <w:t>8</w:t>
      </w:r>
      <w:r w:rsidRPr="000F6C41">
        <w:t xml:space="preserve"> billion as </w:t>
      </w:r>
      <w:proofErr w:type="gramStart"/>
      <w:r w:rsidRPr="000F6C41">
        <w:t>at</w:t>
      </w:r>
      <w:proofErr w:type="gramEnd"/>
      <w:r w:rsidRPr="000F6C41">
        <w:t xml:space="preserve"> </w:t>
      </w:r>
      <w:r>
        <w:t>31 January</w:t>
      </w:r>
      <w:r w:rsidR="003239B8">
        <w:t> </w:t>
      </w:r>
      <w:r>
        <w:t>2025</w:t>
      </w:r>
      <w:r w:rsidRPr="000F6C41">
        <w:t xml:space="preserve">). </w:t>
      </w:r>
    </w:p>
    <w:p w14:paraId="6EAA48DA" w14:textId="40E4A5B2" w:rsidR="00432756" w:rsidRPr="000F6C41" w:rsidRDefault="00432756" w:rsidP="0074298E">
      <w:r w:rsidRPr="000F6C41">
        <w:t>Australia has also made available approximately SDR 2.0 billion (approximately A$</w:t>
      </w:r>
      <w:r>
        <w:t>4.2</w:t>
      </w:r>
      <w:r w:rsidRPr="000F6C41">
        <w:t xml:space="preserve"> billion as </w:t>
      </w:r>
      <w:proofErr w:type="gramStart"/>
      <w:r w:rsidRPr="000F6C41">
        <w:t>at</w:t>
      </w:r>
      <w:proofErr w:type="gramEnd"/>
      <w:r w:rsidRPr="000F6C41">
        <w:t xml:space="preserve"> </w:t>
      </w:r>
      <w:r>
        <w:t>31 January 2025</w:t>
      </w:r>
      <w:r w:rsidRPr="000F6C41">
        <w:t>) through a contingent bilateral loan to the IMF, known as a Bilateral Borrowing Agreement (the Agreement). This contingent bilateral loan is on terms consistent with other bilateral loans and note purchase agreements between the IMF and other contributing countries. The contingent bilateral loan will be drawn upon by the IMF only if needed to supplement the IMF</w:t>
      </w:r>
      <w:r w:rsidR="00D23095">
        <w:t>’</w:t>
      </w:r>
      <w:r w:rsidRPr="000F6C41">
        <w:t>s quota and New Arrangements to Borrow resources, and any drawings on loans would be repaid in full, with interest. On 26</w:t>
      </w:r>
      <w:r w:rsidRPr="000F6C41">
        <w:rPr>
          <w:rFonts w:eastAsia="Book Antiqua"/>
        </w:rPr>
        <w:t> </w:t>
      </w:r>
      <w:r w:rsidRPr="000F6C41">
        <w:t>July</w:t>
      </w:r>
      <w:r w:rsidRPr="000F6C41">
        <w:rPr>
          <w:rFonts w:eastAsia="Book Antiqua"/>
        </w:rPr>
        <w:t> </w:t>
      </w:r>
      <w:r w:rsidRPr="000F6C41">
        <w:t>2023, Australia agreed to extend the Agreement by one year through to 31</w:t>
      </w:r>
      <w:r w:rsidRPr="000F6C41">
        <w:rPr>
          <w:rFonts w:eastAsia="Book Antiqua"/>
        </w:rPr>
        <w:t> </w:t>
      </w:r>
      <w:r w:rsidRPr="000F6C41">
        <w:t>December 2024. On 20 November 2024, the Australian Government finalised a further extension of the Agreement through to 31 December 2027. If the IMF quota increase is implemented before 31 December 2027, Australia</w:t>
      </w:r>
      <w:r w:rsidR="00D23095">
        <w:t>’</w:t>
      </w:r>
      <w:r w:rsidRPr="000F6C41">
        <w:t>s Agreement will be allowed to expire.</w:t>
      </w:r>
    </w:p>
    <w:p w14:paraId="745A698A" w14:textId="77777777" w:rsidR="0023618C" w:rsidRPr="00F709B2" w:rsidRDefault="0023618C" w:rsidP="0074298E">
      <w:pPr>
        <w:pStyle w:val="Heading4"/>
      </w:pPr>
      <w:r w:rsidRPr="00DE183C">
        <w:t xml:space="preserve">International Monetary </w:t>
      </w:r>
      <w:r w:rsidRPr="00E1106B">
        <w:t>Fund</w:t>
      </w:r>
      <w:r w:rsidRPr="00DE183C">
        <w:t xml:space="preserve"> </w:t>
      </w:r>
      <w:r>
        <w:rPr>
          <w:rFonts w:hint="eastAsia"/>
        </w:rPr>
        <w:t>–</w:t>
      </w:r>
      <w:r w:rsidRPr="00DE183C">
        <w:t xml:space="preserve"> Poverty Reduction and Growth Trust</w:t>
      </w:r>
    </w:p>
    <w:p w14:paraId="4B8FD0B6" w14:textId="130896E5" w:rsidR="00A32367" w:rsidRPr="00617D24" w:rsidRDefault="00A32367" w:rsidP="0074298E">
      <w:pPr>
        <w:widowControl w:val="0"/>
        <w:spacing w:line="240" w:lineRule="auto"/>
        <w:rPr>
          <w:rFonts w:eastAsiaTheme="minorEastAsia"/>
        </w:rPr>
      </w:pPr>
      <w:r w:rsidRPr="00617D24">
        <w:rPr>
          <w:rFonts w:eastAsiaTheme="minorEastAsia"/>
        </w:rPr>
        <w:t>The Australian Government has entered into agreements to make a line of credit available to the International Monetary Fund (IMF) under the Poverty Reduction and Growth Trust through to 31 December</w:t>
      </w:r>
      <w:r>
        <w:rPr>
          <w:rFonts w:eastAsiaTheme="minorEastAsia"/>
        </w:rPr>
        <w:t> </w:t>
      </w:r>
      <w:r w:rsidRPr="00617D24">
        <w:rPr>
          <w:rFonts w:eastAsiaTheme="minorEastAsia"/>
        </w:rPr>
        <w:t>2029. The Poverty Reduction and Growth Trust provides concessional financial support to low</w:t>
      </w:r>
      <w:r w:rsidR="00D23095">
        <w:rPr>
          <w:rFonts w:eastAsiaTheme="minorEastAsia"/>
        </w:rPr>
        <w:noBreakHyphen/>
      </w:r>
      <w:r w:rsidRPr="00617D24">
        <w:rPr>
          <w:rFonts w:eastAsiaTheme="minorEastAsia"/>
        </w:rPr>
        <w:t xml:space="preserve">income countries to help them achieve, maintain, or restore a stable and sustainable macroeconomic position. Poverty Reduction and Growth Trust funds are drawn upon by the IMF as needed and will be repaid in full, with interest. </w:t>
      </w:r>
    </w:p>
    <w:p w14:paraId="6746C070" w14:textId="5C179BB0" w:rsidR="00A32367" w:rsidRPr="00FC5EB0" w:rsidRDefault="00A32367" w:rsidP="0074298E">
      <w:pPr>
        <w:widowControl w:val="0"/>
        <w:spacing w:line="240" w:lineRule="auto"/>
        <w:rPr>
          <w:rFonts w:eastAsia="MS Mincho"/>
        </w:rPr>
      </w:pPr>
      <w:r w:rsidRPr="00617D24">
        <w:rPr>
          <w:rFonts w:eastAsiaTheme="minorEastAsia"/>
        </w:rPr>
        <w:t>Through these agreements, the Government has made available Special Drawing Rights (SDR) 1</w:t>
      </w:r>
      <w:r>
        <w:rPr>
          <w:rFonts w:eastAsiaTheme="minorEastAsia"/>
        </w:rPr>
        <w:t> billion</w:t>
      </w:r>
      <w:r w:rsidRPr="00617D24">
        <w:rPr>
          <w:rFonts w:eastAsiaTheme="minorEastAsia"/>
        </w:rPr>
        <w:t xml:space="preserve"> (approximately A$2.</w:t>
      </w:r>
      <w:r>
        <w:rPr>
          <w:rFonts w:eastAsia="MS Mincho"/>
        </w:rPr>
        <w:t>1</w:t>
      </w:r>
      <w:r w:rsidRPr="00FC5EB0">
        <w:rPr>
          <w:rFonts w:eastAsia="MS Mincho"/>
        </w:rPr>
        <w:t xml:space="preserve"> billion as </w:t>
      </w:r>
      <w:proofErr w:type="gramStart"/>
      <w:r w:rsidRPr="00FC5EB0">
        <w:rPr>
          <w:rFonts w:eastAsia="MS Mincho"/>
        </w:rPr>
        <w:t>at</w:t>
      </w:r>
      <w:proofErr w:type="gramEnd"/>
      <w:r w:rsidRPr="00FC5EB0">
        <w:rPr>
          <w:rFonts w:eastAsia="MS Mincho"/>
        </w:rPr>
        <w:t xml:space="preserve"> </w:t>
      </w:r>
      <w:r>
        <w:t>31 January 2025</w:t>
      </w:r>
      <w:r w:rsidRPr="00FC5EB0">
        <w:rPr>
          <w:rFonts w:eastAsia="MS Mincho"/>
        </w:rPr>
        <w:t>) to loan to the IMF under the Poverty Reduction and Growth Trust</w:t>
      </w:r>
      <w:r w:rsidR="000D2905">
        <w:rPr>
          <w:rFonts w:eastAsia="MS Mincho"/>
        </w:rPr>
        <w:t xml:space="preserve">. </w:t>
      </w:r>
      <w:r>
        <w:rPr>
          <w:rFonts w:eastAsia="MS Mincho"/>
        </w:rPr>
        <w:t xml:space="preserve">As </w:t>
      </w:r>
      <w:proofErr w:type="gramStart"/>
      <w:r w:rsidRPr="00FC5EB0">
        <w:rPr>
          <w:rFonts w:eastAsia="MS Mincho"/>
        </w:rPr>
        <w:t>at</w:t>
      </w:r>
      <w:proofErr w:type="gramEnd"/>
      <w:r w:rsidRPr="00FC5EB0">
        <w:rPr>
          <w:rFonts w:eastAsia="MS Mincho"/>
        </w:rPr>
        <w:t xml:space="preserve"> 30 June 202</w:t>
      </w:r>
      <w:r>
        <w:rPr>
          <w:rFonts w:eastAsia="MS Mincho"/>
        </w:rPr>
        <w:t>5</w:t>
      </w:r>
      <w:r w:rsidRPr="00FC5EB0">
        <w:rPr>
          <w:rFonts w:eastAsia="MS Mincho"/>
        </w:rPr>
        <w:t xml:space="preserve">, </w:t>
      </w:r>
      <w:r>
        <w:rPr>
          <w:rFonts w:eastAsia="MS Mincho"/>
        </w:rPr>
        <w:t xml:space="preserve">it is estimated </w:t>
      </w:r>
      <w:r w:rsidRPr="00FC5EB0">
        <w:rPr>
          <w:rFonts w:eastAsia="MS Mincho"/>
        </w:rPr>
        <w:t>SDR 2</w:t>
      </w:r>
      <w:r>
        <w:rPr>
          <w:rFonts w:eastAsia="MS Mincho"/>
        </w:rPr>
        <w:t>70.8</w:t>
      </w:r>
      <w:r w:rsidRPr="00FC5EB0">
        <w:rPr>
          <w:rFonts w:eastAsia="MS Mincho"/>
        </w:rPr>
        <w:t> million</w:t>
      </w:r>
      <w:r>
        <w:rPr>
          <w:rFonts w:eastAsia="MS Mincho"/>
        </w:rPr>
        <w:t xml:space="preserve"> (approximately A$550.8 million as at 31 January 2025)</w:t>
      </w:r>
      <w:r w:rsidRPr="00FC5EB0">
        <w:rPr>
          <w:rFonts w:eastAsia="MS Mincho"/>
        </w:rPr>
        <w:t xml:space="preserve"> </w:t>
      </w:r>
      <w:r>
        <w:rPr>
          <w:rFonts w:eastAsia="MS Mincho"/>
        </w:rPr>
        <w:t>will have</w:t>
      </w:r>
      <w:r w:rsidRPr="00FC5EB0">
        <w:rPr>
          <w:rFonts w:eastAsia="MS Mincho"/>
        </w:rPr>
        <w:t xml:space="preserve"> been drawn down, leaving SDR 7</w:t>
      </w:r>
      <w:r>
        <w:rPr>
          <w:rFonts w:eastAsia="MS Mincho"/>
        </w:rPr>
        <w:t>29.2</w:t>
      </w:r>
      <w:r w:rsidRPr="00FC5EB0">
        <w:rPr>
          <w:rFonts w:eastAsia="MS Mincho"/>
        </w:rPr>
        <w:t xml:space="preserve"> million (approximately A$1.5 billion as at </w:t>
      </w:r>
      <w:r>
        <w:t>31 January</w:t>
      </w:r>
      <w:r w:rsidR="003239B8">
        <w:t> </w:t>
      </w:r>
      <w:r>
        <w:t>2025</w:t>
      </w:r>
      <w:r w:rsidRPr="00617D24">
        <w:rPr>
          <w:rFonts w:eastAsiaTheme="minorEastAsia"/>
        </w:rPr>
        <w:t>) available to the IMF under the Poverty Reduction and Growth Trust</w:t>
      </w:r>
      <w:r>
        <w:rPr>
          <w:rFonts w:eastAsiaTheme="minorEastAsia"/>
        </w:rPr>
        <w:t>.</w:t>
      </w:r>
    </w:p>
    <w:p w14:paraId="20517F3A" w14:textId="77777777" w:rsidR="0023618C" w:rsidRPr="00DE183C" w:rsidRDefault="0023618C" w:rsidP="0074298E">
      <w:pPr>
        <w:pStyle w:val="Heading4"/>
      </w:pPr>
      <w:r w:rsidRPr="00E1106B">
        <w:t>International</w:t>
      </w:r>
      <w:r w:rsidRPr="00DE183C">
        <w:t xml:space="preserve"> Monetary Fund</w:t>
      </w:r>
      <w:r>
        <w:t xml:space="preserve"> </w:t>
      </w:r>
      <w:r>
        <w:rPr>
          <w:rFonts w:hint="eastAsia"/>
        </w:rPr>
        <w:t>–</w:t>
      </w:r>
      <w:r w:rsidRPr="00DE183C">
        <w:t xml:space="preserve"> Resilience and Sustainability Trust</w:t>
      </w:r>
    </w:p>
    <w:p w14:paraId="797F95AC" w14:textId="10968035" w:rsidR="002D21D6" w:rsidRPr="00E00D03" w:rsidRDefault="002D21D6" w:rsidP="0074298E">
      <w:pPr>
        <w:widowControl w:val="0"/>
        <w:spacing w:line="240" w:lineRule="auto"/>
        <w:rPr>
          <w:rFonts w:eastAsia="MS Mincho"/>
        </w:rPr>
      </w:pPr>
      <w:bookmarkStart w:id="243" w:name="_Toc99141902"/>
      <w:bookmarkStart w:id="244" w:name="_Toc184039500"/>
      <w:bookmarkEnd w:id="224"/>
      <w:r w:rsidRPr="00E00D03">
        <w:rPr>
          <w:rFonts w:eastAsia="MS Mincho"/>
        </w:rPr>
        <w:t>On 11 October 2022, the Australian Government entered into an agreement to make a line of credit of Special Drawing Rights (SDR) 760 million (approximately A$</w:t>
      </w:r>
      <w:r>
        <w:rPr>
          <w:rFonts w:eastAsia="MS Mincho"/>
        </w:rPr>
        <w:t>1.6</w:t>
      </w:r>
      <w:r w:rsidRPr="00E00D03">
        <w:rPr>
          <w:rFonts w:eastAsia="MS Mincho"/>
        </w:rPr>
        <w:t xml:space="preserve"> billion as </w:t>
      </w:r>
      <w:proofErr w:type="gramStart"/>
      <w:r w:rsidRPr="00E00D03">
        <w:rPr>
          <w:rFonts w:eastAsia="MS Mincho"/>
        </w:rPr>
        <w:t>at</w:t>
      </w:r>
      <w:proofErr w:type="gramEnd"/>
      <w:r w:rsidRPr="00E00D03">
        <w:rPr>
          <w:rFonts w:eastAsia="MS Mincho"/>
        </w:rPr>
        <w:t xml:space="preserve"> </w:t>
      </w:r>
      <w:r>
        <w:t>31 January 2025</w:t>
      </w:r>
      <w:r w:rsidRPr="00E00D03">
        <w:rPr>
          <w:rFonts w:eastAsia="MS Mincho"/>
        </w:rPr>
        <w:t xml:space="preserve">) available to the </w:t>
      </w:r>
      <w:r w:rsidR="00092FDB">
        <w:rPr>
          <w:rFonts w:eastAsia="MS Mincho"/>
        </w:rPr>
        <w:t>International Monetary Fund (</w:t>
      </w:r>
      <w:r w:rsidRPr="00E00D03">
        <w:rPr>
          <w:rFonts w:eastAsia="MS Mincho"/>
        </w:rPr>
        <w:t>IMF</w:t>
      </w:r>
      <w:r w:rsidR="00092FDB">
        <w:rPr>
          <w:rFonts w:eastAsia="MS Mincho"/>
        </w:rPr>
        <w:t>)</w:t>
      </w:r>
      <w:r w:rsidRPr="00E00D03">
        <w:rPr>
          <w:rFonts w:eastAsia="MS Mincho"/>
        </w:rPr>
        <w:t xml:space="preserve"> under the Resilience and Sustainability Trust through to 30 November 2030. The Resilience and Sustainability Trust will provide affordable long</w:t>
      </w:r>
      <w:r w:rsidR="00D23095">
        <w:rPr>
          <w:rFonts w:eastAsia="MS Mincho"/>
        </w:rPr>
        <w:noBreakHyphen/>
      </w:r>
      <w:r w:rsidRPr="00E00D03">
        <w:rPr>
          <w:rFonts w:eastAsia="MS Mincho"/>
        </w:rPr>
        <w:t xml:space="preserve">term financing to help vulnerable countries build resilience and sustainability to address risks stemming from climate change and pandemic preparedness. Resilience and Sustainability Trust line of credit funds are drawn upon by the IMF as needed and will be repaid in full, with interest. As </w:t>
      </w:r>
      <w:proofErr w:type="gramStart"/>
      <w:r w:rsidRPr="00E00D03">
        <w:rPr>
          <w:rFonts w:eastAsia="MS Mincho"/>
        </w:rPr>
        <w:t>at</w:t>
      </w:r>
      <w:proofErr w:type="gramEnd"/>
      <w:r w:rsidRPr="00E00D03">
        <w:rPr>
          <w:rFonts w:eastAsia="MS Mincho"/>
        </w:rPr>
        <w:t xml:space="preserve"> 30 June 202</w:t>
      </w:r>
      <w:r>
        <w:rPr>
          <w:rFonts w:eastAsia="MS Mincho"/>
        </w:rPr>
        <w:t>5</w:t>
      </w:r>
      <w:r w:rsidRPr="00E00D03">
        <w:rPr>
          <w:rFonts w:eastAsia="MS Mincho"/>
        </w:rPr>
        <w:t xml:space="preserve">, SDR </w:t>
      </w:r>
      <w:r>
        <w:rPr>
          <w:rFonts w:eastAsia="MS Mincho"/>
        </w:rPr>
        <w:t>74.9</w:t>
      </w:r>
      <w:r w:rsidRPr="00E00D03">
        <w:rPr>
          <w:rFonts w:eastAsia="MS Mincho"/>
        </w:rPr>
        <w:t> million</w:t>
      </w:r>
      <w:r>
        <w:rPr>
          <w:rFonts w:eastAsia="MS Mincho"/>
        </w:rPr>
        <w:t xml:space="preserve"> (approximately A$152.3</w:t>
      </w:r>
      <w:r w:rsidR="00DB122B">
        <w:rPr>
          <w:rFonts w:eastAsia="MS Mincho"/>
        </w:rPr>
        <w:t> </w:t>
      </w:r>
      <w:r>
        <w:rPr>
          <w:rFonts w:eastAsia="MS Mincho"/>
        </w:rPr>
        <w:t>million as at 31 January 2015)</w:t>
      </w:r>
      <w:r w:rsidRPr="00E00D03">
        <w:rPr>
          <w:rFonts w:eastAsia="MS Mincho"/>
        </w:rPr>
        <w:t xml:space="preserve"> </w:t>
      </w:r>
      <w:r>
        <w:rPr>
          <w:rFonts w:eastAsia="MS Mincho"/>
        </w:rPr>
        <w:t>is expected to have</w:t>
      </w:r>
      <w:r w:rsidRPr="00E00D03">
        <w:rPr>
          <w:rFonts w:eastAsia="MS Mincho"/>
        </w:rPr>
        <w:t xml:space="preserve"> been drawn down, leaving SDR</w:t>
      </w:r>
      <w:r w:rsidR="004550F7">
        <w:rPr>
          <w:rFonts w:eastAsia="MS Mincho"/>
        </w:rPr>
        <w:t> </w:t>
      </w:r>
      <w:r>
        <w:rPr>
          <w:rFonts w:eastAsia="MS Mincho"/>
        </w:rPr>
        <w:t>685.</w:t>
      </w:r>
      <w:r w:rsidRPr="00E00D03">
        <w:rPr>
          <w:rFonts w:eastAsia="MS Mincho"/>
        </w:rPr>
        <w:t>1 million (approximately A$1.</w:t>
      </w:r>
      <w:r>
        <w:rPr>
          <w:rFonts w:eastAsia="MS Mincho"/>
        </w:rPr>
        <w:t>4</w:t>
      </w:r>
      <w:r w:rsidRPr="00E00D03">
        <w:rPr>
          <w:rFonts w:eastAsia="MS Mincho"/>
        </w:rPr>
        <w:t xml:space="preserve"> billion as at </w:t>
      </w:r>
      <w:r>
        <w:t>31 January 2025</w:t>
      </w:r>
      <w:r w:rsidRPr="00E00D03">
        <w:rPr>
          <w:rFonts w:eastAsia="MS Mincho"/>
        </w:rPr>
        <w:t>) available to the IMF under the Resilience and Sustainability Trust.</w:t>
      </w:r>
    </w:p>
    <w:p w14:paraId="6C89FFFE" w14:textId="77777777" w:rsidR="0023618C" w:rsidRDefault="0023618C" w:rsidP="0074298E">
      <w:pPr>
        <w:spacing w:before="0" w:after="160" w:line="259" w:lineRule="auto"/>
        <w:rPr>
          <w:rFonts w:eastAsia="Arial"/>
        </w:rPr>
      </w:pPr>
      <w:r>
        <w:rPr>
          <w:rFonts w:eastAsia="Arial"/>
        </w:rPr>
        <w:br w:type="page"/>
      </w:r>
    </w:p>
    <w:p w14:paraId="01F9AE44" w14:textId="3445EF8F" w:rsidR="00D4589A" w:rsidRPr="00B832E0" w:rsidRDefault="00D4589A" w:rsidP="0074298E">
      <w:pPr>
        <w:pStyle w:val="Heading2"/>
        <w:rPr>
          <w:rFonts w:eastAsia="Arial"/>
        </w:rPr>
      </w:pPr>
      <w:bookmarkStart w:id="245" w:name="_Toc166165537"/>
      <w:bookmarkStart w:id="246" w:name="_Toc193536224"/>
      <w:r w:rsidRPr="00B832E0">
        <w:rPr>
          <w:rFonts w:eastAsia="Arial"/>
        </w:rPr>
        <w:lastRenderedPageBreak/>
        <w:t>Veterans</w:t>
      </w:r>
      <w:r w:rsidR="00D23095">
        <w:rPr>
          <w:rFonts w:eastAsia="Arial"/>
        </w:rPr>
        <w:t>’</w:t>
      </w:r>
      <w:r w:rsidRPr="00B832E0">
        <w:rPr>
          <w:rFonts w:eastAsia="Arial"/>
        </w:rPr>
        <w:t xml:space="preserve"> Affairs</w:t>
      </w:r>
      <w:bookmarkEnd w:id="245"/>
      <w:bookmarkEnd w:id="246"/>
    </w:p>
    <w:p w14:paraId="629F28DD" w14:textId="77777777" w:rsidR="00D4589A" w:rsidRPr="00FE5783" w:rsidRDefault="00D4589A" w:rsidP="0074298E">
      <w:pPr>
        <w:pStyle w:val="Heading3"/>
        <w:rPr>
          <w:rFonts w:eastAsia="Arial"/>
        </w:rPr>
      </w:pPr>
      <w:bookmarkStart w:id="247" w:name="_Toc99141901"/>
      <w:bookmarkStart w:id="248" w:name="_Toc166165538"/>
      <w:bookmarkStart w:id="249" w:name="_Toc193536225"/>
      <w:r w:rsidRPr="00FE5783">
        <w:rPr>
          <w:rFonts w:eastAsia="Arial"/>
        </w:rPr>
        <w:t>Fiscal Risk</w:t>
      </w:r>
      <w:bookmarkEnd w:id="247"/>
      <w:bookmarkEnd w:id="248"/>
      <w:bookmarkEnd w:id="249"/>
    </w:p>
    <w:p w14:paraId="0EEF8F0A" w14:textId="77777777" w:rsidR="00D4589A" w:rsidRPr="009853F3" w:rsidRDefault="00D4589A" w:rsidP="0074298E">
      <w:pPr>
        <w:pStyle w:val="Heading4"/>
        <w:rPr>
          <w:rFonts w:eastAsia="Arial"/>
        </w:rPr>
      </w:pPr>
      <w:r w:rsidRPr="009853F3">
        <w:rPr>
          <w:rFonts w:eastAsia="Arial"/>
        </w:rPr>
        <w:t xml:space="preserve">Defence Service Homes </w:t>
      </w:r>
      <w:r w:rsidRPr="00FE5783">
        <w:rPr>
          <w:rFonts w:eastAsia="Arial"/>
        </w:rPr>
        <w:t>Insurance</w:t>
      </w:r>
      <w:r w:rsidRPr="009853F3">
        <w:rPr>
          <w:rFonts w:eastAsia="Arial"/>
        </w:rPr>
        <w:t xml:space="preserve"> Scheme</w:t>
      </w:r>
    </w:p>
    <w:p w14:paraId="5827F45F" w14:textId="5A102477" w:rsidR="00747EDA" w:rsidRPr="00665A10" w:rsidRDefault="00747EDA" w:rsidP="0074298E">
      <w:pPr>
        <w:rPr>
          <w:rFonts w:eastAsia="Book Antiqua"/>
        </w:rPr>
      </w:pPr>
      <w:bookmarkStart w:id="250" w:name="_Hlk192257102"/>
      <w:r w:rsidRPr="00665A10">
        <w:rPr>
          <w:rFonts w:eastAsia="Book Antiqua"/>
        </w:rPr>
        <w:t>The Defence Service Homes Insurance Scheme (DSH Insurance) was established in 1919 under</w:t>
      </w:r>
      <w:r w:rsidRPr="00665A10">
        <w:rPr>
          <w:rFonts w:eastAsia="Book Antiqua"/>
          <w:spacing w:val="-14"/>
        </w:rPr>
        <w:t xml:space="preserve"> </w:t>
      </w:r>
      <w:r w:rsidRPr="00665A10">
        <w:rPr>
          <w:rFonts w:eastAsia="Book Antiqua"/>
        </w:rPr>
        <w:t>the</w:t>
      </w:r>
      <w:r w:rsidRPr="00665A10">
        <w:rPr>
          <w:rFonts w:eastAsia="Book Antiqua"/>
          <w:spacing w:val="-13"/>
        </w:rPr>
        <w:t xml:space="preserve"> </w:t>
      </w:r>
      <w:r w:rsidRPr="005E6CB2">
        <w:rPr>
          <w:rStyle w:val="Emphasis"/>
          <w:rFonts w:eastAsia="Book Antiqua"/>
        </w:rPr>
        <w:t>Defence Service Homes Act 1918</w:t>
      </w:r>
      <w:r w:rsidRPr="00665A10">
        <w:rPr>
          <w:rFonts w:eastAsia="Book Antiqua"/>
        </w:rPr>
        <w:t>.</w:t>
      </w:r>
      <w:r w:rsidRPr="00665A10">
        <w:rPr>
          <w:rFonts w:eastAsia="Book Antiqua"/>
          <w:spacing w:val="-16"/>
        </w:rPr>
        <w:t xml:space="preserve"> </w:t>
      </w:r>
      <w:r w:rsidRPr="00665A10">
        <w:rPr>
          <w:rFonts w:eastAsia="Book Antiqua"/>
        </w:rPr>
        <w:t>DSH Insurance</w:t>
      </w:r>
      <w:r w:rsidRPr="00665A10">
        <w:rPr>
          <w:rFonts w:eastAsia="Book Antiqua"/>
          <w:spacing w:val="-14"/>
        </w:rPr>
        <w:t xml:space="preserve"> </w:t>
      </w:r>
      <w:r w:rsidRPr="00665A10">
        <w:rPr>
          <w:rFonts w:eastAsia="Book Antiqua"/>
        </w:rPr>
        <w:t>offers</w:t>
      </w:r>
      <w:r w:rsidRPr="00665A10">
        <w:rPr>
          <w:rFonts w:eastAsia="Book Antiqua"/>
          <w:spacing w:val="-14"/>
        </w:rPr>
        <w:t xml:space="preserve"> </w:t>
      </w:r>
      <w:r w:rsidRPr="0009089A">
        <w:rPr>
          <w:rFonts w:eastAsia="Book Antiqua"/>
        </w:rPr>
        <w:t xml:space="preserve">home building </w:t>
      </w:r>
      <w:r w:rsidRPr="00665A10">
        <w:rPr>
          <w:rFonts w:eastAsia="Book Antiqua"/>
        </w:rPr>
        <w:t>insurance</w:t>
      </w:r>
      <w:r w:rsidRPr="00665A10">
        <w:rPr>
          <w:rFonts w:eastAsia="Book Antiqua"/>
          <w:spacing w:val="-14"/>
        </w:rPr>
        <w:t xml:space="preserve"> </w:t>
      </w:r>
      <w:r w:rsidRPr="00665A10">
        <w:rPr>
          <w:rFonts w:eastAsia="Book Antiqua"/>
        </w:rPr>
        <w:t xml:space="preserve">products to eligible serving Australian Defence Force members, veterans and widow(er)s. </w:t>
      </w:r>
    </w:p>
    <w:p w14:paraId="0FD6C4FE" w14:textId="0AD7E54F" w:rsidR="00747EDA" w:rsidRPr="00665A10" w:rsidRDefault="00747EDA" w:rsidP="0074298E">
      <w:pPr>
        <w:rPr>
          <w:rFonts w:eastAsia="MS Mincho"/>
        </w:rPr>
      </w:pPr>
      <w:r w:rsidRPr="00665A10">
        <w:rPr>
          <w:rFonts w:eastAsia="MS Mincho"/>
        </w:rPr>
        <w:t>DSH Insurance is funded by premiums collected from policy holders and returns on investments. Due to the nature of insurance, DSH Insurance</w:t>
      </w:r>
      <w:r w:rsidR="00D23095">
        <w:rPr>
          <w:rFonts w:eastAsia="MS Mincho"/>
        </w:rPr>
        <w:t>’</w:t>
      </w:r>
      <w:r w:rsidRPr="00665A10">
        <w:rPr>
          <w:rFonts w:eastAsia="MS Mincho"/>
        </w:rPr>
        <w:t>s financial performance can be volatile from year to year. The last few years have been challenging for DSH Insurance due to increases in claims from extreme weather events (including bushfires, hailstorms and floods), and increased pricing on reinsurance premiums. These are industry</w:t>
      </w:r>
      <w:r w:rsidR="00D23095">
        <w:rPr>
          <w:rFonts w:eastAsia="MS Mincho"/>
        </w:rPr>
        <w:noBreakHyphen/>
      </w:r>
      <w:r w:rsidRPr="00665A10">
        <w:rPr>
          <w:rFonts w:eastAsia="MS Mincho"/>
        </w:rPr>
        <w:t>wide challenges affecting all general insurers.</w:t>
      </w:r>
    </w:p>
    <w:p w14:paraId="0FEC9415" w14:textId="1F13E1FB" w:rsidR="00D4589A" w:rsidRPr="004C2088" w:rsidRDefault="00747EDA" w:rsidP="004C2088">
      <w:pPr>
        <w:rPr>
          <w:rFonts w:eastAsiaTheme="minorEastAsia"/>
        </w:rPr>
      </w:pPr>
      <w:r w:rsidRPr="00665A10">
        <w:rPr>
          <w:rFonts w:eastAsia="MS Mincho"/>
        </w:rPr>
        <w:t xml:space="preserve">DSH Insurance manages the volatility of the insurance cycle by aiming for an appropriate level of capital (that is, reserves) consistent with the regulations placed on insurers and monitored by the Australian Prudential Regulation Authority. DSH Insurance also has a comprehensive reinsurance program in place, reducing the exposure to loss by passing part of the risk of loss to a group of reinsurers. </w:t>
      </w:r>
      <w:bookmarkStart w:id="251" w:name="_Int_hvbJkcpl"/>
      <w:r w:rsidRPr="00665A10">
        <w:rPr>
          <w:rFonts w:eastAsia="MS Mincho"/>
        </w:rPr>
        <w:t>Nevertheless, there remains a risk that additional Government contributions could be required should these reserves be insufficient to cover the liabilities of DSH Insurance.</w:t>
      </w:r>
      <w:bookmarkEnd w:id="251"/>
      <w:r w:rsidRPr="00665A10">
        <w:rPr>
          <w:rFonts w:eastAsia="MS Mincho"/>
        </w:rPr>
        <w:t xml:space="preserve"> </w:t>
      </w:r>
      <w:bookmarkEnd w:id="250"/>
      <w:r w:rsidR="00D4589A">
        <w:rPr>
          <w:rFonts w:ascii="Arial Bold" w:eastAsia="Arial" w:hAnsi="Arial Bold"/>
          <w:b/>
          <w:sz w:val="26"/>
        </w:rPr>
        <w:br w:type="page"/>
      </w:r>
    </w:p>
    <w:p w14:paraId="052E9DE6" w14:textId="77777777" w:rsidR="0023618C" w:rsidRPr="00B832E0" w:rsidRDefault="0023618C" w:rsidP="00F5501D">
      <w:pPr>
        <w:pStyle w:val="Heading2"/>
        <w:tabs>
          <w:tab w:val="left" w:pos="993"/>
        </w:tabs>
        <w:rPr>
          <w:rFonts w:eastAsia="Arial"/>
        </w:rPr>
      </w:pPr>
      <w:bookmarkStart w:id="252" w:name="_Toc193536226"/>
      <w:r w:rsidRPr="00B81C23">
        <w:rPr>
          <w:rFonts w:eastAsia="Arial"/>
        </w:rPr>
        <w:lastRenderedPageBreak/>
        <w:t>Government</w:t>
      </w:r>
      <w:r w:rsidRPr="00B832E0">
        <w:rPr>
          <w:rFonts w:eastAsia="Arial"/>
        </w:rPr>
        <w:t xml:space="preserve"> loans</w:t>
      </w:r>
      <w:bookmarkEnd w:id="243"/>
      <w:bookmarkEnd w:id="244"/>
      <w:bookmarkEnd w:id="252"/>
    </w:p>
    <w:p w14:paraId="686C4650" w14:textId="77777777" w:rsidR="0023618C" w:rsidRDefault="0023618C" w:rsidP="0023618C">
      <w:r>
        <w:t xml:space="preserve">Loans are recorded as financial assets. Accordingly, the amounts advanced and repaid do not normally affect the Budget aggregates of fiscal balance and underlying cash balance. Loans that are concessional (lower than market interest rate) or are agreed to be written off, result in an impact on the fiscal balance. </w:t>
      </w:r>
    </w:p>
    <w:p w14:paraId="4A483C7A" w14:textId="2AB4E652" w:rsidR="0023618C" w:rsidRDefault="0023618C" w:rsidP="005E6CB2">
      <w:r>
        <w:t xml:space="preserve">The Government makes loans for policy purposes. All loans contain some element of credit risk that they will not be repaid in full, although in many cases this risk is </w:t>
      </w:r>
      <w:r w:rsidRPr="00E908FA">
        <w:t>small. Table</w:t>
      </w:r>
      <w:r w:rsidR="00DB122B">
        <w:t> </w:t>
      </w:r>
      <w:r w:rsidR="000C039F">
        <w:t>8</w:t>
      </w:r>
      <w:r w:rsidRPr="00E908FA">
        <w:t>.3 summarises Government loans estimated to exceed $200</w:t>
      </w:r>
      <w:r>
        <w:t> million</w:t>
      </w:r>
      <w:r w:rsidRPr="00E908FA">
        <w:t xml:space="preserve"> </w:t>
      </w:r>
      <w:proofErr w:type="gramStart"/>
      <w:r w:rsidRPr="00E908FA">
        <w:t>at</w:t>
      </w:r>
      <w:proofErr w:type="gramEnd"/>
      <w:r w:rsidRPr="00E908FA">
        <w:t xml:space="preserve"> </w:t>
      </w:r>
      <w:r w:rsidRPr="00E46520">
        <w:t>30</w:t>
      </w:r>
      <w:r>
        <w:t> June </w:t>
      </w:r>
      <w:r w:rsidR="000C039F">
        <w:t>2025</w:t>
      </w:r>
      <w:r w:rsidRPr="00E908FA">
        <w:t>.</w:t>
      </w:r>
    </w:p>
    <w:p w14:paraId="5044F13B" w14:textId="77777777" w:rsidR="0023618C" w:rsidRDefault="0023618C" w:rsidP="0023618C">
      <w:pPr>
        <w:sectPr w:rsidR="0023618C" w:rsidSect="00FF46A6">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835" w:right="2098" w:bottom="2466" w:left="2098" w:header="1814" w:footer="1814" w:gutter="0"/>
          <w:cols w:space="708"/>
          <w:titlePg/>
          <w:docGrid w:linePitch="360"/>
        </w:sectPr>
      </w:pPr>
    </w:p>
    <w:p w14:paraId="7FE74743" w14:textId="5BB497CC" w:rsidR="0023618C" w:rsidRPr="00B832E0" w:rsidRDefault="0023618C" w:rsidP="0023618C">
      <w:pPr>
        <w:pStyle w:val="TableHeading"/>
        <w:rPr>
          <w:rFonts w:eastAsia="Arial"/>
        </w:rPr>
      </w:pPr>
      <w:r w:rsidRPr="00010F87">
        <w:rPr>
          <w:rFonts w:eastAsia="Arial"/>
        </w:rPr>
        <w:lastRenderedPageBreak/>
        <w:t xml:space="preserve">Table </w:t>
      </w:r>
      <w:r w:rsidR="00EC2430">
        <w:rPr>
          <w:rFonts w:eastAsia="Arial"/>
        </w:rPr>
        <w:t>8</w:t>
      </w:r>
      <w:r w:rsidRPr="00010F87">
        <w:rPr>
          <w:rFonts w:eastAsia="Arial"/>
        </w:rPr>
        <w:t>.3</w:t>
      </w:r>
      <w:r w:rsidRPr="00B832E0">
        <w:rPr>
          <w:rFonts w:eastAsia="Arial"/>
        </w:rPr>
        <w:t xml:space="preserve">: Summary of Australian Government loans meeting the materiality threshold </w:t>
      </w:r>
    </w:p>
    <w:tbl>
      <w:tblPr>
        <w:tblW w:w="5000" w:type="pct"/>
        <w:tblBorders>
          <w:top w:val="single" w:sz="4" w:space="0" w:color="002A54" w:themeColor="text2"/>
          <w:bottom w:val="single" w:sz="4" w:space="0" w:color="002A54" w:themeColor="text2"/>
          <w:insideH w:val="single" w:sz="4" w:space="0" w:color="002A54" w:themeColor="text2"/>
        </w:tblBorders>
        <w:tblLayout w:type="fixed"/>
        <w:tblLook w:val="04A0" w:firstRow="1" w:lastRow="0" w:firstColumn="1" w:lastColumn="0" w:noHBand="0" w:noVBand="1"/>
        <w:tblCaption w:val="Table"/>
      </w:tblPr>
      <w:tblGrid>
        <w:gridCol w:w="2433"/>
        <w:gridCol w:w="1506"/>
        <w:gridCol w:w="3007"/>
        <w:gridCol w:w="1584"/>
        <w:gridCol w:w="1818"/>
        <w:gridCol w:w="1191"/>
      </w:tblGrid>
      <w:tr w:rsidR="0023618C" w:rsidRPr="00B832E0" w14:paraId="6C7DF5F3" w14:textId="77777777" w:rsidTr="00046045">
        <w:trPr>
          <w:trHeight w:val="227"/>
          <w:tblHeader/>
        </w:trPr>
        <w:tc>
          <w:tcPr>
            <w:tcW w:w="2433" w:type="dxa"/>
            <w:shd w:val="clear" w:color="auto" w:fill="E6F2FF"/>
            <w:vAlign w:val="bottom"/>
          </w:tcPr>
          <w:p w14:paraId="66A5C595" w14:textId="77777777" w:rsidR="0023618C" w:rsidRPr="00B832E0" w:rsidRDefault="0023618C">
            <w:pPr>
              <w:pStyle w:val="TableColumnHeadingLeft"/>
              <w:spacing w:before="0"/>
            </w:pPr>
            <w:r>
              <w:t>Portfolio</w:t>
            </w:r>
          </w:p>
        </w:tc>
        <w:tc>
          <w:tcPr>
            <w:tcW w:w="1506" w:type="dxa"/>
            <w:shd w:val="clear" w:color="auto" w:fill="E6F2FF"/>
          </w:tcPr>
          <w:p w14:paraId="0099C2DE" w14:textId="77777777" w:rsidR="0023618C" w:rsidRPr="00B832E0" w:rsidRDefault="0023618C">
            <w:pPr>
              <w:pStyle w:val="TableColumnHeadingCentred"/>
              <w:spacing w:before="0"/>
              <w:rPr>
                <w:sz w:val="18"/>
                <w:szCs w:val="18"/>
                <w:vertAlign w:val="superscript"/>
              </w:rPr>
            </w:pPr>
            <w:r w:rsidRPr="00B832E0">
              <w:t>Loan amount</w:t>
            </w:r>
            <w:r w:rsidRPr="00B832E0">
              <w:rPr>
                <w:sz w:val="18"/>
                <w:szCs w:val="18"/>
                <w:vertAlign w:val="superscript"/>
              </w:rPr>
              <w:t xml:space="preserve">(a) </w:t>
            </w:r>
            <w:r w:rsidRPr="00B832E0">
              <w:rPr>
                <w:szCs w:val="16"/>
              </w:rPr>
              <w:t>($m)</w:t>
            </w:r>
          </w:p>
        </w:tc>
        <w:tc>
          <w:tcPr>
            <w:tcW w:w="3007" w:type="dxa"/>
            <w:shd w:val="clear" w:color="auto" w:fill="E6F2FF"/>
            <w:vAlign w:val="bottom"/>
          </w:tcPr>
          <w:p w14:paraId="25D57B0B" w14:textId="77777777" w:rsidR="0023618C" w:rsidRPr="00B832E0" w:rsidRDefault="0023618C">
            <w:pPr>
              <w:pStyle w:val="TableColumnHeadingLeft"/>
              <w:spacing w:before="0"/>
              <w:rPr>
                <w:rFonts w:cs="Arial"/>
              </w:rPr>
            </w:pPr>
            <w:r w:rsidRPr="00B832E0">
              <w:t>Borrower</w:t>
            </w:r>
          </w:p>
        </w:tc>
        <w:tc>
          <w:tcPr>
            <w:tcW w:w="1584" w:type="dxa"/>
            <w:shd w:val="clear" w:color="auto" w:fill="E6F2FF"/>
            <w:vAlign w:val="bottom"/>
          </w:tcPr>
          <w:p w14:paraId="09DE17E9" w14:textId="77777777" w:rsidR="0023618C" w:rsidRPr="00B832E0" w:rsidRDefault="0023618C">
            <w:pPr>
              <w:pStyle w:val="TableColumnHeadingLeft"/>
              <w:spacing w:before="0"/>
            </w:pPr>
            <w:r w:rsidRPr="00B832E0">
              <w:t>Interest rate</w:t>
            </w:r>
          </w:p>
        </w:tc>
        <w:tc>
          <w:tcPr>
            <w:tcW w:w="1818" w:type="dxa"/>
            <w:shd w:val="clear" w:color="auto" w:fill="E6F2FF"/>
            <w:vAlign w:val="bottom"/>
          </w:tcPr>
          <w:p w14:paraId="28480C7E" w14:textId="77777777" w:rsidR="0023618C" w:rsidRPr="00B832E0" w:rsidRDefault="0023618C">
            <w:pPr>
              <w:pStyle w:val="TableColumnHeadingLeft"/>
              <w:spacing w:before="0"/>
            </w:pPr>
            <w:r w:rsidRPr="00B832E0">
              <w:t>Term</w:t>
            </w:r>
          </w:p>
        </w:tc>
        <w:tc>
          <w:tcPr>
            <w:tcW w:w="1191" w:type="dxa"/>
            <w:shd w:val="clear" w:color="auto" w:fill="E6F2FF"/>
            <w:vAlign w:val="bottom"/>
          </w:tcPr>
          <w:p w14:paraId="6F13FA80" w14:textId="77777777" w:rsidR="0023618C" w:rsidRPr="00B832E0" w:rsidRDefault="0023618C">
            <w:pPr>
              <w:pStyle w:val="TableColumnHeadingLeft"/>
              <w:spacing w:before="0"/>
            </w:pPr>
            <w:r w:rsidRPr="00B832E0">
              <w:t>Status</w:t>
            </w:r>
            <w:r w:rsidRPr="00B832E0">
              <w:rPr>
                <w:sz w:val="18"/>
                <w:szCs w:val="18"/>
                <w:vertAlign w:val="superscript"/>
              </w:rPr>
              <w:t>(b)</w:t>
            </w:r>
          </w:p>
        </w:tc>
      </w:tr>
      <w:tr w:rsidR="0023618C" w:rsidRPr="00B832E0" w14:paraId="451D12E7" w14:textId="77777777" w:rsidTr="00046045">
        <w:trPr>
          <w:trHeight w:val="227"/>
        </w:trPr>
        <w:tc>
          <w:tcPr>
            <w:tcW w:w="11539" w:type="dxa"/>
            <w:gridSpan w:val="6"/>
            <w:shd w:val="clear" w:color="auto" w:fill="E6F2FF"/>
          </w:tcPr>
          <w:p w14:paraId="37514DA9" w14:textId="77777777" w:rsidR="0023618C" w:rsidRPr="00B832E0" w:rsidRDefault="0023618C">
            <w:pPr>
              <w:pStyle w:val="TableColumnHeadingLeft"/>
              <w:spacing w:before="0"/>
            </w:pPr>
            <w:r w:rsidRPr="00B832E0">
              <w:t>Agriculture, Fisheries and Forestry</w:t>
            </w:r>
          </w:p>
        </w:tc>
      </w:tr>
      <w:tr w:rsidR="0023618C" w:rsidRPr="00B832E0" w14:paraId="069AF810" w14:textId="77777777" w:rsidTr="00046045">
        <w:trPr>
          <w:trHeight w:val="227"/>
        </w:trPr>
        <w:tc>
          <w:tcPr>
            <w:tcW w:w="2433" w:type="dxa"/>
            <w:shd w:val="clear" w:color="auto" w:fill="auto"/>
          </w:tcPr>
          <w:p w14:paraId="076AFED7" w14:textId="39DB6300" w:rsidR="0023618C" w:rsidRPr="00B832E0" w:rsidRDefault="0023618C">
            <w:pPr>
              <w:pStyle w:val="TableTextLeft"/>
              <w:spacing w:before="0"/>
            </w:pPr>
            <w:r w:rsidRPr="00F109B4">
              <w:t>Drought</w:t>
            </w:r>
            <w:r w:rsidR="00D23095">
              <w:noBreakHyphen/>
            </w:r>
            <w:r w:rsidRPr="00F109B4">
              <w:t>related and farm finance concessional loans – Agriculture</w:t>
            </w:r>
          </w:p>
        </w:tc>
        <w:tc>
          <w:tcPr>
            <w:tcW w:w="1506" w:type="dxa"/>
            <w:shd w:val="clear" w:color="auto" w:fill="auto"/>
          </w:tcPr>
          <w:p w14:paraId="2EBF2632" w14:textId="62B1DC58" w:rsidR="0023618C" w:rsidRPr="00B832E0" w:rsidRDefault="0023618C">
            <w:pPr>
              <w:pStyle w:val="TableTextRight"/>
              <w:spacing w:before="0"/>
            </w:pPr>
            <w:r>
              <w:t>1</w:t>
            </w:r>
            <w:r w:rsidR="00963CB5">
              <w:t>52</w:t>
            </w:r>
          </w:p>
        </w:tc>
        <w:tc>
          <w:tcPr>
            <w:tcW w:w="3007" w:type="dxa"/>
            <w:shd w:val="clear" w:color="auto" w:fill="auto"/>
          </w:tcPr>
          <w:p w14:paraId="76290675" w14:textId="1B14C662" w:rsidR="0023618C" w:rsidRPr="00B832E0" w:rsidRDefault="0023618C">
            <w:pPr>
              <w:pStyle w:val="TableTextLeft"/>
              <w:spacing w:before="0"/>
            </w:pPr>
            <w:r w:rsidRPr="00B832E0">
              <w:t>State Governments (that through their delivery agencies, on</w:t>
            </w:r>
            <w:r w:rsidR="00D23095">
              <w:noBreakHyphen/>
            </w:r>
            <w:r w:rsidRPr="00B832E0">
              <w:t>lend to eligible farm businesses) </w:t>
            </w:r>
          </w:p>
        </w:tc>
        <w:tc>
          <w:tcPr>
            <w:tcW w:w="1584" w:type="dxa"/>
            <w:shd w:val="clear" w:color="auto" w:fill="auto"/>
          </w:tcPr>
          <w:p w14:paraId="1EE99C7C" w14:textId="77777777" w:rsidR="0023618C" w:rsidRPr="00B832E0" w:rsidRDefault="0023618C">
            <w:pPr>
              <w:pStyle w:val="TableTextLeft"/>
              <w:spacing w:before="0"/>
            </w:pPr>
            <w:r w:rsidRPr="00B832E0">
              <w:t>Various </w:t>
            </w:r>
          </w:p>
        </w:tc>
        <w:tc>
          <w:tcPr>
            <w:tcW w:w="1818" w:type="dxa"/>
          </w:tcPr>
          <w:p w14:paraId="0324FCC5" w14:textId="77777777" w:rsidR="0023618C" w:rsidRPr="00B832E0" w:rsidRDefault="0023618C">
            <w:pPr>
              <w:pStyle w:val="TableTextLeft"/>
              <w:spacing w:before="0"/>
            </w:pPr>
            <w:r w:rsidRPr="00B832E0">
              <w:t>Various </w:t>
            </w:r>
          </w:p>
        </w:tc>
        <w:tc>
          <w:tcPr>
            <w:tcW w:w="1191" w:type="dxa"/>
          </w:tcPr>
          <w:p w14:paraId="3D01BC20" w14:textId="77777777" w:rsidR="0023618C" w:rsidRPr="00B832E0" w:rsidRDefault="0023618C">
            <w:pPr>
              <w:pStyle w:val="TableTextLeft"/>
              <w:spacing w:before="0"/>
            </w:pPr>
            <w:r w:rsidRPr="00B832E0">
              <w:t>Modified </w:t>
            </w:r>
          </w:p>
        </w:tc>
      </w:tr>
      <w:tr w:rsidR="0023618C" w:rsidRPr="00B832E0" w14:paraId="49BA2DF5" w14:textId="77777777" w:rsidTr="00046045">
        <w:trPr>
          <w:trHeight w:val="227"/>
        </w:trPr>
        <w:tc>
          <w:tcPr>
            <w:tcW w:w="2433" w:type="dxa"/>
            <w:shd w:val="clear" w:color="auto" w:fill="auto"/>
          </w:tcPr>
          <w:p w14:paraId="022B3F87" w14:textId="77777777" w:rsidR="0023618C" w:rsidRPr="00B832E0" w:rsidRDefault="0023618C">
            <w:pPr>
              <w:pStyle w:val="TableTextLeft"/>
              <w:spacing w:before="0"/>
            </w:pPr>
            <w:r w:rsidRPr="00F109B4">
              <w:t xml:space="preserve">Farm Investment Loans, Drought Loans, </w:t>
            </w:r>
            <w:proofErr w:type="spellStart"/>
            <w:r w:rsidRPr="00F109B4">
              <w:t>AgriStarter</w:t>
            </w:r>
            <w:proofErr w:type="spellEnd"/>
            <w:r w:rsidRPr="00F109B4">
              <w:t xml:space="preserve"> Loans, </w:t>
            </w:r>
            <w:proofErr w:type="spellStart"/>
            <w:r w:rsidRPr="00F109B4">
              <w:t>AgBiz</w:t>
            </w:r>
            <w:proofErr w:type="spellEnd"/>
            <w:r w:rsidRPr="00F109B4">
              <w:t xml:space="preserve"> Drought Loans</w:t>
            </w:r>
            <w:r>
              <w:t xml:space="preserve"> and</w:t>
            </w:r>
            <w:r w:rsidRPr="00F109B4">
              <w:t xml:space="preserve"> </w:t>
            </w:r>
            <w:proofErr w:type="spellStart"/>
            <w:r w:rsidRPr="00F109B4">
              <w:t>AgRebuild</w:t>
            </w:r>
            <w:proofErr w:type="spellEnd"/>
            <w:r w:rsidRPr="00F109B4">
              <w:t xml:space="preserve"> Loans</w:t>
            </w:r>
          </w:p>
        </w:tc>
        <w:tc>
          <w:tcPr>
            <w:tcW w:w="1506" w:type="dxa"/>
            <w:shd w:val="clear" w:color="auto" w:fill="auto"/>
          </w:tcPr>
          <w:p w14:paraId="5030DCFB" w14:textId="3643352E" w:rsidR="0023618C" w:rsidRPr="00B832E0" w:rsidRDefault="0023618C">
            <w:pPr>
              <w:pStyle w:val="TableTextRight"/>
              <w:spacing w:before="0"/>
            </w:pPr>
            <w:r w:rsidRPr="00B832E0">
              <w:t>2,</w:t>
            </w:r>
            <w:r w:rsidR="00963CB5">
              <w:t>988</w:t>
            </w:r>
          </w:p>
        </w:tc>
        <w:tc>
          <w:tcPr>
            <w:tcW w:w="3007" w:type="dxa"/>
            <w:shd w:val="clear" w:color="auto" w:fill="auto"/>
          </w:tcPr>
          <w:p w14:paraId="7D9A7933" w14:textId="77777777" w:rsidR="0023618C" w:rsidRPr="00B832E0" w:rsidRDefault="0023618C">
            <w:pPr>
              <w:pStyle w:val="TableTextLeft"/>
              <w:spacing w:before="0"/>
            </w:pPr>
            <w:r w:rsidRPr="00B832E0">
              <w:t xml:space="preserve">Eligible Australian farm businesses and related small businesses, </w:t>
            </w:r>
            <w:r>
              <w:t>through the</w:t>
            </w:r>
            <w:r w:rsidRPr="00B832E0">
              <w:t xml:space="preserve"> Regional Investment Corporation </w:t>
            </w:r>
          </w:p>
        </w:tc>
        <w:tc>
          <w:tcPr>
            <w:tcW w:w="1584" w:type="dxa"/>
            <w:shd w:val="clear" w:color="auto" w:fill="auto"/>
          </w:tcPr>
          <w:p w14:paraId="2A289F93" w14:textId="77777777" w:rsidR="0023618C" w:rsidRPr="00B832E0" w:rsidRDefault="0023618C">
            <w:pPr>
              <w:pStyle w:val="TableTextLeft"/>
              <w:spacing w:before="0"/>
            </w:pPr>
            <w:r>
              <w:t>5</w:t>
            </w:r>
            <w:r w:rsidRPr="00B832E0">
              <w:t>.</w:t>
            </w:r>
            <w:r>
              <w:t>18 per cent </w:t>
            </w:r>
            <w:r w:rsidRPr="00B832E0">
              <w:t>f</w:t>
            </w:r>
            <w:r>
              <w:t>o</w:t>
            </w:r>
            <w:r w:rsidRPr="00B832E0">
              <w:t>r all loans</w:t>
            </w:r>
            <w:r>
              <w:t> </w:t>
            </w:r>
          </w:p>
        </w:tc>
        <w:tc>
          <w:tcPr>
            <w:tcW w:w="1818" w:type="dxa"/>
            <w:shd w:val="clear" w:color="auto" w:fill="auto"/>
          </w:tcPr>
          <w:p w14:paraId="737EA297" w14:textId="77777777" w:rsidR="0023618C" w:rsidRPr="00B832E0" w:rsidRDefault="0023618C">
            <w:pPr>
              <w:pStyle w:val="TableTextLeft"/>
              <w:spacing w:before="0"/>
            </w:pPr>
            <w:r>
              <w:t>Up to 10 years for all other loans </w:t>
            </w:r>
          </w:p>
        </w:tc>
        <w:tc>
          <w:tcPr>
            <w:tcW w:w="1191" w:type="dxa"/>
          </w:tcPr>
          <w:p w14:paraId="5C30730A" w14:textId="77777777" w:rsidR="0023618C" w:rsidRPr="00B832E0" w:rsidRDefault="0023618C">
            <w:pPr>
              <w:pStyle w:val="TableTextLeft"/>
              <w:spacing w:before="0"/>
            </w:pPr>
            <w:r w:rsidRPr="00B832E0">
              <w:t>Modified </w:t>
            </w:r>
          </w:p>
        </w:tc>
      </w:tr>
      <w:tr w:rsidR="0023618C" w:rsidRPr="00B832E0" w14:paraId="43BAD532" w14:textId="77777777" w:rsidTr="00046045">
        <w:trPr>
          <w:trHeight w:val="227"/>
        </w:trPr>
        <w:tc>
          <w:tcPr>
            <w:tcW w:w="11539" w:type="dxa"/>
            <w:gridSpan w:val="6"/>
            <w:shd w:val="clear" w:color="auto" w:fill="E6F2FF"/>
          </w:tcPr>
          <w:p w14:paraId="0681FC5B" w14:textId="77777777" w:rsidR="0023618C" w:rsidRPr="00B832E0" w:rsidRDefault="0023618C">
            <w:pPr>
              <w:pStyle w:val="TableColumnHeadingLeft"/>
              <w:spacing w:before="0"/>
              <w:rPr>
                <w:vertAlign w:val="superscript"/>
              </w:rPr>
            </w:pPr>
            <w:r w:rsidRPr="116C2317">
              <w:t>Climate Change, Energy, the Environment and Water</w:t>
            </w:r>
          </w:p>
        </w:tc>
      </w:tr>
      <w:tr w:rsidR="0023618C" w:rsidRPr="00B832E0" w14:paraId="3B2F1A8E" w14:textId="77777777" w:rsidTr="00046045">
        <w:trPr>
          <w:trHeight w:val="227"/>
        </w:trPr>
        <w:tc>
          <w:tcPr>
            <w:tcW w:w="2433" w:type="dxa"/>
            <w:shd w:val="clear" w:color="auto" w:fill="auto"/>
          </w:tcPr>
          <w:p w14:paraId="7191CA75" w14:textId="77777777" w:rsidR="0023618C" w:rsidRPr="00B832E0" w:rsidRDefault="0023618C">
            <w:pPr>
              <w:pStyle w:val="TableTextLeft"/>
              <w:spacing w:before="0"/>
            </w:pPr>
            <w:r w:rsidRPr="00B832E0">
              <w:t>Clean Energy Finance Corporation</w:t>
            </w:r>
          </w:p>
        </w:tc>
        <w:tc>
          <w:tcPr>
            <w:tcW w:w="1506" w:type="dxa"/>
            <w:shd w:val="clear" w:color="auto" w:fill="auto"/>
          </w:tcPr>
          <w:p w14:paraId="0110EEE8" w14:textId="004ACC52" w:rsidR="0023618C" w:rsidRPr="00B832E0" w:rsidRDefault="0056421A">
            <w:pPr>
              <w:pStyle w:val="TableTextRight"/>
              <w:spacing w:before="0"/>
            </w:pPr>
            <w:r>
              <w:t>4</w:t>
            </w:r>
            <w:r w:rsidR="0023618C" w:rsidRPr="00B832E0">
              <w:t>,</w:t>
            </w:r>
            <w:r>
              <w:t>6</w:t>
            </w:r>
            <w:r w:rsidR="0023618C">
              <w:t>10</w:t>
            </w:r>
          </w:p>
        </w:tc>
        <w:tc>
          <w:tcPr>
            <w:tcW w:w="3007" w:type="dxa"/>
            <w:shd w:val="clear" w:color="auto" w:fill="auto"/>
          </w:tcPr>
          <w:p w14:paraId="01A9EC43" w14:textId="77777777" w:rsidR="0023618C" w:rsidRPr="00B832E0" w:rsidRDefault="0023618C">
            <w:pPr>
              <w:pStyle w:val="TableTextLeft"/>
              <w:spacing w:before="0"/>
            </w:pPr>
            <w:r w:rsidRPr="00B832E0">
              <w:rPr>
                <w:rFonts w:cs="Arial"/>
                <w:szCs w:val="16"/>
              </w:rPr>
              <w:t>Approved entities undertaking clean energy technology projects </w:t>
            </w:r>
          </w:p>
        </w:tc>
        <w:tc>
          <w:tcPr>
            <w:tcW w:w="1584" w:type="dxa"/>
            <w:shd w:val="clear" w:color="auto" w:fill="auto"/>
          </w:tcPr>
          <w:p w14:paraId="6ED97FBC" w14:textId="508D263A" w:rsidR="0023618C" w:rsidRPr="00B832E0" w:rsidRDefault="0023618C">
            <w:pPr>
              <w:pStyle w:val="TableTextLeft"/>
              <w:spacing w:before="0"/>
            </w:pPr>
            <w:r>
              <w:rPr>
                <w:rFonts w:cs="Arial"/>
                <w:szCs w:val="16"/>
              </w:rPr>
              <w:t xml:space="preserve">Approximately </w:t>
            </w:r>
            <w:r w:rsidRPr="00B832E0">
              <w:rPr>
                <w:rFonts w:cs="Arial"/>
                <w:szCs w:val="16"/>
              </w:rPr>
              <w:t>4.</w:t>
            </w:r>
            <w:r w:rsidR="0056421A">
              <w:rPr>
                <w:rFonts w:cs="Arial"/>
                <w:szCs w:val="16"/>
              </w:rPr>
              <w:t>7</w:t>
            </w:r>
            <w:r>
              <w:rPr>
                <w:rFonts w:cs="Arial"/>
                <w:szCs w:val="16"/>
              </w:rPr>
              <w:t> per cent </w:t>
            </w:r>
            <w:r w:rsidRPr="00B832E0">
              <w:rPr>
                <w:rFonts w:cs="Arial"/>
                <w:szCs w:val="16"/>
              </w:rPr>
              <w:t>weighted average </w:t>
            </w:r>
          </w:p>
        </w:tc>
        <w:tc>
          <w:tcPr>
            <w:tcW w:w="1818" w:type="dxa"/>
            <w:shd w:val="clear" w:color="auto" w:fill="auto"/>
          </w:tcPr>
          <w:p w14:paraId="290639E2" w14:textId="577A4637" w:rsidR="0023618C" w:rsidRPr="00B832E0" w:rsidRDefault="0023618C">
            <w:pPr>
              <w:pStyle w:val="TableTextLeft"/>
              <w:spacing w:before="0"/>
              <w:rPr>
                <w:color w:val="000000"/>
              </w:rPr>
            </w:pPr>
            <w:r>
              <w:rPr>
                <w:rFonts w:cs="Arial"/>
                <w:szCs w:val="16"/>
              </w:rPr>
              <w:t xml:space="preserve">Predominately </w:t>
            </w:r>
            <w:r w:rsidRPr="00B832E0">
              <w:rPr>
                <w:rFonts w:cs="Arial"/>
                <w:szCs w:val="16"/>
              </w:rPr>
              <w:t>5</w:t>
            </w:r>
            <w:r w:rsidR="00D23095">
              <w:rPr>
                <w:rFonts w:cs="Arial"/>
                <w:szCs w:val="16"/>
              </w:rPr>
              <w:noBreakHyphen/>
            </w:r>
            <w:r w:rsidRPr="00B832E0">
              <w:rPr>
                <w:rFonts w:cs="Arial"/>
                <w:szCs w:val="16"/>
              </w:rPr>
              <w:t>15 years </w:t>
            </w:r>
          </w:p>
        </w:tc>
        <w:tc>
          <w:tcPr>
            <w:tcW w:w="1191" w:type="dxa"/>
          </w:tcPr>
          <w:p w14:paraId="6EE75184" w14:textId="77777777" w:rsidR="0023618C" w:rsidRPr="00B832E0" w:rsidRDefault="0023618C">
            <w:pPr>
              <w:pStyle w:val="TableTextLeft"/>
              <w:spacing w:before="0"/>
              <w:rPr>
                <w:color w:val="000000"/>
              </w:rPr>
            </w:pPr>
            <w:r>
              <w:rPr>
                <w:rFonts w:cs="Arial"/>
                <w:szCs w:val="16"/>
              </w:rPr>
              <w:t>Modified</w:t>
            </w:r>
            <w:r w:rsidRPr="00B832E0">
              <w:rPr>
                <w:rFonts w:cs="Arial"/>
                <w:szCs w:val="16"/>
              </w:rPr>
              <w:t> </w:t>
            </w:r>
          </w:p>
        </w:tc>
      </w:tr>
      <w:tr w:rsidR="0023618C" w:rsidRPr="00B832E0" w14:paraId="2D56FA19" w14:textId="77777777" w:rsidTr="00046045">
        <w:trPr>
          <w:trHeight w:val="227"/>
        </w:trPr>
        <w:tc>
          <w:tcPr>
            <w:tcW w:w="11539" w:type="dxa"/>
            <w:gridSpan w:val="6"/>
            <w:shd w:val="clear" w:color="auto" w:fill="E6F2FF"/>
          </w:tcPr>
          <w:p w14:paraId="191A9F1E" w14:textId="77777777" w:rsidR="0023618C" w:rsidRPr="00B832E0" w:rsidRDefault="0023618C">
            <w:pPr>
              <w:pStyle w:val="TableColumnHeadingLeft"/>
              <w:spacing w:before="0"/>
            </w:pPr>
            <w:r w:rsidRPr="00B832E0">
              <w:t>Education</w:t>
            </w:r>
          </w:p>
        </w:tc>
      </w:tr>
      <w:tr w:rsidR="0023618C" w:rsidRPr="00B832E0" w14:paraId="70A67C6F" w14:textId="77777777" w:rsidTr="00046045">
        <w:trPr>
          <w:trHeight w:val="227"/>
        </w:trPr>
        <w:tc>
          <w:tcPr>
            <w:tcW w:w="2433" w:type="dxa"/>
            <w:shd w:val="clear" w:color="auto" w:fill="auto"/>
          </w:tcPr>
          <w:p w14:paraId="7CC54D65" w14:textId="77777777" w:rsidR="0023618C" w:rsidRPr="00B832E0" w:rsidRDefault="0023618C">
            <w:pPr>
              <w:pStyle w:val="TableTextLeft"/>
              <w:spacing w:before="0"/>
            </w:pPr>
            <w:r w:rsidRPr="00B832E0">
              <w:t>Higher Education Loan Program</w:t>
            </w:r>
          </w:p>
        </w:tc>
        <w:tc>
          <w:tcPr>
            <w:tcW w:w="1506" w:type="dxa"/>
            <w:shd w:val="clear" w:color="auto" w:fill="auto"/>
          </w:tcPr>
          <w:p w14:paraId="3837245D" w14:textId="0FE5ACED" w:rsidR="0023618C" w:rsidRPr="00B832E0" w:rsidRDefault="000D09F5">
            <w:pPr>
              <w:pStyle w:val="TableTextRight"/>
              <w:spacing w:before="0"/>
            </w:pPr>
            <w:r>
              <w:t>38</w:t>
            </w:r>
            <w:r w:rsidR="0023618C">
              <w:t>,</w:t>
            </w:r>
            <w:r w:rsidR="00A203A6">
              <w:t>0</w:t>
            </w:r>
            <w:r w:rsidR="0023618C">
              <w:t>00</w:t>
            </w:r>
          </w:p>
        </w:tc>
        <w:tc>
          <w:tcPr>
            <w:tcW w:w="3007" w:type="dxa"/>
            <w:shd w:val="clear" w:color="auto" w:fill="auto"/>
          </w:tcPr>
          <w:p w14:paraId="367AC340" w14:textId="77777777" w:rsidR="0023618C" w:rsidRPr="00B832E0" w:rsidRDefault="0023618C">
            <w:pPr>
              <w:pStyle w:val="TableTextLeft"/>
              <w:spacing w:before="0"/>
            </w:pPr>
            <w:r w:rsidRPr="00B832E0">
              <w:rPr>
                <w:rFonts w:cs="Arial"/>
                <w:szCs w:val="16"/>
              </w:rPr>
              <w:t>Eligible higher education students </w:t>
            </w:r>
          </w:p>
        </w:tc>
        <w:tc>
          <w:tcPr>
            <w:tcW w:w="1584" w:type="dxa"/>
            <w:shd w:val="clear" w:color="auto" w:fill="auto"/>
          </w:tcPr>
          <w:p w14:paraId="1EA14252" w14:textId="77777777" w:rsidR="0023618C" w:rsidRPr="00B832E0" w:rsidRDefault="0023618C">
            <w:pPr>
              <w:pStyle w:val="TableTextLeft"/>
              <w:spacing w:before="0"/>
            </w:pPr>
            <w:r>
              <w:rPr>
                <w:rFonts w:cs="Arial"/>
                <w:szCs w:val="16"/>
              </w:rPr>
              <w:t xml:space="preserve">The lower of Wage Price Index (WPI) or </w:t>
            </w:r>
            <w:r w:rsidRPr="00B832E0">
              <w:rPr>
                <w:rFonts w:cs="Arial"/>
                <w:szCs w:val="16"/>
              </w:rPr>
              <w:t xml:space="preserve">Consumer Price Index (CPI) </w:t>
            </w:r>
            <w:r>
              <w:rPr>
                <w:rFonts w:cs="Arial"/>
                <w:szCs w:val="16"/>
              </w:rPr>
              <w:t>growth</w:t>
            </w:r>
          </w:p>
        </w:tc>
        <w:tc>
          <w:tcPr>
            <w:tcW w:w="1818" w:type="dxa"/>
            <w:shd w:val="clear" w:color="auto" w:fill="auto"/>
          </w:tcPr>
          <w:p w14:paraId="2B7A15FD" w14:textId="77777777" w:rsidR="0023618C" w:rsidRPr="00B832E0" w:rsidRDefault="0023618C">
            <w:pPr>
              <w:pStyle w:val="TableTextLeft"/>
              <w:spacing w:before="0"/>
              <w:rPr>
                <w:color w:val="000000"/>
              </w:rPr>
            </w:pPr>
            <w:r w:rsidRPr="00B832E0">
              <w:rPr>
                <w:rFonts w:cs="Arial"/>
                <w:color w:val="000000"/>
                <w:szCs w:val="16"/>
              </w:rPr>
              <w:t>9.</w:t>
            </w:r>
            <w:r>
              <w:rPr>
                <w:rFonts w:cs="Arial"/>
                <w:color w:val="000000"/>
                <w:szCs w:val="16"/>
              </w:rPr>
              <w:t>9</w:t>
            </w:r>
            <w:r w:rsidRPr="00B832E0">
              <w:rPr>
                <w:rFonts w:cs="Arial"/>
                <w:color w:val="000000"/>
                <w:szCs w:val="16"/>
              </w:rPr>
              <w:t xml:space="preserve"> years</w:t>
            </w:r>
            <w:r>
              <w:rPr>
                <w:rFonts w:cs="Arial"/>
                <w:color w:val="000000"/>
                <w:szCs w:val="16"/>
              </w:rPr>
              <w:t xml:space="preserve"> (average)</w:t>
            </w:r>
          </w:p>
        </w:tc>
        <w:tc>
          <w:tcPr>
            <w:tcW w:w="1191" w:type="dxa"/>
          </w:tcPr>
          <w:p w14:paraId="05AA485B" w14:textId="77777777" w:rsidR="0023618C" w:rsidRPr="00B832E0" w:rsidRDefault="0023618C">
            <w:pPr>
              <w:pStyle w:val="TableTextLeft"/>
              <w:spacing w:before="0"/>
              <w:rPr>
                <w:color w:val="000000"/>
              </w:rPr>
            </w:pPr>
            <w:r w:rsidDel="00C34988">
              <w:rPr>
                <w:rFonts w:cs="Arial"/>
                <w:szCs w:val="16"/>
              </w:rPr>
              <w:t>Modified</w:t>
            </w:r>
            <w:r w:rsidRPr="00B832E0" w:rsidDel="00C34988">
              <w:rPr>
                <w:rFonts w:cs="Arial"/>
                <w:szCs w:val="16"/>
              </w:rPr>
              <w:t> </w:t>
            </w:r>
          </w:p>
        </w:tc>
      </w:tr>
      <w:tr w:rsidR="0023618C" w:rsidRPr="00B832E0" w14:paraId="397C76A7" w14:textId="77777777" w:rsidTr="00046045">
        <w:trPr>
          <w:trHeight w:val="227"/>
        </w:trPr>
        <w:tc>
          <w:tcPr>
            <w:tcW w:w="11539" w:type="dxa"/>
            <w:gridSpan w:val="6"/>
            <w:shd w:val="clear" w:color="auto" w:fill="E6F2FF"/>
          </w:tcPr>
          <w:p w14:paraId="3E00A310" w14:textId="77777777" w:rsidR="0023618C" w:rsidRPr="00B832E0" w:rsidRDefault="0023618C">
            <w:pPr>
              <w:pStyle w:val="TableColumnHeadingLeft"/>
              <w:spacing w:before="0"/>
            </w:pPr>
            <w:r w:rsidRPr="00B832E0">
              <w:t>Employment and Workplace Relations</w:t>
            </w:r>
          </w:p>
        </w:tc>
      </w:tr>
      <w:tr w:rsidR="0023618C" w:rsidRPr="00B832E0" w14:paraId="12E7296C" w14:textId="77777777" w:rsidTr="00046045">
        <w:trPr>
          <w:trHeight w:val="227"/>
        </w:trPr>
        <w:tc>
          <w:tcPr>
            <w:tcW w:w="2433" w:type="dxa"/>
            <w:shd w:val="clear" w:color="auto" w:fill="auto"/>
          </w:tcPr>
          <w:p w14:paraId="76E0B656" w14:textId="77777777" w:rsidR="0023618C" w:rsidRPr="00B832E0" w:rsidRDefault="0023618C">
            <w:pPr>
              <w:pStyle w:val="TableTextLeft"/>
              <w:spacing w:before="0"/>
            </w:pPr>
            <w:r w:rsidRPr="005A0A62">
              <w:t xml:space="preserve">Australian Apprenticeship </w:t>
            </w:r>
            <w:r w:rsidRPr="00B832E0">
              <w:t>Support Loans Program</w:t>
            </w:r>
          </w:p>
        </w:tc>
        <w:tc>
          <w:tcPr>
            <w:tcW w:w="1506" w:type="dxa"/>
            <w:shd w:val="clear" w:color="auto" w:fill="auto"/>
          </w:tcPr>
          <w:p w14:paraId="25C000FF" w14:textId="363EFDFF" w:rsidR="0023618C" w:rsidRPr="00B832E0" w:rsidRDefault="00256F3D">
            <w:pPr>
              <w:pStyle w:val="TableTextRight"/>
              <w:spacing w:before="0"/>
            </w:pPr>
            <w:r>
              <w:t>70</w:t>
            </w:r>
            <w:r w:rsidR="005639D8">
              <w:t>2</w:t>
            </w:r>
          </w:p>
        </w:tc>
        <w:tc>
          <w:tcPr>
            <w:tcW w:w="3007" w:type="dxa"/>
            <w:shd w:val="clear" w:color="auto" w:fill="auto"/>
          </w:tcPr>
          <w:p w14:paraId="51F304F0" w14:textId="77777777" w:rsidR="0023618C" w:rsidRPr="00B832E0" w:rsidRDefault="0023618C">
            <w:pPr>
              <w:pStyle w:val="TableTextLeft"/>
              <w:spacing w:before="0"/>
            </w:pPr>
            <w:r w:rsidRPr="00B832E0">
              <w:rPr>
                <w:rFonts w:cs="Arial"/>
                <w:szCs w:val="16"/>
              </w:rPr>
              <w:t>Eligible Australian Apprentices </w:t>
            </w:r>
          </w:p>
        </w:tc>
        <w:tc>
          <w:tcPr>
            <w:tcW w:w="1584" w:type="dxa"/>
            <w:shd w:val="clear" w:color="auto" w:fill="auto"/>
          </w:tcPr>
          <w:p w14:paraId="73113DE8" w14:textId="77777777" w:rsidR="0023618C" w:rsidRPr="00B832E0" w:rsidRDefault="0023618C">
            <w:pPr>
              <w:pStyle w:val="TableTextLeft"/>
              <w:spacing w:before="0"/>
            </w:pPr>
            <w:r>
              <w:rPr>
                <w:rFonts w:cs="Arial"/>
                <w:szCs w:val="16"/>
              </w:rPr>
              <w:t>The lower of WPI or CPI</w:t>
            </w:r>
            <w:r w:rsidRPr="00B832E0">
              <w:rPr>
                <w:rFonts w:cs="Arial"/>
                <w:szCs w:val="16"/>
              </w:rPr>
              <w:t xml:space="preserve"> growth </w:t>
            </w:r>
          </w:p>
        </w:tc>
        <w:tc>
          <w:tcPr>
            <w:tcW w:w="1818" w:type="dxa"/>
            <w:shd w:val="clear" w:color="auto" w:fill="auto"/>
          </w:tcPr>
          <w:p w14:paraId="7780DB7F" w14:textId="77777777" w:rsidR="0023618C" w:rsidRPr="00B832E0" w:rsidRDefault="0023618C">
            <w:pPr>
              <w:pStyle w:val="TableTextLeft"/>
              <w:spacing w:before="0"/>
              <w:rPr>
                <w:color w:val="000000"/>
              </w:rPr>
            </w:pPr>
            <w:r w:rsidRPr="00B832E0">
              <w:rPr>
                <w:rFonts w:cs="Arial"/>
                <w:color w:val="000000"/>
                <w:szCs w:val="16"/>
              </w:rPr>
              <w:t> </w:t>
            </w:r>
          </w:p>
        </w:tc>
        <w:tc>
          <w:tcPr>
            <w:tcW w:w="1191" w:type="dxa"/>
          </w:tcPr>
          <w:p w14:paraId="25719ED5" w14:textId="77777777" w:rsidR="0023618C" w:rsidRPr="00B832E0" w:rsidRDefault="0023618C">
            <w:pPr>
              <w:pStyle w:val="TableTextLeft"/>
              <w:spacing w:before="0"/>
              <w:rPr>
                <w:color w:val="000000"/>
              </w:rPr>
            </w:pPr>
            <w:r>
              <w:rPr>
                <w:rFonts w:cs="Arial"/>
                <w:szCs w:val="16"/>
              </w:rPr>
              <w:t>Modified</w:t>
            </w:r>
            <w:r w:rsidRPr="00B832E0">
              <w:rPr>
                <w:rFonts w:cs="Arial"/>
                <w:szCs w:val="16"/>
              </w:rPr>
              <w:t> </w:t>
            </w:r>
          </w:p>
        </w:tc>
      </w:tr>
      <w:tr w:rsidR="0023618C" w:rsidRPr="00B832E0" w14:paraId="47C4CAEB" w14:textId="77777777" w:rsidTr="00046045">
        <w:trPr>
          <w:trHeight w:val="227"/>
        </w:trPr>
        <w:tc>
          <w:tcPr>
            <w:tcW w:w="2433" w:type="dxa"/>
            <w:shd w:val="clear" w:color="auto" w:fill="auto"/>
          </w:tcPr>
          <w:p w14:paraId="492CD81F" w14:textId="77777777" w:rsidR="0023618C" w:rsidRPr="00B832E0" w:rsidRDefault="0023618C">
            <w:pPr>
              <w:pStyle w:val="TableTextLeft"/>
              <w:spacing w:before="0"/>
            </w:pPr>
            <w:r w:rsidRPr="00B832E0">
              <w:t>VET Student Loans Program</w:t>
            </w:r>
          </w:p>
        </w:tc>
        <w:tc>
          <w:tcPr>
            <w:tcW w:w="1506" w:type="dxa"/>
            <w:shd w:val="clear" w:color="auto" w:fill="auto"/>
          </w:tcPr>
          <w:p w14:paraId="586BE677" w14:textId="16FC2B2C" w:rsidR="0023618C" w:rsidRPr="00B832E0" w:rsidRDefault="006D4F78">
            <w:pPr>
              <w:pStyle w:val="TableTextRight"/>
              <w:spacing w:before="0"/>
            </w:pPr>
            <w:r>
              <w:t>2,420</w:t>
            </w:r>
          </w:p>
        </w:tc>
        <w:tc>
          <w:tcPr>
            <w:tcW w:w="3007" w:type="dxa"/>
            <w:shd w:val="clear" w:color="auto" w:fill="auto"/>
          </w:tcPr>
          <w:p w14:paraId="3E754ED4" w14:textId="77777777" w:rsidR="0023618C" w:rsidRPr="00B832E0" w:rsidRDefault="0023618C">
            <w:pPr>
              <w:pStyle w:val="TableTextLeft"/>
              <w:spacing w:before="0"/>
            </w:pPr>
            <w:r w:rsidRPr="00B832E0">
              <w:rPr>
                <w:rFonts w:cs="Arial"/>
                <w:szCs w:val="16"/>
              </w:rPr>
              <w:t>Eligible diploma and above students </w:t>
            </w:r>
          </w:p>
        </w:tc>
        <w:tc>
          <w:tcPr>
            <w:tcW w:w="1584" w:type="dxa"/>
            <w:shd w:val="clear" w:color="auto" w:fill="auto"/>
          </w:tcPr>
          <w:p w14:paraId="355DEE90" w14:textId="77777777" w:rsidR="0023618C" w:rsidRPr="00B832E0" w:rsidRDefault="0023618C">
            <w:pPr>
              <w:pStyle w:val="TableTextLeft"/>
              <w:spacing w:before="0"/>
            </w:pPr>
            <w:r>
              <w:rPr>
                <w:rFonts w:cs="Arial"/>
                <w:szCs w:val="16"/>
              </w:rPr>
              <w:t>The lower of WPI or CPI growth</w:t>
            </w:r>
          </w:p>
        </w:tc>
        <w:tc>
          <w:tcPr>
            <w:tcW w:w="1818" w:type="dxa"/>
            <w:shd w:val="clear" w:color="auto" w:fill="auto"/>
          </w:tcPr>
          <w:p w14:paraId="6F95D217" w14:textId="77777777" w:rsidR="0023618C" w:rsidRPr="00B832E0" w:rsidRDefault="0023618C">
            <w:pPr>
              <w:pStyle w:val="TableTextLeft"/>
              <w:spacing w:before="0"/>
              <w:rPr>
                <w:color w:val="000000"/>
              </w:rPr>
            </w:pPr>
            <w:r w:rsidRPr="00B832E0">
              <w:rPr>
                <w:rFonts w:cs="Arial"/>
                <w:color w:val="000000"/>
                <w:szCs w:val="16"/>
              </w:rPr>
              <w:t> </w:t>
            </w:r>
            <w:r>
              <w:rPr>
                <w:rFonts w:cs="Arial"/>
                <w:color w:val="000000"/>
                <w:szCs w:val="16"/>
              </w:rPr>
              <w:t>2.1 years (average)</w:t>
            </w:r>
          </w:p>
        </w:tc>
        <w:tc>
          <w:tcPr>
            <w:tcW w:w="1191" w:type="dxa"/>
          </w:tcPr>
          <w:p w14:paraId="61A9BD01" w14:textId="77777777" w:rsidR="0023618C" w:rsidRPr="00B832E0" w:rsidRDefault="0023618C">
            <w:pPr>
              <w:pStyle w:val="TableTextLeft"/>
              <w:spacing w:before="0"/>
            </w:pPr>
            <w:r w:rsidDel="009A252B">
              <w:rPr>
                <w:rFonts w:cs="Arial"/>
                <w:szCs w:val="16"/>
              </w:rPr>
              <w:t>Modified</w:t>
            </w:r>
          </w:p>
        </w:tc>
      </w:tr>
      <w:tr w:rsidR="00E974E6" w:rsidRPr="00B832E0" w14:paraId="78852E1E" w14:textId="77777777" w:rsidTr="00046045">
        <w:trPr>
          <w:trHeight w:val="227"/>
        </w:trPr>
        <w:tc>
          <w:tcPr>
            <w:tcW w:w="11539" w:type="dxa"/>
            <w:gridSpan w:val="6"/>
            <w:shd w:val="clear" w:color="auto" w:fill="E6F2FF"/>
          </w:tcPr>
          <w:p w14:paraId="0D93C1F9" w14:textId="5ED3F630" w:rsidR="00E974E6" w:rsidDel="009A252B" w:rsidRDefault="00E974E6">
            <w:pPr>
              <w:pStyle w:val="TableTextLeft"/>
              <w:spacing w:before="0"/>
              <w:rPr>
                <w:rFonts w:cs="Arial"/>
                <w:szCs w:val="16"/>
              </w:rPr>
            </w:pPr>
            <w:r w:rsidRPr="0009089A">
              <w:rPr>
                <w:b/>
                <w:bCs/>
              </w:rPr>
              <w:t>Finance</w:t>
            </w:r>
          </w:p>
        </w:tc>
      </w:tr>
      <w:tr w:rsidR="00E974E6" w:rsidRPr="00B832E0" w14:paraId="3F0975F9" w14:textId="77777777" w:rsidTr="00046045">
        <w:trPr>
          <w:trHeight w:val="227"/>
        </w:trPr>
        <w:tc>
          <w:tcPr>
            <w:tcW w:w="2433" w:type="dxa"/>
            <w:shd w:val="clear" w:color="auto" w:fill="auto"/>
          </w:tcPr>
          <w:p w14:paraId="40E7834F" w14:textId="05BC4787" w:rsidR="00E974E6" w:rsidRPr="00B832E0" w:rsidRDefault="00E974E6">
            <w:pPr>
              <w:pStyle w:val="TableTextLeft"/>
              <w:spacing w:before="0"/>
            </w:pPr>
            <w:r>
              <w:t>Defence Housing Australia Loan</w:t>
            </w:r>
          </w:p>
        </w:tc>
        <w:tc>
          <w:tcPr>
            <w:tcW w:w="1506" w:type="dxa"/>
            <w:shd w:val="clear" w:color="auto" w:fill="auto"/>
          </w:tcPr>
          <w:p w14:paraId="0CA550FC" w14:textId="6A6B60BB" w:rsidR="00E974E6" w:rsidDel="006D4F78" w:rsidRDefault="00E974E6">
            <w:pPr>
              <w:pStyle w:val="TableTextRight"/>
              <w:spacing w:before="0"/>
            </w:pPr>
            <w:r>
              <w:t>225</w:t>
            </w:r>
          </w:p>
        </w:tc>
        <w:tc>
          <w:tcPr>
            <w:tcW w:w="3007" w:type="dxa"/>
            <w:shd w:val="clear" w:color="auto" w:fill="auto"/>
          </w:tcPr>
          <w:p w14:paraId="3D207A83" w14:textId="79DBBD9A" w:rsidR="00E974E6" w:rsidRPr="00B832E0" w:rsidRDefault="00E974E6">
            <w:pPr>
              <w:pStyle w:val="TableTextLeft"/>
              <w:spacing w:before="0"/>
              <w:rPr>
                <w:rFonts w:cs="Arial"/>
                <w:szCs w:val="16"/>
              </w:rPr>
            </w:pPr>
            <w:r>
              <w:rPr>
                <w:rFonts w:cs="Arial"/>
                <w:szCs w:val="16"/>
              </w:rPr>
              <w:t>Defence Housing Australia</w:t>
            </w:r>
          </w:p>
        </w:tc>
        <w:tc>
          <w:tcPr>
            <w:tcW w:w="1584" w:type="dxa"/>
            <w:shd w:val="clear" w:color="auto" w:fill="auto"/>
          </w:tcPr>
          <w:p w14:paraId="2208B873" w14:textId="1290E95A" w:rsidR="00E974E6" w:rsidRDefault="00E974E6">
            <w:pPr>
              <w:pStyle w:val="TableTextLeft"/>
              <w:spacing w:before="0"/>
              <w:rPr>
                <w:rFonts w:cs="Arial"/>
                <w:szCs w:val="16"/>
              </w:rPr>
            </w:pPr>
            <w:r>
              <w:rPr>
                <w:rFonts w:cs="Arial"/>
                <w:szCs w:val="16"/>
              </w:rPr>
              <w:t>Various</w:t>
            </w:r>
          </w:p>
        </w:tc>
        <w:tc>
          <w:tcPr>
            <w:tcW w:w="1818" w:type="dxa"/>
            <w:shd w:val="clear" w:color="auto" w:fill="auto"/>
          </w:tcPr>
          <w:p w14:paraId="4398EAD8" w14:textId="16EE4BBE" w:rsidR="00E974E6" w:rsidRPr="00B832E0" w:rsidRDefault="00E974E6">
            <w:pPr>
              <w:pStyle w:val="TableTextLeft"/>
              <w:spacing w:before="0"/>
              <w:rPr>
                <w:rFonts w:cs="Arial"/>
                <w:color w:val="000000"/>
                <w:szCs w:val="16"/>
              </w:rPr>
            </w:pPr>
            <w:r>
              <w:rPr>
                <w:rFonts w:cs="Arial"/>
                <w:color w:val="000000"/>
                <w:szCs w:val="16"/>
              </w:rPr>
              <w:t>Various</w:t>
            </w:r>
          </w:p>
        </w:tc>
        <w:tc>
          <w:tcPr>
            <w:tcW w:w="1191" w:type="dxa"/>
          </w:tcPr>
          <w:p w14:paraId="5C763CDB" w14:textId="7DE9F247" w:rsidR="00E974E6" w:rsidDel="009A252B" w:rsidRDefault="00E974E6">
            <w:pPr>
              <w:pStyle w:val="TableTextLeft"/>
              <w:spacing w:before="0"/>
              <w:rPr>
                <w:rFonts w:cs="Arial"/>
                <w:szCs w:val="16"/>
              </w:rPr>
            </w:pPr>
            <w:r>
              <w:rPr>
                <w:rFonts w:cs="Arial"/>
                <w:szCs w:val="16"/>
              </w:rPr>
              <w:t>New</w:t>
            </w:r>
          </w:p>
        </w:tc>
      </w:tr>
      <w:tr w:rsidR="009E2069" w:rsidRPr="00B832E0" w14:paraId="1CCCA337" w14:textId="77777777" w:rsidTr="00046045">
        <w:trPr>
          <w:trHeight w:val="227"/>
        </w:trPr>
        <w:tc>
          <w:tcPr>
            <w:tcW w:w="2433" w:type="dxa"/>
            <w:shd w:val="clear" w:color="auto" w:fill="auto"/>
          </w:tcPr>
          <w:p w14:paraId="24B4DC93" w14:textId="5194DC3D" w:rsidR="009E2069" w:rsidRDefault="009E2069" w:rsidP="009E2069">
            <w:pPr>
              <w:pStyle w:val="TableTextLeft"/>
              <w:spacing w:before="0"/>
            </w:pPr>
            <w:r>
              <w:t xml:space="preserve">Snowy Hydro Limited Loan </w:t>
            </w:r>
          </w:p>
        </w:tc>
        <w:tc>
          <w:tcPr>
            <w:tcW w:w="1506" w:type="dxa"/>
            <w:shd w:val="clear" w:color="auto" w:fill="auto"/>
          </w:tcPr>
          <w:p w14:paraId="497EB3C4" w14:textId="56D1DE76" w:rsidR="009E2069" w:rsidRDefault="009E2069" w:rsidP="009E2069">
            <w:pPr>
              <w:pStyle w:val="TableTextRight"/>
              <w:spacing w:before="0"/>
            </w:pPr>
            <w:r>
              <w:t>4,500</w:t>
            </w:r>
          </w:p>
        </w:tc>
        <w:tc>
          <w:tcPr>
            <w:tcW w:w="3007" w:type="dxa"/>
            <w:shd w:val="clear" w:color="auto" w:fill="auto"/>
          </w:tcPr>
          <w:p w14:paraId="1CC3412B" w14:textId="4C502796" w:rsidR="009E2069" w:rsidRDefault="009E2069" w:rsidP="009E2069">
            <w:pPr>
              <w:pStyle w:val="TableTextLeft"/>
              <w:spacing w:before="0"/>
              <w:rPr>
                <w:rFonts w:cs="Arial"/>
                <w:szCs w:val="16"/>
              </w:rPr>
            </w:pPr>
            <w:r>
              <w:rPr>
                <w:rFonts w:cs="Arial"/>
                <w:szCs w:val="16"/>
              </w:rPr>
              <w:t xml:space="preserve">Snowy Hydro Limited </w:t>
            </w:r>
          </w:p>
        </w:tc>
        <w:tc>
          <w:tcPr>
            <w:tcW w:w="1584" w:type="dxa"/>
            <w:shd w:val="clear" w:color="auto" w:fill="auto"/>
          </w:tcPr>
          <w:p w14:paraId="09A7D5BB" w14:textId="3A0B93B6" w:rsidR="009E2069" w:rsidRDefault="009E2069" w:rsidP="009E2069">
            <w:pPr>
              <w:pStyle w:val="TableTextLeft"/>
              <w:spacing w:before="0"/>
              <w:rPr>
                <w:rFonts w:cs="Arial"/>
                <w:szCs w:val="16"/>
              </w:rPr>
            </w:pPr>
            <w:r>
              <w:rPr>
                <w:rFonts w:cs="Arial"/>
                <w:szCs w:val="16"/>
              </w:rPr>
              <w:t>Floating + margin</w:t>
            </w:r>
          </w:p>
        </w:tc>
        <w:tc>
          <w:tcPr>
            <w:tcW w:w="1818" w:type="dxa"/>
            <w:shd w:val="clear" w:color="auto" w:fill="auto"/>
          </w:tcPr>
          <w:p w14:paraId="06BF28E0" w14:textId="692E8E5F" w:rsidR="009E2069" w:rsidRDefault="009E2069" w:rsidP="009E2069">
            <w:pPr>
              <w:pStyle w:val="TableTextLeft"/>
              <w:spacing w:before="0"/>
              <w:rPr>
                <w:rFonts w:cs="Arial"/>
                <w:color w:val="000000"/>
                <w:szCs w:val="16"/>
              </w:rPr>
            </w:pPr>
            <w:r>
              <w:rPr>
                <w:rFonts w:cs="Arial"/>
                <w:color w:val="000000"/>
                <w:szCs w:val="16"/>
              </w:rPr>
              <w:t>5 years</w:t>
            </w:r>
          </w:p>
        </w:tc>
        <w:tc>
          <w:tcPr>
            <w:tcW w:w="1191" w:type="dxa"/>
          </w:tcPr>
          <w:p w14:paraId="6E8FC6DB" w14:textId="3A18C9E0" w:rsidR="009E2069" w:rsidRDefault="009E2069" w:rsidP="009E2069">
            <w:pPr>
              <w:pStyle w:val="TableTextLeft"/>
              <w:spacing w:before="0"/>
              <w:rPr>
                <w:rFonts w:cs="Arial"/>
                <w:szCs w:val="16"/>
              </w:rPr>
            </w:pPr>
            <w:r>
              <w:rPr>
                <w:rFonts w:cs="Arial"/>
                <w:szCs w:val="16"/>
              </w:rPr>
              <w:t>New</w:t>
            </w:r>
          </w:p>
        </w:tc>
      </w:tr>
      <w:tr w:rsidR="005A6905" w:rsidRPr="00B832E0" w14:paraId="5C794CE0" w14:textId="77777777" w:rsidTr="005A6905">
        <w:trPr>
          <w:trHeight w:val="227"/>
        </w:trPr>
        <w:tc>
          <w:tcPr>
            <w:tcW w:w="11539" w:type="dxa"/>
            <w:gridSpan w:val="6"/>
            <w:shd w:val="clear" w:color="auto" w:fill="E6F2FF"/>
          </w:tcPr>
          <w:p w14:paraId="27289F70" w14:textId="21C9BC59" w:rsidR="005A6905" w:rsidRPr="005A6905" w:rsidRDefault="005A6905" w:rsidP="009E2069">
            <w:pPr>
              <w:pStyle w:val="TableTextLeft"/>
              <w:spacing w:before="0"/>
              <w:rPr>
                <w:rFonts w:cs="Arial"/>
                <w:b/>
                <w:bCs/>
                <w:szCs w:val="16"/>
              </w:rPr>
            </w:pPr>
            <w:r w:rsidRPr="005A6905">
              <w:rPr>
                <w:rFonts w:cs="Arial"/>
                <w:b/>
                <w:bCs/>
                <w:szCs w:val="16"/>
              </w:rPr>
              <w:t>Foreign Affairs and Trade</w:t>
            </w:r>
          </w:p>
        </w:tc>
      </w:tr>
      <w:tr w:rsidR="0023618C" w:rsidRPr="00B832E0" w14:paraId="5701C6D0" w14:textId="77777777" w:rsidTr="00046045">
        <w:trPr>
          <w:trHeight w:val="227"/>
        </w:trPr>
        <w:tc>
          <w:tcPr>
            <w:tcW w:w="2433" w:type="dxa"/>
            <w:shd w:val="clear" w:color="auto" w:fill="auto"/>
          </w:tcPr>
          <w:p w14:paraId="133624DD" w14:textId="77777777" w:rsidR="0023618C" w:rsidRDefault="0023618C">
            <w:pPr>
              <w:pStyle w:val="TableTextLeft"/>
              <w:spacing w:before="0"/>
            </w:pPr>
            <w:r>
              <w:t xml:space="preserve">Government support for </w:t>
            </w:r>
            <w:proofErr w:type="spellStart"/>
            <w:r>
              <w:t>PsiQuantum</w:t>
            </w:r>
            <w:proofErr w:type="spellEnd"/>
            <w:r>
              <w:t xml:space="preserve"> Pty Ltd</w:t>
            </w:r>
          </w:p>
        </w:tc>
        <w:tc>
          <w:tcPr>
            <w:tcW w:w="1506" w:type="dxa"/>
            <w:shd w:val="clear" w:color="auto" w:fill="auto"/>
          </w:tcPr>
          <w:p w14:paraId="1F30F25A" w14:textId="681EA40D" w:rsidR="0023618C" w:rsidRDefault="0006654A">
            <w:pPr>
              <w:pStyle w:val="TableTextRight"/>
              <w:spacing w:before="0"/>
            </w:pPr>
            <w:r>
              <w:t>193</w:t>
            </w:r>
          </w:p>
        </w:tc>
        <w:tc>
          <w:tcPr>
            <w:tcW w:w="3007" w:type="dxa"/>
            <w:shd w:val="clear" w:color="auto" w:fill="auto"/>
          </w:tcPr>
          <w:p w14:paraId="33CE25C9" w14:textId="77777777" w:rsidR="0023618C" w:rsidRPr="00B832E0" w:rsidRDefault="0023618C">
            <w:pPr>
              <w:pStyle w:val="TableTextLeft"/>
              <w:spacing w:before="0"/>
              <w:rPr>
                <w:rFonts w:cs="Arial"/>
                <w:szCs w:val="16"/>
              </w:rPr>
            </w:pPr>
            <w:proofErr w:type="spellStart"/>
            <w:r>
              <w:rPr>
                <w:rFonts w:cs="Arial"/>
                <w:szCs w:val="16"/>
              </w:rPr>
              <w:t>PsiQuantum</w:t>
            </w:r>
            <w:proofErr w:type="spellEnd"/>
            <w:r>
              <w:rPr>
                <w:rFonts w:cs="Arial"/>
                <w:szCs w:val="16"/>
              </w:rPr>
              <w:t xml:space="preserve"> Pty Ltd and </w:t>
            </w:r>
            <w:proofErr w:type="spellStart"/>
            <w:r>
              <w:rPr>
                <w:rFonts w:cs="Arial"/>
                <w:szCs w:val="16"/>
              </w:rPr>
              <w:t>PsiQuantum</w:t>
            </w:r>
            <w:proofErr w:type="spellEnd"/>
            <w:r>
              <w:rPr>
                <w:rFonts w:cs="Arial"/>
                <w:szCs w:val="16"/>
              </w:rPr>
              <w:t xml:space="preserve"> Corporation</w:t>
            </w:r>
          </w:p>
        </w:tc>
        <w:tc>
          <w:tcPr>
            <w:tcW w:w="1584" w:type="dxa"/>
            <w:shd w:val="clear" w:color="auto" w:fill="auto"/>
          </w:tcPr>
          <w:p w14:paraId="3BF906D6" w14:textId="4867FA82" w:rsidR="001B7F90" w:rsidRDefault="0023618C">
            <w:pPr>
              <w:pStyle w:val="TableTextLeft"/>
              <w:spacing w:before="0"/>
            </w:pPr>
            <w:r>
              <w:t>Commercial</w:t>
            </w:r>
            <w:r w:rsidR="00D23095">
              <w:noBreakHyphen/>
            </w:r>
            <w:r>
              <w:t>in</w:t>
            </w:r>
            <w:r w:rsidR="00D23095">
              <w:noBreakHyphen/>
            </w:r>
          </w:p>
          <w:p w14:paraId="068C679D" w14:textId="22554306" w:rsidR="0023618C" w:rsidRPr="00B832E0" w:rsidRDefault="0023618C">
            <w:pPr>
              <w:pStyle w:val="TableTextLeft"/>
              <w:spacing w:before="0"/>
              <w:rPr>
                <w:rFonts w:cs="Arial"/>
                <w:szCs w:val="16"/>
              </w:rPr>
            </w:pPr>
            <w:r>
              <w:t>confidence</w:t>
            </w:r>
          </w:p>
        </w:tc>
        <w:tc>
          <w:tcPr>
            <w:tcW w:w="1818" w:type="dxa"/>
            <w:shd w:val="clear" w:color="auto" w:fill="auto"/>
          </w:tcPr>
          <w:p w14:paraId="536FB279" w14:textId="1EB1AD04" w:rsidR="0023618C" w:rsidRPr="00B832E0" w:rsidRDefault="0023618C">
            <w:pPr>
              <w:pStyle w:val="TableTextLeft"/>
              <w:spacing w:before="0"/>
              <w:rPr>
                <w:rFonts w:cs="Arial"/>
                <w:szCs w:val="16"/>
              </w:rPr>
            </w:pPr>
            <w:r>
              <w:t>Commercial</w:t>
            </w:r>
            <w:r w:rsidR="00D23095">
              <w:noBreakHyphen/>
            </w:r>
            <w:r>
              <w:t>in</w:t>
            </w:r>
            <w:r w:rsidR="00D23095">
              <w:noBreakHyphen/>
            </w:r>
            <w:r>
              <w:t>confidence</w:t>
            </w:r>
          </w:p>
        </w:tc>
        <w:tc>
          <w:tcPr>
            <w:tcW w:w="1191" w:type="dxa"/>
          </w:tcPr>
          <w:p w14:paraId="7F1EADE3" w14:textId="77777777" w:rsidR="0023618C" w:rsidRDefault="0023618C">
            <w:pPr>
              <w:pStyle w:val="TableTextLeft"/>
              <w:spacing w:before="0"/>
              <w:rPr>
                <w:rFonts w:cs="Arial"/>
                <w:szCs w:val="16"/>
              </w:rPr>
            </w:pPr>
            <w:r>
              <w:rPr>
                <w:rFonts w:cs="Arial"/>
                <w:szCs w:val="16"/>
              </w:rPr>
              <w:t>Modified</w:t>
            </w:r>
          </w:p>
        </w:tc>
      </w:tr>
      <w:tr w:rsidR="0023618C" w:rsidRPr="00B832E0" w14:paraId="366539E8" w14:textId="77777777" w:rsidTr="00046045">
        <w:trPr>
          <w:trHeight w:val="227"/>
        </w:trPr>
        <w:tc>
          <w:tcPr>
            <w:tcW w:w="2433" w:type="dxa"/>
            <w:shd w:val="clear" w:color="auto" w:fill="auto"/>
          </w:tcPr>
          <w:p w14:paraId="7A350262" w14:textId="77777777" w:rsidR="0023618C" w:rsidRPr="00B832E0" w:rsidRDefault="0023618C">
            <w:pPr>
              <w:pStyle w:val="TableTextLeft"/>
              <w:spacing w:before="0"/>
              <w:rPr>
                <w:vertAlign w:val="superscript"/>
              </w:rPr>
            </w:pPr>
            <w:r>
              <w:t>Telstra acquisition of Digicel Pacific</w:t>
            </w:r>
          </w:p>
        </w:tc>
        <w:tc>
          <w:tcPr>
            <w:tcW w:w="1506" w:type="dxa"/>
            <w:shd w:val="clear" w:color="auto" w:fill="auto"/>
          </w:tcPr>
          <w:p w14:paraId="5EA96E39" w14:textId="77777777" w:rsidR="0023618C" w:rsidRPr="00B832E0" w:rsidRDefault="0023618C">
            <w:pPr>
              <w:pStyle w:val="TableTextRight"/>
              <w:spacing w:before="0"/>
            </w:pPr>
            <w:r>
              <w:t xml:space="preserve">2,200 </w:t>
            </w:r>
          </w:p>
        </w:tc>
        <w:tc>
          <w:tcPr>
            <w:tcW w:w="3007" w:type="dxa"/>
            <w:shd w:val="clear" w:color="auto" w:fill="auto"/>
          </w:tcPr>
          <w:p w14:paraId="06128C5F" w14:textId="10954291" w:rsidR="0023618C" w:rsidRPr="00E575F1" w:rsidRDefault="0023618C">
            <w:pPr>
              <w:pStyle w:val="TableTextLeft"/>
              <w:spacing w:before="0"/>
              <w:rPr>
                <w:rFonts w:cs="Arial"/>
                <w:szCs w:val="16"/>
              </w:rPr>
            </w:pPr>
            <w:r w:rsidRPr="00B832E0">
              <w:rPr>
                <w:rFonts w:cs="Arial"/>
                <w:szCs w:val="16"/>
              </w:rPr>
              <w:t>Telstra </w:t>
            </w:r>
          </w:p>
          <w:p w14:paraId="5EBD4AEF" w14:textId="77777777" w:rsidR="0023618C" w:rsidRPr="00BD0221" w:rsidRDefault="0023618C">
            <w:pPr>
              <w:pStyle w:val="TableTextLeft"/>
              <w:spacing w:before="0"/>
            </w:pPr>
          </w:p>
        </w:tc>
        <w:tc>
          <w:tcPr>
            <w:tcW w:w="1584" w:type="dxa"/>
            <w:shd w:val="clear" w:color="auto" w:fill="auto"/>
          </w:tcPr>
          <w:p w14:paraId="1EF08C4A" w14:textId="501A84E6" w:rsidR="0023618C" w:rsidRPr="00B832E0" w:rsidRDefault="0023618C">
            <w:pPr>
              <w:pStyle w:val="TableTextLeft"/>
              <w:spacing w:before="0"/>
            </w:pPr>
            <w:r w:rsidRPr="00B832E0">
              <w:rPr>
                <w:rFonts w:cs="Arial"/>
                <w:szCs w:val="16"/>
              </w:rPr>
              <w:t>Commercial</w:t>
            </w:r>
            <w:r w:rsidR="00D23095">
              <w:rPr>
                <w:rFonts w:cs="Arial"/>
                <w:szCs w:val="16"/>
              </w:rPr>
              <w:noBreakHyphen/>
            </w:r>
            <w:r w:rsidRPr="00B832E0">
              <w:rPr>
                <w:rFonts w:cs="Arial"/>
                <w:szCs w:val="16"/>
              </w:rPr>
              <w:t>in</w:t>
            </w:r>
            <w:r w:rsidR="00D23095">
              <w:rPr>
                <w:rFonts w:cs="Arial"/>
                <w:szCs w:val="16"/>
              </w:rPr>
              <w:noBreakHyphen/>
            </w:r>
            <w:r w:rsidRPr="00B832E0">
              <w:rPr>
                <w:rFonts w:cs="Arial"/>
                <w:szCs w:val="16"/>
              </w:rPr>
              <w:t> </w:t>
            </w:r>
            <w:r w:rsidRPr="00B832E0">
              <w:rPr>
                <w:rFonts w:cs="Arial"/>
                <w:szCs w:val="16"/>
              </w:rPr>
              <w:br/>
              <w:t>confidence </w:t>
            </w:r>
          </w:p>
        </w:tc>
        <w:tc>
          <w:tcPr>
            <w:tcW w:w="1818" w:type="dxa"/>
            <w:shd w:val="clear" w:color="auto" w:fill="auto"/>
          </w:tcPr>
          <w:p w14:paraId="0D42C814" w14:textId="77777777" w:rsidR="0023618C" w:rsidRPr="00B832E0" w:rsidRDefault="0023618C">
            <w:pPr>
              <w:pStyle w:val="TableTextLeft"/>
              <w:spacing w:before="0"/>
            </w:pPr>
            <w:r w:rsidRPr="00B832E0">
              <w:rPr>
                <w:rFonts w:cs="Arial"/>
                <w:szCs w:val="16"/>
              </w:rPr>
              <w:t>Various </w:t>
            </w:r>
          </w:p>
        </w:tc>
        <w:tc>
          <w:tcPr>
            <w:tcW w:w="1191" w:type="dxa"/>
          </w:tcPr>
          <w:p w14:paraId="56026EE5" w14:textId="72A93212" w:rsidR="0023618C" w:rsidRPr="00B832E0" w:rsidRDefault="000B3EEA">
            <w:pPr>
              <w:pStyle w:val="TableTextLeft"/>
              <w:spacing w:before="0"/>
            </w:pPr>
            <w:r>
              <w:rPr>
                <w:rFonts w:cs="Arial"/>
                <w:szCs w:val="16"/>
              </w:rPr>
              <w:t>Unchanged</w:t>
            </w:r>
          </w:p>
        </w:tc>
      </w:tr>
    </w:tbl>
    <w:p w14:paraId="646B56A4" w14:textId="5FF2D21A" w:rsidR="0023618C" w:rsidRPr="00B832E0" w:rsidRDefault="0023618C" w:rsidP="0023618C">
      <w:pPr>
        <w:pStyle w:val="TableHeadingcontinued"/>
        <w:rPr>
          <w:rFonts w:eastAsia="Arial"/>
        </w:rPr>
      </w:pPr>
      <w:bookmarkStart w:id="253" w:name="_Hlk71274754"/>
      <w:bookmarkStart w:id="254" w:name="_Hlk71311815"/>
      <w:r w:rsidRPr="00010F87">
        <w:rPr>
          <w:rFonts w:eastAsia="Arial"/>
        </w:rPr>
        <w:lastRenderedPageBreak/>
        <w:t xml:space="preserve">Table </w:t>
      </w:r>
      <w:r w:rsidR="00A306E0">
        <w:rPr>
          <w:rFonts w:eastAsia="Arial"/>
        </w:rPr>
        <w:t>8</w:t>
      </w:r>
      <w:r w:rsidRPr="00010F87">
        <w:rPr>
          <w:rFonts w:eastAsia="Arial"/>
        </w:rPr>
        <w:t>.3</w:t>
      </w:r>
      <w:r w:rsidRPr="00B832E0">
        <w:rPr>
          <w:rFonts w:eastAsia="Arial"/>
        </w:rPr>
        <w:t>: Summary of Australian Government loans meeting the materiality threshold (continued)</w:t>
      </w:r>
      <w:bookmarkEnd w:id="253"/>
    </w:p>
    <w:tbl>
      <w:tblPr>
        <w:tblW w:w="5000" w:type="pct"/>
        <w:tblBorders>
          <w:top w:val="single" w:sz="4" w:space="0" w:color="002A54" w:themeColor="text2"/>
          <w:bottom w:val="single" w:sz="4" w:space="0" w:color="002A54" w:themeColor="text2"/>
          <w:insideH w:val="single" w:sz="4" w:space="0" w:color="002A54" w:themeColor="text2"/>
        </w:tblBorders>
        <w:tblLayout w:type="fixed"/>
        <w:tblLook w:val="04A0" w:firstRow="1" w:lastRow="0" w:firstColumn="1" w:lastColumn="0" w:noHBand="0" w:noVBand="1"/>
        <w:tblCaption w:val="Table"/>
      </w:tblPr>
      <w:tblGrid>
        <w:gridCol w:w="2990"/>
        <w:gridCol w:w="1830"/>
        <w:gridCol w:w="2564"/>
        <w:gridCol w:w="1481"/>
        <w:gridCol w:w="1453"/>
        <w:gridCol w:w="1221"/>
      </w:tblGrid>
      <w:tr w:rsidR="0023618C" w:rsidRPr="00B832E0" w14:paraId="03C54F57" w14:textId="77777777">
        <w:trPr>
          <w:trHeight w:val="227"/>
          <w:tblHeader/>
        </w:trPr>
        <w:tc>
          <w:tcPr>
            <w:tcW w:w="2990" w:type="dxa"/>
            <w:shd w:val="clear" w:color="auto" w:fill="E6F2FF"/>
            <w:vAlign w:val="bottom"/>
          </w:tcPr>
          <w:p w14:paraId="04E7B7DC" w14:textId="77777777" w:rsidR="0023618C" w:rsidRPr="001A1A6F" w:rsidRDefault="0023618C">
            <w:pPr>
              <w:pStyle w:val="TableColumnHeadingLeft"/>
              <w:spacing w:before="0"/>
            </w:pPr>
            <w:bookmarkStart w:id="255" w:name="_Hlk165618902"/>
            <w:bookmarkEnd w:id="254"/>
            <w:r w:rsidRPr="001A1A6F">
              <w:t>Portfolio</w:t>
            </w:r>
          </w:p>
        </w:tc>
        <w:tc>
          <w:tcPr>
            <w:tcW w:w="1830" w:type="dxa"/>
            <w:shd w:val="clear" w:color="auto" w:fill="E6F2FF"/>
          </w:tcPr>
          <w:p w14:paraId="48852413" w14:textId="77777777" w:rsidR="0023618C" w:rsidRPr="00B832E0" w:rsidRDefault="0023618C">
            <w:pPr>
              <w:pStyle w:val="TableColumnHeadingCentred"/>
              <w:spacing w:before="0"/>
              <w:rPr>
                <w:rFonts w:ascii="Arial" w:hAnsi="Arial" w:cs="Arial"/>
                <w:szCs w:val="16"/>
              </w:rPr>
            </w:pPr>
            <w:r w:rsidRPr="00B832E0">
              <w:t>Loan amount</w:t>
            </w:r>
            <w:r w:rsidRPr="00B832E0">
              <w:rPr>
                <w:sz w:val="18"/>
                <w:szCs w:val="18"/>
                <w:vertAlign w:val="superscript"/>
              </w:rPr>
              <w:t xml:space="preserve">(a) </w:t>
            </w:r>
            <w:r w:rsidRPr="00B832E0">
              <w:rPr>
                <w:szCs w:val="16"/>
              </w:rPr>
              <w:t>($m)</w:t>
            </w:r>
          </w:p>
        </w:tc>
        <w:tc>
          <w:tcPr>
            <w:tcW w:w="2564" w:type="dxa"/>
            <w:shd w:val="clear" w:color="auto" w:fill="E6F2FF"/>
            <w:vAlign w:val="bottom"/>
          </w:tcPr>
          <w:p w14:paraId="36C5CCBD" w14:textId="77777777" w:rsidR="0023618C" w:rsidRPr="00B832E0" w:rsidRDefault="0023618C">
            <w:pPr>
              <w:pStyle w:val="TableColumnHeadingLeft"/>
              <w:spacing w:before="0"/>
              <w:rPr>
                <w:rFonts w:ascii="Arial" w:hAnsi="Arial" w:cs="Arial"/>
                <w:szCs w:val="16"/>
              </w:rPr>
            </w:pPr>
            <w:r w:rsidRPr="00B832E0">
              <w:t>Borrower</w:t>
            </w:r>
          </w:p>
        </w:tc>
        <w:tc>
          <w:tcPr>
            <w:tcW w:w="1481" w:type="dxa"/>
            <w:shd w:val="clear" w:color="auto" w:fill="E6F2FF"/>
            <w:vAlign w:val="bottom"/>
          </w:tcPr>
          <w:p w14:paraId="5D4C2E59" w14:textId="77777777" w:rsidR="0023618C" w:rsidRPr="00B832E0" w:rsidRDefault="0023618C">
            <w:pPr>
              <w:pStyle w:val="TableColumnHeadingLeft"/>
              <w:spacing w:before="0"/>
              <w:rPr>
                <w:rFonts w:ascii="Arial" w:hAnsi="Arial" w:cs="Arial"/>
                <w:szCs w:val="16"/>
              </w:rPr>
            </w:pPr>
            <w:r w:rsidRPr="00B832E0">
              <w:t>Interest rate</w:t>
            </w:r>
          </w:p>
        </w:tc>
        <w:tc>
          <w:tcPr>
            <w:tcW w:w="1453" w:type="dxa"/>
            <w:shd w:val="clear" w:color="auto" w:fill="E6F2FF"/>
            <w:vAlign w:val="bottom"/>
          </w:tcPr>
          <w:p w14:paraId="4E9AF54E" w14:textId="77777777" w:rsidR="0023618C" w:rsidRPr="00B832E0" w:rsidRDefault="0023618C">
            <w:pPr>
              <w:pStyle w:val="TableColumnHeadingLeft"/>
              <w:spacing w:before="0"/>
              <w:rPr>
                <w:rFonts w:ascii="Arial" w:hAnsi="Arial" w:cs="Arial"/>
                <w:szCs w:val="16"/>
              </w:rPr>
            </w:pPr>
            <w:r w:rsidRPr="00B832E0">
              <w:t>Term</w:t>
            </w:r>
          </w:p>
        </w:tc>
        <w:tc>
          <w:tcPr>
            <w:tcW w:w="1221" w:type="dxa"/>
            <w:shd w:val="clear" w:color="auto" w:fill="E6F2FF"/>
            <w:vAlign w:val="bottom"/>
          </w:tcPr>
          <w:p w14:paraId="29C19D89" w14:textId="77777777" w:rsidR="0023618C" w:rsidRPr="00B832E0" w:rsidRDefault="0023618C">
            <w:pPr>
              <w:pStyle w:val="TableColumnHeadingLeft"/>
              <w:spacing w:before="0"/>
              <w:rPr>
                <w:rFonts w:ascii="Arial" w:hAnsi="Arial" w:cs="Arial"/>
                <w:szCs w:val="16"/>
              </w:rPr>
            </w:pPr>
            <w:r w:rsidRPr="00B832E0">
              <w:t>Status</w:t>
            </w:r>
            <w:r w:rsidRPr="00B832E0">
              <w:rPr>
                <w:sz w:val="18"/>
                <w:szCs w:val="18"/>
                <w:vertAlign w:val="superscript"/>
              </w:rPr>
              <w:t>(b)</w:t>
            </w:r>
          </w:p>
        </w:tc>
      </w:tr>
      <w:tr w:rsidR="0023618C" w:rsidRPr="00B832E0" w14:paraId="55CFDD28" w14:textId="77777777">
        <w:trPr>
          <w:trHeight w:val="227"/>
        </w:trPr>
        <w:tc>
          <w:tcPr>
            <w:tcW w:w="11539" w:type="dxa"/>
            <w:gridSpan w:val="6"/>
            <w:shd w:val="clear" w:color="auto" w:fill="E6F2FF"/>
          </w:tcPr>
          <w:p w14:paraId="4381636B" w14:textId="77777777" w:rsidR="0023618C" w:rsidRDefault="0023618C">
            <w:pPr>
              <w:pStyle w:val="TableColumnHeadingLeft"/>
              <w:spacing w:before="0"/>
            </w:pPr>
            <w:r w:rsidRPr="00B832E0">
              <w:t>Industry, Science and Resources</w:t>
            </w:r>
          </w:p>
        </w:tc>
      </w:tr>
      <w:tr w:rsidR="0023618C" w:rsidRPr="00B832E0" w14:paraId="7ADC5017" w14:textId="77777777">
        <w:trPr>
          <w:trHeight w:val="227"/>
        </w:trPr>
        <w:tc>
          <w:tcPr>
            <w:tcW w:w="2990" w:type="dxa"/>
          </w:tcPr>
          <w:p w14:paraId="226426D8" w14:textId="77777777" w:rsidR="0023618C" w:rsidRPr="00B832E0" w:rsidRDefault="0023618C">
            <w:pPr>
              <w:pStyle w:val="TableTextLeft"/>
              <w:spacing w:before="0"/>
            </w:pPr>
            <w:r>
              <w:t>National Reconstruction Fund Corporation</w:t>
            </w:r>
            <w:r w:rsidRPr="116C2317">
              <w:rPr>
                <w:rFonts w:cs="Arial"/>
                <w:sz w:val="12"/>
                <w:szCs w:val="12"/>
                <w:vertAlign w:val="superscript"/>
              </w:rPr>
              <w:t>(c)</w:t>
            </w:r>
          </w:p>
        </w:tc>
        <w:tc>
          <w:tcPr>
            <w:tcW w:w="1830" w:type="dxa"/>
            <w:shd w:val="clear" w:color="auto" w:fill="auto"/>
          </w:tcPr>
          <w:p w14:paraId="7732E1BD" w14:textId="01730923" w:rsidR="0023618C" w:rsidRDefault="001928F3">
            <w:pPr>
              <w:pStyle w:val="TableTextRight"/>
              <w:spacing w:before="0"/>
            </w:pPr>
            <w:r>
              <w:t>981</w:t>
            </w:r>
          </w:p>
        </w:tc>
        <w:tc>
          <w:tcPr>
            <w:tcW w:w="2564" w:type="dxa"/>
            <w:shd w:val="clear" w:color="auto" w:fill="auto"/>
          </w:tcPr>
          <w:p w14:paraId="760B157B" w14:textId="212F0C54" w:rsidR="0023618C" w:rsidRPr="00B832E0" w:rsidRDefault="00A35DAD">
            <w:pPr>
              <w:pStyle w:val="TableTextLeft"/>
              <w:spacing w:before="0"/>
            </w:pPr>
            <w:r w:rsidRPr="0009089A">
              <w:t>Eligible projects in accordance with NRFC Act</w:t>
            </w:r>
            <w:r w:rsidR="009E2069">
              <w:t xml:space="preserve"> and NRFC investment mandate</w:t>
            </w:r>
          </w:p>
        </w:tc>
        <w:tc>
          <w:tcPr>
            <w:tcW w:w="1481" w:type="dxa"/>
            <w:shd w:val="clear" w:color="auto" w:fill="auto"/>
          </w:tcPr>
          <w:p w14:paraId="2243F969" w14:textId="64EBE868" w:rsidR="0023618C" w:rsidRPr="00B832E0" w:rsidRDefault="00906CDF">
            <w:pPr>
              <w:pStyle w:val="TableTextLeft"/>
              <w:spacing w:before="0"/>
            </w:pPr>
            <w:r>
              <w:t>Various</w:t>
            </w:r>
            <w:r w:rsidR="0023618C">
              <w:t> </w:t>
            </w:r>
          </w:p>
        </w:tc>
        <w:tc>
          <w:tcPr>
            <w:tcW w:w="1453" w:type="dxa"/>
            <w:shd w:val="clear" w:color="auto" w:fill="auto"/>
          </w:tcPr>
          <w:p w14:paraId="24C3F003" w14:textId="493FDD1F" w:rsidR="0023618C" w:rsidRPr="00B832E0" w:rsidRDefault="00906CDF">
            <w:pPr>
              <w:pStyle w:val="TableTextLeft"/>
              <w:spacing w:before="0"/>
            </w:pPr>
            <w:r>
              <w:t>Various</w:t>
            </w:r>
            <w:r w:rsidR="0023618C" w:rsidRPr="00B832E0">
              <w:t> </w:t>
            </w:r>
          </w:p>
        </w:tc>
        <w:tc>
          <w:tcPr>
            <w:tcW w:w="1221" w:type="dxa"/>
            <w:shd w:val="clear" w:color="auto" w:fill="auto"/>
          </w:tcPr>
          <w:p w14:paraId="0BDB65C8" w14:textId="3212CFAB" w:rsidR="0023618C" w:rsidRDefault="00906CDF">
            <w:pPr>
              <w:pStyle w:val="TableTextLeft"/>
              <w:spacing w:before="0"/>
            </w:pPr>
            <w:r>
              <w:t>Modified</w:t>
            </w:r>
          </w:p>
        </w:tc>
      </w:tr>
      <w:tr w:rsidR="0023618C" w:rsidRPr="00B832E0" w14:paraId="301DCD98" w14:textId="77777777">
        <w:trPr>
          <w:trHeight w:val="227"/>
        </w:trPr>
        <w:tc>
          <w:tcPr>
            <w:tcW w:w="11539" w:type="dxa"/>
            <w:gridSpan w:val="6"/>
            <w:shd w:val="clear" w:color="auto" w:fill="E6F2FF"/>
          </w:tcPr>
          <w:p w14:paraId="70F98986" w14:textId="77777777" w:rsidR="0023618C" w:rsidRDefault="0023618C">
            <w:pPr>
              <w:pStyle w:val="TableColumnHeadingLeft"/>
              <w:spacing w:before="0"/>
            </w:pPr>
            <w:r w:rsidRPr="00D76D70">
              <w:t>Infrastructure, Transport, Regional Development, Communications and the Arts</w:t>
            </w:r>
          </w:p>
        </w:tc>
      </w:tr>
      <w:bookmarkEnd w:id="255"/>
      <w:tr w:rsidR="0023618C" w:rsidRPr="00B832E0" w14:paraId="7F2DF208" w14:textId="77777777">
        <w:trPr>
          <w:trHeight w:val="227"/>
        </w:trPr>
        <w:tc>
          <w:tcPr>
            <w:tcW w:w="2990" w:type="dxa"/>
          </w:tcPr>
          <w:p w14:paraId="02651A10" w14:textId="77777777" w:rsidR="0023618C" w:rsidRPr="00B832E0" w:rsidRDefault="0023618C">
            <w:pPr>
              <w:pStyle w:val="TableTextLeft"/>
              <w:spacing w:before="0"/>
            </w:pPr>
            <w:r w:rsidRPr="00B832E0">
              <w:t>Northern Australia Infrastructure Facility Loans</w:t>
            </w:r>
          </w:p>
        </w:tc>
        <w:tc>
          <w:tcPr>
            <w:tcW w:w="1830" w:type="dxa"/>
            <w:shd w:val="clear" w:color="auto" w:fill="auto"/>
          </w:tcPr>
          <w:p w14:paraId="7BA5831E" w14:textId="4F15A728" w:rsidR="0023618C" w:rsidRPr="00B832E0" w:rsidRDefault="0023618C">
            <w:pPr>
              <w:pStyle w:val="TableTextRight"/>
              <w:spacing w:before="0"/>
            </w:pPr>
            <w:r>
              <w:t>1,</w:t>
            </w:r>
            <w:r w:rsidR="00316AEA">
              <w:t>60</w:t>
            </w:r>
            <w:r w:rsidR="005D46E4">
              <w:t>9</w:t>
            </w:r>
          </w:p>
        </w:tc>
        <w:tc>
          <w:tcPr>
            <w:tcW w:w="2564" w:type="dxa"/>
            <w:shd w:val="clear" w:color="auto" w:fill="auto"/>
          </w:tcPr>
          <w:p w14:paraId="17A415A8" w14:textId="0EEF8263" w:rsidR="0023618C" w:rsidRPr="00B832E0" w:rsidRDefault="0023618C">
            <w:pPr>
              <w:pStyle w:val="TableTextLeft"/>
              <w:spacing w:before="0"/>
            </w:pPr>
            <w:r w:rsidRPr="00B832E0">
              <w:t xml:space="preserve">Northern Australia jurisdictions (Western Australia, Queensland or the Northern Territory) for on lending to project proponents. The </w:t>
            </w:r>
            <w:r w:rsidRPr="005A6905">
              <w:rPr>
                <w:i/>
                <w:iCs/>
              </w:rPr>
              <w:t xml:space="preserve">NAIF Investment Mandate Direction </w:t>
            </w:r>
            <w:r w:rsidR="00EA095A" w:rsidRPr="005A6905">
              <w:rPr>
                <w:i/>
                <w:iCs/>
              </w:rPr>
              <w:t>2023</w:t>
            </w:r>
            <w:r w:rsidRPr="00B832E0">
              <w:t xml:space="preserve"> additionally allows for provision of financial assistance directly to other entities</w:t>
            </w:r>
          </w:p>
        </w:tc>
        <w:tc>
          <w:tcPr>
            <w:tcW w:w="1481" w:type="dxa"/>
            <w:shd w:val="clear" w:color="auto" w:fill="auto"/>
          </w:tcPr>
          <w:p w14:paraId="0CDF8CE6" w14:textId="16086228" w:rsidR="0023618C" w:rsidRPr="00B832E0" w:rsidRDefault="0023618C">
            <w:pPr>
              <w:pStyle w:val="TableTextLeft"/>
              <w:spacing w:before="0"/>
            </w:pPr>
            <w:r w:rsidRPr="00B832E0">
              <w:t>Various  </w:t>
            </w:r>
          </w:p>
        </w:tc>
        <w:tc>
          <w:tcPr>
            <w:tcW w:w="1453" w:type="dxa"/>
            <w:shd w:val="clear" w:color="auto" w:fill="auto"/>
          </w:tcPr>
          <w:p w14:paraId="772D163D" w14:textId="77777777" w:rsidR="0023618C" w:rsidRPr="00B832E0" w:rsidRDefault="0023618C">
            <w:pPr>
              <w:pStyle w:val="TableTextLeft"/>
              <w:spacing w:before="0"/>
            </w:pPr>
            <w:r w:rsidRPr="00B832E0">
              <w:t>Various </w:t>
            </w:r>
          </w:p>
        </w:tc>
        <w:tc>
          <w:tcPr>
            <w:tcW w:w="1221" w:type="dxa"/>
            <w:shd w:val="clear" w:color="auto" w:fill="auto"/>
          </w:tcPr>
          <w:p w14:paraId="17BB1554" w14:textId="5610FFD4" w:rsidR="0023618C" w:rsidRPr="00B832E0" w:rsidRDefault="0023618C">
            <w:pPr>
              <w:pStyle w:val="TableTextLeft"/>
              <w:spacing w:before="0"/>
            </w:pPr>
            <w:r w:rsidDel="00D847F0">
              <w:t>Modified</w:t>
            </w:r>
            <w:r w:rsidRPr="00B832E0" w:rsidDel="00D847F0">
              <w:t> </w:t>
            </w:r>
          </w:p>
        </w:tc>
      </w:tr>
      <w:tr w:rsidR="0023618C" w:rsidRPr="00B832E0" w14:paraId="1F40BEE8" w14:textId="77777777">
        <w:trPr>
          <w:trHeight w:val="227"/>
        </w:trPr>
        <w:tc>
          <w:tcPr>
            <w:tcW w:w="2990" w:type="dxa"/>
          </w:tcPr>
          <w:p w14:paraId="20AB17CA" w14:textId="77777777" w:rsidR="0023618C" w:rsidRPr="00B832E0" w:rsidRDefault="0023618C">
            <w:pPr>
              <w:pStyle w:val="TableTextLeft"/>
              <w:spacing w:before="0"/>
            </w:pPr>
            <w:r w:rsidRPr="00B832E0">
              <w:t xml:space="preserve">WestConnex Stage 2 Concessional Loan </w:t>
            </w:r>
          </w:p>
        </w:tc>
        <w:tc>
          <w:tcPr>
            <w:tcW w:w="1830" w:type="dxa"/>
            <w:shd w:val="clear" w:color="auto" w:fill="auto"/>
          </w:tcPr>
          <w:p w14:paraId="5EBC7606" w14:textId="5AAA4E7A" w:rsidR="0023618C" w:rsidRPr="00B832E0" w:rsidRDefault="0023618C">
            <w:pPr>
              <w:pStyle w:val="TableTextRight"/>
              <w:spacing w:before="0"/>
            </w:pPr>
            <w:r>
              <w:rPr>
                <w:rFonts w:cs="Arial"/>
                <w:szCs w:val="16"/>
              </w:rPr>
              <w:t>2</w:t>
            </w:r>
            <w:r w:rsidRPr="00B832E0">
              <w:rPr>
                <w:rFonts w:cs="Arial"/>
                <w:szCs w:val="16"/>
              </w:rPr>
              <w:t>,</w:t>
            </w:r>
            <w:r w:rsidR="00BC383E">
              <w:rPr>
                <w:rFonts w:cs="Arial"/>
                <w:szCs w:val="16"/>
              </w:rPr>
              <w:t>3</w:t>
            </w:r>
            <w:r w:rsidR="00503182">
              <w:rPr>
                <w:rFonts w:cs="Arial"/>
                <w:szCs w:val="16"/>
              </w:rPr>
              <w:t>40</w:t>
            </w:r>
          </w:p>
        </w:tc>
        <w:tc>
          <w:tcPr>
            <w:tcW w:w="2564" w:type="dxa"/>
            <w:shd w:val="clear" w:color="auto" w:fill="auto"/>
          </w:tcPr>
          <w:p w14:paraId="7F08B59E" w14:textId="77777777" w:rsidR="0023618C" w:rsidRPr="00B832E0" w:rsidRDefault="0023618C">
            <w:pPr>
              <w:pStyle w:val="TableTextLeft"/>
              <w:spacing w:before="0"/>
            </w:pPr>
            <w:r w:rsidRPr="00B832E0">
              <w:rPr>
                <w:rFonts w:cs="Arial"/>
                <w:szCs w:val="16"/>
              </w:rPr>
              <w:t xml:space="preserve">WCX M5 </w:t>
            </w:r>
            <w:proofErr w:type="spellStart"/>
            <w:r w:rsidRPr="00B832E0">
              <w:rPr>
                <w:rFonts w:cs="Arial"/>
                <w:szCs w:val="16"/>
              </w:rPr>
              <w:t>Finco</w:t>
            </w:r>
            <w:proofErr w:type="spellEnd"/>
            <w:r w:rsidRPr="00B832E0">
              <w:rPr>
                <w:rFonts w:cs="Arial"/>
                <w:szCs w:val="16"/>
              </w:rPr>
              <w:t xml:space="preserve"> Pty Ltd </w:t>
            </w:r>
          </w:p>
        </w:tc>
        <w:tc>
          <w:tcPr>
            <w:tcW w:w="1481" w:type="dxa"/>
            <w:shd w:val="clear" w:color="auto" w:fill="auto"/>
          </w:tcPr>
          <w:p w14:paraId="0C2C6EC1" w14:textId="77777777" w:rsidR="0023618C" w:rsidRPr="00B832E0" w:rsidRDefault="0023618C">
            <w:pPr>
              <w:pStyle w:val="TableTextLeft"/>
              <w:spacing w:before="0"/>
            </w:pPr>
            <w:r w:rsidRPr="00B832E0">
              <w:rPr>
                <w:rFonts w:cs="Arial"/>
                <w:szCs w:val="16"/>
              </w:rPr>
              <w:t>3.36</w:t>
            </w:r>
            <w:r>
              <w:rPr>
                <w:rFonts w:cs="Arial"/>
                <w:szCs w:val="16"/>
              </w:rPr>
              <w:t> per cent </w:t>
            </w:r>
          </w:p>
        </w:tc>
        <w:tc>
          <w:tcPr>
            <w:tcW w:w="1453" w:type="dxa"/>
            <w:shd w:val="clear" w:color="auto" w:fill="auto"/>
          </w:tcPr>
          <w:p w14:paraId="1FA19B70" w14:textId="77777777" w:rsidR="0023618C" w:rsidRPr="00B832E0" w:rsidRDefault="0023618C">
            <w:pPr>
              <w:pStyle w:val="TableTextLeft"/>
              <w:spacing w:before="0"/>
            </w:pPr>
            <w:r w:rsidRPr="00B832E0">
              <w:rPr>
                <w:rFonts w:cs="Arial"/>
                <w:szCs w:val="16"/>
              </w:rPr>
              <w:t>November 2015 to July 2034 </w:t>
            </w:r>
          </w:p>
        </w:tc>
        <w:tc>
          <w:tcPr>
            <w:tcW w:w="1221" w:type="dxa"/>
            <w:shd w:val="clear" w:color="auto" w:fill="auto"/>
          </w:tcPr>
          <w:p w14:paraId="15D4C971" w14:textId="77777777" w:rsidR="0023618C" w:rsidRPr="00B832E0" w:rsidRDefault="0023618C">
            <w:pPr>
              <w:pStyle w:val="TableTextLeft"/>
              <w:spacing w:before="0"/>
            </w:pPr>
            <w:r>
              <w:rPr>
                <w:rFonts w:cs="Arial"/>
                <w:szCs w:val="16"/>
              </w:rPr>
              <w:t>Modified</w:t>
            </w:r>
            <w:r w:rsidRPr="00B832E0">
              <w:rPr>
                <w:rFonts w:cs="Arial"/>
                <w:szCs w:val="16"/>
              </w:rPr>
              <w:t> </w:t>
            </w:r>
          </w:p>
        </w:tc>
      </w:tr>
      <w:tr w:rsidR="0023618C" w:rsidRPr="00B832E0" w14:paraId="21D0CEC2" w14:textId="77777777">
        <w:trPr>
          <w:trHeight w:val="227"/>
        </w:trPr>
        <w:tc>
          <w:tcPr>
            <w:tcW w:w="11539" w:type="dxa"/>
            <w:gridSpan w:val="6"/>
            <w:shd w:val="clear" w:color="auto" w:fill="E6F2FF"/>
          </w:tcPr>
          <w:p w14:paraId="11E88F5E" w14:textId="77777777" w:rsidR="0023618C" w:rsidRPr="00B832E0" w:rsidRDefault="0023618C">
            <w:pPr>
              <w:pStyle w:val="TableColumnHeadingLeft"/>
              <w:spacing w:before="0"/>
              <w:rPr>
                <w:rFonts w:cs="Arial"/>
                <w:szCs w:val="16"/>
              </w:rPr>
            </w:pPr>
            <w:r w:rsidRPr="00B832E0">
              <w:t>Prime Minister and Cabinet</w:t>
            </w:r>
          </w:p>
        </w:tc>
      </w:tr>
      <w:tr w:rsidR="0023618C" w:rsidRPr="00B832E0" w14:paraId="6F167DEB" w14:textId="77777777">
        <w:trPr>
          <w:trHeight w:val="227"/>
        </w:trPr>
        <w:tc>
          <w:tcPr>
            <w:tcW w:w="2990" w:type="dxa"/>
          </w:tcPr>
          <w:p w14:paraId="6298B880" w14:textId="77777777" w:rsidR="0023618C" w:rsidRPr="00B832E0" w:rsidRDefault="0023618C">
            <w:pPr>
              <w:pStyle w:val="TableTextLeft"/>
              <w:spacing w:before="0"/>
            </w:pPr>
            <w:r w:rsidRPr="00B832E0">
              <w:t>Indigenous home ownership, business development and assistance</w:t>
            </w:r>
          </w:p>
        </w:tc>
        <w:tc>
          <w:tcPr>
            <w:tcW w:w="1830" w:type="dxa"/>
            <w:shd w:val="clear" w:color="auto" w:fill="auto"/>
          </w:tcPr>
          <w:p w14:paraId="17EAE00B" w14:textId="52919621" w:rsidR="0023618C" w:rsidRPr="00B30EB5" w:rsidRDefault="0023618C">
            <w:pPr>
              <w:pStyle w:val="TableTextRight"/>
              <w:spacing w:before="0"/>
            </w:pPr>
            <w:r w:rsidRPr="00B30EB5">
              <w:t>1,</w:t>
            </w:r>
            <w:r w:rsidR="0099116B">
              <w:t>178</w:t>
            </w:r>
          </w:p>
        </w:tc>
        <w:tc>
          <w:tcPr>
            <w:tcW w:w="2564" w:type="dxa"/>
            <w:shd w:val="clear" w:color="auto" w:fill="auto"/>
          </w:tcPr>
          <w:p w14:paraId="28A1BBCC" w14:textId="77777777" w:rsidR="0023618C" w:rsidRPr="00B832E0" w:rsidRDefault="0023618C">
            <w:pPr>
              <w:pStyle w:val="TableTextLeft"/>
              <w:spacing w:before="0"/>
            </w:pPr>
            <w:r w:rsidRPr="00B832E0">
              <w:t>Eligible Indigenous persons </w:t>
            </w:r>
          </w:p>
        </w:tc>
        <w:tc>
          <w:tcPr>
            <w:tcW w:w="1481" w:type="dxa"/>
            <w:shd w:val="clear" w:color="auto" w:fill="auto"/>
          </w:tcPr>
          <w:p w14:paraId="5FAE449E" w14:textId="77777777" w:rsidR="0023618C" w:rsidRPr="00B832E0" w:rsidRDefault="0023618C">
            <w:pPr>
              <w:pStyle w:val="TableTextLeft"/>
              <w:spacing w:before="0"/>
            </w:pPr>
            <w:r>
              <w:t>1.64 per cent – 6.14 per cent </w:t>
            </w:r>
          </w:p>
        </w:tc>
        <w:tc>
          <w:tcPr>
            <w:tcW w:w="1453" w:type="dxa"/>
            <w:shd w:val="clear" w:color="auto" w:fill="auto"/>
          </w:tcPr>
          <w:p w14:paraId="3B8B547D" w14:textId="77777777" w:rsidR="0023618C" w:rsidRPr="00B832E0" w:rsidRDefault="0023618C">
            <w:pPr>
              <w:pStyle w:val="TableTextLeft"/>
              <w:spacing w:before="0"/>
            </w:pPr>
            <w:r w:rsidRPr="00B832E0">
              <w:t>Up to 32 years </w:t>
            </w:r>
          </w:p>
        </w:tc>
        <w:tc>
          <w:tcPr>
            <w:tcW w:w="1221" w:type="dxa"/>
            <w:shd w:val="clear" w:color="auto" w:fill="auto"/>
          </w:tcPr>
          <w:p w14:paraId="6B35193F" w14:textId="77777777" w:rsidR="0023618C" w:rsidRPr="00B832E0" w:rsidRDefault="0023618C">
            <w:pPr>
              <w:pStyle w:val="TableTextLeft"/>
              <w:spacing w:before="0"/>
            </w:pPr>
            <w:r>
              <w:t>Modified</w:t>
            </w:r>
            <w:r w:rsidRPr="00B832E0">
              <w:t> </w:t>
            </w:r>
          </w:p>
        </w:tc>
      </w:tr>
      <w:tr w:rsidR="0023618C" w:rsidRPr="00B832E0" w14:paraId="6D8D68F6" w14:textId="77777777">
        <w:trPr>
          <w:trHeight w:val="227"/>
        </w:trPr>
        <w:tc>
          <w:tcPr>
            <w:tcW w:w="2990" w:type="dxa"/>
          </w:tcPr>
          <w:p w14:paraId="4CE9A046" w14:textId="77777777" w:rsidR="0023618C" w:rsidRPr="00B832E0" w:rsidRDefault="0023618C">
            <w:pPr>
              <w:pStyle w:val="TableTextLeft"/>
              <w:spacing w:before="0"/>
            </w:pPr>
            <w:r w:rsidRPr="00B832E0">
              <w:t>Voyages Indigenous Tourism Australia Pty Ltd</w:t>
            </w:r>
          </w:p>
        </w:tc>
        <w:tc>
          <w:tcPr>
            <w:tcW w:w="1830" w:type="dxa"/>
          </w:tcPr>
          <w:p w14:paraId="39B679AB" w14:textId="36395AD6" w:rsidR="0023618C" w:rsidRPr="00B30EB5" w:rsidRDefault="0023618C">
            <w:pPr>
              <w:pStyle w:val="TableTextRight"/>
              <w:spacing w:before="0"/>
            </w:pPr>
            <w:r w:rsidRPr="00B30EB5">
              <w:t>3</w:t>
            </w:r>
            <w:r w:rsidR="00D21671">
              <w:t>43</w:t>
            </w:r>
          </w:p>
        </w:tc>
        <w:tc>
          <w:tcPr>
            <w:tcW w:w="2564" w:type="dxa"/>
          </w:tcPr>
          <w:p w14:paraId="28665F9A" w14:textId="77777777" w:rsidR="0023618C" w:rsidRPr="00B832E0" w:rsidRDefault="0023618C">
            <w:pPr>
              <w:pStyle w:val="TableTextLeft"/>
              <w:spacing w:before="0"/>
            </w:pPr>
            <w:r w:rsidRPr="00B832E0">
              <w:t>Voyages Indigenous Tourism Australia Pty Ltd </w:t>
            </w:r>
          </w:p>
        </w:tc>
        <w:tc>
          <w:tcPr>
            <w:tcW w:w="1481" w:type="dxa"/>
          </w:tcPr>
          <w:p w14:paraId="7A6E5F8C" w14:textId="77777777" w:rsidR="0023618C" w:rsidRPr="00B832E0" w:rsidRDefault="0023618C">
            <w:pPr>
              <w:pStyle w:val="TableTextLeft"/>
              <w:spacing w:before="0"/>
            </w:pPr>
            <w:r w:rsidRPr="00B832E0">
              <w:t xml:space="preserve">90 Day bank bill swap reference rate </w:t>
            </w:r>
            <w:r>
              <w:t>plus 1.2 </w:t>
            </w:r>
            <w:r w:rsidRPr="00B832E0">
              <w:t>per cent </w:t>
            </w:r>
            <w:r>
              <w:t>(on $176 million of principal)</w:t>
            </w:r>
          </w:p>
        </w:tc>
        <w:tc>
          <w:tcPr>
            <w:tcW w:w="1453" w:type="dxa"/>
          </w:tcPr>
          <w:p w14:paraId="77547E6F" w14:textId="77777777" w:rsidR="0023618C" w:rsidRPr="00B832E0" w:rsidRDefault="0023618C">
            <w:pPr>
              <w:pStyle w:val="TableTextLeft"/>
              <w:spacing w:before="0"/>
            </w:pPr>
            <w:r w:rsidRPr="00B832E0">
              <w:t>9 years, 11 months </w:t>
            </w:r>
          </w:p>
        </w:tc>
        <w:tc>
          <w:tcPr>
            <w:tcW w:w="1221" w:type="dxa"/>
          </w:tcPr>
          <w:p w14:paraId="7F835CD6" w14:textId="77777777" w:rsidR="0023618C" w:rsidRPr="00B832E0" w:rsidRDefault="0023618C">
            <w:pPr>
              <w:pStyle w:val="TableTextLeft"/>
              <w:spacing w:before="0"/>
            </w:pPr>
            <w:r>
              <w:t>Modified</w:t>
            </w:r>
            <w:r w:rsidRPr="00B832E0">
              <w:t> </w:t>
            </w:r>
          </w:p>
        </w:tc>
      </w:tr>
      <w:tr w:rsidR="0023618C" w:rsidRPr="00B832E0" w14:paraId="7D9D524F" w14:textId="77777777">
        <w:trPr>
          <w:trHeight w:val="227"/>
        </w:trPr>
        <w:tc>
          <w:tcPr>
            <w:tcW w:w="2990" w:type="dxa"/>
            <w:shd w:val="clear" w:color="auto" w:fill="E6F2FF"/>
          </w:tcPr>
          <w:p w14:paraId="6500A2DF" w14:textId="77777777" w:rsidR="0023618C" w:rsidRPr="00B832E0" w:rsidRDefault="0023618C">
            <w:pPr>
              <w:pStyle w:val="TableColumnHeadingLeft"/>
              <w:spacing w:before="0"/>
            </w:pPr>
            <w:r w:rsidRPr="00B832E0">
              <w:t>Social Services</w:t>
            </w:r>
          </w:p>
        </w:tc>
        <w:tc>
          <w:tcPr>
            <w:tcW w:w="8549" w:type="dxa"/>
            <w:gridSpan w:val="5"/>
            <w:shd w:val="clear" w:color="auto" w:fill="E6F2FF"/>
          </w:tcPr>
          <w:p w14:paraId="64752871" w14:textId="77777777" w:rsidR="0023618C" w:rsidRPr="00B832E0" w:rsidRDefault="0023618C">
            <w:pPr>
              <w:pStyle w:val="TableColumnHeadingLeft"/>
              <w:spacing w:before="0"/>
              <w:rPr>
                <w:rFonts w:cs="Arial"/>
                <w:szCs w:val="16"/>
              </w:rPr>
            </w:pPr>
          </w:p>
        </w:tc>
      </w:tr>
      <w:tr w:rsidR="0023618C" w:rsidRPr="00B832E0" w14:paraId="045E44A2" w14:textId="77777777">
        <w:trPr>
          <w:trHeight w:val="227"/>
        </w:trPr>
        <w:tc>
          <w:tcPr>
            <w:tcW w:w="2990" w:type="dxa"/>
          </w:tcPr>
          <w:p w14:paraId="176BAA0C" w14:textId="77777777" w:rsidR="0023618C" w:rsidRPr="00B832E0" w:rsidRDefault="0023618C">
            <w:pPr>
              <w:pStyle w:val="TableTextLeft"/>
              <w:spacing w:before="0"/>
              <w:rPr>
                <w:rFonts w:cs="Arial"/>
                <w:szCs w:val="16"/>
              </w:rPr>
            </w:pPr>
            <w:r w:rsidRPr="00B832E0">
              <w:rPr>
                <w:rFonts w:cs="Arial"/>
                <w:szCs w:val="16"/>
              </w:rPr>
              <w:t>Home Equity Access Scheme</w:t>
            </w:r>
          </w:p>
        </w:tc>
        <w:tc>
          <w:tcPr>
            <w:tcW w:w="1830" w:type="dxa"/>
            <w:shd w:val="clear" w:color="auto" w:fill="auto"/>
          </w:tcPr>
          <w:p w14:paraId="18673FE4" w14:textId="515E9E54" w:rsidR="0023618C" w:rsidRPr="00B832E0" w:rsidRDefault="00D604FA">
            <w:pPr>
              <w:pStyle w:val="TableTextRight"/>
              <w:spacing w:before="0"/>
              <w:rPr>
                <w:rFonts w:cs="Arial"/>
                <w:szCs w:val="16"/>
              </w:rPr>
            </w:pPr>
            <w:r>
              <w:rPr>
                <w:rFonts w:cs="Arial"/>
                <w:szCs w:val="16"/>
              </w:rPr>
              <w:t>584</w:t>
            </w:r>
          </w:p>
        </w:tc>
        <w:tc>
          <w:tcPr>
            <w:tcW w:w="2564" w:type="dxa"/>
            <w:shd w:val="clear" w:color="auto" w:fill="auto"/>
          </w:tcPr>
          <w:p w14:paraId="4C0AC3C7" w14:textId="77777777" w:rsidR="0023618C" w:rsidRPr="00B832E0" w:rsidRDefault="0023618C">
            <w:pPr>
              <w:pStyle w:val="TableTextLeft"/>
              <w:spacing w:before="0"/>
              <w:rPr>
                <w:rFonts w:cs="Arial"/>
                <w:szCs w:val="16"/>
              </w:rPr>
            </w:pPr>
            <w:r>
              <w:rPr>
                <w:rFonts w:cs="Arial"/>
                <w:szCs w:val="16"/>
              </w:rPr>
              <w:t>Eligible older Australians</w:t>
            </w:r>
            <w:r w:rsidRPr="00B832E0">
              <w:rPr>
                <w:rFonts w:cs="Arial"/>
                <w:szCs w:val="16"/>
              </w:rPr>
              <w:t xml:space="preserve"> who meet residency requirements</w:t>
            </w:r>
            <w:r>
              <w:rPr>
                <w:rFonts w:cs="Arial"/>
                <w:szCs w:val="16"/>
              </w:rPr>
              <w:t xml:space="preserve"> </w:t>
            </w:r>
            <w:r w:rsidRPr="0007389D">
              <w:rPr>
                <w:rFonts w:cs="Arial"/>
                <w:szCs w:val="16"/>
              </w:rPr>
              <w:t>and own suitable real estate in Australia to use as security.</w:t>
            </w:r>
          </w:p>
        </w:tc>
        <w:tc>
          <w:tcPr>
            <w:tcW w:w="1481" w:type="dxa"/>
            <w:shd w:val="clear" w:color="auto" w:fill="auto"/>
          </w:tcPr>
          <w:p w14:paraId="54057ABD" w14:textId="77777777" w:rsidR="0023618C" w:rsidRPr="00B832E0" w:rsidRDefault="0023618C">
            <w:pPr>
              <w:pStyle w:val="TableTextLeft"/>
              <w:spacing w:before="0"/>
              <w:rPr>
                <w:rFonts w:cs="Arial"/>
                <w:szCs w:val="16"/>
              </w:rPr>
            </w:pPr>
            <w:r w:rsidRPr="00B832E0">
              <w:rPr>
                <w:rFonts w:cs="Arial"/>
                <w:szCs w:val="16"/>
              </w:rPr>
              <w:t>3.95</w:t>
            </w:r>
            <w:r>
              <w:rPr>
                <w:rFonts w:cs="Arial"/>
                <w:szCs w:val="16"/>
              </w:rPr>
              <w:t> per cent</w:t>
            </w:r>
          </w:p>
        </w:tc>
        <w:tc>
          <w:tcPr>
            <w:tcW w:w="1453" w:type="dxa"/>
            <w:shd w:val="clear" w:color="auto" w:fill="auto"/>
          </w:tcPr>
          <w:p w14:paraId="71428F81" w14:textId="77777777" w:rsidR="0023618C" w:rsidRPr="00B832E0" w:rsidRDefault="0023618C">
            <w:pPr>
              <w:pStyle w:val="TableTextLeft"/>
              <w:spacing w:before="0"/>
              <w:rPr>
                <w:rFonts w:cs="Arial"/>
                <w:szCs w:val="16"/>
              </w:rPr>
            </w:pPr>
            <w:r w:rsidRPr="00B832E0">
              <w:rPr>
                <w:rFonts w:cs="Arial"/>
                <w:szCs w:val="16"/>
              </w:rPr>
              <w:t>Various</w:t>
            </w:r>
          </w:p>
        </w:tc>
        <w:tc>
          <w:tcPr>
            <w:tcW w:w="1221" w:type="dxa"/>
          </w:tcPr>
          <w:p w14:paraId="218848D1" w14:textId="77777777" w:rsidR="0023618C" w:rsidRPr="00B832E0" w:rsidRDefault="0023618C">
            <w:pPr>
              <w:pStyle w:val="TableTextLeft"/>
              <w:spacing w:before="0"/>
              <w:rPr>
                <w:rFonts w:cs="Arial"/>
                <w:szCs w:val="16"/>
              </w:rPr>
            </w:pPr>
            <w:r>
              <w:rPr>
                <w:rFonts w:cs="Arial"/>
                <w:szCs w:val="16"/>
              </w:rPr>
              <w:t>Modified</w:t>
            </w:r>
          </w:p>
        </w:tc>
      </w:tr>
      <w:tr w:rsidR="0023618C" w:rsidRPr="00B832E0" w14:paraId="5D281604" w14:textId="77777777">
        <w:trPr>
          <w:trHeight w:val="227"/>
        </w:trPr>
        <w:tc>
          <w:tcPr>
            <w:tcW w:w="2990" w:type="dxa"/>
          </w:tcPr>
          <w:p w14:paraId="2F7BB200" w14:textId="77777777" w:rsidR="0023618C" w:rsidRPr="00B832E0" w:rsidRDefault="0023618C">
            <w:pPr>
              <w:pStyle w:val="TableTextLeft"/>
              <w:spacing w:before="0"/>
            </w:pPr>
            <w:r w:rsidRPr="00B832E0">
              <w:t>Student Financial Supplement Scheme</w:t>
            </w:r>
          </w:p>
        </w:tc>
        <w:tc>
          <w:tcPr>
            <w:tcW w:w="1830" w:type="dxa"/>
            <w:shd w:val="clear" w:color="auto" w:fill="auto"/>
          </w:tcPr>
          <w:p w14:paraId="376877DA" w14:textId="35ECED82" w:rsidR="0023618C" w:rsidRPr="00B832E0" w:rsidDel="00583E3C" w:rsidRDefault="0023618C">
            <w:pPr>
              <w:pStyle w:val="TableTextRight"/>
              <w:spacing w:before="0"/>
            </w:pPr>
            <w:r>
              <w:rPr>
                <w:rFonts w:cs="Arial"/>
                <w:szCs w:val="16"/>
              </w:rPr>
              <w:t>1</w:t>
            </w:r>
            <w:r w:rsidR="00DD627E">
              <w:rPr>
                <w:rFonts w:cs="Arial"/>
                <w:szCs w:val="16"/>
              </w:rPr>
              <w:t>21</w:t>
            </w:r>
          </w:p>
        </w:tc>
        <w:tc>
          <w:tcPr>
            <w:tcW w:w="2564" w:type="dxa"/>
            <w:shd w:val="clear" w:color="auto" w:fill="auto"/>
          </w:tcPr>
          <w:p w14:paraId="3DCAB578" w14:textId="77777777" w:rsidR="0023618C" w:rsidRPr="00B832E0" w:rsidRDefault="0023618C">
            <w:pPr>
              <w:pStyle w:val="TableTextLeft"/>
              <w:spacing w:before="0"/>
            </w:pPr>
            <w:r w:rsidRPr="00B832E0">
              <w:rPr>
                <w:rFonts w:cs="Arial"/>
                <w:szCs w:val="16"/>
              </w:rPr>
              <w:t xml:space="preserve">Eligible recipients of Youth Allowance (student), </w:t>
            </w:r>
            <w:proofErr w:type="spellStart"/>
            <w:r w:rsidRPr="00B832E0">
              <w:rPr>
                <w:rFonts w:cs="Arial"/>
                <w:szCs w:val="16"/>
              </w:rPr>
              <w:t>Austudy</w:t>
            </w:r>
            <w:proofErr w:type="spellEnd"/>
            <w:r w:rsidRPr="00B832E0">
              <w:rPr>
                <w:rFonts w:cs="Arial"/>
                <w:szCs w:val="16"/>
              </w:rPr>
              <w:t xml:space="preserve"> and ABSTUDY recipients </w:t>
            </w:r>
          </w:p>
        </w:tc>
        <w:tc>
          <w:tcPr>
            <w:tcW w:w="1481" w:type="dxa"/>
            <w:shd w:val="clear" w:color="auto" w:fill="auto"/>
          </w:tcPr>
          <w:p w14:paraId="24A09D2E" w14:textId="77777777" w:rsidR="0023618C" w:rsidRPr="00B832E0" w:rsidRDefault="0023618C">
            <w:pPr>
              <w:pStyle w:val="TableTextLeft"/>
              <w:spacing w:before="0"/>
            </w:pPr>
            <w:r w:rsidRPr="009B21A8">
              <w:rPr>
                <w:rFonts w:cs="Arial"/>
                <w:szCs w:val="16"/>
              </w:rPr>
              <w:t>The lower of WPI or CPI growth</w:t>
            </w:r>
          </w:p>
        </w:tc>
        <w:tc>
          <w:tcPr>
            <w:tcW w:w="1453" w:type="dxa"/>
            <w:shd w:val="clear" w:color="auto" w:fill="auto"/>
          </w:tcPr>
          <w:p w14:paraId="40BAA65B" w14:textId="77777777" w:rsidR="0023618C" w:rsidRPr="00B832E0" w:rsidRDefault="0023618C">
            <w:pPr>
              <w:pStyle w:val="TableTextLeft"/>
              <w:spacing w:before="0"/>
            </w:pPr>
            <w:r w:rsidRPr="00B832E0">
              <w:rPr>
                <w:rFonts w:cs="Arial"/>
                <w:szCs w:val="16"/>
              </w:rPr>
              <w:t>Various </w:t>
            </w:r>
          </w:p>
        </w:tc>
        <w:tc>
          <w:tcPr>
            <w:tcW w:w="1221" w:type="dxa"/>
          </w:tcPr>
          <w:p w14:paraId="538CD72F" w14:textId="77777777" w:rsidR="0023618C" w:rsidRPr="00B832E0" w:rsidRDefault="0023618C">
            <w:pPr>
              <w:pStyle w:val="TableTextLeft"/>
              <w:spacing w:before="0"/>
            </w:pPr>
            <w:r>
              <w:rPr>
                <w:rFonts w:cs="Arial"/>
                <w:szCs w:val="16"/>
              </w:rPr>
              <w:t>Modified</w:t>
            </w:r>
            <w:r w:rsidRPr="00B832E0">
              <w:rPr>
                <w:rFonts w:cs="Arial"/>
                <w:szCs w:val="16"/>
              </w:rPr>
              <w:t> </w:t>
            </w:r>
          </w:p>
        </w:tc>
      </w:tr>
    </w:tbl>
    <w:p w14:paraId="16E64359" w14:textId="77777777" w:rsidR="0023618C" w:rsidRDefault="0023618C" w:rsidP="005E6CB2">
      <w:pPr>
        <w:pStyle w:val="SingleParagraph"/>
        <w:rPr>
          <w:rFonts w:ascii="Arial Bold" w:eastAsia="Arial" w:hAnsi="Arial Bold"/>
          <w:sz w:val="20"/>
        </w:rPr>
      </w:pPr>
      <w:r>
        <w:rPr>
          <w:rFonts w:eastAsia="Arial"/>
        </w:rPr>
        <w:br w:type="page"/>
      </w:r>
    </w:p>
    <w:p w14:paraId="1AB276FD" w14:textId="5D606AC4" w:rsidR="0023618C" w:rsidRPr="00B832E0" w:rsidRDefault="0023618C" w:rsidP="0023618C">
      <w:pPr>
        <w:pStyle w:val="TableHeadingcontinued"/>
        <w:rPr>
          <w:rFonts w:eastAsia="Arial"/>
        </w:rPr>
      </w:pPr>
      <w:r w:rsidRPr="00010F87">
        <w:rPr>
          <w:rFonts w:eastAsia="Arial"/>
        </w:rPr>
        <w:lastRenderedPageBreak/>
        <w:t xml:space="preserve">Table </w:t>
      </w:r>
      <w:r w:rsidR="00A306E0">
        <w:rPr>
          <w:rFonts w:eastAsia="Arial"/>
        </w:rPr>
        <w:t>8</w:t>
      </w:r>
      <w:r w:rsidRPr="00010F87">
        <w:rPr>
          <w:rFonts w:eastAsia="Arial"/>
        </w:rPr>
        <w:t>.3:</w:t>
      </w:r>
      <w:r w:rsidRPr="00B832E0">
        <w:rPr>
          <w:rFonts w:eastAsia="Arial"/>
        </w:rPr>
        <w:t xml:space="preserve"> Summary of Australian Government loans meeting the materiality threshold (continued)</w:t>
      </w:r>
    </w:p>
    <w:tbl>
      <w:tblPr>
        <w:tblW w:w="5000" w:type="pct"/>
        <w:tblBorders>
          <w:top w:val="single" w:sz="4" w:space="0" w:color="002A54" w:themeColor="text2"/>
          <w:bottom w:val="single" w:sz="4" w:space="0" w:color="002A54" w:themeColor="text2"/>
          <w:insideH w:val="single" w:sz="4" w:space="0" w:color="002A54" w:themeColor="text2"/>
        </w:tblBorders>
        <w:tblLayout w:type="fixed"/>
        <w:tblLook w:val="04A0" w:firstRow="1" w:lastRow="0" w:firstColumn="1" w:lastColumn="0" w:noHBand="0" w:noVBand="1"/>
        <w:tblCaption w:val="Table"/>
      </w:tblPr>
      <w:tblGrid>
        <w:gridCol w:w="2834"/>
        <w:gridCol w:w="143"/>
        <w:gridCol w:w="1701"/>
        <w:gridCol w:w="2693"/>
        <w:gridCol w:w="1844"/>
        <w:gridCol w:w="1274"/>
        <w:gridCol w:w="1050"/>
      </w:tblGrid>
      <w:tr w:rsidR="0023618C" w:rsidRPr="00B832E0" w14:paraId="6F11F09F" w14:textId="77777777" w:rsidTr="005B339A">
        <w:trPr>
          <w:trHeight w:val="113"/>
          <w:tblHeader/>
        </w:trPr>
        <w:tc>
          <w:tcPr>
            <w:tcW w:w="1228" w:type="pct"/>
            <w:shd w:val="clear" w:color="auto" w:fill="E6F2FF"/>
            <w:vAlign w:val="bottom"/>
          </w:tcPr>
          <w:p w14:paraId="4B8B9097" w14:textId="77777777" w:rsidR="0023618C" w:rsidRPr="002D23BA" w:rsidRDefault="0023618C" w:rsidP="00027855">
            <w:pPr>
              <w:pStyle w:val="TableColumnHeadingLeft"/>
              <w:spacing w:before="0" w:after="20"/>
            </w:pPr>
            <w:r>
              <w:t>Portfolio</w:t>
            </w:r>
          </w:p>
        </w:tc>
        <w:tc>
          <w:tcPr>
            <w:tcW w:w="799" w:type="pct"/>
            <w:gridSpan w:val="2"/>
            <w:shd w:val="clear" w:color="auto" w:fill="E6F2FF"/>
          </w:tcPr>
          <w:p w14:paraId="4436D20A" w14:textId="77777777" w:rsidR="0023618C" w:rsidRPr="00B832E0" w:rsidRDefault="0023618C" w:rsidP="00027855">
            <w:pPr>
              <w:pStyle w:val="TableColumnHeadingRight"/>
              <w:spacing w:before="0" w:after="20"/>
            </w:pPr>
            <w:r w:rsidRPr="00B832E0">
              <w:t>Loan amount</w:t>
            </w:r>
            <w:r w:rsidRPr="00B832E0">
              <w:rPr>
                <w:sz w:val="18"/>
                <w:szCs w:val="18"/>
                <w:vertAlign w:val="superscript"/>
              </w:rPr>
              <w:t xml:space="preserve">(a) </w:t>
            </w:r>
            <w:r w:rsidRPr="00B832E0">
              <w:rPr>
                <w:szCs w:val="16"/>
              </w:rPr>
              <w:t>($m)</w:t>
            </w:r>
          </w:p>
        </w:tc>
        <w:tc>
          <w:tcPr>
            <w:tcW w:w="1167" w:type="pct"/>
            <w:shd w:val="clear" w:color="auto" w:fill="E6F2FF"/>
            <w:vAlign w:val="bottom"/>
          </w:tcPr>
          <w:p w14:paraId="062493AA" w14:textId="77777777" w:rsidR="0023618C" w:rsidRPr="00B832E0" w:rsidRDefault="0023618C" w:rsidP="00027855">
            <w:pPr>
              <w:pStyle w:val="TableColumnHeadingLeft"/>
              <w:spacing w:before="0" w:after="20"/>
            </w:pPr>
            <w:r w:rsidRPr="00B832E0">
              <w:t>Borrower</w:t>
            </w:r>
          </w:p>
        </w:tc>
        <w:tc>
          <w:tcPr>
            <w:tcW w:w="799" w:type="pct"/>
            <w:shd w:val="clear" w:color="auto" w:fill="E6F2FF"/>
            <w:vAlign w:val="bottom"/>
          </w:tcPr>
          <w:p w14:paraId="4441A5EB" w14:textId="77777777" w:rsidR="0023618C" w:rsidRPr="00B832E0" w:rsidRDefault="0023618C" w:rsidP="00027855">
            <w:pPr>
              <w:pStyle w:val="TableColumnHeadingLeft"/>
              <w:spacing w:before="0" w:after="20"/>
            </w:pPr>
            <w:r w:rsidRPr="00B832E0">
              <w:t>Interest rate</w:t>
            </w:r>
          </w:p>
        </w:tc>
        <w:tc>
          <w:tcPr>
            <w:tcW w:w="552" w:type="pct"/>
            <w:shd w:val="clear" w:color="auto" w:fill="E6F2FF"/>
            <w:vAlign w:val="bottom"/>
          </w:tcPr>
          <w:p w14:paraId="2586F4F3" w14:textId="77777777" w:rsidR="0023618C" w:rsidRPr="00B832E0" w:rsidRDefault="0023618C" w:rsidP="00027855">
            <w:pPr>
              <w:pStyle w:val="TableColumnHeadingLeft"/>
              <w:spacing w:before="0" w:after="20"/>
            </w:pPr>
            <w:r w:rsidRPr="00B832E0">
              <w:t>Term</w:t>
            </w:r>
          </w:p>
        </w:tc>
        <w:tc>
          <w:tcPr>
            <w:tcW w:w="455" w:type="pct"/>
            <w:shd w:val="clear" w:color="auto" w:fill="E6F2FF"/>
            <w:vAlign w:val="bottom"/>
          </w:tcPr>
          <w:p w14:paraId="456FDA2E" w14:textId="77777777" w:rsidR="0023618C" w:rsidRPr="00B832E0" w:rsidRDefault="0023618C" w:rsidP="00027855">
            <w:pPr>
              <w:pStyle w:val="TableColumnHeadingLeft"/>
              <w:spacing w:before="0" w:after="20"/>
            </w:pPr>
            <w:r w:rsidRPr="00B832E0">
              <w:t>Status</w:t>
            </w:r>
            <w:r w:rsidRPr="00B832E0">
              <w:rPr>
                <w:sz w:val="18"/>
                <w:szCs w:val="18"/>
                <w:vertAlign w:val="superscript"/>
              </w:rPr>
              <w:t>(b)</w:t>
            </w:r>
          </w:p>
        </w:tc>
      </w:tr>
      <w:tr w:rsidR="0023618C" w:rsidRPr="00B832E0" w14:paraId="71FBEE8B" w14:textId="77777777" w:rsidTr="005B339A">
        <w:trPr>
          <w:trHeight w:val="113"/>
        </w:trPr>
        <w:tc>
          <w:tcPr>
            <w:tcW w:w="5000" w:type="pct"/>
            <w:gridSpan w:val="7"/>
            <w:shd w:val="clear" w:color="auto" w:fill="E6F2FF"/>
          </w:tcPr>
          <w:p w14:paraId="1E4902C4" w14:textId="77777777" w:rsidR="0023618C" w:rsidRPr="00B832E0" w:rsidRDefault="0023618C" w:rsidP="00027855">
            <w:pPr>
              <w:pStyle w:val="TableColumnHeadingLeft"/>
              <w:spacing w:before="0" w:after="20"/>
            </w:pPr>
            <w:r w:rsidRPr="00B832E0">
              <w:t>Social Services</w:t>
            </w:r>
          </w:p>
        </w:tc>
      </w:tr>
      <w:tr w:rsidR="0023618C" w:rsidRPr="00B832E0" w14:paraId="2381EAA1" w14:textId="77777777" w:rsidTr="005B339A">
        <w:trPr>
          <w:trHeight w:val="113"/>
        </w:trPr>
        <w:tc>
          <w:tcPr>
            <w:tcW w:w="1290" w:type="pct"/>
            <w:gridSpan w:val="2"/>
            <w:shd w:val="clear" w:color="auto" w:fill="auto"/>
          </w:tcPr>
          <w:p w14:paraId="68FB466D" w14:textId="7666FC0C" w:rsidR="0023618C" w:rsidRPr="116C2317" w:rsidRDefault="0023618C" w:rsidP="00027855">
            <w:pPr>
              <w:pStyle w:val="TableTextLeft"/>
              <w:spacing w:before="0"/>
              <w:rPr>
                <w:rFonts w:cs="Arial"/>
              </w:rPr>
            </w:pPr>
            <w:r w:rsidRPr="00B832E0">
              <w:t>Student Start</w:t>
            </w:r>
            <w:r w:rsidR="00D23095">
              <w:noBreakHyphen/>
            </w:r>
            <w:r w:rsidRPr="00B832E0">
              <w:t>up Loan</w:t>
            </w:r>
          </w:p>
        </w:tc>
        <w:tc>
          <w:tcPr>
            <w:tcW w:w="737" w:type="pct"/>
            <w:shd w:val="clear" w:color="auto" w:fill="auto"/>
          </w:tcPr>
          <w:p w14:paraId="0AC9AE39" w14:textId="56ECD989" w:rsidR="0023618C" w:rsidRPr="006330CA" w:rsidRDefault="00DD627E" w:rsidP="00027855">
            <w:pPr>
              <w:pStyle w:val="TableTextRight"/>
              <w:spacing w:before="0"/>
            </w:pPr>
            <w:r>
              <w:t>917</w:t>
            </w:r>
          </w:p>
        </w:tc>
        <w:tc>
          <w:tcPr>
            <w:tcW w:w="1167" w:type="pct"/>
            <w:shd w:val="clear" w:color="auto" w:fill="auto"/>
          </w:tcPr>
          <w:p w14:paraId="762D8663" w14:textId="77777777" w:rsidR="0023618C" w:rsidRPr="006330CA" w:rsidRDefault="0023618C" w:rsidP="00027855">
            <w:pPr>
              <w:pStyle w:val="TableTextLeft"/>
              <w:spacing w:before="0"/>
            </w:pPr>
            <w:r w:rsidRPr="006330CA">
              <w:t xml:space="preserve">Eligible Youth Allowance (student), </w:t>
            </w:r>
            <w:proofErr w:type="spellStart"/>
            <w:r w:rsidRPr="006330CA">
              <w:t>Austudy</w:t>
            </w:r>
            <w:proofErr w:type="spellEnd"/>
            <w:r w:rsidRPr="006330CA">
              <w:t xml:space="preserve"> and ABSTUDY Living Allowance recipients </w:t>
            </w:r>
          </w:p>
        </w:tc>
        <w:tc>
          <w:tcPr>
            <w:tcW w:w="799" w:type="pct"/>
            <w:shd w:val="clear" w:color="auto" w:fill="auto"/>
          </w:tcPr>
          <w:p w14:paraId="4B898152" w14:textId="77777777" w:rsidR="0023618C" w:rsidRPr="006330CA" w:rsidRDefault="0023618C" w:rsidP="00027855">
            <w:pPr>
              <w:pStyle w:val="TableTextLeft"/>
              <w:spacing w:before="0"/>
            </w:pPr>
            <w:r w:rsidRPr="006330CA">
              <w:t>The lower of WPI or CPI growth</w:t>
            </w:r>
          </w:p>
        </w:tc>
        <w:tc>
          <w:tcPr>
            <w:tcW w:w="552" w:type="pct"/>
            <w:shd w:val="clear" w:color="auto" w:fill="auto"/>
          </w:tcPr>
          <w:p w14:paraId="7532FC48" w14:textId="77777777" w:rsidR="0023618C" w:rsidRPr="006330CA" w:rsidRDefault="0023618C" w:rsidP="00027855">
            <w:pPr>
              <w:pStyle w:val="TableTextLeft"/>
              <w:spacing w:before="0"/>
            </w:pPr>
            <w:r w:rsidRPr="006330CA">
              <w:t>Various </w:t>
            </w:r>
          </w:p>
        </w:tc>
        <w:tc>
          <w:tcPr>
            <w:tcW w:w="455" w:type="pct"/>
            <w:shd w:val="clear" w:color="auto" w:fill="auto"/>
          </w:tcPr>
          <w:p w14:paraId="400539A9" w14:textId="77777777" w:rsidR="0023618C" w:rsidRPr="006330CA" w:rsidRDefault="0023618C" w:rsidP="00027855">
            <w:pPr>
              <w:pStyle w:val="TableTextLeft"/>
              <w:spacing w:before="0"/>
            </w:pPr>
            <w:r w:rsidRPr="006330CA" w:rsidDel="00784A75">
              <w:t>Modified </w:t>
            </w:r>
          </w:p>
        </w:tc>
      </w:tr>
      <w:tr w:rsidR="0023618C" w:rsidRPr="00B832E0" w14:paraId="5067CDBD" w14:textId="77777777" w:rsidTr="005B339A">
        <w:trPr>
          <w:trHeight w:val="113"/>
        </w:trPr>
        <w:tc>
          <w:tcPr>
            <w:tcW w:w="5000" w:type="pct"/>
            <w:gridSpan w:val="7"/>
            <w:shd w:val="clear" w:color="auto" w:fill="E6F2FF"/>
          </w:tcPr>
          <w:p w14:paraId="4A12DAFC" w14:textId="77777777" w:rsidR="0023618C" w:rsidRPr="006330CA" w:rsidRDefault="0023618C" w:rsidP="00027855">
            <w:pPr>
              <w:pStyle w:val="TableColumnHeadingLeft"/>
              <w:spacing w:before="0" w:after="20"/>
            </w:pPr>
            <w:r w:rsidRPr="006330CA">
              <w:t>Treasury</w:t>
            </w:r>
          </w:p>
        </w:tc>
      </w:tr>
      <w:tr w:rsidR="0023618C" w:rsidRPr="00B832E0" w14:paraId="149AE139" w14:textId="77777777" w:rsidTr="005B339A">
        <w:trPr>
          <w:trHeight w:val="113"/>
        </w:trPr>
        <w:tc>
          <w:tcPr>
            <w:tcW w:w="1290" w:type="pct"/>
            <w:gridSpan w:val="2"/>
            <w:shd w:val="clear" w:color="auto" w:fill="auto"/>
          </w:tcPr>
          <w:p w14:paraId="394C9D7C" w14:textId="77777777" w:rsidR="0023618C" w:rsidRPr="006330CA" w:rsidRDefault="0023618C" w:rsidP="00027855">
            <w:pPr>
              <w:pStyle w:val="TableTextLeft"/>
              <w:spacing w:before="0"/>
            </w:pPr>
            <w:r w:rsidRPr="006330CA">
              <w:t>Affordable Housing Bond Aggregator </w:t>
            </w:r>
          </w:p>
        </w:tc>
        <w:tc>
          <w:tcPr>
            <w:tcW w:w="737" w:type="pct"/>
            <w:shd w:val="clear" w:color="auto" w:fill="auto"/>
          </w:tcPr>
          <w:p w14:paraId="4B425F02" w14:textId="57625208" w:rsidR="0023618C" w:rsidRPr="00B30EB5" w:rsidRDefault="00636027" w:rsidP="00027855">
            <w:pPr>
              <w:pStyle w:val="TableTextRight"/>
              <w:spacing w:before="0"/>
            </w:pPr>
            <w:r>
              <w:t>703</w:t>
            </w:r>
          </w:p>
        </w:tc>
        <w:tc>
          <w:tcPr>
            <w:tcW w:w="1167" w:type="pct"/>
            <w:shd w:val="clear" w:color="auto" w:fill="auto"/>
          </w:tcPr>
          <w:p w14:paraId="4C43BC13" w14:textId="77777777" w:rsidR="0023618C" w:rsidRPr="006330CA" w:rsidRDefault="0023618C" w:rsidP="00027855">
            <w:pPr>
              <w:pStyle w:val="TableTextLeft"/>
              <w:spacing w:before="0"/>
            </w:pPr>
            <w:r w:rsidRPr="006330CA">
              <w:t>Housing Australia</w:t>
            </w:r>
          </w:p>
        </w:tc>
        <w:tc>
          <w:tcPr>
            <w:tcW w:w="799" w:type="pct"/>
            <w:shd w:val="clear" w:color="auto" w:fill="auto"/>
          </w:tcPr>
          <w:p w14:paraId="5D92F167" w14:textId="77777777" w:rsidR="0023618C" w:rsidRPr="006330CA" w:rsidRDefault="0023618C" w:rsidP="00027855">
            <w:pPr>
              <w:pStyle w:val="TableTextLeft"/>
              <w:spacing w:before="0"/>
            </w:pPr>
            <w:r w:rsidRPr="006330CA">
              <w:t>Commonwealth cost of borrowing </w:t>
            </w:r>
          </w:p>
        </w:tc>
        <w:tc>
          <w:tcPr>
            <w:tcW w:w="552" w:type="pct"/>
            <w:shd w:val="clear" w:color="auto" w:fill="auto"/>
          </w:tcPr>
          <w:p w14:paraId="6943E7B7" w14:textId="77777777" w:rsidR="0023618C" w:rsidRPr="006330CA" w:rsidRDefault="0023618C" w:rsidP="00027855">
            <w:pPr>
              <w:pStyle w:val="TableTextLeft"/>
              <w:spacing w:before="0"/>
            </w:pPr>
            <w:r w:rsidRPr="006330CA">
              <w:t>Various </w:t>
            </w:r>
          </w:p>
        </w:tc>
        <w:tc>
          <w:tcPr>
            <w:tcW w:w="455" w:type="pct"/>
            <w:shd w:val="clear" w:color="auto" w:fill="auto"/>
          </w:tcPr>
          <w:p w14:paraId="6D1D3583" w14:textId="77777777" w:rsidR="0023618C" w:rsidRPr="006330CA" w:rsidRDefault="0023618C" w:rsidP="00027855">
            <w:pPr>
              <w:pStyle w:val="TableTextLeft"/>
              <w:spacing w:before="0"/>
            </w:pPr>
            <w:r w:rsidRPr="006330CA">
              <w:t>Modified</w:t>
            </w:r>
          </w:p>
        </w:tc>
      </w:tr>
      <w:tr w:rsidR="0023618C" w:rsidRPr="00B832E0" w14:paraId="104E0E43" w14:textId="77777777" w:rsidTr="005B339A">
        <w:trPr>
          <w:trHeight w:val="113"/>
        </w:trPr>
        <w:tc>
          <w:tcPr>
            <w:tcW w:w="1290" w:type="pct"/>
            <w:gridSpan w:val="2"/>
            <w:shd w:val="clear" w:color="auto" w:fill="auto"/>
          </w:tcPr>
          <w:p w14:paraId="14BEFA49" w14:textId="26280D40" w:rsidR="0023618C" w:rsidRPr="006330CA" w:rsidRDefault="0023618C" w:rsidP="00027855">
            <w:pPr>
              <w:pStyle w:val="TableTextLeft"/>
              <w:spacing w:before="0"/>
            </w:pPr>
            <w:r w:rsidRPr="006330CA">
              <w:t>Commonwealth</w:t>
            </w:r>
            <w:r w:rsidR="00D23095">
              <w:noBreakHyphen/>
            </w:r>
            <w:r w:rsidRPr="006330CA">
              <w:t>State financing arrangements – housing and specific purpose capital </w:t>
            </w:r>
          </w:p>
        </w:tc>
        <w:tc>
          <w:tcPr>
            <w:tcW w:w="737" w:type="pct"/>
            <w:shd w:val="clear" w:color="auto" w:fill="auto"/>
          </w:tcPr>
          <w:p w14:paraId="7D948D4B" w14:textId="6CB2FCF0" w:rsidR="0023618C" w:rsidRPr="00B30EB5" w:rsidRDefault="00636027" w:rsidP="00027855">
            <w:pPr>
              <w:pStyle w:val="TableTextRight"/>
              <w:spacing w:before="0"/>
            </w:pPr>
            <w:r>
              <w:t>1</w:t>
            </w:r>
            <w:r w:rsidR="005A6905">
              <w:t>,</w:t>
            </w:r>
            <w:r>
              <w:t>089</w:t>
            </w:r>
          </w:p>
        </w:tc>
        <w:tc>
          <w:tcPr>
            <w:tcW w:w="1167" w:type="pct"/>
            <w:shd w:val="clear" w:color="auto" w:fill="auto"/>
          </w:tcPr>
          <w:p w14:paraId="46FD8117" w14:textId="77777777" w:rsidR="0023618C" w:rsidRPr="006330CA" w:rsidRDefault="0023618C" w:rsidP="00027855">
            <w:pPr>
              <w:pStyle w:val="TableTextLeft"/>
              <w:spacing w:before="0"/>
            </w:pPr>
            <w:r w:rsidRPr="006330CA">
              <w:t>State and Northern Territory governments </w:t>
            </w:r>
          </w:p>
        </w:tc>
        <w:tc>
          <w:tcPr>
            <w:tcW w:w="799" w:type="pct"/>
            <w:shd w:val="clear" w:color="auto" w:fill="auto"/>
          </w:tcPr>
          <w:p w14:paraId="064E192A" w14:textId="6751FD57" w:rsidR="0023618C" w:rsidRPr="006330CA" w:rsidRDefault="0023618C" w:rsidP="00027855">
            <w:pPr>
              <w:pStyle w:val="TableTextLeft"/>
              <w:spacing w:before="0"/>
            </w:pPr>
            <w:r w:rsidRPr="006330CA">
              <w:t>4.0 per cent – </w:t>
            </w:r>
            <w:r w:rsidRPr="006330CA">
              <w:br/>
            </w:r>
            <w:r w:rsidR="00B940FA">
              <w:t>5</w:t>
            </w:r>
            <w:r w:rsidRPr="006330CA">
              <w:t>.0 per cent </w:t>
            </w:r>
          </w:p>
        </w:tc>
        <w:tc>
          <w:tcPr>
            <w:tcW w:w="552" w:type="pct"/>
            <w:shd w:val="clear" w:color="auto" w:fill="auto"/>
          </w:tcPr>
          <w:p w14:paraId="7D281082" w14:textId="77777777" w:rsidR="0023618C" w:rsidRPr="006330CA" w:rsidRDefault="0023618C" w:rsidP="00027855">
            <w:pPr>
              <w:pStyle w:val="TableTextLeft"/>
              <w:spacing w:before="0"/>
            </w:pPr>
            <w:r w:rsidRPr="006330CA">
              <w:t>Up to 30 June 2042 </w:t>
            </w:r>
          </w:p>
        </w:tc>
        <w:tc>
          <w:tcPr>
            <w:tcW w:w="455" w:type="pct"/>
            <w:shd w:val="clear" w:color="auto" w:fill="auto"/>
          </w:tcPr>
          <w:p w14:paraId="050E4A89" w14:textId="77777777" w:rsidR="0023618C" w:rsidRPr="006330CA" w:rsidRDefault="0023618C" w:rsidP="00027855">
            <w:pPr>
              <w:pStyle w:val="TableTextLeft"/>
              <w:spacing w:before="0"/>
            </w:pPr>
            <w:r w:rsidRPr="006330CA">
              <w:t>Modified</w:t>
            </w:r>
          </w:p>
        </w:tc>
      </w:tr>
      <w:tr w:rsidR="0023618C" w:rsidRPr="00B832E0" w14:paraId="5D9FEBF4" w14:textId="77777777" w:rsidTr="005B339A">
        <w:trPr>
          <w:trHeight w:val="113"/>
        </w:trPr>
        <w:tc>
          <w:tcPr>
            <w:tcW w:w="1290" w:type="pct"/>
            <w:gridSpan w:val="2"/>
            <w:shd w:val="clear" w:color="auto" w:fill="auto"/>
          </w:tcPr>
          <w:p w14:paraId="1D85E56D" w14:textId="77777777" w:rsidR="0023618C" w:rsidRPr="006330CA" w:rsidRDefault="0023618C" w:rsidP="00027855">
            <w:pPr>
              <w:pStyle w:val="TableTextLeft"/>
              <w:spacing w:before="0"/>
            </w:pPr>
            <w:r w:rsidRPr="006330CA">
              <w:t>International Monetary Fund – Poverty Reduction and Growth Trust</w:t>
            </w:r>
          </w:p>
        </w:tc>
        <w:tc>
          <w:tcPr>
            <w:tcW w:w="737" w:type="pct"/>
            <w:shd w:val="clear" w:color="auto" w:fill="auto"/>
          </w:tcPr>
          <w:p w14:paraId="34BF4C35" w14:textId="4F70D6EF" w:rsidR="0023618C" w:rsidRPr="00B30EB5" w:rsidRDefault="00A844F2" w:rsidP="00027855">
            <w:pPr>
              <w:pStyle w:val="TableTextRight"/>
              <w:spacing w:before="0"/>
            </w:pPr>
            <w:r>
              <w:t>551</w:t>
            </w:r>
          </w:p>
        </w:tc>
        <w:tc>
          <w:tcPr>
            <w:tcW w:w="1167" w:type="pct"/>
            <w:shd w:val="clear" w:color="auto" w:fill="auto"/>
          </w:tcPr>
          <w:p w14:paraId="29DB5D47" w14:textId="77777777" w:rsidR="0023618C" w:rsidRPr="006330CA" w:rsidRDefault="0023618C" w:rsidP="00027855">
            <w:pPr>
              <w:pStyle w:val="TableTextLeft"/>
              <w:spacing w:before="0"/>
            </w:pPr>
            <w:r w:rsidRPr="006330CA">
              <w:t>International Monetary Fund </w:t>
            </w:r>
          </w:p>
        </w:tc>
        <w:tc>
          <w:tcPr>
            <w:tcW w:w="799" w:type="pct"/>
            <w:shd w:val="clear" w:color="auto" w:fill="auto"/>
          </w:tcPr>
          <w:p w14:paraId="5F964655" w14:textId="77777777" w:rsidR="0023618C" w:rsidRPr="006330CA" w:rsidRDefault="0023618C" w:rsidP="00027855">
            <w:pPr>
              <w:pStyle w:val="TableTextLeft"/>
              <w:spacing w:before="0"/>
            </w:pPr>
            <w:r w:rsidRPr="006330CA">
              <w:t>IMF SDR interest rate </w:t>
            </w:r>
          </w:p>
        </w:tc>
        <w:tc>
          <w:tcPr>
            <w:tcW w:w="552" w:type="pct"/>
            <w:shd w:val="clear" w:color="auto" w:fill="auto"/>
          </w:tcPr>
          <w:p w14:paraId="2315070B" w14:textId="77777777" w:rsidR="0023618C" w:rsidRPr="006330CA" w:rsidRDefault="0023618C" w:rsidP="00027855">
            <w:pPr>
              <w:pStyle w:val="TableTextLeft"/>
              <w:spacing w:before="0"/>
            </w:pPr>
            <w:r w:rsidRPr="006330CA">
              <w:t>10 years </w:t>
            </w:r>
          </w:p>
        </w:tc>
        <w:tc>
          <w:tcPr>
            <w:tcW w:w="455" w:type="pct"/>
            <w:shd w:val="clear" w:color="auto" w:fill="auto"/>
          </w:tcPr>
          <w:p w14:paraId="78BBF481" w14:textId="77777777" w:rsidR="0023618C" w:rsidRPr="006330CA" w:rsidRDefault="0023618C" w:rsidP="00027855">
            <w:pPr>
              <w:pStyle w:val="TableTextLeft"/>
              <w:spacing w:before="0"/>
            </w:pPr>
            <w:r w:rsidRPr="006330CA">
              <w:t>Modified </w:t>
            </w:r>
          </w:p>
        </w:tc>
      </w:tr>
      <w:tr w:rsidR="0023618C" w:rsidRPr="00B832E0" w14:paraId="57B4A542" w14:textId="77777777" w:rsidTr="005B339A">
        <w:trPr>
          <w:trHeight w:val="113"/>
        </w:trPr>
        <w:tc>
          <w:tcPr>
            <w:tcW w:w="1290" w:type="pct"/>
            <w:gridSpan w:val="2"/>
            <w:shd w:val="clear" w:color="auto" w:fill="auto"/>
          </w:tcPr>
          <w:p w14:paraId="5B2BC97A" w14:textId="77777777" w:rsidR="0023618C" w:rsidRPr="006330CA" w:rsidRDefault="0023618C" w:rsidP="00027855">
            <w:pPr>
              <w:pStyle w:val="TableTextLeft"/>
              <w:spacing w:before="0"/>
            </w:pPr>
            <w:r w:rsidRPr="006330CA">
              <w:t>International Monetary Fund – Resilience and Sustainability Trust</w:t>
            </w:r>
          </w:p>
        </w:tc>
        <w:tc>
          <w:tcPr>
            <w:tcW w:w="737" w:type="pct"/>
            <w:shd w:val="clear" w:color="auto" w:fill="auto"/>
          </w:tcPr>
          <w:p w14:paraId="39DD455B" w14:textId="36F270FB" w:rsidR="0023618C" w:rsidRPr="00B30EB5" w:rsidRDefault="00A844F2" w:rsidP="00027855">
            <w:pPr>
              <w:pStyle w:val="TableTextRight"/>
              <w:spacing w:before="0"/>
              <w:rPr>
                <w:rFonts w:eastAsia="Book Antiqua"/>
              </w:rPr>
            </w:pPr>
            <w:r>
              <w:t>152</w:t>
            </w:r>
          </w:p>
        </w:tc>
        <w:tc>
          <w:tcPr>
            <w:tcW w:w="1167" w:type="pct"/>
            <w:shd w:val="clear" w:color="auto" w:fill="auto"/>
          </w:tcPr>
          <w:p w14:paraId="78BA8D72" w14:textId="77777777" w:rsidR="0023618C" w:rsidRPr="006330CA" w:rsidRDefault="0023618C" w:rsidP="00027855">
            <w:pPr>
              <w:pStyle w:val="TableTextLeft"/>
              <w:spacing w:before="0"/>
            </w:pPr>
            <w:r w:rsidRPr="006330CA">
              <w:t>International Monetary Fund </w:t>
            </w:r>
          </w:p>
        </w:tc>
        <w:tc>
          <w:tcPr>
            <w:tcW w:w="799" w:type="pct"/>
            <w:shd w:val="clear" w:color="auto" w:fill="auto"/>
          </w:tcPr>
          <w:p w14:paraId="27D14301" w14:textId="77777777" w:rsidR="0023618C" w:rsidRPr="006330CA" w:rsidRDefault="0023618C" w:rsidP="00027855">
            <w:pPr>
              <w:pStyle w:val="TableTextLeft"/>
              <w:spacing w:before="0"/>
            </w:pPr>
            <w:r w:rsidRPr="006330CA">
              <w:t>IMF SDR interest rate </w:t>
            </w:r>
          </w:p>
        </w:tc>
        <w:tc>
          <w:tcPr>
            <w:tcW w:w="552" w:type="pct"/>
            <w:shd w:val="clear" w:color="auto" w:fill="auto"/>
          </w:tcPr>
          <w:p w14:paraId="2204491E" w14:textId="77777777" w:rsidR="0023618C" w:rsidRPr="006330CA" w:rsidRDefault="0023618C" w:rsidP="00027855">
            <w:pPr>
              <w:pStyle w:val="TableTextLeft"/>
              <w:spacing w:before="0"/>
            </w:pPr>
            <w:r w:rsidRPr="006330CA">
              <w:t>20 years </w:t>
            </w:r>
          </w:p>
        </w:tc>
        <w:tc>
          <w:tcPr>
            <w:tcW w:w="455" w:type="pct"/>
            <w:shd w:val="clear" w:color="auto" w:fill="auto"/>
          </w:tcPr>
          <w:p w14:paraId="1975CFE1" w14:textId="77777777" w:rsidR="0023618C" w:rsidRPr="006330CA" w:rsidRDefault="0023618C" w:rsidP="00027855">
            <w:pPr>
              <w:pStyle w:val="TableTextLeft"/>
              <w:spacing w:before="0"/>
            </w:pPr>
            <w:r w:rsidRPr="006330CA">
              <w:t>Modified</w:t>
            </w:r>
          </w:p>
        </w:tc>
      </w:tr>
      <w:tr w:rsidR="0023618C" w:rsidRPr="00B832E0" w14:paraId="42D59FB0" w14:textId="77777777" w:rsidTr="005B339A">
        <w:trPr>
          <w:trHeight w:val="113"/>
        </w:trPr>
        <w:tc>
          <w:tcPr>
            <w:tcW w:w="1290" w:type="pct"/>
            <w:gridSpan w:val="2"/>
            <w:shd w:val="clear" w:color="auto" w:fill="auto"/>
          </w:tcPr>
          <w:p w14:paraId="4834A97F" w14:textId="77777777" w:rsidR="0023618C" w:rsidRPr="006330CA" w:rsidRDefault="0023618C" w:rsidP="00027855">
            <w:pPr>
              <w:pStyle w:val="TableTextLeft"/>
              <w:spacing w:before="0"/>
            </w:pPr>
            <w:r w:rsidRPr="006330CA">
              <w:t>Loan Agreement between the Australian Government and the Government of Indonesia </w:t>
            </w:r>
          </w:p>
        </w:tc>
        <w:tc>
          <w:tcPr>
            <w:tcW w:w="737" w:type="pct"/>
            <w:shd w:val="clear" w:color="auto" w:fill="auto"/>
          </w:tcPr>
          <w:p w14:paraId="275742C8" w14:textId="0DE52514" w:rsidR="0023618C" w:rsidRPr="00B30EB5" w:rsidRDefault="00C85DAF" w:rsidP="00027855">
            <w:pPr>
              <w:pStyle w:val="TableTextRight"/>
              <w:spacing w:before="0"/>
            </w:pPr>
            <w:r>
              <w:t>833</w:t>
            </w:r>
          </w:p>
        </w:tc>
        <w:tc>
          <w:tcPr>
            <w:tcW w:w="1167" w:type="pct"/>
            <w:shd w:val="clear" w:color="auto" w:fill="auto"/>
          </w:tcPr>
          <w:p w14:paraId="59A9BDBC" w14:textId="77777777" w:rsidR="0023618C" w:rsidRPr="006330CA" w:rsidRDefault="0023618C" w:rsidP="00027855">
            <w:pPr>
              <w:pStyle w:val="TableTextLeft"/>
              <w:spacing w:before="0"/>
            </w:pPr>
            <w:r w:rsidRPr="006330CA">
              <w:t>Government of Indonesia </w:t>
            </w:r>
          </w:p>
        </w:tc>
        <w:tc>
          <w:tcPr>
            <w:tcW w:w="799" w:type="pct"/>
            <w:shd w:val="clear" w:color="auto" w:fill="auto"/>
          </w:tcPr>
          <w:p w14:paraId="5FE0AF49" w14:textId="77777777" w:rsidR="0023618C" w:rsidRPr="006330CA" w:rsidRDefault="0023618C" w:rsidP="00027855">
            <w:pPr>
              <w:pStyle w:val="TableTextLeft"/>
              <w:spacing w:before="0"/>
            </w:pPr>
            <w:r w:rsidRPr="006330CA">
              <w:t>Commonwealth cost of borrowing plus 0.5 per cent </w:t>
            </w:r>
          </w:p>
        </w:tc>
        <w:tc>
          <w:tcPr>
            <w:tcW w:w="552" w:type="pct"/>
            <w:shd w:val="clear" w:color="auto" w:fill="auto"/>
          </w:tcPr>
          <w:p w14:paraId="49B16321" w14:textId="77777777" w:rsidR="0023618C" w:rsidRPr="006330CA" w:rsidRDefault="0023618C" w:rsidP="00027855">
            <w:pPr>
              <w:pStyle w:val="TableTextLeft"/>
              <w:spacing w:before="0"/>
            </w:pPr>
            <w:r w:rsidRPr="006330CA">
              <w:t>15 years </w:t>
            </w:r>
          </w:p>
        </w:tc>
        <w:tc>
          <w:tcPr>
            <w:tcW w:w="455" w:type="pct"/>
            <w:shd w:val="clear" w:color="auto" w:fill="auto"/>
          </w:tcPr>
          <w:p w14:paraId="3534BA23" w14:textId="2ACC2637" w:rsidR="0023618C" w:rsidRPr="006330CA" w:rsidRDefault="00B940FA" w:rsidP="00027855">
            <w:pPr>
              <w:pStyle w:val="TableTextLeft"/>
              <w:spacing w:before="0"/>
            </w:pPr>
            <w:r w:rsidRPr="006330CA">
              <w:t>Modified</w:t>
            </w:r>
          </w:p>
        </w:tc>
      </w:tr>
      <w:tr w:rsidR="0023618C" w:rsidRPr="00B832E0" w14:paraId="22C4DEFD" w14:textId="77777777" w:rsidTr="005B339A">
        <w:trPr>
          <w:trHeight w:val="113"/>
        </w:trPr>
        <w:tc>
          <w:tcPr>
            <w:tcW w:w="1290" w:type="pct"/>
            <w:gridSpan w:val="2"/>
            <w:shd w:val="clear" w:color="auto" w:fill="auto"/>
          </w:tcPr>
          <w:p w14:paraId="185C0E03" w14:textId="77777777" w:rsidR="0023618C" w:rsidRPr="006330CA" w:rsidRDefault="0023618C" w:rsidP="00027855">
            <w:pPr>
              <w:pStyle w:val="TableTextLeft"/>
              <w:spacing w:before="0"/>
            </w:pPr>
            <w:r w:rsidRPr="006330CA">
              <w:t>2020 Loan Agreement between the Australian Government and the Government of Papua New Guinea </w:t>
            </w:r>
          </w:p>
        </w:tc>
        <w:tc>
          <w:tcPr>
            <w:tcW w:w="737" w:type="pct"/>
            <w:shd w:val="clear" w:color="auto" w:fill="auto"/>
          </w:tcPr>
          <w:p w14:paraId="1E925239" w14:textId="74E2DD6D" w:rsidR="0023618C" w:rsidRPr="00B30EB5" w:rsidRDefault="00872FD0" w:rsidP="00027855">
            <w:pPr>
              <w:pStyle w:val="TableTextRight"/>
              <w:spacing w:before="0"/>
            </w:pPr>
            <w:r>
              <w:t>269</w:t>
            </w:r>
          </w:p>
        </w:tc>
        <w:tc>
          <w:tcPr>
            <w:tcW w:w="1167" w:type="pct"/>
            <w:shd w:val="clear" w:color="auto" w:fill="auto"/>
          </w:tcPr>
          <w:p w14:paraId="6E6912F8" w14:textId="77777777" w:rsidR="0023618C" w:rsidRPr="006330CA" w:rsidRDefault="0023618C" w:rsidP="00027855">
            <w:pPr>
              <w:pStyle w:val="TableTextLeft"/>
              <w:spacing w:before="0"/>
            </w:pPr>
            <w:r w:rsidRPr="006330CA">
              <w:t>Government of Papua New Guinea </w:t>
            </w:r>
          </w:p>
        </w:tc>
        <w:tc>
          <w:tcPr>
            <w:tcW w:w="799" w:type="pct"/>
            <w:shd w:val="clear" w:color="auto" w:fill="auto"/>
          </w:tcPr>
          <w:p w14:paraId="5009B21F" w14:textId="77777777" w:rsidR="0023618C" w:rsidRPr="006330CA" w:rsidRDefault="0023618C" w:rsidP="00027855">
            <w:pPr>
              <w:pStyle w:val="TableTextLeft"/>
              <w:spacing w:before="0"/>
            </w:pPr>
            <w:r w:rsidRPr="006330CA">
              <w:t>Commonwealth cost of borrowing plus 0.5 per cent </w:t>
            </w:r>
          </w:p>
        </w:tc>
        <w:tc>
          <w:tcPr>
            <w:tcW w:w="552" w:type="pct"/>
            <w:shd w:val="clear" w:color="auto" w:fill="auto"/>
          </w:tcPr>
          <w:p w14:paraId="1F033D2F" w14:textId="77777777" w:rsidR="0023618C" w:rsidRPr="006330CA" w:rsidRDefault="0023618C" w:rsidP="00027855">
            <w:pPr>
              <w:pStyle w:val="TableTextLeft"/>
              <w:spacing w:before="0"/>
            </w:pPr>
            <w:r w:rsidRPr="006330CA">
              <w:t>15 years </w:t>
            </w:r>
          </w:p>
        </w:tc>
        <w:tc>
          <w:tcPr>
            <w:tcW w:w="455" w:type="pct"/>
            <w:shd w:val="clear" w:color="auto" w:fill="auto"/>
          </w:tcPr>
          <w:p w14:paraId="5A4EF975" w14:textId="3E558972" w:rsidR="0023618C" w:rsidRPr="006330CA" w:rsidRDefault="00B940FA" w:rsidP="00027855">
            <w:pPr>
              <w:pStyle w:val="TableTextLeft"/>
              <w:spacing w:before="0"/>
            </w:pPr>
            <w:r w:rsidRPr="006330CA">
              <w:t>Modified</w:t>
            </w:r>
          </w:p>
        </w:tc>
      </w:tr>
      <w:tr w:rsidR="0023618C" w:rsidRPr="00B832E0" w14:paraId="2569BD27" w14:textId="77777777" w:rsidTr="005B339A">
        <w:trPr>
          <w:trHeight w:val="113"/>
        </w:trPr>
        <w:tc>
          <w:tcPr>
            <w:tcW w:w="1290" w:type="pct"/>
            <w:gridSpan w:val="2"/>
            <w:shd w:val="clear" w:color="auto" w:fill="auto"/>
          </w:tcPr>
          <w:p w14:paraId="75AB4F72" w14:textId="77777777" w:rsidR="0023618C" w:rsidRPr="006330CA" w:rsidRDefault="0023618C" w:rsidP="00027855">
            <w:pPr>
              <w:pStyle w:val="TableTextLeft"/>
              <w:spacing w:before="0"/>
            </w:pPr>
            <w:r w:rsidRPr="006330CA">
              <w:t>2021 Loan Agreement between the Australian Government and the Government of Papua New Guinea </w:t>
            </w:r>
          </w:p>
        </w:tc>
        <w:tc>
          <w:tcPr>
            <w:tcW w:w="737" w:type="pct"/>
            <w:shd w:val="clear" w:color="auto" w:fill="auto"/>
          </w:tcPr>
          <w:p w14:paraId="4813C9D1" w14:textId="7286B526" w:rsidR="0023618C" w:rsidRPr="00B30EB5" w:rsidRDefault="00872FD0" w:rsidP="00027855">
            <w:pPr>
              <w:pStyle w:val="TableTextRight"/>
              <w:spacing w:before="0"/>
            </w:pPr>
            <w:r>
              <w:t>295</w:t>
            </w:r>
          </w:p>
        </w:tc>
        <w:tc>
          <w:tcPr>
            <w:tcW w:w="1167" w:type="pct"/>
            <w:shd w:val="clear" w:color="auto" w:fill="auto"/>
          </w:tcPr>
          <w:p w14:paraId="3A322514" w14:textId="77777777" w:rsidR="0023618C" w:rsidRPr="006330CA" w:rsidRDefault="0023618C" w:rsidP="00027855">
            <w:pPr>
              <w:pStyle w:val="TableTextLeft"/>
              <w:spacing w:before="0"/>
            </w:pPr>
            <w:r w:rsidRPr="006330CA">
              <w:t>Government of Papua New Guinea </w:t>
            </w:r>
          </w:p>
        </w:tc>
        <w:tc>
          <w:tcPr>
            <w:tcW w:w="799" w:type="pct"/>
            <w:shd w:val="clear" w:color="auto" w:fill="auto"/>
          </w:tcPr>
          <w:p w14:paraId="30C5350D" w14:textId="77777777" w:rsidR="0023618C" w:rsidRPr="006330CA" w:rsidRDefault="0023618C" w:rsidP="00027855">
            <w:pPr>
              <w:pStyle w:val="TableTextLeft"/>
              <w:spacing w:before="0"/>
            </w:pPr>
            <w:r w:rsidRPr="006330CA">
              <w:t>Commonwealth cost of borrowing plus 0.5 per cent </w:t>
            </w:r>
          </w:p>
        </w:tc>
        <w:tc>
          <w:tcPr>
            <w:tcW w:w="552" w:type="pct"/>
            <w:shd w:val="clear" w:color="auto" w:fill="auto"/>
          </w:tcPr>
          <w:p w14:paraId="189103D3" w14:textId="77777777" w:rsidR="0023618C" w:rsidRPr="006330CA" w:rsidRDefault="0023618C" w:rsidP="00027855">
            <w:pPr>
              <w:pStyle w:val="TableTextLeft"/>
              <w:spacing w:before="0"/>
            </w:pPr>
            <w:r w:rsidRPr="006330CA">
              <w:t>20 years </w:t>
            </w:r>
          </w:p>
        </w:tc>
        <w:tc>
          <w:tcPr>
            <w:tcW w:w="455" w:type="pct"/>
            <w:shd w:val="clear" w:color="auto" w:fill="auto"/>
          </w:tcPr>
          <w:p w14:paraId="0E4C6FCD" w14:textId="34E071BC" w:rsidR="0023618C" w:rsidRPr="006330CA" w:rsidRDefault="00B940FA" w:rsidP="00027855">
            <w:pPr>
              <w:pStyle w:val="TableTextLeft"/>
              <w:spacing w:before="0"/>
            </w:pPr>
            <w:r w:rsidRPr="006330CA">
              <w:t>Modified</w:t>
            </w:r>
          </w:p>
        </w:tc>
      </w:tr>
      <w:tr w:rsidR="0023618C" w:rsidRPr="00B832E0" w14:paraId="68919E2F" w14:textId="77777777" w:rsidTr="005B339A">
        <w:trPr>
          <w:trHeight w:val="113"/>
        </w:trPr>
        <w:tc>
          <w:tcPr>
            <w:tcW w:w="1290" w:type="pct"/>
            <w:gridSpan w:val="2"/>
            <w:shd w:val="clear" w:color="auto" w:fill="auto"/>
          </w:tcPr>
          <w:p w14:paraId="648A450D" w14:textId="77777777" w:rsidR="0023618C" w:rsidRPr="006330CA" w:rsidRDefault="0023618C" w:rsidP="00027855">
            <w:pPr>
              <w:pStyle w:val="TableTextLeft"/>
              <w:spacing w:before="0"/>
            </w:pPr>
            <w:r w:rsidRPr="006330CA">
              <w:t>2022 Loan Agreement between the Australian Government and the Government of Papua New Guinea </w:t>
            </w:r>
          </w:p>
        </w:tc>
        <w:tc>
          <w:tcPr>
            <w:tcW w:w="737" w:type="pct"/>
            <w:shd w:val="clear" w:color="auto" w:fill="auto"/>
          </w:tcPr>
          <w:p w14:paraId="2787F34B" w14:textId="217807C0" w:rsidR="0023618C" w:rsidRPr="00B30EB5" w:rsidRDefault="00872FD0" w:rsidP="00027855">
            <w:pPr>
              <w:pStyle w:val="TableTextRight"/>
              <w:spacing w:before="0"/>
            </w:pPr>
            <w:r>
              <w:t>335</w:t>
            </w:r>
          </w:p>
        </w:tc>
        <w:tc>
          <w:tcPr>
            <w:tcW w:w="1167" w:type="pct"/>
            <w:shd w:val="clear" w:color="auto" w:fill="auto"/>
          </w:tcPr>
          <w:p w14:paraId="258D497B" w14:textId="77777777" w:rsidR="0023618C" w:rsidRPr="006330CA" w:rsidRDefault="0023618C" w:rsidP="00027855">
            <w:pPr>
              <w:pStyle w:val="TableTextLeft"/>
              <w:spacing w:before="0"/>
            </w:pPr>
            <w:r w:rsidRPr="006330CA">
              <w:t>Government of Papua New Guinea </w:t>
            </w:r>
          </w:p>
        </w:tc>
        <w:tc>
          <w:tcPr>
            <w:tcW w:w="799" w:type="pct"/>
            <w:shd w:val="clear" w:color="auto" w:fill="auto"/>
          </w:tcPr>
          <w:p w14:paraId="3848C73B" w14:textId="77777777" w:rsidR="0023618C" w:rsidRPr="006330CA" w:rsidRDefault="0023618C" w:rsidP="00027855">
            <w:pPr>
              <w:pStyle w:val="TableTextLeft"/>
              <w:spacing w:before="0"/>
            </w:pPr>
            <w:r w:rsidRPr="006330CA">
              <w:t xml:space="preserve">Commonwealth cost of borrowing </w:t>
            </w:r>
          </w:p>
        </w:tc>
        <w:tc>
          <w:tcPr>
            <w:tcW w:w="552" w:type="pct"/>
            <w:shd w:val="clear" w:color="auto" w:fill="auto"/>
          </w:tcPr>
          <w:p w14:paraId="5B0FEA37" w14:textId="77777777" w:rsidR="0023618C" w:rsidRPr="006330CA" w:rsidRDefault="0023618C" w:rsidP="00027855">
            <w:pPr>
              <w:pStyle w:val="TableTextLeft"/>
              <w:spacing w:before="0"/>
            </w:pPr>
            <w:r w:rsidRPr="006330CA">
              <w:t>20 years</w:t>
            </w:r>
          </w:p>
        </w:tc>
        <w:tc>
          <w:tcPr>
            <w:tcW w:w="455" w:type="pct"/>
            <w:shd w:val="clear" w:color="auto" w:fill="auto"/>
          </w:tcPr>
          <w:p w14:paraId="0C991A46" w14:textId="14CE0B0C" w:rsidR="0023618C" w:rsidRPr="006330CA" w:rsidRDefault="00B940FA" w:rsidP="00027855">
            <w:pPr>
              <w:pStyle w:val="TableTextLeft"/>
              <w:spacing w:before="0"/>
            </w:pPr>
            <w:r w:rsidRPr="006330CA">
              <w:t>Modified</w:t>
            </w:r>
          </w:p>
        </w:tc>
      </w:tr>
      <w:tr w:rsidR="0023618C" w:rsidRPr="00B832E0" w14:paraId="024C946F" w14:textId="77777777" w:rsidTr="005B339A">
        <w:trPr>
          <w:trHeight w:val="113"/>
        </w:trPr>
        <w:tc>
          <w:tcPr>
            <w:tcW w:w="1290" w:type="pct"/>
            <w:gridSpan w:val="2"/>
            <w:shd w:val="clear" w:color="auto" w:fill="auto"/>
          </w:tcPr>
          <w:p w14:paraId="356E581A" w14:textId="77777777" w:rsidR="0023618C" w:rsidRPr="006330CA" w:rsidRDefault="0023618C" w:rsidP="00027855">
            <w:pPr>
              <w:pStyle w:val="TableTextLeft"/>
              <w:spacing w:before="0"/>
            </w:pPr>
            <w:r w:rsidRPr="006330CA">
              <w:t>2023 Loan Agreement between the Australian Government and the Government of Papua New Guinea </w:t>
            </w:r>
          </w:p>
        </w:tc>
        <w:tc>
          <w:tcPr>
            <w:tcW w:w="737" w:type="pct"/>
            <w:shd w:val="clear" w:color="auto" w:fill="auto"/>
          </w:tcPr>
          <w:p w14:paraId="6536ADEB" w14:textId="3F8A8AF9" w:rsidR="0023618C" w:rsidRPr="00B30EB5" w:rsidRDefault="00B940FA" w:rsidP="00027855">
            <w:pPr>
              <w:pStyle w:val="TableTextRight"/>
              <w:spacing w:before="0"/>
            </w:pPr>
            <w:r>
              <w:t>329</w:t>
            </w:r>
          </w:p>
        </w:tc>
        <w:tc>
          <w:tcPr>
            <w:tcW w:w="1167" w:type="pct"/>
            <w:shd w:val="clear" w:color="auto" w:fill="auto"/>
          </w:tcPr>
          <w:p w14:paraId="7DBAED5B" w14:textId="77777777" w:rsidR="0023618C" w:rsidRPr="006330CA" w:rsidRDefault="0023618C" w:rsidP="00027855">
            <w:pPr>
              <w:pStyle w:val="TableTextLeft"/>
              <w:spacing w:before="0"/>
            </w:pPr>
            <w:r w:rsidRPr="006330CA">
              <w:t>Government of Papua New Guinea </w:t>
            </w:r>
          </w:p>
        </w:tc>
        <w:tc>
          <w:tcPr>
            <w:tcW w:w="799" w:type="pct"/>
            <w:shd w:val="clear" w:color="auto" w:fill="auto"/>
          </w:tcPr>
          <w:p w14:paraId="0730A5DC" w14:textId="77777777" w:rsidR="0023618C" w:rsidRPr="006330CA" w:rsidRDefault="0023618C" w:rsidP="00027855">
            <w:pPr>
              <w:pStyle w:val="TableTextLeft"/>
              <w:spacing w:before="0"/>
            </w:pPr>
            <w:r w:rsidRPr="006330CA">
              <w:t>Commonwealth cost of borrowing</w:t>
            </w:r>
          </w:p>
        </w:tc>
        <w:tc>
          <w:tcPr>
            <w:tcW w:w="552" w:type="pct"/>
            <w:shd w:val="clear" w:color="auto" w:fill="auto"/>
          </w:tcPr>
          <w:p w14:paraId="7057AEAD" w14:textId="77777777" w:rsidR="0023618C" w:rsidRPr="006330CA" w:rsidRDefault="0023618C" w:rsidP="00027855">
            <w:pPr>
              <w:pStyle w:val="TableTextLeft"/>
              <w:spacing w:before="0"/>
            </w:pPr>
            <w:r w:rsidRPr="006330CA">
              <w:t>20 years</w:t>
            </w:r>
          </w:p>
        </w:tc>
        <w:tc>
          <w:tcPr>
            <w:tcW w:w="455" w:type="pct"/>
            <w:shd w:val="clear" w:color="auto" w:fill="auto"/>
          </w:tcPr>
          <w:p w14:paraId="6ED5272B" w14:textId="41025477" w:rsidR="0023618C" w:rsidRPr="006330CA" w:rsidRDefault="00B940FA" w:rsidP="00027855">
            <w:pPr>
              <w:pStyle w:val="TableTextLeft"/>
              <w:spacing w:before="0"/>
            </w:pPr>
            <w:r w:rsidRPr="006330CA">
              <w:t>Modified</w:t>
            </w:r>
          </w:p>
        </w:tc>
      </w:tr>
      <w:tr w:rsidR="00B940FA" w:rsidRPr="00B832E0" w14:paraId="40127D37" w14:textId="77777777" w:rsidTr="005B339A">
        <w:trPr>
          <w:trHeight w:val="113"/>
        </w:trPr>
        <w:tc>
          <w:tcPr>
            <w:tcW w:w="1290" w:type="pct"/>
            <w:gridSpan w:val="2"/>
            <w:shd w:val="clear" w:color="auto" w:fill="auto"/>
          </w:tcPr>
          <w:p w14:paraId="220A020D" w14:textId="6F26588F" w:rsidR="00B940FA" w:rsidRPr="006330CA" w:rsidRDefault="009F5C72" w:rsidP="00027855">
            <w:pPr>
              <w:pStyle w:val="TableTextLeft"/>
              <w:spacing w:before="0"/>
            </w:pPr>
            <w:r w:rsidRPr="009F5C72">
              <w:t>2024 Loan Agreement between the Australian Government and the Government of Papua New Guinea</w:t>
            </w:r>
          </w:p>
        </w:tc>
        <w:tc>
          <w:tcPr>
            <w:tcW w:w="737" w:type="pct"/>
            <w:shd w:val="clear" w:color="auto" w:fill="auto"/>
          </w:tcPr>
          <w:p w14:paraId="74FD776C" w14:textId="40407B35" w:rsidR="00B940FA" w:rsidRDefault="009F5C72" w:rsidP="00027855">
            <w:pPr>
              <w:pStyle w:val="TableTextRight"/>
              <w:spacing w:before="0"/>
            </w:pPr>
            <w:r>
              <w:t>359</w:t>
            </w:r>
          </w:p>
        </w:tc>
        <w:tc>
          <w:tcPr>
            <w:tcW w:w="1167" w:type="pct"/>
            <w:shd w:val="clear" w:color="auto" w:fill="auto"/>
          </w:tcPr>
          <w:p w14:paraId="3ADB6E1C" w14:textId="351940A8" w:rsidR="00B940FA" w:rsidRPr="006330CA" w:rsidRDefault="009F5C72" w:rsidP="00027855">
            <w:pPr>
              <w:pStyle w:val="TableTextLeft"/>
              <w:spacing w:before="0"/>
            </w:pPr>
            <w:r w:rsidRPr="006330CA">
              <w:t>Government of Papua New Guinea </w:t>
            </w:r>
          </w:p>
        </w:tc>
        <w:tc>
          <w:tcPr>
            <w:tcW w:w="799" w:type="pct"/>
            <w:shd w:val="clear" w:color="auto" w:fill="auto"/>
          </w:tcPr>
          <w:p w14:paraId="0F1BF607" w14:textId="2CAABC67" w:rsidR="00B940FA" w:rsidRPr="006330CA" w:rsidRDefault="009F5C72" w:rsidP="00027855">
            <w:pPr>
              <w:pStyle w:val="TableTextLeft"/>
              <w:spacing w:before="0"/>
            </w:pPr>
            <w:r w:rsidRPr="006330CA">
              <w:t>Commonwealth cost of borrowing</w:t>
            </w:r>
          </w:p>
        </w:tc>
        <w:tc>
          <w:tcPr>
            <w:tcW w:w="552" w:type="pct"/>
            <w:shd w:val="clear" w:color="auto" w:fill="auto"/>
          </w:tcPr>
          <w:p w14:paraId="3EBA1374" w14:textId="662BCE57" w:rsidR="00B940FA" w:rsidRPr="006330CA" w:rsidRDefault="009F5C72" w:rsidP="00027855">
            <w:pPr>
              <w:pStyle w:val="TableTextLeft"/>
              <w:spacing w:before="0"/>
            </w:pPr>
            <w:r>
              <w:t>20 years</w:t>
            </w:r>
          </w:p>
        </w:tc>
        <w:tc>
          <w:tcPr>
            <w:tcW w:w="455" w:type="pct"/>
            <w:shd w:val="clear" w:color="auto" w:fill="auto"/>
          </w:tcPr>
          <w:p w14:paraId="038929BA" w14:textId="7B7FC8C4" w:rsidR="00B940FA" w:rsidRPr="006330CA" w:rsidRDefault="009F5C72" w:rsidP="00027855">
            <w:pPr>
              <w:pStyle w:val="TableTextLeft"/>
              <w:spacing w:before="0"/>
            </w:pPr>
            <w:r>
              <w:t>New</w:t>
            </w:r>
          </w:p>
        </w:tc>
      </w:tr>
    </w:tbl>
    <w:p w14:paraId="4EE72AE2" w14:textId="5F4473E9" w:rsidR="0023618C" w:rsidRPr="00DC10F1" w:rsidRDefault="0023618C" w:rsidP="00DC10F1">
      <w:pPr>
        <w:pStyle w:val="ChartandTableFootnoteAlpha"/>
        <w:numPr>
          <w:ilvl w:val="0"/>
          <w:numId w:val="8"/>
        </w:numPr>
        <w:tabs>
          <w:tab w:val="clear" w:pos="284"/>
        </w:tabs>
        <w:spacing w:before="0"/>
        <w:ind w:left="360" w:hanging="360"/>
        <w:rPr>
          <w:szCs w:val="16"/>
        </w:rPr>
      </w:pPr>
      <w:r w:rsidRPr="00DC10F1">
        <w:rPr>
          <w:szCs w:val="16"/>
        </w:rPr>
        <w:t xml:space="preserve">Loan amount is the estimated loan program amounts outstanding as </w:t>
      </w:r>
      <w:proofErr w:type="gramStart"/>
      <w:r w:rsidRPr="00DC10F1">
        <w:rPr>
          <w:szCs w:val="16"/>
        </w:rPr>
        <w:t>at</w:t>
      </w:r>
      <w:proofErr w:type="gramEnd"/>
      <w:r w:rsidRPr="00DC10F1">
        <w:rPr>
          <w:szCs w:val="16"/>
        </w:rPr>
        <w:t xml:space="preserve"> 30 June 202</w:t>
      </w:r>
      <w:r w:rsidR="005A6905">
        <w:rPr>
          <w:szCs w:val="16"/>
        </w:rPr>
        <w:t>5</w:t>
      </w:r>
      <w:r w:rsidRPr="00DC10F1">
        <w:rPr>
          <w:szCs w:val="16"/>
        </w:rPr>
        <w:t xml:space="preserve"> in $ million. </w:t>
      </w:r>
    </w:p>
    <w:p w14:paraId="156501AA" w14:textId="00A186E8" w:rsidR="0023618C" w:rsidRPr="00F715F0" w:rsidRDefault="0023618C" w:rsidP="00DD257B">
      <w:pPr>
        <w:pStyle w:val="ChartandTableFootnoteAlpha"/>
        <w:numPr>
          <w:ilvl w:val="0"/>
          <w:numId w:val="8"/>
        </w:numPr>
        <w:tabs>
          <w:tab w:val="clear" w:pos="284"/>
        </w:tabs>
        <w:spacing w:before="0"/>
        <w:ind w:left="360" w:hanging="360"/>
        <w:rPr>
          <w:szCs w:val="16"/>
        </w:rPr>
      </w:pPr>
      <w:r w:rsidRPr="00F715F0">
        <w:rPr>
          <w:szCs w:val="16"/>
        </w:rPr>
        <w:t xml:space="preserve">Status of loan items are considered </w:t>
      </w:r>
      <w:r w:rsidR="00D23095">
        <w:rPr>
          <w:szCs w:val="16"/>
        </w:rPr>
        <w:t>‘</w:t>
      </w:r>
      <w:r w:rsidRPr="00F715F0">
        <w:rPr>
          <w:szCs w:val="16"/>
        </w:rPr>
        <w:t>unchanged</w:t>
      </w:r>
      <w:r w:rsidR="00D23095">
        <w:rPr>
          <w:szCs w:val="16"/>
        </w:rPr>
        <w:t>’</w:t>
      </w:r>
      <w:r w:rsidRPr="00F715F0">
        <w:rPr>
          <w:szCs w:val="16"/>
        </w:rPr>
        <w:t xml:space="preserve"> unless there are modifications to respective interest rates and/or loan term. </w:t>
      </w:r>
    </w:p>
    <w:p w14:paraId="47F5BF57" w14:textId="77777777" w:rsidR="00673584" w:rsidRPr="00673584" w:rsidRDefault="00673584" w:rsidP="00673584">
      <w:pPr>
        <w:pStyle w:val="TableLine"/>
      </w:pPr>
    </w:p>
    <w:p w14:paraId="262F28B6" w14:textId="77777777" w:rsidR="00420A37" w:rsidRPr="007A40B1" w:rsidRDefault="00420A37" w:rsidP="00512EBD">
      <w:pPr>
        <w:pStyle w:val="TableLine"/>
        <w:sectPr w:rsidR="00420A37" w:rsidRPr="007A40B1" w:rsidSect="00D65A84">
          <w:headerReference w:type="even" r:id="rId25"/>
          <w:headerReference w:type="default" r:id="rId26"/>
          <w:footerReference w:type="even" r:id="rId27"/>
          <w:footerReference w:type="default" r:id="rId28"/>
          <w:headerReference w:type="first" r:id="rId29"/>
          <w:footerReference w:type="first" r:id="rId30"/>
          <w:pgSz w:w="16840" w:h="11907" w:code="9"/>
          <w:pgMar w:top="2098" w:right="2835" w:bottom="2098" w:left="2466" w:header="1531" w:footer="1531" w:gutter="0"/>
          <w:cols w:space="708"/>
          <w:docGrid w:linePitch="360"/>
        </w:sectPr>
      </w:pPr>
    </w:p>
    <w:p w14:paraId="7A3986C2" w14:textId="77777777" w:rsidR="0023618C" w:rsidRPr="00B832E0" w:rsidRDefault="0023618C" w:rsidP="00225D04">
      <w:pPr>
        <w:pStyle w:val="Heading3"/>
        <w:rPr>
          <w:rFonts w:eastAsia="Arial"/>
        </w:rPr>
      </w:pPr>
      <w:bookmarkStart w:id="256" w:name="_Toc99141903"/>
      <w:bookmarkStart w:id="257" w:name="_Toc184039501"/>
      <w:bookmarkStart w:id="258" w:name="_Toc193536227"/>
      <w:r w:rsidRPr="00B832E0">
        <w:rPr>
          <w:rFonts w:eastAsia="Arial"/>
        </w:rPr>
        <w:lastRenderedPageBreak/>
        <w:t xml:space="preserve">Agriculture, Fisheries and </w:t>
      </w:r>
      <w:bookmarkEnd w:id="256"/>
      <w:r w:rsidRPr="00B832E0">
        <w:rPr>
          <w:rFonts w:eastAsia="Arial"/>
        </w:rPr>
        <w:t>Forestry</w:t>
      </w:r>
      <w:bookmarkEnd w:id="257"/>
      <w:bookmarkEnd w:id="258"/>
    </w:p>
    <w:p w14:paraId="0BF3CCF8" w14:textId="38B36FA7" w:rsidR="0023618C" w:rsidRPr="005F06B9" w:rsidRDefault="0023618C" w:rsidP="00225D04">
      <w:pPr>
        <w:pStyle w:val="Heading4"/>
        <w:rPr>
          <w:rFonts w:eastAsia="Arial"/>
        </w:rPr>
      </w:pPr>
      <w:bookmarkStart w:id="259" w:name="_Toc184039502"/>
      <w:bookmarkStart w:id="260" w:name="_Toc99141904"/>
      <w:r w:rsidRPr="005F06B9">
        <w:rPr>
          <w:rFonts w:eastAsia="Arial"/>
        </w:rPr>
        <w:t>Drought</w:t>
      </w:r>
      <w:r w:rsidR="00DB38DF">
        <w:rPr>
          <w:rFonts w:eastAsia="Arial"/>
        </w:rPr>
        <w:t>-</w:t>
      </w:r>
      <w:r w:rsidRPr="005F06B9">
        <w:rPr>
          <w:rFonts w:eastAsia="Arial"/>
        </w:rPr>
        <w:t xml:space="preserve">related and farm finance concessional loans </w:t>
      </w:r>
      <w:r>
        <w:rPr>
          <w:rFonts w:eastAsia="Calibri"/>
        </w:rPr>
        <w:t>–</w:t>
      </w:r>
      <w:r w:rsidRPr="005F06B9">
        <w:rPr>
          <w:rFonts w:eastAsia="Arial"/>
        </w:rPr>
        <w:t xml:space="preserve"> Agriculture</w:t>
      </w:r>
      <w:bookmarkEnd w:id="259"/>
    </w:p>
    <w:p w14:paraId="5D4FA89C" w14:textId="259A1578" w:rsidR="00B33879" w:rsidRPr="003143F6" w:rsidRDefault="00B33879" w:rsidP="0009089A">
      <w:pPr>
        <w:shd w:val="clear" w:color="auto" w:fill="FFFFFF" w:themeFill="background1"/>
      </w:pPr>
      <w:r w:rsidRPr="00B33879">
        <w:rPr>
          <w:lang w:val="en-US"/>
        </w:rPr>
        <w:t xml:space="preserve">As </w:t>
      </w:r>
      <w:bookmarkStart w:id="261" w:name="_Toc184039503"/>
      <w:proofErr w:type="gramStart"/>
      <w:r w:rsidRPr="003143F6">
        <w:t>at</w:t>
      </w:r>
      <w:proofErr w:type="gramEnd"/>
      <w:r w:rsidRPr="003143F6">
        <w:t xml:space="preserve"> 30</w:t>
      </w:r>
      <w:r w:rsidR="004E5D9E">
        <w:t> </w:t>
      </w:r>
      <w:r w:rsidRPr="003143F6">
        <w:t>June</w:t>
      </w:r>
      <w:r w:rsidR="004E5D9E">
        <w:t> </w:t>
      </w:r>
      <w:r>
        <w:t>2025</w:t>
      </w:r>
      <w:r w:rsidRPr="003143F6">
        <w:t xml:space="preserve">, the fair value of farm business, drought and dairy farm related loans </w:t>
      </w:r>
      <w:r>
        <w:t>is estimated to total</w:t>
      </w:r>
      <w:r w:rsidRPr="003143F6">
        <w:t xml:space="preserve"> $</w:t>
      </w:r>
      <w:r>
        <w:t>152.0</w:t>
      </w:r>
      <w:r w:rsidRPr="003143F6">
        <w:t> million.</w:t>
      </w:r>
    </w:p>
    <w:p w14:paraId="54043F5D" w14:textId="558683AC" w:rsidR="00B33879" w:rsidRPr="003143F6" w:rsidRDefault="00B33879" w:rsidP="0009089A">
      <w:pPr>
        <w:shd w:val="clear" w:color="auto" w:fill="FFFFFF" w:themeFill="background1"/>
      </w:pPr>
      <w:r w:rsidRPr="00E93B48">
        <w:rPr>
          <w:rStyle w:val="Strong"/>
        </w:rPr>
        <w:t>Drought Recovery and Dairy Recovery Concessional Loans Scheme:</w:t>
      </w:r>
      <w:r w:rsidRPr="003143F6">
        <w:t xml:space="preserve"> The drought recovery component of this scheme provided loans to farm businesses affected by unprecedented drought or, where applicable, Queensland farm businesses directly impacted by the combined effects of drought and the mid</w:t>
      </w:r>
      <w:r w:rsidR="00D23095">
        <w:noBreakHyphen/>
      </w:r>
      <w:r w:rsidRPr="003143F6">
        <w:t>2011 disruption to live cattle exports to Indonesia. The loans funded planting and restocking activities and associated expenses when seasonal conditions allowed. The loans were available from January</w:t>
      </w:r>
      <w:r w:rsidRPr="003143F6">
        <w:rPr>
          <w:rFonts w:eastAsia="Book Antiqua"/>
        </w:rPr>
        <w:t> </w:t>
      </w:r>
      <w:r w:rsidRPr="003143F6">
        <w:t>2015 and, in 2014–15, operated in Queensland and New South Wales. In 2015–16, drought recovery concessional loans were available in Queensland, New South Wales, South</w:t>
      </w:r>
      <w:r w:rsidRPr="003143F6">
        <w:rPr>
          <w:rFonts w:eastAsia="Book Antiqua"/>
        </w:rPr>
        <w:t> </w:t>
      </w:r>
      <w:r w:rsidRPr="003143F6">
        <w:t>Australia and Tasmania.</w:t>
      </w:r>
    </w:p>
    <w:p w14:paraId="41FFB2B2" w14:textId="2FD2B1ED" w:rsidR="00B33879" w:rsidRPr="003143F6" w:rsidRDefault="00B33879" w:rsidP="0009089A">
      <w:pPr>
        <w:shd w:val="clear" w:color="auto" w:fill="FFFFFF" w:themeFill="background1"/>
      </w:pPr>
      <w:r w:rsidRPr="003143F6">
        <w:t>The dairy recovery component of this scheme provided concessional loans to dairy farm businesses affected by the 2016 reduction in farm gate milk prices by Murray Goulburn, Fonterra and National Dairy Products. Loans were available for debt restructuring, providing new debt for operating expenses or productivity enhancement activities, or a combination of these purposes. Dairy recovery concessional loans became available in Victoria, New South Wales, South Australia and Tasmania from June 2016. Applications closed on 31 October 2016. A dairy recovery concessional loan product was available</w:t>
      </w:r>
      <w:r w:rsidR="0030202F">
        <w:t xml:space="preserve"> </w:t>
      </w:r>
      <w:r w:rsidRPr="003143F6">
        <w:t>under the Farm Business Concessional Loans Scheme until 30</w:t>
      </w:r>
      <w:r w:rsidR="004E5D9E">
        <w:t> </w:t>
      </w:r>
      <w:r w:rsidRPr="003143F6">
        <w:t>June</w:t>
      </w:r>
      <w:r w:rsidR="004E5D9E">
        <w:t> </w:t>
      </w:r>
      <w:r w:rsidRPr="003143F6">
        <w:t>2018.</w:t>
      </w:r>
    </w:p>
    <w:p w14:paraId="09771D53" w14:textId="3D1AB472" w:rsidR="00B33879" w:rsidRPr="003143F6" w:rsidRDefault="00B33879" w:rsidP="0009089A">
      <w:pPr>
        <w:shd w:val="clear" w:color="auto" w:fill="FFFFFF" w:themeFill="background1"/>
      </w:pPr>
      <w:r w:rsidRPr="003143F6">
        <w:t xml:space="preserve">As </w:t>
      </w:r>
      <w:proofErr w:type="gramStart"/>
      <w:r w:rsidRPr="003143F6">
        <w:t>at</w:t>
      </w:r>
      <w:proofErr w:type="gramEnd"/>
      <w:r w:rsidRPr="003143F6">
        <w:t xml:space="preserve"> 1 </w:t>
      </w:r>
      <w:r>
        <w:t>February</w:t>
      </w:r>
      <w:r w:rsidRPr="003143F6">
        <w:t xml:space="preserve"> 202</w:t>
      </w:r>
      <w:r>
        <w:t>5</w:t>
      </w:r>
      <w:r w:rsidRPr="003143F6">
        <w:t>, the scheme</w:t>
      </w:r>
      <w:r w:rsidR="00D23095">
        <w:t>’</w:t>
      </w:r>
      <w:r w:rsidRPr="003143F6">
        <w:t>s interest rate was 4.23 per cent</w:t>
      </w:r>
      <w:r>
        <w:t>.</w:t>
      </w:r>
      <w:r w:rsidRPr="003143F6">
        <w:t xml:space="preserve"> </w:t>
      </w:r>
      <w:r>
        <w:t xml:space="preserve">The interest rate is </w:t>
      </w:r>
      <w:r w:rsidRPr="003143F6">
        <w:t>reviewed on a six</w:t>
      </w:r>
      <w:r w:rsidR="00D23095">
        <w:noBreakHyphen/>
      </w:r>
      <w:r w:rsidRPr="003143F6">
        <w:t>monthly basis and revised in accordance with changes in the ten</w:t>
      </w:r>
      <w:r w:rsidR="00D23095">
        <w:noBreakHyphen/>
      </w:r>
      <w:r w:rsidRPr="003143F6">
        <w:t>year Australian Government bond rate. Loans have a maximum term of ten years with interest</w:t>
      </w:r>
      <w:r w:rsidR="00D23095">
        <w:noBreakHyphen/>
      </w:r>
      <w:r w:rsidRPr="003143F6">
        <w:t>only payments required for the first five years. Principal and interest repayments will be made in the remaining five years of the loan term.</w:t>
      </w:r>
    </w:p>
    <w:p w14:paraId="39ACB7A5" w14:textId="64EC8388" w:rsidR="00B33879" w:rsidRPr="003143F6" w:rsidRDefault="00B33879" w:rsidP="0009089A">
      <w:pPr>
        <w:shd w:val="clear" w:color="auto" w:fill="FFFFFF" w:themeFill="background1"/>
      </w:pPr>
      <w:r w:rsidRPr="00E93B48">
        <w:rPr>
          <w:rStyle w:val="Strong"/>
        </w:rPr>
        <w:t xml:space="preserve">Farm Business Concessional Loans Scheme: </w:t>
      </w:r>
      <w:r w:rsidRPr="003143F6">
        <w:t>This scheme provided three types of concessional loans: drought assistance, dairy recovery and business improvement. This scheme was designed to cover a farmer</w:t>
      </w:r>
      <w:r w:rsidR="00D23095">
        <w:t>’</w:t>
      </w:r>
      <w:r w:rsidRPr="003143F6">
        <w:t>s short</w:t>
      </w:r>
      <w:r w:rsidR="00D23095">
        <w:noBreakHyphen/>
      </w:r>
      <w:r w:rsidRPr="003143F6">
        <w:t>term needs when income was tight and to supplement, rather than replace, commercial finance. Loans under the scheme were first available in November 2016. Applications for loans under the scheme closed on 30 June 2018.</w:t>
      </w:r>
    </w:p>
    <w:p w14:paraId="320DFB27" w14:textId="77777777" w:rsidR="00B33879" w:rsidRPr="003143F6" w:rsidRDefault="00B33879" w:rsidP="0009089A">
      <w:pPr>
        <w:shd w:val="clear" w:color="auto" w:fill="FFFFFF" w:themeFill="background1"/>
      </w:pPr>
      <w:r w:rsidRPr="003143F6">
        <w:t>Drought assistance concessional loans were available in Queensland, New South Wales, Victoria, South Australia, Tasmania and the Northern Territory. Loans were available for debt restructuring, operating expenses, drought preparedness activities or drought recovery activities or a combination of these purposes.</w:t>
      </w:r>
    </w:p>
    <w:p w14:paraId="5D68C236" w14:textId="4C7C97AE" w:rsidR="00B33879" w:rsidRPr="003143F6" w:rsidRDefault="00B33879" w:rsidP="0009089A">
      <w:pPr>
        <w:shd w:val="clear" w:color="auto" w:fill="FFFFFF" w:themeFill="background1"/>
      </w:pPr>
      <w:r w:rsidRPr="003143F6">
        <w:t xml:space="preserve">Business improvement concessional loans were available in Queensland, New South Wales, Victoria, South Australia, Tasmania and the Northern Territory. Loans were available for eligible Farm Household Allowance (FHA) recipients who were recovering from financial </w:t>
      </w:r>
      <w:r w:rsidRPr="003143F6">
        <w:lastRenderedPageBreak/>
        <w:t>hardship and had exhausted or would exhaust their FHA 1,095</w:t>
      </w:r>
      <w:r w:rsidR="00D23095">
        <w:noBreakHyphen/>
      </w:r>
      <w:r w:rsidRPr="003143F6">
        <w:t>day income support entitlement by 30 June 2018. These loans were for debt restructuring only.</w:t>
      </w:r>
    </w:p>
    <w:p w14:paraId="16EF708E" w14:textId="77777777" w:rsidR="00B33879" w:rsidRPr="003143F6" w:rsidRDefault="00B33879" w:rsidP="00433476">
      <w:r w:rsidRPr="003143F6">
        <w:t>Dairy recovery concessional loans were available in New South Wales, Victoria, South</w:t>
      </w:r>
      <w:r w:rsidRPr="003143F6">
        <w:rPr>
          <w:rFonts w:eastAsia="Book Antiqua"/>
        </w:rPr>
        <w:t> </w:t>
      </w:r>
      <w:r w:rsidRPr="003143F6">
        <w:t>Australia and Tasmania to eligible suppliers of Murray Goulburn, Fonterra and National Dairy Products. Loans were available for debt restructuring, providing new debt for operating expenses, productivity enhancement activities or a combination of these purposes.</w:t>
      </w:r>
    </w:p>
    <w:p w14:paraId="7ABDB061" w14:textId="5117F174" w:rsidR="00B33879" w:rsidRDefault="00B33879" w:rsidP="00433476">
      <w:r w:rsidRPr="003143F6">
        <w:t xml:space="preserve">As </w:t>
      </w:r>
      <w:proofErr w:type="gramStart"/>
      <w:r w:rsidRPr="003143F6">
        <w:t>at</w:t>
      </w:r>
      <w:proofErr w:type="gramEnd"/>
      <w:r w:rsidRPr="003143F6">
        <w:t xml:space="preserve"> 1 </w:t>
      </w:r>
      <w:r>
        <w:t>February</w:t>
      </w:r>
      <w:r w:rsidRPr="003143F6">
        <w:t xml:space="preserve"> 202</w:t>
      </w:r>
      <w:r>
        <w:t>5</w:t>
      </w:r>
      <w:r w:rsidRPr="003143F6">
        <w:t>, the interest rate was 4.63 per cent, reviewed on a six</w:t>
      </w:r>
      <w:r w:rsidR="00D23095">
        <w:noBreakHyphen/>
      </w:r>
      <w:r w:rsidRPr="003143F6">
        <w:t>monthly basis and revised in accordance with changes in the ten</w:t>
      </w:r>
      <w:r w:rsidR="00D23095">
        <w:noBreakHyphen/>
      </w:r>
      <w:r w:rsidRPr="003143F6">
        <w:t>year Australian</w:t>
      </w:r>
      <w:r w:rsidR="004E5D9E">
        <w:t> </w:t>
      </w:r>
      <w:r w:rsidRPr="003143F6">
        <w:t>Government bond rate. Loans have a maximum term of ten years.</w:t>
      </w:r>
    </w:p>
    <w:p w14:paraId="25777BB2" w14:textId="5A246D4D" w:rsidR="0023618C" w:rsidRPr="005F06B9" w:rsidRDefault="0023618C" w:rsidP="00225D04">
      <w:pPr>
        <w:pStyle w:val="Heading4"/>
        <w:rPr>
          <w:rFonts w:eastAsia="Arial"/>
        </w:rPr>
      </w:pPr>
      <w:r w:rsidRPr="005F06B9">
        <w:rPr>
          <w:rFonts w:eastAsia="Arial"/>
        </w:rPr>
        <w:t xml:space="preserve">Farm Investment Loans, Drought Loans, </w:t>
      </w:r>
      <w:proofErr w:type="spellStart"/>
      <w:r w:rsidRPr="005F06B9">
        <w:rPr>
          <w:rFonts w:eastAsia="Arial"/>
        </w:rPr>
        <w:t>AgriStarter</w:t>
      </w:r>
      <w:proofErr w:type="spellEnd"/>
      <w:r w:rsidRPr="005F06B9">
        <w:rPr>
          <w:rFonts w:eastAsia="Arial"/>
        </w:rPr>
        <w:t xml:space="preserve"> Loans, </w:t>
      </w:r>
      <w:proofErr w:type="spellStart"/>
      <w:r w:rsidRPr="005F06B9">
        <w:rPr>
          <w:rFonts w:eastAsia="Arial"/>
        </w:rPr>
        <w:t>AgBiz</w:t>
      </w:r>
      <w:proofErr w:type="spellEnd"/>
      <w:r w:rsidRPr="005F06B9">
        <w:rPr>
          <w:rFonts w:eastAsia="Arial"/>
        </w:rPr>
        <w:t xml:space="preserve"> Drought Loans and </w:t>
      </w:r>
      <w:proofErr w:type="spellStart"/>
      <w:r w:rsidRPr="005F06B9">
        <w:rPr>
          <w:rFonts w:eastAsia="Arial"/>
        </w:rPr>
        <w:t>AgRebuild</w:t>
      </w:r>
      <w:proofErr w:type="spellEnd"/>
      <w:r w:rsidRPr="005F06B9">
        <w:rPr>
          <w:rFonts w:eastAsia="Arial"/>
        </w:rPr>
        <w:t xml:space="preserve"> Loans</w:t>
      </w:r>
      <w:bookmarkEnd w:id="261"/>
      <w:r w:rsidRPr="005F06B9">
        <w:rPr>
          <w:rFonts w:eastAsia="Arial"/>
        </w:rPr>
        <w:t xml:space="preserve"> </w:t>
      </w:r>
    </w:p>
    <w:p w14:paraId="3B5DACED" w14:textId="3B4320F7" w:rsidR="00B33879" w:rsidRPr="00114F94" w:rsidRDefault="00B33879" w:rsidP="00433476">
      <w:pPr>
        <w:spacing w:line="240" w:lineRule="auto"/>
        <w:rPr>
          <w:rFonts w:cs="Book Antiqua"/>
        </w:rPr>
      </w:pPr>
      <w:bookmarkStart w:id="262" w:name="_Toc184039504"/>
      <w:bookmarkStart w:id="263" w:name="_Toc99141905"/>
      <w:bookmarkEnd w:id="260"/>
      <w:r w:rsidRPr="00114F94">
        <w:rPr>
          <w:rFonts w:cs="Book Antiqua"/>
        </w:rPr>
        <w:t>The Regional Investment Corporation commenced operations on 1</w:t>
      </w:r>
      <w:r w:rsidR="004E5D9E">
        <w:rPr>
          <w:rFonts w:cs="Book Antiqua"/>
        </w:rPr>
        <w:t> </w:t>
      </w:r>
      <w:r w:rsidRPr="00114F94">
        <w:rPr>
          <w:rFonts w:cs="Book Antiqua"/>
        </w:rPr>
        <w:t>July</w:t>
      </w:r>
      <w:r w:rsidR="004E5D9E">
        <w:rPr>
          <w:rFonts w:cs="Book Antiqua"/>
        </w:rPr>
        <w:t> </w:t>
      </w:r>
      <w:r w:rsidRPr="00114F94">
        <w:rPr>
          <w:rFonts w:cs="Book Antiqua"/>
        </w:rPr>
        <w:t>2018.</w:t>
      </w:r>
    </w:p>
    <w:p w14:paraId="13BFD166" w14:textId="42D0C841" w:rsidR="00B33879" w:rsidRPr="00114F94" w:rsidRDefault="00B33879" w:rsidP="00433476">
      <w:pPr>
        <w:spacing w:line="240" w:lineRule="auto"/>
        <w:rPr>
          <w:rFonts w:cs="Book Antiqua"/>
          <w:i/>
          <w:iCs/>
        </w:rPr>
      </w:pPr>
      <w:r w:rsidRPr="00114F94">
        <w:rPr>
          <w:rFonts w:cs="Book Antiqua"/>
        </w:rPr>
        <w:t xml:space="preserve">There are three loan products currently available to farm businesses: Farm Investment Loans, Drought Loans and </w:t>
      </w:r>
      <w:proofErr w:type="spellStart"/>
      <w:r w:rsidRPr="00114F94">
        <w:rPr>
          <w:rFonts w:cs="Book Antiqua"/>
        </w:rPr>
        <w:t>AgriStarter</w:t>
      </w:r>
      <w:proofErr w:type="spellEnd"/>
      <w:r w:rsidRPr="00114F94">
        <w:rPr>
          <w:rFonts w:cs="Book Antiqua"/>
        </w:rPr>
        <w:t xml:space="preserve"> Loans. In addition, </w:t>
      </w:r>
      <w:proofErr w:type="spellStart"/>
      <w:r w:rsidRPr="00114F94">
        <w:rPr>
          <w:rFonts w:cs="Book Antiqua"/>
        </w:rPr>
        <w:t>AgBiz</w:t>
      </w:r>
      <w:proofErr w:type="spellEnd"/>
      <w:r w:rsidRPr="00114F94">
        <w:rPr>
          <w:rFonts w:cs="Book Antiqua"/>
        </w:rPr>
        <w:t xml:space="preserve"> Drought Loans are available for small businesses. </w:t>
      </w:r>
      <w:proofErr w:type="spellStart"/>
      <w:r w:rsidRPr="00114F94">
        <w:rPr>
          <w:rFonts w:cs="Book Antiqua"/>
        </w:rPr>
        <w:t>AgRebuild</w:t>
      </w:r>
      <w:proofErr w:type="spellEnd"/>
      <w:r w:rsidRPr="00114F94">
        <w:rPr>
          <w:rFonts w:cs="Book Antiqua"/>
        </w:rPr>
        <w:t xml:space="preserve"> Loans (North Queensland flood) closed on 30 June 2020. As </w:t>
      </w:r>
      <w:proofErr w:type="gramStart"/>
      <w:r w:rsidRPr="00114F94">
        <w:rPr>
          <w:rFonts w:cs="Book Antiqua"/>
        </w:rPr>
        <w:t>at</w:t>
      </w:r>
      <w:proofErr w:type="gramEnd"/>
      <w:r w:rsidRPr="00114F94">
        <w:rPr>
          <w:rFonts w:cs="Book Antiqua"/>
        </w:rPr>
        <w:t xml:space="preserve"> 30 June 2024, the fair value of Farm Investment Loans, Drought Loans, </w:t>
      </w:r>
      <w:proofErr w:type="spellStart"/>
      <w:r w:rsidRPr="00114F94">
        <w:rPr>
          <w:rFonts w:cs="Book Antiqua"/>
        </w:rPr>
        <w:t>AgriStarter</w:t>
      </w:r>
      <w:proofErr w:type="spellEnd"/>
      <w:r w:rsidRPr="00114F94">
        <w:rPr>
          <w:rFonts w:cs="Book Antiqua"/>
        </w:rPr>
        <w:t xml:space="preserve"> Loans, </w:t>
      </w:r>
      <w:proofErr w:type="spellStart"/>
      <w:r w:rsidRPr="00114F94">
        <w:rPr>
          <w:rFonts w:cs="Book Antiqua"/>
        </w:rPr>
        <w:t>AgBiz</w:t>
      </w:r>
      <w:proofErr w:type="spellEnd"/>
      <w:r w:rsidRPr="00114F94">
        <w:rPr>
          <w:rFonts w:cs="Book Antiqua"/>
        </w:rPr>
        <w:t xml:space="preserve"> Drought Loans, and </w:t>
      </w:r>
      <w:proofErr w:type="spellStart"/>
      <w:r w:rsidRPr="00114F94">
        <w:rPr>
          <w:rFonts w:cs="Book Antiqua"/>
        </w:rPr>
        <w:t>AgRebuild</w:t>
      </w:r>
      <w:proofErr w:type="spellEnd"/>
      <w:r w:rsidRPr="00114F94">
        <w:rPr>
          <w:rFonts w:cs="Book Antiqua"/>
        </w:rPr>
        <w:t xml:space="preserve"> Loans was approximately $</w:t>
      </w:r>
      <w:r>
        <w:rPr>
          <w:rFonts w:cs="Book Antiqua"/>
        </w:rPr>
        <w:t>3.0</w:t>
      </w:r>
      <w:r w:rsidRPr="00114F94">
        <w:rPr>
          <w:rFonts w:cs="Book Antiqua"/>
        </w:rPr>
        <w:t> billion.</w:t>
      </w:r>
    </w:p>
    <w:p w14:paraId="40D0EC9A" w14:textId="77777777" w:rsidR="00B33879" w:rsidRPr="00114F94" w:rsidRDefault="00B33879" w:rsidP="00433476">
      <w:pPr>
        <w:spacing w:line="240" w:lineRule="auto"/>
        <w:rPr>
          <w:rFonts w:cs="Book Antiqua"/>
        </w:rPr>
      </w:pPr>
      <w:r w:rsidRPr="00114F94">
        <w:rPr>
          <w:rFonts w:cs="Book Antiqua"/>
        </w:rPr>
        <w:t xml:space="preserve">The Farm Investment, Drought, </w:t>
      </w:r>
      <w:proofErr w:type="spellStart"/>
      <w:r w:rsidRPr="00114F94">
        <w:rPr>
          <w:rFonts w:cs="Book Antiqua"/>
        </w:rPr>
        <w:t>AgriStarter</w:t>
      </w:r>
      <w:proofErr w:type="spellEnd"/>
      <w:r w:rsidRPr="00114F94">
        <w:rPr>
          <w:rFonts w:cs="Book Antiqua"/>
        </w:rPr>
        <w:t xml:space="preserve"> and </w:t>
      </w:r>
      <w:proofErr w:type="spellStart"/>
      <w:r w:rsidRPr="00114F94">
        <w:rPr>
          <w:rFonts w:cs="Book Antiqua"/>
        </w:rPr>
        <w:t>AgBiz</w:t>
      </w:r>
      <w:proofErr w:type="spellEnd"/>
      <w:r w:rsidRPr="00114F94">
        <w:rPr>
          <w:rFonts w:cs="Book Antiqua"/>
        </w:rPr>
        <w:t xml:space="preserve"> Drought loan products provide concessional loans to eligible businesses experiencing financial difficulties and are considered financially viable in the long term (additional criteria apply for each product, and terms and conditions may vary). All products are for farm businesses, except for </w:t>
      </w:r>
      <w:proofErr w:type="spellStart"/>
      <w:r w:rsidRPr="00114F94">
        <w:rPr>
          <w:rFonts w:cs="Book Antiqua"/>
        </w:rPr>
        <w:t>AgBiz</w:t>
      </w:r>
      <w:proofErr w:type="spellEnd"/>
      <w:r w:rsidRPr="00114F94">
        <w:rPr>
          <w:rFonts w:eastAsia="Book Antiqua"/>
        </w:rPr>
        <w:t> </w:t>
      </w:r>
      <w:r w:rsidRPr="00114F94">
        <w:rPr>
          <w:rFonts w:cs="Book Antiqua"/>
        </w:rPr>
        <w:t>Drought Loans which are for small businesses that provide primary production related goods and services for drought affected farm businesses.</w:t>
      </w:r>
    </w:p>
    <w:p w14:paraId="2A11B2C7" w14:textId="0484C0EE" w:rsidR="00B33879" w:rsidRPr="00114F94" w:rsidRDefault="00B33879" w:rsidP="00433476">
      <w:pPr>
        <w:spacing w:line="240" w:lineRule="auto"/>
        <w:rPr>
          <w:rFonts w:cs="Book Antiqua"/>
        </w:rPr>
      </w:pPr>
      <w:r w:rsidRPr="00114F94">
        <w:rPr>
          <w:rFonts w:cs="Book Antiqua"/>
        </w:rPr>
        <w:t xml:space="preserve">As </w:t>
      </w:r>
      <w:proofErr w:type="gramStart"/>
      <w:r w:rsidRPr="00114F94">
        <w:rPr>
          <w:rFonts w:cs="Book Antiqua"/>
        </w:rPr>
        <w:t>at</w:t>
      </w:r>
      <w:proofErr w:type="gramEnd"/>
      <w:r w:rsidRPr="00114F94">
        <w:rPr>
          <w:rFonts w:cs="Book Antiqua"/>
        </w:rPr>
        <w:t xml:space="preserve"> 1 </w:t>
      </w:r>
      <w:r>
        <w:rPr>
          <w:rFonts w:cs="Book Antiqua"/>
        </w:rPr>
        <w:t>February</w:t>
      </w:r>
      <w:r w:rsidRPr="00114F94">
        <w:rPr>
          <w:rFonts w:cs="Book Antiqua"/>
        </w:rPr>
        <w:t xml:space="preserve"> 202</w:t>
      </w:r>
      <w:r>
        <w:rPr>
          <w:rFonts w:cs="Book Antiqua"/>
        </w:rPr>
        <w:t>5</w:t>
      </w:r>
      <w:r w:rsidRPr="00114F94">
        <w:rPr>
          <w:rFonts w:cs="Book Antiqua"/>
        </w:rPr>
        <w:t xml:space="preserve">, the variable interest rate was 5.18 per cent for the Farm Investment, Drought, </w:t>
      </w:r>
      <w:proofErr w:type="spellStart"/>
      <w:r w:rsidRPr="00114F94">
        <w:rPr>
          <w:rFonts w:cs="Book Antiqua"/>
        </w:rPr>
        <w:t>AgriStarter</w:t>
      </w:r>
      <w:proofErr w:type="spellEnd"/>
      <w:r w:rsidRPr="00114F94">
        <w:rPr>
          <w:rFonts w:cs="Book Antiqua"/>
        </w:rPr>
        <w:t xml:space="preserve"> and </w:t>
      </w:r>
      <w:proofErr w:type="spellStart"/>
      <w:r w:rsidRPr="00114F94">
        <w:rPr>
          <w:rFonts w:cs="Book Antiqua"/>
        </w:rPr>
        <w:t>AgBiz</w:t>
      </w:r>
      <w:proofErr w:type="spellEnd"/>
      <w:r w:rsidRPr="00114F94">
        <w:rPr>
          <w:rFonts w:cs="Book Antiqua"/>
        </w:rPr>
        <w:t xml:space="preserve"> Drought loan products. Interest rates are revised on a six</w:t>
      </w:r>
      <w:r w:rsidR="00D23095">
        <w:rPr>
          <w:rFonts w:cs="Book Antiqua"/>
        </w:rPr>
        <w:noBreakHyphen/>
      </w:r>
      <w:r w:rsidRPr="00114F94">
        <w:rPr>
          <w:rFonts w:cs="Book Antiqua"/>
        </w:rPr>
        <w:t>monthly basis in line with any material changes to the Australian Government ten</w:t>
      </w:r>
      <w:r w:rsidR="00D23095">
        <w:rPr>
          <w:rFonts w:cs="Book Antiqua"/>
        </w:rPr>
        <w:noBreakHyphen/>
      </w:r>
      <w:r w:rsidRPr="00114F94">
        <w:rPr>
          <w:rFonts w:cs="Book Antiqua"/>
        </w:rPr>
        <w:t xml:space="preserve">year bond rate where a material change is taken to be a movement of more than ten basis points (0.1 per cent). The next update will be on 1 </w:t>
      </w:r>
      <w:r>
        <w:rPr>
          <w:rFonts w:cs="Book Antiqua"/>
        </w:rPr>
        <w:t>August</w:t>
      </w:r>
      <w:r w:rsidRPr="00114F94">
        <w:rPr>
          <w:rFonts w:cs="Book Antiqua"/>
        </w:rPr>
        <w:t xml:space="preserve"> 2025.</w:t>
      </w:r>
    </w:p>
    <w:p w14:paraId="0404462D" w14:textId="77777777" w:rsidR="00B33879" w:rsidRPr="00114F94" w:rsidRDefault="00B33879" w:rsidP="00433476">
      <w:pPr>
        <w:spacing w:line="240" w:lineRule="auto"/>
        <w:rPr>
          <w:rFonts w:cs="Book Antiqua"/>
        </w:rPr>
      </w:pPr>
      <w:r w:rsidRPr="00114F94">
        <w:rPr>
          <w:rFonts w:cs="Book Antiqua"/>
        </w:rPr>
        <w:t xml:space="preserve">Interest is not payable during the first two years of the </w:t>
      </w:r>
      <w:proofErr w:type="spellStart"/>
      <w:r w:rsidRPr="00114F94">
        <w:rPr>
          <w:rFonts w:cs="Book Antiqua"/>
        </w:rPr>
        <w:t>AgRebuild</w:t>
      </w:r>
      <w:proofErr w:type="spellEnd"/>
      <w:r w:rsidRPr="00114F94">
        <w:rPr>
          <w:rFonts w:cs="Book Antiqua"/>
        </w:rPr>
        <w:t xml:space="preserve"> Loan, or on the Drought</w:t>
      </w:r>
      <w:r w:rsidRPr="00114F94">
        <w:rPr>
          <w:rFonts w:eastAsia="Book Antiqua"/>
        </w:rPr>
        <w:t> </w:t>
      </w:r>
      <w:r w:rsidRPr="00114F94">
        <w:rPr>
          <w:rFonts w:cs="Book Antiqua"/>
        </w:rPr>
        <w:t xml:space="preserve">Loans and </w:t>
      </w:r>
      <w:proofErr w:type="spellStart"/>
      <w:r w:rsidRPr="00114F94">
        <w:rPr>
          <w:rFonts w:cs="Book Antiqua"/>
        </w:rPr>
        <w:t>AgBiz</w:t>
      </w:r>
      <w:proofErr w:type="spellEnd"/>
      <w:r w:rsidRPr="00114F94">
        <w:rPr>
          <w:rFonts w:cs="Book Antiqua"/>
        </w:rPr>
        <w:t xml:space="preserve"> Drought Loans for loan applications that were received before 30 September 2020.</w:t>
      </w:r>
    </w:p>
    <w:p w14:paraId="3304E392" w14:textId="57A1AFE2" w:rsidR="00B33879" w:rsidRDefault="00B33879" w:rsidP="00433476">
      <w:pPr>
        <w:spacing w:line="240" w:lineRule="auto"/>
        <w:rPr>
          <w:rFonts w:cs="Book Antiqua"/>
        </w:rPr>
      </w:pPr>
      <w:r w:rsidRPr="00114F94">
        <w:rPr>
          <w:rFonts w:cs="Book Antiqua"/>
        </w:rPr>
        <w:t>Loans have a maximum term of ten</w:t>
      </w:r>
      <w:r w:rsidR="004E5D9E">
        <w:rPr>
          <w:rFonts w:cs="Book Antiqua"/>
        </w:rPr>
        <w:t> </w:t>
      </w:r>
      <w:r w:rsidRPr="00114F94">
        <w:rPr>
          <w:rFonts w:cs="Book Antiqua"/>
        </w:rPr>
        <w:t>years</w:t>
      </w:r>
      <w:r>
        <w:rPr>
          <w:rFonts w:cs="Book Antiqua"/>
        </w:rPr>
        <w:t xml:space="preserve">. </w:t>
      </w:r>
    </w:p>
    <w:p w14:paraId="4CA7AAF5" w14:textId="77777777" w:rsidR="0023618C" w:rsidRPr="00840C20" w:rsidRDefault="0023618C" w:rsidP="00225D04">
      <w:pPr>
        <w:pStyle w:val="Heading3"/>
        <w:rPr>
          <w:rFonts w:eastAsia="Arial"/>
          <w:highlight w:val="lightGray"/>
          <w:lang w:val="en-US"/>
        </w:rPr>
      </w:pPr>
      <w:bookmarkStart w:id="264" w:name="_Toc193536228"/>
      <w:r w:rsidRPr="001F70E2">
        <w:rPr>
          <w:rFonts w:eastAsia="Arial"/>
          <w:lang w:val="en-US"/>
        </w:rPr>
        <w:lastRenderedPageBreak/>
        <w:t>Climate Change, Energy, the Environment and Water</w:t>
      </w:r>
      <w:bookmarkEnd w:id="262"/>
      <w:bookmarkEnd w:id="264"/>
    </w:p>
    <w:p w14:paraId="04411986" w14:textId="77777777" w:rsidR="00A705B1" w:rsidRPr="00A705B1" w:rsidRDefault="00A705B1" w:rsidP="00225D04">
      <w:pPr>
        <w:pStyle w:val="Heading4"/>
        <w:rPr>
          <w:rFonts w:eastAsia="Arial"/>
        </w:rPr>
      </w:pPr>
      <w:bookmarkStart w:id="265" w:name="_Toc184039506"/>
      <w:r w:rsidRPr="0009668A">
        <w:rPr>
          <w:rFonts w:eastAsia="Arial"/>
        </w:rPr>
        <w:t>Clean Energy Finance Corporation</w:t>
      </w:r>
    </w:p>
    <w:p w14:paraId="507CE1A7" w14:textId="77777777" w:rsidR="00A705B1" w:rsidRPr="0009668A" w:rsidRDefault="00A705B1" w:rsidP="00433476">
      <w:pPr>
        <w:rPr>
          <w:rFonts w:eastAsia="Arial"/>
        </w:rPr>
      </w:pPr>
      <w:r w:rsidRPr="0009668A">
        <w:rPr>
          <w:rFonts w:eastAsia="Arial"/>
        </w:rPr>
        <w:t xml:space="preserve">The Clean Energy Finance Corporation (CEFC) has developed a portfolio of loans and investments across the spectrum of clean energy technologies, as required by the </w:t>
      </w:r>
      <w:r w:rsidRPr="00065F58">
        <w:rPr>
          <w:rStyle w:val="Emphasis"/>
          <w:rFonts w:eastAsia="Arial"/>
        </w:rPr>
        <w:t xml:space="preserve">Clean Energy Finance Corporation Act 2012 </w:t>
      </w:r>
      <w:r w:rsidRPr="0009668A">
        <w:rPr>
          <w:rFonts w:eastAsia="Arial"/>
        </w:rPr>
        <w:t xml:space="preserve">and the </w:t>
      </w:r>
      <w:r w:rsidRPr="00065F58">
        <w:rPr>
          <w:rStyle w:val="Emphasis"/>
          <w:rFonts w:eastAsia="Arial"/>
        </w:rPr>
        <w:t>Clean Energy Finance Corporation Investment Mandate Direction 2023</w:t>
      </w:r>
      <w:r w:rsidRPr="0009668A">
        <w:rPr>
          <w:rFonts w:eastAsia="Arial"/>
          <w:i/>
          <w:iCs/>
        </w:rPr>
        <w:t xml:space="preserve"> </w:t>
      </w:r>
      <w:r w:rsidRPr="0009668A">
        <w:rPr>
          <w:rFonts w:eastAsia="Arial"/>
        </w:rPr>
        <w:t>(the Investment Mandate), comprising the General Portfolio, Rewiring the Nation Fund and Specialised Investment Funds.</w:t>
      </w:r>
    </w:p>
    <w:p w14:paraId="61E99171" w14:textId="7EB31144" w:rsidR="00A705B1" w:rsidRPr="0009668A" w:rsidRDefault="00A705B1" w:rsidP="00433476">
      <w:pPr>
        <w:rPr>
          <w:rFonts w:eastAsia="Arial"/>
        </w:rPr>
      </w:pPr>
      <w:r w:rsidRPr="0009668A">
        <w:rPr>
          <w:rFonts w:eastAsia="Arial"/>
        </w:rPr>
        <w:t>The CEFC</w:t>
      </w:r>
      <w:r w:rsidR="00D23095">
        <w:rPr>
          <w:rFonts w:eastAsia="Arial"/>
        </w:rPr>
        <w:t>’</w:t>
      </w:r>
      <w:r w:rsidRPr="0009668A">
        <w:rPr>
          <w:rFonts w:eastAsia="Arial"/>
        </w:rPr>
        <w:t>s loan portfolio consists of predominantly senior</w:t>
      </w:r>
      <w:r w:rsidR="00D23095">
        <w:rPr>
          <w:rFonts w:eastAsia="Arial"/>
        </w:rPr>
        <w:noBreakHyphen/>
      </w:r>
      <w:r w:rsidRPr="0009668A">
        <w:rPr>
          <w:rFonts w:eastAsia="Arial"/>
        </w:rPr>
        <w:t xml:space="preserve">ranking secured loans and secured project finance facilities, typically secured against energy generating assets such as wind or solar farms or energy efficiency assets. </w:t>
      </w:r>
    </w:p>
    <w:p w14:paraId="587D8AB8" w14:textId="42BBA99D" w:rsidR="00A705B1" w:rsidRPr="0009668A" w:rsidRDefault="00A705B1" w:rsidP="00433476">
      <w:pPr>
        <w:rPr>
          <w:rFonts w:eastAsia="Arial"/>
        </w:rPr>
      </w:pPr>
      <w:r w:rsidRPr="0009668A">
        <w:rPr>
          <w:rFonts w:eastAsia="Arial"/>
        </w:rPr>
        <w:t>The CEFC</w:t>
      </w:r>
      <w:r w:rsidR="00D23095">
        <w:rPr>
          <w:rFonts w:eastAsia="Arial"/>
        </w:rPr>
        <w:t>’</w:t>
      </w:r>
      <w:r w:rsidRPr="0009668A">
        <w:rPr>
          <w:rFonts w:eastAsia="Arial"/>
        </w:rPr>
        <w:t xml:space="preserve">s Rewiring the Nation Fund is </w:t>
      </w:r>
      <w:r>
        <w:rPr>
          <w:rFonts w:eastAsia="Arial"/>
        </w:rPr>
        <w:t>delivering</w:t>
      </w:r>
      <w:r w:rsidRPr="0009668A">
        <w:rPr>
          <w:rFonts w:eastAsia="Arial"/>
        </w:rPr>
        <w:t xml:space="preserve"> concessional finance, including loans, for projects that support grid transformation. This portfolio of predominantly concessional loans is expected to be comprised mainly of unsecured corporate facilities, senior ranking secured loans and secured project finance facilities. </w:t>
      </w:r>
    </w:p>
    <w:p w14:paraId="633F998C" w14:textId="67460296" w:rsidR="00A705B1" w:rsidRPr="0009668A" w:rsidRDefault="00A705B1" w:rsidP="00433476">
      <w:pPr>
        <w:rPr>
          <w:rFonts w:eastAsia="Arial"/>
        </w:rPr>
      </w:pPr>
      <w:r w:rsidRPr="0009668A">
        <w:rPr>
          <w:rFonts w:eastAsia="Arial"/>
        </w:rPr>
        <w:t>The CEFC</w:t>
      </w:r>
      <w:r w:rsidR="00D23095">
        <w:rPr>
          <w:rFonts w:eastAsia="Arial"/>
        </w:rPr>
        <w:t>’</w:t>
      </w:r>
      <w:r w:rsidRPr="0009668A">
        <w:rPr>
          <w:rFonts w:eastAsia="Arial"/>
        </w:rPr>
        <w:t>s Specialised Investment Funds portfolio of loans (consisting of the Clean Energy Innovation Fund, the Advancing Hydrogen Fund, the Powering Australia Technology Fund and the Household Energy Upgrades Fund) are expected to be predominantly unsecured corporate facilities, senior</w:t>
      </w:r>
      <w:r w:rsidR="00D23095">
        <w:rPr>
          <w:rFonts w:eastAsia="Arial"/>
        </w:rPr>
        <w:noBreakHyphen/>
      </w:r>
      <w:r w:rsidRPr="0009668A">
        <w:rPr>
          <w:rFonts w:eastAsia="Arial"/>
        </w:rPr>
        <w:t xml:space="preserve">ranking secured loans, bonds and secured project finance facilities. </w:t>
      </w:r>
    </w:p>
    <w:p w14:paraId="19F26E7F" w14:textId="77777777" w:rsidR="00A705B1" w:rsidRPr="0009668A" w:rsidRDefault="00A705B1" w:rsidP="00433476">
      <w:pPr>
        <w:rPr>
          <w:rFonts w:eastAsia="Arial"/>
        </w:rPr>
      </w:pPr>
      <w:r w:rsidRPr="0009668A">
        <w:rPr>
          <w:rFonts w:eastAsia="Arial"/>
        </w:rPr>
        <w:t xml:space="preserve">The targeted level of risk for each of these portfolios is set out in the Investment Mandate. For all but the Rewiring the Nation Fund, the CEFC Board seeks to develop a portfolio of loans and investments that, in aggregate, has an acceptable but not excessive level of risk relative to the sector and the specific focus of each of the Funds. For the Rewiring the Nation Fund, the Board must seek to develop a portfolio that, in aggregate, has an acceptable level of risk relative to the sector and the focus of the Rewiring the Nation Fund. </w:t>
      </w:r>
    </w:p>
    <w:p w14:paraId="0485C16D" w14:textId="65FEEDE6" w:rsidR="00A705B1" w:rsidRPr="0009668A" w:rsidRDefault="00A705B1" w:rsidP="00065F58">
      <w:pPr>
        <w:rPr>
          <w:rFonts w:eastAsia="Arial"/>
        </w:rPr>
      </w:pPr>
      <w:r w:rsidRPr="0009668A">
        <w:rPr>
          <w:rFonts w:eastAsia="Arial"/>
        </w:rPr>
        <w:t>The Rewiring the Nation Fund investments may increase the CEFC</w:t>
      </w:r>
      <w:r w:rsidR="00D23095">
        <w:rPr>
          <w:rFonts w:eastAsia="Arial"/>
        </w:rPr>
        <w:t>’</w:t>
      </w:r>
      <w:r w:rsidRPr="0009668A">
        <w:rPr>
          <w:rFonts w:eastAsia="Arial"/>
        </w:rPr>
        <w:t>s overall exposure to risk as the scale, concentration, loan tenor and nature of these investments will have a higher risk profile. The Specialised Investment Funds may also have a higher risk profile than the General Portfolio, however they are a relatively smaller component of the CEFC</w:t>
      </w:r>
      <w:r w:rsidR="00D23095">
        <w:rPr>
          <w:rFonts w:eastAsia="Arial"/>
        </w:rPr>
        <w:t>’</w:t>
      </w:r>
      <w:r w:rsidRPr="0009668A">
        <w:rPr>
          <w:rFonts w:eastAsia="Arial"/>
        </w:rPr>
        <w:t xml:space="preserve">s overall exposure. </w:t>
      </w:r>
    </w:p>
    <w:p w14:paraId="1A5A2A6C" w14:textId="0E1E461E" w:rsidR="00A705B1" w:rsidRDefault="00A705B1" w:rsidP="00065F58">
      <w:pPr>
        <w:rPr>
          <w:rFonts w:eastAsia="Arial"/>
        </w:rPr>
      </w:pPr>
      <w:r w:rsidRPr="0009668A">
        <w:rPr>
          <w:rFonts w:eastAsia="Arial"/>
        </w:rPr>
        <w:t>The CEFC has predominantly made loans as a co</w:t>
      </w:r>
      <w:r w:rsidR="00D23095">
        <w:rPr>
          <w:rFonts w:eastAsia="Arial"/>
        </w:rPr>
        <w:noBreakHyphen/>
      </w:r>
      <w:r w:rsidRPr="0009668A">
        <w:rPr>
          <w:rFonts w:eastAsia="Arial"/>
        </w:rPr>
        <w:t>financier either jointly or in consortiums with private sector financial institutions. Interest rates vary with a current average expected return of approximately 4.</w:t>
      </w:r>
      <w:r>
        <w:rPr>
          <w:rFonts w:eastAsia="Arial"/>
        </w:rPr>
        <w:t>7</w:t>
      </w:r>
      <w:r w:rsidRPr="0009668A">
        <w:rPr>
          <w:rFonts w:eastAsia="Arial"/>
        </w:rPr>
        <w:t> per cent. Loans have various maturity dates, typically in the range of 5 to 15 years, although it is anticipated that</w:t>
      </w:r>
      <w:r>
        <w:rPr>
          <w:rFonts w:eastAsia="Arial"/>
        </w:rPr>
        <w:t xml:space="preserve"> average</w:t>
      </w:r>
      <w:r w:rsidRPr="0009668A">
        <w:rPr>
          <w:rFonts w:eastAsia="Arial"/>
        </w:rPr>
        <w:t xml:space="preserve"> loan tenors will </w:t>
      </w:r>
      <w:r>
        <w:rPr>
          <w:rFonts w:eastAsia="Arial"/>
        </w:rPr>
        <w:t xml:space="preserve">be </w:t>
      </w:r>
      <w:r w:rsidRPr="0009668A">
        <w:rPr>
          <w:rFonts w:eastAsia="Arial"/>
        </w:rPr>
        <w:t>extend</w:t>
      </w:r>
      <w:r>
        <w:rPr>
          <w:rFonts w:eastAsia="Arial"/>
        </w:rPr>
        <w:t>ed</w:t>
      </w:r>
      <w:r w:rsidRPr="0009668A">
        <w:rPr>
          <w:rFonts w:eastAsia="Arial"/>
        </w:rPr>
        <w:t xml:space="preserve"> </w:t>
      </w:r>
      <w:r>
        <w:rPr>
          <w:rFonts w:eastAsia="Arial"/>
        </w:rPr>
        <w:t xml:space="preserve">under </w:t>
      </w:r>
      <w:r w:rsidRPr="0009668A">
        <w:rPr>
          <w:rFonts w:eastAsia="Arial"/>
        </w:rPr>
        <w:t xml:space="preserve">the Rewiring the Nation Fund. As </w:t>
      </w:r>
      <w:proofErr w:type="gramStart"/>
      <w:r w:rsidRPr="0009668A">
        <w:rPr>
          <w:rFonts w:eastAsia="Arial"/>
        </w:rPr>
        <w:t>at</w:t>
      </w:r>
      <w:proofErr w:type="gramEnd"/>
      <w:r w:rsidRPr="0009668A">
        <w:rPr>
          <w:rFonts w:eastAsia="Arial"/>
        </w:rPr>
        <w:t xml:space="preserve"> 30 June 202</w:t>
      </w:r>
      <w:r>
        <w:rPr>
          <w:rFonts w:eastAsia="Arial"/>
        </w:rPr>
        <w:t>5</w:t>
      </w:r>
      <w:r w:rsidRPr="0009668A">
        <w:rPr>
          <w:rFonts w:eastAsia="Arial"/>
        </w:rPr>
        <w:t xml:space="preserve">, loans contracted and outstanding (excluding bonds and equities) </w:t>
      </w:r>
      <w:r>
        <w:rPr>
          <w:rFonts w:eastAsia="Arial"/>
        </w:rPr>
        <w:t>are estimated to total</w:t>
      </w:r>
      <w:r w:rsidRPr="0009668A">
        <w:rPr>
          <w:rFonts w:eastAsia="Arial"/>
        </w:rPr>
        <w:t xml:space="preserve"> $</w:t>
      </w:r>
      <w:r>
        <w:rPr>
          <w:rFonts w:eastAsia="Arial"/>
        </w:rPr>
        <w:t>4.6</w:t>
      </w:r>
      <w:r w:rsidRPr="0009668A">
        <w:rPr>
          <w:rFonts w:eastAsia="Arial"/>
        </w:rPr>
        <w:t> billion</w:t>
      </w:r>
      <w:r>
        <w:rPr>
          <w:rFonts w:eastAsia="Arial"/>
        </w:rPr>
        <w:t>.</w:t>
      </w:r>
    </w:p>
    <w:p w14:paraId="56ABC39E" w14:textId="77777777" w:rsidR="0023618C" w:rsidRDefault="0023618C" w:rsidP="00753E49">
      <w:pPr>
        <w:pStyle w:val="Heading3"/>
        <w:rPr>
          <w:rFonts w:eastAsia="Arial"/>
        </w:rPr>
      </w:pPr>
      <w:bookmarkStart w:id="266" w:name="_Toc193536229"/>
      <w:r>
        <w:rPr>
          <w:rFonts w:eastAsia="Arial"/>
        </w:rPr>
        <w:lastRenderedPageBreak/>
        <w:t>Education</w:t>
      </w:r>
      <w:bookmarkEnd w:id="265"/>
      <w:bookmarkEnd w:id="266"/>
    </w:p>
    <w:p w14:paraId="167C6715" w14:textId="254A57EF" w:rsidR="0023618C" w:rsidRPr="005F06B9" w:rsidRDefault="0023618C" w:rsidP="00753E49">
      <w:pPr>
        <w:pStyle w:val="Heading4"/>
        <w:rPr>
          <w:rFonts w:eastAsia="Arial"/>
        </w:rPr>
      </w:pPr>
      <w:r>
        <w:rPr>
          <w:rFonts w:eastAsia="Arial"/>
        </w:rPr>
        <w:t xml:space="preserve">Higher </w:t>
      </w:r>
      <w:r w:rsidRPr="00C356DF">
        <w:rPr>
          <w:rFonts w:eastAsia="Arial"/>
        </w:rPr>
        <w:t>Education Loan Program</w:t>
      </w:r>
    </w:p>
    <w:p w14:paraId="3E0CCE26" w14:textId="295E5BD9" w:rsidR="004B5FF0" w:rsidRDefault="004B5FF0" w:rsidP="004B5FF0">
      <w:pPr>
        <w:rPr>
          <w:rFonts w:eastAsia="Arial"/>
        </w:rPr>
      </w:pPr>
      <w:bookmarkStart w:id="267" w:name="_Toc184039508"/>
      <w:r w:rsidRPr="00586BB2">
        <w:rPr>
          <w:rFonts w:eastAsia="Arial"/>
        </w:rPr>
        <w:t>The Higher Education Loan Program (HELP) is an income</w:t>
      </w:r>
      <w:r w:rsidR="00D23095">
        <w:rPr>
          <w:rFonts w:eastAsia="Arial"/>
        </w:rPr>
        <w:noBreakHyphen/>
      </w:r>
      <w:r w:rsidRPr="00586BB2">
        <w:rPr>
          <w:rFonts w:eastAsia="Arial"/>
        </w:rPr>
        <w:t xml:space="preserve">contingent loan program that assists eligible higher education students with the cost of their student contribution amounts and tuition fees. </w:t>
      </w:r>
    </w:p>
    <w:p w14:paraId="0C4D6458" w14:textId="2D8ACE95" w:rsidR="004B5FF0" w:rsidRPr="00586BB2" w:rsidRDefault="004B5FF0" w:rsidP="004B5FF0">
      <w:pPr>
        <w:rPr>
          <w:rFonts w:eastAsia="Arial"/>
        </w:rPr>
      </w:pPr>
      <w:r w:rsidRPr="000B25CA">
        <w:rPr>
          <w:rFonts w:eastAsia="Arial"/>
        </w:rPr>
        <w:t xml:space="preserve">As </w:t>
      </w:r>
      <w:proofErr w:type="gramStart"/>
      <w:r w:rsidRPr="000B25CA">
        <w:rPr>
          <w:rFonts w:eastAsia="Arial"/>
        </w:rPr>
        <w:t>at</w:t>
      </w:r>
      <w:proofErr w:type="gramEnd"/>
      <w:r w:rsidRPr="000B25CA">
        <w:rPr>
          <w:rFonts w:eastAsia="Arial"/>
        </w:rPr>
        <w:t xml:space="preserve"> 30 June 2025, the fair value of HELP debt outstanding is estimated to be</w:t>
      </w:r>
      <w:r w:rsidRPr="00586BB2">
        <w:rPr>
          <w:rFonts w:eastAsia="Arial"/>
        </w:rPr>
        <w:t xml:space="preserve"> $</w:t>
      </w:r>
      <w:r>
        <w:rPr>
          <w:rFonts w:eastAsia="Arial"/>
        </w:rPr>
        <w:t>38</w:t>
      </w:r>
      <w:r w:rsidRPr="00586BB2">
        <w:rPr>
          <w:rFonts w:eastAsia="Arial"/>
        </w:rPr>
        <w:t>.</w:t>
      </w:r>
      <w:r>
        <w:rPr>
          <w:rFonts w:eastAsia="Arial"/>
        </w:rPr>
        <w:t>0</w:t>
      </w:r>
      <w:r w:rsidRPr="00586BB2">
        <w:rPr>
          <w:rFonts w:eastAsia="Arial"/>
        </w:rPr>
        <w:t xml:space="preserve"> billion. The fair value </w:t>
      </w:r>
      <w:proofErr w:type="gramStart"/>
      <w:r w:rsidRPr="00586BB2">
        <w:rPr>
          <w:rFonts w:eastAsia="Arial"/>
        </w:rPr>
        <w:t>takes into account</w:t>
      </w:r>
      <w:proofErr w:type="gramEnd"/>
      <w:r w:rsidRPr="00586BB2">
        <w:rPr>
          <w:rFonts w:eastAsia="Arial"/>
        </w:rPr>
        <w:t xml:space="preserve"> the </w:t>
      </w:r>
      <w:proofErr w:type="spellStart"/>
      <w:r w:rsidRPr="00586BB2">
        <w:rPr>
          <w:rFonts w:eastAsia="Arial"/>
        </w:rPr>
        <w:t>concessionality</w:t>
      </w:r>
      <w:proofErr w:type="spellEnd"/>
      <w:r w:rsidRPr="00586BB2">
        <w:rPr>
          <w:rFonts w:eastAsia="Arial"/>
        </w:rPr>
        <w:t xml:space="preserve"> of HELP loans</w:t>
      </w:r>
      <w:r>
        <w:rPr>
          <w:rFonts w:eastAsia="Arial"/>
        </w:rPr>
        <w:t>,</w:t>
      </w:r>
      <w:r w:rsidRPr="00586BB2">
        <w:rPr>
          <w:rFonts w:eastAsia="Arial"/>
        </w:rPr>
        <w:t xml:space="preserve"> makes an allowance for debt not expected to be repaid</w:t>
      </w:r>
      <w:r>
        <w:rPr>
          <w:rFonts w:eastAsia="Arial"/>
        </w:rPr>
        <w:t xml:space="preserve"> and includes the impact of the 2024</w:t>
      </w:r>
      <w:r w:rsidR="00B14568">
        <w:rPr>
          <w:rFonts w:eastAsia="Arial"/>
        </w:rPr>
        <w:t>–</w:t>
      </w:r>
      <w:r>
        <w:rPr>
          <w:rFonts w:eastAsia="Arial"/>
        </w:rPr>
        <w:t>25 MYEFO measure</w:t>
      </w:r>
      <w:r w:rsidRPr="004B5FF0">
        <w:rPr>
          <w:rFonts w:eastAsia="Arial"/>
        </w:rPr>
        <w:t xml:space="preserve"> </w:t>
      </w:r>
      <w:r w:rsidRPr="0019377B">
        <w:rPr>
          <w:rStyle w:val="Emphasis"/>
          <w:rFonts w:eastAsia="Arial"/>
        </w:rPr>
        <w:t>Building Australia</w:t>
      </w:r>
      <w:r w:rsidR="00D23095">
        <w:rPr>
          <w:rStyle w:val="Emphasis"/>
          <w:rFonts w:eastAsia="Arial"/>
        </w:rPr>
        <w:t>’</w:t>
      </w:r>
      <w:r w:rsidRPr="0019377B">
        <w:rPr>
          <w:rStyle w:val="Emphasis"/>
          <w:rFonts w:eastAsia="Arial"/>
        </w:rPr>
        <w:t>s Future – a fairer deal for students</w:t>
      </w:r>
      <w:r w:rsidRPr="00586BB2">
        <w:rPr>
          <w:rFonts w:eastAsia="Arial"/>
        </w:rPr>
        <w:t>.</w:t>
      </w:r>
    </w:p>
    <w:p w14:paraId="100F43F6" w14:textId="77777777" w:rsidR="004B5FF0" w:rsidRPr="00586BB2" w:rsidRDefault="004B5FF0" w:rsidP="004B5FF0">
      <w:pPr>
        <w:rPr>
          <w:rFonts w:eastAsia="Arial"/>
        </w:rPr>
      </w:pPr>
      <w:r w:rsidRPr="00586BB2">
        <w:rPr>
          <w:rFonts w:eastAsia="Arial"/>
        </w:rPr>
        <w:t xml:space="preserve">There were 2,932,349 HELP debtors as </w:t>
      </w:r>
      <w:proofErr w:type="gramStart"/>
      <w:r w:rsidRPr="00586BB2">
        <w:rPr>
          <w:rFonts w:eastAsia="Arial"/>
        </w:rPr>
        <w:t>at</w:t>
      </w:r>
      <w:proofErr w:type="gramEnd"/>
      <w:r w:rsidRPr="00586BB2">
        <w:rPr>
          <w:rFonts w:eastAsia="Arial"/>
        </w:rPr>
        <w:t xml:space="preserve"> 30 June 2024. The repayment term of a HELP debt can only be determined for people who have fully repaid their debt. As at the end of June 2024, the average time taken to repay HELP debts was 9.9 years.</w:t>
      </w:r>
    </w:p>
    <w:p w14:paraId="37CE3E4D" w14:textId="55AE863A" w:rsidR="0023618C" w:rsidRPr="00C426FA" w:rsidRDefault="0023618C" w:rsidP="00753E49">
      <w:pPr>
        <w:pStyle w:val="Heading3"/>
        <w:rPr>
          <w:rFonts w:eastAsia="Arial"/>
          <w:lang w:val="en-US"/>
        </w:rPr>
      </w:pPr>
      <w:bookmarkStart w:id="268" w:name="_Toc193536230"/>
      <w:r w:rsidRPr="00C426FA">
        <w:rPr>
          <w:rFonts w:eastAsia="Arial"/>
          <w:lang w:val="en-US"/>
        </w:rPr>
        <w:t>Employment and Workplace Relations</w:t>
      </w:r>
      <w:bookmarkEnd w:id="267"/>
      <w:bookmarkEnd w:id="268"/>
    </w:p>
    <w:p w14:paraId="7E38DA39" w14:textId="77777777" w:rsidR="0023618C" w:rsidRPr="005F06B9" w:rsidRDefault="0023618C" w:rsidP="00753E49">
      <w:pPr>
        <w:pStyle w:val="Heading4"/>
        <w:rPr>
          <w:rFonts w:eastAsia="Arial"/>
        </w:rPr>
      </w:pPr>
      <w:bookmarkStart w:id="269" w:name="_Toc184039509"/>
      <w:r w:rsidRPr="005F06B9">
        <w:rPr>
          <w:rFonts w:eastAsia="Arial"/>
        </w:rPr>
        <w:t>Australian Apprenticeship Support Loans Program</w:t>
      </w:r>
      <w:bookmarkEnd w:id="269"/>
      <w:r w:rsidRPr="005F06B9">
        <w:rPr>
          <w:rFonts w:eastAsia="Arial"/>
        </w:rPr>
        <w:t xml:space="preserve"> </w:t>
      </w:r>
    </w:p>
    <w:p w14:paraId="57FB9E8B" w14:textId="06A6D903" w:rsidR="00A705B1" w:rsidRPr="00323404" w:rsidRDefault="00A705B1" w:rsidP="00433476">
      <w:pPr>
        <w:rPr>
          <w:rFonts w:eastAsia="Arial"/>
        </w:rPr>
      </w:pPr>
      <w:bookmarkStart w:id="270" w:name="_Hlk183081007"/>
      <w:bookmarkStart w:id="271" w:name="_Toc184039510"/>
      <w:r w:rsidRPr="00323404">
        <w:rPr>
          <w:rFonts w:eastAsia="Arial"/>
        </w:rPr>
        <w:t>The Australian Apprenticeship Support Loans Program (formerly Trade Support Loans Program) is an income</w:t>
      </w:r>
      <w:r w:rsidR="00D23095">
        <w:rPr>
          <w:rFonts w:eastAsia="Arial"/>
        </w:rPr>
        <w:noBreakHyphen/>
      </w:r>
      <w:r w:rsidRPr="00323404">
        <w:rPr>
          <w:rFonts w:eastAsia="Arial"/>
        </w:rPr>
        <w:t>contingent, concessional loan program that assists eligible Australian apprentices by providing financial support of up to $25,</w:t>
      </w:r>
      <w:r>
        <w:rPr>
          <w:rFonts w:eastAsia="Arial"/>
        </w:rPr>
        <w:t>374</w:t>
      </w:r>
      <w:r w:rsidRPr="00323404">
        <w:rPr>
          <w:rFonts w:eastAsia="Arial"/>
        </w:rPr>
        <w:t xml:space="preserve"> (for 2024–25) to assist with the costs of living, learning and undertaking an apprenticeship, and helping apprentices to focus on completing a qualification listed on the Australian Apprenticeships Priority List.</w:t>
      </w:r>
      <w:bookmarkEnd w:id="270"/>
    </w:p>
    <w:p w14:paraId="6AFE1F92" w14:textId="785C5B47" w:rsidR="00A705B1" w:rsidRPr="00323404" w:rsidRDefault="00A705B1" w:rsidP="00433476">
      <w:pPr>
        <w:rPr>
          <w:rFonts w:eastAsia="Arial"/>
        </w:rPr>
      </w:pPr>
      <w:r w:rsidRPr="00323404">
        <w:rPr>
          <w:rFonts w:eastAsia="Arial"/>
        </w:rPr>
        <w:t>An eligible Australian Apprentice can access up to $8</w:t>
      </w:r>
      <w:r>
        <w:rPr>
          <w:rFonts w:eastAsia="Arial"/>
        </w:rPr>
        <w:t>45.80</w:t>
      </w:r>
      <w:r w:rsidR="004E5D9E">
        <w:rPr>
          <w:rFonts w:eastAsia="Arial"/>
        </w:rPr>
        <w:t> </w:t>
      </w:r>
      <w:r w:rsidRPr="00323404">
        <w:rPr>
          <w:rFonts w:eastAsia="Arial"/>
        </w:rPr>
        <w:t>per</w:t>
      </w:r>
      <w:r w:rsidR="004E5D9E">
        <w:rPr>
          <w:rFonts w:eastAsia="Arial"/>
        </w:rPr>
        <w:t> </w:t>
      </w:r>
      <w:r w:rsidRPr="00323404">
        <w:rPr>
          <w:rFonts w:eastAsia="Arial"/>
        </w:rPr>
        <w:t>month in the first year of their apprenticeship, $6</w:t>
      </w:r>
      <w:r>
        <w:rPr>
          <w:rFonts w:eastAsia="Arial"/>
        </w:rPr>
        <w:t>34.35</w:t>
      </w:r>
      <w:r w:rsidRPr="00323404">
        <w:rPr>
          <w:rFonts w:eastAsia="Arial"/>
        </w:rPr>
        <w:t xml:space="preserve"> per month in the second year, $42</w:t>
      </w:r>
      <w:r>
        <w:rPr>
          <w:rFonts w:eastAsia="Arial"/>
        </w:rPr>
        <w:t>2.90</w:t>
      </w:r>
      <w:r w:rsidR="004E5D9E">
        <w:rPr>
          <w:rFonts w:eastAsia="Arial"/>
        </w:rPr>
        <w:t> </w:t>
      </w:r>
      <w:r w:rsidRPr="00323404">
        <w:rPr>
          <w:rFonts w:eastAsia="Arial"/>
        </w:rPr>
        <w:t>per</w:t>
      </w:r>
      <w:r w:rsidR="004E5D9E">
        <w:rPr>
          <w:rFonts w:eastAsia="Arial"/>
        </w:rPr>
        <w:t> </w:t>
      </w:r>
      <w:r w:rsidRPr="00323404">
        <w:rPr>
          <w:rFonts w:eastAsia="Arial"/>
        </w:rPr>
        <w:t>month in the third year, and $21</w:t>
      </w:r>
      <w:r>
        <w:rPr>
          <w:rFonts w:eastAsia="Arial"/>
        </w:rPr>
        <w:t>1.45</w:t>
      </w:r>
      <w:r w:rsidRPr="00323404">
        <w:rPr>
          <w:rFonts w:eastAsia="Arial"/>
        </w:rPr>
        <w:t xml:space="preserve"> per month in the fourth year. </w:t>
      </w:r>
    </w:p>
    <w:p w14:paraId="22324D73" w14:textId="43033DB0" w:rsidR="008C0C0F" w:rsidRDefault="008C0C0F" w:rsidP="008C0C0F">
      <w:pPr>
        <w:rPr>
          <w:rFonts w:eastAsia="Calibri" w:cs="Arial"/>
          <w:szCs w:val="19"/>
          <w:lang w:eastAsia="en-US"/>
        </w:rPr>
      </w:pPr>
      <w:r w:rsidRPr="00B17037">
        <w:rPr>
          <w:rFonts w:eastAsia="Arial"/>
        </w:rPr>
        <w:t xml:space="preserve">As </w:t>
      </w:r>
      <w:proofErr w:type="gramStart"/>
      <w:r w:rsidRPr="00B17037">
        <w:rPr>
          <w:rFonts w:eastAsia="Arial"/>
        </w:rPr>
        <w:t>at</w:t>
      </w:r>
      <w:proofErr w:type="gramEnd"/>
      <w:r w:rsidRPr="00B17037">
        <w:rPr>
          <w:rFonts w:eastAsia="Arial"/>
        </w:rPr>
        <w:t xml:space="preserve"> 30 June 2025, the fair value of the Australian Apprenticeship Support Loans debt outstanding is estimated to be $70</w:t>
      </w:r>
      <w:r>
        <w:rPr>
          <w:rFonts w:eastAsia="Arial"/>
        </w:rPr>
        <w:t>2.4</w:t>
      </w:r>
      <w:r w:rsidRPr="00B17037">
        <w:rPr>
          <w:rFonts w:eastAsia="Arial"/>
        </w:rPr>
        <w:t xml:space="preserve"> million</w:t>
      </w:r>
      <w:r w:rsidRPr="00323404">
        <w:rPr>
          <w:rFonts w:eastAsia="Arial"/>
        </w:rPr>
        <w:t xml:space="preserve">. The fair value </w:t>
      </w:r>
      <w:proofErr w:type="gramStart"/>
      <w:r w:rsidRPr="00323404">
        <w:rPr>
          <w:rFonts w:eastAsia="Arial"/>
        </w:rPr>
        <w:t>takes into account</w:t>
      </w:r>
      <w:proofErr w:type="gramEnd"/>
      <w:r w:rsidRPr="00323404">
        <w:rPr>
          <w:rFonts w:eastAsia="Arial"/>
        </w:rPr>
        <w:t xml:space="preserve"> the </w:t>
      </w:r>
      <w:proofErr w:type="spellStart"/>
      <w:r w:rsidRPr="00323404">
        <w:rPr>
          <w:rFonts w:eastAsia="Arial"/>
        </w:rPr>
        <w:t>concessionality</w:t>
      </w:r>
      <w:proofErr w:type="spellEnd"/>
      <w:r w:rsidRPr="00323404">
        <w:rPr>
          <w:rFonts w:eastAsia="Arial"/>
        </w:rPr>
        <w:t xml:space="preserve"> of Australian Apprenticeship Support Loans</w:t>
      </w:r>
      <w:r>
        <w:rPr>
          <w:rFonts w:eastAsia="Arial"/>
        </w:rPr>
        <w:t>,</w:t>
      </w:r>
      <w:r w:rsidRPr="00323404">
        <w:rPr>
          <w:rFonts w:eastAsia="Arial"/>
        </w:rPr>
        <w:t xml:space="preserve"> makes an allowance for debt not expected to be repaid</w:t>
      </w:r>
      <w:r>
        <w:rPr>
          <w:rFonts w:eastAsia="Arial"/>
        </w:rPr>
        <w:t>, and includes the impact of the 2024</w:t>
      </w:r>
      <w:r w:rsidR="00B14568">
        <w:rPr>
          <w:rFonts w:eastAsia="Arial"/>
        </w:rPr>
        <w:t>–</w:t>
      </w:r>
      <w:r>
        <w:rPr>
          <w:rFonts w:eastAsia="Arial"/>
        </w:rPr>
        <w:t>25</w:t>
      </w:r>
      <w:r w:rsidR="004E5D9E">
        <w:rPr>
          <w:rFonts w:eastAsia="Arial"/>
        </w:rPr>
        <w:t> </w:t>
      </w:r>
      <w:r>
        <w:rPr>
          <w:rFonts w:eastAsia="Arial"/>
        </w:rPr>
        <w:t xml:space="preserve">MYEFO measure </w:t>
      </w:r>
      <w:r w:rsidRPr="0019377B">
        <w:rPr>
          <w:rStyle w:val="Emphasis"/>
          <w:rFonts w:eastAsia="Arial"/>
        </w:rPr>
        <w:t>Building</w:t>
      </w:r>
      <w:r w:rsidR="004E5D9E">
        <w:rPr>
          <w:rStyle w:val="Emphasis"/>
          <w:rFonts w:eastAsia="Arial"/>
        </w:rPr>
        <w:t> </w:t>
      </w:r>
      <w:r w:rsidRPr="0019377B">
        <w:rPr>
          <w:rStyle w:val="Emphasis"/>
          <w:rFonts w:eastAsia="Arial"/>
        </w:rPr>
        <w:t>Australia</w:t>
      </w:r>
      <w:r w:rsidR="00D23095">
        <w:rPr>
          <w:rStyle w:val="Emphasis"/>
          <w:rFonts w:eastAsia="Arial"/>
        </w:rPr>
        <w:t>’</w:t>
      </w:r>
      <w:r w:rsidRPr="0019377B">
        <w:rPr>
          <w:rStyle w:val="Emphasis"/>
          <w:rFonts w:eastAsia="Arial"/>
        </w:rPr>
        <w:t>s Future – a fairer deal for students</w:t>
      </w:r>
      <w:r w:rsidRPr="00323404">
        <w:rPr>
          <w:rFonts w:eastAsia="Arial"/>
        </w:rPr>
        <w:t>.</w:t>
      </w:r>
    </w:p>
    <w:p w14:paraId="02D06C2C" w14:textId="77777777" w:rsidR="0023618C" w:rsidRPr="00190DE7" w:rsidRDefault="0023618C" w:rsidP="00753E49">
      <w:pPr>
        <w:pStyle w:val="Heading4"/>
        <w:rPr>
          <w:rFonts w:eastAsia="Arial"/>
        </w:rPr>
      </w:pPr>
      <w:r w:rsidRPr="00190DE7">
        <w:rPr>
          <w:rFonts w:eastAsia="Arial"/>
        </w:rPr>
        <w:t>VET Student Loans Program</w:t>
      </w:r>
      <w:bookmarkEnd w:id="271"/>
    </w:p>
    <w:p w14:paraId="0B9D7963" w14:textId="48B3828F" w:rsidR="00E76740" w:rsidRPr="00323404" w:rsidRDefault="00E76740" w:rsidP="00E76740">
      <w:pPr>
        <w:rPr>
          <w:rFonts w:eastAsia="Arial"/>
        </w:rPr>
      </w:pPr>
      <w:bookmarkStart w:id="272" w:name="_Toc184039511"/>
      <w:r w:rsidRPr="00323404">
        <w:rPr>
          <w:rFonts w:eastAsia="Arial"/>
        </w:rPr>
        <w:t>The VET Student Loans (VSL) Program is an income contingent loan program that assists eligible tertiary education students with the cost of their fees when undertaking approved higher</w:t>
      </w:r>
      <w:r w:rsidR="00D23095">
        <w:rPr>
          <w:rFonts w:eastAsia="Arial"/>
        </w:rPr>
        <w:noBreakHyphen/>
      </w:r>
      <w:r w:rsidRPr="00323404">
        <w:rPr>
          <w:rFonts w:eastAsia="Arial"/>
        </w:rPr>
        <w:t xml:space="preserve">level Vocational Education and Training (VET) courses (diploma and above). </w:t>
      </w:r>
    </w:p>
    <w:p w14:paraId="33467513" w14:textId="0594888B" w:rsidR="00E76740" w:rsidRPr="00323404" w:rsidRDefault="00E76740" w:rsidP="00E76740">
      <w:pPr>
        <w:rPr>
          <w:rFonts w:eastAsia="Arial"/>
        </w:rPr>
      </w:pPr>
      <w:r w:rsidRPr="00323404">
        <w:rPr>
          <w:rFonts w:eastAsia="Arial"/>
        </w:rPr>
        <w:t xml:space="preserve">As </w:t>
      </w:r>
      <w:proofErr w:type="gramStart"/>
      <w:r w:rsidRPr="00323404">
        <w:rPr>
          <w:rFonts w:eastAsia="Arial"/>
        </w:rPr>
        <w:t>at</w:t>
      </w:r>
      <w:proofErr w:type="gramEnd"/>
      <w:r w:rsidRPr="00323404">
        <w:rPr>
          <w:rFonts w:eastAsia="Arial"/>
        </w:rPr>
        <w:t xml:space="preserve"> 30 June 202</w:t>
      </w:r>
      <w:r>
        <w:rPr>
          <w:rFonts w:eastAsia="Arial"/>
        </w:rPr>
        <w:t>5</w:t>
      </w:r>
      <w:r w:rsidRPr="00323404">
        <w:rPr>
          <w:rFonts w:eastAsia="Arial"/>
        </w:rPr>
        <w:t xml:space="preserve">, the fair value of both </w:t>
      </w:r>
      <w:r w:rsidR="00B163EF">
        <w:rPr>
          <w:rFonts w:eastAsia="Arial"/>
        </w:rPr>
        <w:t>VET-FEE HELP (VHF)</w:t>
      </w:r>
      <w:r w:rsidRPr="00323404">
        <w:rPr>
          <w:rFonts w:eastAsia="Arial"/>
        </w:rPr>
        <w:t xml:space="preserve"> debt and VSL debt outstanding is estimated to be $</w:t>
      </w:r>
      <w:r>
        <w:rPr>
          <w:rFonts w:eastAsia="Arial"/>
        </w:rPr>
        <w:t>2.4</w:t>
      </w:r>
      <w:r w:rsidRPr="00323404">
        <w:rPr>
          <w:rFonts w:eastAsia="Arial"/>
        </w:rPr>
        <w:t xml:space="preserve"> billion. The fair value </w:t>
      </w:r>
      <w:proofErr w:type="gramStart"/>
      <w:r w:rsidRPr="00323404">
        <w:rPr>
          <w:rFonts w:eastAsia="Arial"/>
        </w:rPr>
        <w:t>takes into account</w:t>
      </w:r>
      <w:proofErr w:type="gramEnd"/>
      <w:r w:rsidRPr="00323404">
        <w:rPr>
          <w:rFonts w:eastAsia="Arial"/>
        </w:rPr>
        <w:t xml:space="preserve"> the </w:t>
      </w:r>
      <w:proofErr w:type="spellStart"/>
      <w:r w:rsidRPr="00323404">
        <w:rPr>
          <w:rFonts w:eastAsia="Arial"/>
        </w:rPr>
        <w:t>concessionality</w:t>
      </w:r>
      <w:proofErr w:type="spellEnd"/>
      <w:r w:rsidRPr="00323404">
        <w:rPr>
          <w:rFonts w:eastAsia="Arial"/>
        </w:rPr>
        <w:t xml:space="preserve"> of VSL loans</w:t>
      </w:r>
      <w:r>
        <w:rPr>
          <w:rFonts w:eastAsia="Arial"/>
        </w:rPr>
        <w:t>,</w:t>
      </w:r>
      <w:r w:rsidRPr="00323404">
        <w:rPr>
          <w:rFonts w:eastAsia="Arial"/>
        </w:rPr>
        <w:t xml:space="preserve"> makes an allowance for debt not expected to be repaid</w:t>
      </w:r>
      <w:r>
        <w:rPr>
          <w:rFonts w:eastAsia="Arial"/>
        </w:rPr>
        <w:t xml:space="preserve"> and includes the impact of the </w:t>
      </w:r>
      <w:r w:rsidR="004E5D9E">
        <w:rPr>
          <w:rFonts w:eastAsia="Arial"/>
        </w:rPr>
        <w:br/>
      </w:r>
      <w:r>
        <w:rPr>
          <w:rFonts w:eastAsia="Arial"/>
        </w:rPr>
        <w:t>2024</w:t>
      </w:r>
      <w:r w:rsidR="00B14568">
        <w:rPr>
          <w:rFonts w:eastAsia="Arial"/>
        </w:rPr>
        <w:t>–</w:t>
      </w:r>
      <w:r>
        <w:rPr>
          <w:rFonts w:eastAsia="Arial"/>
        </w:rPr>
        <w:t>25</w:t>
      </w:r>
      <w:r w:rsidR="004E5D9E">
        <w:rPr>
          <w:rFonts w:eastAsia="Arial"/>
        </w:rPr>
        <w:t> </w:t>
      </w:r>
      <w:r>
        <w:rPr>
          <w:rFonts w:eastAsia="Arial"/>
        </w:rPr>
        <w:t xml:space="preserve">MYEFO measure </w:t>
      </w:r>
      <w:r w:rsidRPr="0019377B">
        <w:rPr>
          <w:rStyle w:val="Emphasis"/>
          <w:rFonts w:eastAsia="Arial"/>
        </w:rPr>
        <w:t>Building Australia</w:t>
      </w:r>
      <w:r w:rsidR="00D23095">
        <w:rPr>
          <w:rStyle w:val="Emphasis"/>
          <w:rFonts w:eastAsia="Arial"/>
        </w:rPr>
        <w:t>’</w:t>
      </w:r>
      <w:r w:rsidRPr="0019377B">
        <w:rPr>
          <w:rStyle w:val="Emphasis"/>
          <w:rFonts w:eastAsia="Arial"/>
        </w:rPr>
        <w:t>s Future – a fairer deal for students</w:t>
      </w:r>
      <w:r w:rsidRPr="00323404">
        <w:rPr>
          <w:rFonts w:eastAsia="Arial"/>
        </w:rPr>
        <w:t xml:space="preserve">. </w:t>
      </w:r>
    </w:p>
    <w:p w14:paraId="310636E4" w14:textId="3346F3AD" w:rsidR="00E76740" w:rsidRPr="00323404" w:rsidRDefault="00E76740" w:rsidP="00E76740">
      <w:pPr>
        <w:rPr>
          <w:rFonts w:eastAsia="Arial"/>
        </w:rPr>
      </w:pPr>
      <w:r w:rsidRPr="00323404">
        <w:rPr>
          <w:rFonts w:eastAsia="Arial"/>
        </w:rPr>
        <w:lastRenderedPageBreak/>
        <w:t xml:space="preserve">There were 126,403 VSL debtors as </w:t>
      </w:r>
      <w:proofErr w:type="gramStart"/>
      <w:r w:rsidRPr="00323404">
        <w:rPr>
          <w:rFonts w:eastAsia="Arial"/>
        </w:rPr>
        <w:t>at</w:t>
      </w:r>
      <w:proofErr w:type="gramEnd"/>
      <w:r w:rsidRPr="00323404">
        <w:rPr>
          <w:rFonts w:eastAsia="Arial"/>
        </w:rPr>
        <w:t xml:space="preserve"> 30 June 2024. The repayment term of a post 1</w:t>
      </w:r>
      <w:r w:rsidRPr="00E76740">
        <w:rPr>
          <w:rFonts w:eastAsia="Arial"/>
        </w:rPr>
        <w:t> </w:t>
      </w:r>
      <w:r w:rsidRPr="00323404">
        <w:rPr>
          <w:rFonts w:eastAsia="Arial"/>
        </w:rPr>
        <w:t>July</w:t>
      </w:r>
      <w:r w:rsidRPr="00E76740">
        <w:rPr>
          <w:rFonts w:eastAsia="Arial"/>
        </w:rPr>
        <w:t> </w:t>
      </w:r>
      <w:r w:rsidRPr="00323404">
        <w:rPr>
          <w:rFonts w:eastAsia="Arial"/>
        </w:rPr>
        <w:t>2019 VSL debt can only be determined for people who have fully repaid their debt. ATO data for the 2023</w:t>
      </w:r>
      <w:r w:rsidR="00B14568">
        <w:rPr>
          <w:rFonts w:eastAsia="Arial"/>
        </w:rPr>
        <w:t>–</w:t>
      </w:r>
      <w:r w:rsidRPr="00323404">
        <w:rPr>
          <w:rFonts w:eastAsia="Arial"/>
        </w:rPr>
        <w:t>24 period indicates the average time to repay a VSL debt in full is 2.1</w:t>
      </w:r>
      <w:r w:rsidRPr="00E76740">
        <w:rPr>
          <w:rFonts w:eastAsia="Arial"/>
        </w:rPr>
        <w:t> </w:t>
      </w:r>
      <w:r w:rsidRPr="00323404">
        <w:rPr>
          <w:rFonts w:eastAsia="Arial"/>
        </w:rPr>
        <w:t>years.</w:t>
      </w:r>
    </w:p>
    <w:p w14:paraId="56748C43" w14:textId="16B2D1F0" w:rsidR="00E76740" w:rsidRDefault="00E76740" w:rsidP="00E76740">
      <w:pPr>
        <w:rPr>
          <w:rFonts w:eastAsia="Arial"/>
        </w:rPr>
      </w:pPr>
      <w:r w:rsidRPr="00323404">
        <w:rPr>
          <w:rFonts w:eastAsia="Arial"/>
        </w:rPr>
        <w:t>Prior to the commencement of the VSL Program, loans for VET students were available through the VFH scheme, which closed to new students on 31</w:t>
      </w:r>
      <w:r w:rsidRPr="00E76740">
        <w:rPr>
          <w:rFonts w:eastAsia="Arial"/>
        </w:rPr>
        <w:t> </w:t>
      </w:r>
      <w:r w:rsidRPr="00323404">
        <w:rPr>
          <w:rFonts w:eastAsia="Arial"/>
        </w:rPr>
        <w:t>December</w:t>
      </w:r>
      <w:r w:rsidRPr="00E76740">
        <w:rPr>
          <w:rFonts w:eastAsia="Arial"/>
        </w:rPr>
        <w:t> </w:t>
      </w:r>
      <w:r w:rsidRPr="00323404">
        <w:rPr>
          <w:rFonts w:eastAsia="Arial"/>
        </w:rPr>
        <w:t xml:space="preserve">2016. </w:t>
      </w:r>
    </w:p>
    <w:p w14:paraId="51110E63" w14:textId="342D362F" w:rsidR="00162BCF" w:rsidRDefault="00162BCF" w:rsidP="00753E49">
      <w:pPr>
        <w:pStyle w:val="Heading3"/>
        <w:rPr>
          <w:rFonts w:eastAsia="Arial"/>
        </w:rPr>
      </w:pPr>
      <w:bookmarkStart w:id="273" w:name="_Toc193536231"/>
      <w:r>
        <w:rPr>
          <w:rFonts w:eastAsia="Arial"/>
        </w:rPr>
        <w:t>Finance</w:t>
      </w:r>
      <w:bookmarkEnd w:id="273"/>
    </w:p>
    <w:p w14:paraId="716C04CD" w14:textId="30DAF29A" w:rsidR="00D52A9A" w:rsidRPr="0009089A" w:rsidRDefault="00D52A9A" w:rsidP="00753E49">
      <w:pPr>
        <w:pStyle w:val="Heading4"/>
        <w:rPr>
          <w:rFonts w:eastAsia="Arial"/>
        </w:rPr>
      </w:pPr>
      <w:r w:rsidRPr="0009089A">
        <w:rPr>
          <w:rFonts w:eastAsia="Arial"/>
        </w:rPr>
        <w:t>Defence Housing Australia Loan</w:t>
      </w:r>
    </w:p>
    <w:p w14:paraId="7AD8E7AC" w14:textId="491B1C11" w:rsidR="00162BCF" w:rsidRDefault="00D52A9A" w:rsidP="00F60FC6">
      <w:pPr>
        <w:rPr>
          <w:rFonts w:eastAsia="Arial"/>
        </w:rPr>
      </w:pPr>
      <w:r w:rsidRPr="0009089A">
        <w:rPr>
          <w:rFonts w:eastAsia="Arial"/>
        </w:rPr>
        <w:t>Defence Housing Australia (DHA) has a debt facility with the Department of Finance to support borrowings to provide housing and housing related services to Australian Defence Force (ADF) members and their families. Interest rates are floating, with interest paid quarterly and the principal due in full at maturity. DHA</w:t>
      </w:r>
      <w:r w:rsidR="00D23095">
        <w:rPr>
          <w:rFonts w:eastAsia="Arial"/>
        </w:rPr>
        <w:t>’</w:t>
      </w:r>
      <w:r w:rsidRPr="0009089A">
        <w:rPr>
          <w:rFonts w:eastAsia="Arial"/>
        </w:rPr>
        <w:t>s projected cash flow and capital base are sufficient to cover interest costs and repayment of principal. DHA is a wholly owned Corporate Commonwealth Entity, and a Government Business Enterprise owned by the Australian</w:t>
      </w:r>
      <w:r w:rsidRPr="0009089A">
        <w:rPr>
          <w:rFonts w:eastAsia="Arial" w:hint="eastAsia"/>
        </w:rPr>
        <w:t> </w:t>
      </w:r>
      <w:r w:rsidRPr="0009089A">
        <w:rPr>
          <w:rFonts w:eastAsia="Arial"/>
        </w:rPr>
        <w:t>Government that supports Defence capability by providing ADF members</w:t>
      </w:r>
      <w:r w:rsidR="00D23095">
        <w:rPr>
          <w:rFonts w:eastAsia="Arial"/>
        </w:rPr>
        <w:t>’</w:t>
      </w:r>
      <w:r w:rsidRPr="0009089A">
        <w:rPr>
          <w:rFonts w:eastAsia="Arial"/>
        </w:rPr>
        <w:t xml:space="preserve"> housing requirements.</w:t>
      </w:r>
    </w:p>
    <w:p w14:paraId="42B2F6B0" w14:textId="77777777" w:rsidR="007647F0" w:rsidRDefault="007647F0" w:rsidP="00753E49">
      <w:pPr>
        <w:pStyle w:val="Heading4"/>
        <w:rPr>
          <w:rFonts w:eastAsia="Arial"/>
        </w:rPr>
      </w:pPr>
      <w:r>
        <w:rPr>
          <w:rFonts w:eastAsia="Arial"/>
        </w:rPr>
        <w:t>Snowy Hydro Limited Loan</w:t>
      </w:r>
    </w:p>
    <w:p w14:paraId="16C9299F" w14:textId="287824F7" w:rsidR="007647F0" w:rsidRPr="00D52A9A" w:rsidRDefault="007647F0" w:rsidP="00F60FC6">
      <w:pPr>
        <w:rPr>
          <w:rFonts w:eastAsia="Arial"/>
        </w:rPr>
      </w:pPr>
      <w:r w:rsidRPr="0015367F">
        <w:rPr>
          <w:rFonts w:eastAsia="Arial"/>
        </w:rPr>
        <w:t xml:space="preserve">Snowy Hydro Limited (SHL) executed a debt facility with the Department of Finance and the Department of Climate Change, Energy, the Environment and Water for funding for the Snowy 2.0 project. Interest rates are floating plus a margin, with interest paid quarterly and the principal due in full after </w:t>
      </w:r>
      <w:r w:rsidR="00B163EF">
        <w:rPr>
          <w:rFonts w:eastAsia="Arial"/>
        </w:rPr>
        <w:t>five</w:t>
      </w:r>
      <w:r w:rsidRPr="0015367F">
        <w:rPr>
          <w:rFonts w:eastAsia="Arial"/>
        </w:rPr>
        <w:t xml:space="preserve"> years. SHL</w:t>
      </w:r>
      <w:r w:rsidR="00D23095">
        <w:rPr>
          <w:rFonts w:eastAsia="Arial"/>
        </w:rPr>
        <w:t>’</w:t>
      </w:r>
      <w:r w:rsidRPr="0015367F">
        <w:rPr>
          <w:rFonts w:eastAsia="Arial"/>
        </w:rPr>
        <w:t>s projected cash flow</w:t>
      </w:r>
      <w:r>
        <w:rPr>
          <w:rFonts w:eastAsia="Arial"/>
        </w:rPr>
        <w:t>s</w:t>
      </w:r>
      <w:r w:rsidRPr="0015367F">
        <w:rPr>
          <w:rFonts w:eastAsia="Arial"/>
        </w:rPr>
        <w:t xml:space="preserve"> are sufficient to service the loan which is expected to be refinanced by the private sector at maturity. SHL is a wholly owned Commonwealth </w:t>
      </w:r>
      <w:proofErr w:type="gramStart"/>
      <w:r w:rsidRPr="0015367F">
        <w:rPr>
          <w:rFonts w:eastAsia="Arial"/>
        </w:rPr>
        <w:t>Company</w:t>
      </w:r>
      <w:proofErr w:type="gramEnd"/>
      <w:r w:rsidRPr="0015367F">
        <w:rPr>
          <w:rFonts w:eastAsia="Arial"/>
        </w:rPr>
        <w:t xml:space="preserve"> and a Government Business Enterprise owned by the Australian Government that owns and operates the Snowy Mountains hydro</w:t>
      </w:r>
      <w:r w:rsidR="00D23095">
        <w:rPr>
          <w:rFonts w:eastAsia="Arial"/>
        </w:rPr>
        <w:noBreakHyphen/>
      </w:r>
      <w:r w:rsidRPr="0015367F">
        <w:rPr>
          <w:rFonts w:eastAsia="Arial"/>
        </w:rPr>
        <w:t xml:space="preserve">electric </w:t>
      </w:r>
      <w:r>
        <w:rPr>
          <w:rFonts w:eastAsia="Arial"/>
        </w:rPr>
        <w:t>s</w:t>
      </w:r>
      <w:r w:rsidRPr="0015367F">
        <w:rPr>
          <w:rFonts w:eastAsia="Arial"/>
        </w:rPr>
        <w:t>cheme</w:t>
      </w:r>
      <w:r>
        <w:rPr>
          <w:rFonts w:eastAsia="Arial"/>
        </w:rPr>
        <w:t>.</w:t>
      </w:r>
    </w:p>
    <w:p w14:paraId="5ABCFA15" w14:textId="77777777" w:rsidR="0023618C" w:rsidRDefault="0023618C" w:rsidP="00753E49">
      <w:pPr>
        <w:pStyle w:val="Heading3"/>
        <w:rPr>
          <w:rFonts w:eastAsia="Arial"/>
        </w:rPr>
      </w:pPr>
      <w:bookmarkStart w:id="274" w:name="_Toc193536232"/>
      <w:r w:rsidRPr="00B832E0">
        <w:rPr>
          <w:rFonts w:eastAsia="Arial"/>
        </w:rPr>
        <w:t>Foreign Affairs and Trade</w:t>
      </w:r>
      <w:bookmarkEnd w:id="263"/>
      <w:bookmarkEnd w:id="272"/>
      <w:bookmarkEnd w:id="274"/>
    </w:p>
    <w:p w14:paraId="1ED2DC43" w14:textId="77777777" w:rsidR="0023618C" w:rsidRDefault="0023618C" w:rsidP="00753E49">
      <w:pPr>
        <w:pStyle w:val="Heading4"/>
        <w:rPr>
          <w:rFonts w:eastAsia="Arial"/>
        </w:rPr>
      </w:pPr>
      <w:bookmarkStart w:id="275" w:name="_Toc184039512"/>
      <w:r>
        <w:rPr>
          <w:rFonts w:eastAsia="Arial"/>
        </w:rPr>
        <w:t xml:space="preserve">Government support for </w:t>
      </w:r>
      <w:proofErr w:type="spellStart"/>
      <w:r>
        <w:rPr>
          <w:rFonts w:eastAsia="Arial"/>
        </w:rPr>
        <w:t>PsiQuantum</w:t>
      </w:r>
      <w:proofErr w:type="spellEnd"/>
      <w:r>
        <w:rPr>
          <w:rFonts w:eastAsia="Arial"/>
        </w:rPr>
        <w:t xml:space="preserve"> Pty Ltd</w:t>
      </w:r>
      <w:bookmarkEnd w:id="275"/>
    </w:p>
    <w:p w14:paraId="688D00C1" w14:textId="1009B25A" w:rsidR="003A08F0" w:rsidRDefault="003A08F0" w:rsidP="00F60FC6">
      <w:pPr>
        <w:rPr>
          <w:rFonts w:eastAsia="Calibri"/>
          <w:lang w:eastAsia="en-US"/>
        </w:rPr>
      </w:pPr>
      <w:bookmarkStart w:id="276" w:name="_Hlk182825955"/>
      <w:bookmarkStart w:id="277" w:name="_Toc184039513"/>
      <w:bookmarkStart w:id="278" w:name="_Toc99141909"/>
      <w:r w:rsidRPr="002B3886">
        <w:rPr>
          <w:rFonts w:eastAsia="Calibri"/>
          <w:lang w:eastAsia="en-US"/>
        </w:rPr>
        <w:t xml:space="preserve">In the 2024–25 Budget, the Australian Government agreed to a financing package of equity and loans through Export Finance Australia on the National Interest Account to </w:t>
      </w:r>
      <w:proofErr w:type="spellStart"/>
      <w:r w:rsidRPr="002B3886">
        <w:rPr>
          <w:rFonts w:eastAsia="Calibri"/>
          <w:lang w:eastAsia="en-US"/>
        </w:rPr>
        <w:t>PsiQuantum</w:t>
      </w:r>
      <w:proofErr w:type="spellEnd"/>
      <w:r w:rsidRPr="002B3886">
        <w:rPr>
          <w:rFonts w:eastAsia="Calibri"/>
          <w:lang w:eastAsia="en-US"/>
        </w:rPr>
        <w:t xml:space="preserve"> Corporation and its wholly owned Australian subsidiary to support the construction and operation of quantum computing capabilities and associated investment in industry and research development in Brisbane. The package is part of a joint investment with the Queensland Government. </w:t>
      </w:r>
      <w:r>
        <w:rPr>
          <w:rFonts w:eastAsia="Calibri"/>
          <w:lang w:eastAsia="en-US"/>
        </w:rPr>
        <w:t>I</w:t>
      </w:r>
      <w:r w:rsidRPr="003B6F7D">
        <w:rPr>
          <w:rFonts w:eastAsia="Calibri"/>
          <w:lang w:eastAsia="en-US"/>
        </w:rPr>
        <w:t>t is estimated that by 30 June 202</w:t>
      </w:r>
      <w:r>
        <w:rPr>
          <w:rFonts w:eastAsia="Calibri"/>
          <w:lang w:eastAsia="en-US"/>
        </w:rPr>
        <w:t>5</w:t>
      </w:r>
      <w:r w:rsidRPr="003B6F7D">
        <w:rPr>
          <w:rFonts w:eastAsia="Calibri"/>
          <w:lang w:eastAsia="en-US"/>
        </w:rPr>
        <w:t xml:space="preserve">, </w:t>
      </w:r>
      <w:r>
        <w:rPr>
          <w:rFonts w:eastAsia="Calibri"/>
          <w:lang w:eastAsia="en-US"/>
        </w:rPr>
        <w:t>US$125</w:t>
      </w:r>
      <w:r w:rsidR="00211895">
        <w:rPr>
          <w:rFonts w:eastAsia="Calibri"/>
          <w:lang w:eastAsia="en-US"/>
        </w:rPr>
        <w:t> </w:t>
      </w:r>
      <w:r>
        <w:rPr>
          <w:rFonts w:eastAsia="Calibri"/>
          <w:lang w:eastAsia="en-US"/>
        </w:rPr>
        <w:t>million (A$193.1</w:t>
      </w:r>
      <w:r w:rsidR="00211895">
        <w:rPr>
          <w:rFonts w:eastAsia="Calibri"/>
          <w:lang w:eastAsia="en-US"/>
        </w:rPr>
        <w:t> </w:t>
      </w:r>
      <w:r>
        <w:rPr>
          <w:rFonts w:eastAsia="Calibri"/>
          <w:lang w:eastAsia="en-US"/>
        </w:rPr>
        <w:t>million)</w:t>
      </w:r>
      <w:r w:rsidRPr="003B6F7D">
        <w:rPr>
          <w:rFonts w:eastAsia="Calibri"/>
          <w:lang w:eastAsia="en-US"/>
        </w:rPr>
        <w:t xml:space="preserve"> will have been drawn down</w:t>
      </w:r>
      <w:r>
        <w:rPr>
          <w:rFonts w:eastAsia="Calibri"/>
          <w:lang w:eastAsia="en-US"/>
        </w:rPr>
        <w:t>, with further loan funding of A$275.0</w:t>
      </w:r>
      <w:r w:rsidR="00211895">
        <w:rPr>
          <w:rFonts w:eastAsia="Calibri"/>
          <w:lang w:eastAsia="en-US"/>
        </w:rPr>
        <w:t> </w:t>
      </w:r>
      <w:r>
        <w:rPr>
          <w:rFonts w:eastAsia="Calibri"/>
          <w:lang w:eastAsia="en-US"/>
        </w:rPr>
        <w:t>million still to be drawn down</w:t>
      </w:r>
      <w:r w:rsidRPr="003B6F7D">
        <w:rPr>
          <w:rFonts w:eastAsia="Calibri"/>
          <w:lang w:eastAsia="en-US"/>
        </w:rPr>
        <w:t>.</w:t>
      </w:r>
      <w:r>
        <w:rPr>
          <w:rFonts w:eastAsia="Calibri"/>
          <w:lang w:eastAsia="en-US"/>
        </w:rPr>
        <w:t xml:space="preserve"> </w:t>
      </w:r>
      <w:bookmarkEnd w:id="276"/>
    </w:p>
    <w:p w14:paraId="56242C59" w14:textId="5A89A2C8" w:rsidR="0023618C" w:rsidRPr="00FD2545" w:rsidRDefault="0023618C" w:rsidP="00753E49">
      <w:pPr>
        <w:pStyle w:val="Heading4"/>
        <w:rPr>
          <w:rFonts w:eastAsia="Arial"/>
        </w:rPr>
      </w:pPr>
      <w:r w:rsidRPr="00FD2545">
        <w:rPr>
          <w:rFonts w:eastAsia="Arial"/>
        </w:rPr>
        <w:t>Telstra acquisition of Digicel Pacific</w:t>
      </w:r>
      <w:bookmarkEnd w:id="277"/>
      <w:r w:rsidRPr="00FD2545">
        <w:rPr>
          <w:rFonts w:eastAsia="Arial"/>
        </w:rPr>
        <w:t xml:space="preserve"> </w:t>
      </w:r>
    </w:p>
    <w:p w14:paraId="7CBCB175" w14:textId="18285090" w:rsidR="00EA4811" w:rsidRPr="002B3886" w:rsidRDefault="00EA4811" w:rsidP="00F60FC6">
      <w:pPr>
        <w:rPr>
          <w:rFonts w:eastAsia="Calibri"/>
          <w:lang w:eastAsia="en-US"/>
        </w:rPr>
      </w:pPr>
      <w:bookmarkStart w:id="279" w:name="_Toc166165545"/>
      <w:bookmarkStart w:id="280" w:name="_Toc184039514"/>
      <w:r w:rsidRPr="002B3886">
        <w:rPr>
          <w:rFonts w:eastAsia="Calibri"/>
          <w:lang w:eastAsia="en-US"/>
        </w:rPr>
        <w:t>The Australian Government provided Telstra a financing package through Export Finance Australia for Telstra</w:t>
      </w:r>
      <w:r w:rsidR="00D23095">
        <w:rPr>
          <w:rFonts w:eastAsia="Calibri"/>
          <w:lang w:eastAsia="en-US"/>
        </w:rPr>
        <w:t>’</w:t>
      </w:r>
      <w:r w:rsidRPr="002B3886">
        <w:rPr>
          <w:rFonts w:eastAsia="Calibri"/>
          <w:lang w:eastAsia="en-US"/>
        </w:rPr>
        <w:t xml:space="preserve">s acquisition of Digicel Pacific. Telstra now owns and operates Digicel </w:t>
      </w:r>
      <w:r w:rsidRPr="002B3886">
        <w:rPr>
          <w:rFonts w:eastAsia="Calibri"/>
          <w:lang w:eastAsia="en-US"/>
        </w:rPr>
        <w:lastRenderedPageBreak/>
        <w:t>Pacific. This package includes debt and equity, including securities designed to secure the Government a long</w:t>
      </w:r>
      <w:r w:rsidR="00D23095">
        <w:rPr>
          <w:rFonts w:eastAsia="Calibri"/>
          <w:lang w:eastAsia="en-US"/>
        </w:rPr>
        <w:noBreakHyphen/>
      </w:r>
      <w:r w:rsidRPr="002B3886">
        <w:rPr>
          <w:rFonts w:eastAsia="Calibri"/>
          <w:lang w:eastAsia="en-US"/>
        </w:rPr>
        <w:t xml:space="preserve">term return. </w:t>
      </w:r>
      <w:r>
        <w:rPr>
          <w:rFonts w:eastAsia="Calibri"/>
          <w:lang w:eastAsia="en-US"/>
        </w:rPr>
        <w:t>I</w:t>
      </w:r>
      <w:r w:rsidRPr="003B6F7D">
        <w:rPr>
          <w:rFonts w:eastAsia="Calibri"/>
          <w:lang w:eastAsia="en-US"/>
        </w:rPr>
        <w:t>t is estimated that by 30 June 202</w:t>
      </w:r>
      <w:r>
        <w:rPr>
          <w:rFonts w:eastAsia="Calibri"/>
          <w:lang w:eastAsia="en-US"/>
        </w:rPr>
        <w:t>5</w:t>
      </w:r>
      <w:r w:rsidRPr="003B6F7D">
        <w:rPr>
          <w:rFonts w:eastAsia="Calibri"/>
          <w:lang w:eastAsia="en-US"/>
        </w:rPr>
        <w:t>, US$1.4</w:t>
      </w:r>
      <w:r w:rsidR="00211895">
        <w:rPr>
          <w:rFonts w:eastAsia="Calibri"/>
          <w:lang w:eastAsia="en-US"/>
        </w:rPr>
        <w:t> </w:t>
      </w:r>
      <w:r w:rsidRPr="003B6F7D">
        <w:rPr>
          <w:rFonts w:eastAsia="Calibri"/>
          <w:lang w:eastAsia="en-US"/>
        </w:rPr>
        <w:t>billion (around A$2.</w:t>
      </w:r>
      <w:r>
        <w:rPr>
          <w:rFonts w:eastAsia="Calibri"/>
          <w:lang w:eastAsia="en-US"/>
        </w:rPr>
        <w:t>2</w:t>
      </w:r>
      <w:r w:rsidR="00211895">
        <w:rPr>
          <w:rFonts w:eastAsia="Calibri"/>
          <w:lang w:eastAsia="en-US"/>
        </w:rPr>
        <w:t> </w:t>
      </w:r>
      <w:r w:rsidRPr="003B6F7D">
        <w:rPr>
          <w:rFonts w:eastAsia="Calibri"/>
          <w:lang w:eastAsia="en-US"/>
        </w:rPr>
        <w:t xml:space="preserve">billion) </w:t>
      </w:r>
      <w:r w:rsidR="007647F0">
        <w:rPr>
          <w:rFonts w:eastAsia="Calibri"/>
          <w:lang w:eastAsia="en-US"/>
        </w:rPr>
        <w:t>is</w:t>
      </w:r>
      <w:r>
        <w:rPr>
          <w:rFonts w:eastAsia="Calibri"/>
          <w:lang w:eastAsia="en-US"/>
        </w:rPr>
        <w:t xml:space="preserve"> outstanding. </w:t>
      </w:r>
    </w:p>
    <w:p w14:paraId="6D9A872E" w14:textId="77777777" w:rsidR="00DF240A" w:rsidRPr="00C30D66" w:rsidRDefault="00DF240A" w:rsidP="00753E49">
      <w:pPr>
        <w:pStyle w:val="Heading3"/>
        <w:rPr>
          <w:rFonts w:eastAsia="Arial"/>
        </w:rPr>
      </w:pPr>
      <w:bookmarkStart w:id="281" w:name="_Toc193536233"/>
      <w:r w:rsidRPr="00C30D66">
        <w:rPr>
          <w:rFonts w:eastAsia="Arial"/>
        </w:rPr>
        <w:t>Industry, Science and Resources</w:t>
      </w:r>
      <w:bookmarkEnd w:id="279"/>
      <w:bookmarkEnd w:id="281"/>
    </w:p>
    <w:p w14:paraId="5C40D949" w14:textId="7A32A19C" w:rsidR="00DF240A" w:rsidRPr="00523EB3" w:rsidRDefault="00DF240A" w:rsidP="00753E49">
      <w:pPr>
        <w:pStyle w:val="Heading4"/>
        <w:rPr>
          <w:rFonts w:eastAsia="Arial"/>
        </w:rPr>
      </w:pPr>
      <w:r w:rsidRPr="00523EB3">
        <w:rPr>
          <w:rFonts w:eastAsia="Arial"/>
        </w:rPr>
        <w:t xml:space="preserve">National </w:t>
      </w:r>
      <w:r w:rsidRPr="00ED15A8">
        <w:rPr>
          <w:rFonts w:eastAsia="Arial"/>
        </w:rPr>
        <w:t>Reconstruction</w:t>
      </w:r>
      <w:r w:rsidRPr="00523EB3">
        <w:rPr>
          <w:rFonts w:eastAsia="Arial"/>
        </w:rPr>
        <w:t xml:space="preserve"> Fund Corporation</w:t>
      </w:r>
    </w:p>
    <w:p w14:paraId="3EDC9CD0" w14:textId="77777777" w:rsidR="00DF240A" w:rsidRPr="0088573E" w:rsidRDefault="00DF240A" w:rsidP="00F60FC6">
      <w:r w:rsidRPr="00392E4B">
        <w:t xml:space="preserve">The </w:t>
      </w:r>
      <w:r w:rsidRPr="00A310DC">
        <w:rPr>
          <w:rStyle w:val="Emphasis"/>
        </w:rPr>
        <w:t>National Reconstruction Fund Corporation Act 2023</w:t>
      </w:r>
      <w:r w:rsidRPr="00392E4B">
        <w:t xml:space="preserve"> </w:t>
      </w:r>
      <w:r>
        <w:t xml:space="preserve">(NRFC Act) </w:t>
      </w:r>
      <w:r w:rsidRPr="0088573E">
        <w:t>commenced on 18</w:t>
      </w:r>
      <w:r>
        <w:t> September 2023</w:t>
      </w:r>
      <w:r w:rsidRPr="0088573E">
        <w:t>, establishing the National Reconstruction Fund Corporation (NRFC) to facilitate increased flows of finance into priority areas of the Australian economy</w:t>
      </w:r>
      <w:r w:rsidRPr="00392E4B">
        <w:t>.</w:t>
      </w:r>
    </w:p>
    <w:p w14:paraId="3078A27E" w14:textId="7C1B614C" w:rsidR="00DF240A" w:rsidRPr="0088573E" w:rsidRDefault="00DF240A" w:rsidP="00F60FC6">
      <w:r w:rsidRPr="0088573E">
        <w:t xml:space="preserve">The NRFC offers loans and guarantees and makes equity investments in priority areas of the economy consistent with the </w:t>
      </w:r>
      <w:r>
        <w:t>NRFC</w:t>
      </w:r>
      <w:r w:rsidRPr="0009148B">
        <w:t xml:space="preserve"> Act</w:t>
      </w:r>
      <w:r w:rsidRPr="0088573E">
        <w:t xml:space="preserve"> and the associated instrument. The NRFC will make a range of investments, including in emerging technologies and technically complex projects that carry higher risk. There are also risks inherent in investing in a large and diverse portfolio of financial assets. In practice, this will involve some short</w:t>
      </w:r>
      <w:r w:rsidR="00D23095">
        <w:noBreakHyphen/>
      </w:r>
      <w:r w:rsidRPr="0088573E">
        <w:t>term volatility in the NRFC</w:t>
      </w:r>
      <w:r w:rsidR="00D23095">
        <w:t>’</w:t>
      </w:r>
      <w:r w:rsidRPr="0088573E">
        <w:t>s returns, including the possibility of credit losses across the portfolio.</w:t>
      </w:r>
    </w:p>
    <w:p w14:paraId="1EFE87D4" w14:textId="77777777" w:rsidR="00DF240A" w:rsidRPr="0088573E" w:rsidRDefault="00DF240A" w:rsidP="00F60FC6">
      <w:r w:rsidRPr="0088573E">
        <w:t xml:space="preserve">While the NRFC </w:t>
      </w:r>
      <w:r>
        <w:t>has been</w:t>
      </w:r>
      <w:r w:rsidRPr="0088573E">
        <w:t xml:space="preserve"> established in 2023–24, the risk around revenue and loss projections are unquantifiable at this time.</w:t>
      </w:r>
      <w:r>
        <w:t xml:space="preserve"> </w:t>
      </w:r>
    </w:p>
    <w:p w14:paraId="25AD9181" w14:textId="7F9353CD" w:rsidR="00DF240A" w:rsidRPr="00D57D49" w:rsidRDefault="00DF240A" w:rsidP="00F60FC6">
      <w:r w:rsidRPr="0088573E">
        <w:t>The NRFC Board develops the NRFC</w:t>
      </w:r>
      <w:r w:rsidR="00D23095">
        <w:t>’</w:t>
      </w:r>
      <w:r w:rsidRPr="0088573E">
        <w:t xml:space="preserve">s investment portfolio with an appropriate risk tolerance relative to the National Reconstruction Fund priority areas as required by the </w:t>
      </w:r>
      <w:r w:rsidRPr="00A310DC">
        <w:rPr>
          <w:rStyle w:val="Emphasis"/>
        </w:rPr>
        <w:t>National Reconstruction Fund Corporation (Investment Mandate) Direction 2023</w:t>
      </w:r>
      <w:r w:rsidRPr="0088573E">
        <w:t xml:space="preserve"> and the </w:t>
      </w:r>
      <w:r w:rsidRPr="00A310DC">
        <w:rPr>
          <w:rStyle w:val="Emphasis"/>
        </w:rPr>
        <w:t>National</w:t>
      </w:r>
      <w:r w:rsidR="0039132A">
        <w:rPr>
          <w:rStyle w:val="Emphasis"/>
        </w:rPr>
        <w:t> </w:t>
      </w:r>
      <w:r w:rsidRPr="00A310DC">
        <w:rPr>
          <w:rStyle w:val="Emphasis"/>
        </w:rPr>
        <w:t>Reconstruction Fund Corporation (Priority Areas) Declaration</w:t>
      </w:r>
      <w:r w:rsidR="0039132A">
        <w:rPr>
          <w:rStyle w:val="Emphasis"/>
        </w:rPr>
        <w:t> </w:t>
      </w:r>
      <w:r w:rsidRPr="00A310DC">
        <w:rPr>
          <w:rStyle w:val="Emphasis"/>
        </w:rPr>
        <w:t>2023.</w:t>
      </w:r>
    </w:p>
    <w:p w14:paraId="0231BECE" w14:textId="132FE873" w:rsidR="0023618C" w:rsidRPr="009744DB" w:rsidRDefault="0023618C" w:rsidP="00753E49">
      <w:pPr>
        <w:pStyle w:val="Heading3"/>
        <w:rPr>
          <w:rFonts w:eastAsia="Arial"/>
        </w:rPr>
      </w:pPr>
      <w:bookmarkStart w:id="282" w:name="_Toc193536234"/>
      <w:r w:rsidRPr="009744DB">
        <w:rPr>
          <w:rFonts w:eastAsia="Arial"/>
        </w:rPr>
        <w:t>Infrastructure, Transport, Regional Development, Communications and the Arts</w:t>
      </w:r>
      <w:bookmarkEnd w:id="280"/>
      <w:bookmarkEnd w:id="282"/>
    </w:p>
    <w:p w14:paraId="4971A3A0" w14:textId="77777777" w:rsidR="0023618C" w:rsidRPr="009744DB" w:rsidRDefault="0023618C" w:rsidP="00753E49">
      <w:pPr>
        <w:pStyle w:val="Heading4"/>
        <w:rPr>
          <w:rFonts w:eastAsia="Arial"/>
        </w:rPr>
      </w:pPr>
      <w:bookmarkStart w:id="283" w:name="_Toc184039515"/>
      <w:r w:rsidRPr="009744DB">
        <w:rPr>
          <w:rFonts w:eastAsia="Arial"/>
        </w:rPr>
        <w:t>Northern Australia Infrastructure Facility Loans</w:t>
      </w:r>
      <w:bookmarkEnd w:id="283"/>
    </w:p>
    <w:p w14:paraId="37F18656" w14:textId="0F7FFB49" w:rsidR="0023618C" w:rsidRPr="009744DB" w:rsidRDefault="000136C9" w:rsidP="00F60FC6">
      <w:pPr>
        <w:rPr>
          <w:rFonts w:eastAsia="Calibri"/>
          <w:lang w:eastAsia="en-US"/>
        </w:rPr>
      </w:pPr>
      <w:r w:rsidRPr="002735D8">
        <w:rPr>
          <w:rFonts w:eastAsia="Calibri"/>
          <w:lang w:eastAsia="en-US"/>
        </w:rPr>
        <w:t xml:space="preserve">The Northern Australia Infrastructure Facility (NAIF) is a </w:t>
      </w:r>
      <w:r>
        <w:rPr>
          <w:rFonts w:eastAsia="Calibri"/>
          <w:lang w:eastAsia="en-US"/>
        </w:rPr>
        <w:t>financing</w:t>
      </w:r>
      <w:r w:rsidR="0023618C" w:rsidRPr="009744DB">
        <w:rPr>
          <w:rFonts w:eastAsia="Calibri"/>
          <w:lang w:eastAsia="en-US"/>
        </w:rPr>
        <w:t xml:space="preserve"> facility established by the Australian Government under the </w:t>
      </w:r>
      <w:r w:rsidR="0023618C" w:rsidRPr="00A310DC">
        <w:rPr>
          <w:rStyle w:val="Emphasis"/>
          <w:rFonts w:eastAsia="Calibri"/>
        </w:rPr>
        <w:t>Northern Australia Infrastructure Facility Act 2016</w:t>
      </w:r>
      <w:r w:rsidR="0023618C" w:rsidRPr="009744DB">
        <w:rPr>
          <w:rFonts w:eastAsia="Calibri"/>
          <w:lang w:eastAsia="en-US"/>
        </w:rPr>
        <w:t xml:space="preserve"> and will continue to make investment decisions until 30</w:t>
      </w:r>
      <w:r w:rsidR="0039132A">
        <w:rPr>
          <w:rFonts w:eastAsia="Calibri"/>
          <w:lang w:eastAsia="en-US"/>
        </w:rPr>
        <w:t> </w:t>
      </w:r>
      <w:r w:rsidR="0023618C" w:rsidRPr="009744DB">
        <w:rPr>
          <w:rFonts w:eastAsia="Calibri"/>
          <w:lang w:eastAsia="en-US"/>
        </w:rPr>
        <w:t>June</w:t>
      </w:r>
      <w:r w:rsidR="0039132A">
        <w:rPr>
          <w:rFonts w:eastAsia="Calibri"/>
          <w:lang w:eastAsia="en-US"/>
        </w:rPr>
        <w:t> </w:t>
      </w:r>
      <w:r w:rsidR="0023618C" w:rsidRPr="009744DB">
        <w:rPr>
          <w:rFonts w:eastAsia="Calibri"/>
          <w:lang w:eastAsia="en-US"/>
        </w:rPr>
        <w:t xml:space="preserve">2026. The primary purpose of the NAIF is to provide loans or alternative financing mechanisms to infrastructure projects. The infrastructure that NAIF can finance is wide ranging and includes assets that facilitate the establishment or enhancement of business activity or increase economic activity in a region. </w:t>
      </w:r>
    </w:p>
    <w:p w14:paraId="47BB72E0" w14:textId="6631EE85" w:rsidR="0023618C" w:rsidRPr="009744DB" w:rsidRDefault="0023618C" w:rsidP="00F60FC6">
      <w:pPr>
        <w:rPr>
          <w:rFonts w:eastAsia="Calibri"/>
          <w:lang w:eastAsia="en-US"/>
        </w:rPr>
      </w:pPr>
      <w:r w:rsidRPr="009744DB">
        <w:rPr>
          <w:rFonts w:eastAsia="Calibri"/>
          <w:lang w:eastAsia="en-US"/>
        </w:rPr>
        <w:t>To be eligible for a loan from the NAIF, including up to 100</w:t>
      </w:r>
      <w:r>
        <w:rPr>
          <w:rFonts w:eastAsia="Calibri"/>
          <w:lang w:eastAsia="en-US"/>
        </w:rPr>
        <w:t> per cent</w:t>
      </w:r>
      <w:r w:rsidRPr="009744DB">
        <w:rPr>
          <w:rFonts w:eastAsia="Calibri"/>
          <w:lang w:eastAsia="en-US"/>
        </w:rPr>
        <w:t xml:space="preserve"> of the project</w:t>
      </w:r>
      <w:r w:rsidR="00D23095">
        <w:rPr>
          <w:rFonts w:eastAsia="Calibri"/>
          <w:lang w:eastAsia="en-US"/>
        </w:rPr>
        <w:t>’</w:t>
      </w:r>
      <w:r w:rsidRPr="009744DB">
        <w:rPr>
          <w:rFonts w:eastAsia="Calibri"/>
          <w:lang w:eastAsia="en-US"/>
        </w:rPr>
        <w:t xml:space="preserve">s debt, project proponents must meet the mandatory criteria outlined in the NAIF Investment Mandate that commenced on 15 December 2023. Since its establishment, the NAIF has been amended to: </w:t>
      </w:r>
    </w:p>
    <w:p w14:paraId="7D32C8D9" w14:textId="601F8E5C" w:rsidR="0023618C" w:rsidRPr="009744DB" w:rsidRDefault="0023618C" w:rsidP="00F60FC6">
      <w:pPr>
        <w:pStyle w:val="Bullet"/>
        <w:numPr>
          <w:ilvl w:val="0"/>
          <w:numId w:val="10"/>
        </w:numPr>
        <w:tabs>
          <w:tab w:val="num" w:pos="283"/>
        </w:tabs>
        <w:ind w:left="284" w:hanging="284"/>
        <w:rPr>
          <w:rFonts w:eastAsia="Calibri"/>
          <w:lang w:eastAsia="en-US"/>
        </w:rPr>
      </w:pPr>
      <w:r w:rsidRPr="009744DB">
        <w:rPr>
          <w:rFonts w:eastAsia="Calibri"/>
          <w:lang w:eastAsia="en-US"/>
        </w:rPr>
        <w:t>expand the eligibility for NAIF financing to include non</w:t>
      </w:r>
      <w:r w:rsidR="00D23095">
        <w:rPr>
          <w:rFonts w:eastAsia="Calibri"/>
          <w:lang w:eastAsia="en-US"/>
        </w:rPr>
        <w:noBreakHyphen/>
      </w:r>
      <w:r w:rsidRPr="009744DB">
        <w:rPr>
          <w:rFonts w:eastAsia="Calibri"/>
          <w:lang w:eastAsia="en-US"/>
        </w:rPr>
        <w:t xml:space="preserve">construction activities associated with the development of economic infrastructure </w:t>
      </w:r>
    </w:p>
    <w:p w14:paraId="205025FE" w14:textId="3BEA59F0" w:rsidR="0023618C" w:rsidRPr="009744DB" w:rsidRDefault="000136C9" w:rsidP="00F60FC6">
      <w:pPr>
        <w:pStyle w:val="Bullet"/>
        <w:numPr>
          <w:ilvl w:val="0"/>
          <w:numId w:val="10"/>
        </w:numPr>
        <w:tabs>
          <w:tab w:val="num" w:pos="283"/>
        </w:tabs>
        <w:ind w:left="284" w:hanging="284"/>
        <w:rPr>
          <w:rFonts w:eastAsia="Calibri"/>
          <w:lang w:eastAsia="en-US"/>
        </w:rPr>
      </w:pPr>
      <w:r w:rsidRPr="00643841">
        <w:rPr>
          <w:rFonts w:eastAsia="Calibri"/>
          <w:lang w:eastAsia="en-US"/>
        </w:rPr>
        <w:lastRenderedPageBreak/>
        <w:t xml:space="preserve">provide NAIF with </w:t>
      </w:r>
      <w:r>
        <w:rPr>
          <w:rFonts w:eastAsia="Calibri"/>
          <w:lang w:eastAsia="en-US"/>
        </w:rPr>
        <w:t>an</w:t>
      </w:r>
      <w:r w:rsidR="0023618C" w:rsidRPr="009744DB">
        <w:rPr>
          <w:rFonts w:eastAsia="Calibri"/>
          <w:lang w:eastAsia="en-US"/>
        </w:rPr>
        <w:t xml:space="preserve"> expanded debt </w:t>
      </w:r>
      <w:r>
        <w:rPr>
          <w:rFonts w:eastAsia="Calibri"/>
          <w:lang w:eastAsia="en-US"/>
        </w:rPr>
        <w:t>offering</w:t>
      </w:r>
      <w:r w:rsidR="0023618C" w:rsidRPr="009744DB">
        <w:rPr>
          <w:rFonts w:eastAsia="Calibri"/>
          <w:lang w:eastAsia="en-US"/>
        </w:rPr>
        <w:t xml:space="preserve">, including the ability to provide letters of credit, guarantees and lend in foreign currency, finance smaller loans through working with financing partnerships, and in certain circumstances provide financing directly to proponents rather than via the States or Northern Territory </w:t>
      </w:r>
    </w:p>
    <w:p w14:paraId="3DCE502C" w14:textId="20C037ED" w:rsidR="0023618C" w:rsidRPr="009744DB" w:rsidRDefault="0023618C" w:rsidP="00F60FC6">
      <w:pPr>
        <w:pStyle w:val="Bullet"/>
        <w:numPr>
          <w:ilvl w:val="0"/>
          <w:numId w:val="10"/>
        </w:numPr>
        <w:tabs>
          <w:tab w:val="num" w:pos="283"/>
        </w:tabs>
        <w:ind w:left="284" w:hanging="284"/>
        <w:rPr>
          <w:rFonts w:eastAsia="Calibri"/>
          <w:lang w:eastAsia="en-US"/>
        </w:rPr>
      </w:pPr>
      <w:r w:rsidRPr="009744DB">
        <w:rPr>
          <w:rFonts w:eastAsia="Calibri"/>
          <w:lang w:eastAsia="en-US"/>
        </w:rPr>
        <w:t>make equity investments subject to a cap of $50</w:t>
      </w:r>
      <w:r>
        <w:rPr>
          <w:rFonts w:eastAsia="Calibri"/>
          <w:lang w:eastAsia="en-US"/>
        </w:rPr>
        <w:t> million</w:t>
      </w:r>
      <w:r w:rsidRPr="009744DB">
        <w:rPr>
          <w:rFonts w:eastAsia="Calibri"/>
          <w:lang w:eastAsia="en-US"/>
        </w:rPr>
        <w:t xml:space="preserve"> and a minimum of $5</w:t>
      </w:r>
      <w:r>
        <w:rPr>
          <w:rFonts w:eastAsia="Calibri"/>
          <w:lang w:eastAsia="en-US"/>
        </w:rPr>
        <w:t> million</w:t>
      </w:r>
      <w:r w:rsidRPr="009744DB">
        <w:rPr>
          <w:rFonts w:eastAsia="Calibri"/>
          <w:lang w:eastAsia="en-US"/>
        </w:rPr>
        <w:t xml:space="preserve"> per investment, for non</w:t>
      </w:r>
      <w:r w:rsidR="00D23095">
        <w:rPr>
          <w:rFonts w:eastAsia="Calibri"/>
          <w:lang w:eastAsia="en-US"/>
        </w:rPr>
        <w:noBreakHyphen/>
      </w:r>
      <w:r w:rsidRPr="009744DB">
        <w:rPr>
          <w:rFonts w:eastAsia="Calibri"/>
          <w:lang w:eastAsia="en-US"/>
        </w:rPr>
        <w:t xml:space="preserve">controlling interest </w:t>
      </w:r>
    </w:p>
    <w:p w14:paraId="2EE68C17" w14:textId="28892DAC" w:rsidR="0023618C" w:rsidRPr="009744DB" w:rsidRDefault="0023618C" w:rsidP="00F60FC6">
      <w:pPr>
        <w:pStyle w:val="Bullet"/>
        <w:numPr>
          <w:ilvl w:val="0"/>
          <w:numId w:val="10"/>
        </w:numPr>
        <w:tabs>
          <w:tab w:val="num" w:pos="283"/>
        </w:tabs>
        <w:ind w:left="284" w:hanging="284"/>
        <w:rPr>
          <w:rFonts w:eastAsia="Calibri"/>
          <w:lang w:eastAsia="en-US"/>
        </w:rPr>
      </w:pPr>
      <w:r w:rsidRPr="009744DB">
        <w:rPr>
          <w:rFonts w:eastAsia="Calibri"/>
          <w:lang w:eastAsia="en-US"/>
        </w:rPr>
        <w:t xml:space="preserve">enhance the potential to deliver significant public benefit to northern Australia by </w:t>
      </w:r>
      <w:r w:rsidR="000136C9">
        <w:rPr>
          <w:rFonts w:eastAsia="Calibri"/>
          <w:lang w:eastAsia="en-US"/>
        </w:rPr>
        <w:t xml:space="preserve">allowing NAIF to assume financial risk in a project that is acceptable but not </w:t>
      </w:r>
      <w:proofErr w:type="gramStart"/>
      <w:r w:rsidR="000136C9">
        <w:rPr>
          <w:rFonts w:eastAsia="Calibri"/>
          <w:lang w:eastAsia="en-US"/>
        </w:rPr>
        <w:t>excessive, and</w:t>
      </w:r>
      <w:proofErr w:type="gramEnd"/>
      <w:r w:rsidR="000136C9">
        <w:rPr>
          <w:rFonts w:eastAsia="Calibri"/>
          <w:lang w:eastAsia="en-US"/>
        </w:rPr>
        <w:t xml:space="preserve"> </w:t>
      </w:r>
      <w:r w:rsidRPr="009744DB">
        <w:rPr>
          <w:rFonts w:eastAsia="Calibri"/>
          <w:lang w:eastAsia="en-US"/>
        </w:rPr>
        <w:t xml:space="preserve">removing the prohibition against the Australian Government assuming the majority risk in any project. </w:t>
      </w:r>
    </w:p>
    <w:p w14:paraId="5D991B9B" w14:textId="031BED99" w:rsidR="0023618C" w:rsidRPr="009744DB" w:rsidRDefault="0023618C" w:rsidP="00F60FC6">
      <w:pPr>
        <w:pStyle w:val="Bullet"/>
        <w:numPr>
          <w:ilvl w:val="0"/>
          <w:numId w:val="10"/>
        </w:numPr>
        <w:tabs>
          <w:tab w:val="num" w:pos="283"/>
        </w:tabs>
        <w:ind w:left="284" w:hanging="284"/>
        <w:rPr>
          <w:rFonts w:eastAsia="Calibri"/>
          <w:lang w:eastAsia="en-US"/>
        </w:rPr>
      </w:pPr>
      <w:r w:rsidRPr="009744DB">
        <w:rPr>
          <w:rFonts w:eastAsia="Calibri"/>
          <w:lang w:eastAsia="en-US"/>
        </w:rPr>
        <w:t>legislate the requirement to earmark $500</w:t>
      </w:r>
      <w:r>
        <w:rPr>
          <w:rFonts w:eastAsia="Calibri"/>
          <w:lang w:eastAsia="en-US"/>
        </w:rPr>
        <w:t> million</w:t>
      </w:r>
      <w:r w:rsidRPr="009744DB">
        <w:rPr>
          <w:rFonts w:eastAsia="Calibri"/>
          <w:lang w:eastAsia="en-US"/>
        </w:rPr>
        <w:t xml:space="preserve"> of its $7</w:t>
      </w:r>
      <w:r>
        <w:rPr>
          <w:rFonts w:eastAsia="Calibri"/>
          <w:lang w:eastAsia="en-US"/>
        </w:rPr>
        <w:t> billion</w:t>
      </w:r>
      <w:r w:rsidRPr="009744DB">
        <w:rPr>
          <w:rFonts w:eastAsia="Calibri"/>
          <w:lang w:eastAsia="en-US"/>
        </w:rPr>
        <w:t xml:space="preserve"> appropriation to go towards realising the Government</w:t>
      </w:r>
      <w:r w:rsidR="00D23095">
        <w:rPr>
          <w:rFonts w:eastAsia="Calibri"/>
          <w:lang w:eastAsia="en-US"/>
        </w:rPr>
        <w:t>’</w:t>
      </w:r>
      <w:r w:rsidRPr="009744DB">
        <w:rPr>
          <w:rFonts w:eastAsia="Calibri"/>
          <w:lang w:eastAsia="en-US"/>
        </w:rPr>
        <w:t xml:space="preserve">s Critical Minerals Strategy and create alignment of investment decisions to Government Policy Priorities </w:t>
      </w:r>
    </w:p>
    <w:p w14:paraId="55C4ED90" w14:textId="2448120E" w:rsidR="0023618C" w:rsidRPr="009744DB" w:rsidRDefault="0023618C" w:rsidP="00F60FC6">
      <w:pPr>
        <w:pStyle w:val="Bullet"/>
        <w:numPr>
          <w:ilvl w:val="0"/>
          <w:numId w:val="10"/>
        </w:numPr>
        <w:tabs>
          <w:tab w:val="num" w:pos="283"/>
        </w:tabs>
        <w:ind w:left="284" w:hanging="284"/>
        <w:rPr>
          <w:rFonts w:eastAsia="Calibri"/>
          <w:lang w:eastAsia="en-US"/>
        </w:rPr>
      </w:pPr>
      <w:r w:rsidRPr="009744DB">
        <w:rPr>
          <w:rFonts w:eastAsia="Calibri"/>
          <w:lang w:eastAsia="en-US"/>
        </w:rPr>
        <w:t>add further areas to be considered as part of NAIF</w:t>
      </w:r>
      <w:r w:rsidR="00D23095">
        <w:rPr>
          <w:rFonts w:eastAsia="Calibri"/>
          <w:lang w:eastAsia="en-US"/>
        </w:rPr>
        <w:t>’</w:t>
      </w:r>
      <w:r w:rsidRPr="009744DB">
        <w:rPr>
          <w:rFonts w:eastAsia="Calibri"/>
          <w:lang w:eastAsia="en-US"/>
        </w:rPr>
        <w:t xml:space="preserve">s Risk Appetite Statement – including risk sharing between NAIF and the Australian Government, climate change related risks and net zero transition risks </w:t>
      </w:r>
    </w:p>
    <w:p w14:paraId="7EDA887F" w14:textId="440368F5" w:rsidR="0023618C" w:rsidRPr="009744DB" w:rsidRDefault="0023618C" w:rsidP="00F60FC6">
      <w:pPr>
        <w:pStyle w:val="Bullet"/>
        <w:numPr>
          <w:ilvl w:val="0"/>
          <w:numId w:val="10"/>
        </w:numPr>
        <w:tabs>
          <w:tab w:val="num" w:pos="283"/>
        </w:tabs>
        <w:ind w:left="284" w:hanging="284"/>
        <w:rPr>
          <w:rFonts w:eastAsia="Calibri"/>
          <w:lang w:eastAsia="en-US"/>
        </w:rPr>
      </w:pPr>
      <w:r w:rsidRPr="009744DB">
        <w:rPr>
          <w:rFonts w:eastAsia="Calibri"/>
          <w:lang w:eastAsia="en-US"/>
        </w:rPr>
        <w:t>extend NAIF</w:t>
      </w:r>
      <w:r w:rsidR="00D23095">
        <w:rPr>
          <w:rFonts w:eastAsia="Calibri"/>
          <w:lang w:eastAsia="en-US"/>
        </w:rPr>
        <w:t>’</w:t>
      </w:r>
      <w:r w:rsidRPr="009744DB">
        <w:rPr>
          <w:rFonts w:eastAsia="Calibri"/>
          <w:lang w:eastAsia="en-US"/>
        </w:rPr>
        <w:t xml:space="preserve">s internal and external reporting on investments </w:t>
      </w:r>
    </w:p>
    <w:p w14:paraId="20B37284" w14:textId="038E296E" w:rsidR="0023618C" w:rsidRPr="009744DB" w:rsidRDefault="0023618C" w:rsidP="00F60FC6">
      <w:pPr>
        <w:pStyle w:val="Bullet"/>
        <w:numPr>
          <w:ilvl w:val="0"/>
          <w:numId w:val="10"/>
        </w:numPr>
        <w:tabs>
          <w:tab w:val="num" w:pos="283"/>
        </w:tabs>
        <w:ind w:left="284" w:hanging="284"/>
        <w:rPr>
          <w:rFonts w:eastAsia="Calibri"/>
          <w:lang w:eastAsia="en-US"/>
        </w:rPr>
      </w:pPr>
      <w:r w:rsidRPr="009744DB">
        <w:rPr>
          <w:rFonts w:eastAsia="Calibri"/>
          <w:lang w:eastAsia="en-US"/>
        </w:rPr>
        <w:t>further tighten NAIF</w:t>
      </w:r>
      <w:r w:rsidR="00B163EF">
        <w:rPr>
          <w:rFonts w:eastAsia="Calibri"/>
          <w:lang w:eastAsia="en-US"/>
        </w:rPr>
        <w:t>’</w:t>
      </w:r>
      <w:r w:rsidRPr="009744DB">
        <w:rPr>
          <w:rFonts w:eastAsia="Calibri"/>
          <w:lang w:eastAsia="en-US"/>
        </w:rPr>
        <w:t xml:space="preserve">s Direct Financing powers and a greater emphasis on consulting/collaborating with other Commonwealth entities/Specialist Investment Vehicles. </w:t>
      </w:r>
    </w:p>
    <w:p w14:paraId="1F3CE787" w14:textId="5FDAC86C" w:rsidR="0023618C" w:rsidRPr="009744DB" w:rsidRDefault="0023618C" w:rsidP="00F60FC6">
      <w:pPr>
        <w:rPr>
          <w:rFonts w:eastAsia="Calibri"/>
          <w:lang w:eastAsia="en-US"/>
        </w:rPr>
      </w:pPr>
      <w:r w:rsidRPr="009744DB">
        <w:rPr>
          <w:rFonts w:eastAsia="Calibri"/>
          <w:lang w:eastAsia="en-US"/>
        </w:rPr>
        <w:t>The Australian</w:t>
      </w:r>
      <w:r w:rsidR="0039132A">
        <w:rPr>
          <w:rFonts w:eastAsia="Calibri"/>
          <w:lang w:eastAsia="en-US"/>
        </w:rPr>
        <w:t> </w:t>
      </w:r>
      <w:r w:rsidRPr="009744DB">
        <w:rPr>
          <w:rFonts w:eastAsia="Calibri"/>
          <w:lang w:eastAsia="en-US"/>
        </w:rPr>
        <w:t>Government updated the Investment Mandate to give effect to these changes.</w:t>
      </w:r>
    </w:p>
    <w:p w14:paraId="0D6ACC0B" w14:textId="036ED722" w:rsidR="0023618C" w:rsidRPr="003E27C4" w:rsidRDefault="0023618C" w:rsidP="00753E49">
      <w:pPr>
        <w:pStyle w:val="Heading4"/>
        <w:rPr>
          <w:rFonts w:eastAsia="Arial"/>
          <w:lang w:eastAsia="en-US"/>
        </w:rPr>
      </w:pPr>
      <w:bookmarkStart w:id="284" w:name="_Toc184039516"/>
      <w:r w:rsidRPr="003E27C4">
        <w:rPr>
          <w:rFonts w:eastAsia="Arial"/>
          <w:lang w:eastAsia="en-US"/>
        </w:rPr>
        <w:t>WestConnex Stage 2 Concessional Loan</w:t>
      </w:r>
      <w:bookmarkEnd w:id="284"/>
    </w:p>
    <w:p w14:paraId="552267FC" w14:textId="4C8FF4A0" w:rsidR="0023618C" w:rsidRPr="007F7E9F" w:rsidRDefault="0023618C" w:rsidP="00F60FC6">
      <w:pPr>
        <w:rPr>
          <w:rFonts w:eastAsia="Calibri"/>
          <w:lang w:eastAsia="en-US"/>
        </w:rPr>
      </w:pPr>
      <w:r w:rsidRPr="007F7E9F">
        <w:rPr>
          <w:rFonts w:eastAsia="Calibri"/>
          <w:lang w:eastAsia="en-US"/>
        </w:rPr>
        <w:t>The WestConnex concessional loan is a $2</w:t>
      </w:r>
      <w:r>
        <w:rPr>
          <w:rFonts w:eastAsia="Calibri"/>
          <w:lang w:eastAsia="en-US"/>
        </w:rPr>
        <w:t> billion</w:t>
      </w:r>
      <w:r w:rsidRPr="007F7E9F">
        <w:rPr>
          <w:rFonts w:eastAsia="Calibri"/>
          <w:lang w:eastAsia="en-US"/>
        </w:rPr>
        <w:t xml:space="preserve"> loan facility provided to deliver WestConnex Stage 2. The concessional loan enabled Stage 2 to be brought forward, allowing Stages 1 and 2 to proceed in parallel. This resulted in significant time savings compared to the original approach where these stages progressed in sequence. </w:t>
      </w:r>
    </w:p>
    <w:p w14:paraId="23FC0BE9" w14:textId="0FC8AB7A" w:rsidR="0023618C" w:rsidRPr="007F7E9F" w:rsidRDefault="0023618C" w:rsidP="00F60FC6">
      <w:pPr>
        <w:rPr>
          <w:rFonts w:eastAsia="Calibri"/>
          <w:lang w:eastAsia="en-US"/>
        </w:rPr>
      </w:pPr>
      <w:r w:rsidRPr="007F7E9F">
        <w:rPr>
          <w:rFonts w:eastAsia="Calibri"/>
          <w:lang w:eastAsia="en-US"/>
        </w:rPr>
        <w:t>WestConnex Stage 2 includes the King Georges Road Interchange Upgrade (completed in 2016) and construction of new twin tunnels from Kingsgrove to a new St Peters interchange, providing motorway connections to Alexandria and Mascot, the M4</w:t>
      </w:r>
      <w:r w:rsidR="00D23095">
        <w:rPr>
          <w:rFonts w:eastAsia="Calibri"/>
          <w:lang w:eastAsia="en-US"/>
        </w:rPr>
        <w:noBreakHyphen/>
      </w:r>
      <w:r w:rsidRPr="007F7E9F">
        <w:rPr>
          <w:rFonts w:eastAsia="Calibri"/>
          <w:lang w:eastAsia="en-US"/>
        </w:rPr>
        <w:t>M5</w:t>
      </w:r>
      <w:r w:rsidR="0039132A">
        <w:rPr>
          <w:rFonts w:eastAsia="Calibri"/>
          <w:lang w:eastAsia="en-US"/>
        </w:rPr>
        <w:t> </w:t>
      </w:r>
      <w:r w:rsidRPr="007F7E9F">
        <w:rPr>
          <w:rFonts w:eastAsia="Calibri"/>
          <w:lang w:eastAsia="en-US"/>
        </w:rPr>
        <w:t>Link (completed in January</w:t>
      </w:r>
      <w:r w:rsidR="0039132A">
        <w:rPr>
          <w:rFonts w:eastAsia="Calibri"/>
          <w:lang w:eastAsia="en-US"/>
        </w:rPr>
        <w:t> </w:t>
      </w:r>
      <w:r w:rsidRPr="007F7E9F">
        <w:rPr>
          <w:rFonts w:eastAsia="Calibri"/>
          <w:lang w:eastAsia="en-US"/>
        </w:rPr>
        <w:t>2023) and the future Sydney</w:t>
      </w:r>
      <w:r w:rsidR="0039132A">
        <w:rPr>
          <w:rFonts w:eastAsia="Calibri"/>
          <w:lang w:eastAsia="en-US"/>
        </w:rPr>
        <w:t> </w:t>
      </w:r>
      <w:r w:rsidRPr="007F7E9F">
        <w:rPr>
          <w:rFonts w:eastAsia="Calibri"/>
          <w:lang w:eastAsia="en-US"/>
        </w:rPr>
        <w:t xml:space="preserve">Gateway. </w:t>
      </w:r>
    </w:p>
    <w:p w14:paraId="1761A990" w14:textId="2F2E0DC4" w:rsidR="0023618C" w:rsidRPr="00994DC2" w:rsidRDefault="0023618C" w:rsidP="00F60FC6">
      <w:pPr>
        <w:rPr>
          <w:rFonts w:eastAsia="Calibri"/>
          <w:lang w:eastAsia="en-US"/>
        </w:rPr>
      </w:pPr>
      <w:r w:rsidRPr="007F7E9F">
        <w:rPr>
          <w:rFonts w:eastAsia="Calibri"/>
          <w:lang w:eastAsia="en-US"/>
        </w:rPr>
        <w:t>The concessional loan agreement requires that the loan be repaid between</w:t>
      </w:r>
      <w:r w:rsidR="0039132A">
        <w:rPr>
          <w:rFonts w:eastAsia="Calibri"/>
          <w:lang w:eastAsia="en-US"/>
        </w:rPr>
        <w:t xml:space="preserve"> </w:t>
      </w:r>
      <w:r w:rsidRPr="007F7E9F">
        <w:rPr>
          <w:rFonts w:eastAsia="Calibri"/>
          <w:lang w:eastAsia="en-US"/>
        </w:rPr>
        <w:t>September</w:t>
      </w:r>
      <w:r>
        <w:rPr>
          <w:rFonts w:eastAsia="Calibri"/>
          <w:lang w:eastAsia="en-US"/>
        </w:rPr>
        <w:t> </w:t>
      </w:r>
      <w:r w:rsidRPr="007F7E9F">
        <w:rPr>
          <w:rFonts w:eastAsia="Calibri"/>
          <w:lang w:eastAsia="en-US"/>
        </w:rPr>
        <w:t>2029</w:t>
      </w:r>
      <w:r>
        <w:rPr>
          <w:rFonts w:eastAsia="Calibri"/>
          <w:lang w:eastAsia="en-US"/>
        </w:rPr>
        <w:t> </w:t>
      </w:r>
      <w:r w:rsidRPr="007F7E9F">
        <w:rPr>
          <w:rFonts w:eastAsia="Calibri"/>
          <w:lang w:eastAsia="en-US"/>
        </w:rPr>
        <w:t>and July 2034.</w:t>
      </w:r>
    </w:p>
    <w:p w14:paraId="18B2AA78" w14:textId="77777777" w:rsidR="0023618C" w:rsidRPr="00B832E0" w:rsidRDefault="0023618C" w:rsidP="00753E49">
      <w:pPr>
        <w:pStyle w:val="Heading3"/>
        <w:rPr>
          <w:rFonts w:eastAsia="Arial"/>
        </w:rPr>
      </w:pPr>
      <w:bookmarkStart w:id="285" w:name="_Toc184039517"/>
      <w:bookmarkStart w:id="286" w:name="_Toc193536235"/>
      <w:r w:rsidRPr="00B832E0">
        <w:rPr>
          <w:rFonts w:eastAsia="Arial"/>
        </w:rPr>
        <w:lastRenderedPageBreak/>
        <w:t>Prime Minister and Cabinet</w:t>
      </w:r>
      <w:bookmarkEnd w:id="278"/>
      <w:bookmarkEnd w:id="285"/>
      <w:bookmarkEnd w:id="286"/>
    </w:p>
    <w:p w14:paraId="19427711" w14:textId="77777777" w:rsidR="0023618C" w:rsidRPr="00F90503" w:rsidRDefault="0023618C" w:rsidP="00753E49">
      <w:pPr>
        <w:pStyle w:val="Heading4"/>
        <w:rPr>
          <w:rFonts w:eastAsia="Arial"/>
        </w:rPr>
      </w:pPr>
      <w:bookmarkStart w:id="287" w:name="_Toc184039518"/>
      <w:r w:rsidRPr="00F90503">
        <w:rPr>
          <w:rFonts w:eastAsia="Arial"/>
        </w:rPr>
        <w:t>Indigenous home ownership, business development and assistance</w:t>
      </w:r>
      <w:bookmarkEnd w:id="287"/>
      <w:r w:rsidRPr="00F90503">
        <w:rPr>
          <w:rFonts w:eastAsia="Arial"/>
        </w:rPr>
        <w:t xml:space="preserve"> </w:t>
      </w:r>
    </w:p>
    <w:p w14:paraId="7BE4D935" w14:textId="5AF67FCC" w:rsidR="00237C4B" w:rsidRPr="0007245E" w:rsidRDefault="00237C4B" w:rsidP="0009089A">
      <w:pPr>
        <w:shd w:val="clear" w:color="auto" w:fill="FFFFFF" w:themeFill="background1"/>
        <w:rPr>
          <w:rFonts w:eastAsia="Calibri"/>
          <w:lang w:eastAsia="en-US"/>
        </w:rPr>
      </w:pPr>
      <w:bookmarkStart w:id="288" w:name="_Toc184039519"/>
      <w:bookmarkStart w:id="289" w:name="_Toc99141910"/>
      <w:r w:rsidRPr="0007245E">
        <w:rPr>
          <w:rFonts w:eastAsia="Calibri"/>
          <w:lang w:eastAsia="en-US"/>
        </w:rPr>
        <w:t>Indigenous Business Australia delivers flexible loans with concessional interest rates to improve Indigenous home ownership across Australia, including in remote Indigenous communities. Indigenous Business Australia also provides concessional interest rate business loans and business support to increase Indigenous ownership of small</w:t>
      </w:r>
      <w:r w:rsidR="00D23095">
        <w:rPr>
          <w:rFonts w:eastAsia="Calibri"/>
          <w:lang w:eastAsia="en-US"/>
        </w:rPr>
        <w:noBreakHyphen/>
      </w:r>
      <w:r w:rsidRPr="0007245E">
        <w:rPr>
          <w:rFonts w:eastAsia="Calibri"/>
          <w:lang w:eastAsia="en-US"/>
        </w:rPr>
        <w:t>to</w:t>
      </w:r>
      <w:r w:rsidR="00D23095">
        <w:rPr>
          <w:rFonts w:eastAsia="Calibri"/>
          <w:lang w:eastAsia="en-US"/>
        </w:rPr>
        <w:noBreakHyphen/>
      </w:r>
      <w:r w:rsidRPr="0007245E">
        <w:rPr>
          <w:rFonts w:eastAsia="Calibri"/>
          <w:lang w:eastAsia="en-US"/>
        </w:rPr>
        <w:t>medium</w:t>
      </w:r>
      <w:r w:rsidR="00D23095">
        <w:rPr>
          <w:rFonts w:eastAsia="Calibri"/>
          <w:lang w:eastAsia="en-US"/>
        </w:rPr>
        <w:noBreakHyphen/>
      </w:r>
      <w:r w:rsidRPr="0007245E">
        <w:rPr>
          <w:rFonts w:eastAsia="Calibri"/>
          <w:lang w:eastAsia="en-US"/>
        </w:rPr>
        <w:t>sized enterprises and support their sustainability and growth.</w:t>
      </w:r>
    </w:p>
    <w:p w14:paraId="156DC928" w14:textId="55A32536" w:rsidR="00237C4B" w:rsidRPr="0007245E" w:rsidRDefault="00237C4B" w:rsidP="0009089A">
      <w:pPr>
        <w:shd w:val="clear" w:color="auto" w:fill="FFFFFF" w:themeFill="background1"/>
        <w:rPr>
          <w:rFonts w:eastAsia="Calibri"/>
          <w:lang w:eastAsia="en-US"/>
        </w:rPr>
      </w:pPr>
      <w:r w:rsidRPr="0007245E">
        <w:rPr>
          <w:rFonts w:eastAsia="Calibri"/>
          <w:lang w:eastAsia="en-US"/>
        </w:rPr>
        <w:t xml:space="preserve">As </w:t>
      </w:r>
      <w:proofErr w:type="gramStart"/>
      <w:r w:rsidRPr="0007245E">
        <w:rPr>
          <w:rFonts w:eastAsia="Calibri"/>
          <w:lang w:eastAsia="en-US"/>
        </w:rPr>
        <w:t>at</w:t>
      </w:r>
      <w:proofErr w:type="gramEnd"/>
      <w:r w:rsidRPr="0007245E">
        <w:rPr>
          <w:rFonts w:eastAsia="Calibri"/>
          <w:lang w:eastAsia="en-US"/>
        </w:rPr>
        <w:t xml:space="preserve"> 30 June 202</w:t>
      </w:r>
      <w:r>
        <w:rPr>
          <w:rFonts w:eastAsia="Calibri"/>
          <w:lang w:eastAsia="en-US"/>
        </w:rPr>
        <w:t>5</w:t>
      </w:r>
      <w:r w:rsidRPr="0007245E">
        <w:rPr>
          <w:rFonts w:eastAsia="Calibri"/>
          <w:lang w:eastAsia="en-US"/>
        </w:rPr>
        <w:t>, the expected fair value of outstanding loans for Indigenous home ownership and business development and assistance is estimated to total $1</w:t>
      </w:r>
      <w:r w:rsidR="00B163EF">
        <w:rPr>
          <w:rFonts w:eastAsia="Calibri"/>
          <w:lang w:eastAsia="en-US"/>
        </w:rPr>
        <w:t>.2</w:t>
      </w:r>
      <w:r w:rsidRPr="0007245E">
        <w:rPr>
          <w:rFonts w:eastAsia="Calibri"/>
          <w:lang w:eastAsia="en-US"/>
        </w:rPr>
        <w:t> </w:t>
      </w:r>
      <w:r w:rsidR="00B163EF">
        <w:rPr>
          <w:rFonts w:eastAsia="Calibri"/>
          <w:lang w:eastAsia="en-US"/>
        </w:rPr>
        <w:t>b</w:t>
      </w:r>
      <w:r w:rsidRPr="0007245E">
        <w:rPr>
          <w:rFonts w:eastAsia="Calibri"/>
          <w:lang w:eastAsia="en-US"/>
        </w:rPr>
        <w:t>illion.</w:t>
      </w:r>
    </w:p>
    <w:p w14:paraId="4E7E912C" w14:textId="77777777" w:rsidR="0023618C" w:rsidRPr="00B832E0" w:rsidRDefault="0023618C" w:rsidP="00753E49">
      <w:pPr>
        <w:pStyle w:val="Heading4"/>
        <w:rPr>
          <w:rFonts w:eastAsia="Arial"/>
        </w:rPr>
      </w:pPr>
      <w:r w:rsidRPr="00B832E0">
        <w:rPr>
          <w:rFonts w:eastAsia="Arial"/>
        </w:rPr>
        <w:t xml:space="preserve">Voyages </w:t>
      </w:r>
      <w:r w:rsidRPr="00AD5DB2">
        <w:rPr>
          <w:rFonts w:eastAsia="Arial"/>
        </w:rPr>
        <w:t>Indigenous</w:t>
      </w:r>
      <w:r w:rsidRPr="00B832E0">
        <w:rPr>
          <w:rFonts w:eastAsia="Arial"/>
        </w:rPr>
        <w:t xml:space="preserve"> Tourism Australia Pty Ltd</w:t>
      </w:r>
      <w:bookmarkEnd w:id="288"/>
    </w:p>
    <w:p w14:paraId="4EE2BF49" w14:textId="3A296F75" w:rsidR="00B71755" w:rsidRPr="00776CC3" w:rsidRDefault="00776CC3" w:rsidP="0009089A">
      <w:pPr>
        <w:shd w:val="clear" w:color="auto" w:fill="FFFFFF" w:themeFill="background1"/>
        <w:rPr>
          <w:rFonts w:eastAsia="MS Mincho"/>
          <w:lang w:val="en-US"/>
        </w:rPr>
      </w:pPr>
      <w:bookmarkStart w:id="290" w:name="_Toc184039520"/>
      <w:bookmarkEnd w:id="289"/>
      <w:r w:rsidRPr="00776CC3">
        <w:rPr>
          <w:rFonts w:eastAsia="MS Mincho"/>
          <w:lang w:val="en-US"/>
        </w:rPr>
        <w:t>The Indigenous Land and Sea Corporation purchased Ayers Rock Resort for $291.2 million in May 2011 and immediately on</w:t>
      </w:r>
      <w:r w:rsidR="00D23095">
        <w:rPr>
          <w:rFonts w:eastAsia="MS Mincho"/>
          <w:lang w:val="en-US"/>
        </w:rPr>
        <w:noBreakHyphen/>
      </w:r>
      <w:r w:rsidRPr="00776CC3">
        <w:rPr>
          <w:rFonts w:eastAsia="MS Mincho"/>
          <w:lang w:val="en-US"/>
        </w:rPr>
        <w:t>sold it to its wholly owned subsidiary, Voyages Indigenous Tourism Australia Pty Ltd, creating an inter</w:t>
      </w:r>
      <w:r w:rsidR="00D23095">
        <w:rPr>
          <w:rFonts w:eastAsia="MS Mincho"/>
          <w:lang w:val="en-US"/>
        </w:rPr>
        <w:noBreakHyphen/>
      </w:r>
      <w:r w:rsidRPr="00776CC3">
        <w:rPr>
          <w:rFonts w:eastAsia="MS Mincho"/>
          <w:lang w:val="en-US"/>
        </w:rPr>
        <w:t>company loan that is partly funded by borrowings. The interest rate has been set at the 90</w:t>
      </w:r>
      <w:r w:rsidR="00D23095">
        <w:rPr>
          <w:rFonts w:eastAsia="MS Mincho"/>
          <w:lang w:val="en-US"/>
        </w:rPr>
        <w:noBreakHyphen/>
      </w:r>
      <w:r w:rsidRPr="00776CC3">
        <w:rPr>
          <w:rFonts w:eastAsia="MS Mincho"/>
          <w:lang w:val="en-US"/>
        </w:rPr>
        <w:t>day bank bill swap reference rate plus a margin of 1.2 per </w:t>
      </w:r>
      <w:proofErr w:type="gramStart"/>
      <w:r w:rsidRPr="00776CC3">
        <w:rPr>
          <w:rFonts w:eastAsia="MS Mincho"/>
          <w:lang w:val="en-US"/>
        </w:rPr>
        <w:t>cent</w:t>
      </w:r>
      <w:bookmarkStart w:id="291" w:name="_Int_3frD3RWw"/>
      <w:r w:rsidRPr="00776CC3">
        <w:rPr>
          <w:rFonts w:eastAsia="MS Mincho"/>
          <w:lang w:val="en-US"/>
        </w:rPr>
        <w:t>, and</w:t>
      </w:r>
      <w:bookmarkEnd w:id="291"/>
      <w:proofErr w:type="gramEnd"/>
      <w:r w:rsidRPr="00776CC3">
        <w:rPr>
          <w:rFonts w:eastAsia="MS Mincho"/>
          <w:lang w:val="en-US"/>
        </w:rPr>
        <w:t xml:space="preserve"> is reset six</w:t>
      </w:r>
      <w:r w:rsidR="00D23095">
        <w:rPr>
          <w:rFonts w:eastAsia="MS Mincho"/>
          <w:lang w:val="en-US"/>
        </w:rPr>
        <w:noBreakHyphen/>
      </w:r>
      <w:r w:rsidRPr="00776CC3">
        <w:rPr>
          <w:rFonts w:eastAsia="MS Mincho"/>
          <w:lang w:val="en-US"/>
        </w:rPr>
        <w:t xml:space="preserve">monthly. As </w:t>
      </w:r>
      <w:bookmarkStart w:id="292" w:name="_Int_PtSW7GKv"/>
      <w:proofErr w:type="gramStart"/>
      <w:r w:rsidRPr="00776CC3">
        <w:rPr>
          <w:rFonts w:eastAsia="MS Mincho"/>
          <w:lang w:val="en-US"/>
        </w:rPr>
        <w:t>at</w:t>
      </w:r>
      <w:bookmarkEnd w:id="292"/>
      <w:proofErr w:type="gramEnd"/>
      <w:r w:rsidRPr="00776CC3">
        <w:rPr>
          <w:rFonts w:eastAsia="MS Mincho"/>
          <w:lang w:val="en-US"/>
        </w:rPr>
        <w:t xml:space="preserve"> 30 June 2025, the outstanding loan balance is estimated to total $343.3</w:t>
      </w:r>
      <w:r w:rsidR="00B163EF">
        <w:rPr>
          <w:rFonts w:eastAsia="MS Mincho"/>
          <w:lang w:val="en-US"/>
        </w:rPr>
        <w:t xml:space="preserve"> </w:t>
      </w:r>
      <w:r w:rsidRPr="00776CC3">
        <w:rPr>
          <w:rFonts w:eastAsia="MS Mincho"/>
          <w:lang w:val="en-US"/>
        </w:rPr>
        <w:t>million.</w:t>
      </w:r>
    </w:p>
    <w:p w14:paraId="1718C330" w14:textId="77777777" w:rsidR="0023618C" w:rsidRPr="00665D03" w:rsidRDefault="0023618C" w:rsidP="00753E49">
      <w:pPr>
        <w:pStyle w:val="Heading3"/>
        <w:rPr>
          <w:rFonts w:eastAsia="Arial"/>
        </w:rPr>
      </w:pPr>
      <w:bookmarkStart w:id="293" w:name="_Toc193536236"/>
      <w:r w:rsidRPr="00665D03">
        <w:rPr>
          <w:rFonts w:eastAsia="Arial"/>
        </w:rPr>
        <w:t>Social Services</w:t>
      </w:r>
      <w:bookmarkEnd w:id="290"/>
      <w:bookmarkEnd w:id="293"/>
    </w:p>
    <w:p w14:paraId="2C04BF5D" w14:textId="4E3FF7C3" w:rsidR="0023618C" w:rsidRPr="00665D03" w:rsidRDefault="0023618C" w:rsidP="00753E49">
      <w:pPr>
        <w:pStyle w:val="Heading4"/>
        <w:rPr>
          <w:rFonts w:eastAsia="Arial"/>
        </w:rPr>
      </w:pPr>
      <w:bookmarkStart w:id="294" w:name="_Toc184039521"/>
      <w:r w:rsidRPr="00665D03">
        <w:rPr>
          <w:rFonts w:eastAsia="Arial"/>
        </w:rPr>
        <w:t>Home Equity Access Scheme</w:t>
      </w:r>
      <w:bookmarkEnd w:id="294"/>
    </w:p>
    <w:p w14:paraId="4D2E0BBB" w14:textId="53A7F469" w:rsidR="0023618C" w:rsidRPr="00665D03" w:rsidRDefault="0023618C" w:rsidP="0009089A">
      <w:pPr>
        <w:shd w:val="clear" w:color="auto" w:fill="FFFFFF" w:themeFill="background1"/>
        <w:rPr>
          <w:rFonts w:eastAsiaTheme="minorEastAsia"/>
          <w:lang w:val="en-US"/>
        </w:rPr>
      </w:pPr>
      <w:r w:rsidRPr="00665D03">
        <w:rPr>
          <w:rFonts w:eastAsiaTheme="minorEastAsia"/>
          <w:lang w:val="en-US"/>
        </w:rPr>
        <w:t>The Home Equity Access Scheme (HEAS) is a voluntary arrangement which allows eligible older Australians to receive a non</w:t>
      </w:r>
      <w:r w:rsidR="00D23095">
        <w:rPr>
          <w:rFonts w:eastAsiaTheme="minorEastAsia"/>
          <w:lang w:val="en-US"/>
        </w:rPr>
        <w:noBreakHyphen/>
      </w:r>
      <w:r w:rsidRPr="00665D03">
        <w:rPr>
          <w:rFonts w:eastAsiaTheme="minorEastAsia"/>
          <w:lang w:val="en-US"/>
        </w:rPr>
        <w:t xml:space="preserve">taxable loan from the Australian Government. The loan can be paid as regular fortnightly instalments or capped lump sum advance payments, or both, for people of Age Pension age who meet certain residency criteria and own suitable real estate in Australia. </w:t>
      </w:r>
    </w:p>
    <w:p w14:paraId="7A84E091" w14:textId="1E9D1BED" w:rsidR="0023618C" w:rsidRPr="00665D03" w:rsidRDefault="0023618C" w:rsidP="0009089A">
      <w:pPr>
        <w:shd w:val="clear" w:color="auto" w:fill="FFFFFF" w:themeFill="background1"/>
        <w:rPr>
          <w:rFonts w:eastAsiaTheme="minorEastAsia"/>
          <w:lang w:val="en-US"/>
        </w:rPr>
      </w:pPr>
      <w:r w:rsidRPr="00665D03">
        <w:rPr>
          <w:rFonts w:eastAsiaTheme="minorEastAsia"/>
          <w:lang w:val="en-US"/>
        </w:rPr>
        <w:t>Any amount received under HEAS, and any interest and costs accrued, is attributed as a debt against real estate assets provided as collateral by the participant. The loan can be paid back at any time or is recovered on the sale of the secured real estate or from the person</w:t>
      </w:r>
      <w:r w:rsidR="00D23095">
        <w:rPr>
          <w:rFonts w:eastAsiaTheme="minorEastAsia"/>
          <w:lang w:val="en-US"/>
        </w:rPr>
        <w:t>’</w:t>
      </w:r>
      <w:r w:rsidRPr="00665D03">
        <w:rPr>
          <w:rFonts w:eastAsiaTheme="minorEastAsia"/>
          <w:lang w:val="en-US"/>
        </w:rPr>
        <w:t>s estate. Additionally, since 1 July 2022, a No Negative Equity Guarantee applies to HEAS loans, limiting the recoverable debt to the equity in the property used to secure the loan.</w:t>
      </w:r>
    </w:p>
    <w:p w14:paraId="56A8207F" w14:textId="77777777" w:rsidR="0023618C" w:rsidRPr="00665D03" w:rsidRDefault="0023618C" w:rsidP="00753E49">
      <w:pPr>
        <w:pStyle w:val="Heading4"/>
        <w:rPr>
          <w:rFonts w:eastAsia="Arial"/>
        </w:rPr>
      </w:pPr>
      <w:bookmarkStart w:id="295" w:name="_Toc184039522"/>
      <w:r w:rsidRPr="00665D03">
        <w:rPr>
          <w:rFonts w:eastAsia="Arial"/>
        </w:rPr>
        <w:t>Student Financial Supplement Scheme</w:t>
      </w:r>
      <w:bookmarkEnd w:id="295"/>
    </w:p>
    <w:p w14:paraId="1A227391" w14:textId="19FFE722" w:rsidR="00AE50F0" w:rsidRPr="00741307" w:rsidRDefault="00AE50F0" w:rsidP="00AE50F0">
      <w:pPr>
        <w:shd w:val="clear" w:color="auto" w:fill="FFFFFF" w:themeFill="background1"/>
        <w:rPr>
          <w:rFonts w:eastAsia="MS Mincho"/>
        </w:rPr>
      </w:pPr>
      <w:bookmarkStart w:id="296" w:name="_Toc184039523"/>
      <w:r w:rsidRPr="00741307">
        <w:rPr>
          <w:rFonts w:eastAsia="MS Mincho"/>
        </w:rPr>
        <w:t>The Student Financial Supplement Scheme (SFSS) commenced in January</w:t>
      </w:r>
      <w:r w:rsidR="0039132A">
        <w:rPr>
          <w:rFonts w:eastAsia="MS Mincho"/>
        </w:rPr>
        <w:t> </w:t>
      </w:r>
      <w:r w:rsidRPr="00741307">
        <w:rPr>
          <w:rFonts w:eastAsia="MS Mincho"/>
        </w:rPr>
        <w:t>1993 and closed on 31 December 2003. It was a voluntary income</w:t>
      </w:r>
      <w:r w:rsidR="00D23095">
        <w:rPr>
          <w:rFonts w:eastAsia="MS Mincho"/>
        </w:rPr>
        <w:noBreakHyphen/>
      </w:r>
      <w:r w:rsidRPr="00741307">
        <w:rPr>
          <w:rFonts w:eastAsia="MS Mincho"/>
        </w:rPr>
        <w:t xml:space="preserve">contingent loan scheme for tertiary students (primarily </w:t>
      </w:r>
      <w:proofErr w:type="spellStart"/>
      <w:r w:rsidRPr="00741307">
        <w:rPr>
          <w:rFonts w:eastAsia="MS Mincho"/>
        </w:rPr>
        <w:t>Austudy</w:t>
      </w:r>
      <w:proofErr w:type="spellEnd"/>
      <w:r w:rsidRPr="00741307">
        <w:rPr>
          <w:rFonts w:eastAsia="MS Mincho"/>
        </w:rPr>
        <w:t xml:space="preserve"> and ABSTUDY) to help cover their living expenses while studying. Under the scheme, eligible students were able to trade one dollar of income support entitlement for two dollars in loans. Debtors are required to start repaying their SFSS loan once they earn $54,435 for 2024–25 and only after they have repaid any Higher Education Loan Program and Vocational Education and Training student loan debt. </w:t>
      </w:r>
    </w:p>
    <w:p w14:paraId="36B82F4F" w14:textId="49BA80F5" w:rsidR="00AE50F0" w:rsidRPr="00741307" w:rsidRDefault="00AE50F0" w:rsidP="00AE50F0">
      <w:pPr>
        <w:shd w:val="clear" w:color="auto" w:fill="FFFFFF" w:themeFill="background1"/>
        <w:rPr>
          <w:rFonts w:eastAsia="MS Mincho"/>
        </w:rPr>
      </w:pPr>
      <w:r>
        <w:rPr>
          <w:rFonts w:eastAsia="MS Mincho"/>
        </w:rPr>
        <w:lastRenderedPageBreak/>
        <w:t xml:space="preserve">As </w:t>
      </w:r>
      <w:proofErr w:type="gramStart"/>
      <w:r>
        <w:rPr>
          <w:rFonts w:eastAsia="MS Mincho"/>
        </w:rPr>
        <w:t>at</w:t>
      </w:r>
      <w:proofErr w:type="gramEnd"/>
      <w:r>
        <w:rPr>
          <w:rFonts w:eastAsia="MS Mincho"/>
        </w:rPr>
        <w:t xml:space="preserve"> 30 June 2025, t</w:t>
      </w:r>
      <w:r w:rsidRPr="00741307">
        <w:rPr>
          <w:rFonts w:eastAsia="MS Mincho"/>
        </w:rPr>
        <w:t xml:space="preserve">he fair value of SFSS loans outstanding is </w:t>
      </w:r>
      <w:r>
        <w:rPr>
          <w:rFonts w:eastAsia="MS Mincho"/>
        </w:rPr>
        <w:t xml:space="preserve">estimated to be </w:t>
      </w:r>
      <w:r w:rsidRPr="00741307">
        <w:rPr>
          <w:rFonts w:eastAsia="MS Mincho"/>
        </w:rPr>
        <w:t>$</w:t>
      </w:r>
      <w:r>
        <w:rPr>
          <w:rFonts w:eastAsia="MS Mincho"/>
        </w:rPr>
        <w:t>121.2 </w:t>
      </w:r>
      <w:r w:rsidRPr="00741307">
        <w:rPr>
          <w:rFonts w:eastAsia="MS Mincho"/>
        </w:rPr>
        <w:t>million.</w:t>
      </w:r>
      <w:r w:rsidRPr="00AE50F0">
        <w:rPr>
          <w:rFonts w:eastAsia="MS Mincho"/>
        </w:rPr>
        <w:t xml:space="preserve"> This is based on the 30 June 2024 fair value assessment by the Australian Government Actuary (AGA) and does not yet include the impact of the 2024–25</w:t>
      </w:r>
      <w:r w:rsidR="0039132A">
        <w:rPr>
          <w:rFonts w:eastAsia="MS Mincho"/>
        </w:rPr>
        <w:t> </w:t>
      </w:r>
      <w:r w:rsidRPr="00AE50F0">
        <w:rPr>
          <w:rFonts w:eastAsia="MS Mincho"/>
        </w:rPr>
        <w:t xml:space="preserve">MYEFO measure </w:t>
      </w:r>
      <w:r w:rsidRPr="003D54E1">
        <w:rPr>
          <w:rStyle w:val="Emphasis"/>
          <w:rFonts w:eastAsia="MS Mincho"/>
        </w:rPr>
        <w:t>Building Australia</w:t>
      </w:r>
      <w:r w:rsidR="00D23095">
        <w:rPr>
          <w:rStyle w:val="Emphasis"/>
          <w:rFonts w:eastAsia="MS Mincho"/>
        </w:rPr>
        <w:t>’</w:t>
      </w:r>
      <w:r w:rsidRPr="003D54E1">
        <w:rPr>
          <w:rStyle w:val="Emphasis"/>
          <w:rFonts w:eastAsia="MS Mincho"/>
        </w:rPr>
        <w:t>s Future – a fairer deal for students</w:t>
      </w:r>
      <w:r w:rsidRPr="00AE50F0">
        <w:rPr>
          <w:rFonts w:eastAsia="MS Mincho"/>
        </w:rPr>
        <w:t>. However, the measure impact will be included in the June 2025 fair value assessment by the AGA.</w:t>
      </w:r>
    </w:p>
    <w:p w14:paraId="5EBA8078" w14:textId="4989C01F" w:rsidR="0023618C" w:rsidRPr="00665D03" w:rsidRDefault="0023618C" w:rsidP="00753E49">
      <w:pPr>
        <w:pStyle w:val="Heading4"/>
        <w:rPr>
          <w:rFonts w:eastAsia="Arial"/>
        </w:rPr>
      </w:pPr>
      <w:r w:rsidRPr="00665D03">
        <w:rPr>
          <w:rFonts w:eastAsia="Arial"/>
        </w:rPr>
        <w:t>Student Start</w:t>
      </w:r>
      <w:r w:rsidR="00DB38DF">
        <w:rPr>
          <w:rFonts w:eastAsia="Arial"/>
        </w:rPr>
        <w:t>-</w:t>
      </w:r>
      <w:r w:rsidRPr="00665D03">
        <w:rPr>
          <w:rFonts w:eastAsia="Arial"/>
        </w:rPr>
        <w:t>up Loan</w:t>
      </w:r>
      <w:bookmarkEnd w:id="296"/>
    </w:p>
    <w:p w14:paraId="3EFE1B4E" w14:textId="77C67E36" w:rsidR="008A4D5A" w:rsidRPr="00741307" w:rsidRDefault="008A4D5A" w:rsidP="008A4D5A">
      <w:pPr>
        <w:rPr>
          <w:rFonts w:eastAsia="MS Mincho"/>
        </w:rPr>
      </w:pPr>
      <w:bookmarkStart w:id="297" w:name="_Toc184039524"/>
      <w:r w:rsidRPr="00741307">
        <w:rPr>
          <w:rFonts w:eastAsia="MS Mincho"/>
        </w:rPr>
        <w:t>The Student Start</w:t>
      </w:r>
      <w:r w:rsidR="00D23095">
        <w:rPr>
          <w:rFonts w:eastAsia="MS Mincho"/>
        </w:rPr>
        <w:noBreakHyphen/>
      </w:r>
      <w:r w:rsidRPr="00741307">
        <w:rPr>
          <w:rFonts w:eastAsia="MS Mincho"/>
        </w:rPr>
        <w:t>up Loan (SSL) is a voluntary income</w:t>
      </w:r>
      <w:r w:rsidR="00D23095">
        <w:rPr>
          <w:rFonts w:eastAsia="MS Mincho"/>
        </w:rPr>
        <w:noBreakHyphen/>
      </w:r>
      <w:r w:rsidRPr="00741307">
        <w:rPr>
          <w:rFonts w:eastAsia="MS Mincho"/>
        </w:rPr>
        <w:t xml:space="preserve">contingent loan for student payment (Youth Allowance (student), </w:t>
      </w:r>
      <w:proofErr w:type="spellStart"/>
      <w:r w:rsidRPr="00741307">
        <w:rPr>
          <w:rFonts w:eastAsia="MS Mincho"/>
        </w:rPr>
        <w:t>Austudy</w:t>
      </w:r>
      <w:proofErr w:type="spellEnd"/>
      <w:r w:rsidRPr="00741307">
        <w:rPr>
          <w:rFonts w:eastAsia="MS Mincho"/>
        </w:rPr>
        <w:t xml:space="preserve"> and ABSTUDY Living Allowance) recipients undertaking higher education. Introduced on 1 January 2016, the SSL is paid a maximum of twice a year and each SSL payment is valued at $1,</w:t>
      </w:r>
      <w:r>
        <w:rPr>
          <w:rFonts w:eastAsia="MS Mincho"/>
        </w:rPr>
        <w:t xml:space="preserve">321 </w:t>
      </w:r>
      <w:r w:rsidRPr="00741307">
        <w:rPr>
          <w:rFonts w:eastAsia="MS Mincho"/>
        </w:rPr>
        <w:t>(in 202</w:t>
      </w:r>
      <w:r>
        <w:rPr>
          <w:rFonts w:eastAsia="MS Mincho"/>
        </w:rPr>
        <w:t>5</w:t>
      </w:r>
      <w:r w:rsidRPr="00741307">
        <w:rPr>
          <w:rFonts w:eastAsia="MS Mincho"/>
        </w:rPr>
        <w:t>). The SSL is repayable under similar arrangements to Higher Education Loan Program (HELP) debts. Students are required to start repaying their SSL once they earn over $54,435 for 2024–25, and only after they have repaid any HELP and Vocational Education Training student loan debt. When it commenced, the SSL was initially for new student payment recipients undertaking higher education. From 1 July 2017, with the closure of the Student Start</w:t>
      </w:r>
      <w:r w:rsidR="00D23095">
        <w:rPr>
          <w:rFonts w:eastAsia="MS Mincho"/>
        </w:rPr>
        <w:noBreakHyphen/>
      </w:r>
      <w:r w:rsidRPr="00741307">
        <w:rPr>
          <w:rFonts w:eastAsia="MS Mincho"/>
        </w:rPr>
        <w:t xml:space="preserve">up Scholarship, the SSL has become available to all eligible student payment recipients undertaking higher education. </w:t>
      </w:r>
    </w:p>
    <w:p w14:paraId="356A586D" w14:textId="69E04C50" w:rsidR="008A4D5A" w:rsidRPr="00741307" w:rsidRDefault="008A4D5A" w:rsidP="008A4D5A">
      <w:pPr>
        <w:rPr>
          <w:rFonts w:eastAsia="MS Mincho"/>
        </w:rPr>
      </w:pPr>
      <w:r>
        <w:rPr>
          <w:rFonts w:eastAsia="MS Mincho"/>
        </w:rPr>
        <w:t xml:space="preserve">As </w:t>
      </w:r>
      <w:proofErr w:type="gramStart"/>
      <w:r>
        <w:rPr>
          <w:rFonts w:eastAsia="MS Mincho"/>
        </w:rPr>
        <w:t>at</w:t>
      </w:r>
      <w:proofErr w:type="gramEnd"/>
      <w:r>
        <w:rPr>
          <w:rFonts w:eastAsia="MS Mincho"/>
        </w:rPr>
        <w:t xml:space="preserve"> 30 June 2025, the </w:t>
      </w:r>
      <w:r w:rsidRPr="00741307">
        <w:rPr>
          <w:rFonts w:eastAsia="MS Mincho"/>
        </w:rPr>
        <w:t xml:space="preserve">estimated fair value of the SSL is </w:t>
      </w:r>
      <w:r w:rsidRPr="00C93C6F">
        <w:rPr>
          <w:rFonts w:eastAsia="MS Mincho"/>
        </w:rPr>
        <w:t>$</w:t>
      </w:r>
      <w:r w:rsidRPr="00E93232">
        <w:rPr>
          <w:rFonts w:eastAsia="MS Mincho"/>
        </w:rPr>
        <w:t>917.2</w:t>
      </w:r>
      <w:r w:rsidRPr="00C93C6F">
        <w:rPr>
          <w:rFonts w:eastAsia="MS Mincho"/>
        </w:rPr>
        <w:t xml:space="preserve"> million </w:t>
      </w:r>
      <w:r>
        <w:rPr>
          <w:rFonts w:eastAsia="MS Mincho"/>
        </w:rPr>
        <w:t>and</w:t>
      </w:r>
      <w:r w:rsidRPr="00741307">
        <w:rPr>
          <w:rFonts w:eastAsia="Calibri" w:cs="Arial"/>
          <w:szCs w:val="19"/>
          <w:lang w:eastAsia="en-US"/>
        </w:rPr>
        <w:t xml:space="preserve"> include</w:t>
      </w:r>
      <w:r>
        <w:rPr>
          <w:rFonts w:eastAsia="Calibri" w:cs="Arial"/>
          <w:szCs w:val="19"/>
          <w:lang w:eastAsia="en-US"/>
        </w:rPr>
        <w:t>s</w:t>
      </w:r>
      <w:r w:rsidRPr="00741307">
        <w:rPr>
          <w:rFonts w:eastAsia="Calibri" w:cs="Arial"/>
          <w:szCs w:val="19"/>
          <w:lang w:eastAsia="en-US"/>
        </w:rPr>
        <w:t xml:space="preserve"> the impact of the 2024–25 MYEFO measure </w:t>
      </w:r>
      <w:r w:rsidRPr="003D54E1">
        <w:rPr>
          <w:rStyle w:val="Emphasis"/>
          <w:rFonts w:eastAsia="Calibri"/>
        </w:rPr>
        <w:t>Building Australia</w:t>
      </w:r>
      <w:r w:rsidR="00D23095">
        <w:rPr>
          <w:rStyle w:val="Emphasis"/>
          <w:rFonts w:eastAsia="Calibri"/>
        </w:rPr>
        <w:t>’</w:t>
      </w:r>
      <w:r w:rsidRPr="003D54E1">
        <w:rPr>
          <w:rStyle w:val="Emphasis"/>
          <w:rFonts w:eastAsia="Calibri"/>
        </w:rPr>
        <w:t>s Future – a fairer deal for students</w:t>
      </w:r>
      <w:r w:rsidRPr="00741307">
        <w:rPr>
          <w:rFonts w:eastAsia="Calibri" w:cs="Arial"/>
          <w:szCs w:val="19"/>
          <w:lang w:eastAsia="en-US"/>
        </w:rPr>
        <w:t>.</w:t>
      </w:r>
    </w:p>
    <w:p w14:paraId="1501309D" w14:textId="77777777" w:rsidR="0023618C" w:rsidRPr="006E2583" w:rsidRDefault="0023618C" w:rsidP="00753E49">
      <w:pPr>
        <w:pStyle w:val="Heading3"/>
        <w:rPr>
          <w:rFonts w:eastAsia="Arial"/>
        </w:rPr>
      </w:pPr>
      <w:bookmarkStart w:id="298" w:name="_Toc193536237"/>
      <w:r w:rsidRPr="006E2583">
        <w:rPr>
          <w:rFonts w:eastAsia="Arial"/>
        </w:rPr>
        <w:t>Treasury</w:t>
      </w:r>
      <w:bookmarkEnd w:id="297"/>
      <w:bookmarkEnd w:id="298"/>
    </w:p>
    <w:p w14:paraId="69B2BFCA" w14:textId="77777777" w:rsidR="0023618C" w:rsidRPr="006E2583" w:rsidRDefault="0023618C" w:rsidP="00753E49">
      <w:pPr>
        <w:pStyle w:val="Heading4"/>
        <w:rPr>
          <w:rFonts w:eastAsia="Arial"/>
        </w:rPr>
      </w:pPr>
      <w:bookmarkStart w:id="299" w:name="_Toc184039525"/>
      <w:r w:rsidRPr="006E2583">
        <w:rPr>
          <w:rFonts w:eastAsia="Arial"/>
        </w:rPr>
        <w:t>Affordable Housing Bond Aggregator</w:t>
      </w:r>
      <w:bookmarkEnd w:id="299"/>
    </w:p>
    <w:p w14:paraId="2DA52B42" w14:textId="751371EB" w:rsidR="00EB2E9F" w:rsidRPr="00AB2194" w:rsidRDefault="00EB2E9F" w:rsidP="0009089A">
      <w:pPr>
        <w:shd w:val="clear" w:color="auto" w:fill="FFFFFF" w:themeFill="background1"/>
        <w:rPr>
          <w:rFonts w:eastAsia="MS Mincho"/>
        </w:rPr>
      </w:pPr>
      <w:bookmarkStart w:id="300" w:name="_Toc184039526"/>
      <w:r w:rsidRPr="00AB2194">
        <w:rPr>
          <w:rFonts w:eastAsia="MS Mincho"/>
        </w:rPr>
        <w:t xml:space="preserve">The Australian Government, through the Treasury, has made available a line of credit for the Housing Australia Affordable Housing Bond Aggregator. The Government has announced the line of credit will be increased to a total of $4 billion. The provision of funds will be in accordance with the </w:t>
      </w:r>
      <w:r w:rsidRPr="000656E1">
        <w:rPr>
          <w:rStyle w:val="Emphasis"/>
          <w:rFonts w:eastAsia="MS Mincho"/>
        </w:rPr>
        <w:t>Housing Australia Act 2018</w:t>
      </w:r>
      <w:r w:rsidRPr="00AB2194">
        <w:rPr>
          <w:rFonts w:eastAsia="MS Mincho"/>
        </w:rPr>
        <w:t xml:space="preserve">. The line of credit is ongoing, and funds borrowed will be repaid with interest. The Treasury manages the receipt of interest and principal repayments from Housing Australia. As </w:t>
      </w:r>
      <w:proofErr w:type="gramStart"/>
      <w:r w:rsidRPr="00AB2194">
        <w:rPr>
          <w:rFonts w:eastAsia="MS Mincho"/>
        </w:rPr>
        <w:t>at</w:t>
      </w:r>
      <w:proofErr w:type="gramEnd"/>
      <w:r w:rsidRPr="00AB2194">
        <w:rPr>
          <w:rFonts w:eastAsia="MS Mincho"/>
        </w:rPr>
        <w:t xml:space="preserve"> 30</w:t>
      </w:r>
      <w:r w:rsidR="0039132A">
        <w:rPr>
          <w:rFonts w:eastAsia="MS Mincho"/>
        </w:rPr>
        <w:t> </w:t>
      </w:r>
      <w:r w:rsidRPr="00AB2194">
        <w:rPr>
          <w:rFonts w:eastAsia="MS Mincho"/>
        </w:rPr>
        <w:t>June</w:t>
      </w:r>
      <w:r w:rsidR="0039132A">
        <w:rPr>
          <w:rFonts w:eastAsia="MS Mincho"/>
        </w:rPr>
        <w:t> </w:t>
      </w:r>
      <w:r w:rsidRPr="00AB2194">
        <w:rPr>
          <w:rFonts w:eastAsia="MS Mincho"/>
        </w:rPr>
        <w:t>202</w:t>
      </w:r>
      <w:r>
        <w:rPr>
          <w:rFonts w:eastAsia="MS Mincho"/>
        </w:rPr>
        <w:t>5</w:t>
      </w:r>
      <w:r w:rsidRPr="00AB2194">
        <w:rPr>
          <w:rFonts w:eastAsia="MS Mincho"/>
        </w:rPr>
        <w:t>, the value of outstanding advances issued to Housing Australia from the line of credit is</w:t>
      </w:r>
      <w:r>
        <w:rPr>
          <w:rFonts w:eastAsia="MS Mincho"/>
        </w:rPr>
        <w:t xml:space="preserve"> estimated at</w:t>
      </w:r>
      <w:r w:rsidRPr="00AB2194">
        <w:rPr>
          <w:rFonts w:eastAsia="MS Mincho"/>
        </w:rPr>
        <w:t xml:space="preserve"> $</w:t>
      </w:r>
      <w:r>
        <w:rPr>
          <w:rFonts w:eastAsia="MS Mincho"/>
        </w:rPr>
        <w:t>702.8</w:t>
      </w:r>
      <w:r w:rsidRPr="00AB2194">
        <w:rPr>
          <w:rFonts w:eastAsia="MS Mincho"/>
        </w:rPr>
        <w:t> million.</w:t>
      </w:r>
    </w:p>
    <w:p w14:paraId="57D99DAD" w14:textId="4A6AB9A4" w:rsidR="0023618C" w:rsidRPr="006E2583" w:rsidRDefault="0023618C" w:rsidP="00753E49">
      <w:pPr>
        <w:pStyle w:val="Heading4"/>
        <w:rPr>
          <w:rFonts w:eastAsia="Arial"/>
        </w:rPr>
      </w:pPr>
      <w:r w:rsidRPr="006E2583">
        <w:rPr>
          <w:rFonts w:eastAsia="Arial"/>
        </w:rPr>
        <w:t>Commonwealth</w:t>
      </w:r>
      <w:r w:rsidR="00EA0E38">
        <w:rPr>
          <w:rFonts w:eastAsia="Arial"/>
        </w:rPr>
        <w:t>-</w:t>
      </w:r>
      <w:r w:rsidRPr="006E2583">
        <w:rPr>
          <w:rFonts w:eastAsia="Arial"/>
        </w:rPr>
        <w:t>State financing arrangements – housing and specific purpose capital</w:t>
      </w:r>
      <w:bookmarkEnd w:id="300"/>
    </w:p>
    <w:p w14:paraId="1B688F7E" w14:textId="23FA0CB3" w:rsidR="00971D2E" w:rsidRPr="004C13C0" w:rsidRDefault="00971D2E" w:rsidP="0009089A">
      <w:pPr>
        <w:shd w:val="clear" w:color="auto" w:fill="FFFFFF" w:themeFill="background1"/>
        <w:rPr>
          <w:rFonts w:eastAsia="MS Mincho"/>
        </w:rPr>
      </w:pPr>
      <w:bookmarkStart w:id="301" w:name="_Toc184039527"/>
      <w:r w:rsidRPr="004C13C0">
        <w:rPr>
          <w:rFonts w:eastAsia="MS Mincho"/>
        </w:rPr>
        <w:t>From 1945 to 1989, the Australian Government made concessional advances to state and Northern Territory governments under Commonwealth–state financing arrangements for housing and for specific purpose capital. The advances were concessional fixed</w:t>
      </w:r>
      <w:r w:rsidR="00D23095">
        <w:rPr>
          <w:rFonts w:eastAsia="MS Mincho"/>
        </w:rPr>
        <w:noBreakHyphen/>
      </w:r>
      <w:r w:rsidRPr="004C13C0">
        <w:rPr>
          <w:rFonts w:eastAsia="MS Mincho"/>
        </w:rPr>
        <w:t xml:space="preserve">rate loans to be repaid over 53 years, with the last loans maturing in 2042. Annual payments, comprising both interest and principal repayment, are made to the Commonwealth. As </w:t>
      </w:r>
      <w:proofErr w:type="gramStart"/>
      <w:r w:rsidRPr="004C13C0">
        <w:rPr>
          <w:rFonts w:eastAsia="MS Mincho"/>
        </w:rPr>
        <w:t>at</w:t>
      </w:r>
      <w:proofErr w:type="gramEnd"/>
      <w:r w:rsidRPr="004C13C0">
        <w:rPr>
          <w:rFonts w:eastAsia="MS Mincho"/>
        </w:rPr>
        <w:t xml:space="preserve"> 30 June</w:t>
      </w:r>
      <w:r w:rsidR="00057815">
        <w:rPr>
          <w:rFonts w:eastAsia="MS Mincho"/>
        </w:rPr>
        <w:t xml:space="preserve"> </w:t>
      </w:r>
      <w:r>
        <w:rPr>
          <w:rFonts w:eastAsia="MS Mincho"/>
        </w:rPr>
        <w:t>2025</w:t>
      </w:r>
      <w:r w:rsidRPr="004C13C0">
        <w:rPr>
          <w:rFonts w:eastAsia="MS Mincho"/>
        </w:rPr>
        <w:t xml:space="preserve">, the amortised value of the advances </w:t>
      </w:r>
      <w:r>
        <w:rPr>
          <w:rFonts w:eastAsia="MS Mincho"/>
        </w:rPr>
        <w:t>is estimated at</w:t>
      </w:r>
      <w:r w:rsidRPr="004C13C0">
        <w:rPr>
          <w:rFonts w:eastAsia="MS Mincho"/>
        </w:rPr>
        <w:t xml:space="preserve"> $1.</w:t>
      </w:r>
      <w:r>
        <w:rPr>
          <w:rFonts w:eastAsia="MS Mincho"/>
        </w:rPr>
        <w:t>1</w:t>
      </w:r>
      <w:r w:rsidRPr="004C13C0">
        <w:rPr>
          <w:rFonts w:eastAsia="MS Mincho"/>
        </w:rPr>
        <w:t> billion (and principal value of $1.</w:t>
      </w:r>
      <w:r>
        <w:rPr>
          <w:rFonts w:eastAsia="MS Mincho"/>
        </w:rPr>
        <w:t>2</w:t>
      </w:r>
      <w:r w:rsidRPr="004C13C0">
        <w:rPr>
          <w:rFonts w:eastAsia="MS Mincho"/>
        </w:rPr>
        <w:t xml:space="preserve"> billion). </w:t>
      </w:r>
    </w:p>
    <w:p w14:paraId="021B2572" w14:textId="77777777" w:rsidR="00971D2E" w:rsidRPr="004C13C0" w:rsidRDefault="00971D2E" w:rsidP="0009089A">
      <w:pPr>
        <w:shd w:val="clear" w:color="auto" w:fill="FFFFFF" w:themeFill="background1"/>
        <w:rPr>
          <w:rFonts w:eastAsia="MS Mincho"/>
        </w:rPr>
      </w:pPr>
      <w:r w:rsidRPr="004C13C0">
        <w:rPr>
          <w:rFonts w:eastAsia="MS Mincho"/>
        </w:rPr>
        <w:lastRenderedPageBreak/>
        <w:t>The Australian Office of Financial Management manages the receipt of interest and principal repayments from state and Northern Territory governments to the Commonwealth.</w:t>
      </w:r>
    </w:p>
    <w:p w14:paraId="66783DB6" w14:textId="77777777" w:rsidR="0023618C" w:rsidRPr="006E2583" w:rsidRDefault="0023618C" w:rsidP="00753E49">
      <w:pPr>
        <w:pStyle w:val="Heading4"/>
        <w:rPr>
          <w:rFonts w:eastAsia="Arial"/>
        </w:rPr>
      </w:pPr>
      <w:r w:rsidRPr="006E2583">
        <w:rPr>
          <w:rFonts w:eastAsia="Arial"/>
        </w:rPr>
        <w:t>International Monetary Fund – Poverty Reduction and Growth Trust</w:t>
      </w:r>
      <w:bookmarkEnd w:id="301"/>
    </w:p>
    <w:p w14:paraId="56CB1777" w14:textId="7DC4079E" w:rsidR="00971D2E" w:rsidRPr="006E4C5A" w:rsidRDefault="00971D2E" w:rsidP="0009089A">
      <w:pPr>
        <w:shd w:val="clear" w:color="auto" w:fill="FFFFFF" w:themeFill="background1"/>
        <w:rPr>
          <w:rFonts w:eastAsia="MS Mincho"/>
        </w:rPr>
      </w:pPr>
      <w:bookmarkStart w:id="302" w:name="_Toc184039528"/>
      <w:r w:rsidRPr="006E4C5A">
        <w:rPr>
          <w:rFonts w:eastAsia="MS Mincho"/>
        </w:rPr>
        <w:t>The Australian Government has entered into two agreements to make a line of credit of Special Drawing Rights (SDR) 1 billion (approximately A$2.</w:t>
      </w:r>
      <w:r>
        <w:rPr>
          <w:rFonts w:eastAsia="MS Mincho"/>
        </w:rPr>
        <w:t>1</w:t>
      </w:r>
      <w:r w:rsidRPr="006E4C5A">
        <w:rPr>
          <w:rFonts w:eastAsia="MS Mincho"/>
        </w:rPr>
        <w:t xml:space="preserve"> billion as </w:t>
      </w:r>
      <w:proofErr w:type="gramStart"/>
      <w:r w:rsidRPr="006E4C5A">
        <w:rPr>
          <w:rFonts w:eastAsia="MS Mincho"/>
        </w:rPr>
        <w:t>at</w:t>
      </w:r>
      <w:proofErr w:type="gramEnd"/>
      <w:r w:rsidRPr="006E4C5A">
        <w:rPr>
          <w:rFonts w:eastAsia="MS Mincho"/>
        </w:rPr>
        <w:t xml:space="preserve"> </w:t>
      </w:r>
      <w:r>
        <w:rPr>
          <w:rFonts w:eastAsia="MS Mincho"/>
        </w:rPr>
        <w:t>31</w:t>
      </w:r>
      <w:r w:rsidR="004337DC">
        <w:rPr>
          <w:rFonts w:eastAsia="MS Mincho"/>
        </w:rPr>
        <w:t> </w:t>
      </w:r>
      <w:r>
        <w:rPr>
          <w:rFonts w:eastAsia="MS Mincho"/>
        </w:rPr>
        <w:t>January</w:t>
      </w:r>
      <w:r w:rsidR="004337DC">
        <w:rPr>
          <w:rFonts w:eastAsia="MS Mincho"/>
        </w:rPr>
        <w:t> </w:t>
      </w:r>
      <w:r>
        <w:rPr>
          <w:rFonts w:eastAsia="MS Mincho"/>
        </w:rPr>
        <w:t>2025</w:t>
      </w:r>
      <w:r w:rsidRPr="006E4C5A">
        <w:rPr>
          <w:rFonts w:eastAsia="MS Mincho"/>
        </w:rPr>
        <w:t>) available to the International Monetary Fund (IMF) under the Poverty Reduction and Growth Trust (PRGT) through to 31</w:t>
      </w:r>
      <w:r>
        <w:rPr>
          <w:rFonts w:eastAsia="MS Mincho"/>
        </w:rPr>
        <w:t> </w:t>
      </w:r>
      <w:r w:rsidRPr="006E4C5A">
        <w:rPr>
          <w:rFonts w:eastAsia="MS Mincho"/>
        </w:rPr>
        <w:t xml:space="preserve">December 2029. </w:t>
      </w:r>
    </w:p>
    <w:p w14:paraId="485009FF" w14:textId="564469EF" w:rsidR="00971D2E" w:rsidRPr="006E4C5A" w:rsidRDefault="00971D2E" w:rsidP="0009089A">
      <w:pPr>
        <w:shd w:val="clear" w:color="auto" w:fill="FFFFFF" w:themeFill="background1"/>
        <w:rPr>
          <w:rFonts w:eastAsia="MS Mincho"/>
        </w:rPr>
      </w:pPr>
      <w:r w:rsidRPr="006E4C5A">
        <w:rPr>
          <w:rFonts w:eastAsia="MS Mincho"/>
        </w:rPr>
        <w:t>The PRGT provides concessional financial support to low</w:t>
      </w:r>
      <w:r w:rsidR="00D23095">
        <w:rPr>
          <w:rFonts w:eastAsia="MS Mincho"/>
        </w:rPr>
        <w:noBreakHyphen/>
      </w:r>
      <w:r w:rsidRPr="006E4C5A">
        <w:rPr>
          <w:rFonts w:eastAsia="MS Mincho"/>
        </w:rPr>
        <w:t xml:space="preserve">income countries to help them achieve, maintain, or restore a stable and sustainable macroeconomic position. PRGT funds are drawn upon by the IMF as needed and will be repaid in full, with interest. </w:t>
      </w:r>
    </w:p>
    <w:p w14:paraId="419C4657" w14:textId="70935BA2" w:rsidR="00971D2E" w:rsidRPr="006E4C5A" w:rsidRDefault="00971D2E" w:rsidP="0009089A">
      <w:pPr>
        <w:shd w:val="clear" w:color="auto" w:fill="FFFFFF" w:themeFill="background1"/>
        <w:rPr>
          <w:rFonts w:eastAsia="MS Mincho"/>
        </w:rPr>
      </w:pPr>
      <w:r w:rsidRPr="006E4C5A">
        <w:rPr>
          <w:rFonts w:eastAsia="MS Mincho"/>
        </w:rPr>
        <w:t xml:space="preserve">The value of loans outstanding to Australia </w:t>
      </w:r>
      <w:r>
        <w:rPr>
          <w:rFonts w:eastAsia="MS Mincho"/>
        </w:rPr>
        <w:t>is estimated at</w:t>
      </w:r>
      <w:r w:rsidRPr="006E4C5A">
        <w:rPr>
          <w:rFonts w:eastAsia="MS Mincho"/>
        </w:rPr>
        <w:t xml:space="preserve"> SDR </w:t>
      </w:r>
      <w:r>
        <w:rPr>
          <w:rFonts w:eastAsia="MS Mincho"/>
        </w:rPr>
        <w:t>270.8</w:t>
      </w:r>
      <w:r w:rsidRPr="006E4C5A">
        <w:rPr>
          <w:rFonts w:eastAsia="MS Mincho"/>
        </w:rPr>
        <w:t> million (approximately A$5</w:t>
      </w:r>
      <w:r>
        <w:rPr>
          <w:rFonts w:eastAsia="MS Mincho"/>
        </w:rPr>
        <w:t>50.8</w:t>
      </w:r>
      <w:r w:rsidRPr="006E4C5A">
        <w:rPr>
          <w:rFonts w:eastAsia="MS Mincho"/>
        </w:rPr>
        <w:t> million</w:t>
      </w:r>
      <w:r>
        <w:rPr>
          <w:rFonts w:eastAsia="MS Mincho"/>
        </w:rPr>
        <w:t>)</w:t>
      </w:r>
      <w:r w:rsidRPr="006E4C5A">
        <w:rPr>
          <w:rFonts w:eastAsia="MS Mincho"/>
        </w:rPr>
        <w:t xml:space="preserve"> as </w:t>
      </w:r>
      <w:proofErr w:type="gramStart"/>
      <w:r w:rsidRPr="006E4C5A">
        <w:rPr>
          <w:rFonts w:eastAsia="MS Mincho"/>
        </w:rPr>
        <w:t>at</w:t>
      </w:r>
      <w:proofErr w:type="gramEnd"/>
      <w:r w:rsidRPr="006E4C5A">
        <w:rPr>
          <w:rFonts w:eastAsia="MS Mincho"/>
        </w:rPr>
        <w:t xml:space="preserve"> 30 June 202</w:t>
      </w:r>
      <w:r>
        <w:rPr>
          <w:rFonts w:eastAsia="MS Mincho"/>
        </w:rPr>
        <w:t>5</w:t>
      </w:r>
      <w:r w:rsidRPr="006E4C5A">
        <w:rPr>
          <w:rFonts w:eastAsia="MS Mincho"/>
        </w:rPr>
        <w:t xml:space="preserve">). </w:t>
      </w:r>
    </w:p>
    <w:p w14:paraId="2343551E" w14:textId="094CE6FB" w:rsidR="00971D2E" w:rsidRPr="006E4C5A" w:rsidRDefault="00971D2E" w:rsidP="0009089A">
      <w:pPr>
        <w:shd w:val="clear" w:color="auto" w:fill="FFFFFF" w:themeFill="background1"/>
        <w:rPr>
          <w:rFonts w:eastAsia="MS Mincho"/>
        </w:rPr>
      </w:pPr>
      <w:r w:rsidRPr="006E4C5A">
        <w:rPr>
          <w:rFonts w:eastAsia="MS Mincho"/>
        </w:rPr>
        <w:t>On 11 October 2022, the Government entered into an agreement to lend SDR 1 billion (approximately A$2.</w:t>
      </w:r>
      <w:r>
        <w:rPr>
          <w:rFonts w:eastAsia="MS Mincho"/>
        </w:rPr>
        <w:t>1</w:t>
      </w:r>
      <w:r w:rsidRPr="006E4C5A">
        <w:rPr>
          <w:rFonts w:eastAsia="MS Mincho"/>
        </w:rPr>
        <w:t xml:space="preserve"> billion as </w:t>
      </w:r>
      <w:proofErr w:type="gramStart"/>
      <w:r w:rsidRPr="006E4C5A">
        <w:rPr>
          <w:rFonts w:eastAsia="MS Mincho"/>
        </w:rPr>
        <w:t>at</w:t>
      </w:r>
      <w:proofErr w:type="gramEnd"/>
      <w:r w:rsidRPr="006E4C5A">
        <w:rPr>
          <w:rFonts w:eastAsia="MS Mincho"/>
        </w:rPr>
        <w:t xml:space="preserve"> </w:t>
      </w:r>
      <w:r>
        <w:rPr>
          <w:rFonts w:eastAsia="MS Mincho"/>
        </w:rPr>
        <w:t>31 January 2025</w:t>
      </w:r>
      <w:r w:rsidRPr="006E4C5A">
        <w:rPr>
          <w:rFonts w:eastAsia="MS Mincho"/>
        </w:rPr>
        <w:t>) to the PRGT Pooled Investments, in order to provide subsidy resources to the PRGT of SDR 36 million (approximately A$7</w:t>
      </w:r>
      <w:r>
        <w:rPr>
          <w:rFonts w:eastAsia="MS Mincho"/>
        </w:rPr>
        <w:t>5.5</w:t>
      </w:r>
      <w:r w:rsidRPr="006E4C5A">
        <w:rPr>
          <w:rFonts w:eastAsia="MS Mincho"/>
        </w:rPr>
        <w:t xml:space="preserve"> million as at </w:t>
      </w:r>
      <w:r>
        <w:rPr>
          <w:rFonts w:eastAsia="MS Mincho"/>
        </w:rPr>
        <w:t>31 January 2025</w:t>
      </w:r>
      <w:r w:rsidRPr="006E4C5A">
        <w:rPr>
          <w:rFonts w:eastAsia="MS Mincho"/>
        </w:rPr>
        <w:t>). This loan was drawn down by the IMF on 21</w:t>
      </w:r>
      <w:r w:rsidR="000C28BC">
        <w:rPr>
          <w:rFonts w:eastAsia="MS Mincho"/>
        </w:rPr>
        <w:t> </w:t>
      </w:r>
      <w:r w:rsidRPr="006E4C5A">
        <w:rPr>
          <w:rFonts w:eastAsia="MS Mincho"/>
        </w:rPr>
        <w:t>October</w:t>
      </w:r>
      <w:r w:rsidR="002A7914">
        <w:rPr>
          <w:rFonts w:eastAsia="MS Mincho"/>
        </w:rPr>
        <w:t> </w:t>
      </w:r>
      <w:r w:rsidRPr="006E4C5A">
        <w:rPr>
          <w:rFonts w:eastAsia="MS Mincho"/>
        </w:rPr>
        <w:t>2022. On 30 October 2023 the Government advised the IMF that it would increase the subsidy resources provided to SDR 82 million (approximately A$1</w:t>
      </w:r>
      <w:r>
        <w:rPr>
          <w:rFonts w:eastAsia="MS Mincho"/>
        </w:rPr>
        <w:t>71.9</w:t>
      </w:r>
      <w:r w:rsidRPr="006E4C5A">
        <w:rPr>
          <w:rFonts w:eastAsia="MS Mincho"/>
        </w:rPr>
        <w:t xml:space="preserve"> million as </w:t>
      </w:r>
      <w:proofErr w:type="gramStart"/>
      <w:r w:rsidRPr="006E4C5A">
        <w:rPr>
          <w:rFonts w:eastAsia="MS Mincho"/>
        </w:rPr>
        <w:t>at</w:t>
      </w:r>
      <w:proofErr w:type="gramEnd"/>
      <w:r w:rsidRPr="006E4C5A">
        <w:rPr>
          <w:rFonts w:eastAsia="MS Mincho"/>
        </w:rPr>
        <w:t xml:space="preserve"> </w:t>
      </w:r>
      <w:r>
        <w:rPr>
          <w:rFonts w:eastAsia="MS Mincho"/>
        </w:rPr>
        <w:t>31</w:t>
      </w:r>
      <w:r w:rsidR="002A7914">
        <w:rPr>
          <w:rFonts w:eastAsia="MS Mincho"/>
        </w:rPr>
        <w:t> </w:t>
      </w:r>
      <w:r>
        <w:rPr>
          <w:rFonts w:eastAsia="MS Mincho"/>
        </w:rPr>
        <w:t>January 2025</w:t>
      </w:r>
      <w:r w:rsidRPr="006E4C5A">
        <w:rPr>
          <w:rFonts w:eastAsia="MS Mincho"/>
        </w:rPr>
        <w:t xml:space="preserve">). </w:t>
      </w:r>
    </w:p>
    <w:p w14:paraId="23087F90" w14:textId="77777777" w:rsidR="00971D2E" w:rsidRPr="006E4C5A" w:rsidRDefault="00971D2E" w:rsidP="0009089A">
      <w:pPr>
        <w:shd w:val="clear" w:color="auto" w:fill="FFFFFF" w:themeFill="background1"/>
        <w:rPr>
          <w:rFonts w:eastAsia="MS Mincho"/>
        </w:rPr>
      </w:pPr>
      <w:r w:rsidRPr="006E4C5A">
        <w:rPr>
          <w:rFonts w:eastAsia="MS Mincho"/>
        </w:rPr>
        <w:t>PRGT Pooled Investments funds will be repaid in full, with interest.</w:t>
      </w:r>
    </w:p>
    <w:p w14:paraId="18127DAC" w14:textId="77777777" w:rsidR="0023618C" w:rsidRPr="006E2583" w:rsidRDefault="0023618C" w:rsidP="00753E49">
      <w:pPr>
        <w:pStyle w:val="Heading4"/>
        <w:rPr>
          <w:rFonts w:eastAsia="Arial"/>
        </w:rPr>
      </w:pPr>
      <w:r w:rsidRPr="006E2583">
        <w:rPr>
          <w:rFonts w:eastAsia="Arial"/>
        </w:rPr>
        <w:t>International Monetary Fund – Resilience and Sustainability Trust</w:t>
      </w:r>
      <w:bookmarkEnd w:id="302"/>
    </w:p>
    <w:p w14:paraId="60B04B92" w14:textId="143CE0E1" w:rsidR="0002586D" w:rsidRPr="00F825F1" w:rsidRDefault="0002586D" w:rsidP="0009089A">
      <w:pPr>
        <w:shd w:val="clear" w:color="auto" w:fill="FFFFFF" w:themeFill="background1"/>
        <w:rPr>
          <w:rFonts w:eastAsia="MS Mincho"/>
        </w:rPr>
      </w:pPr>
      <w:r w:rsidRPr="00F825F1">
        <w:rPr>
          <w:rFonts w:eastAsia="MS Mincho"/>
        </w:rPr>
        <w:t>On 11 October 2022, the Australian Government entered into an agreement to make a Special Drawing Rights (SDR) 760 million (approximately A$1.</w:t>
      </w:r>
      <w:r>
        <w:rPr>
          <w:rFonts w:eastAsia="MS Mincho"/>
        </w:rPr>
        <w:t>6</w:t>
      </w:r>
      <w:r w:rsidRPr="00F825F1">
        <w:rPr>
          <w:rFonts w:eastAsia="MS Mincho"/>
        </w:rPr>
        <w:t xml:space="preserve"> billion as </w:t>
      </w:r>
      <w:proofErr w:type="gramStart"/>
      <w:r w:rsidRPr="00F825F1">
        <w:rPr>
          <w:rFonts w:eastAsia="MS Mincho"/>
        </w:rPr>
        <w:t>at</w:t>
      </w:r>
      <w:proofErr w:type="gramEnd"/>
      <w:r w:rsidRPr="00F825F1">
        <w:rPr>
          <w:rFonts w:eastAsia="MS Mincho"/>
        </w:rPr>
        <w:t xml:space="preserve"> </w:t>
      </w:r>
      <w:r>
        <w:rPr>
          <w:rFonts w:eastAsia="MS Mincho"/>
        </w:rPr>
        <w:t>31</w:t>
      </w:r>
      <w:r w:rsidR="004337DC">
        <w:rPr>
          <w:rFonts w:eastAsia="MS Mincho"/>
        </w:rPr>
        <w:t> </w:t>
      </w:r>
      <w:r>
        <w:rPr>
          <w:rFonts w:eastAsia="MS Mincho"/>
        </w:rPr>
        <w:t>January</w:t>
      </w:r>
      <w:r w:rsidR="002A7914">
        <w:rPr>
          <w:rFonts w:eastAsia="MS Mincho"/>
        </w:rPr>
        <w:t> </w:t>
      </w:r>
      <w:r>
        <w:rPr>
          <w:rFonts w:eastAsia="MS Mincho"/>
        </w:rPr>
        <w:t>2025</w:t>
      </w:r>
      <w:r w:rsidRPr="00F825F1">
        <w:rPr>
          <w:rFonts w:eastAsia="MS Mincho"/>
        </w:rPr>
        <w:t>) line of credit available to the International Monetary Fund (IMF) under the Resilience and Sustainability Trust</w:t>
      </w:r>
      <w:r w:rsidR="00D23095">
        <w:rPr>
          <w:rFonts w:eastAsia="MS Mincho"/>
        </w:rPr>
        <w:t>’</w:t>
      </w:r>
      <w:r w:rsidRPr="00F825F1">
        <w:rPr>
          <w:rFonts w:eastAsia="MS Mincho"/>
        </w:rPr>
        <w:t>s Loan Account through to 30 November 2030. The Resilience and Sustainability Trust Loan Account provides affordable long</w:t>
      </w:r>
      <w:r w:rsidR="00D23095">
        <w:rPr>
          <w:rFonts w:eastAsia="MS Mincho"/>
        </w:rPr>
        <w:noBreakHyphen/>
      </w:r>
      <w:r w:rsidRPr="00F825F1">
        <w:rPr>
          <w:rFonts w:eastAsia="MS Mincho"/>
        </w:rPr>
        <w:t xml:space="preserve">term financing to help vulnerable countries build economic resilience and sustainability to address the risks stemming from climate change and pandemics. Resilience and Sustainability Trust Loan Account funds are drawn upon by the IMF as needed and will be repaid in full, with interest. As </w:t>
      </w:r>
      <w:proofErr w:type="gramStart"/>
      <w:r w:rsidRPr="00F825F1">
        <w:rPr>
          <w:rFonts w:eastAsia="MS Mincho"/>
        </w:rPr>
        <w:t>at</w:t>
      </w:r>
      <w:proofErr w:type="gramEnd"/>
      <w:r w:rsidRPr="00F825F1">
        <w:rPr>
          <w:rFonts w:eastAsia="MS Mincho"/>
        </w:rPr>
        <w:t xml:space="preserve"> 30 June 202</w:t>
      </w:r>
      <w:r>
        <w:rPr>
          <w:rFonts w:eastAsia="MS Mincho"/>
        </w:rPr>
        <w:t>5</w:t>
      </w:r>
      <w:r w:rsidRPr="00F825F1">
        <w:rPr>
          <w:rFonts w:eastAsia="MS Mincho"/>
        </w:rPr>
        <w:t xml:space="preserve">, SDR </w:t>
      </w:r>
      <w:r>
        <w:rPr>
          <w:rFonts w:eastAsia="MS Mincho"/>
        </w:rPr>
        <w:t>74.9</w:t>
      </w:r>
      <w:r w:rsidRPr="00F825F1">
        <w:rPr>
          <w:rFonts w:eastAsia="MS Mincho"/>
        </w:rPr>
        <w:t> million (approximately A$</w:t>
      </w:r>
      <w:r>
        <w:rPr>
          <w:rFonts w:eastAsia="MS Mincho"/>
        </w:rPr>
        <w:t>152.3</w:t>
      </w:r>
      <w:r w:rsidRPr="00F825F1">
        <w:rPr>
          <w:rFonts w:eastAsia="MS Mincho"/>
        </w:rPr>
        <w:t> million as at 30 June 202</w:t>
      </w:r>
      <w:r>
        <w:rPr>
          <w:rFonts w:eastAsia="MS Mincho"/>
        </w:rPr>
        <w:t>5</w:t>
      </w:r>
      <w:r w:rsidRPr="00F825F1">
        <w:rPr>
          <w:rFonts w:eastAsia="MS Mincho"/>
        </w:rPr>
        <w:t xml:space="preserve">) </w:t>
      </w:r>
      <w:r>
        <w:rPr>
          <w:rFonts w:eastAsia="MS Mincho"/>
        </w:rPr>
        <w:t>is estimated to be</w:t>
      </w:r>
      <w:r w:rsidRPr="00F825F1">
        <w:rPr>
          <w:rFonts w:eastAsia="MS Mincho"/>
        </w:rPr>
        <w:t xml:space="preserve"> drawn down, leaving SDR </w:t>
      </w:r>
      <w:r>
        <w:rPr>
          <w:rFonts w:eastAsia="MS Mincho"/>
        </w:rPr>
        <w:t>685.1</w:t>
      </w:r>
      <w:r w:rsidRPr="00F825F1">
        <w:rPr>
          <w:rFonts w:eastAsia="MS Mincho"/>
        </w:rPr>
        <w:t> million (approximately A$1.</w:t>
      </w:r>
      <w:r>
        <w:rPr>
          <w:rFonts w:eastAsia="MS Mincho"/>
        </w:rPr>
        <w:t>4</w:t>
      </w:r>
      <w:r w:rsidRPr="00F825F1">
        <w:rPr>
          <w:rFonts w:eastAsia="MS Mincho"/>
        </w:rPr>
        <w:t xml:space="preserve"> billion as at </w:t>
      </w:r>
      <w:r>
        <w:rPr>
          <w:rFonts w:eastAsia="MS Mincho"/>
        </w:rPr>
        <w:t>31 January 2025</w:t>
      </w:r>
      <w:r w:rsidRPr="00F825F1">
        <w:rPr>
          <w:rFonts w:eastAsia="MS Mincho"/>
        </w:rPr>
        <w:t xml:space="preserve">) available to the IMF under the Resilience and Sustainability Trust. </w:t>
      </w:r>
    </w:p>
    <w:p w14:paraId="66501945" w14:textId="0A8539CB" w:rsidR="0002586D" w:rsidRPr="00F825F1" w:rsidRDefault="0002586D" w:rsidP="0009089A">
      <w:pPr>
        <w:shd w:val="clear" w:color="auto" w:fill="FFFFFF" w:themeFill="background1"/>
        <w:rPr>
          <w:rFonts w:eastAsia="MS Mincho"/>
        </w:rPr>
      </w:pPr>
      <w:r w:rsidRPr="00F825F1">
        <w:rPr>
          <w:rFonts w:eastAsia="MS Mincho"/>
        </w:rPr>
        <w:t>Additionally, on 11 October 2022, the Australian Government entered into an agreement to lend SDR 152 million (</w:t>
      </w:r>
      <w:r>
        <w:rPr>
          <w:rFonts w:eastAsia="MS Mincho"/>
        </w:rPr>
        <w:t xml:space="preserve">estimated at </w:t>
      </w:r>
      <w:r w:rsidRPr="00F825F1">
        <w:rPr>
          <w:rFonts w:eastAsia="MS Mincho"/>
        </w:rPr>
        <w:t>approximately A$30</w:t>
      </w:r>
      <w:r>
        <w:rPr>
          <w:rFonts w:eastAsia="MS Mincho"/>
        </w:rPr>
        <w:t>9.2</w:t>
      </w:r>
      <w:r w:rsidRPr="00F825F1">
        <w:rPr>
          <w:rFonts w:eastAsia="MS Mincho"/>
        </w:rPr>
        <w:t xml:space="preserve"> million as </w:t>
      </w:r>
      <w:proofErr w:type="gramStart"/>
      <w:r w:rsidRPr="00F825F1">
        <w:rPr>
          <w:rFonts w:eastAsia="MS Mincho"/>
        </w:rPr>
        <w:t>at</w:t>
      </w:r>
      <w:proofErr w:type="gramEnd"/>
      <w:r w:rsidRPr="00F825F1">
        <w:rPr>
          <w:rFonts w:eastAsia="MS Mincho"/>
        </w:rPr>
        <w:t xml:space="preserve"> 30 June</w:t>
      </w:r>
      <w:r w:rsidR="0039132A">
        <w:rPr>
          <w:rFonts w:eastAsia="MS Mincho"/>
        </w:rPr>
        <w:t> </w:t>
      </w:r>
      <w:r w:rsidRPr="00F825F1">
        <w:rPr>
          <w:rFonts w:eastAsia="MS Mincho"/>
        </w:rPr>
        <w:t>202</w:t>
      </w:r>
      <w:r>
        <w:rPr>
          <w:rFonts w:eastAsia="MS Mincho"/>
        </w:rPr>
        <w:t>5</w:t>
      </w:r>
      <w:r w:rsidRPr="00F825F1">
        <w:rPr>
          <w:rFonts w:eastAsia="MS Mincho"/>
        </w:rPr>
        <w:t>) to the Resilience and Sustainability Trust Deposit Account through to 30 November</w:t>
      </w:r>
      <w:r w:rsidR="0039132A">
        <w:rPr>
          <w:rFonts w:eastAsia="MS Mincho"/>
        </w:rPr>
        <w:t> </w:t>
      </w:r>
      <w:r w:rsidRPr="00F825F1">
        <w:rPr>
          <w:rFonts w:eastAsia="MS Mincho"/>
        </w:rPr>
        <w:t>2050, and SDR 15.2 million (</w:t>
      </w:r>
      <w:r>
        <w:rPr>
          <w:rFonts w:eastAsia="MS Mincho"/>
        </w:rPr>
        <w:t xml:space="preserve">estimated at </w:t>
      </w:r>
      <w:r w:rsidRPr="00F825F1">
        <w:rPr>
          <w:rFonts w:eastAsia="MS Mincho"/>
        </w:rPr>
        <w:t>approximately A$30.</w:t>
      </w:r>
      <w:r>
        <w:rPr>
          <w:rFonts w:eastAsia="MS Mincho"/>
        </w:rPr>
        <w:t>9</w:t>
      </w:r>
      <w:r w:rsidRPr="00F825F1">
        <w:rPr>
          <w:rFonts w:eastAsia="MS Mincho"/>
        </w:rPr>
        <w:t> million as at 30 June</w:t>
      </w:r>
      <w:r w:rsidR="0039132A">
        <w:rPr>
          <w:rFonts w:eastAsia="MS Mincho"/>
        </w:rPr>
        <w:t> </w:t>
      </w:r>
      <w:r w:rsidRPr="00F825F1">
        <w:rPr>
          <w:rFonts w:eastAsia="MS Mincho"/>
        </w:rPr>
        <w:t>202</w:t>
      </w:r>
      <w:r>
        <w:rPr>
          <w:rFonts w:eastAsia="MS Mincho"/>
        </w:rPr>
        <w:t>5</w:t>
      </w:r>
      <w:r w:rsidRPr="00F825F1">
        <w:rPr>
          <w:rFonts w:eastAsia="MS Mincho"/>
        </w:rPr>
        <w:t xml:space="preserve">) to the Resilience and Sustainability Trust Reserve Account through to liquidation of the Trust. </w:t>
      </w:r>
    </w:p>
    <w:p w14:paraId="6D9414A4" w14:textId="77777777" w:rsidR="0002586D" w:rsidRPr="00F825F1" w:rsidRDefault="0002586D" w:rsidP="0009089A">
      <w:pPr>
        <w:shd w:val="clear" w:color="auto" w:fill="FFFFFF" w:themeFill="background1"/>
        <w:rPr>
          <w:rFonts w:eastAsia="MS Mincho"/>
        </w:rPr>
      </w:pPr>
      <w:r w:rsidRPr="00F825F1">
        <w:rPr>
          <w:rFonts w:eastAsia="MS Mincho"/>
        </w:rPr>
        <w:lastRenderedPageBreak/>
        <w:t xml:space="preserve">Resilience and Sustainability Trust Deposit Account funds will be repaid in full, with interest. Resilience and Sustainability Trust Reserve Account funds will be repaid on liquidation of the Trust and will not accrue interest. </w:t>
      </w:r>
    </w:p>
    <w:p w14:paraId="64E8C499" w14:textId="77777777" w:rsidR="0002586D" w:rsidRPr="00F825F1" w:rsidRDefault="0002586D" w:rsidP="0009089A">
      <w:pPr>
        <w:shd w:val="clear" w:color="auto" w:fill="FFFFFF" w:themeFill="background1"/>
        <w:rPr>
          <w:rFonts w:eastAsia="MS Mincho"/>
        </w:rPr>
      </w:pPr>
      <w:r w:rsidRPr="00F825F1">
        <w:rPr>
          <w:rFonts w:eastAsia="MS Mincho"/>
        </w:rPr>
        <w:t>These additional contributions will enable the IMF to build sufficient reserves over time to manage risks associated with Resilience and Sustainability Trust lending such as potential late payments.</w:t>
      </w:r>
    </w:p>
    <w:p w14:paraId="57508CE7" w14:textId="19820D94" w:rsidR="00513B24" w:rsidRPr="0099515E" w:rsidRDefault="00513B24" w:rsidP="00AB2926">
      <w:pPr>
        <w:pStyle w:val="Heading5"/>
        <w:rPr>
          <w:rFonts w:eastAsia="Arial"/>
        </w:rPr>
      </w:pPr>
      <w:r w:rsidRPr="0099515E">
        <w:rPr>
          <w:rFonts w:eastAsia="Arial"/>
        </w:rPr>
        <w:t>Loan Agreement between the Australian Government and the Government</w:t>
      </w:r>
      <w:r w:rsidR="0059402B">
        <w:rPr>
          <w:rFonts w:eastAsia="Arial"/>
        </w:rPr>
        <w:t> </w:t>
      </w:r>
      <w:r w:rsidRPr="0099515E">
        <w:rPr>
          <w:rFonts w:eastAsia="Arial"/>
        </w:rPr>
        <w:t>of Indonesia</w:t>
      </w:r>
    </w:p>
    <w:p w14:paraId="483A6644" w14:textId="5DFD10A4" w:rsidR="00AF4983" w:rsidRPr="007029FF" w:rsidRDefault="00AF4983" w:rsidP="0009089A">
      <w:pPr>
        <w:shd w:val="clear" w:color="auto" w:fill="FFFFFF" w:themeFill="background1"/>
        <w:rPr>
          <w:rFonts w:eastAsiaTheme="minorEastAsia"/>
        </w:rPr>
      </w:pPr>
      <w:r w:rsidRPr="005106BC">
        <w:rPr>
          <w:rFonts w:eastAsia="MS Mincho"/>
        </w:rPr>
        <w:t xml:space="preserve">On 12 November 2020, Australia </w:t>
      </w:r>
      <w:proofErr w:type="gramStart"/>
      <w:r w:rsidRPr="005106BC">
        <w:rPr>
          <w:rFonts w:eastAsia="MS Mincho"/>
        </w:rPr>
        <w:t>entered into</w:t>
      </w:r>
      <w:proofErr w:type="gramEnd"/>
      <w:r w:rsidRPr="005106BC">
        <w:rPr>
          <w:rFonts w:eastAsia="MS Mincho"/>
        </w:rPr>
        <w:t xml:space="preserve"> a A$1.5 billion loan agreement with Indonesia. This agreement is part of multilateral action to support Indonesia led by the Asian Development Bank and includes the Asian Infrastructure Investment Bank, the Japan International Cooperation Agency and the German state</w:t>
      </w:r>
      <w:r w:rsidR="00D23095">
        <w:rPr>
          <w:rFonts w:eastAsia="MS Mincho"/>
        </w:rPr>
        <w:noBreakHyphen/>
      </w:r>
      <w:r w:rsidRPr="005106BC">
        <w:rPr>
          <w:rFonts w:eastAsia="MS Mincho"/>
        </w:rPr>
        <w:t xml:space="preserve">owned </w:t>
      </w:r>
      <w:proofErr w:type="spellStart"/>
      <w:r w:rsidRPr="005106BC">
        <w:rPr>
          <w:rFonts w:eastAsia="MS Mincho"/>
        </w:rPr>
        <w:t>KfW</w:t>
      </w:r>
      <w:proofErr w:type="spellEnd"/>
      <w:r w:rsidRPr="005106BC">
        <w:rPr>
          <w:rFonts w:eastAsia="MS Mincho"/>
        </w:rPr>
        <w:t xml:space="preserve"> Development Bank. </w:t>
      </w:r>
    </w:p>
    <w:p w14:paraId="434DE31B" w14:textId="5316F920" w:rsidR="00AF4983" w:rsidRPr="005106BC" w:rsidRDefault="00AF4983" w:rsidP="0009089A">
      <w:pPr>
        <w:shd w:val="clear" w:color="auto" w:fill="FFFFFF" w:themeFill="background1"/>
        <w:rPr>
          <w:rFonts w:eastAsia="MS Mincho"/>
        </w:rPr>
      </w:pPr>
      <w:r w:rsidRPr="005106BC">
        <w:rPr>
          <w:rFonts w:eastAsia="MS Mincho"/>
        </w:rPr>
        <w:t>The funds are being used to support Indonesia</w:t>
      </w:r>
      <w:r w:rsidR="00D23095">
        <w:rPr>
          <w:rFonts w:eastAsia="MS Mincho"/>
        </w:rPr>
        <w:t>’</w:t>
      </w:r>
      <w:r w:rsidRPr="005106BC">
        <w:rPr>
          <w:rFonts w:eastAsia="MS Mincho"/>
        </w:rPr>
        <w:t>s COVID</w:t>
      </w:r>
      <w:r w:rsidR="00D23095">
        <w:rPr>
          <w:rFonts w:eastAsia="MS Mincho"/>
        </w:rPr>
        <w:noBreakHyphen/>
      </w:r>
      <w:r w:rsidRPr="005106BC">
        <w:rPr>
          <w:rFonts w:eastAsia="MS Mincho"/>
        </w:rPr>
        <w:t>19 response</w:t>
      </w:r>
      <w:r>
        <w:rPr>
          <w:rFonts w:eastAsia="MS Mincho"/>
        </w:rPr>
        <w:t xml:space="preserve"> and recovery</w:t>
      </w:r>
      <w:r w:rsidRPr="005106BC">
        <w:rPr>
          <w:rFonts w:eastAsia="MS Mincho"/>
        </w:rPr>
        <w:t xml:space="preserve">, including social protection initiatives and health system development. </w:t>
      </w:r>
    </w:p>
    <w:p w14:paraId="4924B530" w14:textId="6B0D844D" w:rsidR="00513B24" w:rsidRPr="00B832E0" w:rsidRDefault="00513B24" w:rsidP="00AB2926">
      <w:pPr>
        <w:pStyle w:val="Heading5"/>
        <w:rPr>
          <w:rFonts w:eastAsia="Arial"/>
        </w:rPr>
      </w:pPr>
      <w:r w:rsidRPr="00B832E0">
        <w:rPr>
          <w:rFonts w:eastAsia="Arial"/>
        </w:rPr>
        <w:t>2020 Loan Agreement between the Australian Government and the Government</w:t>
      </w:r>
      <w:r w:rsidR="0059402B">
        <w:rPr>
          <w:rFonts w:eastAsia="Arial"/>
        </w:rPr>
        <w:t> </w:t>
      </w:r>
      <w:r w:rsidRPr="00B832E0">
        <w:rPr>
          <w:rFonts w:eastAsia="Arial"/>
        </w:rPr>
        <w:t>of Papua New Guinea</w:t>
      </w:r>
    </w:p>
    <w:p w14:paraId="41013A9D" w14:textId="0CDDAB20" w:rsidR="002543B4" w:rsidRPr="00867A0E" w:rsidRDefault="002543B4" w:rsidP="0009089A">
      <w:pPr>
        <w:shd w:val="clear" w:color="auto" w:fill="FFFFFF" w:themeFill="background1"/>
        <w:rPr>
          <w:rFonts w:eastAsia="MS Mincho"/>
        </w:rPr>
      </w:pPr>
      <w:r w:rsidRPr="00867A0E">
        <w:rPr>
          <w:rFonts w:eastAsia="MS Mincho"/>
        </w:rPr>
        <w:t>On 22</w:t>
      </w:r>
      <w:r w:rsidRPr="00867A0E">
        <w:rPr>
          <w:rFonts w:eastAsia="MS Mincho" w:hint="eastAsia"/>
        </w:rPr>
        <w:t> </w:t>
      </w:r>
      <w:r w:rsidRPr="00867A0E">
        <w:rPr>
          <w:rFonts w:eastAsia="MS Mincho"/>
        </w:rPr>
        <w:t>November</w:t>
      </w:r>
      <w:r w:rsidRPr="00867A0E">
        <w:rPr>
          <w:rFonts w:eastAsia="MS Mincho" w:hint="eastAsia"/>
        </w:rPr>
        <w:t> </w:t>
      </w:r>
      <w:r w:rsidRPr="00867A0E">
        <w:rPr>
          <w:rFonts w:eastAsia="MS Mincho"/>
        </w:rPr>
        <w:t>2020, the Australian Government entered into a loan agreement for US$400</w:t>
      </w:r>
      <w:r w:rsidRPr="00867A0E">
        <w:rPr>
          <w:rFonts w:eastAsia="MS Mincho" w:hint="eastAsia"/>
        </w:rPr>
        <w:t> </w:t>
      </w:r>
      <w:r w:rsidRPr="00867A0E">
        <w:rPr>
          <w:rFonts w:eastAsia="MS Mincho"/>
        </w:rPr>
        <w:t>million (approximately A$558 million) in 2020–21 to the Government of Papua</w:t>
      </w:r>
      <w:r w:rsidR="002A7914">
        <w:rPr>
          <w:rFonts w:eastAsia="MS Mincho"/>
        </w:rPr>
        <w:t> </w:t>
      </w:r>
      <w:r w:rsidRPr="00867A0E">
        <w:rPr>
          <w:rFonts w:eastAsia="MS Mincho"/>
        </w:rPr>
        <w:t>New Guinea (PNG). The</w:t>
      </w:r>
      <w:r w:rsidRPr="00867A0E">
        <w:rPr>
          <w:rFonts w:eastAsia="MS Mincho" w:hint="eastAsia"/>
        </w:rPr>
        <w:t> </w:t>
      </w:r>
      <w:r w:rsidRPr="00867A0E">
        <w:rPr>
          <w:rFonts w:eastAsia="MS Mincho"/>
        </w:rPr>
        <w:t>loan refinances the US$300 million short</w:t>
      </w:r>
      <w:r w:rsidR="00D23095">
        <w:rPr>
          <w:rFonts w:eastAsia="MS Mincho"/>
        </w:rPr>
        <w:noBreakHyphen/>
      </w:r>
      <w:r w:rsidRPr="00867A0E">
        <w:rPr>
          <w:rFonts w:eastAsia="MS Mincho"/>
        </w:rPr>
        <w:t>term loan made in 2019</w:t>
      </w:r>
      <w:r w:rsidRPr="00867A0E">
        <w:rPr>
          <w:rFonts w:ascii="Times New Roman" w:eastAsia="MS Mincho" w:hAnsi="Times New Roman"/>
        </w:rPr>
        <w:t>‍</w:t>
      </w:r>
      <w:r w:rsidRPr="00867A0E">
        <w:rPr>
          <w:rFonts w:eastAsia="MS Mincho"/>
        </w:rPr>
        <w:t>–</w:t>
      </w:r>
      <w:r w:rsidRPr="00867A0E">
        <w:rPr>
          <w:rFonts w:ascii="Times New Roman" w:eastAsia="MS Mincho" w:hAnsi="Times New Roman"/>
        </w:rPr>
        <w:t>‍</w:t>
      </w:r>
      <w:r w:rsidRPr="00867A0E">
        <w:rPr>
          <w:rFonts w:eastAsia="MS Mincho"/>
        </w:rPr>
        <w:t xml:space="preserve">20 and </w:t>
      </w:r>
      <w:r>
        <w:rPr>
          <w:rFonts w:eastAsia="MS Mincho"/>
        </w:rPr>
        <w:t xml:space="preserve">provides </w:t>
      </w:r>
      <w:r w:rsidRPr="00867A0E">
        <w:rPr>
          <w:rFonts w:eastAsia="MS Mincho"/>
        </w:rPr>
        <w:t>a further A$140</w:t>
      </w:r>
      <w:r w:rsidRPr="00867A0E">
        <w:rPr>
          <w:rFonts w:eastAsia="MS Mincho" w:hint="eastAsia"/>
        </w:rPr>
        <w:t> </w:t>
      </w:r>
      <w:r w:rsidRPr="00867A0E">
        <w:rPr>
          <w:rFonts w:eastAsia="MS Mincho"/>
        </w:rPr>
        <w:t>million loan for budget support, including PNG</w:t>
      </w:r>
      <w:r w:rsidR="00D23095">
        <w:rPr>
          <w:rFonts w:eastAsia="MS Mincho"/>
        </w:rPr>
        <w:t>’</w:t>
      </w:r>
      <w:r w:rsidRPr="00867A0E">
        <w:rPr>
          <w:rFonts w:eastAsia="MS Mincho"/>
        </w:rPr>
        <w:t>s response to COVID</w:t>
      </w:r>
      <w:r w:rsidR="00D23095">
        <w:rPr>
          <w:rFonts w:eastAsia="MS Mincho"/>
        </w:rPr>
        <w:noBreakHyphen/>
      </w:r>
      <w:r w:rsidRPr="00867A0E">
        <w:rPr>
          <w:rFonts w:eastAsia="MS Mincho"/>
        </w:rPr>
        <w:t>19. The</w:t>
      </w:r>
      <w:r w:rsidRPr="00867A0E">
        <w:rPr>
          <w:rFonts w:eastAsia="MS Mincho" w:hint="eastAsia"/>
        </w:rPr>
        <w:t> </w:t>
      </w:r>
      <w:r w:rsidRPr="00867A0E">
        <w:rPr>
          <w:rFonts w:eastAsia="MS Mincho"/>
        </w:rPr>
        <w:t>previous short</w:t>
      </w:r>
      <w:r w:rsidR="00D23095">
        <w:rPr>
          <w:rFonts w:eastAsia="MS Mincho"/>
        </w:rPr>
        <w:noBreakHyphen/>
      </w:r>
      <w:r w:rsidRPr="00867A0E">
        <w:rPr>
          <w:rFonts w:eastAsia="MS Mincho"/>
        </w:rPr>
        <w:t>term loan was made to support budget sustainability, assist in the delivery of core government services, support longer term economic reforms, and increase the availability of foreign exchange in the country. The Australian Government had agreed with PNG to temporarily suspend principal and interest repayments for the loan consistent with the Debt Service Suspension Initiative of G20 nations to support low</w:t>
      </w:r>
      <w:r w:rsidR="00D23095">
        <w:rPr>
          <w:rFonts w:eastAsia="MS Mincho"/>
        </w:rPr>
        <w:noBreakHyphen/>
      </w:r>
      <w:r w:rsidRPr="00867A0E">
        <w:rPr>
          <w:rFonts w:eastAsia="MS Mincho"/>
        </w:rPr>
        <w:t>income nations during the COVID</w:t>
      </w:r>
      <w:r w:rsidR="00D23095">
        <w:rPr>
          <w:rFonts w:eastAsia="MS Mincho"/>
        </w:rPr>
        <w:noBreakHyphen/>
      </w:r>
      <w:r w:rsidRPr="00867A0E">
        <w:rPr>
          <w:rFonts w:eastAsia="MS Mincho"/>
        </w:rPr>
        <w:t>19 pandemic. This suspension has now ended.</w:t>
      </w:r>
    </w:p>
    <w:p w14:paraId="7E158A38" w14:textId="6EC21B1D" w:rsidR="00513B24" w:rsidRPr="00B832E0" w:rsidRDefault="00513B24" w:rsidP="00AB2926">
      <w:pPr>
        <w:pStyle w:val="Heading5"/>
        <w:rPr>
          <w:rFonts w:eastAsia="Arial"/>
          <w:b/>
        </w:rPr>
      </w:pPr>
      <w:r w:rsidRPr="00B832E0">
        <w:rPr>
          <w:rFonts w:eastAsia="Arial"/>
        </w:rPr>
        <w:t>2021 Loan Agreement between the Australian Government and the Government</w:t>
      </w:r>
      <w:r w:rsidR="0059402B">
        <w:rPr>
          <w:rFonts w:eastAsia="Arial"/>
        </w:rPr>
        <w:t> </w:t>
      </w:r>
      <w:r w:rsidRPr="00B832E0">
        <w:rPr>
          <w:rFonts w:eastAsia="Arial"/>
        </w:rPr>
        <w:t>of Papua New Guinea</w:t>
      </w:r>
    </w:p>
    <w:p w14:paraId="44F522E0" w14:textId="1FEA5A98" w:rsidR="003226E3" w:rsidRPr="00D243F8" w:rsidRDefault="003226E3" w:rsidP="0009089A">
      <w:pPr>
        <w:shd w:val="clear" w:color="auto" w:fill="FFFFFF" w:themeFill="background1"/>
      </w:pPr>
      <w:r w:rsidRPr="00D243F8">
        <w:t>On 10</w:t>
      </w:r>
      <w:r w:rsidRPr="00D243F8">
        <w:rPr>
          <w:rFonts w:hint="eastAsia"/>
        </w:rPr>
        <w:t> </w:t>
      </w:r>
      <w:r w:rsidRPr="00D243F8">
        <w:t>December</w:t>
      </w:r>
      <w:r w:rsidRPr="00D243F8">
        <w:rPr>
          <w:rFonts w:hint="eastAsia"/>
        </w:rPr>
        <w:t> </w:t>
      </w:r>
      <w:r w:rsidRPr="00D243F8">
        <w:t>2021, the Australian Government entered into a loan agreement for A$650</w:t>
      </w:r>
      <w:r w:rsidRPr="00D243F8">
        <w:rPr>
          <w:rFonts w:hint="eastAsia"/>
        </w:rPr>
        <w:t> </w:t>
      </w:r>
      <w:r w:rsidRPr="00D243F8">
        <w:t>million in 2021</w:t>
      </w:r>
      <w:r w:rsidRPr="00D243F8">
        <w:rPr>
          <w:rFonts w:hint="eastAsia"/>
        </w:rPr>
        <w:t>–</w:t>
      </w:r>
      <w:r w:rsidRPr="00D243F8">
        <w:t>22 to the Government of Papua</w:t>
      </w:r>
      <w:r w:rsidRPr="00D243F8">
        <w:rPr>
          <w:rFonts w:hint="eastAsia"/>
        </w:rPr>
        <w:t> </w:t>
      </w:r>
      <w:r w:rsidRPr="00D243F8">
        <w:t>New</w:t>
      </w:r>
      <w:r w:rsidRPr="00D243F8">
        <w:rPr>
          <w:rFonts w:hint="eastAsia"/>
        </w:rPr>
        <w:t> </w:t>
      </w:r>
      <w:r w:rsidRPr="00D243F8">
        <w:t>Guinea (PNG). The loan was provided in response to a request from the PNG Prime Minister for further support to enable the PNG Government to meet required expenditure in its 2021 Budget, including on the health and economic response to the COVID</w:t>
      </w:r>
      <w:r w:rsidR="00D23095">
        <w:noBreakHyphen/>
      </w:r>
      <w:r w:rsidRPr="00D243F8">
        <w:t xml:space="preserve">19 pandemic. The loan is also provided to help PNG continue </w:t>
      </w:r>
      <w:r w:rsidR="0064655B">
        <w:t xml:space="preserve">to </w:t>
      </w:r>
      <w:r w:rsidRPr="00D243F8">
        <w:t>progress economic reforms under the second International Monetary Fund Staff</w:t>
      </w:r>
      <w:r w:rsidR="00D23095">
        <w:noBreakHyphen/>
      </w:r>
      <w:r w:rsidRPr="00D243F8">
        <w:t>Monitored Program.</w:t>
      </w:r>
    </w:p>
    <w:p w14:paraId="7A623C6A" w14:textId="48734D14" w:rsidR="00513B24" w:rsidRPr="00BB17A3" w:rsidRDefault="00513B24" w:rsidP="00AB2926">
      <w:pPr>
        <w:pStyle w:val="Heading5"/>
        <w:rPr>
          <w:rFonts w:eastAsia="Arial"/>
        </w:rPr>
      </w:pPr>
      <w:r w:rsidRPr="00BB17A3">
        <w:rPr>
          <w:rFonts w:eastAsia="Arial"/>
        </w:rPr>
        <w:lastRenderedPageBreak/>
        <w:t>2022 Loan Agreement between the Australian Government and the Government</w:t>
      </w:r>
      <w:r w:rsidR="0059402B">
        <w:rPr>
          <w:rFonts w:eastAsia="Arial"/>
        </w:rPr>
        <w:t> </w:t>
      </w:r>
      <w:r w:rsidRPr="00BB17A3">
        <w:rPr>
          <w:rFonts w:eastAsia="Arial"/>
        </w:rPr>
        <w:t>of Papua New Guinea</w:t>
      </w:r>
    </w:p>
    <w:p w14:paraId="25B4A233" w14:textId="77777777" w:rsidR="00513B24" w:rsidRDefault="00513B24" w:rsidP="0009089A">
      <w:pPr>
        <w:shd w:val="clear" w:color="auto" w:fill="FFFFFF" w:themeFill="background1"/>
        <w:rPr>
          <w:rFonts w:eastAsiaTheme="minorEastAsia"/>
          <w:lang w:val="en-US"/>
        </w:rPr>
      </w:pPr>
      <w:r w:rsidRPr="1809C9FA">
        <w:rPr>
          <w:rFonts w:eastAsiaTheme="minorEastAsia"/>
          <w:lang w:val="en-US"/>
        </w:rPr>
        <w:t>On 15</w:t>
      </w:r>
      <w:r>
        <w:rPr>
          <w:rFonts w:eastAsiaTheme="minorEastAsia"/>
          <w:lang w:val="en-US"/>
        </w:rPr>
        <w:t> December </w:t>
      </w:r>
      <w:r w:rsidRPr="1809C9FA">
        <w:rPr>
          <w:rFonts w:eastAsiaTheme="minorEastAsia"/>
          <w:lang w:val="en-US"/>
        </w:rPr>
        <w:t>2022, the Australian Government entered into a loan agreement for A$750 million in 2022–23 to the Government of Papua New Guinea (PNG). The loan was provided in response to a request from the PNG Treasurer for financial assistance to enable the PNG Government to meet required expenditure in its 2022 Budget and support the delivery of reform actions under multilateral development programs, including a new International Monetary Fund program established in 2023.</w:t>
      </w:r>
    </w:p>
    <w:p w14:paraId="1DBF4364" w14:textId="3CFF2349" w:rsidR="00513B24" w:rsidRPr="00DA3380" w:rsidRDefault="00513B24" w:rsidP="00AB2926">
      <w:pPr>
        <w:pStyle w:val="Heading5"/>
        <w:rPr>
          <w:rFonts w:eastAsia="Arial"/>
        </w:rPr>
      </w:pPr>
      <w:r w:rsidRPr="00DA3380">
        <w:rPr>
          <w:rFonts w:eastAsia="Arial"/>
        </w:rPr>
        <w:t>2023 Loan Agreement between the Australian Government and the Government</w:t>
      </w:r>
      <w:r w:rsidR="0059402B">
        <w:rPr>
          <w:rFonts w:eastAsia="Arial"/>
        </w:rPr>
        <w:t> </w:t>
      </w:r>
      <w:r w:rsidRPr="00DA3380">
        <w:rPr>
          <w:rFonts w:eastAsia="Arial"/>
        </w:rPr>
        <w:t>of Papua New Guinea</w:t>
      </w:r>
    </w:p>
    <w:p w14:paraId="642B1CC8" w14:textId="5F904666" w:rsidR="001E6156" w:rsidRPr="0074788A" w:rsidRDefault="001E6156" w:rsidP="0009089A">
      <w:pPr>
        <w:shd w:val="clear" w:color="auto" w:fill="FFFFFF" w:themeFill="background1"/>
      </w:pPr>
      <w:r w:rsidRPr="0074788A">
        <w:rPr>
          <w:rFonts w:eastAsia="MS Mincho"/>
        </w:rPr>
        <w:t xml:space="preserve">On 8 December 2023, the Australian Government entered into a loan agreement for A$600 million in 2023–24 to the Government of Papua New Guinea (PNG). The loan was provided in response to a request from the PNG Prime Minister, to support PNG to meet its estimated 2023 budget financing shortfall. The loan </w:t>
      </w:r>
      <w:r>
        <w:rPr>
          <w:rFonts w:eastAsia="MS Mincho"/>
        </w:rPr>
        <w:t>was</w:t>
      </w:r>
      <w:r w:rsidRPr="0074788A">
        <w:rPr>
          <w:rFonts w:eastAsia="MS Mincho"/>
        </w:rPr>
        <w:t xml:space="preserve"> also </w:t>
      </w:r>
      <w:r>
        <w:rPr>
          <w:rFonts w:eastAsia="MS Mincho"/>
        </w:rPr>
        <w:t xml:space="preserve">provided to </w:t>
      </w:r>
      <w:r w:rsidRPr="0074788A">
        <w:rPr>
          <w:rFonts w:eastAsia="MS Mincho"/>
        </w:rPr>
        <w:t xml:space="preserve">assist PNG </w:t>
      </w:r>
      <w:r w:rsidR="00057815">
        <w:rPr>
          <w:rFonts w:eastAsia="MS Mincho"/>
        </w:rPr>
        <w:t>deliver</w:t>
      </w:r>
      <w:r w:rsidRPr="0074788A">
        <w:rPr>
          <w:rFonts w:eastAsia="MS Mincho"/>
        </w:rPr>
        <w:t xml:space="preserve"> economic reforms under the International Monetary Fund Extended Credit Facility and Extended Fund Facility Program. </w:t>
      </w:r>
    </w:p>
    <w:p w14:paraId="05C524C9" w14:textId="59601288" w:rsidR="00926E2B" w:rsidRPr="00A4626E" w:rsidRDefault="00926E2B" w:rsidP="00AB2926">
      <w:pPr>
        <w:pStyle w:val="Heading5"/>
        <w:rPr>
          <w:rFonts w:eastAsia="Calibri"/>
          <w:lang w:eastAsia="en-US"/>
        </w:rPr>
      </w:pPr>
      <w:r w:rsidRPr="00A4626E">
        <w:rPr>
          <w:rFonts w:eastAsia="Calibri"/>
          <w:lang w:eastAsia="en-US"/>
        </w:rPr>
        <w:t>2024 Loan Agreement between the Australian Government and the Government</w:t>
      </w:r>
      <w:r w:rsidR="0059402B">
        <w:rPr>
          <w:rFonts w:eastAsia="Calibri"/>
          <w:lang w:eastAsia="en-US"/>
        </w:rPr>
        <w:t> </w:t>
      </w:r>
      <w:r w:rsidRPr="00A4626E">
        <w:rPr>
          <w:rFonts w:eastAsia="Calibri"/>
          <w:lang w:eastAsia="en-US"/>
        </w:rPr>
        <w:t>of Papua New Guinea</w:t>
      </w:r>
    </w:p>
    <w:p w14:paraId="4D890408" w14:textId="425CF74B" w:rsidR="00513B24" w:rsidRDefault="00926E2B" w:rsidP="0099515E">
      <w:pPr>
        <w:shd w:val="clear" w:color="auto" w:fill="FFFFFF" w:themeFill="background1"/>
        <w:rPr>
          <w:rFonts w:eastAsia="Book Antiqua"/>
        </w:rPr>
      </w:pPr>
      <w:r w:rsidRPr="00A4626E">
        <w:rPr>
          <w:rFonts w:eastAsia="Book Antiqua"/>
        </w:rPr>
        <w:t>On 12 December 2024, the Australian Government entered into a loan agreement for A$570 million to the Government of Papua New Guinea (PNG). The loan was provided in response to a request from the PNG Government to support PNG to meet its estimated 2024 budget financing shortfall. The loan will also assist PNG in delivering economic reforms under the International Monetary Fund Extended Credit Facility and Extended Fund Facility Program.</w:t>
      </w:r>
    </w:p>
    <w:p w14:paraId="43A383C4" w14:textId="20AA2C26" w:rsidR="00017789" w:rsidRPr="0099515E" w:rsidRDefault="00017789" w:rsidP="008225A8">
      <w:pPr>
        <w:spacing w:before="0" w:after="160" w:line="259" w:lineRule="auto"/>
        <w:rPr>
          <w:rFonts w:eastAsia="Book Antiqua"/>
        </w:rPr>
      </w:pPr>
    </w:p>
    <w:sectPr w:rsidR="00017789" w:rsidRPr="0099515E" w:rsidSect="00C97C23">
      <w:headerReference w:type="even" r:id="rId31"/>
      <w:headerReference w:type="default" r:id="rId32"/>
      <w:footerReference w:type="even" r:id="rId33"/>
      <w:footerReference w:type="default" r:id="rId34"/>
      <w:headerReference w:type="first" r:id="rId35"/>
      <w:footerReference w:type="first" r:id="rId36"/>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F3B1" w14:textId="77777777" w:rsidR="000573B7" w:rsidRDefault="000573B7" w:rsidP="00E40261">
      <w:pPr>
        <w:spacing w:after="0" w:line="240" w:lineRule="auto"/>
      </w:pPr>
      <w:r>
        <w:separator/>
      </w:r>
    </w:p>
    <w:p w14:paraId="01C5A485" w14:textId="77777777" w:rsidR="000573B7" w:rsidRDefault="000573B7"/>
  </w:endnote>
  <w:endnote w:type="continuationSeparator" w:id="0">
    <w:p w14:paraId="7AA5E1F7" w14:textId="77777777" w:rsidR="000573B7" w:rsidRDefault="000573B7" w:rsidP="00E40261">
      <w:pPr>
        <w:spacing w:after="0" w:line="240" w:lineRule="auto"/>
      </w:pPr>
      <w:r>
        <w:continuationSeparator/>
      </w:r>
    </w:p>
    <w:p w14:paraId="48DABF36" w14:textId="77777777" w:rsidR="000573B7" w:rsidRDefault="000573B7"/>
  </w:endnote>
  <w:endnote w:type="continuationNotice" w:id="1">
    <w:p w14:paraId="3F03F80B" w14:textId="77777777" w:rsidR="000573B7" w:rsidRDefault="000573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FFFC" w14:textId="1F4D25E7" w:rsidR="0023618C" w:rsidRDefault="0023618C" w:rsidP="007B6B44">
    <w:pPr>
      <w:pStyle w:val="FooterEven"/>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F6FE" w14:textId="306D9845" w:rsidR="0023618C" w:rsidRPr="00A240DA" w:rsidRDefault="001B1CD7" w:rsidP="00E20FED">
    <w:r w:rsidRPr="005E792C">
      <w:rPr>
        <w:noProof/>
        <w:sz w:val="2"/>
        <w:szCs w:val="2"/>
      </w:rPr>
      <mc:AlternateContent>
        <mc:Choice Requires="wps">
          <w:drawing>
            <wp:anchor distT="0" distB="0" distL="114300" distR="114300" simplePos="0" relativeHeight="251658258" behindDoc="0" locked="0" layoutInCell="1" allowOverlap="1" wp14:anchorId="3B15CF9C" wp14:editId="0E374087">
              <wp:simplePos x="0" y="0"/>
              <wp:positionH relativeFrom="column">
                <wp:posOffset>-541020</wp:posOffset>
              </wp:positionH>
              <wp:positionV relativeFrom="margin">
                <wp:align>top</wp:align>
              </wp:positionV>
              <wp:extent cx="399600" cy="4896000"/>
              <wp:effectExtent l="0" t="0" r="635" b="0"/>
              <wp:wrapNone/>
              <wp:docPr id="163140625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0375966E" w14:textId="0DB60FFE" w:rsidR="001B1CD7" w:rsidRDefault="001B1CD7"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F113C9">
                            <w:fldChar w:fldCharType="begin"/>
                          </w:r>
                          <w:r w:rsidR="00F113C9">
                            <w:instrText xml:space="preserve"> SUBJECT   \* MERGEFORMAT </w:instrText>
                          </w:r>
                          <w:r w:rsidR="00F113C9">
                            <w:fldChar w:fldCharType="separate"/>
                          </w:r>
                          <w:r w:rsidR="0042292D">
                            <w:t>Statement 8: Statement of Risks</w:t>
                          </w:r>
                          <w:r w:rsidR="00F113C9">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5CF9C" id="_x0000_t202" coordsize="21600,21600" o:spt="202" path="m,l,21600r21600,l21600,xe">
              <v:stroke joinstyle="miter"/>
              <v:path gradientshapeok="t" o:connecttype="rect"/>
            </v:shapetype>
            <v:shape id="Text Box 7" o:spid="_x0000_s1046" type="#_x0000_t202" alt="Landscape Page Number" style="position:absolute;margin-left:-42.6pt;margin-top:0;width:31.45pt;height:385.5pt;z-index:25165825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EeT6CwLAgAA&#10;+gMAAA4AAAAAAAAAAAAAAAAALgIAAGRycy9lMm9Eb2MueG1sUEsBAi0AFAAGAAgAAAAhAMl+Tiff&#10;AAAACAEAAA8AAAAAAAAAAAAAAAAAZQQAAGRycy9kb3ducmV2LnhtbFBLBQYAAAAABAAEAPMAAABx&#10;BQAAAAA=&#10;" stroked="f">
              <v:textbox style="layout-flow:vertical" inset="0,0,0,0">
                <w:txbxContent>
                  <w:p w14:paraId="0375966E" w14:textId="0DB60FFE" w:rsidR="001B1CD7" w:rsidRDefault="001B1CD7"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F113C9">
                      <w:fldChar w:fldCharType="begin"/>
                    </w:r>
                    <w:r w:rsidR="00F113C9">
                      <w:instrText xml:space="preserve"> SUBJECT   \* MERGEFORMAT </w:instrText>
                    </w:r>
                    <w:r w:rsidR="00F113C9">
                      <w:fldChar w:fldCharType="separate"/>
                    </w:r>
                    <w:r w:rsidR="0042292D">
                      <w:t>Statement 8: Statement of Risks</w:t>
                    </w:r>
                    <w:r w:rsidR="00F113C9">
                      <w:fldChar w:fldCharType="end"/>
                    </w:r>
                  </w:p>
                </w:txbxContent>
              </v:textbox>
              <w10:wrap anchory="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85FF" w14:textId="3953118D" w:rsidR="0023618C" w:rsidRPr="00A240DA" w:rsidRDefault="0097304D" w:rsidP="00B163EF">
    <w:pPr>
      <w:tabs>
        <w:tab w:val="left" w:pos="4750"/>
      </w:tabs>
    </w:pPr>
    <w:r w:rsidRPr="005E792C">
      <w:rPr>
        <w:noProof/>
        <w:sz w:val="2"/>
        <w:szCs w:val="2"/>
      </w:rPr>
      <mc:AlternateContent>
        <mc:Choice Requires="wps">
          <w:drawing>
            <wp:anchor distT="0" distB="0" distL="114300" distR="114300" simplePos="0" relativeHeight="251658260" behindDoc="0" locked="1" layoutInCell="1" allowOverlap="1" wp14:anchorId="4936D557" wp14:editId="3D04823C">
              <wp:simplePos x="0" y="0"/>
              <wp:positionH relativeFrom="column">
                <wp:posOffset>-541020</wp:posOffset>
              </wp:positionH>
              <wp:positionV relativeFrom="margin">
                <wp:align>top</wp:align>
              </wp:positionV>
              <wp:extent cx="399600" cy="4896000"/>
              <wp:effectExtent l="0" t="0" r="635" b="0"/>
              <wp:wrapNone/>
              <wp:docPr id="1970035469"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579EB635" w14:textId="6360579E" w:rsidR="0097304D" w:rsidRDefault="00F113C9" w:rsidP="00447E2C">
                          <w:pPr>
                            <w:pStyle w:val="FooterOdd"/>
                          </w:pPr>
                          <w:r>
                            <w:fldChar w:fldCharType="begin"/>
                          </w:r>
                          <w:r>
                            <w:instrText xml:space="preserve"> SUBJECT   \* MERGEFORMAT </w:instrText>
                          </w:r>
                          <w:r>
                            <w:fldChar w:fldCharType="separate"/>
                          </w:r>
                          <w:r w:rsidR="0042292D">
                            <w:t>Statement 8: Statement of Risks</w:t>
                          </w:r>
                          <w:r>
                            <w:fldChar w:fldCharType="end"/>
                          </w:r>
                          <w:r w:rsidR="0097304D" w:rsidRPr="006B1B1F">
                            <w:t> </w:t>
                          </w:r>
                          <w:r w:rsidR="0097304D">
                            <w:t>|</w:t>
                          </w:r>
                          <w:r w:rsidR="0097304D" w:rsidRPr="006B1B1F">
                            <w:t> </w:t>
                          </w:r>
                          <w:r w:rsidR="0097304D" w:rsidRPr="00B3705D">
                            <w:rPr>
                              <w:b/>
                              <w:bCs/>
                            </w:rPr>
                            <w:t xml:space="preserve">Page </w:t>
                          </w:r>
                          <w:r w:rsidR="0097304D" w:rsidRPr="00B3705D">
                            <w:rPr>
                              <w:b/>
                              <w:bCs/>
                            </w:rPr>
                            <w:fldChar w:fldCharType="begin"/>
                          </w:r>
                          <w:r w:rsidR="0097304D" w:rsidRPr="00B3705D">
                            <w:rPr>
                              <w:b/>
                              <w:bCs/>
                            </w:rPr>
                            <w:instrText xml:space="preserve"> PAGE  \* Arabic  \* MERGEFORMAT </w:instrText>
                          </w:r>
                          <w:r w:rsidR="0097304D" w:rsidRPr="00B3705D">
                            <w:rPr>
                              <w:b/>
                              <w:bCs/>
                            </w:rPr>
                            <w:fldChar w:fldCharType="separate"/>
                          </w:r>
                          <w:r w:rsidR="0097304D">
                            <w:rPr>
                              <w:b/>
                              <w:bCs/>
                            </w:rPr>
                            <w:t>3</w:t>
                          </w:r>
                          <w:r w:rsidR="0097304D"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6D557" id="_x0000_t202" coordsize="21600,21600" o:spt="202" path="m,l,21600r21600,l21600,xe">
              <v:stroke joinstyle="miter"/>
              <v:path gradientshapeok="t" o:connecttype="rect"/>
            </v:shapetype>
            <v:shape id="_x0000_s1047" type="#_x0000_t202" alt="Landscape Page Number" style="position:absolute;margin-left:-42.6pt;margin-top:0;width:31.45pt;height:385.5pt;z-index:25165826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PRhQnkLAgAA&#10;+gMAAA4AAAAAAAAAAAAAAAAALgIAAGRycy9lMm9Eb2MueG1sUEsBAi0AFAAGAAgAAAAhAMl+Tiff&#10;AAAACAEAAA8AAAAAAAAAAAAAAAAAZQQAAGRycy9kb3ducmV2LnhtbFBLBQYAAAAABAAEAPMAAABx&#10;BQAAAAA=&#10;" stroked="f">
              <v:textbox style="layout-flow:vertical" inset="0,0,0,0">
                <w:txbxContent>
                  <w:p w14:paraId="579EB635" w14:textId="6360579E" w:rsidR="0097304D" w:rsidRDefault="00F113C9" w:rsidP="00447E2C">
                    <w:pPr>
                      <w:pStyle w:val="FooterOdd"/>
                    </w:pPr>
                    <w:r>
                      <w:fldChar w:fldCharType="begin"/>
                    </w:r>
                    <w:r>
                      <w:instrText xml:space="preserve"> SUBJECT   \* MERGEFORMAT </w:instrText>
                    </w:r>
                    <w:r>
                      <w:fldChar w:fldCharType="separate"/>
                    </w:r>
                    <w:r w:rsidR="0042292D">
                      <w:t>Statement 8: Statement of Risks</w:t>
                    </w:r>
                    <w:r>
                      <w:fldChar w:fldCharType="end"/>
                    </w:r>
                    <w:r w:rsidR="0097304D" w:rsidRPr="006B1B1F">
                      <w:t> </w:t>
                    </w:r>
                    <w:r w:rsidR="0097304D">
                      <w:t>|</w:t>
                    </w:r>
                    <w:r w:rsidR="0097304D" w:rsidRPr="006B1B1F">
                      <w:t> </w:t>
                    </w:r>
                    <w:r w:rsidR="0097304D" w:rsidRPr="00B3705D">
                      <w:rPr>
                        <w:b/>
                        <w:bCs/>
                      </w:rPr>
                      <w:t xml:space="preserve">Page </w:t>
                    </w:r>
                    <w:r w:rsidR="0097304D" w:rsidRPr="00B3705D">
                      <w:rPr>
                        <w:b/>
                        <w:bCs/>
                      </w:rPr>
                      <w:fldChar w:fldCharType="begin"/>
                    </w:r>
                    <w:r w:rsidR="0097304D" w:rsidRPr="00B3705D">
                      <w:rPr>
                        <w:b/>
                        <w:bCs/>
                      </w:rPr>
                      <w:instrText xml:space="preserve"> PAGE  \* Arabic  \* MERGEFORMAT </w:instrText>
                    </w:r>
                    <w:r w:rsidR="0097304D" w:rsidRPr="00B3705D">
                      <w:rPr>
                        <w:b/>
                        <w:bCs/>
                      </w:rPr>
                      <w:fldChar w:fldCharType="separate"/>
                    </w:r>
                    <w:r w:rsidR="0097304D">
                      <w:rPr>
                        <w:b/>
                        <w:bCs/>
                      </w:rPr>
                      <w:t>3</w:t>
                    </w:r>
                    <w:r w:rsidR="0097304D" w:rsidRPr="00B3705D">
                      <w:rPr>
                        <w:b/>
                        <w:bCs/>
                      </w:rPr>
                      <w:fldChar w:fldCharType="end"/>
                    </w:r>
                  </w:p>
                </w:txbxContent>
              </v:textbox>
              <w10:wrap anchory="margin"/>
              <w10:anchorlock/>
            </v:shape>
          </w:pict>
        </mc:Fallback>
      </mc:AlternateContent>
    </w:r>
    <w:r w:rsidR="00892F7B">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0F1A" w14:textId="08B06907" w:rsidR="0023618C" w:rsidRPr="00A240DA" w:rsidRDefault="006369BC">
    <w:pPr>
      <w:pStyle w:val="Footer"/>
    </w:pPr>
    <w:r>
      <w:rPr>
        <w:noProof/>
      </w:rPr>
      <mc:AlternateContent>
        <mc:Choice Requires="wps">
          <w:drawing>
            <wp:anchor distT="0" distB="0" distL="114300" distR="114300" simplePos="0" relativeHeight="251712700" behindDoc="0" locked="0" layoutInCell="1" allowOverlap="1" wp14:anchorId="6B80D258" wp14:editId="7EB4974B">
              <wp:simplePos x="0" y="0"/>
              <wp:positionH relativeFrom="column">
                <wp:posOffset>-1332230</wp:posOffset>
              </wp:positionH>
              <wp:positionV relativeFrom="paragraph">
                <wp:posOffset>-9575165</wp:posOffset>
              </wp:positionV>
              <wp:extent cx="1397000" cy="457200"/>
              <wp:effectExtent l="0" t="0" r="12700" b="19050"/>
              <wp:wrapThrough wrapText="bothSides">
                <wp:wrapPolygon edited="0">
                  <wp:start x="0" y="0"/>
                  <wp:lineTo x="0" y="21600"/>
                  <wp:lineTo x="21502" y="21600"/>
                  <wp:lineTo x="21502" y="0"/>
                  <wp:lineTo x="0" y="0"/>
                </wp:wrapPolygon>
              </wp:wrapThrough>
              <wp:docPr id="520778825"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9367E77" w14:textId="77777777" w:rsidR="006369BC" w:rsidRDefault="006369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80D258" id="_x0000_t202" coordsize="21600,21600" o:spt="202" path="m,l,21600r21600,l21600,xe">
              <v:stroke joinstyle="miter"/>
              <v:path gradientshapeok="t" o:connecttype="rect"/>
            </v:shapetype>
            <v:shape id="Text Box 23" o:spid="_x0000_s1057" type="#_x0000_t202" alt="&quot;&quot;" style="position:absolute;left:0;text-align:left;margin-left:-104.9pt;margin-top:-753.95pt;width:110pt;height:36pt;z-index:2517127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mmLAIAAFwEAAAOAAAAZHJzL2Uyb0RvYy54bWysVFtv2yAUfp+0/4B4X+w0a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" filled="f" strokeweight=".5pt">
              <v:textbox>
                <w:txbxContent>
                  <w:p w14:paraId="19367E77" w14:textId="77777777" w:rsidR="006369BC" w:rsidRDefault="006369BC"/>
                </w:txbxContent>
              </v:textbox>
              <w10:wrap type="through"/>
            </v:shape>
          </w:pict>
        </mc:Fallback>
      </mc:AlternateContent>
    </w:r>
    <w:r w:rsidR="00270FCD">
      <w:rPr>
        <w:noProof/>
      </w:rPr>
      <mc:AlternateContent>
        <mc:Choice Requires="wps">
          <w:drawing>
            <wp:anchor distT="0" distB="0" distL="114300" distR="114300" simplePos="0" relativeHeight="251681980" behindDoc="0" locked="0" layoutInCell="1" allowOverlap="1" wp14:anchorId="6097BEA4" wp14:editId="64D49227">
              <wp:simplePos x="0" y="0"/>
              <wp:positionH relativeFrom="column">
                <wp:posOffset>-1332230</wp:posOffset>
              </wp:positionH>
              <wp:positionV relativeFrom="paragraph">
                <wp:posOffset>-9575165</wp:posOffset>
              </wp:positionV>
              <wp:extent cx="1397000" cy="457200"/>
              <wp:effectExtent l="0" t="0" r="12700" b="19050"/>
              <wp:wrapThrough wrapText="bothSides">
                <wp:wrapPolygon edited="0">
                  <wp:start x="0" y="0"/>
                  <wp:lineTo x="0" y="21600"/>
                  <wp:lineTo x="21502" y="21600"/>
                  <wp:lineTo x="21502" y="0"/>
                  <wp:lineTo x="0" y="0"/>
                </wp:wrapPolygon>
              </wp:wrapThrough>
              <wp:docPr id="2141191141"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88B6756" w14:textId="77777777" w:rsidR="00270FCD" w:rsidRDefault="00270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97BEA4" id="_x0000_s1058" type="#_x0000_t202" alt="&quot;&quot;" style="position:absolute;left:0;text-align:left;margin-left:-104.9pt;margin-top:-753.95pt;width:110pt;height:36pt;z-index:2516819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gC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" filled="f" strokeweight=".5pt">
              <v:textbox>
                <w:txbxContent>
                  <w:p w14:paraId="188B6756" w14:textId="77777777" w:rsidR="00270FCD" w:rsidRDefault="00270FCD"/>
                </w:txbxContent>
              </v:textbox>
              <w10:wrap type="through"/>
            </v:shape>
          </w:pict>
        </mc:Fallback>
      </mc:AlternateContent>
    </w:r>
    <w:r w:rsidR="009D76DC">
      <w:rPr>
        <w:noProof/>
      </w:rPr>
      <mc:AlternateContent>
        <mc:Choice Requires="wps">
          <w:drawing>
            <wp:anchor distT="0" distB="0" distL="114300" distR="114300" simplePos="0" relativeHeight="251658421" behindDoc="0" locked="0" layoutInCell="1" allowOverlap="1" wp14:anchorId="1BBFC2B0" wp14:editId="49F7D089">
              <wp:simplePos x="0" y="0"/>
              <wp:positionH relativeFrom="column">
                <wp:posOffset>-1332230</wp:posOffset>
              </wp:positionH>
              <wp:positionV relativeFrom="paragraph">
                <wp:posOffset>-9575165</wp:posOffset>
              </wp:positionV>
              <wp:extent cx="1397000" cy="457200"/>
              <wp:effectExtent l="0" t="0" r="12700" b="19050"/>
              <wp:wrapThrough wrapText="bothSides">
                <wp:wrapPolygon edited="0">
                  <wp:start x="0" y="0"/>
                  <wp:lineTo x="0" y="21600"/>
                  <wp:lineTo x="21502" y="21600"/>
                  <wp:lineTo x="21502" y="0"/>
                  <wp:lineTo x="0" y="0"/>
                </wp:wrapPolygon>
              </wp:wrapThrough>
              <wp:docPr id="1619923059" name="Text Box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BD7DBBB" w14:textId="77777777" w:rsidR="009D76DC" w:rsidRDefault="009D76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BFC2B0" id="Text Box 53" o:spid="_x0000_s1059" type="#_x0000_t202" alt="&quot;&quot;" style="position:absolute;left:0;text-align:left;margin-left:-104.9pt;margin-top:-753.95pt;width:110pt;height:36pt;z-index:2516584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0fXLQIAAFw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" filled="f" strokeweight=".5pt">
              <v:textbox>
                <w:txbxContent>
                  <w:p w14:paraId="1BD7DBBB" w14:textId="77777777" w:rsidR="009D76DC" w:rsidRDefault="009D76DC"/>
                </w:txbxContent>
              </v:textbox>
              <w10:wrap type="through"/>
            </v:shape>
          </w:pict>
        </mc:Fallback>
      </mc:AlternateContent>
    </w:r>
    <w:r w:rsidR="00493964">
      <w:rPr>
        <w:noProof/>
      </w:rPr>
      <mc:AlternateContent>
        <mc:Choice Requires="wps">
          <w:drawing>
            <wp:anchor distT="0" distB="0" distL="114300" distR="114300" simplePos="0" relativeHeight="251658392" behindDoc="0" locked="0" layoutInCell="1" allowOverlap="1" wp14:anchorId="3FBA75D2" wp14:editId="430806F7">
              <wp:simplePos x="0" y="0"/>
              <wp:positionH relativeFrom="column">
                <wp:posOffset>-1332230</wp:posOffset>
              </wp:positionH>
              <wp:positionV relativeFrom="paragraph">
                <wp:posOffset>-9575165</wp:posOffset>
              </wp:positionV>
              <wp:extent cx="1397000" cy="457200"/>
              <wp:effectExtent l="0" t="0" r="12700" b="19050"/>
              <wp:wrapThrough wrapText="bothSides">
                <wp:wrapPolygon edited="0">
                  <wp:start x="0" y="0"/>
                  <wp:lineTo x="0" y="21600"/>
                  <wp:lineTo x="21502" y="21600"/>
                  <wp:lineTo x="21502" y="0"/>
                  <wp:lineTo x="0" y="0"/>
                </wp:wrapPolygon>
              </wp:wrapThrough>
              <wp:docPr id="1487127848"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AB004E" w14:textId="77777777" w:rsidR="00493964" w:rsidRDefault="00493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BA75D2" id="_x0000_s1060" type="#_x0000_t202" alt="&quot;&quot;" style="position:absolute;left:0;text-align:left;margin-left:-104.9pt;margin-top:-753.95pt;width:110pt;height:36pt;z-index:251658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qQLQIAAFw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" filled="f" strokeweight=".5pt">
              <v:textbox>
                <w:txbxContent>
                  <w:p w14:paraId="5AAB004E" w14:textId="77777777" w:rsidR="00493964" w:rsidRDefault="00493964"/>
                </w:txbxContent>
              </v:textbox>
              <w10:wrap type="through"/>
            </v:shape>
          </w:pict>
        </mc:Fallback>
      </mc:AlternateContent>
    </w:r>
    <w:r w:rsidR="00B478B5">
      <w:rPr>
        <w:noProof/>
      </w:rPr>
      <mc:AlternateContent>
        <mc:Choice Requires="wps">
          <w:drawing>
            <wp:anchor distT="0" distB="0" distL="114300" distR="114300" simplePos="0" relativeHeight="251658363" behindDoc="0" locked="0" layoutInCell="1" allowOverlap="1" wp14:anchorId="04D18B8B" wp14:editId="25FFFA7D">
              <wp:simplePos x="0" y="0"/>
              <wp:positionH relativeFrom="column">
                <wp:posOffset>-1332230</wp:posOffset>
              </wp:positionH>
              <wp:positionV relativeFrom="paragraph">
                <wp:posOffset>-9575165</wp:posOffset>
              </wp:positionV>
              <wp:extent cx="1397000" cy="457200"/>
              <wp:effectExtent l="0" t="0" r="12700" b="19050"/>
              <wp:wrapThrough wrapText="bothSides">
                <wp:wrapPolygon edited="0">
                  <wp:start x="0" y="0"/>
                  <wp:lineTo x="0" y="21600"/>
                  <wp:lineTo x="21502" y="21600"/>
                  <wp:lineTo x="21502" y="0"/>
                  <wp:lineTo x="0" y="0"/>
                </wp:wrapPolygon>
              </wp:wrapThrough>
              <wp:docPr id="1492942997" name="Text Box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CB5FC17" w14:textId="77777777" w:rsidR="00B478B5" w:rsidRDefault="00B47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D18B8B" id="_x0000_s1061" type="#_x0000_t202" alt="&quot;&quot;" style="position:absolute;left:0;text-align:left;margin-left:-104.9pt;margin-top:-753.95pt;width:110pt;height:36pt;z-index:2516583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" filled="f" strokeweight=".5pt">
              <v:textbox>
                <w:txbxContent>
                  <w:p w14:paraId="5CB5FC17" w14:textId="77777777" w:rsidR="00B478B5" w:rsidRDefault="00B478B5"/>
                </w:txbxContent>
              </v:textbox>
              <w10:wrap type="through"/>
            </v:shape>
          </w:pict>
        </mc:Fallback>
      </mc:AlternateContent>
    </w:r>
    <w:r w:rsidR="00F954D1">
      <w:rPr>
        <w:noProof/>
      </w:rPr>
      <mc:AlternateContent>
        <mc:Choice Requires="wps">
          <w:drawing>
            <wp:anchor distT="0" distB="0" distL="114300" distR="114300" simplePos="0" relativeHeight="251658333" behindDoc="0" locked="0" layoutInCell="1" allowOverlap="1" wp14:anchorId="79EA0603" wp14:editId="68394F32">
              <wp:simplePos x="0" y="0"/>
              <wp:positionH relativeFrom="column">
                <wp:posOffset>-1332230</wp:posOffset>
              </wp:positionH>
              <wp:positionV relativeFrom="paragraph">
                <wp:posOffset>-9575165</wp:posOffset>
              </wp:positionV>
              <wp:extent cx="1397000" cy="457200"/>
              <wp:effectExtent l="0" t="0" r="12700" b="19050"/>
              <wp:wrapNone/>
              <wp:docPr id="63374975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1FCB3E5" w14:textId="77777777" w:rsidR="00F954D1" w:rsidRDefault="00F954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EA0603" id="_x0000_s1062" type="#_x0000_t202" alt="&quot;&quot;" style="position:absolute;left:0;text-align:left;margin-left:-104.9pt;margin-top:-753.95pt;width:110pt;height:36pt;z-index:2516583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" filled="f" strokeweight=".5pt">
              <v:textbox>
                <w:txbxContent>
                  <w:p w14:paraId="31FCB3E5" w14:textId="77777777" w:rsidR="00F954D1" w:rsidRDefault="00F954D1"/>
                </w:txbxContent>
              </v:textbox>
            </v:shape>
          </w:pict>
        </mc:Fallback>
      </mc:AlternateContent>
    </w:r>
    <w:r w:rsidR="00C6018D">
      <w:rPr>
        <w:noProof/>
      </w:rPr>
      <mc:AlternateContent>
        <mc:Choice Requires="wps">
          <w:drawing>
            <wp:anchor distT="0" distB="0" distL="114300" distR="114300" simplePos="0" relativeHeight="251658283" behindDoc="0" locked="0" layoutInCell="1" allowOverlap="1" wp14:anchorId="71E8FE12" wp14:editId="054CFAE5">
              <wp:simplePos x="0" y="0"/>
              <wp:positionH relativeFrom="column">
                <wp:posOffset>-1332230</wp:posOffset>
              </wp:positionH>
              <wp:positionV relativeFrom="paragraph">
                <wp:posOffset>-9575165</wp:posOffset>
              </wp:positionV>
              <wp:extent cx="1397000" cy="457200"/>
              <wp:effectExtent l="0" t="0" r="12700" b="19050"/>
              <wp:wrapNone/>
              <wp:docPr id="1511534872"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738F8F5" w14:textId="77777777" w:rsidR="00C6018D" w:rsidRDefault="00C60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E8FE12" id="_x0000_s1063" type="#_x0000_t202" alt="&quot;&quot;" style="position:absolute;left:0;text-align:left;margin-left:-104.9pt;margin-top:-753.95pt;width:110pt;height:36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" filled="f" strokeweight=".5pt">
              <v:textbox>
                <w:txbxContent>
                  <w:p w14:paraId="0738F8F5" w14:textId="77777777" w:rsidR="00C6018D" w:rsidRDefault="00C6018D"/>
                </w:txbxContent>
              </v:textbox>
            </v:shape>
          </w:pict>
        </mc:Fallback>
      </mc:AlternateContent>
    </w:r>
    <w:r w:rsidR="00DD7443">
      <w:rPr>
        <w:noProof/>
      </w:rPr>
      <mc:AlternateContent>
        <mc:Choice Requires="wps">
          <w:drawing>
            <wp:anchor distT="0" distB="0" distL="114300" distR="114300" simplePos="0" relativeHeight="251658272" behindDoc="0" locked="0" layoutInCell="1" allowOverlap="1" wp14:anchorId="1E02844D" wp14:editId="7EE07DF4">
              <wp:simplePos x="0" y="0"/>
              <wp:positionH relativeFrom="column">
                <wp:posOffset>-1332230</wp:posOffset>
              </wp:positionH>
              <wp:positionV relativeFrom="paragraph">
                <wp:posOffset>-9575165</wp:posOffset>
              </wp:positionV>
              <wp:extent cx="1397000" cy="457200"/>
              <wp:effectExtent l="0" t="0" r="12700" b="19050"/>
              <wp:wrapThrough wrapText="bothSides">
                <wp:wrapPolygon edited="0">
                  <wp:start x="0" y="0"/>
                  <wp:lineTo x="0" y="21600"/>
                  <wp:lineTo x="21502" y="21600"/>
                  <wp:lineTo x="21502" y="0"/>
                  <wp:lineTo x="0" y="0"/>
                </wp:wrapPolygon>
              </wp:wrapThrough>
              <wp:docPr id="1730759866" name="Text Box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D6D962E" w14:textId="77777777" w:rsidR="00DD7443" w:rsidRDefault="00DD7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2844D" id="Text Box 51" o:spid="_x0000_s1064" type="#_x0000_t202" alt="&quot;&quot;" style="position:absolute;left:0;text-align:left;margin-left:-104.9pt;margin-top:-753.95pt;width:110pt;height:36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" filled="f" strokeweight=".5pt">
              <v:textbox>
                <w:txbxContent>
                  <w:p w14:paraId="6D6D962E" w14:textId="77777777" w:rsidR="00DD7443" w:rsidRDefault="00DD7443"/>
                </w:txbxContent>
              </v:textbox>
              <w10:wrap type="through"/>
            </v:shape>
          </w:pict>
        </mc:Fallback>
      </mc:AlternateContent>
    </w:r>
    <w:r w:rsidR="00DD257B">
      <w:rPr>
        <w:noProof/>
      </w:rPr>
      <mc:AlternateContent>
        <mc:Choice Requires="wps">
          <w:drawing>
            <wp:anchor distT="0" distB="0" distL="114300" distR="114300" simplePos="0" relativeHeight="251658268" behindDoc="0" locked="0" layoutInCell="1" allowOverlap="1" wp14:anchorId="17D7D59F" wp14:editId="1BBEB989">
              <wp:simplePos x="0" y="0"/>
              <wp:positionH relativeFrom="column">
                <wp:posOffset>-1332230</wp:posOffset>
              </wp:positionH>
              <wp:positionV relativeFrom="paragraph">
                <wp:posOffset>-9575165</wp:posOffset>
              </wp:positionV>
              <wp:extent cx="1397000" cy="457200"/>
              <wp:effectExtent l="0" t="0" r="12700" b="19050"/>
              <wp:wrapThrough wrapText="bothSides">
                <wp:wrapPolygon edited="0">
                  <wp:start x="0" y="0"/>
                  <wp:lineTo x="0" y="21600"/>
                  <wp:lineTo x="21502" y="21600"/>
                  <wp:lineTo x="21502" y="0"/>
                  <wp:lineTo x="0" y="0"/>
                </wp:wrapPolygon>
              </wp:wrapThrough>
              <wp:docPr id="1548286893"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727C620" w14:textId="77777777" w:rsidR="00DD257B" w:rsidRDefault="00DD25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D7D59F" id="Text Box 22" o:spid="_x0000_s1065" type="#_x0000_t202" alt="&quot;&quot;" style="position:absolute;left:0;text-align:left;margin-left:-104.9pt;margin-top:-753.95pt;width:110pt;height:36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" filled="f" strokeweight=".5pt">
              <v:textbox>
                <w:txbxContent>
                  <w:p w14:paraId="4727C620" w14:textId="77777777" w:rsidR="00DD257B" w:rsidRDefault="00DD257B"/>
                </w:txbxContent>
              </v:textbox>
              <w10:wrap type="through"/>
            </v:shape>
          </w:pict>
        </mc:Fallback>
      </mc:AlternateContent>
    </w:r>
    <w:r w:rsidR="0023618C">
      <w:rPr>
        <w:noProof/>
      </w:rPr>
      <mc:AlternateContent>
        <mc:Choice Requires="wps">
          <w:drawing>
            <wp:anchor distT="0" distB="0" distL="114300" distR="114300" simplePos="0" relativeHeight="251658241" behindDoc="0" locked="0" layoutInCell="1" allowOverlap="1" wp14:anchorId="2425900F" wp14:editId="72B9DF8C">
              <wp:simplePos x="0" y="0"/>
              <wp:positionH relativeFrom="leftMargin">
                <wp:posOffset>0</wp:posOffset>
              </wp:positionH>
              <wp:positionV relativeFrom="page">
                <wp:posOffset>1324708</wp:posOffset>
              </wp:positionV>
              <wp:extent cx="943200" cy="4865077"/>
              <wp:effectExtent l="0" t="0" r="9525" b="0"/>
              <wp:wrapNone/>
              <wp:docPr id="117" name="Text Box 117"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00" cy="4865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54BE1" w14:textId="033879DF" w:rsidR="0023618C" w:rsidRDefault="00F113C9">
                          <w:pPr>
                            <w:pStyle w:val="Footer"/>
                            <w:tabs>
                              <w:tab w:val="right" w:pos="7711"/>
                            </w:tabs>
                          </w:pPr>
                          <w:r>
                            <w:fldChar w:fldCharType="begin"/>
                          </w:r>
                          <w:r>
                            <w:instrText>FILENAME  \* MERGEFORMAT</w:instrText>
                          </w:r>
                          <w:r>
                            <w:fldChar w:fldCharType="separate"/>
                          </w:r>
                          <w:r w:rsidR="0042292D">
                            <w:rPr>
                              <w:noProof/>
                            </w:rPr>
                            <w:t>08_BP1_BS8.docx</w:t>
                          </w:r>
                          <w:r>
                            <w:rPr>
                              <w:noProof/>
                            </w:rPr>
                            <w:fldChar w:fldCharType="end"/>
                          </w:r>
                          <w:r w:rsidR="0023618C">
                            <w:tab/>
                            <w:t xml:space="preserve">Printed:  </w:t>
                          </w:r>
                          <w:r w:rsidR="0023618C">
                            <w:fldChar w:fldCharType="begin"/>
                          </w:r>
                          <w:r w:rsidR="0023618C">
                            <w:instrText xml:space="preserve"> PRINTDATE \@ "d/MM/yy HH:mm:ss" \* MERGEFORMAT </w:instrText>
                          </w:r>
                          <w:r w:rsidR="0023618C">
                            <w:fldChar w:fldCharType="separate"/>
                          </w:r>
                          <w:r w:rsidR="0042292D">
                            <w:rPr>
                              <w:noProof/>
                            </w:rPr>
                            <w:t>23/03/25 14:46:00</w:t>
                          </w:r>
                          <w:r w:rsidR="0023618C">
                            <w:rPr>
                              <w:noProof/>
                            </w:rPr>
                            <w:fldChar w:fldCharType="end"/>
                          </w:r>
                        </w:p>
                        <w:p w14:paraId="085CC125" w14:textId="77777777" w:rsidR="0023618C" w:rsidRPr="00137C7E" w:rsidRDefault="0023618C">
                          <w:pPr>
                            <w:rPr>
                              <w:i/>
                            </w:rPr>
                          </w:pPr>
                          <w:r>
                            <w:t xml:space="preserve">: </w:t>
                          </w:r>
                          <w:r>
                            <w:br/>
                            <w:t>Sensitive: Cabinet</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900F" id="Text Box 117" o:spid="_x0000_s1066" type="#_x0000_t202" alt="Landscape Classification Footer" style="position:absolute;left:0;text-align:left;margin-left:0;margin-top:104.3pt;width:74.25pt;height:383.1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" stroked="f">
              <v:textbox style="layout-flow:vertical">
                <w:txbxContent>
                  <w:p w14:paraId="48A54BE1" w14:textId="033879DF" w:rsidR="0023618C" w:rsidRDefault="00F113C9">
                    <w:pPr>
                      <w:pStyle w:val="Footer"/>
                      <w:tabs>
                        <w:tab w:val="right" w:pos="7711"/>
                      </w:tabs>
                    </w:pPr>
                    <w:r>
                      <w:fldChar w:fldCharType="begin"/>
                    </w:r>
                    <w:r>
                      <w:instrText>FILENAME  \* MERGEFORMAT</w:instrText>
                    </w:r>
                    <w:r>
                      <w:fldChar w:fldCharType="separate"/>
                    </w:r>
                    <w:r w:rsidR="0042292D">
                      <w:rPr>
                        <w:noProof/>
                      </w:rPr>
                      <w:t>08_BP1_BS8.docx</w:t>
                    </w:r>
                    <w:r>
                      <w:rPr>
                        <w:noProof/>
                      </w:rPr>
                      <w:fldChar w:fldCharType="end"/>
                    </w:r>
                    <w:r w:rsidR="0023618C">
                      <w:tab/>
                      <w:t xml:space="preserve">Printed:  </w:t>
                    </w:r>
                    <w:r w:rsidR="0023618C">
                      <w:fldChar w:fldCharType="begin"/>
                    </w:r>
                    <w:r w:rsidR="0023618C">
                      <w:instrText xml:space="preserve"> PRINTDATE \@ "d/MM/yy HH:mm:ss" \* MERGEFORMAT </w:instrText>
                    </w:r>
                    <w:r w:rsidR="0023618C">
                      <w:fldChar w:fldCharType="separate"/>
                    </w:r>
                    <w:r w:rsidR="0042292D">
                      <w:rPr>
                        <w:noProof/>
                      </w:rPr>
                      <w:t>23/03/25 14:46:00</w:t>
                    </w:r>
                    <w:r w:rsidR="0023618C">
                      <w:rPr>
                        <w:noProof/>
                      </w:rPr>
                      <w:fldChar w:fldCharType="end"/>
                    </w:r>
                  </w:p>
                  <w:p w14:paraId="085CC125" w14:textId="77777777" w:rsidR="0023618C" w:rsidRPr="00137C7E" w:rsidRDefault="0023618C">
                    <w:pPr>
                      <w:rPr>
                        <w:i/>
                      </w:rPr>
                    </w:pPr>
                    <w:r>
                      <w:t xml:space="preserve">: </w:t>
                    </w:r>
                    <w:r>
                      <w:br/>
                      <w:t>Sensitive: Cabinet</w:t>
                    </w:r>
                  </w:p>
                </w:txbxContent>
              </v:textbox>
              <w10:wrap anchorx="margin"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B999" w14:textId="51C8CBA1" w:rsidR="00FC0F6C" w:rsidRDefault="001B1CD7"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F113C9">
      <w:fldChar w:fldCharType="begin"/>
    </w:r>
    <w:r w:rsidR="00F113C9">
      <w:instrText xml:space="preserve"> SUBJECT   \* MERGEFORMAT </w:instrText>
    </w:r>
    <w:r w:rsidR="00F113C9">
      <w:fldChar w:fldCharType="separate"/>
    </w:r>
    <w:r w:rsidR="0042292D">
      <w:t>Statement 8: Statement of Risks</w:t>
    </w:r>
    <w:r w:rsidR="00F113C9">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A5AB" w14:textId="5D1259C2" w:rsidR="001B1CD7" w:rsidRDefault="00F113C9" w:rsidP="00360947">
    <w:pPr>
      <w:pStyle w:val="FooterOdd"/>
    </w:pPr>
    <w:r>
      <w:fldChar w:fldCharType="begin"/>
    </w:r>
    <w:r>
      <w:instrText xml:space="preserve"> SUBJECT   \* MERGEFORMAT </w:instrText>
    </w:r>
    <w:r>
      <w:fldChar w:fldCharType="separate"/>
    </w:r>
    <w:r w:rsidR="0042292D">
      <w:t>Statement 8: Statement of Risks</w:t>
    </w:r>
    <w:r>
      <w:fldChar w:fldCharType="end"/>
    </w:r>
    <w:r w:rsidR="001B1CD7" w:rsidRPr="00081542">
      <w:t> | </w:t>
    </w:r>
    <w:r w:rsidR="001B1CD7" w:rsidRPr="00B3705D">
      <w:rPr>
        <w:b/>
        <w:bCs/>
      </w:rPr>
      <w:t xml:space="preserve">Page </w:t>
    </w:r>
    <w:r w:rsidR="001B1CD7" w:rsidRPr="00B3705D">
      <w:rPr>
        <w:b/>
        <w:bCs/>
      </w:rPr>
      <w:fldChar w:fldCharType="begin"/>
    </w:r>
    <w:r w:rsidR="001B1CD7" w:rsidRPr="00B3705D">
      <w:rPr>
        <w:b/>
        <w:bCs/>
      </w:rPr>
      <w:instrText xml:space="preserve"> PAGE  \* Arabic  \* MERGEFORMAT </w:instrText>
    </w:r>
    <w:r w:rsidR="001B1CD7" w:rsidRPr="00B3705D">
      <w:rPr>
        <w:b/>
        <w:bCs/>
      </w:rPr>
      <w:fldChar w:fldCharType="separate"/>
    </w:r>
    <w:r w:rsidR="001B1CD7">
      <w:rPr>
        <w:b/>
        <w:bCs/>
      </w:rPr>
      <w:t>1</w:t>
    </w:r>
    <w:r w:rsidR="001B1CD7" w:rsidRPr="00B3705D">
      <w:rPr>
        <w:b/>
        <w:bCs/>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64C" w14:textId="21CE50B6" w:rsidR="0097304D" w:rsidRDefault="00F113C9" w:rsidP="003F5D46">
    <w:pPr>
      <w:pStyle w:val="FooterOdd"/>
    </w:pPr>
    <w:r>
      <w:fldChar w:fldCharType="begin"/>
    </w:r>
    <w:r>
      <w:instrText xml:space="preserve"> SUBJECT   \* MERGEFORMAT </w:instrText>
    </w:r>
    <w:r>
      <w:fldChar w:fldCharType="separate"/>
    </w:r>
    <w:r w:rsidR="0042292D">
      <w:t>Statement 8: Statement of Risks</w:t>
    </w:r>
    <w:r>
      <w:fldChar w:fldCharType="end"/>
    </w:r>
    <w:r w:rsidR="0019417E" w:rsidRPr="00081542">
      <w:t> | </w:t>
    </w:r>
    <w:r w:rsidR="0019417E" w:rsidRPr="00B3705D">
      <w:rPr>
        <w:b/>
        <w:bCs/>
      </w:rPr>
      <w:t xml:space="preserve">Page </w:t>
    </w:r>
    <w:r w:rsidR="0019417E" w:rsidRPr="00B3705D">
      <w:rPr>
        <w:b/>
        <w:bCs/>
      </w:rPr>
      <w:fldChar w:fldCharType="begin"/>
    </w:r>
    <w:r w:rsidR="0019417E" w:rsidRPr="00B3705D">
      <w:rPr>
        <w:b/>
        <w:bCs/>
      </w:rPr>
      <w:instrText xml:space="preserve"> PAGE  \* Arabic  \* MERGEFORMAT </w:instrText>
    </w:r>
    <w:r w:rsidR="0019417E" w:rsidRPr="00B3705D">
      <w:rPr>
        <w:b/>
        <w:bCs/>
      </w:rPr>
      <w:fldChar w:fldCharType="separate"/>
    </w:r>
    <w:r w:rsidR="0019417E">
      <w:rPr>
        <w:b/>
        <w:bCs/>
      </w:rPr>
      <w:t>1</w:t>
    </w:r>
    <w:r w:rsidR="0019417E" w:rsidRPr="00B3705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A218" w14:textId="73EBC0A5" w:rsidR="0023618C" w:rsidRDefault="006369BC">
    <w:pPr>
      <w:pStyle w:val="Footer"/>
    </w:pPr>
    <w:r>
      <w:rPr>
        <w:noProof/>
      </w:rPr>
      <mc:AlternateContent>
        <mc:Choice Requires="wps">
          <w:drawing>
            <wp:anchor distT="0" distB="0" distL="114300" distR="114300" simplePos="0" relativeHeight="251693244" behindDoc="0" locked="0" layoutInCell="1" allowOverlap="1" wp14:anchorId="2CC649C2" wp14:editId="11550870">
              <wp:simplePos x="0" y="0"/>
              <wp:positionH relativeFrom="column">
                <wp:posOffset>-1565910</wp:posOffset>
              </wp:positionH>
              <wp:positionV relativeFrom="paragraph">
                <wp:posOffset>-6262370</wp:posOffset>
              </wp:positionV>
              <wp:extent cx="1397000" cy="457200"/>
              <wp:effectExtent l="0" t="0" r="12700" b="19050"/>
              <wp:wrapThrough wrapText="bothSides">
                <wp:wrapPolygon edited="0">
                  <wp:start x="0" y="0"/>
                  <wp:lineTo x="0" y="21600"/>
                  <wp:lineTo x="21502" y="21600"/>
                  <wp:lineTo x="21502" y="0"/>
                  <wp:lineTo x="0" y="0"/>
                </wp:wrapPolygon>
              </wp:wrapThrough>
              <wp:docPr id="1656122909"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C55A656" w14:textId="77777777" w:rsidR="006369BC" w:rsidRDefault="006369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C649C2" id="_x0000_t202" coordsize="21600,21600" o:spt="202" path="m,l,21600r21600,l21600,xe">
              <v:stroke joinstyle="miter"/>
              <v:path gradientshapeok="t" o:connecttype="rect"/>
            </v:shapetype>
            <v:shape id="Text Box 4" o:spid="_x0000_s1035" type="#_x0000_t202" alt="&quot;&quot;" style="position:absolute;left:0;text-align:left;margin-left:-123.3pt;margin-top:-493.1pt;width:110pt;height:36pt;z-index:251693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a1LAIAAFs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" filled="f" strokeweight=".5pt">
              <v:textbox>
                <w:txbxContent>
                  <w:p w14:paraId="2C55A656" w14:textId="77777777" w:rsidR="006369BC" w:rsidRDefault="006369BC"/>
                </w:txbxContent>
              </v:textbox>
              <w10:wrap type="through"/>
            </v:shape>
          </w:pict>
        </mc:Fallback>
      </mc:AlternateContent>
    </w:r>
    <w:r w:rsidR="00270FCD">
      <w:rPr>
        <w:noProof/>
      </w:rPr>
      <mc:AlternateContent>
        <mc:Choice Requires="wps">
          <w:drawing>
            <wp:anchor distT="0" distB="0" distL="114300" distR="114300" simplePos="0" relativeHeight="251662524" behindDoc="0" locked="0" layoutInCell="1" allowOverlap="1" wp14:anchorId="57AE42BB" wp14:editId="195A5550">
              <wp:simplePos x="0" y="0"/>
              <wp:positionH relativeFrom="column">
                <wp:posOffset>-1565910</wp:posOffset>
              </wp:positionH>
              <wp:positionV relativeFrom="paragraph">
                <wp:posOffset>-6262370</wp:posOffset>
              </wp:positionV>
              <wp:extent cx="1397000" cy="457200"/>
              <wp:effectExtent l="0" t="0" r="12700" b="19050"/>
              <wp:wrapThrough wrapText="bothSides">
                <wp:wrapPolygon edited="0">
                  <wp:start x="0" y="0"/>
                  <wp:lineTo x="0" y="21600"/>
                  <wp:lineTo x="21502" y="21600"/>
                  <wp:lineTo x="21502" y="0"/>
                  <wp:lineTo x="0" y="0"/>
                </wp:wrapPolygon>
              </wp:wrapThrough>
              <wp:docPr id="1990831363"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9B7F885" w14:textId="77777777" w:rsidR="00270FCD" w:rsidRDefault="00270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AE42BB" id="_x0000_s1036" type="#_x0000_t202" alt="&quot;&quot;" style="position:absolute;left:0;text-align:left;margin-left:-123.3pt;margin-top:-493.1pt;width:110pt;height:36pt;z-index:2516625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ko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" filled="f" strokeweight=".5pt">
              <v:textbox>
                <w:txbxContent>
                  <w:p w14:paraId="39B7F885" w14:textId="77777777" w:rsidR="00270FCD" w:rsidRDefault="00270FCD"/>
                </w:txbxContent>
              </v:textbox>
              <w10:wrap type="through"/>
            </v:shape>
          </w:pict>
        </mc:Fallback>
      </mc:AlternateContent>
    </w:r>
    <w:r w:rsidR="009D76DC">
      <w:rPr>
        <w:noProof/>
      </w:rPr>
      <mc:AlternateContent>
        <mc:Choice Requires="wps">
          <w:drawing>
            <wp:anchor distT="0" distB="0" distL="114300" distR="114300" simplePos="0" relativeHeight="251658403" behindDoc="0" locked="0" layoutInCell="1" allowOverlap="1" wp14:anchorId="5CB873CD" wp14:editId="39878DF1">
              <wp:simplePos x="0" y="0"/>
              <wp:positionH relativeFrom="column">
                <wp:posOffset>-1565910</wp:posOffset>
              </wp:positionH>
              <wp:positionV relativeFrom="paragraph">
                <wp:posOffset>-6262370</wp:posOffset>
              </wp:positionV>
              <wp:extent cx="1397000" cy="457200"/>
              <wp:effectExtent l="0" t="0" r="12700" b="19050"/>
              <wp:wrapThrough wrapText="bothSides">
                <wp:wrapPolygon edited="0">
                  <wp:start x="0" y="0"/>
                  <wp:lineTo x="0" y="21600"/>
                  <wp:lineTo x="21502" y="21600"/>
                  <wp:lineTo x="21502" y="0"/>
                  <wp:lineTo x="0" y="0"/>
                </wp:wrapPolygon>
              </wp:wrapThrough>
              <wp:docPr id="1450024420" name="Text Box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B75F6CB" w14:textId="77777777" w:rsidR="009D76DC" w:rsidRDefault="009D76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B873CD" id="Text Box 34" o:spid="_x0000_s1037" type="#_x0000_t202" alt="&quot;&quot;" style="position:absolute;left:0;text-align:left;margin-left:-123.3pt;margin-top:-493.1pt;width:110pt;height:36pt;z-index:2516584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9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" filled="f" strokeweight=".5pt">
              <v:textbox>
                <w:txbxContent>
                  <w:p w14:paraId="4B75F6CB" w14:textId="77777777" w:rsidR="009D76DC" w:rsidRDefault="009D76DC"/>
                </w:txbxContent>
              </v:textbox>
              <w10:wrap type="through"/>
            </v:shape>
          </w:pict>
        </mc:Fallback>
      </mc:AlternateContent>
    </w:r>
    <w:r w:rsidR="00493964">
      <w:rPr>
        <w:noProof/>
      </w:rPr>
      <mc:AlternateContent>
        <mc:Choice Requires="wps">
          <w:drawing>
            <wp:anchor distT="0" distB="0" distL="114300" distR="114300" simplePos="0" relativeHeight="251658374" behindDoc="0" locked="0" layoutInCell="1" allowOverlap="1" wp14:anchorId="321C9BB8" wp14:editId="205D3304">
              <wp:simplePos x="0" y="0"/>
              <wp:positionH relativeFrom="column">
                <wp:posOffset>-1565910</wp:posOffset>
              </wp:positionH>
              <wp:positionV relativeFrom="paragraph">
                <wp:posOffset>-6262370</wp:posOffset>
              </wp:positionV>
              <wp:extent cx="1397000" cy="457200"/>
              <wp:effectExtent l="0" t="0" r="12700" b="19050"/>
              <wp:wrapThrough wrapText="bothSides">
                <wp:wrapPolygon edited="0">
                  <wp:start x="0" y="0"/>
                  <wp:lineTo x="0" y="21600"/>
                  <wp:lineTo x="21502" y="21600"/>
                  <wp:lineTo x="21502" y="0"/>
                  <wp:lineTo x="0" y="0"/>
                </wp:wrapPolygon>
              </wp:wrapThrough>
              <wp:docPr id="214250741"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F5A9FC2" w14:textId="77777777" w:rsidR="00493964" w:rsidRDefault="00493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1C9BB8" id="_x0000_s1038" type="#_x0000_t202" alt="&quot;&quot;" style="position:absolute;left:0;text-align:left;margin-left:-123.3pt;margin-top:-493.1pt;width:110pt;height:36pt;z-index:2516583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dZ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" filled="f" strokeweight=".5pt">
              <v:textbox>
                <w:txbxContent>
                  <w:p w14:paraId="7F5A9FC2" w14:textId="77777777" w:rsidR="00493964" w:rsidRDefault="00493964"/>
                </w:txbxContent>
              </v:textbox>
              <w10:wrap type="through"/>
            </v:shape>
          </w:pict>
        </mc:Fallback>
      </mc:AlternateContent>
    </w:r>
    <w:r w:rsidR="00B478B5">
      <w:rPr>
        <w:noProof/>
      </w:rPr>
      <mc:AlternateContent>
        <mc:Choice Requires="wps">
          <w:drawing>
            <wp:anchor distT="0" distB="0" distL="114300" distR="114300" simplePos="0" relativeHeight="251658344" behindDoc="0" locked="0" layoutInCell="1" allowOverlap="1" wp14:anchorId="57D1AF87" wp14:editId="327AD97A">
              <wp:simplePos x="0" y="0"/>
              <wp:positionH relativeFrom="column">
                <wp:posOffset>-1565910</wp:posOffset>
              </wp:positionH>
              <wp:positionV relativeFrom="paragraph">
                <wp:posOffset>-6262370</wp:posOffset>
              </wp:positionV>
              <wp:extent cx="1397000" cy="457200"/>
              <wp:effectExtent l="0" t="0" r="12700" b="19050"/>
              <wp:wrapThrough wrapText="bothSides">
                <wp:wrapPolygon edited="0">
                  <wp:start x="0" y="0"/>
                  <wp:lineTo x="0" y="21600"/>
                  <wp:lineTo x="21502" y="21600"/>
                  <wp:lineTo x="21502" y="0"/>
                  <wp:lineTo x="0" y="0"/>
                </wp:wrapPolygon>
              </wp:wrapThrough>
              <wp:docPr id="1933713308" name="Text Box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69F91FE" w14:textId="77777777" w:rsidR="00B478B5" w:rsidRDefault="00B47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D1AF87" id="_x0000_s1039" type="#_x0000_t202" alt="&quot;&quot;" style="position:absolute;left:0;text-align:left;margin-left:-123.3pt;margin-top:-493.1pt;width:110pt;height:36pt;z-index:251658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M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" filled="f" strokeweight=".5pt">
              <v:textbox>
                <w:txbxContent>
                  <w:p w14:paraId="269F91FE" w14:textId="77777777" w:rsidR="00B478B5" w:rsidRDefault="00B478B5"/>
                </w:txbxContent>
              </v:textbox>
              <w10:wrap type="through"/>
            </v:shape>
          </w:pict>
        </mc:Fallback>
      </mc:AlternateContent>
    </w:r>
    <w:r w:rsidR="00F954D1">
      <w:rPr>
        <w:noProof/>
      </w:rPr>
      <mc:AlternateContent>
        <mc:Choice Requires="wps">
          <w:drawing>
            <wp:anchor distT="0" distB="0" distL="114300" distR="114300" simplePos="0" relativeHeight="251658314" behindDoc="0" locked="0" layoutInCell="1" allowOverlap="1" wp14:anchorId="41831396" wp14:editId="2DF5D990">
              <wp:simplePos x="0" y="0"/>
              <wp:positionH relativeFrom="column">
                <wp:posOffset>-1565910</wp:posOffset>
              </wp:positionH>
              <wp:positionV relativeFrom="paragraph">
                <wp:posOffset>-6262370</wp:posOffset>
              </wp:positionV>
              <wp:extent cx="1397000" cy="457200"/>
              <wp:effectExtent l="0" t="0" r="12700" b="19050"/>
              <wp:wrapThrough wrapText="bothSides">
                <wp:wrapPolygon edited="0">
                  <wp:start x="0" y="0"/>
                  <wp:lineTo x="0" y="21600"/>
                  <wp:lineTo x="21502" y="21600"/>
                  <wp:lineTo x="21502" y="0"/>
                  <wp:lineTo x="0" y="0"/>
                </wp:wrapPolygon>
              </wp:wrapThrough>
              <wp:docPr id="748481606"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FE14B2A" w14:textId="77777777" w:rsidR="00F954D1" w:rsidRDefault="00F954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831396" id="_x0000_s1040" type="#_x0000_t202" alt="&quot;&quot;" style="position:absolute;left:0;text-align:left;margin-left:-123.3pt;margin-top:-493.1pt;width:110pt;height:36pt;z-index:251658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" filled="f" strokeweight=".5pt">
              <v:textbox>
                <w:txbxContent>
                  <w:p w14:paraId="0FE14B2A" w14:textId="77777777" w:rsidR="00F954D1" w:rsidRDefault="00F954D1"/>
                </w:txbxContent>
              </v:textbox>
              <w10:wrap type="through"/>
            </v:shape>
          </w:pict>
        </mc:Fallback>
      </mc:AlternateContent>
    </w:r>
    <w:r w:rsidR="00C6018D">
      <w:rPr>
        <w:noProof/>
      </w:rPr>
      <mc:AlternateContent>
        <mc:Choice Requires="wps">
          <w:drawing>
            <wp:anchor distT="0" distB="0" distL="114300" distR="114300" simplePos="0" relativeHeight="251658281" behindDoc="0" locked="0" layoutInCell="1" allowOverlap="1" wp14:anchorId="5F4B157A" wp14:editId="722541E7">
              <wp:simplePos x="0" y="0"/>
              <wp:positionH relativeFrom="column">
                <wp:posOffset>-1565910</wp:posOffset>
              </wp:positionH>
              <wp:positionV relativeFrom="paragraph">
                <wp:posOffset>-6262370</wp:posOffset>
              </wp:positionV>
              <wp:extent cx="1397000" cy="457200"/>
              <wp:effectExtent l="0" t="0" r="12700" b="19050"/>
              <wp:wrapThrough wrapText="bothSides">
                <wp:wrapPolygon edited="0">
                  <wp:start x="0" y="0"/>
                  <wp:lineTo x="0" y="21600"/>
                  <wp:lineTo x="21502" y="21600"/>
                  <wp:lineTo x="21502" y="0"/>
                  <wp:lineTo x="0" y="0"/>
                </wp:wrapPolygon>
              </wp:wrapThrough>
              <wp:docPr id="339023779"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252631B" w14:textId="77777777" w:rsidR="00C6018D" w:rsidRDefault="00C60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4B157A" id="_x0000_s1041" type="#_x0000_t202" alt="&quot;&quot;" style="position:absolute;left:0;text-align:left;margin-left:-123.3pt;margin-top:-493.1pt;width:110pt;height:36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oeLAIAAFw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" filled="f" strokeweight=".5pt">
              <v:textbox>
                <w:txbxContent>
                  <w:p w14:paraId="4252631B" w14:textId="77777777" w:rsidR="00C6018D" w:rsidRDefault="00C6018D"/>
                </w:txbxContent>
              </v:textbox>
              <w10:wrap type="through"/>
            </v:shape>
          </w:pict>
        </mc:Fallback>
      </mc:AlternateContent>
    </w:r>
    <w:r w:rsidR="00DD7443">
      <w:rPr>
        <w:noProof/>
      </w:rPr>
      <mc:AlternateContent>
        <mc:Choice Requires="wps">
          <w:drawing>
            <wp:anchor distT="0" distB="0" distL="114300" distR="114300" simplePos="0" relativeHeight="251658270" behindDoc="0" locked="0" layoutInCell="1" allowOverlap="1" wp14:anchorId="3611575C" wp14:editId="1A5E1D4D">
              <wp:simplePos x="0" y="0"/>
              <wp:positionH relativeFrom="column">
                <wp:posOffset>-1565910</wp:posOffset>
              </wp:positionH>
              <wp:positionV relativeFrom="paragraph">
                <wp:posOffset>-6262370</wp:posOffset>
              </wp:positionV>
              <wp:extent cx="1397000" cy="457200"/>
              <wp:effectExtent l="0" t="0" r="12700" b="19050"/>
              <wp:wrapThrough wrapText="bothSides">
                <wp:wrapPolygon edited="0">
                  <wp:start x="0" y="0"/>
                  <wp:lineTo x="0" y="21600"/>
                  <wp:lineTo x="21502" y="21600"/>
                  <wp:lineTo x="21502" y="0"/>
                  <wp:lineTo x="0" y="0"/>
                </wp:wrapPolygon>
              </wp:wrapThrough>
              <wp:docPr id="1601761093" name="Text Box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6D2C392" w14:textId="77777777" w:rsidR="00DD7443" w:rsidRDefault="00DD7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1575C" id="Text Box 33" o:spid="_x0000_s1042" type="#_x0000_t202" alt="&quot;&quot;" style="position:absolute;left:0;text-align:left;margin-left:-123.3pt;margin-top:-493.1pt;width:110pt;height:36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" filled="f" strokeweight=".5pt">
              <v:textbox>
                <w:txbxContent>
                  <w:p w14:paraId="66D2C392" w14:textId="77777777" w:rsidR="00DD7443" w:rsidRDefault="00DD7443"/>
                </w:txbxContent>
              </v:textbox>
              <w10:wrap type="through"/>
            </v:shape>
          </w:pict>
        </mc:Fallback>
      </mc:AlternateContent>
    </w:r>
    <w:r w:rsidR="00DD257B">
      <w:rPr>
        <w:noProof/>
      </w:rPr>
      <mc:AlternateContent>
        <mc:Choice Requires="wps">
          <w:drawing>
            <wp:anchor distT="0" distB="0" distL="114300" distR="114300" simplePos="0" relativeHeight="251658266" behindDoc="0" locked="0" layoutInCell="1" allowOverlap="1" wp14:anchorId="355768E7" wp14:editId="2796D97B">
              <wp:simplePos x="0" y="0"/>
              <wp:positionH relativeFrom="column">
                <wp:posOffset>-1565910</wp:posOffset>
              </wp:positionH>
              <wp:positionV relativeFrom="paragraph">
                <wp:posOffset>-6262370</wp:posOffset>
              </wp:positionV>
              <wp:extent cx="1397000" cy="457200"/>
              <wp:effectExtent l="0" t="0" r="12700" b="19050"/>
              <wp:wrapThrough wrapText="bothSides">
                <wp:wrapPolygon edited="0">
                  <wp:start x="0" y="0"/>
                  <wp:lineTo x="0" y="21600"/>
                  <wp:lineTo x="21502" y="21600"/>
                  <wp:lineTo x="21502" y="0"/>
                  <wp:lineTo x="0" y="0"/>
                </wp:wrapPolygon>
              </wp:wrapThrough>
              <wp:docPr id="684049406"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365C876" w14:textId="77777777" w:rsidR="00DD257B" w:rsidRDefault="00DD25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5768E7" id="_x0000_s1043" type="#_x0000_t202" alt="&quot;&quot;" style="position:absolute;left:0;text-align:left;margin-left:-123.3pt;margin-top:-493.1pt;width:110pt;height:36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Rv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" filled="f" strokeweight=".5pt">
              <v:textbox>
                <w:txbxContent>
                  <w:p w14:paraId="0365C876" w14:textId="77777777" w:rsidR="00DD257B" w:rsidRDefault="00DD257B"/>
                </w:txbxContent>
              </v:textbox>
              <w10:wrap type="through"/>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B48A" w14:textId="62EB7933" w:rsidR="001B1CD7" w:rsidRDefault="00F113C9" w:rsidP="00360947">
    <w:pPr>
      <w:pStyle w:val="FooterOdd"/>
    </w:pPr>
    <w:r>
      <w:fldChar w:fldCharType="begin"/>
    </w:r>
    <w:r>
      <w:instrText xml:space="preserve"> SUBJECT   \* MERGEFORMAT </w:instrText>
    </w:r>
    <w:r>
      <w:fldChar w:fldCharType="separate"/>
    </w:r>
    <w:r w:rsidR="0042292D">
      <w:t>Statement 8: Statement of Risks</w:t>
    </w:r>
    <w:r>
      <w:fldChar w:fldCharType="end"/>
    </w:r>
    <w:r w:rsidR="001B1CD7" w:rsidRPr="00081542">
      <w:t> | </w:t>
    </w:r>
    <w:r w:rsidR="001B1CD7" w:rsidRPr="00B3705D">
      <w:rPr>
        <w:b/>
        <w:bCs/>
      </w:rPr>
      <w:t xml:space="preserve">Page </w:t>
    </w:r>
    <w:r w:rsidR="001B1CD7" w:rsidRPr="00B3705D">
      <w:rPr>
        <w:b/>
        <w:bCs/>
      </w:rPr>
      <w:fldChar w:fldCharType="begin"/>
    </w:r>
    <w:r w:rsidR="001B1CD7" w:rsidRPr="00B3705D">
      <w:rPr>
        <w:b/>
        <w:bCs/>
      </w:rPr>
      <w:instrText xml:space="preserve"> PAGE  \* Arabic  \* MERGEFORMAT </w:instrText>
    </w:r>
    <w:r w:rsidR="001B1CD7" w:rsidRPr="00B3705D">
      <w:rPr>
        <w:b/>
        <w:bCs/>
      </w:rPr>
      <w:fldChar w:fldCharType="separate"/>
    </w:r>
    <w:r w:rsidR="001B1CD7">
      <w:rPr>
        <w:b/>
        <w:bCs/>
      </w:rPr>
      <w:t>1</w:t>
    </w:r>
    <w:r w:rsidR="001B1CD7"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5D68" w14:textId="48B694F4" w:rsidR="009B5C3B" w:rsidRDefault="00B63D1B"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F113C9">
      <w:fldChar w:fldCharType="begin"/>
    </w:r>
    <w:r w:rsidR="00F113C9">
      <w:instrText xml:space="preserve"> SUBJECT   \* MERGEFORMAT </w:instrText>
    </w:r>
    <w:r w:rsidR="00F113C9">
      <w:fldChar w:fldCharType="separate"/>
    </w:r>
    <w:r w:rsidR="0042292D">
      <w:t>Statement 8: Statement of Risks</w:t>
    </w:r>
    <w:r w:rsidR="00F113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EBD9" w14:textId="235854BC" w:rsidR="009B5C3B" w:rsidRDefault="00F113C9" w:rsidP="00B63D1B">
    <w:pPr>
      <w:pStyle w:val="FooterOdd"/>
    </w:pPr>
    <w:r>
      <w:fldChar w:fldCharType="begin"/>
    </w:r>
    <w:r>
      <w:instrText xml:space="preserve"> SUBJECT   \* MERGEFORMAT </w:instrText>
    </w:r>
    <w:r>
      <w:fldChar w:fldCharType="separate"/>
    </w:r>
    <w:r w:rsidR="0042292D">
      <w:t>Statement 8: Statement of Risks</w:t>
    </w:r>
    <w:r>
      <w:fldChar w:fldCharType="end"/>
    </w:r>
    <w:r w:rsidR="00B63D1B" w:rsidRPr="00081542">
      <w:t> | </w:t>
    </w:r>
    <w:r w:rsidR="00B63D1B" w:rsidRPr="00B3705D">
      <w:rPr>
        <w:b/>
        <w:bCs/>
      </w:rPr>
      <w:t xml:space="preserve">Page </w:t>
    </w:r>
    <w:r w:rsidR="00B63D1B" w:rsidRPr="00B3705D">
      <w:rPr>
        <w:b/>
        <w:bCs/>
      </w:rPr>
      <w:fldChar w:fldCharType="begin"/>
    </w:r>
    <w:r w:rsidR="00B63D1B" w:rsidRPr="00B3705D">
      <w:rPr>
        <w:b/>
        <w:bCs/>
      </w:rPr>
      <w:instrText xml:space="preserve"> PAGE  \* Arabic  \* MERGEFORMAT </w:instrText>
    </w:r>
    <w:r w:rsidR="00B63D1B" w:rsidRPr="00B3705D">
      <w:rPr>
        <w:b/>
        <w:bCs/>
      </w:rPr>
      <w:fldChar w:fldCharType="separate"/>
    </w:r>
    <w:r w:rsidR="00B63D1B">
      <w:rPr>
        <w:b/>
        <w:bCs/>
      </w:rPr>
      <w:t>1</w:t>
    </w:r>
    <w:r w:rsidR="00B63D1B" w:rsidRPr="00B3705D">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951F" w14:textId="2CD1B0B9" w:rsidR="000D39C4" w:rsidRDefault="00F113C9" w:rsidP="00360947">
    <w:pPr>
      <w:pStyle w:val="FooterOdd"/>
    </w:pPr>
    <w:r>
      <w:fldChar w:fldCharType="begin"/>
    </w:r>
    <w:r>
      <w:instrText xml:space="preserve"> SUBJECT   \* MERGEFORMAT </w:instrText>
    </w:r>
    <w:r>
      <w:fldChar w:fldCharType="separate"/>
    </w:r>
    <w:r w:rsidR="0042292D">
      <w:t>Statement 8: Statement of Risks</w:t>
    </w:r>
    <w:r>
      <w:fldChar w:fldCharType="end"/>
    </w:r>
    <w:r w:rsidR="000D39C4" w:rsidRPr="00081542">
      <w:t> | </w:t>
    </w:r>
    <w:r w:rsidR="000D39C4" w:rsidRPr="00B3705D">
      <w:rPr>
        <w:b/>
        <w:bCs/>
      </w:rPr>
      <w:t xml:space="preserve">Page </w:t>
    </w:r>
    <w:r w:rsidR="000D39C4" w:rsidRPr="00B3705D">
      <w:rPr>
        <w:b/>
        <w:bCs/>
      </w:rPr>
      <w:fldChar w:fldCharType="begin"/>
    </w:r>
    <w:r w:rsidR="000D39C4" w:rsidRPr="00B3705D">
      <w:rPr>
        <w:b/>
        <w:bCs/>
      </w:rPr>
      <w:instrText xml:space="preserve"> PAGE  \* Arabic  \* MERGEFORMAT </w:instrText>
    </w:r>
    <w:r w:rsidR="000D39C4" w:rsidRPr="00B3705D">
      <w:rPr>
        <w:b/>
        <w:bCs/>
      </w:rPr>
      <w:fldChar w:fldCharType="separate"/>
    </w:r>
    <w:r w:rsidR="000D39C4">
      <w:rPr>
        <w:b/>
        <w:bCs/>
      </w:rPr>
      <w:t>1</w:t>
    </w:r>
    <w:r w:rsidR="000D39C4" w:rsidRPr="00B3705D">
      <w:rP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06E2" w14:textId="0B9BBA58" w:rsidR="0023618C" w:rsidRDefault="00686621">
    <w:pPr>
      <w:pStyle w:val="FooterEven"/>
    </w:pPr>
    <w:r w:rsidRPr="00686621">
      <w:rPr>
        <w:b/>
      </w:rPr>
      <w:t xml:space="preserve">Page </w:t>
    </w:r>
    <w:r w:rsidRPr="00686621">
      <w:rPr>
        <w:b/>
        <w:bCs/>
      </w:rPr>
      <w:fldChar w:fldCharType="begin"/>
    </w:r>
    <w:r w:rsidRPr="00686621">
      <w:rPr>
        <w:b/>
      </w:rPr>
      <w:instrText xml:space="preserve"> PAGE  \* Arabic  \* MERGEFORMAT </w:instrText>
    </w:r>
    <w:r w:rsidRPr="00686621">
      <w:rPr>
        <w:b/>
        <w:bCs/>
      </w:rPr>
      <w:fldChar w:fldCharType="separate"/>
    </w:r>
    <w:r w:rsidRPr="00686621">
      <w:rPr>
        <w:b/>
        <w:bCs/>
      </w:rPr>
      <w:t>6</w:t>
    </w:r>
    <w:r w:rsidRPr="00686621">
      <w:rPr>
        <w:b/>
        <w:bCs/>
      </w:rPr>
      <w:fldChar w:fldCharType="end"/>
    </w:r>
    <w:r w:rsidRPr="00686621">
      <w:rPr>
        <w:b/>
      </w:rPr>
      <w:t> | </w:t>
    </w:r>
    <w:r w:rsidR="00F113C9">
      <w:fldChar w:fldCharType="begin"/>
    </w:r>
    <w:r w:rsidR="00F113C9">
      <w:instrText xml:space="preserve"> SUBJECT   \* MERGEFORMAT </w:instrText>
    </w:r>
    <w:r w:rsidR="00F113C9">
      <w:fldChar w:fldCharType="separate"/>
    </w:r>
    <w:r w:rsidR="0042292D">
      <w:t>Statement 8: Statement of Risks</w:t>
    </w:r>
    <w:r w:rsidR="00F113C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5BF4" w14:textId="28AB929F" w:rsidR="00686621" w:rsidRDefault="00F113C9" w:rsidP="00360947">
    <w:pPr>
      <w:pStyle w:val="FooterOdd"/>
    </w:pPr>
    <w:r>
      <w:fldChar w:fldCharType="begin"/>
    </w:r>
    <w:r>
      <w:instrText xml:space="preserve"> SUBJECT   \* MERGEFORMAT </w:instrText>
    </w:r>
    <w:r>
      <w:fldChar w:fldCharType="separate"/>
    </w:r>
    <w:r w:rsidR="0042292D">
      <w:t>Statement 8: Statement of Risks</w:t>
    </w:r>
    <w:r>
      <w:fldChar w:fldCharType="end"/>
    </w:r>
    <w:r w:rsidR="00686621" w:rsidRPr="00081542">
      <w:t> | </w:t>
    </w:r>
    <w:r w:rsidR="00686621" w:rsidRPr="00B3705D">
      <w:rPr>
        <w:b/>
        <w:bCs/>
      </w:rPr>
      <w:t xml:space="preserve">Page </w:t>
    </w:r>
    <w:r w:rsidR="00686621" w:rsidRPr="00B3705D">
      <w:rPr>
        <w:b/>
        <w:bCs/>
      </w:rPr>
      <w:fldChar w:fldCharType="begin"/>
    </w:r>
    <w:r w:rsidR="00686621" w:rsidRPr="00B3705D">
      <w:rPr>
        <w:b/>
        <w:bCs/>
      </w:rPr>
      <w:instrText xml:space="preserve"> PAGE  \* Arabic  \* MERGEFORMAT </w:instrText>
    </w:r>
    <w:r w:rsidR="00686621" w:rsidRPr="00B3705D">
      <w:rPr>
        <w:b/>
        <w:bCs/>
      </w:rPr>
      <w:fldChar w:fldCharType="separate"/>
    </w:r>
    <w:r w:rsidR="00686621">
      <w:rPr>
        <w:b/>
        <w:bCs/>
      </w:rPr>
      <w:t>1</w:t>
    </w:r>
    <w:r w:rsidR="00686621" w:rsidRPr="00B3705D">
      <w:rPr>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144C" w14:textId="6BCA987C" w:rsidR="001B1CD7" w:rsidRDefault="00F113C9" w:rsidP="00360947">
    <w:pPr>
      <w:pStyle w:val="FooterOdd"/>
    </w:pPr>
    <w:r>
      <w:fldChar w:fldCharType="begin"/>
    </w:r>
    <w:r>
      <w:instrText xml:space="preserve"> SUBJECT   \* MERGEFORMAT </w:instrText>
    </w:r>
    <w:r>
      <w:fldChar w:fldCharType="separate"/>
    </w:r>
    <w:r w:rsidR="0042292D">
      <w:t>Statement 8: Statement of Risks</w:t>
    </w:r>
    <w:r>
      <w:fldChar w:fldCharType="end"/>
    </w:r>
    <w:r w:rsidR="001B1CD7" w:rsidRPr="00081542">
      <w:t> | </w:t>
    </w:r>
    <w:r w:rsidR="001B1CD7" w:rsidRPr="00B3705D">
      <w:rPr>
        <w:b/>
        <w:bCs/>
      </w:rPr>
      <w:t xml:space="preserve">Page </w:t>
    </w:r>
    <w:r w:rsidR="001B1CD7" w:rsidRPr="00B3705D">
      <w:rPr>
        <w:b/>
        <w:bCs/>
      </w:rPr>
      <w:fldChar w:fldCharType="begin"/>
    </w:r>
    <w:r w:rsidR="001B1CD7" w:rsidRPr="00B3705D">
      <w:rPr>
        <w:b/>
        <w:bCs/>
      </w:rPr>
      <w:instrText xml:space="preserve"> PAGE  \* Arabic  \* MERGEFORMAT </w:instrText>
    </w:r>
    <w:r w:rsidR="001B1CD7" w:rsidRPr="00B3705D">
      <w:rPr>
        <w:b/>
        <w:bCs/>
      </w:rPr>
      <w:fldChar w:fldCharType="separate"/>
    </w:r>
    <w:r w:rsidR="001B1CD7">
      <w:rPr>
        <w:b/>
        <w:bCs/>
      </w:rPr>
      <w:t>1</w:t>
    </w:r>
    <w:r w:rsidR="001B1CD7"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62A2" w14:textId="77777777" w:rsidR="000573B7" w:rsidRPr="003C1CA4" w:rsidRDefault="000573B7"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p w14:paraId="0D12820C" w14:textId="77777777" w:rsidR="000573B7" w:rsidRDefault="000573B7"/>
  </w:footnote>
  <w:footnote w:type="continuationSeparator" w:id="0">
    <w:p w14:paraId="047C27E3" w14:textId="77777777" w:rsidR="000573B7" w:rsidRDefault="000573B7" w:rsidP="00E40261">
      <w:pPr>
        <w:spacing w:after="0" w:line="240" w:lineRule="auto"/>
      </w:pPr>
      <w:r>
        <w:continuationSeparator/>
      </w:r>
    </w:p>
    <w:p w14:paraId="2A12DAF6" w14:textId="77777777" w:rsidR="000573B7" w:rsidRDefault="000573B7"/>
  </w:footnote>
  <w:footnote w:type="continuationNotice" w:id="1">
    <w:p w14:paraId="76B89BBD" w14:textId="77777777" w:rsidR="000573B7" w:rsidRDefault="000573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C9D1" w14:textId="1E3F6346" w:rsidR="0023618C" w:rsidRDefault="00C66239">
    <w:pPr>
      <w:pStyle w:val="Header"/>
    </w:pPr>
    <w:r>
      <w:rPr>
        <w:noProof/>
      </w:rPr>
      <w:drawing>
        <wp:anchor distT="0" distB="0" distL="114300" distR="114300" simplePos="0" relativeHeight="251658254" behindDoc="1" locked="0" layoutInCell="1" allowOverlap="1" wp14:anchorId="21A40B3F" wp14:editId="71581D4A">
          <wp:simplePos x="1332411" y="1149531"/>
          <wp:positionH relativeFrom="page">
            <wp:align>center</wp:align>
          </wp:positionH>
          <wp:positionV relativeFrom="page">
            <wp:align>center</wp:align>
          </wp:positionV>
          <wp:extent cx="7558766" cy="10691998"/>
          <wp:effectExtent l="0" t="0" r="4445" b="0"/>
          <wp:wrapNone/>
          <wp:docPr id="1473826747" name="Picture 1473826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0687" name="Picture 12942068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H="1">
                    <a:off x="0" y="0"/>
                    <a:ext cx="7558766" cy="1069199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266F" w14:textId="34BE9767" w:rsidR="0023618C" w:rsidRPr="00A240DA" w:rsidRDefault="00610A27">
    <w:pPr>
      <w:pStyle w:val="Header"/>
    </w:pPr>
    <w:r>
      <w:rPr>
        <w:noProof/>
        <w:sz w:val="32"/>
        <w:szCs w:val="32"/>
      </w:rPr>
      <w:drawing>
        <wp:anchor distT="0" distB="0" distL="114300" distR="114300" simplePos="0" relativeHeight="251658277" behindDoc="1" locked="0" layoutInCell="1" allowOverlap="1" wp14:anchorId="4C75F91F" wp14:editId="3CD30515">
          <wp:simplePos x="0" y="0"/>
          <wp:positionH relativeFrom="page">
            <wp:align>center</wp:align>
          </wp:positionH>
          <wp:positionV relativeFrom="page">
            <wp:align>center</wp:align>
          </wp:positionV>
          <wp:extent cx="7558405" cy="10691495"/>
          <wp:effectExtent l="0" t="4445" r="0" b="0"/>
          <wp:wrapNone/>
          <wp:docPr id="1050817030"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09140"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r w:rsidR="001B1CD7" w:rsidRPr="00081542">
      <w:rPr>
        <w:noProof/>
        <w:sz w:val="32"/>
        <w:szCs w:val="32"/>
      </w:rPr>
      <mc:AlternateContent>
        <mc:Choice Requires="wps">
          <w:drawing>
            <wp:anchor distT="0" distB="0" distL="114300" distR="114300" simplePos="0" relativeHeight="251658257" behindDoc="0" locked="0" layoutInCell="1" allowOverlap="1" wp14:anchorId="51D572C8" wp14:editId="69D7EF21">
              <wp:simplePos x="0" y="0"/>
              <wp:positionH relativeFrom="column">
                <wp:posOffset>7560945</wp:posOffset>
              </wp:positionH>
              <wp:positionV relativeFrom="margin">
                <wp:align>top</wp:align>
              </wp:positionV>
              <wp:extent cx="399600" cy="4896000"/>
              <wp:effectExtent l="0" t="0" r="635" b="0"/>
              <wp:wrapNone/>
              <wp:docPr id="7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0A744" w14:textId="74C59137" w:rsidR="001B1CD7" w:rsidRPr="00137C7E" w:rsidRDefault="001B1CD7" w:rsidP="00CC6004">
                          <w:pPr>
                            <w:pStyle w:val="HeaderEven"/>
                          </w:pPr>
                          <w:r w:rsidRPr="005476BD">
                            <w:rPr>
                              <w:noProof/>
                              <w:position w:val="-8"/>
                            </w:rPr>
                            <w:drawing>
                              <wp:inline distT="0" distB="0" distL="0" distR="0" wp14:anchorId="13EDBCBD" wp14:editId="6C91242A">
                                <wp:extent cx="864091" cy="198000"/>
                                <wp:effectExtent l="9207" t="0" r="0" b="2857"/>
                                <wp:docPr id="17180712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F113C9">
                            <w:fldChar w:fldCharType="begin"/>
                          </w:r>
                          <w:r w:rsidR="00F113C9">
                            <w:instrText xml:space="preserve"> TITLE   \* MERGEFORMAT </w:instrText>
                          </w:r>
                          <w:r w:rsidR="00F113C9">
                            <w:fldChar w:fldCharType="separate"/>
                          </w:r>
                          <w:r w:rsidR="0042292D">
                            <w:t>Budget Paper No. 1</w:t>
                          </w:r>
                          <w:r w:rsidR="00F113C9">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572C8" id="_x0000_t202" coordsize="21600,21600" o:spt="202" path="m,l,21600r21600,l21600,xe">
              <v:stroke joinstyle="miter"/>
              <v:path gradientshapeok="t" o:connecttype="rect"/>
            </v:shapetype>
            <v:shape id="Text Box 6" o:spid="_x0000_s1044" type="#_x0000_t202" alt="Landscape Odd Header" style="position:absolute;margin-left:595.35pt;margin-top:0;width:31.45pt;height:385.5pt;z-index:251658257;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Ir6gEAAMI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" stroked="f">
              <v:textbox style="layout-flow:vertical" inset="0,0,0,0">
                <w:txbxContent>
                  <w:p w14:paraId="4210A744" w14:textId="74C59137" w:rsidR="001B1CD7" w:rsidRPr="00137C7E" w:rsidRDefault="001B1CD7" w:rsidP="00CC6004">
                    <w:pPr>
                      <w:pStyle w:val="HeaderEven"/>
                    </w:pPr>
                    <w:r w:rsidRPr="005476BD">
                      <w:rPr>
                        <w:noProof/>
                        <w:position w:val="-8"/>
                      </w:rPr>
                      <w:drawing>
                        <wp:inline distT="0" distB="0" distL="0" distR="0" wp14:anchorId="13EDBCBD" wp14:editId="6C91242A">
                          <wp:extent cx="864091" cy="198000"/>
                          <wp:effectExtent l="9207" t="0" r="0" b="2857"/>
                          <wp:docPr id="17180712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F113C9">
                      <w:fldChar w:fldCharType="begin"/>
                    </w:r>
                    <w:r w:rsidR="00F113C9">
                      <w:instrText xml:space="preserve"> TITLE   \* MERGEFORMAT </w:instrText>
                    </w:r>
                    <w:r w:rsidR="00F113C9">
                      <w:fldChar w:fldCharType="separate"/>
                    </w:r>
                    <w:r w:rsidR="0042292D">
                      <w:t>Budget Paper No. 1</w:t>
                    </w:r>
                    <w:r w:rsidR="00F113C9">
                      <w:fldChar w:fldCharType="end"/>
                    </w:r>
                  </w:p>
                </w:txbxContent>
              </v:textbox>
              <w10:wrap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EB1A" w14:textId="064CFB6C" w:rsidR="0023618C" w:rsidRPr="003F1E2D" w:rsidRDefault="00460F8D">
    <w:pPr>
      <w:pStyle w:val="Header"/>
    </w:pPr>
    <w:r>
      <w:rPr>
        <w:noProof/>
        <w:sz w:val="32"/>
        <w:szCs w:val="32"/>
      </w:rPr>
      <w:drawing>
        <wp:anchor distT="0" distB="0" distL="114300" distR="114300" simplePos="0" relativeHeight="251771068" behindDoc="1" locked="0" layoutInCell="1" allowOverlap="1" wp14:anchorId="5256154E" wp14:editId="120525F2">
          <wp:simplePos x="0" y="0"/>
          <wp:positionH relativeFrom="page">
            <wp:align>center</wp:align>
          </wp:positionH>
          <wp:positionV relativeFrom="page">
            <wp:align>center</wp:align>
          </wp:positionV>
          <wp:extent cx="7560000" cy="10692000"/>
          <wp:effectExtent l="0" t="3810" r="0" b="0"/>
          <wp:wrapNone/>
          <wp:docPr id="2024942026"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09140"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97304D" w:rsidRPr="00ED173E">
      <w:rPr>
        <w:noProof/>
        <w:sz w:val="32"/>
        <w:szCs w:val="32"/>
      </w:rPr>
      <mc:AlternateContent>
        <mc:Choice Requires="wps">
          <w:drawing>
            <wp:anchor distT="0" distB="0" distL="114300" distR="114300" simplePos="0" relativeHeight="251658259" behindDoc="0" locked="1" layoutInCell="1" allowOverlap="1" wp14:anchorId="5008AFFB" wp14:editId="2DB90D46">
              <wp:simplePos x="0" y="0"/>
              <wp:positionH relativeFrom="column">
                <wp:posOffset>7560945</wp:posOffset>
              </wp:positionH>
              <wp:positionV relativeFrom="margin">
                <wp:align>top</wp:align>
              </wp:positionV>
              <wp:extent cx="399600" cy="4896000"/>
              <wp:effectExtent l="0" t="0" r="635" b="0"/>
              <wp:wrapNone/>
              <wp:docPr id="84176585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26BAE" w14:textId="5011F671" w:rsidR="0097304D" w:rsidRPr="00137C7E" w:rsidRDefault="00F113C9">
                          <w:pPr>
                            <w:pStyle w:val="HeaderOdd"/>
                          </w:pPr>
                          <w:r>
                            <w:fldChar w:fldCharType="begin"/>
                          </w:r>
                          <w:r>
                            <w:instrText xml:space="preserve"> TITLE   \* MERGEFORMAT </w:instrText>
                          </w:r>
                          <w:r>
                            <w:fldChar w:fldCharType="separate"/>
                          </w:r>
                          <w:r w:rsidR="0042292D">
                            <w:t>Budget Paper No. 1</w:t>
                          </w:r>
                          <w:r>
                            <w:fldChar w:fldCharType="end"/>
                          </w:r>
                          <w:r w:rsidR="0097304D" w:rsidRPr="006B1B1F">
                            <w:t> </w:t>
                          </w:r>
                          <w:r w:rsidR="0097304D">
                            <w:t>|</w:t>
                          </w:r>
                          <w:r w:rsidR="0097304D" w:rsidRPr="006B1B1F">
                            <w:t> </w:t>
                          </w:r>
                          <w:r w:rsidR="0097304D" w:rsidRPr="005476BD">
                            <w:rPr>
                              <w:noProof/>
                              <w:position w:val="-8"/>
                            </w:rPr>
                            <w:drawing>
                              <wp:inline distT="0" distB="0" distL="0" distR="0" wp14:anchorId="37B9B473" wp14:editId="7270F5B3">
                                <wp:extent cx="864091" cy="198000"/>
                                <wp:effectExtent l="9207" t="0" r="0" b="2857"/>
                                <wp:docPr id="28482854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8AFFB" id="_x0000_t202" coordsize="21600,21600" o:spt="202" path="m,l,21600r21600,l21600,xe">
              <v:stroke joinstyle="miter"/>
              <v:path gradientshapeok="t" o:connecttype="rect"/>
            </v:shapetype>
            <v:shape id="_x0000_s1045" type="#_x0000_t202" alt="Landscape Odd Header" style="position:absolute;margin-left:595.35pt;margin-top:0;width:31.45pt;height:385.5pt;z-index:25165825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mqJnbe4BAADFAwAADgAAAAAAAAAAAAAAAAAuAgAAZHJzL2Uy&#10;b0RvYy54bWxQSwECLQAUAAYACAAAACEAYq6fkuAAAAAKAQAADwAAAAAAAAAAAAAAAABIBAAAZHJz&#10;L2Rvd25yZXYueG1sUEsFBgAAAAAEAAQA8wAAAFUFAAAAAA==&#10;" stroked="f">
              <v:textbox style="layout-flow:vertical" inset="0,0,0,.2mm">
                <w:txbxContent>
                  <w:p w14:paraId="22126BAE" w14:textId="5011F671" w:rsidR="0097304D" w:rsidRPr="00137C7E" w:rsidRDefault="00F113C9">
                    <w:pPr>
                      <w:pStyle w:val="HeaderOdd"/>
                    </w:pPr>
                    <w:r>
                      <w:fldChar w:fldCharType="begin"/>
                    </w:r>
                    <w:r>
                      <w:instrText xml:space="preserve"> TITLE   \* MERGEFORMAT </w:instrText>
                    </w:r>
                    <w:r>
                      <w:fldChar w:fldCharType="separate"/>
                    </w:r>
                    <w:r w:rsidR="0042292D">
                      <w:t>Budget Paper No. 1</w:t>
                    </w:r>
                    <w:r>
                      <w:fldChar w:fldCharType="end"/>
                    </w:r>
                    <w:r w:rsidR="0097304D" w:rsidRPr="006B1B1F">
                      <w:t> </w:t>
                    </w:r>
                    <w:r w:rsidR="0097304D">
                      <w:t>|</w:t>
                    </w:r>
                    <w:r w:rsidR="0097304D" w:rsidRPr="006B1B1F">
                      <w:t> </w:t>
                    </w:r>
                    <w:r w:rsidR="0097304D" w:rsidRPr="005476BD">
                      <w:rPr>
                        <w:noProof/>
                        <w:position w:val="-8"/>
                      </w:rPr>
                      <w:drawing>
                        <wp:inline distT="0" distB="0" distL="0" distR="0" wp14:anchorId="37B9B473" wp14:editId="7270F5B3">
                          <wp:extent cx="864091" cy="198000"/>
                          <wp:effectExtent l="9207" t="0" r="0" b="2857"/>
                          <wp:docPr id="28482854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v:textbox>
              <w10:wrap anchory="margin"/>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7426" w14:textId="642DB733" w:rsidR="0023618C" w:rsidRPr="00B963B1" w:rsidRDefault="006369BC">
    <w:pPr>
      <w:pStyle w:val="Header"/>
    </w:pPr>
    <w:r>
      <w:rPr>
        <w:noProof/>
      </w:rPr>
      <mc:AlternateContent>
        <mc:Choice Requires="wps">
          <w:drawing>
            <wp:anchor distT="0" distB="0" distL="114300" distR="114300" simplePos="0" relativeHeight="251709628" behindDoc="0" locked="0" layoutInCell="1" allowOverlap="1" wp14:anchorId="74AD43C6" wp14:editId="06C8BCC5">
              <wp:simplePos x="0" y="0"/>
              <wp:positionH relativeFrom="column">
                <wp:posOffset>-1332230</wp:posOffset>
              </wp:positionH>
              <wp:positionV relativeFrom="paragraph">
                <wp:posOffset>-972185</wp:posOffset>
              </wp:positionV>
              <wp:extent cx="1397000" cy="457200"/>
              <wp:effectExtent l="0" t="0" r="12700" b="19050"/>
              <wp:wrapThrough wrapText="bothSides">
                <wp:wrapPolygon edited="0">
                  <wp:start x="0" y="0"/>
                  <wp:lineTo x="0" y="21600"/>
                  <wp:lineTo x="21502" y="21600"/>
                  <wp:lineTo x="21502" y="0"/>
                  <wp:lineTo x="0" y="0"/>
                </wp:wrapPolygon>
              </wp:wrapThrough>
              <wp:docPr id="609250033"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25221AF" w14:textId="77777777" w:rsidR="006369BC" w:rsidRDefault="006369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AD43C6" id="_x0000_t202" coordsize="21600,21600" o:spt="202" path="m,l,21600r21600,l21600,xe">
              <v:stroke joinstyle="miter"/>
              <v:path gradientshapeok="t" o:connecttype="rect"/>
            </v:shapetype>
            <v:shape id="Text Box 20" o:spid="_x0000_s1048" type="#_x0000_t202" alt="&quot;&quot;" style="position:absolute;margin-left:-104.9pt;margin-top:-76.55pt;width:110pt;height:36pt;z-index:2517096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fC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" filled="f" strokeweight=".5pt">
              <v:textbox>
                <w:txbxContent>
                  <w:p w14:paraId="725221AF" w14:textId="77777777" w:rsidR="006369BC" w:rsidRDefault="006369BC"/>
                </w:txbxContent>
              </v:textbox>
              <w10:wrap type="through"/>
            </v:shape>
          </w:pict>
        </mc:Fallback>
      </mc:AlternateContent>
    </w:r>
    <w:r w:rsidR="00270FCD">
      <w:rPr>
        <w:noProof/>
      </w:rPr>
      <mc:AlternateContent>
        <mc:Choice Requires="wps">
          <w:drawing>
            <wp:anchor distT="0" distB="0" distL="114300" distR="114300" simplePos="0" relativeHeight="251678908" behindDoc="0" locked="0" layoutInCell="1" allowOverlap="1" wp14:anchorId="2982CCC2" wp14:editId="6683833D">
              <wp:simplePos x="0" y="0"/>
              <wp:positionH relativeFrom="column">
                <wp:posOffset>-1332230</wp:posOffset>
              </wp:positionH>
              <wp:positionV relativeFrom="paragraph">
                <wp:posOffset>-972185</wp:posOffset>
              </wp:positionV>
              <wp:extent cx="1397000" cy="457200"/>
              <wp:effectExtent l="0" t="0" r="12700" b="19050"/>
              <wp:wrapThrough wrapText="bothSides">
                <wp:wrapPolygon edited="0">
                  <wp:start x="0" y="0"/>
                  <wp:lineTo x="0" y="21600"/>
                  <wp:lineTo x="21502" y="21600"/>
                  <wp:lineTo x="21502" y="0"/>
                  <wp:lineTo x="0" y="0"/>
                </wp:wrapPolygon>
              </wp:wrapThrough>
              <wp:docPr id="1848741587"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CF3F2ED" w14:textId="77777777" w:rsidR="00270FCD" w:rsidRDefault="00270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82CCC2" id="_x0000_s1049" type="#_x0000_t202" alt="&quot;&quot;" style="position:absolute;margin-left:-104.9pt;margin-top:-76.55pt;width:110pt;height:36pt;z-index:2516789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gX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" filled="f" strokeweight=".5pt">
              <v:textbox>
                <w:txbxContent>
                  <w:p w14:paraId="4CF3F2ED" w14:textId="77777777" w:rsidR="00270FCD" w:rsidRDefault="00270FCD"/>
                </w:txbxContent>
              </v:textbox>
              <w10:wrap type="through"/>
            </v:shape>
          </w:pict>
        </mc:Fallback>
      </mc:AlternateContent>
    </w:r>
    <w:r w:rsidR="009D76DC">
      <w:rPr>
        <w:noProof/>
      </w:rPr>
      <mc:AlternateContent>
        <mc:Choice Requires="wps">
          <w:drawing>
            <wp:anchor distT="0" distB="0" distL="114300" distR="114300" simplePos="0" relativeHeight="251658418" behindDoc="0" locked="0" layoutInCell="1" allowOverlap="1" wp14:anchorId="0EB3E88F" wp14:editId="3684AABD">
              <wp:simplePos x="0" y="0"/>
              <wp:positionH relativeFrom="column">
                <wp:posOffset>-1332230</wp:posOffset>
              </wp:positionH>
              <wp:positionV relativeFrom="paragraph">
                <wp:posOffset>-972185</wp:posOffset>
              </wp:positionV>
              <wp:extent cx="1397000" cy="457200"/>
              <wp:effectExtent l="0" t="0" r="12700" b="19050"/>
              <wp:wrapThrough wrapText="bothSides">
                <wp:wrapPolygon edited="0">
                  <wp:start x="0" y="0"/>
                  <wp:lineTo x="0" y="21600"/>
                  <wp:lineTo x="21502" y="21600"/>
                  <wp:lineTo x="21502" y="0"/>
                  <wp:lineTo x="0" y="0"/>
                </wp:wrapPolygon>
              </wp:wrapThrough>
              <wp:docPr id="1472664780" name="Text Box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247DDDA" w14:textId="77777777" w:rsidR="009D76DC" w:rsidRDefault="009D76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B3E88F" id="Text Box 50" o:spid="_x0000_s1050" type="#_x0000_t202" alt="&quot;&quot;" style="position:absolute;margin-left:-104.9pt;margin-top:-76.55pt;width:110pt;height:36pt;z-index:2516584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VQ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" filled="f" strokeweight=".5pt">
              <v:textbox>
                <w:txbxContent>
                  <w:p w14:paraId="6247DDDA" w14:textId="77777777" w:rsidR="009D76DC" w:rsidRDefault="009D76DC"/>
                </w:txbxContent>
              </v:textbox>
              <w10:wrap type="through"/>
            </v:shape>
          </w:pict>
        </mc:Fallback>
      </mc:AlternateContent>
    </w:r>
    <w:r w:rsidR="00493964">
      <w:rPr>
        <w:noProof/>
      </w:rPr>
      <mc:AlternateContent>
        <mc:Choice Requires="wps">
          <w:drawing>
            <wp:anchor distT="0" distB="0" distL="114300" distR="114300" simplePos="0" relativeHeight="251658389" behindDoc="0" locked="0" layoutInCell="1" allowOverlap="1" wp14:anchorId="4438FCE7" wp14:editId="1A96E56F">
              <wp:simplePos x="0" y="0"/>
              <wp:positionH relativeFrom="column">
                <wp:posOffset>-1332230</wp:posOffset>
              </wp:positionH>
              <wp:positionV relativeFrom="paragraph">
                <wp:posOffset>-972185</wp:posOffset>
              </wp:positionV>
              <wp:extent cx="1397000" cy="457200"/>
              <wp:effectExtent l="0" t="0" r="12700" b="19050"/>
              <wp:wrapThrough wrapText="bothSides">
                <wp:wrapPolygon edited="0">
                  <wp:start x="0" y="0"/>
                  <wp:lineTo x="0" y="21600"/>
                  <wp:lineTo x="21502" y="21600"/>
                  <wp:lineTo x="21502" y="0"/>
                  <wp:lineTo x="0" y="0"/>
                </wp:wrapPolygon>
              </wp:wrapThrough>
              <wp:docPr id="1382522655"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8DE1D1E" w14:textId="77777777" w:rsidR="00493964" w:rsidRDefault="00493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8FCE7" id="_x0000_s1051" type="#_x0000_t202" alt="&quot;&quot;" style="position:absolute;margin-left:-104.9pt;margin-top:-76.55pt;width:110pt;height:36pt;z-index:2516583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" filled="f" strokeweight=".5pt">
              <v:textbox>
                <w:txbxContent>
                  <w:p w14:paraId="08DE1D1E" w14:textId="77777777" w:rsidR="00493964" w:rsidRDefault="00493964"/>
                </w:txbxContent>
              </v:textbox>
              <w10:wrap type="through"/>
            </v:shape>
          </w:pict>
        </mc:Fallback>
      </mc:AlternateContent>
    </w:r>
    <w:r w:rsidR="00B478B5">
      <w:rPr>
        <w:noProof/>
      </w:rPr>
      <mc:AlternateContent>
        <mc:Choice Requires="wps">
          <w:drawing>
            <wp:anchor distT="0" distB="0" distL="114300" distR="114300" simplePos="0" relativeHeight="251658360" behindDoc="0" locked="0" layoutInCell="1" allowOverlap="1" wp14:anchorId="3E11DE7C" wp14:editId="29ECA5D2">
              <wp:simplePos x="0" y="0"/>
              <wp:positionH relativeFrom="column">
                <wp:posOffset>-1332230</wp:posOffset>
              </wp:positionH>
              <wp:positionV relativeFrom="paragraph">
                <wp:posOffset>-972185</wp:posOffset>
              </wp:positionV>
              <wp:extent cx="1397000" cy="457200"/>
              <wp:effectExtent l="0" t="0" r="12700" b="19050"/>
              <wp:wrapThrough wrapText="bothSides">
                <wp:wrapPolygon edited="0">
                  <wp:start x="0" y="0"/>
                  <wp:lineTo x="0" y="21600"/>
                  <wp:lineTo x="21502" y="21600"/>
                  <wp:lineTo x="21502" y="0"/>
                  <wp:lineTo x="0" y="0"/>
                </wp:wrapPolygon>
              </wp:wrapThrough>
              <wp:docPr id="1352126252" name="Text Box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4725816" w14:textId="77777777" w:rsidR="00B478B5" w:rsidRDefault="00B47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11DE7C" id="_x0000_s1052" type="#_x0000_t202" alt="&quot;&quot;" style="position:absolute;margin-left:-104.9pt;margin-top:-76.55pt;width:110pt;height:36pt;z-index:251658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" filled="f" strokeweight=".5pt">
              <v:textbox>
                <w:txbxContent>
                  <w:p w14:paraId="34725816" w14:textId="77777777" w:rsidR="00B478B5" w:rsidRDefault="00B478B5"/>
                </w:txbxContent>
              </v:textbox>
              <w10:wrap type="through"/>
            </v:shape>
          </w:pict>
        </mc:Fallback>
      </mc:AlternateContent>
    </w:r>
    <w:r w:rsidR="00F954D1">
      <w:rPr>
        <w:noProof/>
      </w:rPr>
      <mc:AlternateContent>
        <mc:Choice Requires="wps">
          <w:drawing>
            <wp:anchor distT="0" distB="0" distL="114300" distR="114300" simplePos="0" relativeHeight="251658330" behindDoc="0" locked="0" layoutInCell="1" allowOverlap="1" wp14:anchorId="146EAED4" wp14:editId="34EA01B2">
              <wp:simplePos x="0" y="0"/>
              <wp:positionH relativeFrom="column">
                <wp:posOffset>-1332230</wp:posOffset>
              </wp:positionH>
              <wp:positionV relativeFrom="paragraph">
                <wp:posOffset>-972185</wp:posOffset>
              </wp:positionV>
              <wp:extent cx="1397000" cy="457200"/>
              <wp:effectExtent l="0" t="0" r="12700" b="19050"/>
              <wp:wrapNone/>
              <wp:docPr id="2118065744"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99EFEF6" w14:textId="77777777" w:rsidR="00F954D1" w:rsidRDefault="00F954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EAED4" id="_x0000_s1053" type="#_x0000_t202" alt="&quot;&quot;" style="position:absolute;margin-left:-104.9pt;margin-top:-76.55pt;width:110pt;height:36pt;z-index:2516583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" filled="f" strokeweight=".5pt">
              <v:textbox>
                <w:txbxContent>
                  <w:p w14:paraId="599EFEF6" w14:textId="77777777" w:rsidR="00F954D1" w:rsidRDefault="00F954D1"/>
                </w:txbxContent>
              </v:textbox>
            </v:shape>
          </w:pict>
        </mc:Fallback>
      </mc:AlternateContent>
    </w:r>
    <w:r w:rsidR="00C6018D">
      <w:rPr>
        <w:noProof/>
      </w:rPr>
      <mc:AlternateContent>
        <mc:Choice Requires="wps">
          <w:drawing>
            <wp:anchor distT="0" distB="0" distL="114300" distR="114300" simplePos="0" relativeHeight="251658282" behindDoc="0" locked="0" layoutInCell="1" allowOverlap="1" wp14:anchorId="220831C7" wp14:editId="7541E367">
              <wp:simplePos x="0" y="0"/>
              <wp:positionH relativeFrom="column">
                <wp:posOffset>-1332230</wp:posOffset>
              </wp:positionH>
              <wp:positionV relativeFrom="paragraph">
                <wp:posOffset>-972185</wp:posOffset>
              </wp:positionV>
              <wp:extent cx="1397000" cy="457200"/>
              <wp:effectExtent l="0" t="0" r="12700" b="19050"/>
              <wp:wrapNone/>
              <wp:docPr id="1834638581"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471FB9D" w14:textId="77777777" w:rsidR="00C6018D" w:rsidRDefault="00C60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0831C7" id="_x0000_s1054" type="#_x0000_t202" alt="&quot;&quot;" style="position:absolute;margin-left:-104.9pt;margin-top:-76.55pt;width:110pt;height:36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" filled="f" strokeweight=".5pt">
              <v:textbox>
                <w:txbxContent>
                  <w:p w14:paraId="3471FB9D" w14:textId="77777777" w:rsidR="00C6018D" w:rsidRDefault="00C6018D"/>
                </w:txbxContent>
              </v:textbox>
            </v:shape>
          </w:pict>
        </mc:Fallback>
      </mc:AlternateContent>
    </w:r>
    <w:r w:rsidR="00DD7443">
      <w:rPr>
        <w:noProof/>
      </w:rPr>
      <mc:AlternateContent>
        <mc:Choice Requires="wps">
          <w:drawing>
            <wp:anchor distT="0" distB="0" distL="114300" distR="114300" simplePos="0" relativeHeight="251658271" behindDoc="0" locked="0" layoutInCell="1" allowOverlap="1" wp14:anchorId="36DF30B5" wp14:editId="61221A99">
              <wp:simplePos x="0" y="0"/>
              <wp:positionH relativeFrom="column">
                <wp:posOffset>-1332230</wp:posOffset>
              </wp:positionH>
              <wp:positionV relativeFrom="paragraph">
                <wp:posOffset>-972185</wp:posOffset>
              </wp:positionV>
              <wp:extent cx="1397000" cy="457200"/>
              <wp:effectExtent l="0" t="0" r="12700" b="19050"/>
              <wp:wrapThrough wrapText="bothSides">
                <wp:wrapPolygon edited="0">
                  <wp:start x="0" y="0"/>
                  <wp:lineTo x="0" y="21600"/>
                  <wp:lineTo x="21502" y="21600"/>
                  <wp:lineTo x="21502" y="0"/>
                  <wp:lineTo x="0" y="0"/>
                </wp:wrapPolygon>
              </wp:wrapThrough>
              <wp:docPr id="2039889837" name="Text Box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F286400" w14:textId="77777777" w:rsidR="00DD7443" w:rsidRDefault="00DD7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DF30B5" id="Text Box 48" o:spid="_x0000_s1055" type="#_x0000_t202" alt="&quot;&quot;" style="position:absolute;margin-left:-104.9pt;margin-top:-76.55pt;width:110pt;height:36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" filled="f" strokeweight=".5pt">
              <v:textbox>
                <w:txbxContent>
                  <w:p w14:paraId="2F286400" w14:textId="77777777" w:rsidR="00DD7443" w:rsidRDefault="00DD7443"/>
                </w:txbxContent>
              </v:textbox>
              <w10:wrap type="through"/>
            </v:shape>
          </w:pict>
        </mc:Fallback>
      </mc:AlternateContent>
    </w:r>
    <w:r w:rsidR="00DD257B">
      <w:rPr>
        <w:noProof/>
      </w:rPr>
      <mc:AlternateContent>
        <mc:Choice Requires="wps">
          <w:drawing>
            <wp:anchor distT="0" distB="0" distL="114300" distR="114300" simplePos="0" relativeHeight="251658267" behindDoc="0" locked="0" layoutInCell="1" allowOverlap="1" wp14:anchorId="02096B86" wp14:editId="51BEB1FB">
              <wp:simplePos x="0" y="0"/>
              <wp:positionH relativeFrom="column">
                <wp:posOffset>-1332230</wp:posOffset>
              </wp:positionH>
              <wp:positionV relativeFrom="paragraph">
                <wp:posOffset>-972185</wp:posOffset>
              </wp:positionV>
              <wp:extent cx="1397000" cy="457200"/>
              <wp:effectExtent l="0" t="0" r="12700" b="19050"/>
              <wp:wrapThrough wrapText="bothSides">
                <wp:wrapPolygon edited="0">
                  <wp:start x="0" y="0"/>
                  <wp:lineTo x="0" y="21600"/>
                  <wp:lineTo x="21502" y="21600"/>
                  <wp:lineTo x="21502" y="0"/>
                  <wp:lineTo x="0" y="0"/>
                </wp:wrapPolygon>
              </wp:wrapThrough>
              <wp:docPr id="799061701" name="Text Box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B810F8E" w14:textId="77777777" w:rsidR="00DD257B" w:rsidRDefault="00DD25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096B86" id="Text Box 19" o:spid="_x0000_s1056" type="#_x0000_t202" alt="&quot;&quot;" style="position:absolute;margin-left:-104.9pt;margin-top:-76.55pt;width:110pt;height:36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AIAAFwEAAAOAAAAZHJzL2Uyb0RvYy54bWysVFtv2yAUfp+0/4B4X+w0a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8ndbZ6jiqNuen2LvMQw2dnbOh++CmhIFErqkJaEFts/&#10;+tCbHk1iMgMrpXWiRhvSlvRmcp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" filled="f" strokeweight=".5pt">
              <v:textbox>
                <w:txbxContent>
                  <w:p w14:paraId="7B810F8E" w14:textId="77777777" w:rsidR="00DD257B" w:rsidRDefault="00DD257B"/>
                </w:txbxContent>
              </v:textbox>
              <w10:wrap type="through"/>
            </v:shape>
          </w:pict>
        </mc:Fallback>
      </mc:AlternateContent>
    </w:r>
    <w:r w:rsidR="0023618C">
      <w:rPr>
        <w:noProof/>
      </w:rPr>
      <w:drawing>
        <wp:anchor distT="0" distB="0" distL="114300" distR="114300" simplePos="0" relativeHeight="251658242" behindDoc="1" locked="0" layoutInCell="1" allowOverlap="1" wp14:anchorId="59DC81CF" wp14:editId="48DA0C40">
          <wp:simplePos x="0" y="0"/>
          <wp:positionH relativeFrom="page">
            <wp:posOffset>783772</wp:posOffset>
          </wp:positionH>
          <wp:positionV relativeFrom="page">
            <wp:posOffset>-167951</wp:posOffset>
          </wp:positionV>
          <wp:extent cx="7560000" cy="10692000"/>
          <wp:effectExtent l="0" t="0" r="3175" b="0"/>
          <wp:wrapNone/>
          <wp:docPr id="1701609212" name="Picture 1701609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F2ED" w14:textId="0F394E6C" w:rsidR="00FC0F6C" w:rsidRPr="00AA5439" w:rsidRDefault="00DD5575" w:rsidP="00AA5439">
    <w:pPr>
      <w:pStyle w:val="HeaderEven"/>
      <w:rPr>
        <w:sz w:val="2"/>
        <w:szCs w:val="2"/>
      </w:rPr>
    </w:pPr>
    <w:r>
      <w:rPr>
        <w:noProof/>
        <w:sz w:val="32"/>
        <w:szCs w:val="32"/>
      </w:rPr>
      <w:drawing>
        <wp:anchor distT="0" distB="0" distL="114300" distR="114300" simplePos="0" relativeHeight="251766972" behindDoc="1" locked="0" layoutInCell="1" allowOverlap="1" wp14:anchorId="751DFD33" wp14:editId="41373D69">
          <wp:simplePos x="0" y="0"/>
          <wp:positionH relativeFrom="page">
            <wp:align>center</wp:align>
          </wp:positionH>
          <wp:positionV relativeFrom="page">
            <wp:align>center</wp:align>
          </wp:positionV>
          <wp:extent cx="7558404" cy="10691486"/>
          <wp:effectExtent l="0" t="0" r="5080" b="0"/>
          <wp:wrapNone/>
          <wp:docPr id="1659668285"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68285"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8404" cy="1069148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1B1CD7" w14:paraId="504BF493" w14:textId="77777777">
      <w:trPr>
        <w:trHeight w:hRule="exact" w:val="340"/>
      </w:trPr>
      <w:tc>
        <w:tcPr>
          <w:tcW w:w="7797" w:type="dxa"/>
        </w:tcPr>
        <w:p w14:paraId="14F684A9" w14:textId="3E7BCA17" w:rsidR="001B1CD7" w:rsidRPr="008C56E1" w:rsidRDefault="001B1CD7" w:rsidP="00F60EA1">
          <w:pPr>
            <w:pStyle w:val="HeaderEven"/>
          </w:pPr>
          <w:r w:rsidRPr="008C56E1">
            <w:rPr>
              <w:noProof/>
              <w:position w:val="-8"/>
            </w:rPr>
            <w:drawing>
              <wp:inline distT="0" distB="0" distL="0" distR="0" wp14:anchorId="0CF2998D" wp14:editId="26112007">
                <wp:extent cx="864091" cy="198000"/>
                <wp:effectExtent l="0" t="0" r="0" b="0"/>
                <wp:docPr id="18390968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88479"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F113C9">
            <w:fldChar w:fldCharType="begin"/>
          </w:r>
          <w:r w:rsidR="00F113C9">
            <w:instrText xml:space="preserve"> TITLE   \* MERGEFORMAT </w:instrText>
          </w:r>
          <w:r w:rsidR="00F113C9">
            <w:fldChar w:fldCharType="separate"/>
          </w:r>
          <w:r w:rsidR="0042292D">
            <w:t>Budget Paper No. 1</w:t>
          </w:r>
          <w:r w:rsidR="00F113C9">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43CC2" w14:paraId="152CC33A" w14:textId="77777777" w:rsidTr="001051B9">
      <w:trPr>
        <w:trHeight w:hRule="exact" w:val="340"/>
      </w:trPr>
      <w:tc>
        <w:tcPr>
          <w:tcW w:w="7797" w:type="dxa"/>
          <w:tcMar>
            <w:left w:w="108" w:type="dxa"/>
            <w:right w:w="108" w:type="dxa"/>
          </w:tcMar>
        </w:tcPr>
        <w:p w14:paraId="3CE76C26" w14:textId="019088E3" w:rsidR="00D43CC2" w:rsidRPr="00D13BF9" w:rsidRDefault="00F113C9" w:rsidP="00D13BF9">
          <w:pPr>
            <w:pStyle w:val="HeaderOdd"/>
          </w:pPr>
          <w:r>
            <w:fldChar w:fldCharType="begin"/>
          </w:r>
          <w:r>
            <w:instrText xml:space="preserve"> TITLE   \* MERGEFORMAT </w:instrText>
          </w:r>
          <w:r>
            <w:fldChar w:fldCharType="separate"/>
          </w:r>
          <w:r w:rsidR="0042292D">
            <w:t>Budget Paper No. 1</w:t>
          </w:r>
          <w:r>
            <w:fldChar w:fldCharType="end"/>
          </w:r>
          <w:r w:rsidR="00D43CC2" w:rsidRPr="00081542">
            <w:t> | </w:t>
          </w:r>
          <w:r w:rsidR="00D43CC2" w:rsidRPr="002709D2">
            <w:rPr>
              <w:noProof/>
              <w:position w:val="-8"/>
              <w:vertAlign w:val="subscript"/>
            </w:rPr>
            <w:drawing>
              <wp:inline distT="0" distB="0" distL="0" distR="0" wp14:anchorId="714A3E3E" wp14:editId="3DB9FAFD">
                <wp:extent cx="864091" cy="198000"/>
                <wp:effectExtent l="0" t="0" r="0" b="0"/>
                <wp:docPr id="15592630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3294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8FB4700" w14:textId="3D68BB28" w:rsidR="00FC0F6C" w:rsidRPr="00562EDC" w:rsidRDefault="00DD5575" w:rsidP="00562EDC">
    <w:pPr>
      <w:pStyle w:val="HeaderOdd"/>
      <w:jc w:val="left"/>
      <w:rPr>
        <w:sz w:val="2"/>
        <w:szCs w:val="4"/>
      </w:rPr>
    </w:pPr>
    <w:r>
      <w:rPr>
        <w:noProof/>
        <w:sz w:val="32"/>
        <w:szCs w:val="32"/>
      </w:rPr>
      <w:drawing>
        <wp:anchor distT="0" distB="0" distL="114300" distR="114300" simplePos="0" relativeHeight="251754684" behindDoc="1" locked="0" layoutInCell="1" allowOverlap="1" wp14:anchorId="5980D325" wp14:editId="5978AE8A">
          <wp:simplePos x="0" y="0"/>
          <wp:positionH relativeFrom="page">
            <wp:align>left</wp:align>
          </wp:positionH>
          <wp:positionV relativeFrom="page">
            <wp:posOffset>15837</wp:posOffset>
          </wp:positionV>
          <wp:extent cx="7558405" cy="10691495"/>
          <wp:effectExtent l="0" t="0" r="4445" b="0"/>
          <wp:wrapNone/>
          <wp:docPr id="909797378"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69714" name="Picture 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19417E" w14:paraId="2E1133AA" w14:textId="77777777" w:rsidTr="001051B9">
      <w:trPr>
        <w:trHeight w:hRule="exact" w:val="340"/>
      </w:trPr>
      <w:tc>
        <w:tcPr>
          <w:tcW w:w="7797" w:type="dxa"/>
          <w:tcMar>
            <w:left w:w="108" w:type="dxa"/>
            <w:right w:w="108" w:type="dxa"/>
          </w:tcMar>
        </w:tcPr>
        <w:p w14:paraId="423CB5A4" w14:textId="3A9AB987" w:rsidR="0019417E" w:rsidRPr="00D13BF9" w:rsidRDefault="00F113C9" w:rsidP="00D13BF9">
          <w:pPr>
            <w:pStyle w:val="HeaderOdd"/>
          </w:pPr>
          <w:r>
            <w:fldChar w:fldCharType="begin"/>
          </w:r>
          <w:r>
            <w:instrText xml:space="preserve"> TITLE   \* MERGEFORMAT </w:instrText>
          </w:r>
          <w:r>
            <w:fldChar w:fldCharType="separate"/>
          </w:r>
          <w:r w:rsidR="0042292D">
            <w:t>Budget Paper No. 1</w:t>
          </w:r>
          <w:r>
            <w:fldChar w:fldCharType="end"/>
          </w:r>
          <w:r w:rsidR="0019417E" w:rsidRPr="00081542">
            <w:t> | </w:t>
          </w:r>
          <w:r w:rsidR="0019417E" w:rsidRPr="002709D2">
            <w:rPr>
              <w:noProof/>
              <w:position w:val="-8"/>
              <w:vertAlign w:val="subscript"/>
            </w:rPr>
            <w:drawing>
              <wp:inline distT="0" distB="0" distL="0" distR="0" wp14:anchorId="64F7C77D" wp14:editId="1EC8261D">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9E1E5EE" w14:textId="18E15D17" w:rsidR="00FC0F6C" w:rsidRPr="005B2F30" w:rsidRDefault="00AF3E3A">
    <w:pPr>
      <w:pStyle w:val="Header"/>
      <w:rPr>
        <w:sz w:val="2"/>
        <w:szCs w:val="2"/>
      </w:rPr>
    </w:pPr>
    <w:r>
      <w:rPr>
        <w:noProof/>
        <w:sz w:val="32"/>
        <w:szCs w:val="32"/>
      </w:rPr>
      <w:drawing>
        <wp:anchor distT="0" distB="0" distL="114300" distR="114300" simplePos="0" relativeHeight="251769020" behindDoc="1" locked="0" layoutInCell="1" allowOverlap="1" wp14:anchorId="6E2867A7" wp14:editId="7EA8FC92">
          <wp:simplePos x="0" y="0"/>
          <wp:positionH relativeFrom="page">
            <wp:align>center</wp:align>
          </wp:positionH>
          <wp:positionV relativeFrom="page">
            <wp:align>top</wp:align>
          </wp:positionV>
          <wp:extent cx="7558767" cy="10692000"/>
          <wp:effectExtent l="0" t="0" r="4445" b="0"/>
          <wp:wrapNone/>
          <wp:docPr id="783860184"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60184" name="Picture 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FF24" w14:textId="59912D2E" w:rsidR="0023618C" w:rsidRDefault="006369BC">
    <w:pPr>
      <w:pStyle w:val="Header"/>
    </w:pPr>
    <w:r>
      <w:rPr>
        <w:noProof/>
      </w:rPr>
      <mc:AlternateContent>
        <mc:Choice Requires="wps">
          <w:drawing>
            <wp:anchor distT="0" distB="0" distL="114300" distR="114300" simplePos="0" relativeHeight="251690172" behindDoc="0" locked="0" layoutInCell="1" allowOverlap="1" wp14:anchorId="5F5330BD" wp14:editId="24476B39">
              <wp:simplePos x="0" y="0"/>
              <wp:positionH relativeFrom="column">
                <wp:posOffset>-1565910</wp:posOffset>
              </wp:positionH>
              <wp:positionV relativeFrom="paragraph">
                <wp:posOffset>-1151890</wp:posOffset>
              </wp:positionV>
              <wp:extent cx="1397000" cy="457200"/>
              <wp:effectExtent l="0" t="0" r="12700" b="19050"/>
              <wp:wrapThrough wrapText="bothSides">
                <wp:wrapPolygon edited="0">
                  <wp:start x="0" y="0"/>
                  <wp:lineTo x="0" y="21600"/>
                  <wp:lineTo x="21502" y="21600"/>
                  <wp:lineTo x="21502" y="0"/>
                  <wp:lineTo x="0" y="0"/>
                </wp:wrapPolygon>
              </wp:wrapThrough>
              <wp:docPr id="40533469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7762B0B" w14:textId="77777777" w:rsidR="006369BC" w:rsidRDefault="006369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5330BD" id="_x0000_t202" coordsize="21600,21600" o:spt="202" path="m,l,21600r21600,l21600,xe">
              <v:stroke joinstyle="miter"/>
              <v:path gradientshapeok="t" o:connecttype="rect"/>
            </v:shapetype>
            <v:shape id="Text Box 1" o:spid="_x0000_s1026" type="#_x0000_t202" alt="&quot;&quot;" style="position:absolute;margin-left:-123.3pt;margin-top:-90.7pt;width:110pt;height:36pt;z-index:2516901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" filled="f" strokeweight=".5pt">
              <v:textbox>
                <w:txbxContent>
                  <w:p w14:paraId="77762B0B" w14:textId="77777777" w:rsidR="006369BC" w:rsidRDefault="006369BC"/>
                </w:txbxContent>
              </v:textbox>
              <w10:wrap type="through"/>
            </v:shape>
          </w:pict>
        </mc:Fallback>
      </mc:AlternateContent>
    </w:r>
    <w:r w:rsidR="00270FCD">
      <w:rPr>
        <w:noProof/>
      </w:rPr>
      <mc:AlternateContent>
        <mc:Choice Requires="wps">
          <w:drawing>
            <wp:anchor distT="0" distB="0" distL="114300" distR="114300" simplePos="0" relativeHeight="251659452" behindDoc="0" locked="0" layoutInCell="1" allowOverlap="1" wp14:anchorId="3ADA88D2" wp14:editId="77B119C3">
              <wp:simplePos x="0" y="0"/>
              <wp:positionH relativeFrom="column">
                <wp:posOffset>-1565910</wp:posOffset>
              </wp:positionH>
              <wp:positionV relativeFrom="paragraph">
                <wp:posOffset>-1151890</wp:posOffset>
              </wp:positionV>
              <wp:extent cx="1397000" cy="457200"/>
              <wp:effectExtent l="0" t="0" r="12700" b="19050"/>
              <wp:wrapThrough wrapText="bothSides">
                <wp:wrapPolygon edited="0">
                  <wp:start x="0" y="0"/>
                  <wp:lineTo x="0" y="21600"/>
                  <wp:lineTo x="21502" y="21600"/>
                  <wp:lineTo x="21502" y="0"/>
                  <wp:lineTo x="0" y="0"/>
                </wp:wrapPolygon>
              </wp:wrapThrough>
              <wp:docPr id="1045377873"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A2ED4D1" w14:textId="77777777" w:rsidR="00270FCD" w:rsidRDefault="00270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DA88D2" id="_x0000_s1027" type="#_x0000_t202" alt="&quot;&quot;" style="position:absolute;margin-left:-123.3pt;margin-top:-90.7pt;width:110pt;height:36pt;z-index:2516594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" filled="f" strokeweight=".5pt">
              <v:textbox>
                <w:txbxContent>
                  <w:p w14:paraId="4A2ED4D1" w14:textId="77777777" w:rsidR="00270FCD" w:rsidRDefault="00270FCD"/>
                </w:txbxContent>
              </v:textbox>
              <w10:wrap type="through"/>
            </v:shape>
          </w:pict>
        </mc:Fallback>
      </mc:AlternateContent>
    </w:r>
    <w:r w:rsidR="009D76DC">
      <w:rPr>
        <w:noProof/>
      </w:rPr>
      <mc:AlternateContent>
        <mc:Choice Requires="wps">
          <w:drawing>
            <wp:anchor distT="0" distB="0" distL="114300" distR="114300" simplePos="0" relativeHeight="251658400" behindDoc="0" locked="0" layoutInCell="1" allowOverlap="1" wp14:anchorId="52A402A7" wp14:editId="60365349">
              <wp:simplePos x="0" y="0"/>
              <wp:positionH relativeFrom="column">
                <wp:posOffset>-1565910</wp:posOffset>
              </wp:positionH>
              <wp:positionV relativeFrom="paragraph">
                <wp:posOffset>-1151890</wp:posOffset>
              </wp:positionV>
              <wp:extent cx="1397000" cy="457200"/>
              <wp:effectExtent l="0" t="0" r="12700" b="19050"/>
              <wp:wrapThrough wrapText="bothSides">
                <wp:wrapPolygon edited="0">
                  <wp:start x="0" y="0"/>
                  <wp:lineTo x="0" y="21600"/>
                  <wp:lineTo x="21502" y="21600"/>
                  <wp:lineTo x="21502" y="0"/>
                  <wp:lineTo x="0" y="0"/>
                </wp:wrapPolygon>
              </wp:wrapThrough>
              <wp:docPr id="527022682"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2D6B3FD" w14:textId="77777777" w:rsidR="009D76DC" w:rsidRDefault="009D76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A402A7" id="Text Box 31" o:spid="_x0000_s1028" type="#_x0000_t202" alt="&quot;&quot;" style="position:absolute;margin-left:-123.3pt;margin-top:-90.7pt;width:110pt;height:36pt;z-index:25165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" filled="f" strokeweight=".5pt">
              <v:textbox>
                <w:txbxContent>
                  <w:p w14:paraId="02D6B3FD" w14:textId="77777777" w:rsidR="009D76DC" w:rsidRDefault="009D76DC"/>
                </w:txbxContent>
              </v:textbox>
              <w10:wrap type="through"/>
            </v:shape>
          </w:pict>
        </mc:Fallback>
      </mc:AlternateContent>
    </w:r>
    <w:r w:rsidR="00493964">
      <w:rPr>
        <w:noProof/>
      </w:rPr>
      <mc:AlternateContent>
        <mc:Choice Requires="wps">
          <w:drawing>
            <wp:anchor distT="0" distB="0" distL="114300" distR="114300" simplePos="0" relativeHeight="251658371" behindDoc="0" locked="0" layoutInCell="1" allowOverlap="1" wp14:anchorId="7DB4BCCC" wp14:editId="1F2604B1">
              <wp:simplePos x="0" y="0"/>
              <wp:positionH relativeFrom="column">
                <wp:posOffset>-1565910</wp:posOffset>
              </wp:positionH>
              <wp:positionV relativeFrom="paragraph">
                <wp:posOffset>-1151890</wp:posOffset>
              </wp:positionV>
              <wp:extent cx="1397000" cy="457200"/>
              <wp:effectExtent l="0" t="0" r="12700" b="19050"/>
              <wp:wrapThrough wrapText="bothSides">
                <wp:wrapPolygon edited="0">
                  <wp:start x="0" y="0"/>
                  <wp:lineTo x="0" y="21600"/>
                  <wp:lineTo x="21502" y="21600"/>
                  <wp:lineTo x="21502" y="0"/>
                  <wp:lineTo x="0" y="0"/>
                </wp:wrapPolygon>
              </wp:wrapThrough>
              <wp:docPr id="894150747"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877675C" w14:textId="77777777" w:rsidR="00493964" w:rsidRDefault="00493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4BCCC" id="_x0000_s1029" type="#_x0000_t202" alt="&quot;&quot;" style="position:absolute;margin-left:-123.3pt;margin-top:-90.7pt;width:110pt;height:36pt;z-index:2516583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" filled="f" strokeweight=".5pt">
              <v:textbox>
                <w:txbxContent>
                  <w:p w14:paraId="5877675C" w14:textId="77777777" w:rsidR="00493964" w:rsidRDefault="00493964"/>
                </w:txbxContent>
              </v:textbox>
              <w10:wrap type="through"/>
            </v:shape>
          </w:pict>
        </mc:Fallback>
      </mc:AlternateContent>
    </w:r>
    <w:r w:rsidR="00B478B5">
      <w:rPr>
        <w:noProof/>
      </w:rPr>
      <mc:AlternateContent>
        <mc:Choice Requires="wps">
          <w:drawing>
            <wp:anchor distT="0" distB="0" distL="114300" distR="114300" simplePos="0" relativeHeight="251658341" behindDoc="0" locked="0" layoutInCell="1" allowOverlap="1" wp14:anchorId="09D0C35F" wp14:editId="108EC6BB">
              <wp:simplePos x="0" y="0"/>
              <wp:positionH relativeFrom="column">
                <wp:posOffset>-1565910</wp:posOffset>
              </wp:positionH>
              <wp:positionV relativeFrom="paragraph">
                <wp:posOffset>-1151890</wp:posOffset>
              </wp:positionV>
              <wp:extent cx="1397000" cy="457200"/>
              <wp:effectExtent l="0" t="0" r="12700" b="19050"/>
              <wp:wrapThrough wrapText="bothSides">
                <wp:wrapPolygon edited="0">
                  <wp:start x="0" y="0"/>
                  <wp:lineTo x="0" y="21600"/>
                  <wp:lineTo x="21502" y="21600"/>
                  <wp:lineTo x="21502" y="0"/>
                  <wp:lineTo x="0" y="0"/>
                </wp:wrapPolygon>
              </wp:wrapThrough>
              <wp:docPr id="490003730"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9C8903B" w14:textId="77777777" w:rsidR="00B478B5" w:rsidRDefault="00B47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D0C35F" id="_x0000_s1030" type="#_x0000_t202" alt="&quot;&quot;" style="position:absolute;margin-left:-123.3pt;margin-top:-90.7pt;width:110pt;height:36pt;z-index:2516583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" filled="f" strokeweight=".5pt">
              <v:textbox>
                <w:txbxContent>
                  <w:p w14:paraId="39C8903B" w14:textId="77777777" w:rsidR="00B478B5" w:rsidRDefault="00B478B5"/>
                </w:txbxContent>
              </v:textbox>
              <w10:wrap type="through"/>
            </v:shape>
          </w:pict>
        </mc:Fallback>
      </mc:AlternateContent>
    </w:r>
    <w:r w:rsidR="00F954D1">
      <w:rPr>
        <w:noProof/>
      </w:rPr>
      <mc:AlternateContent>
        <mc:Choice Requires="wps">
          <w:drawing>
            <wp:anchor distT="0" distB="0" distL="114300" distR="114300" simplePos="0" relativeHeight="251658311" behindDoc="0" locked="0" layoutInCell="1" allowOverlap="1" wp14:anchorId="6945FE85" wp14:editId="506AB1E6">
              <wp:simplePos x="0" y="0"/>
              <wp:positionH relativeFrom="column">
                <wp:posOffset>-1565910</wp:posOffset>
              </wp:positionH>
              <wp:positionV relativeFrom="paragraph">
                <wp:posOffset>-1151890</wp:posOffset>
              </wp:positionV>
              <wp:extent cx="1397000" cy="457200"/>
              <wp:effectExtent l="0" t="0" r="12700" b="19050"/>
              <wp:wrapThrough wrapText="bothSides">
                <wp:wrapPolygon edited="0">
                  <wp:start x="0" y="0"/>
                  <wp:lineTo x="0" y="21600"/>
                  <wp:lineTo x="21502" y="21600"/>
                  <wp:lineTo x="21502" y="0"/>
                  <wp:lineTo x="0" y="0"/>
                </wp:wrapPolygon>
              </wp:wrapThrough>
              <wp:docPr id="49290792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30FC024" w14:textId="77777777" w:rsidR="00F954D1" w:rsidRDefault="00F954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5FE85" id="_x0000_s1031" type="#_x0000_t202" alt="&quot;&quot;" style="position:absolute;margin-left:-123.3pt;margin-top:-90.7pt;width:110pt;height:36pt;z-index:251658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" filled="f" strokeweight=".5pt">
              <v:textbox>
                <w:txbxContent>
                  <w:p w14:paraId="530FC024" w14:textId="77777777" w:rsidR="00F954D1" w:rsidRDefault="00F954D1"/>
                </w:txbxContent>
              </v:textbox>
              <w10:wrap type="through"/>
            </v:shape>
          </w:pict>
        </mc:Fallback>
      </mc:AlternateContent>
    </w:r>
    <w:r w:rsidR="00C6018D">
      <w:rPr>
        <w:noProof/>
      </w:rPr>
      <mc:AlternateContent>
        <mc:Choice Requires="wps">
          <w:drawing>
            <wp:anchor distT="0" distB="0" distL="114300" distR="114300" simplePos="0" relativeHeight="251658280" behindDoc="0" locked="0" layoutInCell="1" allowOverlap="1" wp14:anchorId="111EE7DE" wp14:editId="7BBDD9CE">
              <wp:simplePos x="0" y="0"/>
              <wp:positionH relativeFrom="column">
                <wp:posOffset>-1565910</wp:posOffset>
              </wp:positionH>
              <wp:positionV relativeFrom="paragraph">
                <wp:posOffset>-1151890</wp:posOffset>
              </wp:positionV>
              <wp:extent cx="1397000" cy="457200"/>
              <wp:effectExtent l="0" t="0" r="12700" b="19050"/>
              <wp:wrapThrough wrapText="bothSides">
                <wp:wrapPolygon edited="0">
                  <wp:start x="0" y="0"/>
                  <wp:lineTo x="0" y="21600"/>
                  <wp:lineTo x="21502" y="21600"/>
                  <wp:lineTo x="21502" y="0"/>
                  <wp:lineTo x="0" y="0"/>
                </wp:wrapPolygon>
              </wp:wrapThrough>
              <wp:docPr id="1565250804"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7399F2B" w14:textId="77777777" w:rsidR="00C6018D" w:rsidRDefault="00C60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1EE7DE" id="_x0000_s1032" type="#_x0000_t202" alt="&quot;&quot;" style="position:absolute;margin-left:-123.3pt;margin-top:-90.7pt;width:110pt;height:36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" filled="f" strokeweight=".5pt">
              <v:textbox>
                <w:txbxContent>
                  <w:p w14:paraId="47399F2B" w14:textId="77777777" w:rsidR="00C6018D" w:rsidRDefault="00C6018D"/>
                </w:txbxContent>
              </v:textbox>
              <w10:wrap type="through"/>
            </v:shape>
          </w:pict>
        </mc:Fallback>
      </mc:AlternateContent>
    </w:r>
    <w:r w:rsidR="00DD7443">
      <w:rPr>
        <w:noProof/>
      </w:rPr>
      <mc:AlternateContent>
        <mc:Choice Requires="wps">
          <w:drawing>
            <wp:anchor distT="0" distB="0" distL="114300" distR="114300" simplePos="0" relativeHeight="251658269" behindDoc="0" locked="0" layoutInCell="1" allowOverlap="1" wp14:anchorId="596B544E" wp14:editId="3D59A98C">
              <wp:simplePos x="0" y="0"/>
              <wp:positionH relativeFrom="column">
                <wp:posOffset>-1565910</wp:posOffset>
              </wp:positionH>
              <wp:positionV relativeFrom="paragraph">
                <wp:posOffset>-1151890</wp:posOffset>
              </wp:positionV>
              <wp:extent cx="1397000" cy="457200"/>
              <wp:effectExtent l="0" t="0" r="12700" b="19050"/>
              <wp:wrapThrough wrapText="bothSides">
                <wp:wrapPolygon edited="0">
                  <wp:start x="0" y="0"/>
                  <wp:lineTo x="0" y="21600"/>
                  <wp:lineTo x="21502" y="21600"/>
                  <wp:lineTo x="21502" y="0"/>
                  <wp:lineTo x="0" y="0"/>
                </wp:wrapPolygon>
              </wp:wrapThrough>
              <wp:docPr id="1098085356" name="Text Box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69F07B8" w14:textId="77777777" w:rsidR="00DD7443" w:rsidRDefault="00DD7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6B544E" id="Text Box 30" o:spid="_x0000_s1033" type="#_x0000_t202" alt="&quot;&quot;" style="position:absolute;margin-left:-123.3pt;margin-top:-90.7pt;width:110pt;height:36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" filled="f" strokeweight=".5pt">
              <v:textbox>
                <w:txbxContent>
                  <w:p w14:paraId="169F07B8" w14:textId="77777777" w:rsidR="00DD7443" w:rsidRDefault="00DD7443"/>
                </w:txbxContent>
              </v:textbox>
              <w10:wrap type="through"/>
            </v:shape>
          </w:pict>
        </mc:Fallback>
      </mc:AlternateContent>
    </w:r>
    <w:r w:rsidR="00DD257B">
      <w:rPr>
        <w:noProof/>
      </w:rPr>
      <mc:AlternateContent>
        <mc:Choice Requires="wps">
          <w:drawing>
            <wp:anchor distT="0" distB="0" distL="114300" distR="114300" simplePos="0" relativeHeight="251658265" behindDoc="0" locked="0" layoutInCell="1" allowOverlap="1" wp14:anchorId="7B247FA1" wp14:editId="33CA477C">
              <wp:simplePos x="0" y="0"/>
              <wp:positionH relativeFrom="column">
                <wp:posOffset>-1565910</wp:posOffset>
              </wp:positionH>
              <wp:positionV relativeFrom="paragraph">
                <wp:posOffset>-1151890</wp:posOffset>
              </wp:positionV>
              <wp:extent cx="1397000" cy="457200"/>
              <wp:effectExtent l="0" t="0" r="12700" b="19050"/>
              <wp:wrapThrough wrapText="bothSides">
                <wp:wrapPolygon edited="0">
                  <wp:start x="0" y="0"/>
                  <wp:lineTo x="0" y="21600"/>
                  <wp:lineTo x="21502" y="21600"/>
                  <wp:lineTo x="21502" y="0"/>
                  <wp:lineTo x="0" y="0"/>
                </wp:wrapPolygon>
              </wp:wrapThrough>
              <wp:docPr id="1740120956"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8A4AC70" w14:textId="77777777" w:rsidR="00DD257B" w:rsidRDefault="00DD25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247FA1" id="_x0000_s1034" type="#_x0000_t202" alt="&quot;&quot;" style="position:absolute;margin-left:-123.3pt;margin-top:-90.7pt;width:110pt;height:36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" filled="f" strokeweight=".5pt">
              <v:textbox>
                <w:txbxContent>
                  <w:p w14:paraId="78A4AC70" w14:textId="77777777" w:rsidR="00DD257B" w:rsidRDefault="00DD257B"/>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F9A0" w14:textId="2CB0A1E7" w:rsidR="0023618C" w:rsidRDefault="00034E59" w:rsidP="008E6D1F">
    <w:pPr>
      <w:pStyle w:val="Header"/>
      <w:tabs>
        <w:tab w:val="clear" w:pos="4153"/>
        <w:tab w:val="clear" w:pos="8306"/>
        <w:tab w:val="left" w:pos="2149"/>
      </w:tabs>
    </w:pPr>
    <w:r>
      <w:rPr>
        <w:noProof/>
      </w:rPr>
      <w:drawing>
        <wp:anchor distT="0" distB="0" distL="114300" distR="114300" simplePos="0" relativeHeight="251658253" behindDoc="1" locked="0" layoutInCell="1" allowOverlap="1" wp14:anchorId="28A32AE1" wp14:editId="07490CFB">
          <wp:simplePos x="0" y="0"/>
          <wp:positionH relativeFrom="page">
            <wp:align>left</wp:align>
          </wp:positionH>
          <wp:positionV relativeFrom="page">
            <wp:align>top</wp:align>
          </wp:positionV>
          <wp:extent cx="7558405" cy="10691495"/>
          <wp:effectExtent l="0" t="0" r="4445" b="0"/>
          <wp:wrapNone/>
          <wp:docPr id="844271784" name="Picture 844271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78690" name="Picture 195427869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40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5D47" w14:textId="4548CFF2" w:rsidR="009B5C3B" w:rsidRPr="00AA5439" w:rsidRDefault="00C66239" w:rsidP="00AA5439">
    <w:pPr>
      <w:pStyle w:val="HeaderEven"/>
      <w:rPr>
        <w:sz w:val="2"/>
        <w:szCs w:val="2"/>
      </w:rPr>
    </w:pPr>
    <w:r>
      <w:rPr>
        <w:noProof/>
        <w:sz w:val="32"/>
        <w:szCs w:val="32"/>
      </w:rPr>
      <w:drawing>
        <wp:anchor distT="0" distB="0" distL="114300" distR="114300" simplePos="0" relativeHeight="251658278" behindDoc="1" locked="0" layoutInCell="1" allowOverlap="1" wp14:anchorId="777A65FF" wp14:editId="657355F4">
          <wp:simplePos x="0" y="0"/>
          <wp:positionH relativeFrom="page">
            <wp:align>center</wp:align>
          </wp:positionH>
          <wp:positionV relativeFrom="page">
            <wp:align>center</wp:align>
          </wp:positionV>
          <wp:extent cx="7558767" cy="10691998"/>
          <wp:effectExtent l="0" t="0" r="4445" b="0"/>
          <wp:wrapNone/>
          <wp:docPr id="1243503849"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38988"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17F5E81" w14:textId="77777777" w:rsidR="009B5C3B" w:rsidRPr="00AA5439" w:rsidRDefault="009B5C3B" w:rsidP="00AA5439">
    <w:pPr>
      <w:pStyle w:val="HeaderEven"/>
      <w:rPr>
        <w:sz w:val="2"/>
        <w:szCs w:val="4"/>
      </w:rPr>
    </w:pPr>
  </w:p>
  <w:p w14:paraId="4E596317" w14:textId="4FF99AE2" w:rsidR="009B5C3B" w:rsidRDefault="009B5C3B" w:rsidP="008F5863">
    <w:pPr>
      <w:pStyle w:val="GhostLi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5D36" w14:textId="256B4440" w:rsidR="009B5C3B" w:rsidRPr="000635BE" w:rsidRDefault="00C66239" w:rsidP="000635BE">
    <w:pPr>
      <w:pStyle w:val="HeaderOdd"/>
      <w:rPr>
        <w:sz w:val="2"/>
        <w:szCs w:val="4"/>
      </w:rPr>
    </w:pPr>
    <w:r>
      <w:rPr>
        <w:noProof/>
        <w:sz w:val="32"/>
        <w:szCs w:val="32"/>
      </w:rPr>
      <w:drawing>
        <wp:anchor distT="0" distB="0" distL="114300" distR="114300" simplePos="0" relativeHeight="251658279" behindDoc="1" locked="0" layoutInCell="1" allowOverlap="1" wp14:anchorId="6A3C7896" wp14:editId="5178166F">
          <wp:simplePos x="0" y="0"/>
          <wp:positionH relativeFrom="page">
            <wp:align>center</wp:align>
          </wp:positionH>
          <wp:positionV relativeFrom="page">
            <wp:align>center</wp:align>
          </wp:positionV>
          <wp:extent cx="7558767" cy="10691998"/>
          <wp:effectExtent l="0" t="0" r="4445" b="0"/>
          <wp:wrapNone/>
          <wp:docPr id="1819254335"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6540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134DBDAF" w14:textId="79BE60A6" w:rsidR="009B5C3B" w:rsidRDefault="009B5C3B" w:rsidP="008F5863">
    <w:pPr>
      <w:pStyle w:val="Ghost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2A49" w14:textId="466563F2" w:rsidR="009B5C3B" w:rsidRDefault="00C66239">
    <w:pPr>
      <w:pStyle w:val="Header"/>
      <w:rPr>
        <w:sz w:val="2"/>
        <w:szCs w:val="2"/>
      </w:rPr>
    </w:pPr>
    <w:r>
      <w:rPr>
        <w:noProof/>
        <w:sz w:val="32"/>
        <w:szCs w:val="32"/>
      </w:rPr>
      <w:drawing>
        <wp:anchor distT="0" distB="0" distL="114300" distR="114300" simplePos="0" relativeHeight="251658273" behindDoc="1" locked="0" layoutInCell="1" allowOverlap="1" wp14:anchorId="6C99CDD9" wp14:editId="47C593C6">
          <wp:simplePos x="1329070" y="1180214"/>
          <wp:positionH relativeFrom="page">
            <wp:align>center</wp:align>
          </wp:positionH>
          <wp:positionV relativeFrom="page">
            <wp:align>center</wp:align>
          </wp:positionV>
          <wp:extent cx="7558767" cy="10691998"/>
          <wp:effectExtent l="0" t="0" r="4445" b="0"/>
          <wp:wrapNone/>
          <wp:docPr id="445427414"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2272"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ADDEBB2" w14:textId="77777777" w:rsidR="009B5C3B" w:rsidRDefault="009B5C3B">
    <w:pPr>
      <w:pStyle w:val="Header"/>
      <w:rPr>
        <w:sz w:val="2"/>
        <w:szCs w:val="2"/>
      </w:rPr>
    </w:pPr>
  </w:p>
  <w:p w14:paraId="7EA7AF7A" w14:textId="1C73546E" w:rsidR="009B5C3B" w:rsidRPr="005B2F30" w:rsidRDefault="009B5C3B">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1B1CD7" w14:paraId="009C04FE" w14:textId="77777777">
      <w:trPr>
        <w:trHeight w:hRule="exact" w:val="340"/>
      </w:trPr>
      <w:tc>
        <w:tcPr>
          <w:tcW w:w="7797" w:type="dxa"/>
        </w:tcPr>
        <w:p w14:paraId="123E71AF" w14:textId="4CD8448D" w:rsidR="001B1CD7" w:rsidRPr="008C56E1" w:rsidRDefault="001B1CD7" w:rsidP="00F60EA1">
          <w:pPr>
            <w:pStyle w:val="HeaderEven"/>
          </w:pPr>
          <w:r w:rsidRPr="008C56E1">
            <w:rPr>
              <w:noProof/>
              <w:position w:val="-8"/>
            </w:rPr>
            <w:drawing>
              <wp:inline distT="0" distB="0" distL="0" distR="0" wp14:anchorId="7C784382" wp14:editId="728EBBBA">
                <wp:extent cx="864091" cy="198000"/>
                <wp:effectExtent l="0" t="0" r="0" b="0"/>
                <wp:docPr id="16048040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4803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F113C9">
            <w:fldChar w:fldCharType="begin"/>
          </w:r>
          <w:r w:rsidR="00F113C9">
            <w:instrText xml:space="preserve"> TITLE   \* MERGEFORMAT </w:instrText>
          </w:r>
          <w:r w:rsidR="00F113C9">
            <w:fldChar w:fldCharType="separate"/>
          </w:r>
          <w:r w:rsidR="0042292D">
            <w:t>Budget Paper No. 1</w:t>
          </w:r>
          <w:r w:rsidR="00F113C9">
            <w:fldChar w:fldCharType="end"/>
          </w:r>
        </w:p>
      </w:tc>
    </w:tr>
  </w:tbl>
  <w:p w14:paraId="32745F9A" w14:textId="4AA50BD4" w:rsidR="0023618C" w:rsidRPr="00626AEA" w:rsidRDefault="0001489E" w:rsidP="00626AEA">
    <w:pPr>
      <w:pStyle w:val="GhostLine"/>
    </w:pPr>
    <w:r>
      <w:rPr>
        <w:noProof/>
        <w:sz w:val="32"/>
        <w:szCs w:val="32"/>
      </w:rPr>
      <w:drawing>
        <wp:anchor distT="0" distB="0" distL="114300" distR="114300" simplePos="0" relativeHeight="251658276" behindDoc="1" locked="0" layoutInCell="1" allowOverlap="1" wp14:anchorId="2F916DCE" wp14:editId="77E5469C">
          <wp:simplePos x="0" y="0"/>
          <wp:positionH relativeFrom="page">
            <wp:align>center</wp:align>
          </wp:positionH>
          <wp:positionV relativeFrom="page">
            <wp:align>center</wp:align>
          </wp:positionV>
          <wp:extent cx="7558767" cy="10691998"/>
          <wp:effectExtent l="0" t="0" r="4445" b="0"/>
          <wp:wrapNone/>
          <wp:docPr id="1499482224"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5506" name="Picture 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20FED" w14:paraId="65843F66" w14:textId="77777777" w:rsidTr="001051B9">
      <w:trPr>
        <w:trHeight w:hRule="exact" w:val="340"/>
      </w:trPr>
      <w:tc>
        <w:tcPr>
          <w:tcW w:w="7797" w:type="dxa"/>
          <w:tcMar>
            <w:left w:w="108" w:type="dxa"/>
            <w:right w:w="108" w:type="dxa"/>
          </w:tcMar>
        </w:tcPr>
        <w:p w14:paraId="0A25C1B0" w14:textId="3CF89281" w:rsidR="00E20FED" w:rsidRPr="00D13BF9" w:rsidRDefault="00F113C9" w:rsidP="00D13BF9">
          <w:pPr>
            <w:pStyle w:val="HeaderOdd"/>
          </w:pPr>
          <w:r>
            <w:fldChar w:fldCharType="begin"/>
          </w:r>
          <w:r>
            <w:instrText xml:space="preserve"> TITLE   \* MERGEFORMAT </w:instrText>
          </w:r>
          <w:r>
            <w:fldChar w:fldCharType="separate"/>
          </w:r>
          <w:r w:rsidR="0042292D">
            <w:t>Budget Paper No. 1</w:t>
          </w:r>
          <w:r>
            <w:fldChar w:fldCharType="end"/>
          </w:r>
          <w:r w:rsidR="00E20FED" w:rsidRPr="00081542">
            <w:t> | </w:t>
          </w:r>
          <w:r w:rsidR="00E20FED" w:rsidRPr="002709D2">
            <w:rPr>
              <w:noProof/>
              <w:position w:val="-8"/>
              <w:vertAlign w:val="subscript"/>
            </w:rPr>
            <w:drawing>
              <wp:inline distT="0" distB="0" distL="0" distR="0" wp14:anchorId="1D810A51" wp14:editId="5DBC7C06">
                <wp:extent cx="864091" cy="198000"/>
                <wp:effectExtent l="0" t="0" r="0" b="0"/>
                <wp:docPr id="10039610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9106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23F47F15" w14:textId="11782EB8" w:rsidR="0023618C" w:rsidRDefault="00231F4F" w:rsidP="00626AEA">
    <w:pPr>
      <w:pStyle w:val="GhostLine"/>
    </w:pPr>
    <w:r>
      <w:rPr>
        <w:noProof/>
        <w:sz w:val="32"/>
        <w:szCs w:val="32"/>
      </w:rPr>
      <w:drawing>
        <wp:anchor distT="0" distB="0" distL="114300" distR="114300" simplePos="0" relativeHeight="251658275" behindDoc="1" locked="0" layoutInCell="1" allowOverlap="1" wp14:anchorId="4EF7B8F2" wp14:editId="252E156B">
          <wp:simplePos x="0" y="0"/>
          <wp:positionH relativeFrom="page">
            <wp:align>center</wp:align>
          </wp:positionH>
          <wp:positionV relativeFrom="page">
            <wp:align>center</wp:align>
          </wp:positionV>
          <wp:extent cx="7558767" cy="10691998"/>
          <wp:effectExtent l="0" t="0" r="4445" b="0"/>
          <wp:wrapNone/>
          <wp:docPr id="1658082184"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69714" name="Picture 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F2E5" w14:textId="775B3044" w:rsidR="00FD5A77" w:rsidRDefault="00C66239">
    <w:pPr>
      <w:pStyle w:val="Header"/>
    </w:pPr>
    <w:r>
      <w:rPr>
        <w:noProof/>
        <w:sz w:val="32"/>
        <w:szCs w:val="32"/>
      </w:rPr>
      <w:drawing>
        <wp:anchor distT="0" distB="0" distL="114300" distR="114300" simplePos="0" relativeHeight="251658274" behindDoc="1" locked="0" layoutInCell="1" allowOverlap="1" wp14:anchorId="66B86B44" wp14:editId="5D28E0E8">
          <wp:simplePos x="0" y="0"/>
          <wp:positionH relativeFrom="page">
            <wp:posOffset>0</wp:posOffset>
          </wp:positionH>
          <wp:positionV relativeFrom="page">
            <wp:posOffset>4</wp:posOffset>
          </wp:positionV>
          <wp:extent cx="7558405" cy="10691486"/>
          <wp:effectExtent l="0" t="0" r="4445" b="0"/>
          <wp:wrapNone/>
          <wp:docPr id="1786560766"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04262"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F09"/>
    <w:multiLevelType w:val="hybridMultilevel"/>
    <w:tmpl w:val="97F4F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B43306C"/>
    <w:multiLevelType w:val="singleLevel"/>
    <w:tmpl w:val="85DA90FE"/>
    <w:lvl w:ilvl="0">
      <w:start w:val="1"/>
      <w:numFmt w:val="lowerLetter"/>
      <w:lvlRestart w:val="0"/>
      <w:lvlText w:val="(%1)"/>
      <w:lvlJc w:val="left"/>
      <w:pPr>
        <w:tabs>
          <w:tab w:val="num" w:pos="284"/>
        </w:tabs>
        <w:ind w:left="284" w:hanging="284"/>
      </w:pPr>
      <w:rPr>
        <w:rFonts w:ascii="Arial" w:hAnsi="Arial" w:cs="Arial" w:hint="default"/>
        <w:b w:val="0"/>
        <w:i w:val="0"/>
        <w:color w:val="000000"/>
        <w:sz w:val="16"/>
      </w:rPr>
    </w:lvl>
  </w:abstractNum>
  <w:abstractNum w:abstractNumId="12" w15:restartNumberingAfterBreak="0">
    <w:nsid w:val="0DDC5989"/>
    <w:multiLevelType w:val="hybridMultilevel"/>
    <w:tmpl w:val="C6D68B6A"/>
    <w:lvl w:ilvl="0" w:tplc="0120690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5" w15:restartNumberingAfterBreak="0">
    <w:nsid w:val="13E27B2A"/>
    <w:multiLevelType w:val="hybridMultilevel"/>
    <w:tmpl w:val="6F7C4EEA"/>
    <w:lvl w:ilvl="0" w:tplc="78586B6C">
      <w:start w:val="1"/>
      <w:numFmt w:val="lowerLetter"/>
      <w:lvlText w:val="%1)"/>
      <w:lvlJc w:val="left"/>
      <w:pPr>
        <w:ind w:left="778" w:hanging="360"/>
      </w:pPr>
      <w:rPr>
        <w:rFonts w:hint="default"/>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6"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19C960FD"/>
    <w:multiLevelType w:val="multilevel"/>
    <w:tmpl w:val="F9EA08CE"/>
    <w:name w:val="OneLevelNumberedParagraphList"/>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8" w15:restartNumberingAfterBreak="0">
    <w:nsid w:val="2B286529"/>
    <w:multiLevelType w:val="hybridMultilevel"/>
    <w:tmpl w:val="5A8E834C"/>
    <w:lvl w:ilvl="0" w:tplc="0C090001">
      <w:start w:val="1"/>
      <w:numFmt w:val="bullet"/>
      <w:lvlText w:val=""/>
      <w:lvlJc w:val="left"/>
      <w:pPr>
        <w:ind w:left="1138" w:hanging="360"/>
      </w:pPr>
      <w:rPr>
        <w:rFonts w:ascii="Symbol" w:hAnsi="Symbol" w:hint="default"/>
      </w:rPr>
    </w:lvl>
    <w:lvl w:ilvl="1" w:tplc="0C090003" w:tentative="1">
      <w:start w:val="1"/>
      <w:numFmt w:val="bullet"/>
      <w:lvlText w:val="o"/>
      <w:lvlJc w:val="left"/>
      <w:pPr>
        <w:ind w:left="1858" w:hanging="360"/>
      </w:pPr>
      <w:rPr>
        <w:rFonts w:ascii="Courier New" w:hAnsi="Courier New" w:cs="Courier New" w:hint="default"/>
      </w:rPr>
    </w:lvl>
    <w:lvl w:ilvl="2" w:tplc="0C090005" w:tentative="1">
      <w:start w:val="1"/>
      <w:numFmt w:val="bullet"/>
      <w:lvlText w:val=""/>
      <w:lvlJc w:val="left"/>
      <w:pPr>
        <w:ind w:left="2578" w:hanging="360"/>
      </w:pPr>
      <w:rPr>
        <w:rFonts w:ascii="Wingdings" w:hAnsi="Wingdings" w:hint="default"/>
      </w:rPr>
    </w:lvl>
    <w:lvl w:ilvl="3" w:tplc="0C090001" w:tentative="1">
      <w:start w:val="1"/>
      <w:numFmt w:val="bullet"/>
      <w:lvlText w:val=""/>
      <w:lvlJc w:val="left"/>
      <w:pPr>
        <w:ind w:left="3298" w:hanging="360"/>
      </w:pPr>
      <w:rPr>
        <w:rFonts w:ascii="Symbol" w:hAnsi="Symbol" w:hint="default"/>
      </w:rPr>
    </w:lvl>
    <w:lvl w:ilvl="4" w:tplc="0C090003" w:tentative="1">
      <w:start w:val="1"/>
      <w:numFmt w:val="bullet"/>
      <w:lvlText w:val="o"/>
      <w:lvlJc w:val="left"/>
      <w:pPr>
        <w:ind w:left="4018" w:hanging="360"/>
      </w:pPr>
      <w:rPr>
        <w:rFonts w:ascii="Courier New" w:hAnsi="Courier New" w:cs="Courier New" w:hint="default"/>
      </w:rPr>
    </w:lvl>
    <w:lvl w:ilvl="5" w:tplc="0C090005" w:tentative="1">
      <w:start w:val="1"/>
      <w:numFmt w:val="bullet"/>
      <w:lvlText w:val=""/>
      <w:lvlJc w:val="left"/>
      <w:pPr>
        <w:ind w:left="4738" w:hanging="360"/>
      </w:pPr>
      <w:rPr>
        <w:rFonts w:ascii="Wingdings" w:hAnsi="Wingdings" w:hint="default"/>
      </w:rPr>
    </w:lvl>
    <w:lvl w:ilvl="6" w:tplc="0C090001" w:tentative="1">
      <w:start w:val="1"/>
      <w:numFmt w:val="bullet"/>
      <w:lvlText w:val=""/>
      <w:lvlJc w:val="left"/>
      <w:pPr>
        <w:ind w:left="5458" w:hanging="360"/>
      </w:pPr>
      <w:rPr>
        <w:rFonts w:ascii="Symbol" w:hAnsi="Symbol" w:hint="default"/>
      </w:rPr>
    </w:lvl>
    <w:lvl w:ilvl="7" w:tplc="0C090003" w:tentative="1">
      <w:start w:val="1"/>
      <w:numFmt w:val="bullet"/>
      <w:lvlText w:val="o"/>
      <w:lvlJc w:val="left"/>
      <w:pPr>
        <w:ind w:left="6178" w:hanging="360"/>
      </w:pPr>
      <w:rPr>
        <w:rFonts w:ascii="Courier New" w:hAnsi="Courier New" w:cs="Courier New" w:hint="default"/>
      </w:rPr>
    </w:lvl>
    <w:lvl w:ilvl="8" w:tplc="0C090005" w:tentative="1">
      <w:start w:val="1"/>
      <w:numFmt w:val="bullet"/>
      <w:lvlText w:val=""/>
      <w:lvlJc w:val="left"/>
      <w:pPr>
        <w:ind w:left="6898" w:hanging="360"/>
      </w:pPr>
      <w:rPr>
        <w:rFonts w:ascii="Wingdings" w:hAnsi="Wingdings" w:hint="default"/>
      </w:rPr>
    </w:lvl>
  </w:abstractNum>
  <w:abstractNum w:abstractNumId="19" w15:restartNumberingAfterBreak="0">
    <w:nsid w:val="3B2E19AC"/>
    <w:multiLevelType w:val="singleLevel"/>
    <w:tmpl w:val="85DA90FE"/>
    <w:lvl w:ilvl="0">
      <w:start w:val="1"/>
      <w:numFmt w:val="lowerLetter"/>
      <w:lvlRestart w:val="0"/>
      <w:lvlText w:val="(%1)"/>
      <w:lvlJc w:val="left"/>
      <w:pPr>
        <w:tabs>
          <w:tab w:val="num" w:pos="284"/>
        </w:tabs>
        <w:ind w:left="284" w:hanging="284"/>
      </w:pPr>
      <w:rPr>
        <w:rFonts w:ascii="Arial" w:hAnsi="Arial" w:cs="Arial" w:hint="default"/>
        <w:b w:val="0"/>
        <w:i w:val="0"/>
        <w:color w:val="000000"/>
        <w:sz w:val="16"/>
      </w:rPr>
    </w:lvl>
  </w:abstractNum>
  <w:abstractNum w:abstractNumId="2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15:restartNumberingAfterBreak="0">
    <w:nsid w:val="44A412D5"/>
    <w:multiLevelType w:val="hybridMultilevel"/>
    <w:tmpl w:val="2D043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101827"/>
    <w:multiLevelType w:val="multilevel"/>
    <w:tmpl w:val="C750BC58"/>
    <w:lvl w:ilvl="0">
      <w:start w:val="1"/>
      <w:numFmt w:val="bullet"/>
      <w:lvlRestart w:val="0"/>
      <w:lvlText w:val="•"/>
      <w:lvlJc w:val="left"/>
      <w:pPr>
        <w:tabs>
          <w:tab w:val="num" w:pos="283"/>
        </w:tabs>
        <w:ind w:left="283" w:hanging="283"/>
      </w:pPr>
      <w:rPr>
        <w:rFonts w:ascii="Book Antiqua" w:hAnsi="Book Antiqua" w:hint="default"/>
        <w:b w:val="0"/>
        <w:i w:val="0"/>
        <w:position w:val="0"/>
        <w:sz w:val="18"/>
      </w:rPr>
    </w:lvl>
    <w:lvl w:ilvl="1">
      <w:start w:val="1"/>
      <w:numFmt w:val="bullet"/>
      <w:lvlText w:val="–"/>
      <w:lvlJc w:val="left"/>
      <w:pPr>
        <w:tabs>
          <w:tab w:val="num" w:pos="567"/>
        </w:tabs>
        <w:ind w:left="567" w:hanging="284"/>
      </w:pPr>
      <w:rPr>
        <w:rFonts w:ascii="Book Antiqua" w:hAnsi="Book Antiqua" w:hint="default"/>
        <w:b w:val="0"/>
        <w:i w:val="0"/>
        <w:position w:val="0"/>
        <w:sz w:val="18"/>
      </w:rPr>
    </w:lvl>
    <w:lvl w:ilvl="2">
      <w:start w:val="1"/>
      <w:numFmt w:val="bullet"/>
      <w:lvlText w:val=":"/>
      <w:lvlJc w:val="left"/>
      <w:pPr>
        <w:tabs>
          <w:tab w:val="num" w:pos="850"/>
        </w:tabs>
        <w:ind w:left="850" w:hanging="283"/>
      </w:pPr>
      <w:rPr>
        <w:rFonts w:ascii="Book Antiqua" w:hAnsi="Book Antiqua" w:hint="default"/>
        <w:b w:val="0"/>
        <w:i w:val="0"/>
        <w:position w:val="0"/>
        <w:sz w:val="18"/>
        <w:szCs w:val="18"/>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5D914CDB"/>
    <w:multiLevelType w:val="hybridMultilevel"/>
    <w:tmpl w:val="4F4A2B2A"/>
    <w:lvl w:ilvl="0" w:tplc="95B6E22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077B3E"/>
    <w:multiLevelType w:val="hybridMultilevel"/>
    <w:tmpl w:val="1DBE676A"/>
    <w:lvl w:ilvl="0" w:tplc="F942F2B8">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15:restartNumberingAfterBreak="0">
    <w:nsid w:val="6FD20A93"/>
    <w:multiLevelType w:val="singleLevel"/>
    <w:tmpl w:val="3B6E6640"/>
    <w:name w:val="AlphaChartTableFootnoteSmallList"/>
    <w:lvl w:ilvl="0">
      <w:start w:val="1"/>
      <w:numFmt w:val="lowerLetter"/>
      <w:lvlRestart w:val="0"/>
      <w:lvlText w:val="(%1)"/>
      <w:lvlJc w:val="left"/>
      <w:pPr>
        <w:tabs>
          <w:tab w:val="num" w:pos="283"/>
        </w:tabs>
        <w:ind w:left="283" w:hanging="283"/>
      </w:pPr>
      <w:rPr>
        <w:rFonts w:ascii="Arial" w:hAnsi="Arial" w:cs="Arial"/>
        <w:b w:val="0"/>
        <w:i w:val="0"/>
        <w:sz w:val="15"/>
      </w:rPr>
    </w:lvl>
  </w:abstractNum>
  <w:abstractNum w:abstractNumId="28"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20"/>
  </w:num>
  <w:num w:numId="2" w16cid:durableId="70975900">
    <w:abstractNumId w:val="14"/>
  </w:num>
  <w:num w:numId="3" w16cid:durableId="1903564601">
    <w:abstractNumId w:val="13"/>
  </w:num>
  <w:num w:numId="4" w16cid:durableId="541596858">
    <w:abstractNumId w:val="13"/>
  </w:num>
  <w:num w:numId="5" w16cid:durableId="15844135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239319">
    <w:abstractNumId w:val="28"/>
  </w:num>
  <w:num w:numId="7" w16cid:durableId="1518692781">
    <w:abstractNumId w:val="24"/>
  </w:num>
  <w:num w:numId="8" w16cid:durableId="1790778001">
    <w:abstractNumId w:val="11"/>
  </w:num>
  <w:num w:numId="9" w16cid:durableId="798454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4883484">
    <w:abstractNumId w:val="21"/>
  </w:num>
  <w:num w:numId="11" w16cid:durableId="778522229">
    <w:abstractNumId w:val="16"/>
  </w:num>
  <w:num w:numId="12" w16cid:durableId="308556280">
    <w:abstractNumId w:val="26"/>
  </w:num>
  <w:num w:numId="13" w16cid:durableId="322590933">
    <w:abstractNumId w:val="9"/>
  </w:num>
  <w:num w:numId="14" w16cid:durableId="1723669811">
    <w:abstractNumId w:val="7"/>
  </w:num>
  <w:num w:numId="15" w16cid:durableId="235865475">
    <w:abstractNumId w:val="6"/>
  </w:num>
  <w:num w:numId="16" w16cid:durableId="1066297075">
    <w:abstractNumId w:val="5"/>
  </w:num>
  <w:num w:numId="17" w16cid:durableId="10422456">
    <w:abstractNumId w:val="4"/>
  </w:num>
  <w:num w:numId="18" w16cid:durableId="4594083">
    <w:abstractNumId w:val="8"/>
  </w:num>
  <w:num w:numId="19" w16cid:durableId="961616114">
    <w:abstractNumId w:val="3"/>
  </w:num>
  <w:num w:numId="20" w16cid:durableId="760225057">
    <w:abstractNumId w:val="2"/>
  </w:num>
  <w:num w:numId="21" w16cid:durableId="1531915683">
    <w:abstractNumId w:val="1"/>
  </w:num>
  <w:num w:numId="22" w16cid:durableId="288900107">
    <w:abstractNumId w:val="0"/>
  </w:num>
  <w:num w:numId="23" w16cid:durableId="390346136">
    <w:abstractNumId w:val="27"/>
  </w:num>
  <w:num w:numId="24" w16cid:durableId="724060502">
    <w:abstractNumId w:val="22"/>
  </w:num>
  <w:num w:numId="25" w16cid:durableId="419646164">
    <w:abstractNumId w:val="17"/>
  </w:num>
  <w:num w:numId="26" w16cid:durableId="1195968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2955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903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4115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971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0817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69959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217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007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222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4477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132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009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315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3864556">
    <w:abstractNumId w:val="19"/>
  </w:num>
  <w:num w:numId="41" w16cid:durableId="48499080">
    <w:abstractNumId w:val="18"/>
  </w:num>
  <w:num w:numId="42" w16cid:durableId="1580560023">
    <w:abstractNumId w:val="25"/>
  </w:num>
  <w:num w:numId="43" w16cid:durableId="1348214628">
    <w:abstractNumId w:val="12"/>
  </w:num>
  <w:num w:numId="44" w16cid:durableId="255985954">
    <w:abstractNumId w:val="10"/>
  </w:num>
  <w:num w:numId="45" w16cid:durableId="1282297255">
    <w:abstractNumId w:val="15"/>
  </w:num>
  <w:num w:numId="46" w16cid:durableId="160518503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23618C"/>
    <w:rsid w:val="000004EA"/>
    <w:rsid w:val="0000070D"/>
    <w:rsid w:val="00000BA0"/>
    <w:rsid w:val="00000BAF"/>
    <w:rsid w:val="00000F6B"/>
    <w:rsid w:val="0000129E"/>
    <w:rsid w:val="000012CC"/>
    <w:rsid w:val="00001342"/>
    <w:rsid w:val="00001398"/>
    <w:rsid w:val="00001C34"/>
    <w:rsid w:val="00001FC3"/>
    <w:rsid w:val="00002A53"/>
    <w:rsid w:val="00002E42"/>
    <w:rsid w:val="0000335C"/>
    <w:rsid w:val="000036EC"/>
    <w:rsid w:val="00003CA8"/>
    <w:rsid w:val="00003D25"/>
    <w:rsid w:val="0000431D"/>
    <w:rsid w:val="000048BC"/>
    <w:rsid w:val="00004A91"/>
    <w:rsid w:val="00004CC1"/>
    <w:rsid w:val="00004D3A"/>
    <w:rsid w:val="00004DA7"/>
    <w:rsid w:val="00004DE0"/>
    <w:rsid w:val="00004FD1"/>
    <w:rsid w:val="00005968"/>
    <w:rsid w:val="0000633B"/>
    <w:rsid w:val="00006596"/>
    <w:rsid w:val="0001081A"/>
    <w:rsid w:val="00010A06"/>
    <w:rsid w:val="00010E60"/>
    <w:rsid w:val="00011845"/>
    <w:rsid w:val="00011887"/>
    <w:rsid w:val="00011921"/>
    <w:rsid w:val="00011C1C"/>
    <w:rsid w:val="00011DBB"/>
    <w:rsid w:val="00011EBC"/>
    <w:rsid w:val="0001265E"/>
    <w:rsid w:val="00012CE1"/>
    <w:rsid w:val="000136C9"/>
    <w:rsid w:val="00013C12"/>
    <w:rsid w:val="00013E6D"/>
    <w:rsid w:val="00013EA5"/>
    <w:rsid w:val="00013EA8"/>
    <w:rsid w:val="0001489E"/>
    <w:rsid w:val="00015455"/>
    <w:rsid w:val="0001548A"/>
    <w:rsid w:val="0001579E"/>
    <w:rsid w:val="00016E74"/>
    <w:rsid w:val="00017789"/>
    <w:rsid w:val="000178AF"/>
    <w:rsid w:val="000209C9"/>
    <w:rsid w:val="0002120C"/>
    <w:rsid w:val="0002251B"/>
    <w:rsid w:val="000229DA"/>
    <w:rsid w:val="00022FEF"/>
    <w:rsid w:val="000231C5"/>
    <w:rsid w:val="00023BBF"/>
    <w:rsid w:val="0002444F"/>
    <w:rsid w:val="00024BA4"/>
    <w:rsid w:val="00024DF5"/>
    <w:rsid w:val="00024EB5"/>
    <w:rsid w:val="0002586D"/>
    <w:rsid w:val="00025A0D"/>
    <w:rsid w:val="00025C24"/>
    <w:rsid w:val="000264A7"/>
    <w:rsid w:val="0002666A"/>
    <w:rsid w:val="00026A9D"/>
    <w:rsid w:val="00027115"/>
    <w:rsid w:val="00027855"/>
    <w:rsid w:val="00027B80"/>
    <w:rsid w:val="00027F93"/>
    <w:rsid w:val="00030166"/>
    <w:rsid w:val="000301B3"/>
    <w:rsid w:val="000307A6"/>
    <w:rsid w:val="0003161A"/>
    <w:rsid w:val="000318F3"/>
    <w:rsid w:val="0003195E"/>
    <w:rsid w:val="00031A7C"/>
    <w:rsid w:val="00031FA7"/>
    <w:rsid w:val="00032302"/>
    <w:rsid w:val="00032507"/>
    <w:rsid w:val="00032862"/>
    <w:rsid w:val="00033975"/>
    <w:rsid w:val="00034157"/>
    <w:rsid w:val="00034232"/>
    <w:rsid w:val="000342A5"/>
    <w:rsid w:val="000343C0"/>
    <w:rsid w:val="00034E59"/>
    <w:rsid w:val="000353B3"/>
    <w:rsid w:val="00035BCC"/>
    <w:rsid w:val="00035D8D"/>
    <w:rsid w:val="00035F84"/>
    <w:rsid w:val="00036397"/>
    <w:rsid w:val="00037150"/>
    <w:rsid w:val="00037769"/>
    <w:rsid w:val="00037E03"/>
    <w:rsid w:val="00037E30"/>
    <w:rsid w:val="00037E49"/>
    <w:rsid w:val="0004020C"/>
    <w:rsid w:val="00040742"/>
    <w:rsid w:val="00040893"/>
    <w:rsid w:val="00040A1E"/>
    <w:rsid w:val="00040B97"/>
    <w:rsid w:val="00041564"/>
    <w:rsid w:val="00042A20"/>
    <w:rsid w:val="00042CC6"/>
    <w:rsid w:val="0004356F"/>
    <w:rsid w:val="00043665"/>
    <w:rsid w:val="000436B1"/>
    <w:rsid w:val="0004374A"/>
    <w:rsid w:val="00043B52"/>
    <w:rsid w:val="0004406E"/>
    <w:rsid w:val="00044186"/>
    <w:rsid w:val="00044476"/>
    <w:rsid w:val="000444BC"/>
    <w:rsid w:val="0004476B"/>
    <w:rsid w:val="0004482D"/>
    <w:rsid w:val="00044EC2"/>
    <w:rsid w:val="00045A55"/>
    <w:rsid w:val="00045E82"/>
    <w:rsid w:val="00046045"/>
    <w:rsid w:val="0004635F"/>
    <w:rsid w:val="000464C2"/>
    <w:rsid w:val="000465D1"/>
    <w:rsid w:val="00046992"/>
    <w:rsid w:val="00046B2D"/>
    <w:rsid w:val="00046CF2"/>
    <w:rsid w:val="00046E71"/>
    <w:rsid w:val="00046F9B"/>
    <w:rsid w:val="00047127"/>
    <w:rsid w:val="000473C4"/>
    <w:rsid w:val="0004784D"/>
    <w:rsid w:val="000478F4"/>
    <w:rsid w:val="00047937"/>
    <w:rsid w:val="00047F52"/>
    <w:rsid w:val="00050D7E"/>
    <w:rsid w:val="0005134B"/>
    <w:rsid w:val="000516DE"/>
    <w:rsid w:val="00051BF7"/>
    <w:rsid w:val="00052767"/>
    <w:rsid w:val="00052C4F"/>
    <w:rsid w:val="0005376C"/>
    <w:rsid w:val="00053AAA"/>
    <w:rsid w:val="00053F49"/>
    <w:rsid w:val="00054598"/>
    <w:rsid w:val="000546EB"/>
    <w:rsid w:val="00054903"/>
    <w:rsid w:val="00054B0E"/>
    <w:rsid w:val="00054CBA"/>
    <w:rsid w:val="00055128"/>
    <w:rsid w:val="00055926"/>
    <w:rsid w:val="000561E2"/>
    <w:rsid w:val="000562A9"/>
    <w:rsid w:val="00056E04"/>
    <w:rsid w:val="0005721F"/>
    <w:rsid w:val="00057386"/>
    <w:rsid w:val="000573B7"/>
    <w:rsid w:val="00057815"/>
    <w:rsid w:val="00057877"/>
    <w:rsid w:val="000579E8"/>
    <w:rsid w:val="00060935"/>
    <w:rsid w:val="00060E7E"/>
    <w:rsid w:val="00061B76"/>
    <w:rsid w:val="000622DA"/>
    <w:rsid w:val="00062C01"/>
    <w:rsid w:val="00063217"/>
    <w:rsid w:val="00063269"/>
    <w:rsid w:val="000635BE"/>
    <w:rsid w:val="000638D3"/>
    <w:rsid w:val="00063B3C"/>
    <w:rsid w:val="00063B79"/>
    <w:rsid w:val="0006413E"/>
    <w:rsid w:val="00064430"/>
    <w:rsid w:val="00064F3E"/>
    <w:rsid w:val="0006539F"/>
    <w:rsid w:val="000656E1"/>
    <w:rsid w:val="00065B6D"/>
    <w:rsid w:val="00065F58"/>
    <w:rsid w:val="00066500"/>
    <w:rsid w:val="0006654A"/>
    <w:rsid w:val="000700D1"/>
    <w:rsid w:val="000709B9"/>
    <w:rsid w:val="00070C45"/>
    <w:rsid w:val="00070E68"/>
    <w:rsid w:val="00070E90"/>
    <w:rsid w:val="000713B4"/>
    <w:rsid w:val="000714C8"/>
    <w:rsid w:val="0007154C"/>
    <w:rsid w:val="00071C7C"/>
    <w:rsid w:val="00072170"/>
    <w:rsid w:val="00072822"/>
    <w:rsid w:val="00072845"/>
    <w:rsid w:val="00072AA8"/>
    <w:rsid w:val="0007319B"/>
    <w:rsid w:val="0007469F"/>
    <w:rsid w:val="00074723"/>
    <w:rsid w:val="000749A9"/>
    <w:rsid w:val="00074D63"/>
    <w:rsid w:val="00075020"/>
    <w:rsid w:val="00075308"/>
    <w:rsid w:val="00075641"/>
    <w:rsid w:val="00075712"/>
    <w:rsid w:val="00075B72"/>
    <w:rsid w:val="0007600C"/>
    <w:rsid w:val="00076360"/>
    <w:rsid w:val="00076995"/>
    <w:rsid w:val="00076AF8"/>
    <w:rsid w:val="00076C11"/>
    <w:rsid w:val="00077754"/>
    <w:rsid w:val="000777BD"/>
    <w:rsid w:val="000777FD"/>
    <w:rsid w:val="00080853"/>
    <w:rsid w:val="00080FFC"/>
    <w:rsid w:val="000814E8"/>
    <w:rsid w:val="000819E0"/>
    <w:rsid w:val="00081AD6"/>
    <w:rsid w:val="00081CDD"/>
    <w:rsid w:val="00081CDE"/>
    <w:rsid w:val="00081F8D"/>
    <w:rsid w:val="00082317"/>
    <w:rsid w:val="0008278C"/>
    <w:rsid w:val="000834C3"/>
    <w:rsid w:val="00083537"/>
    <w:rsid w:val="0008399A"/>
    <w:rsid w:val="00083E3A"/>
    <w:rsid w:val="000842DE"/>
    <w:rsid w:val="000853BF"/>
    <w:rsid w:val="00085505"/>
    <w:rsid w:val="00085972"/>
    <w:rsid w:val="0008597F"/>
    <w:rsid w:val="00085E48"/>
    <w:rsid w:val="0008649D"/>
    <w:rsid w:val="00086FAC"/>
    <w:rsid w:val="00087549"/>
    <w:rsid w:val="00087CC3"/>
    <w:rsid w:val="000900ED"/>
    <w:rsid w:val="00090361"/>
    <w:rsid w:val="00090721"/>
    <w:rsid w:val="0009089A"/>
    <w:rsid w:val="0009095A"/>
    <w:rsid w:val="000910A6"/>
    <w:rsid w:val="000914E4"/>
    <w:rsid w:val="00091BE6"/>
    <w:rsid w:val="00092146"/>
    <w:rsid w:val="0009254A"/>
    <w:rsid w:val="0009258D"/>
    <w:rsid w:val="00092641"/>
    <w:rsid w:val="000929AA"/>
    <w:rsid w:val="00092FDB"/>
    <w:rsid w:val="00093E7E"/>
    <w:rsid w:val="00094231"/>
    <w:rsid w:val="000947EB"/>
    <w:rsid w:val="00094CFE"/>
    <w:rsid w:val="0009543C"/>
    <w:rsid w:val="000963AB"/>
    <w:rsid w:val="00096832"/>
    <w:rsid w:val="00096C53"/>
    <w:rsid w:val="0009733A"/>
    <w:rsid w:val="00097410"/>
    <w:rsid w:val="0009751F"/>
    <w:rsid w:val="00097D89"/>
    <w:rsid w:val="000A0638"/>
    <w:rsid w:val="000A0B47"/>
    <w:rsid w:val="000A0F00"/>
    <w:rsid w:val="000A117E"/>
    <w:rsid w:val="000A1C18"/>
    <w:rsid w:val="000A1F79"/>
    <w:rsid w:val="000A223E"/>
    <w:rsid w:val="000A2387"/>
    <w:rsid w:val="000A2E74"/>
    <w:rsid w:val="000A3924"/>
    <w:rsid w:val="000A3EA0"/>
    <w:rsid w:val="000A3FE0"/>
    <w:rsid w:val="000A434C"/>
    <w:rsid w:val="000A437F"/>
    <w:rsid w:val="000A4760"/>
    <w:rsid w:val="000A62A3"/>
    <w:rsid w:val="000A6A80"/>
    <w:rsid w:val="000A7590"/>
    <w:rsid w:val="000B07A0"/>
    <w:rsid w:val="000B11D4"/>
    <w:rsid w:val="000B1706"/>
    <w:rsid w:val="000B17A3"/>
    <w:rsid w:val="000B18BD"/>
    <w:rsid w:val="000B1E8B"/>
    <w:rsid w:val="000B1EC3"/>
    <w:rsid w:val="000B2522"/>
    <w:rsid w:val="000B2A42"/>
    <w:rsid w:val="000B38A8"/>
    <w:rsid w:val="000B3D26"/>
    <w:rsid w:val="000B3EEA"/>
    <w:rsid w:val="000B4027"/>
    <w:rsid w:val="000B41BC"/>
    <w:rsid w:val="000B46D4"/>
    <w:rsid w:val="000B4B08"/>
    <w:rsid w:val="000B51B5"/>
    <w:rsid w:val="000B5497"/>
    <w:rsid w:val="000B54D4"/>
    <w:rsid w:val="000B5DFF"/>
    <w:rsid w:val="000B6101"/>
    <w:rsid w:val="000B61C6"/>
    <w:rsid w:val="000B63AE"/>
    <w:rsid w:val="000B63DB"/>
    <w:rsid w:val="000B6F82"/>
    <w:rsid w:val="000B71AC"/>
    <w:rsid w:val="000B7537"/>
    <w:rsid w:val="000C039F"/>
    <w:rsid w:val="000C0752"/>
    <w:rsid w:val="000C098B"/>
    <w:rsid w:val="000C0B0E"/>
    <w:rsid w:val="000C0DC2"/>
    <w:rsid w:val="000C0EA0"/>
    <w:rsid w:val="000C11B3"/>
    <w:rsid w:val="000C1B78"/>
    <w:rsid w:val="000C25CF"/>
    <w:rsid w:val="000C25D4"/>
    <w:rsid w:val="000C28BC"/>
    <w:rsid w:val="000C2B1D"/>
    <w:rsid w:val="000C2CEC"/>
    <w:rsid w:val="000C3298"/>
    <w:rsid w:val="000C44C7"/>
    <w:rsid w:val="000C45B9"/>
    <w:rsid w:val="000C4797"/>
    <w:rsid w:val="000C4881"/>
    <w:rsid w:val="000C4ACF"/>
    <w:rsid w:val="000C61A9"/>
    <w:rsid w:val="000C73C1"/>
    <w:rsid w:val="000C79C4"/>
    <w:rsid w:val="000D0465"/>
    <w:rsid w:val="000D06D7"/>
    <w:rsid w:val="000D09F5"/>
    <w:rsid w:val="000D0C27"/>
    <w:rsid w:val="000D0C58"/>
    <w:rsid w:val="000D206D"/>
    <w:rsid w:val="000D234F"/>
    <w:rsid w:val="000D23F1"/>
    <w:rsid w:val="000D278F"/>
    <w:rsid w:val="000D2905"/>
    <w:rsid w:val="000D2E10"/>
    <w:rsid w:val="000D30C4"/>
    <w:rsid w:val="000D3683"/>
    <w:rsid w:val="000D39C4"/>
    <w:rsid w:val="000D39CE"/>
    <w:rsid w:val="000D3F3F"/>
    <w:rsid w:val="000D4C1A"/>
    <w:rsid w:val="000D5806"/>
    <w:rsid w:val="000D6B8A"/>
    <w:rsid w:val="000D6BD8"/>
    <w:rsid w:val="000D71FE"/>
    <w:rsid w:val="000D739A"/>
    <w:rsid w:val="000D7450"/>
    <w:rsid w:val="000D78F4"/>
    <w:rsid w:val="000D7923"/>
    <w:rsid w:val="000D7A2E"/>
    <w:rsid w:val="000E0298"/>
    <w:rsid w:val="000E105B"/>
    <w:rsid w:val="000E149B"/>
    <w:rsid w:val="000E1E6C"/>
    <w:rsid w:val="000E1EBD"/>
    <w:rsid w:val="000E20C5"/>
    <w:rsid w:val="000E26C0"/>
    <w:rsid w:val="000E274C"/>
    <w:rsid w:val="000E28A5"/>
    <w:rsid w:val="000E29D0"/>
    <w:rsid w:val="000E2E26"/>
    <w:rsid w:val="000E2FCE"/>
    <w:rsid w:val="000E31FE"/>
    <w:rsid w:val="000E34DD"/>
    <w:rsid w:val="000E4685"/>
    <w:rsid w:val="000E4874"/>
    <w:rsid w:val="000E56F1"/>
    <w:rsid w:val="000E59EA"/>
    <w:rsid w:val="000E5A7B"/>
    <w:rsid w:val="000E6E1E"/>
    <w:rsid w:val="000F0146"/>
    <w:rsid w:val="000F021C"/>
    <w:rsid w:val="000F088F"/>
    <w:rsid w:val="000F0B6A"/>
    <w:rsid w:val="000F1465"/>
    <w:rsid w:val="000F1B00"/>
    <w:rsid w:val="000F1F0A"/>
    <w:rsid w:val="000F23F7"/>
    <w:rsid w:val="000F26DB"/>
    <w:rsid w:val="000F2865"/>
    <w:rsid w:val="000F3057"/>
    <w:rsid w:val="000F32A2"/>
    <w:rsid w:val="000F4680"/>
    <w:rsid w:val="000F4DDB"/>
    <w:rsid w:val="000F52F9"/>
    <w:rsid w:val="000F5D70"/>
    <w:rsid w:val="000F5FDF"/>
    <w:rsid w:val="000F60C7"/>
    <w:rsid w:val="000F642D"/>
    <w:rsid w:val="000F65C3"/>
    <w:rsid w:val="000F6CAB"/>
    <w:rsid w:val="000F74F7"/>
    <w:rsid w:val="00100D8C"/>
    <w:rsid w:val="00101846"/>
    <w:rsid w:val="001019F4"/>
    <w:rsid w:val="00101F6C"/>
    <w:rsid w:val="0010214D"/>
    <w:rsid w:val="00102528"/>
    <w:rsid w:val="001029F8"/>
    <w:rsid w:val="00102F57"/>
    <w:rsid w:val="0010325C"/>
    <w:rsid w:val="00103C2F"/>
    <w:rsid w:val="00103E12"/>
    <w:rsid w:val="00103F65"/>
    <w:rsid w:val="00104189"/>
    <w:rsid w:val="00104804"/>
    <w:rsid w:val="00104925"/>
    <w:rsid w:val="00105139"/>
    <w:rsid w:val="001051B9"/>
    <w:rsid w:val="00105240"/>
    <w:rsid w:val="00105C1D"/>
    <w:rsid w:val="001062AB"/>
    <w:rsid w:val="001069AB"/>
    <w:rsid w:val="00106E74"/>
    <w:rsid w:val="001071EC"/>
    <w:rsid w:val="00107B05"/>
    <w:rsid w:val="00110432"/>
    <w:rsid w:val="0011101C"/>
    <w:rsid w:val="0011175D"/>
    <w:rsid w:val="00112B64"/>
    <w:rsid w:val="00114169"/>
    <w:rsid w:val="00114259"/>
    <w:rsid w:val="00114F55"/>
    <w:rsid w:val="001153B8"/>
    <w:rsid w:val="001153D9"/>
    <w:rsid w:val="00115426"/>
    <w:rsid w:val="001158C0"/>
    <w:rsid w:val="00116D43"/>
    <w:rsid w:val="00117158"/>
    <w:rsid w:val="00117B5F"/>
    <w:rsid w:val="00120108"/>
    <w:rsid w:val="00120247"/>
    <w:rsid w:val="00120E1A"/>
    <w:rsid w:val="001218D7"/>
    <w:rsid w:val="00121EC6"/>
    <w:rsid w:val="00121F94"/>
    <w:rsid w:val="0012214B"/>
    <w:rsid w:val="001226A8"/>
    <w:rsid w:val="00122B95"/>
    <w:rsid w:val="00122F21"/>
    <w:rsid w:val="00123001"/>
    <w:rsid w:val="00123208"/>
    <w:rsid w:val="001237DE"/>
    <w:rsid w:val="001239A2"/>
    <w:rsid w:val="00123ADF"/>
    <w:rsid w:val="00123E65"/>
    <w:rsid w:val="0012500A"/>
    <w:rsid w:val="0012536E"/>
    <w:rsid w:val="0012559E"/>
    <w:rsid w:val="00125657"/>
    <w:rsid w:val="00125EFF"/>
    <w:rsid w:val="00126453"/>
    <w:rsid w:val="0012673E"/>
    <w:rsid w:val="00126BF6"/>
    <w:rsid w:val="001277E2"/>
    <w:rsid w:val="00130094"/>
    <w:rsid w:val="00130439"/>
    <w:rsid w:val="001306C6"/>
    <w:rsid w:val="00130C60"/>
    <w:rsid w:val="00130E9E"/>
    <w:rsid w:val="001311B4"/>
    <w:rsid w:val="001315C7"/>
    <w:rsid w:val="00131B85"/>
    <w:rsid w:val="001324B0"/>
    <w:rsid w:val="00132E52"/>
    <w:rsid w:val="00133562"/>
    <w:rsid w:val="00133D1D"/>
    <w:rsid w:val="00133EF8"/>
    <w:rsid w:val="001341BC"/>
    <w:rsid w:val="00134778"/>
    <w:rsid w:val="00135079"/>
    <w:rsid w:val="00135139"/>
    <w:rsid w:val="0013598B"/>
    <w:rsid w:val="0013599F"/>
    <w:rsid w:val="00135E2D"/>
    <w:rsid w:val="00135E73"/>
    <w:rsid w:val="001361B7"/>
    <w:rsid w:val="001361F0"/>
    <w:rsid w:val="00136715"/>
    <w:rsid w:val="00136772"/>
    <w:rsid w:val="00136F5F"/>
    <w:rsid w:val="00137B97"/>
    <w:rsid w:val="00137FE3"/>
    <w:rsid w:val="00140281"/>
    <w:rsid w:val="0014036E"/>
    <w:rsid w:val="0014094A"/>
    <w:rsid w:val="0014136E"/>
    <w:rsid w:val="001413FD"/>
    <w:rsid w:val="00141B4B"/>
    <w:rsid w:val="00142A29"/>
    <w:rsid w:val="00142B28"/>
    <w:rsid w:val="00143275"/>
    <w:rsid w:val="00144367"/>
    <w:rsid w:val="00144D6F"/>
    <w:rsid w:val="00144E4B"/>
    <w:rsid w:val="001455FF"/>
    <w:rsid w:val="001469B3"/>
    <w:rsid w:val="0014702B"/>
    <w:rsid w:val="001472CA"/>
    <w:rsid w:val="001473FA"/>
    <w:rsid w:val="00147FFD"/>
    <w:rsid w:val="00150310"/>
    <w:rsid w:val="0015083D"/>
    <w:rsid w:val="00150C15"/>
    <w:rsid w:val="00150ED4"/>
    <w:rsid w:val="0015117E"/>
    <w:rsid w:val="00151FDD"/>
    <w:rsid w:val="00153AB1"/>
    <w:rsid w:val="0015445D"/>
    <w:rsid w:val="00154963"/>
    <w:rsid w:val="00154DC1"/>
    <w:rsid w:val="00154E26"/>
    <w:rsid w:val="00154EA3"/>
    <w:rsid w:val="00154F0B"/>
    <w:rsid w:val="00154F83"/>
    <w:rsid w:val="0015548F"/>
    <w:rsid w:val="00155B1C"/>
    <w:rsid w:val="00156177"/>
    <w:rsid w:val="001561D9"/>
    <w:rsid w:val="0015660A"/>
    <w:rsid w:val="0015713E"/>
    <w:rsid w:val="001573F8"/>
    <w:rsid w:val="0015756B"/>
    <w:rsid w:val="00157B07"/>
    <w:rsid w:val="001601AC"/>
    <w:rsid w:val="00160585"/>
    <w:rsid w:val="00160928"/>
    <w:rsid w:val="00160F46"/>
    <w:rsid w:val="001612DE"/>
    <w:rsid w:val="00161555"/>
    <w:rsid w:val="00161599"/>
    <w:rsid w:val="001620DB"/>
    <w:rsid w:val="001620E9"/>
    <w:rsid w:val="001625CD"/>
    <w:rsid w:val="00162808"/>
    <w:rsid w:val="001628DA"/>
    <w:rsid w:val="00162BCF"/>
    <w:rsid w:val="00162CFD"/>
    <w:rsid w:val="00162D8D"/>
    <w:rsid w:val="00162E62"/>
    <w:rsid w:val="00163BB3"/>
    <w:rsid w:val="00163F19"/>
    <w:rsid w:val="00164482"/>
    <w:rsid w:val="00164C58"/>
    <w:rsid w:val="00165881"/>
    <w:rsid w:val="00165F46"/>
    <w:rsid w:val="00166022"/>
    <w:rsid w:val="0016689E"/>
    <w:rsid w:val="001678A6"/>
    <w:rsid w:val="00167BBC"/>
    <w:rsid w:val="00167CB4"/>
    <w:rsid w:val="00170C0D"/>
    <w:rsid w:val="00171540"/>
    <w:rsid w:val="00171659"/>
    <w:rsid w:val="00171EDC"/>
    <w:rsid w:val="00171F24"/>
    <w:rsid w:val="001728F4"/>
    <w:rsid w:val="00172CFE"/>
    <w:rsid w:val="00174783"/>
    <w:rsid w:val="001747BB"/>
    <w:rsid w:val="00174E29"/>
    <w:rsid w:val="001752B4"/>
    <w:rsid w:val="0017582A"/>
    <w:rsid w:val="001762A1"/>
    <w:rsid w:val="001766A7"/>
    <w:rsid w:val="001776A8"/>
    <w:rsid w:val="00177CE2"/>
    <w:rsid w:val="0018052C"/>
    <w:rsid w:val="00180612"/>
    <w:rsid w:val="00180E6A"/>
    <w:rsid w:val="00180F2C"/>
    <w:rsid w:val="00181875"/>
    <w:rsid w:val="0018196E"/>
    <w:rsid w:val="00181E6C"/>
    <w:rsid w:val="00182451"/>
    <w:rsid w:val="00183CAB"/>
    <w:rsid w:val="00183D4C"/>
    <w:rsid w:val="0018476B"/>
    <w:rsid w:val="001848C5"/>
    <w:rsid w:val="00184BE3"/>
    <w:rsid w:val="00185321"/>
    <w:rsid w:val="00185564"/>
    <w:rsid w:val="0018593F"/>
    <w:rsid w:val="00185C91"/>
    <w:rsid w:val="00186408"/>
    <w:rsid w:val="00186449"/>
    <w:rsid w:val="0018658A"/>
    <w:rsid w:val="00186E59"/>
    <w:rsid w:val="001870FC"/>
    <w:rsid w:val="00187279"/>
    <w:rsid w:val="00187804"/>
    <w:rsid w:val="00190941"/>
    <w:rsid w:val="00190E2B"/>
    <w:rsid w:val="00190F5B"/>
    <w:rsid w:val="0019115B"/>
    <w:rsid w:val="0019154B"/>
    <w:rsid w:val="001918B6"/>
    <w:rsid w:val="00191B31"/>
    <w:rsid w:val="00191C18"/>
    <w:rsid w:val="00191D5A"/>
    <w:rsid w:val="001928F3"/>
    <w:rsid w:val="00192B66"/>
    <w:rsid w:val="00192C59"/>
    <w:rsid w:val="001931B8"/>
    <w:rsid w:val="0019377B"/>
    <w:rsid w:val="001938AA"/>
    <w:rsid w:val="00193BFA"/>
    <w:rsid w:val="00193F3F"/>
    <w:rsid w:val="00193FD9"/>
    <w:rsid w:val="00194125"/>
    <w:rsid w:val="0019417E"/>
    <w:rsid w:val="001942E9"/>
    <w:rsid w:val="0019456C"/>
    <w:rsid w:val="00194F81"/>
    <w:rsid w:val="00194FBC"/>
    <w:rsid w:val="00195AF7"/>
    <w:rsid w:val="00196672"/>
    <w:rsid w:val="00196716"/>
    <w:rsid w:val="001969B7"/>
    <w:rsid w:val="00196D37"/>
    <w:rsid w:val="00196E74"/>
    <w:rsid w:val="001970E6"/>
    <w:rsid w:val="0019783D"/>
    <w:rsid w:val="00197E58"/>
    <w:rsid w:val="001A0F21"/>
    <w:rsid w:val="001A1B16"/>
    <w:rsid w:val="001A27C2"/>
    <w:rsid w:val="001A3104"/>
    <w:rsid w:val="001A3483"/>
    <w:rsid w:val="001A3687"/>
    <w:rsid w:val="001A3BCE"/>
    <w:rsid w:val="001A5400"/>
    <w:rsid w:val="001A57B8"/>
    <w:rsid w:val="001A585E"/>
    <w:rsid w:val="001A5A92"/>
    <w:rsid w:val="001A5B04"/>
    <w:rsid w:val="001A5D65"/>
    <w:rsid w:val="001A6AEA"/>
    <w:rsid w:val="001A76E0"/>
    <w:rsid w:val="001A7712"/>
    <w:rsid w:val="001A7A74"/>
    <w:rsid w:val="001A7D98"/>
    <w:rsid w:val="001B0363"/>
    <w:rsid w:val="001B0531"/>
    <w:rsid w:val="001B0A3F"/>
    <w:rsid w:val="001B0C5F"/>
    <w:rsid w:val="001B0D6D"/>
    <w:rsid w:val="001B15F4"/>
    <w:rsid w:val="001B1B49"/>
    <w:rsid w:val="001B1CD7"/>
    <w:rsid w:val="001B1F46"/>
    <w:rsid w:val="001B2325"/>
    <w:rsid w:val="001B2B19"/>
    <w:rsid w:val="001B33D3"/>
    <w:rsid w:val="001B3722"/>
    <w:rsid w:val="001B3937"/>
    <w:rsid w:val="001B3954"/>
    <w:rsid w:val="001B3A56"/>
    <w:rsid w:val="001B4131"/>
    <w:rsid w:val="001B4C74"/>
    <w:rsid w:val="001B4DD2"/>
    <w:rsid w:val="001B5246"/>
    <w:rsid w:val="001B569C"/>
    <w:rsid w:val="001B5CE2"/>
    <w:rsid w:val="001B6DD7"/>
    <w:rsid w:val="001B7232"/>
    <w:rsid w:val="001B7260"/>
    <w:rsid w:val="001B7BAD"/>
    <w:rsid w:val="001B7BDE"/>
    <w:rsid w:val="001B7F6F"/>
    <w:rsid w:val="001B7F90"/>
    <w:rsid w:val="001C0EB2"/>
    <w:rsid w:val="001C0EBC"/>
    <w:rsid w:val="001C18CB"/>
    <w:rsid w:val="001C18F7"/>
    <w:rsid w:val="001C19DE"/>
    <w:rsid w:val="001C29BA"/>
    <w:rsid w:val="001C2C2F"/>
    <w:rsid w:val="001C3237"/>
    <w:rsid w:val="001C35A7"/>
    <w:rsid w:val="001C405E"/>
    <w:rsid w:val="001C431A"/>
    <w:rsid w:val="001C43D3"/>
    <w:rsid w:val="001C4A46"/>
    <w:rsid w:val="001C56CD"/>
    <w:rsid w:val="001C5741"/>
    <w:rsid w:val="001C57B8"/>
    <w:rsid w:val="001C58EA"/>
    <w:rsid w:val="001C5E21"/>
    <w:rsid w:val="001C6691"/>
    <w:rsid w:val="001C6B5E"/>
    <w:rsid w:val="001C7297"/>
    <w:rsid w:val="001C73D1"/>
    <w:rsid w:val="001C75FB"/>
    <w:rsid w:val="001C77CC"/>
    <w:rsid w:val="001C7D6E"/>
    <w:rsid w:val="001C7FAD"/>
    <w:rsid w:val="001D0033"/>
    <w:rsid w:val="001D0205"/>
    <w:rsid w:val="001D1397"/>
    <w:rsid w:val="001D1EF2"/>
    <w:rsid w:val="001D334D"/>
    <w:rsid w:val="001D33A7"/>
    <w:rsid w:val="001D33D6"/>
    <w:rsid w:val="001D34BC"/>
    <w:rsid w:val="001D37DE"/>
    <w:rsid w:val="001D4252"/>
    <w:rsid w:val="001D42FC"/>
    <w:rsid w:val="001D44FA"/>
    <w:rsid w:val="001D4DCD"/>
    <w:rsid w:val="001D5707"/>
    <w:rsid w:val="001D588A"/>
    <w:rsid w:val="001D5D1E"/>
    <w:rsid w:val="001D6B0D"/>
    <w:rsid w:val="001D6F5C"/>
    <w:rsid w:val="001D7226"/>
    <w:rsid w:val="001D75AB"/>
    <w:rsid w:val="001D77C5"/>
    <w:rsid w:val="001E10E9"/>
    <w:rsid w:val="001E1197"/>
    <w:rsid w:val="001E15BA"/>
    <w:rsid w:val="001E16B4"/>
    <w:rsid w:val="001E16F8"/>
    <w:rsid w:val="001E18A6"/>
    <w:rsid w:val="001E1F81"/>
    <w:rsid w:val="001E2D0A"/>
    <w:rsid w:val="001E2DA8"/>
    <w:rsid w:val="001E3998"/>
    <w:rsid w:val="001E3A00"/>
    <w:rsid w:val="001E40CA"/>
    <w:rsid w:val="001E430E"/>
    <w:rsid w:val="001E4556"/>
    <w:rsid w:val="001E49D1"/>
    <w:rsid w:val="001E50DF"/>
    <w:rsid w:val="001E5619"/>
    <w:rsid w:val="001E5D77"/>
    <w:rsid w:val="001E6156"/>
    <w:rsid w:val="001E619D"/>
    <w:rsid w:val="001E6502"/>
    <w:rsid w:val="001E6F22"/>
    <w:rsid w:val="001E6FD3"/>
    <w:rsid w:val="001E7027"/>
    <w:rsid w:val="001E7167"/>
    <w:rsid w:val="001F08E1"/>
    <w:rsid w:val="001F0ADD"/>
    <w:rsid w:val="001F0F87"/>
    <w:rsid w:val="001F17A7"/>
    <w:rsid w:val="001F17AA"/>
    <w:rsid w:val="001F186C"/>
    <w:rsid w:val="001F1954"/>
    <w:rsid w:val="001F1DA4"/>
    <w:rsid w:val="001F1E6E"/>
    <w:rsid w:val="001F1F3D"/>
    <w:rsid w:val="001F216C"/>
    <w:rsid w:val="001F2BE8"/>
    <w:rsid w:val="001F3060"/>
    <w:rsid w:val="001F331F"/>
    <w:rsid w:val="001F357F"/>
    <w:rsid w:val="001F39E0"/>
    <w:rsid w:val="001F3D11"/>
    <w:rsid w:val="001F3F97"/>
    <w:rsid w:val="001F5713"/>
    <w:rsid w:val="001F5B5F"/>
    <w:rsid w:val="001F5BBB"/>
    <w:rsid w:val="001F6104"/>
    <w:rsid w:val="001F6217"/>
    <w:rsid w:val="001F698E"/>
    <w:rsid w:val="001F6CA5"/>
    <w:rsid w:val="001F6E0B"/>
    <w:rsid w:val="001F70B2"/>
    <w:rsid w:val="001F7870"/>
    <w:rsid w:val="001F79A3"/>
    <w:rsid w:val="001F7B15"/>
    <w:rsid w:val="002000BD"/>
    <w:rsid w:val="00202422"/>
    <w:rsid w:val="0020257E"/>
    <w:rsid w:val="00202E47"/>
    <w:rsid w:val="0020325E"/>
    <w:rsid w:val="0020383C"/>
    <w:rsid w:val="00203977"/>
    <w:rsid w:val="00204686"/>
    <w:rsid w:val="00204F17"/>
    <w:rsid w:val="00205026"/>
    <w:rsid w:val="00205187"/>
    <w:rsid w:val="002052A1"/>
    <w:rsid w:val="0020563C"/>
    <w:rsid w:val="002058C7"/>
    <w:rsid w:val="00205B70"/>
    <w:rsid w:val="00205CC4"/>
    <w:rsid w:val="00206A05"/>
    <w:rsid w:val="00206A59"/>
    <w:rsid w:val="0020736B"/>
    <w:rsid w:val="002076DC"/>
    <w:rsid w:val="00207D6F"/>
    <w:rsid w:val="002105D3"/>
    <w:rsid w:val="0021067C"/>
    <w:rsid w:val="00210975"/>
    <w:rsid w:val="00210CCA"/>
    <w:rsid w:val="002112AB"/>
    <w:rsid w:val="00211471"/>
    <w:rsid w:val="00211895"/>
    <w:rsid w:val="00212026"/>
    <w:rsid w:val="00213189"/>
    <w:rsid w:val="00213D3C"/>
    <w:rsid w:val="00213FD0"/>
    <w:rsid w:val="0021484E"/>
    <w:rsid w:val="002148C9"/>
    <w:rsid w:val="002153CE"/>
    <w:rsid w:val="002167B3"/>
    <w:rsid w:val="00216B42"/>
    <w:rsid w:val="00216CD4"/>
    <w:rsid w:val="00216DF7"/>
    <w:rsid w:val="002173BD"/>
    <w:rsid w:val="00217895"/>
    <w:rsid w:val="002205F7"/>
    <w:rsid w:val="002212E0"/>
    <w:rsid w:val="00221D5D"/>
    <w:rsid w:val="00221F2D"/>
    <w:rsid w:val="00222280"/>
    <w:rsid w:val="00222F8C"/>
    <w:rsid w:val="002236B3"/>
    <w:rsid w:val="002237BB"/>
    <w:rsid w:val="00223856"/>
    <w:rsid w:val="00223874"/>
    <w:rsid w:val="0022433D"/>
    <w:rsid w:val="002243C7"/>
    <w:rsid w:val="00225D04"/>
    <w:rsid w:val="0022627E"/>
    <w:rsid w:val="00226E46"/>
    <w:rsid w:val="002273DE"/>
    <w:rsid w:val="00230421"/>
    <w:rsid w:val="00230621"/>
    <w:rsid w:val="002315BE"/>
    <w:rsid w:val="002317A9"/>
    <w:rsid w:val="00231F4F"/>
    <w:rsid w:val="002321F3"/>
    <w:rsid w:val="002323F5"/>
    <w:rsid w:val="00232657"/>
    <w:rsid w:val="002329CC"/>
    <w:rsid w:val="00232C85"/>
    <w:rsid w:val="00233E2A"/>
    <w:rsid w:val="00233E95"/>
    <w:rsid w:val="00234255"/>
    <w:rsid w:val="00234371"/>
    <w:rsid w:val="00234459"/>
    <w:rsid w:val="00234E71"/>
    <w:rsid w:val="00235A37"/>
    <w:rsid w:val="00235FB8"/>
    <w:rsid w:val="0023618C"/>
    <w:rsid w:val="002364FC"/>
    <w:rsid w:val="00236643"/>
    <w:rsid w:val="002367AD"/>
    <w:rsid w:val="00237970"/>
    <w:rsid w:val="00237992"/>
    <w:rsid w:val="00237A03"/>
    <w:rsid w:val="00237C4B"/>
    <w:rsid w:val="00237F04"/>
    <w:rsid w:val="00240127"/>
    <w:rsid w:val="002404DA"/>
    <w:rsid w:val="0024148C"/>
    <w:rsid w:val="00242462"/>
    <w:rsid w:val="00242479"/>
    <w:rsid w:val="00243A73"/>
    <w:rsid w:val="002440DA"/>
    <w:rsid w:val="00244DAD"/>
    <w:rsid w:val="0024521A"/>
    <w:rsid w:val="0024541F"/>
    <w:rsid w:val="0024622B"/>
    <w:rsid w:val="00246D7C"/>
    <w:rsid w:val="00247375"/>
    <w:rsid w:val="0024768D"/>
    <w:rsid w:val="002477CA"/>
    <w:rsid w:val="00250208"/>
    <w:rsid w:val="00250693"/>
    <w:rsid w:val="00250A90"/>
    <w:rsid w:val="00250B77"/>
    <w:rsid w:val="002512F9"/>
    <w:rsid w:val="002514E2"/>
    <w:rsid w:val="002514F9"/>
    <w:rsid w:val="0025246E"/>
    <w:rsid w:val="0025274E"/>
    <w:rsid w:val="00252775"/>
    <w:rsid w:val="002529F0"/>
    <w:rsid w:val="00252CB0"/>
    <w:rsid w:val="0025323D"/>
    <w:rsid w:val="0025377A"/>
    <w:rsid w:val="00253859"/>
    <w:rsid w:val="002543B4"/>
    <w:rsid w:val="00254F70"/>
    <w:rsid w:val="002550A4"/>
    <w:rsid w:val="00255221"/>
    <w:rsid w:val="002558A0"/>
    <w:rsid w:val="002558C4"/>
    <w:rsid w:val="00255CFB"/>
    <w:rsid w:val="00256933"/>
    <w:rsid w:val="00256CA6"/>
    <w:rsid w:val="00256F3D"/>
    <w:rsid w:val="002570B1"/>
    <w:rsid w:val="002570D4"/>
    <w:rsid w:val="00257287"/>
    <w:rsid w:val="002577BC"/>
    <w:rsid w:val="0025781D"/>
    <w:rsid w:val="00260987"/>
    <w:rsid w:val="00260BCE"/>
    <w:rsid w:val="00261CBB"/>
    <w:rsid w:val="002628AF"/>
    <w:rsid w:val="00262A6C"/>
    <w:rsid w:val="00262FD9"/>
    <w:rsid w:val="002638BB"/>
    <w:rsid w:val="002639F0"/>
    <w:rsid w:val="00263D80"/>
    <w:rsid w:val="00264971"/>
    <w:rsid w:val="00264B3B"/>
    <w:rsid w:val="00264F14"/>
    <w:rsid w:val="00264F84"/>
    <w:rsid w:val="00265B06"/>
    <w:rsid w:val="002661BF"/>
    <w:rsid w:val="0026654D"/>
    <w:rsid w:val="00266C5D"/>
    <w:rsid w:val="00266D21"/>
    <w:rsid w:val="00267046"/>
    <w:rsid w:val="00267200"/>
    <w:rsid w:val="0026797F"/>
    <w:rsid w:val="00267A31"/>
    <w:rsid w:val="00267C17"/>
    <w:rsid w:val="00270299"/>
    <w:rsid w:val="002704AE"/>
    <w:rsid w:val="0027085E"/>
    <w:rsid w:val="002708D3"/>
    <w:rsid w:val="002709D2"/>
    <w:rsid w:val="00270FCD"/>
    <w:rsid w:val="0027155B"/>
    <w:rsid w:val="00271575"/>
    <w:rsid w:val="00271B4F"/>
    <w:rsid w:val="00271BA0"/>
    <w:rsid w:val="00271DEB"/>
    <w:rsid w:val="00272433"/>
    <w:rsid w:val="0027394A"/>
    <w:rsid w:val="0027450E"/>
    <w:rsid w:val="00274943"/>
    <w:rsid w:val="00275BE1"/>
    <w:rsid w:val="00275DFE"/>
    <w:rsid w:val="00275F1F"/>
    <w:rsid w:val="00276A73"/>
    <w:rsid w:val="00276B9D"/>
    <w:rsid w:val="00280417"/>
    <w:rsid w:val="00280707"/>
    <w:rsid w:val="0028076A"/>
    <w:rsid w:val="0028093A"/>
    <w:rsid w:val="00281716"/>
    <w:rsid w:val="00281D4E"/>
    <w:rsid w:val="0028209B"/>
    <w:rsid w:val="00282179"/>
    <w:rsid w:val="0028220C"/>
    <w:rsid w:val="00282546"/>
    <w:rsid w:val="0028263C"/>
    <w:rsid w:val="00282E5B"/>
    <w:rsid w:val="00283145"/>
    <w:rsid w:val="002832D2"/>
    <w:rsid w:val="0028347C"/>
    <w:rsid w:val="002835C3"/>
    <w:rsid w:val="00283643"/>
    <w:rsid w:val="002843FE"/>
    <w:rsid w:val="00284903"/>
    <w:rsid w:val="00286148"/>
    <w:rsid w:val="00286B63"/>
    <w:rsid w:val="00286D7A"/>
    <w:rsid w:val="00286F1F"/>
    <w:rsid w:val="00286F40"/>
    <w:rsid w:val="002871A4"/>
    <w:rsid w:val="00287A33"/>
    <w:rsid w:val="0029043A"/>
    <w:rsid w:val="00291448"/>
    <w:rsid w:val="00291D5B"/>
    <w:rsid w:val="00291F0B"/>
    <w:rsid w:val="00292274"/>
    <w:rsid w:val="002923A7"/>
    <w:rsid w:val="002934AD"/>
    <w:rsid w:val="0029457A"/>
    <w:rsid w:val="002946AC"/>
    <w:rsid w:val="00294D78"/>
    <w:rsid w:val="00294ED0"/>
    <w:rsid w:val="002958C2"/>
    <w:rsid w:val="00295C2B"/>
    <w:rsid w:val="00295E8C"/>
    <w:rsid w:val="00295F6B"/>
    <w:rsid w:val="00296CD6"/>
    <w:rsid w:val="0029719D"/>
    <w:rsid w:val="00297A1E"/>
    <w:rsid w:val="002A01F2"/>
    <w:rsid w:val="002A0CE6"/>
    <w:rsid w:val="002A0F0C"/>
    <w:rsid w:val="002A1570"/>
    <w:rsid w:val="002A1D99"/>
    <w:rsid w:val="002A2008"/>
    <w:rsid w:val="002A22C5"/>
    <w:rsid w:val="002A2710"/>
    <w:rsid w:val="002A281D"/>
    <w:rsid w:val="002A2F6C"/>
    <w:rsid w:val="002A2FE6"/>
    <w:rsid w:val="002A35E0"/>
    <w:rsid w:val="002A37F1"/>
    <w:rsid w:val="002A3996"/>
    <w:rsid w:val="002A3A10"/>
    <w:rsid w:val="002A3B46"/>
    <w:rsid w:val="002A3BDD"/>
    <w:rsid w:val="002A3CE1"/>
    <w:rsid w:val="002A40ED"/>
    <w:rsid w:val="002A4191"/>
    <w:rsid w:val="002A4FB0"/>
    <w:rsid w:val="002A5547"/>
    <w:rsid w:val="002A6A16"/>
    <w:rsid w:val="002A6C21"/>
    <w:rsid w:val="002A7914"/>
    <w:rsid w:val="002A7D0F"/>
    <w:rsid w:val="002B0718"/>
    <w:rsid w:val="002B079A"/>
    <w:rsid w:val="002B11B9"/>
    <w:rsid w:val="002B1C18"/>
    <w:rsid w:val="002B1FCD"/>
    <w:rsid w:val="002B24E1"/>
    <w:rsid w:val="002B2B1B"/>
    <w:rsid w:val="002B3577"/>
    <w:rsid w:val="002B3C0C"/>
    <w:rsid w:val="002B43E2"/>
    <w:rsid w:val="002B5125"/>
    <w:rsid w:val="002B5513"/>
    <w:rsid w:val="002B5C28"/>
    <w:rsid w:val="002B5DE6"/>
    <w:rsid w:val="002B5F5C"/>
    <w:rsid w:val="002B6106"/>
    <w:rsid w:val="002B6273"/>
    <w:rsid w:val="002B6D4D"/>
    <w:rsid w:val="002B6D9A"/>
    <w:rsid w:val="002B6F68"/>
    <w:rsid w:val="002C00E2"/>
    <w:rsid w:val="002C07B5"/>
    <w:rsid w:val="002C088C"/>
    <w:rsid w:val="002C09D4"/>
    <w:rsid w:val="002C10D8"/>
    <w:rsid w:val="002C2097"/>
    <w:rsid w:val="002C21A9"/>
    <w:rsid w:val="002C23B6"/>
    <w:rsid w:val="002C271F"/>
    <w:rsid w:val="002C3DEB"/>
    <w:rsid w:val="002C3E24"/>
    <w:rsid w:val="002C4429"/>
    <w:rsid w:val="002C4714"/>
    <w:rsid w:val="002C47E8"/>
    <w:rsid w:val="002C50FE"/>
    <w:rsid w:val="002C596C"/>
    <w:rsid w:val="002C59FC"/>
    <w:rsid w:val="002C5A85"/>
    <w:rsid w:val="002C5EE0"/>
    <w:rsid w:val="002C6656"/>
    <w:rsid w:val="002C6A69"/>
    <w:rsid w:val="002C755E"/>
    <w:rsid w:val="002D007A"/>
    <w:rsid w:val="002D0BD6"/>
    <w:rsid w:val="002D1053"/>
    <w:rsid w:val="002D18A7"/>
    <w:rsid w:val="002D1D07"/>
    <w:rsid w:val="002D1EB8"/>
    <w:rsid w:val="002D21D6"/>
    <w:rsid w:val="002D312F"/>
    <w:rsid w:val="002D369B"/>
    <w:rsid w:val="002D3CDE"/>
    <w:rsid w:val="002D3D8C"/>
    <w:rsid w:val="002D426D"/>
    <w:rsid w:val="002D4741"/>
    <w:rsid w:val="002D4EC2"/>
    <w:rsid w:val="002D502E"/>
    <w:rsid w:val="002D5102"/>
    <w:rsid w:val="002D547A"/>
    <w:rsid w:val="002D5A33"/>
    <w:rsid w:val="002D657D"/>
    <w:rsid w:val="002D6985"/>
    <w:rsid w:val="002D763B"/>
    <w:rsid w:val="002D789E"/>
    <w:rsid w:val="002E00DE"/>
    <w:rsid w:val="002E017F"/>
    <w:rsid w:val="002E0904"/>
    <w:rsid w:val="002E0AD4"/>
    <w:rsid w:val="002E0EB7"/>
    <w:rsid w:val="002E0F11"/>
    <w:rsid w:val="002E10D6"/>
    <w:rsid w:val="002E15EA"/>
    <w:rsid w:val="002E16C5"/>
    <w:rsid w:val="002E1A0E"/>
    <w:rsid w:val="002E1A1D"/>
    <w:rsid w:val="002E1B8E"/>
    <w:rsid w:val="002E1BA2"/>
    <w:rsid w:val="002E1BBE"/>
    <w:rsid w:val="002E1EB8"/>
    <w:rsid w:val="002E2B4E"/>
    <w:rsid w:val="002E34FE"/>
    <w:rsid w:val="002E3647"/>
    <w:rsid w:val="002E3AFF"/>
    <w:rsid w:val="002E3C1E"/>
    <w:rsid w:val="002E4038"/>
    <w:rsid w:val="002E4433"/>
    <w:rsid w:val="002E51E5"/>
    <w:rsid w:val="002E51FA"/>
    <w:rsid w:val="002E52FC"/>
    <w:rsid w:val="002E5DE4"/>
    <w:rsid w:val="002E638A"/>
    <w:rsid w:val="002E7B71"/>
    <w:rsid w:val="002F0B05"/>
    <w:rsid w:val="002F0EEC"/>
    <w:rsid w:val="002F27C2"/>
    <w:rsid w:val="002F2BC9"/>
    <w:rsid w:val="002F2DB5"/>
    <w:rsid w:val="002F31F0"/>
    <w:rsid w:val="002F372B"/>
    <w:rsid w:val="002F40F3"/>
    <w:rsid w:val="002F4355"/>
    <w:rsid w:val="002F47A2"/>
    <w:rsid w:val="002F50F3"/>
    <w:rsid w:val="002F60FA"/>
    <w:rsid w:val="002F6B60"/>
    <w:rsid w:val="002F72F2"/>
    <w:rsid w:val="00300759"/>
    <w:rsid w:val="00300B0D"/>
    <w:rsid w:val="00300EDD"/>
    <w:rsid w:val="0030163D"/>
    <w:rsid w:val="00301EDC"/>
    <w:rsid w:val="0030202F"/>
    <w:rsid w:val="00302156"/>
    <w:rsid w:val="003022A4"/>
    <w:rsid w:val="003025C8"/>
    <w:rsid w:val="003027E9"/>
    <w:rsid w:val="0030300F"/>
    <w:rsid w:val="003030A0"/>
    <w:rsid w:val="00303FE9"/>
    <w:rsid w:val="00304269"/>
    <w:rsid w:val="003044D1"/>
    <w:rsid w:val="003046D5"/>
    <w:rsid w:val="00305105"/>
    <w:rsid w:val="0030541D"/>
    <w:rsid w:val="0030583B"/>
    <w:rsid w:val="00306371"/>
    <w:rsid w:val="0030671F"/>
    <w:rsid w:val="00306AD6"/>
    <w:rsid w:val="003072A2"/>
    <w:rsid w:val="003079DD"/>
    <w:rsid w:val="003101BD"/>
    <w:rsid w:val="00310512"/>
    <w:rsid w:val="00310677"/>
    <w:rsid w:val="0031079E"/>
    <w:rsid w:val="00310854"/>
    <w:rsid w:val="00310998"/>
    <w:rsid w:val="00310B0B"/>
    <w:rsid w:val="00310C5B"/>
    <w:rsid w:val="003118CA"/>
    <w:rsid w:val="00311B6B"/>
    <w:rsid w:val="00311EC8"/>
    <w:rsid w:val="0031253F"/>
    <w:rsid w:val="003129C1"/>
    <w:rsid w:val="00312A24"/>
    <w:rsid w:val="00312E95"/>
    <w:rsid w:val="00312EA4"/>
    <w:rsid w:val="00313355"/>
    <w:rsid w:val="00313487"/>
    <w:rsid w:val="00313A2C"/>
    <w:rsid w:val="0031580B"/>
    <w:rsid w:val="00316238"/>
    <w:rsid w:val="00316453"/>
    <w:rsid w:val="00316AEA"/>
    <w:rsid w:val="00316E45"/>
    <w:rsid w:val="0031776C"/>
    <w:rsid w:val="00317F84"/>
    <w:rsid w:val="0032030A"/>
    <w:rsid w:val="00320754"/>
    <w:rsid w:val="00320E43"/>
    <w:rsid w:val="00321375"/>
    <w:rsid w:val="00321424"/>
    <w:rsid w:val="003223C9"/>
    <w:rsid w:val="003226E3"/>
    <w:rsid w:val="00322F4A"/>
    <w:rsid w:val="0032365E"/>
    <w:rsid w:val="00323760"/>
    <w:rsid w:val="00323768"/>
    <w:rsid w:val="003237F9"/>
    <w:rsid w:val="003238EF"/>
    <w:rsid w:val="003239B8"/>
    <w:rsid w:val="00323B3A"/>
    <w:rsid w:val="00323BFA"/>
    <w:rsid w:val="00323E71"/>
    <w:rsid w:val="003260B3"/>
    <w:rsid w:val="00326B49"/>
    <w:rsid w:val="00326D4F"/>
    <w:rsid w:val="003270A1"/>
    <w:rsid w:val="003275BA"/>
    <w:rsid w:val="00327B4B"/>
    <w:rsid w:val="00327B64"/>
    <w:rsid w:val="00327BC5"/>
    <w:rsid w:val="00327CE4"/>
    <w:rsid w:val="0033037A"/>
    <w:rsid w:val="003303B0"/>
    <w:rsid w:val="0033048B"/>
    <w:rsid w:val="0033086C"/>
    <w:rsid w:val="00330C20"/>
    <w:rsid w:val="003315A7"/>
    <w:rsid w:val="00331B6F"/>
    <w:rsid w:val="0033298F"/>
    <w:rsid w:val="0033317A"/>
    <w:rsid w:val="00333294"/>
    <w:rsid w:val="00333470"/>
    <w:rsid w:val="003334E9"/>
    <w:rsid w:val="003335C3"/>
    <w:rsid w:val="003342E2"/>
    <w:rsid w:val="003345D4"/>
    <w:rsid w:val="00335C22"/>
    <w:rsid w:val="00335CB1"/>
    <w:rsid w:val="00335D3D"/>
    <w:rsid w:val="003369A1"/>
    <w:rsid w:val="00336A76"/>
    <w:rsid w:val="003371B3"/>
    <w:rsid w:val="00337D0F"/>
    <w:rsid w:val="00341013"/>
    <w:rsid w:val="003421CD"/>
    <w:rsid w:val="00342A45"/>
    <w:rsid w:val="00342B66"/>
    <w:rsid w:val="00342B88"/>
    <w:rsid w:val="0034301D"/>
    <w:rsid w:val="00343152"/>
    <w:rsid w:val="00343218"/>
    <w:rsid w:val="003433D6"/>
    <w:rsid w:val="003434CE"/>
    <w:rsid w:val="003441BF"/>
    <w:rsid w:val="00344392"/>
    <w:rsid w:val="0034466E"/>
    <w:rsid w:val="00344F86"/>
    <w:rsid w:val="003451F5"/>
    <w:rsid w:val="00345635"/>
    <w:rsid w:val="00346B60"/>
    <w:rsid w:val="003478ED"/>
    <w:rsid w:val="00350481"/>
    <w:rsid w:val="00350566"/>
    <w:rsid w:val="003506A8"/>
    <w:rsid w:val="003506C0"/>
    <w:rsid w:val="00350B72"/>
    <w:rsid w:val="0035134F"/>
    <w:rsid w:val="003515AD"/>
    <w:rsid w:val="0035166A"/>
    <w:rsid w:val="00352302"/>
    <w:rsid w:val="00352A55"/>
    <w:rsid w:val="003531B7"/>
    <w:rsid w:val="00354052"/>
    <w:rsid w:val="00354161"/>
    <w:rsid w:val="00354729"/>
    <w:rsid w:val="003554CA"/>
    <w:rsid w:val="003556AD"/>
    <w:rsid w:val="0035577E"/>
    <w:rsid w:val="00355B97"/>
    <w:rsid w:val="00356396"/>
    <w:rsid w:val="003566E4"/>
    <w:rsid w:val="00356B99"/>
    <w:rsid w:val="003574D8"/>
    <w:rsid w:val="00357A04"/>
    <w:rsid w:val="0036002E"/>
    <w:rsid w:val="0036082E"/>
    <w:rsid w:val="00360947"/>
    <w:rsid w:val="00360C14"/>
    <w:rsid w:val="0036203A"/>
    <w:rsid w:val="003625D0"/>
    <w:rsid w:val="00362DCA"/>
    <w:rsid w:val="003630BC"/>
    <w:rsid w:val="003639ED"/>
    <w:rsid w:val="00365341"/>
    <w:rsid w:val="0036582D"/>
    <w:rsid w:val="00365B68"/>
    <w:rsid w:val="00365FF0"/>
    <w:rsid w:val="0036610A"/>
    <w:rsid w:val="00366A8A"/>
    <w:rsid w:val="00366BF4"/>
    <w:rsid w:val="0037061A"/>
    <w:rsid w:val="003706F8"/>
    <w:rsid w:val="00370864"/>
    <w:rsid w:val="0037102D"/>
    <w:rsid w:val="003719ED"/>
    <w:rsid w:val="00371F24"/>
    <w:rsid w:val="00372A15"/>
    <w:rsid w:val="00372D40"/>
    <w:rsid w:val="00373A38"/>
    <w:rsid w:val="003741FB"/>
    <w:rsid w:val="0037454D"/>
    <w:rsid w:val="003747F6"/>
    <w:rsid w:val="00374800"/>
    <w:rsid w:val="00374C36"/>
    <w:rsid w:val="00374EEF"/>
    <w:rsid w:val="0037574C"/>
    <w:rsid w:val="0037587D"/>
    <w:rsid w:val="00375995"/>
    <w:rsid w:val="00375E70"/>
    <w:rsid w:val="003761E7"/>
    <w:rsid w:val="00376330"/>
    <w:rsid w:val="0037681D"/>
    <w:rsid w:val="0037733A"/>
    <w:rsid w:val="00377410"/>
    <w:rsid w:val="0037757C"/>
    <w:rsid w:val="003775A1"/>
    <w:rsid w:val="00377746"/>
    <w:rsid w:val="003777B0"/>
    <w:rsid w:val="00377927"/>
    <w:rsid w:val="00380857"/>
    <w:rsid w:val="00380875"/>
    <w:rsid w:val="003813B7"/>
    <w:rsid w:val="00381554"/>
    <w:rsid w:val="0038176E"/>
    <w:rsid w:val="00381D29"/>
    <w:rsid w:val="00382703"/>
    <w:rsid w:val="00382E3D"/>
    <w:rsid w:val="00382F24"/>
    <w:rsid w:val="0038351B"/>
    <w:rsid w:val="003839B0"/>
    <w:rsid w:val="00383CA1"/>
    <w:rsid w:val="00383F3F"/>
    <w:rsid w:val="003849D1"/>
    <w:rsid w:val="00385035"/>
    <w:rsid w:val="00385BE7"/>
    <w:rsid w:val="003862A8"/>
    <w:rsid w:val="00386319"/>
    <w:rsid w:val="0038643C"/>
    <w:rsid w:val="00386BA3"/>
    <w:rsid w:val="00386C9D"/>
    <w:rsid w:val="00387667"/>
    <w:rsid w:val="00387707"/>
    <w:rsid w:val="003879DD"/>
    <w:rsid w:val="00387C05"/>
    <w:rsid w:val="00387C07"/>
    <w:rsid w:val="00387E38"/>
    <w:rsid w:val="003900AC"/>
    <w:rsid w:val="00390776"/>
    <w:rsid w:val="00390A12"/>
    <w:rsid w:val="00390B2B"/>
    <w:rsid w:val="0039132A"/>
    <w:rsid w:val="003915A2"/>
    <w:rsid w:val="00391810"/>
    <w:rsid w:val="00391CBC"/>
    <w:rsid w:val="00391FD8"/>
    <w:rsid w:val="003925A7"/>
    <w:rsid w:val="00392782"/>
    <w:rsid w:val="0039283E"/>
    <w:rsid w:val="00392EAC"/>
    <w:rsid w:val="003940D6"/>
    <w:rsid w:val="00394547"/>
    <w:rsid w:val="00394877"/>
    <w:rsid w:val="00394A4B"/>
    <w:rsid w:val="0039568B"/>
    <w:rsid w:val="00395BDA"/>
    <w:rsid w:val="00395CB5"/>
    <w:rsid w:val="0039647F"/>
    <w:rsid w:val="003966A1"/>
    <w:rsid w:val="0039691C"/>
    <w:rsid w:val="00396FBA"/>
    <w:rsid w:val="00397219"/>
    <w:rsid w:val="00397352"/>
    <w:rsid w:val="003A08F0"/>
    <w:rsid w:val="003A0BB3"/>
    <w:rsid w:val="003A0D29"/>
    <w:rsid w:val="003A0F26"/>
    <w:rsid w:val="003A1037"/>
    <w:rsid w:val="003A2436"/>
    <w:rsid w:val="003A2C69"/>
    <w:rsid w:val="003A31A9"/>
    <w:rsid w:val="003A3920"/>
    <w:rsid w:val="003A3A06"/>
    <w:rsid w:val="003A3AC2"/>
    <w:rsid w:val="003A57C9"/>
    <w:rsid w:val="003A5C2D"/>
    <w:rsid w:val="003A5E40"/>
    <w:rsid w:val="003A5F3C"/>
    <w:rsid w:val="003A62F3"/>
    <w:rsid w:val="003A6561"/>
    <w:rsid w:val="003A6B2A"/>
    <w:rsid w:val="003A74C4"/>
    <w:rsid w:val="003A7802"/>
    <w:rsid w:val="003A79AC"/>
    <w:rsid w:val="003A7BFE"/>
    <w:rsid w:val="003B046C"/>
    <w:rsid w:val="003B050D"/>
    <w:rsid w:val="003B0D24"/>
    <w:rsid w:val="003B1018"/>
    <w:rsid w:val="003B10F2"/>
    <w:rsid w:val="003B1A0E"/>
    <w:rsid w:val="003B1D38"/>
    <w:rsid w:val="003B2059"/>
    <w:rsid w:val="003B2317"/>
    <w:rsid w:val="003B2A9B"/>
    <w:rsid w:val="003B2C1F"/>
    <w:rsid w:val="003B2FBC"/>
    <w:rsid w:val="003B315B"/>
    <w:rsid w:val="003B3670"/>
    <w:rsid w:val="003B3983"/>
    <w:rsid w:val="003B3AE9"/>
    <w:rsid w:val="003B3DE5"/>
    <w:rsid w:val="003B3E56"/>
    <w:rsid w:val="003B407F"/>
    <w:rsid w:val="003B5049"/>
    <w:rsid w:val="003B5272"/>
    <w:rsid w:val="003B5280"/>
    <w:rsid w:val="003B696C"/>
    <w:rsid w:val="003B7131"/>
    <w:rsid w:val="003B7204"/>
    <w:rsid w:val="003B7240"/>
    <w:rsid w:val="003B7377"/>
    <w:rsid w:val="003B7432"/>
    <w:rsid w:val="003B7932"/>
    <w:rsid w:val="003B7EE1"/>
    <w:rsid w:val="003C008E"/>
    <w:rsid w:val="003C04E0"/>
    <w:rsid w:val="003C060D"/>
    <w:rsid w:val="003C0786"/>
    <w:rsid w:val="003C08AE"/>
    <w:rsid w:val="003C0A8C"/>
    <w:rsid w:val="003C0F68"/>
    <w:rsid w:val="003C1580"/>
    <w:rsid w:val="003C1581"/>
    <w:rsid w:val="003C1AC0"/>
    <w:rsid w:val="003C1CA4"/>
    <w:rsid w:val="003C2502"/>
    <w:rsid w:val="003C290D"/>
    <w:rsid w:val="003C2954"/>
    <w:rsid w:val="003C2A47"/>
    <w:rsid w:val="003C2C07"/>
    <w:rsid w:val="003C32B5"/>
    <w:rsid w:val="003C4D49"/>
    <w:rsid w:val="003C5C04"/>
    <w:rsid w:val="003C7103"/>
    <w:rsid w:val="003C758C"/>
    <w:rsid w:val="003C7618"/>
    <w:rsid w:val="003C782B"/>
    <w:rsid w:val="003C7D1C"/>
    <w:rsid w:val="003D0661"/>
    <w:rsid w:val="003D07B5"/>
    <w:rsid w:val="003D0864"/>
    <w:rsid w:val="003D0FE2"/>
    <w:rsid w:val="003D0FF0"/>
    <w:rsid w:val="003D1796"/>
    <w:rsid w:val="003D1869"/>
    <w:rsid w:val="003D19A9"/>
    <w:rsid w:val="003D225D"/>
    <w:rsid w:val="003D2708"/>
    <w:rsid w:val="003D3102"/>
    <w:rsid w:val="003D36E4"/>
    <w:rsid w:val="003D385F"/>
    <w:rsid w:val="003D41DE"/>
    <w:rsid w:val="003D4691"/>
    <w:rsid w:val="003D54E1"/>
    <w:rsid w:val="003D5933"/>
    <w:rsid w:val="003D61FE"/>
    <w:rsid w:val="003D6326"/>
    <w:rsid w:val="003D6413"/>
    <w:rsid w:val="003D6B55"/>
    <w:rsid w:val="003D6C99"/>
    <w:rsid w:val="003D6EDA"/>
    <w:rsid w:val="003D75B2"/>
    <w:rsid w:val="003D7C0F"/>
    <w:rsid w:val="003D7FCB"/>
    <w:rsid w:val="003E067E"/>
    <w:rsid w:val="003E0A48"/>
    <w:rsid w:val="003E0C82"/>
    <w:rsid w:val="003E0D4E"/>
    <w:rsid w:val="003E1C44"/>
    <w:rsid w:val="003E1D5C"/>
    <w:rsid w:val="003E1F08"/>
    <w:rsid w:val="003E1FA7"/>
    <w:rsid w:val="003E2346"/>
    <w:rsid w:val="003E2461"/>
    <w:rsid w:val="003E2572"/>
    <w:rsid w:val="003E267C"/>
    <w:rsid w:val="003E2F22"/>
    <w:rsid w:val="003E2F7C"/>
    <w:rsid w:val="003E3199"/>
    <w:rsid w:val="003E39A6"/>
    <w:rsid w:val="003E3B8C"/>
    <w:rsid w:val="003E3DF4"/>
    <w:rsid w:val="003E400E"/>
    <w:rsid w:val="003E417A"/>
    <w:rsid w:val="003E44BF"/>
    <w:rsid w:val="003E5E41"/>
    <w:rsid w:val="003E6543"/>
    <w:rsid w:val="003E678A"/>
    <w:rsid w:val="003E6E2A"/>
    <w:rsid w:val="003E7ECD"/>
    <w:rsid w:val="003F00E8"/>
    <w:rsid w:val="003F0100"/>
    <w:rsid w:val="003F01C7"/>
    <w:rsid w:val="003F09D3"/>
    <w:rsid w:val="003F0E2E"/>
    <w:rsid w:val="003F113D"/>
    <w:rsid w:val="003F21EA"/>
    <w:rsid w:val="003F304D"/>
    <w:rsid w:val="003F3B80"/>
    <w:rsid w:val="003F3CE9"/>
    <w:rsid w:val="003F4024"/>
    <w:rsid w:val="003F42F4"/>
    <w:rsid w:val="003F42F6"/>
    <w:rsid w:val="003F4371"/>
    <w:rsid w:val="003F4C70"/>
    <w:rsid w:val="003F5484"/>
    <w:rsid w:val="003F55C7"/>
    <w:rsid w:val="003F5871"/>
    <w:rsid w:val="003F5978"/>
    <w:rsid w:val="003F5D46"/>
    <w:rsid w:val="003F5DBB"/>
    <w:rsid w:val="003F60E8"/>
    <w:rsid w:val="003F6C1C"/>
    <w:rsid w:val="003F791B"/>
    <w:rsid w:val="003F7992"/>
    <w:rsid w:val="004001C3"/>
    <w:rsid w:val="00400D47"/>
    <w:rsid w:val="004016D2"/>
    <w:rsid w:val="00401730"/>
    <w:rsid w:val="004019BA"/>
    <w:rsid w:val="0040207D"/>
    <w:rsid w:val="00402353"/>
    <w:rsid w:val="0040274D"/>
    <w:rsid w:val="004029D2"/>
    <w:rsid w:val="00403C18"/>
    <w:rsid w:val="00405740"/>
    <w:rsid w:val="004057E4"/>
    <w:rsid w:val="00405AEC"/>
    <w:rsid w:val="00405B17"/>
    <w:rsid w:val="004061BA"/>
    <w:rsid w:val="00406A70"/>
    <w:rsid w:val="00406C79"/>
    <w:rsid w:val="00406F21"/>
    <w:rsid w:val="0040707B"/>
    <w:rsid w:val="00407285"/>
    <w:rsid w:val="00407330"/>
    <w:rsid w:val="00407E2D"/>
    <w:rsid w:val="00410009"/>
    <w:rsid w:val="004104DD"/>
    <w:rsid w:val="00410583"/>
    <w:rsid w:val="00410AC2"/>
    <w:rsid w:val="00411292"/>
    <w:rsid w:val="00411364"/>
    <w:rsid w:val="00411BCD"/>
    <w:rsid w:val="00411D2C"/>
    <w:rsid w:val="00412069"/>
    <w:rsid w:val="00412239"/>
    <w:rsid w:val="00412551"/>
    <w:rsid w:val="00412755"/>
    <w:rsid w:val="00412CFE"/>
    <w:rsid w:val="00412DED"/>
    <w:rsid w:val="00413365"/>
    <w:rsid w:val="004134B1"/>
    <w:rsid w:val="004136A3"/>
    <w:rsid w:val="00413921"/>
    <w:rsid w:val="00413C40"/>
    <w:rsid w:val="00413F59"/>
    <w:rsid w:val="00414062"/>
    <w:rsid w:val="004145D0"/>
    <w:rsid w:val="004146BD"/>
    <w:rsid w:val="00414C24"/>
    <w:rsid w:val="00414C41"/>
    <w:rsid w:val="00414D61"/>
    <w:rsid w:val="004153E4"/>
    <w:rsid w:val="004155F7"/>
    <w:rsid w:val="00415794"/>
    <w:rsid w:val="0041588A"/>
    <w:rsid w:val="004164CC"/>
    <w:rsid w:val="004165BE"/>
    <w:rsid w:val="004176F6"/>
    <w:rsid w:val="00417F05"/>
    <w:rsid w:val="00420016"/>
    <w:rsid w:val="00420A37"/>
    <w:rsid w:val="00420EBA"/>
    <w:rsid w:val="0042292D"/>
    <w:rsid w:val="00422DE7"/>
    <w:rsid w:val="00422EC4"/>
    <w:rsid w:val="004233DE"/>
    <w:rsid w:val="00423466"/>
    <w:rsid w:val="00423B07"/>
    <w:rsid w:val="00423F0D"/>
    <w:rsid w:val="00424003"/>
    <w:rsid w:val="00424684"/>
    <w:rsid w:val="00425789"/>
    <w:rsid w:val="00426084"/>
    <w:rsid w:val="00426A0B"/>
    <w:rsid w:val="00426EEF"/>
    <w:rsid w:val="00427357"/>
    <w:rsid w:val="00427A25"/>
    <w:rsid w:val="004306A8"/>
    <w:rsid w:val="00430D04"/>
    <w:rsid w:val="004310E4"/>
    <w:rsid w:val="004312AA"/>
    <w:rsid w:val="0043206A"/>
    <w:rsid w:val="00432756"/>
    <w:rsid w:val="00432A33"/>
    <w:rsid w:val="00432B59"/>
    <w:rsid w:val="00432CAC"/>
    <w:rsid w:val="00432E0F"/>
    <w:rsid w:val="00433476"/>
    <w:rsid w:val="004337DC"/>
    <w:rsid w:val="00433F61"/>
    <w:rsid w:val="00434109"/>
    <w:rsid w:val="004342DA"/>
    <w:rsid w:val="00434BC9"/>
    <w:rsid w:val="00435593"/>
    <w:rsid w:val="0043630F"/>
    <w:rsid w:val="0043642F"/>
    <w:rsid w:val="00436B46"/>
    <w:rsid w:val="00437442"/>
    <w:rsid w:val="0044037A"/>
    <w:rsid w:val="004407AB"/>
    <w:rsid w:val="00440884"/>
    <w:rsid w:val="00441941"/>
    <w:rsid w:val="00441BB9"/>
    <w:rsid w:val="0044222C"/>
    <w:rsid w:val="00442CEC"/>
    <w:rsid w:val="004448DF"/>
    <w:rsid w:val="00444E8F"/>
    <w:rsid w:val="004455A3"/>
    <w:rsid w:val="0044578D"/>
    <w:rsid w:val="00445D3B"/>
    <w:rsid w:val="00445EA5"/>
    <w:rsid w:val="0044650D"/>
    <w:rsid w:val="0044655A"/>
    <w:rsid w:val="00446C04"/>
    <w:rsid w:val="004474EC"/>
    <w:rsid w:val="004479B6"/>
    <w:rsid w:val="00447E2C"/>
    <w:rsid w:val="00450515"/>
    <w:rsid w:val="004506D0"/>
    <w:rsid w:val="00450FC3"/>
    <w:rsid w:val="00450FFA"/>
    <w:rsid w:val="00451E2E"/>
    <w:rsid w:val="00451FE4"/>
    <w:rsid w:val="004526C7"/>
    <w:rsid w:val="00452994"/>
    <w:rsid w:val="00452A5F"/>
    <w:rsid w:val="00453054"/>
    <w:rsid w:val="00453C3A"/>
    <w:rsid w:val="00454041"/>
    <w:rsid w:val="00454DA5"/>
    <w:rsid w:val="004550F7"/>
    <w:rsid w:val="0045515E"/>
    <w:rsid w:val="00455711"/>
    <w:rsid w:val="00455DCF"/>
    <w:rsid w:val="004560A1"/>
    <w:rsid w:val="004568C5"/>
    <w:rsid w:val="00456C16"/>
    <w:rsid w:val="0045720C"/>
    <w:rsid w:val="00457BF6"/>
    <w:rsid w:val="00460ECE"/>
    <w:rsid w:val="00460F71"/>
    <w:rsid w:val="00460F8D"/>
    <w:rsid w:val="00461055"/>
    <w:rsid w:val="004623E0"/>
    <w:rsid w:val="004631C1"/>
    <w:rsid w:val="0046391C"/>
    <w:rsid w:val="004639E4"/>
    <w:rsid w:val="00463F8E"/>
    <w:rsid w:val="00463F9D"/>
    <w:rsid w:val="00464BCD"/>
    <w:rsid w:val="00464BFB"/>
    <w:rsid w:val="0046570E"/>
    <w:rsid w:val="00465A79"/>
    <w:rsid w:val="00465CF4"/>
    <w:rsid w:val="00466133"/>
    <w:rsid w:val="004667E3"/>
    <w:rsid w:val="00466DA3"/>
    <w:rsid w:val="00466E9F"/>
    <w:rsid w:val="00467814"/>
    <w:rsid w:val="00470AF4"/>
    <w:rsid w:val="00470EEF"/>
    <w:rsid w:val="0047126F"/>
    <w:rsid w:val="00471508"/>
    <w:rsid w:val="004718A3"/>
    <w:rsid w:val="00471A9D"/>
    <w:rsid w:val="00471F9C"/>
    <w:rsid w:val="00472AF6"/>
    <w:rsid w:val="0047365E"/>
    <w:rsid w:val="00473C1C"/>
    <w:rsid w:val="00473F17"/>
    <w:rsid w:val="004746BC"/>
    <w:rsid w:val="0047493A"/>
    <w:rsid w:val="004752F2"/>
    <w:rsid w:val="00475467"/>
    <w:rsid w:val="004755ED"/>
    <w:rsid w:val="00475B97"/>
    <w:rsid w:val="00475F94"/>
    <w:rsid w:val="00476093"/>
    <w:rsid w:val="00476123"/>
    <w:rsid w:val="00476292"/>
    <w:rsid w:val="004765EA"/>
    <w:rsid w:val="00476A88"/>
    <w:rsid w:val="0047704D"/>
    <w:rsid w:val="00477307"/>
    <w:rsid w:val="0047788A"/>
    <w:rsid w:val="00477E4A"/>
    <w:rsid w:val="00477E60"/>
    <w:rsid w:val="00481263"/>
    <w:rsid w:val="00481C69"/>
    <w:rsid w:val="00481D03"/>
    <w:rsid w:val="0048205F"/>
    <w:rsid w:val="00482448"/>
    <w:rsid w:val="00482709"/>
    <w:rsid w:val="004827CC"/>
    <w:rsid w:val="004829AA"/>
    <w:rsid w:val="004829BD"/>
    <w:rsid w:val="00482B5C"/>
    <w:rsid w:val="00483568"/>
    <w:rsid w:val="0048370C"/>
    <w:rsid w:val="004840E9"/>
    <w:rsid w:val="004844D8"/>
    <w:rsid w:val="00484CBA"/>
    <w:rsid w:val="00484EC8"/>
    <w:rsid w:val="0048563A"/>
    <w:rsid w:val="0048595F"/>
    <w:rsid w:val="004865B6"/>
    <w:rsid w:val="004868D0"/>
    <w:rsid w:val="004869E3"/>
    <w:rsid w:val="00486A93"/>
    <w:rsid w:val="004878A6"/>
    <w:rsid w:val="0049083F"/>
    <w:rsid w:val="00490B50"/>
    <w:rsid w:val="004910D6"/>
    <w:rsid w:val="00491CF8"/>
    <w:rsid w:val="00491D07"/>
    <w:rsid w:val="00491F4E"/>
    <w:rsid w:val="00492367"/>
    <w:rsid w:val="004926C6"/>
    <w:rsid w:val="004929D9"/>
    <w:rsid w:val="00493204"/>
    <w:rsid w:val="00493964"/>
    <w:rsid w:val="00493EB8"/>
    <w:rsid w:val="00494983"/>
    <w:rsid w:val="00494C3A"/>
    <w:rsid w:val="00494D8B"/>
    <w:rsid w:val="00494DA5"/>
    <w:rsid w:val="00494E75"/>
    <w:rsid w:val="0049522E"/>
    <w:rsid w:val="00495323"/>
    <w:rsid w:val="0049564C"/>
    <w:rsid w:val="004961EE"/>
    <w:rsid w:val="00497445"/>
    <w:rsid w:val="00497B68"/>
    <w:rsid w:val="00497EA7"/>
    <w:rsid w:val="004A00A3"/>
    <w:rsid w:val="004A0380"/>
    <w:rsid w:val="004A03DC"/>
    <w:rsid w:val="004A0526"/>
    <w:rsid w:val="004A08A6"/>
    <w:rsid w:val="004A0DBB"/>
    <w:rsid w:val="004A0E82"/>
    <w:rsid w:val="004A1397"/>
    <w:rsid w:val="004A160E"/>
    <w:rsid w:val="004A1941"/>
    <w:rsid w:val="004A1BE3"/>
    <w:rsid w:val="004A21EA"/>
    <w:rsid w:val="004A274F"/>
    <w:rsid w:val="004A3059"/>
    <w:rsid w:val="004A3285"/>
    <w:rsid w:val="004A3462"/>
    <w:rsid w:val="004A3638"/>
    <w:rsid w:val="004A3E2D"/>
    <w:rsid w:val="004A49EC"/>
    <w:rsid w:val="004A4B67"/>
    <w:rsid w:val="004A4BB6"/>
    <w:rsid w:val="004A4DBA"/>
    <w:rsid w:val="004A554F"/>
    <w:rsid w:val="004A5A45"/>
    <w:rsid w:val="004A5D88"/>
    <w:rsid w:val="004A5FDD"/>
    <w:rsid w:val="004A6010"/>
    <w:rsid w:val="004A629B"/>
    <w:rsid w:val="004A6C65"/>
    <w:rsid w:val="004A6DF5"/>
    <w:rsid w:val="004A717F"/>
    <w:rsid w:val="004A76DE"/>
    <w:rsid w:val="004A79AF"/>
    <w:rsid w:val="004A7F56"/>
    <w:rsid w:val="004A7FCF"/>
    <w:rsid w:val="004B0BC8"/>
    <w:rsid w:val="004B0C9C"/>
    <w:rsid w:val="004B155F"/>
    <w:rsid w:val="004B296B"/>
    <w:rsid w:val="004B3CED"/>
    <w:rsid w:val="004B4287"/>
    <w:rsid w:val="004B488D"/>
    <w:rsid w:val="004B4BFF"/>
    <w:rsid w:val="004B5264"/>
    <w:rsid w:val="004B57B0"/>
    <w:rsid w:val="004B5FF0"/>
    <w:rsid w:val="004B6185"/>
    <w:rsid w:val="004B6E0A"/>
    <w:rsid w:val="004B6FFE"/>
    <w:rsid w:val="004C00BB"/>
    <w:rsid w:val="004C099A"/>
    <w:rsid w:val="004C0A90"/>
    <w:rsid w:val="004C0CF7"/>
    <w:rsid w:val="004C0E59"/>
    <w:rsid w:val="004C0EFD"/>
    <w:rsid w:val="004C1E91"/>
    <w:rsid w:val="004C1FA7"/>
    <w:rsid w:val="004C203F"/>
    <w:rsid w:val="004C2088"/>
    <w:rsid w:val="004C2D5B"/>
    <w:rsid w:val="004C3AF0"/>
    <w:rsid w:val="004C3B01"/>
    <w:rsid w:val="004C3D9F"/>
    <w:rsid w:val="004C3F27"/>
    <w:rsid w:val="004C407A"/>
    <w:rsid w:val="004C424D"/>
    <w:rsid w:val="004C449A"/>
    <w:rsid w:val="004C4E02"/>
    <w:rsid w:val="004C5499"/>
    <w:rsid w:val="004C5925"/>
    <w:rsid w:val="004C5D2E"/>
    <w:rsid w:val="004C5FA3"/>
    <w:rsid w:val="004C6302"/>
    <w:rsid w:val="004C65E5"/>
    <w:rsid w:val="004C68C5"/>
    <w:rsid w:val="004C7317"/>
    <w:rsid w:val="004D06E3"/>
    <w:rsid w:val="004D0A47"/>
    <w:rsid w:val="004D0F8E"/>
    <w:rsid w:val="004D153D"/>
    <w:rsid w:val="004D1C06"/>
    <w:rsid w:val="004D1EEB"/>
    <w:rsid w:val="004D2CE3"/>
    <w:rsid w:val="004D3352"/>
    <w:rsid w:val="004D362B"/>
    <w:rsid w:val="004D4951"/>
    <w:rsid w:val="004D522E"/>
    <w:rsid w:val="004D6701"/>
    <w:rsid w:val="004D7A48"/>
    <w:rsid w:val="004E0C51"/>
    <w:rsid w:val="004E1A3B"/>
    <w:rsid w:val="004E1FC7"/>
    <w:rsid w:val="004E3748"/>
    <w:rsid w:val="004E40D3"/>
    <w:rsid w:val="004E4B2C"/>
    <w:rsid w:val="004E53BD"/>
    <w:rsid w:val="004E58F5"/>
    <w:rsid w:val="004E5D9E"/>
    <w:rsid w:val="004E624B"/>
    <w:rsid w:val="004E64BC"/>
    <w:rsid w:val="004E6F8D"/>
    <w:rsid w:val="004E6FCE"/>
    <w:rsid w:val="004E75A0"/>
    <w:rsid w:val="004E79D2"/>
    <w:rsid w:val="004E7AC1"/>
    <w:rsid w:val="004F14BC"/>
    <w:rsid w:val="004F1CB6"/>
    <w:rsid w:val="004F1E71"/>
    <w:rsid w:val="004F1F4A"/>
    <w:rsid w:val="004F1FDF"/>
    <w:rsid w:val="004F3848"/>
    <w:rsid w:val="004F3A16"/>
    <w:rsid w:val="004F3FD9"/>
    <w:rsid w:val="004F440D"/>
    <w:rsid w:val="004F4C28"/>
    <w:rsid w:val="004F4CA0"/>
    <w:rsid w:val="004F4FA8"/>
    <w:rsid w:val="004F5198"/>
    <w:rsid w:val="004F5256"/>
    <w:rsid w:val="004F54F2"/>
    <w:rsid w:val="004F562C"/>
    <w:rsid w:val="004F5B4F"/>
    <w:rsid w:val="004F5EE1"/>
    <w:rsid w:val="004F60DD"/>
    <w:rsid w:val="004F6D97"/>
    <w:rsid w:val="004F6FA9"/>
    <w:rsid w:val="004F71DD"/>
    <w:rsid w:val="0050025F"/>
    <w:rsid w:val="005004E3"/>
    <w:rsid w:val="005005D7"/>
    <w:rsid w:val="00500832"/>
    <w:rsid w:val="005008CB"/>
    <w:rsid w:val="005008FD"/>
    <w:rsid w:val="00500B0C"/>
    <w:rsid w:val="005015AF"/>
    <w:rsid w:val="00501AC8"/>
    <w:rsid w:val="00502088"/>
    <w:rsid w:val="0050227C"/>
    <w:rsid w:val="00502532"/>
    <w:rsid w:val="00503182"/>
    <w:rsid w:val="005048B8"/>
    <w:rsid w:val="005048E7"/>
    <w:rsid w:val="00504C34"/>
    <w:rsid w:val="00504F6F"/>
    <w:rsid w:val="00505064"/>
    <w:rsid w:val="0050506C"/>
    <w:rsid w:val="0050522C"/>
    <w:rsid w:val="005052E6"/>
    <w:rsid w:val="005054BB"/>
    <w:rsid w:val="00505756"/>
    <w:rsid w:val="00505805"/>
    <w:rsid w:val="005058BB"/>
    <w:rsid w:val="00505991"/>
    <w:rsid w:val="00506AF8"/>
    <w:rsid w:val="00506B65"/>
    <w:rsid w:val="005076D8"/>
    <w:rsid w:val="0050788C"/>
    <w:rsid w:val="00507D85"/>
    <w:rsid w:val="00510918"/>
    <w:rsid w:val="005109B0"/>
    <w:rsid w:val="00511138"/>
    <w:rsid w:val="005112B7"/>
    <w:rsid w:val="00511CB7"/>
    <w:rsid w:val="005121E0"/>
    <w:rsid w:val="005123E4"/>
    <w:rsid w:val="00512642"/>
    <w:rsid w:val="0051266B"/>
    <w:rsid w:val="00512EBD"/>
    <w:rsid w:val="00513090"/>
    <w:rsid w:val="005132B5"/>
    <w:rsid w:val="005134A2"/>
    <w:rsid w:val="00513A60"/>
    <w:rsid w:val="00513B24"/>
    <w:rsid w:val="00513FCE"/>
    <w:rsid w:val="005151D9"/>
    <w:rsid w:val="00515EA9"/>
    <w:rsid w:val="0051639C"/>
    <w:rsid w:val="00516790"/>
    <w:rsid w:val="005202C6"/>
    <w:rsid w:val="005203B2"/>
    <w:rsid w:val="005205DC"/>
    <w:rsid w:val="00520957"/>
    <w:rsid w:val="005209F2"/>
    <w:rsid w:val="00520FBD"/>
    <w:rsid w:val="0052102D"/>
    <w:rsid w:val="00521485"/>
    <w:rsid w:val="005214BA"/>
    <w:rsid w:val="00521E6C"/>
    <w:rsid w:val="005228F7"/>
    <w:rsid w:val="0052401B"/>
    <w:rsid w:val="005240F7"/>
    <w:rsid w:val="0052418A"/>
    <w:rsid w:val="005242EB"/>
    <w:rsid w:val="00525641"/>
    <w:rsid w:val="00525695"/>
    <w:rsid w:val="00525EFB"/>
    <w:rsid w:val="00526450"/>
    <w:rsid w:val="00526954"/>
    <w:rsid w:val="00526980"/>
    <w:rsid w:val="00526D9F"/>
    <w:rsid w:val="00526F83"/>
    <w:rsid w:val="00527650"/>
    <w:rsid w:val="005277BE"/>
    <w:rsid w:val="00527B2E"/>
    <w:rsid w:val="0053000A"/>
    <w:rsid w:val="00530085"/>
    <w:rsid w:val="00530443"/>
    <w:rsid w:val="00530967"/>
    <w:rsid w:val="00530F27"/>
    <w:rsid w:val="005312D8"/>
    <w:rsid w:val="005314C0"/>
    <w:rsid w:val="005316FE"/>
    <w:rsid w:val="005319CB"/>
    <w:rsid w:val="00531A23"/>
    <w:rsid w:val="00531DDC"/>
    <w:rsid w:val="00531E47"/>
    <w:rsid w:val="00532142"/>
    <w:rsid w:val="00532244"/>
    <w:rsid w:val="00532259"/>
    <w:rsid w:val="005323A6"/>
    <w:rsid w:val="00532DE6"/>
    <w:rsid w:val="005331B5"/>
    <w:rsid w:val="005342C2"/>
    <w:rsid w:val="0053478B"/>
    <w:rsid w:val="00535165"/>
    <w:rsid w:val="005358C5"/>
    <w:rsid w:val="005359A3"/>
    <w:rsid w:val="00535AB8"/>
    <w:rsid w:val="00535B21"/>
    <w:rsid w:val="00535F4A"/>
    <w:rsid w:val="00536540"/>
    <w:rsid w:val="00536C90"/>
    <w:rsid w:val="00537669"/>
    <w:rsid w:val="00537963"/>
    <w:rsid w:val="005405C0"/>
    <w:rsid w:val="005407A0"/>
    <w:rsid w:val="00540A1C"/>
    <w:rsid w:val="00540D9F"/>
    <w:rsid w:val="00541707"/>
    <w:rsid w:val="00541ACD"/>
    <w:rsid w:val="005420A1"/>
    <w:rsid w:val="00542F90"/>
    <w:rsid w:val="00543A4C"/>
    <w:rsid w:val="0054405F"/>
    <w:rsid w:val="00544198"/>
    <w:rsid w:val="0054482A"/>
    <w:rsid w:val="00544CBC"/>
    <w:rsid w:val="00544DE4"/>
    <w:rsid w:val="00545097"/>
    <w:rsid w:val="00545592"/>
    <w:rsid w:val="005455A1"/>
    <w:rsid w:val="0054599F"/>
    <w:rsid w:val="00545D19"/>
    <w:rsid w:val="005470CE"/>
    <w:rsid w:val="005476BD"/>
    <w:rsid w:val="00547BA9"/>
    <w:rsid w:val="00547BD5"/>
    <w:rsid w:val="00547EFF"/>
    <w:rsid w:val="00551261"/>
    <w:rsid w:val="00551443"/>
    <w:rsid w:val="00551A15"/>
    <w:rsid w:val="00551BD7"/>
    <w:rsid w:val="00551E91"/>
    <w:rsid w:val="00551FA2"/>
    <w:rsid w:val="005531E1"/>
    <w:rsid w:val="0055331B"/>
    <w:rsid w:val="00553358"/>
    <w:rsid w:val="00554574"/>
    <w:rsid w:val="005545B4"/>
    <w:rsid w:val="00554871"/>
    <w:rsid w:val="0055497E"/>
    <w:rsid w:val="00554EA8"/>
    <w:rsid w:val="00555902"/>
    <w:rsid w:val="00555A20"/>
    <w:rsid w:val="00555FC5"/>
    <w:rsid w:val="00556286"/>
    <w:rsid w:val="00556553"/>
    <w:rsid w:val="00556A12"/>
    <w:rsid w:val="00556B91"/>
    <w:rsid w:val="005572DD"/>
    <w:rsid w:val="00557806"/>
    <w:rsid w:val="005603D3"/>
    <w:rsid w:val="00560741"/>
    <w:rsid w:val="00560EA5"/>
    <w:rsid w:val="00560FD0"/>
    <w:rsid w:val="00562270"/>
    <w:rsid w:val="00562EDC"/>
    <w:rsid w:val="00562F91"/>
    <w:rsid w:val="005639D8"/>
    <w:rsid w:val="00563F62"/>
    <w:rsid w:val="0056421A"/>
    <w:rsid w:val="005642C7"/>
    <w:rsid w:val="00564A53"/>
    <w:rsid w:val="0056568A"/>
    <w:rsid w:val="005659C2"/>
    <w:rsid w:val="00565D85"/>
    <w:rsid w:val="0056614E"/>
    <w:rsid w:val="005663DE"/>
    <w:rsid w:val="00566A71"/>
    <w:rsid w:val="00566BA2"/>
    <w:rsid w:val="00566D15"/>
    <w:rsid w:val="00566FC3"/>
    <w:rsid w:val="005678B5"/>
    <w:rsid w:val="00567A19"/>
    <w:rsid w:val="00567B22"/>
    <w:rsid w:val="00570F42"/>
    <w:rsid w:val="00570F5E"/>
    <w:rsid w:val="005710E9"/>
    <w:rsid w:val="005713DD"/>
    <w:rsid w:val="00571775"/>
    <w:rsid w:val="005719C7"/>
    <w:rsid w:val="00571A59"/>
    <w:rsid w:val="00571C24"/>
    <w:rsid w:val="00571F74"/>
    <w:rsid w:val="00572647"/>
    <w:rsid w:val="00572C46"/>
    <w:rsid w:val="00573750"/>
    <w:rsid w:val="005744B7"/>
    <w:rsid w:val="005747E0"/>
    <w:rsid w:val="00574DF9"/>
    <w:rsid w:val="00575241"/>
    <w:rsid w:val="00577348"/>
    <w:rsid w:val="00580067"/>
    <w:rsid w:val="0058026F"/>
    <w:rsid w:val="00580280"/>
    <w:rsid w:val="00580422"/>
    <w:rsid w:val="00580A7E"/>
    <w:rsid w:val="00580B76"/>
    <w:rsid w:val="00580EEB"/>
    <w:rsid w:val="0058148C"/>
    <w:rsid w:val="00581763"/>
    <w:rsid w:val="00581F03"/>
    <w:rsid w:val="005821E3"/>
    <w:rsid w:val="00582E62"/>
    <w:rsid w:val="0058398F"/>
    <w:rsid w:val="0058477F"/>
    <w:rsid w:val="00584A49"/>
    <w:rsid w:val="00584D47"/>
    <w:rsid w:val="005855F0"/>
    <w:rsid w:val="00585D38"/>
    <w:rsid w:val="00586707"/>
    <w:rsid w:val="00586865"/>
    <w:rsid w:val="00587700"/>
    <w:rsid w:val="005878E3"/>
    <w:rsid w:val="00590D16"/>
    <w:rsid w:val="0059104D"/>
    <w:rsid w:val="00591184"/>
    <w:rsid w:val="00591341"/>
    <w:rsid w:val="0059177D"/>
    <w:rsid w:val="00591936"/>
    <w:rsid w:val="00591C2D"/>
    <w:rsid w:val="00591C74"/>
    <w:rsid w:val="00592678"/>
    <w:rsid w:val="0059282B"/>
    <w:rsid w:val="005937D9"/>
    <w:rsid w:val="0059402B"/>
    <w:rsid w:val="00594528"/>
    <w:rsid w:val="005947D9"/>
    <w:rsid w:val="005949C3"/>
    <w:rsid w:val="005950AF"/>
    <w:rsid w:val="00595423"/>
    <w:rsid w:val="00595F28"/>
    <w:rsid w:val="00596107"/>
    <w:rsid w:val="0059640C"/>
    <w:rsid w:val="00596A40"/>
    <w:rsid w:val="00596AB7"/>
    <w:rsid w:val="00596F24"/>
    <w:rsid w:val="005A01A6"/>
    <w:rsid w:val="005A025D"/>
    <w:rsid w:val="005A0CBD"/>
    <w:rsid w:val="005A0D47"/>
    <w:rsid w:val="005A180F"/>
    <w:rsid w:val="005A18D6"/>
    <w:rsid w:val="005A1A7F"/>
    <w:rsid w:val="005A216D"/>
    <w:rsid w:val="005A25D2"/>
    <w:rsid w:val="005A2ED8"/>
    <w:rsid w:val="005A33D3"/>
    <w:rsid w:val="005A369E"/>
    <w:rsid w:val="005A3B66"/>
    <w:rsid w:val="005A3D04"/>
    <w:rsid w:val="005A43A4"/>
    <w:rsid w:val="005A458E"/>
    <w:rsid w:val="005A45C2"/>
    <w:rsid w:val="005A4CDE"/>
    <w:rsid w:val="005A5190"/>
    <w:rsid w:val="005A6110"/>
    <w:rsid w:val="005A65AC"/>
    <w:rsid w:val="005A6683"/>
    <w:rsid w:val="005A6905"/>
    <w:rsid w:val="005A6CB5"/>
    <w:rsid w:val="005A6D5A"/>
    <w:rsid w:val="005A6DAC"/>
    <w:rsid w:val="005A6F5F"/>
    <w:rsid w:val="005A7D91"/>
    <w:rsid w:val="005A7F9C"/>
    <w:rsid w:val="005B04D9"/>
    <w:rsid w:val="005B16A7"/>
    <w:rsid w:val="005B2B69"/>
    <w:rsid w:val="005B2C9F"/>
    <w:rsid w:val="005B2D6D"/>
    <w:rsid w:val="005B2E35"/>
    <w:rsid w:val="005B2F11"/>
    <w:rsid w:val="005B2F30"/>
    <w:rsid w:val="005B3010"/>
    <w:rsid w:val="005B339A"/>
    <w:rsid w:val="005B468D"/>
    <w:rsid w:val="005B4AAB"/>
    <w:rsid w:val="005B4DA5"/>
    <w:rsid w:val="005B50CC"/>
    <w:rsid w:val="005B50D6"/>
    <w:rsid w:val="005B5191"/>
    <w:rsid w:val="005B620E"/>
    <w:rsid w:val="005B6391"/>
    <w:rsid w:val="005B64FF"/>
    <w:rsid w:val="005B688B"/>
    <w:rsid w:val="005B6EE4"/>
    <w:rsid w:val="005B7D8B"/>
    <w:rsid w:val="005C0364"/>
    <w:rsid w:val="005C0D8B"/>
    <w:rsid w:val="005C1BE2"/>
    <w:rsid w:val="005C1C9E"/>
    <w:rsid w:val="005C23C4"/>
    <w:rsid w:val="005C2CFA"/>
    <w:rsid w:val="005C345B"/>
    <w:rsid w:val="005C388F"/>
    <w:rsid w:val="005C4862"/>
    <w:rsid w:val="005C614B"/>
    <w:rsid w:val="005C63E4"/>
    <w:rsid w:val="005C7051"/>
    <w:rsid w:val="005D0549"/>
    <w:rsid w:val="005D05E6"/>
    <w:rsid w:val="005D0731"/>
    <w:rsid w:val="005D08C8"/>
    <w:rsid w:val="005D091E"/>
    <w:rsid w:val="005D1060"/>
    <w:rsid w:val="005D12CC"/>
    <w:rsid w:val="005D137B"/>
    <w:rsid w:val="005D13E4"/>
    <w:rsid w:val="005D15CD"/>
    <w:rsid w:val="005D1DC3"/>
    <w:rsid w:val="005D2289"/>
    <w:rsid w:val="005D23CB"/>
    <w:rsid w:val="005D2B22"/>
    <w:rsid w:val="005D3507"/>
    <w:rsid w:val="005D3F8E"/>
    <w:rsid w:val="005D426A"/>
    <w:rsid w:val="005D46E4"/>
    <w:rsid w:val="005D491C"/>
    <w:rsid w:val="005D499C"/>
    <w:rsid w:val="005D4A50"/>
    <w:rsid w:val="005D4A57"/>
    <w:rsid w:val="005D4D90"/>
    <w:rsid w:val="005D4E33"/>
    <w:rsid w:val="005D4F09"/>
    <w:rsid w:val="005D59DE"/>
    <w:rsid w:val="005D5FFE"/>
    <w:rsid w:val="005D605E"/>
    <w:rsid w:val="005D658F"/>
    <w:rsid w:val="005D65E4"/>
    <w:rsid w:val="005D6ADA"/>
    <w:rsid w:val="005D6D0E"/>
    <w:rsid w:val="005D6E3B"/>
    <w:rsid w:val="005D74E8"/>
    <w:rsid w:val="005D7B99"/>
    <w:rsid w:val="005D7DBC"/>
    <w:rsid w:val="005E081E"/>
    <w:rsid w:val="005E1554"/>
    <w:rsid w:val="005E1F5F"/>
    <w:rsid w:val="005E23B2"/>
    <w:rsid w:val="005E395B"/>
    <w:rsid w:val="005E49CB"/>
    <w:rsid w:val="005E4F85"/>
    <w:rsid w:val="005E5372"/>
    <w:rsid w:val="005E5F85"/>
    <w:rsid w:val="005E688D"/>
    <w:rsid w:val="005E6CB2"/>
    <w:rsid w:val="005E792C"/>
    <w:rsid w:val="005E7BA8"/>
    <w:rsid w:val="005F0BB8"/>
    <w:rsid w:val="005F1B87"/>
    <w:rsid w:val="005F2408"/>
    <w:rsid w:val="005F31E3"/>
    <w:rsid w:val="005F33A1"/>
    <w:rsid w:val="005F3C0F"/>
    <w:rsid w:val="005F5B37"/>
    <w:rsid w:val="005F7300"/>
    <w:rsid w:val="005F7D9E"/>
    <w:rsid w:val="005F7EA2"/>
    <w:rsid w:val="006005B2"/>
    <w:rsid w:val="006005C5"/>
    <w:rsid w:val="006007DE"/>
    <w:rsid w:val="006008EB"/>
    <w:rsid w:val="00600AC6"/>
    <w:rsid w:val="0060125F"/>
    <w:rsid w:val="006012CF"/>
    <w:rsid w:val="006017E7"/>
    <w:rsid w:val="00601D56"/>
    <w:rsid w:val="00601DB0"/>
    <w:rsid w:val="00601EA6"/>
    <w:rsid w:val="006028E8"/>
    <w:rsid w:val="0060305B"/>
    <w:rsid w:val="0060305C"/>
    <w:rsid w:val="00604B2D"/>
    <w:rsid w:val="00604DF5"/>
    <w:rsid w:val="006054AD"/>
    <w:rsid w:val="006054B4"/>
    <w:rsid w:val="00605DB1"/>
    <w:rsid w:val="00605DCF"/>
    <w:rsid w:val="006061C1"/>
    <w:rsid w:val="00606377"/>
    <w:rsid w:val="00606683"/>
    <w:rsid w:val="006066EC"/>
    <w:rsid w:val="006075F4"/>
    <w:rsid w:val="00607EDD"/>
    <w:rsid w:val="006107C7"/>
    <w:rsid w:val="00610A27"/>
    <w:rsid w:val="00610D65"/>
    <w:rsid w:val="00611541"/>
    <w:rsid w:val="00611889"/>
    <w:rsid w:val="00611959"/>
    <w:rsid w:val="00611A85"/>
    <w:rsid w:val="00612FC7"/>
    <w:rsid w:val="0061308F"/>
    <w:rsid w:val="00613423"/>
    <w:rsid w:val="00613480"/>
    <w:rsid w:val="006138C5"/>
    <w:rsid w:val="00614485"/>
    <w:rsid w:val="00614554"/>
    <w:rsid w:val="00614B1D"/>
    <w:rsid w:val="00614B44"/>
    <w:rsid w:val="00614FC4"/>
    <w:rsid w:val="00615229"/>
    <w:rsid w:val="006154FD"/>
    <w:rsid w:val="006155CB"/>
    <w:rsid w:val="006162F5"/>
    <w:rsid w:val="00616407"/>
    <w:rsid w:val="0061657C"/>
    <w:rsid w:val="006210B2"/>
    <w:rsid w:val="00621867"/>
    <w:rsid w:val="00621A15"/>
    <w:rsid w:val="00621DAC"/>
    <w:rsid w:val="0062232C"/>
    <w:rsid w:val="0062280E"/>
    <w:rsid w:val="00622CDB"/>
    <w:rsid w:val="00623413"/>
    <w:rsid w:val="00623A4E"/>
    <w:rsid w:val="00623CEE"/>
    <w:rsid w:val="00624323"/>
    <w:rsid w:val="00624FAB"/>
    <w:rsid w:val="00625B37"/>
    <w:rsid w:val="00626128"/>
    <w:rsid w:val="0062616C"/>
    <w:rsid w:val="006268E6"/>
    <w:rsid w:val="00626AEA"/>
    <w:rsid w:val="00627BD1"/>
    <w:rsid w:val="00627F5F"/>
    <w:rsid w:val="006300DD"/>
    <w:rsid w:val="006304ED"/>
    <w:rsid w:val="006306E2"/>
    <w:rsid w:val="00630735"/>
    <w:rsid w:val="00630930"/>
    <w:rsid w:val="00630A4E"/>
    <w:rsid w:val="00630C1B"/>
    <w:rsid w:val="00630C4E"/>
    <w:rsid w:val="00630DC2"/>
    <w:rsid w:val="00630E4E"/>
    <w:rsid w:val="0063179E"/>
    <w:rsid w:val="00631D57"/>
    <w:rsid w:val="00631D70"/>
    <w:rsid w:val="00632490"/>
    <w:rsid w:val="00632958"/>
    <w:rsid w:val="006329F8"/>
    <w:rsid w:val="00632D4A"/>
    <w:rsid w:val="00632E85"/>
    <w:rsid w:val="006338B1"/>
    <w:rsid w:val="00633983"/>
    <w:rsid w:val="006339A6"/>
    <w:rsid w:val="00633A33"/>
    <w:rsid w:val="00633E57"/>
    <w:rsid w:val="00634575"/>
    <w:rsid w:val="0063482B"/>
    <w:rsid w:val="00634FBD"/>
    <w:rsid w:val="00636027"/>
    <w:rsid w:val="006367B3"/>
    <w:rsid w:val="006369BC"/>
    <w:rsid w:val="00636C62"/>
    <w:rsid w:val="00637071"/>
    <w:rsid w:val="00637229"/>
    <w:rsid w:val="00637289"/>
    <w:rsid w:val="006378BF"/>
    <w:rsid w:val="00637E63"/>
    <w:rsid w:val="0064016B"/>
    <w:rsid w:val="00641247"/>
    <w:rsid w:val="00641304"/>
    <w:rsid w:val="006416D7"/>
    <w:rsid w:val="00642BB5"/>
    <w:rsid w:val="00642C81"/>
    <w:rsid w:val="00643D2F"/>
    <w:rsid w:val="00643DA3"/>
    <w:rsid w:val="00644212"/>
    <w:rsid w:val="0064475A"/>
    <w:rsid w:val="00644905"/>
    <w:rsid w:val="006449EE"/>
    <w:rsid w:val="00645271"/>
    <w:rsid w:val="00645A3B"/>
    <w:rsid w:val="00645A8D"/>
    <w:rsid w:val="00645E76"/>
    <w:rsid w:val="0064655B"/>
    <w:rsid w:val="00646620"/>
    <w:rsid w:val="00646A27"/>
    <w:rsid w:val="00647D2B"/>
    <w:rsid w:val="00650011"/>
    <w:rsid w:val="006507D0"/>
    <w:rsid w:val="00650933"/>
    <w:rsid w:val="00650FF0"/>
    <w:rsid w:val="0065137C"/>
    <w:rsid w:val="00651C75"/>
    <w:rsid w:val="00652FC4"/>
    <w:rsid w:val="00653361"/>
    <w:rsid w:val="00653D2B"/>
    <w:rsid w:val="0065421B"/>
    <w:rsid w:val="0065483F"/>
    <w:rsid w:val="00654AB3"/>
    <w:rsid w:val="00654BEE"/>
    <w:rsid w:val="00655E9F"/>
    <w:rsid w:val="00656165"/>
    <w:rsid w:val="006568AA"/>
    <w:rsid w:val="00656E96"/>
    <w:rsid w:val="0065723E"/>
    <w:rsid w:val="006573A1"/>
    <w:rsid w:val="00657423"/>
    <w:rsid w:val="00657D3D"/>
    <w:rsid w:val="00660366"/>
    <w:rsid w:val="00661122"/>
    <w:rsid w:val="0066238C"/>
    <w:rsid w:val="00662E15"/>
    <w:rsid w:val="0066327E"/>
    <w:rsid w:val="00663612"/>
    <w:rsid w:val="00664325"/>
    <w:rsid w:val="00664F1B"/>
    <w:rsid w:val="006650C5"/>
    <w:rsid w:val="0066567D"/>
    <w:rsid w:val="00666290"/>
    <w:rsid w:val="00666772"/>
    <w:rsid w:val="006667EB"/>
    <w:rsid w:val="00666BC5"/>
    <w:rsid w:val="00666D0F"/>
    <w:rsid w:val="00666DC5"/>
    <w:rsid w:val="006673F3"/>
    <w:rsid w:val="00670062"/>
    <w:rsid w:val="006707BA"/>
    <w:rsid w:val="0067127C"/>
    <w:rsid w:val="00673584"/>
    <w:rsid w:val="00673909"/>
    <w:rsid w:val="00673AD7"/>
    <w:rsid w:val="00673AFD"/>
    <w:rsid w:val="00673C86"/>
    <w:rsid w:val="00673EEE"/>
    <w:rsid w:val="00676AE8"/>
    <w:rsid w:val="00677C0D"/>
    <w:rsid w:val="00677EBB"/>
    <w:rsid w:val="00677F35"/>
    <w:rsid w:val="00680768"/>
    <w:rsid w:val="00680807"/>
    <w:rsid w:val="00680D22"/>
    <w:rsid w:val="00680E57"/>
    <w:rsid w:val="00681261"/>
    <w:rsid w:val="00681630"/>
    <w:rsid w:val="006816CC"/>
    <w:rsid w:val="0068204C"/>
    <w:rsid w:val="0068241C"/>
    <w:rsid w:val="00682D05"/>
    <w:rsid w:val="00683752"/>
    <w:rsid w:val="006839A9"/>
    <w:rsid w:val="006840D0"/>
    <w:rsid w:val="0068488E"/>
    <w:rsid w:val="00685551"/>
    <w:rsid w:val="006859E2"/>
    <w:rsid w:val="00685B90"/>
    <w:rsid w:val="00685EEF"/>
    <w:rsid w:val="006861BB"/>
    <w:rsid w:val="00686621"/>
    <w:rsid w:val="00686F35"/>
    <w:rsid w:val="00687CEA"/>
    <w:rsid w:val="006909C2"/>
    <w:rsid w:val="006909DC"/>
    <w:rsid w:val="0069125E"/>
    <w:rsid w:val="00691BE5"/>
    <w:rsid w:val="00692105"/>
    <w:rsid w:val="00692148"/>
    <w:rsid w:val="00692840"/>
    <w:rsid w:val="00692BED"/>
    <w:rsid w:val="00692FB1"/>
    <w:rsid w:val="00693423"/>
    <w:rsid w:val="006937CF"/>
    <w:rsid w:val="00693858"/>
    <w:rsid w:val="00693866"/>
    <w:rsid w:val="00693C75"/>
    <w:rsid w:val="00693D1C"/>
    <w:rsid w:val="00694F26"/>
    <w:rsid w:val="00695A50"/>
    <w:rsid w:val="00695E44"/>
    <w:rsid w:val="0069742D"/>
    <w:rsid w:val="006974DF"/>
    <w:rsid w:val="006977D3"/>
    <w:rsid w:val="00697828"/>
    <w:rsid w:val="00697843"/>
    <w:rsid w:val="006A013D"/>
    <w:rsid w:val="006A0978"/>
    <w:rsid w:val="006A0F29"/>
    <w:rsid w:val="006A153D"/>
    <w:rsid w:val="006A1C6D"/>
    <w:rsid w:val="006A1E49"/>
    <w:rsid w:val="006A2145"/>
    <w:rsid w:val="006A23A6"/>
    <w:rsid w:val="006A2507"/>
    <w:rsid w:val="006A3600"/>
    <w:rsid w:val="006A368B"/>
    <w:rsid w:val="006A3D2A"/>
    <w:rsid w:val="006A4155"/>
    <w:rsid w:val="006A4717"/>
    <w:rsid w:val="006A5513"/>
    <w:rsid w:val="006A58B8"/>
    <w:rsid w:val="006A5A13"/>
    <w:rsid w:val="006A66C5"/>
    <w:rsid w:val="006A6DD7"/>
    <w:rsid w:val="006A73C7"/>
    <w:rsid w:val="006A75F1"/>
    <w:rsid w:val="006B00F6"/>
    <w:rsid w:val="006B075C"/>
    <w:rsid w:val="006B096E"/>
    <w:rsid w:val="006B0B04"/>
    <w:rsid w:val="006B0EAF"/>
    <w:rsid w:val="006B1AEF"/>
    <w:rsid w:val="006B2BC4"/>
    <w:rsid w:val="006B2D09"/>
    <w:rsid w:val="006B363C"/>
    <w:rsid w:val="006B4D88"/>
    <w:rsid w:val="006B519F"/>
    <w:rsid w:val="006B5B0E"/>
    <w:rsid w:val="006B5DAC"/>
    <w:rsid w:val="006B6D1C"/>
    <w:rsid w:val="006B6F1B"/>
    <w:rsid w:val="006B6F53"/>
    <w:rsid w:val="006B7B80"/>
    <w:rsid w:val="006C0993"/>
    <w:rsid w:val="006C0BCD"/>
    <w:rsid w:val="006C0F1E"/>
    <w:rsid w:val="006C0FD7"/>
    <w:rsid w:val="006C10CF"/>
    <w:rsid w:val="006C1494"/>
    <w:rsid w:val="006C1E04"/>
    <w:rsid w:val="006C2CC5"/>
    <w:rsid w:val="006C32BE"/>
    <w:rsid w:val="006C33C0"/>
    <w:rsid w:val="006C3574"/>
    <w:rsid w:val="006C3C67"/>
    <w:rsid w:val="006C3E1F"/>
    <w:rsid w:val="006C4550"/>
    <w:rsid w:val="006C45A0"/>
    <w:rsid w:val="006C45E6"/>
    <w:rsid w:val="006C463F"/>
    <w:rsid w:val="006C4809"/>
    <w:rsid w:val="006C4A90"/>
    <w:rsid w:val="006C4D84"/>
    <w:rsid w:val="006C4DD2"/>
    <w:rsid w:val="006C56CA"/>
    <w:rsid w:val="006C5913"/>
    <w:rsid w:val="006C5E1C"/>
    <w:rsid w:val="006C61CB"/>
    <w:rsid w:val="006C624A"/>
    <w:rsid w:val="006C645E"/>
    <w:rsid w:val="006C6F6C"/>
    <w:rsid w:val="006C73CF"/>
    <w:rsid w:val="006C75CA"/>
    <w:rsid w:val="006C7677"/>
    <w:rsid w:val="006C789C"/>
    <w:rsid w:val="006C7F85"/>
    <w:rsid w:val="006D103B"/>
    <w:rsid w:val="006D1966"/>
    <w:rsid w:val="006D1E87"/>
    <w:rsid w:val="006D1EB1"/>
    <w:rsid w:val="006D2534"/>
    <w:rsid w:val="006D2AC6"/>
    <w:rsid w:val="006D33B0"/>
    <w:rsid w:val="006D42FC"/>
    <w:rsid w:val="006D484A"/>
    <w:rsid w:val="006D4862"/>
    <w:rsid w:val="006D4A4D"/>
    <w:rsid w:val="006D4F78"/>
    <w:rsid w:val="006D517F"/>
    <w:rsid w:val="006D573D"/>
    <w:rsid w:val="006D6062"/>
    <w:rsid w:val="006D63BB"/>
    <w:rsid w:val="006D651F"/>
    <w:rsid w:val="006D6889"/>
    <w:rsid w:val="006D68AD"/>
    <w:rsid w:val="006D6E8E"/>
    <w:rsid w:val="006D75E3"/>
    <w:rsid w:val="006D7B46"/>
    <w:rsid w:val="006D7D4C"/>
    <w:rsid w:val="006D7E2B"/>
    <w:rsid w:val="006D7ECB"/>
    <w:rsid w:val="006E08C4"/>
    <w:rsid w:val="006E0F3B"/>
    <w:rsid w:val="006E14EB"/>
    <w:rsid w:val="006E179C"/>
    <w:rsid w:val="006E1F5A"/>
    <w:rsid w:val="006E2DF6"/>
    <w:rsid w:val="006E3084"/>
    <w:rsid w:val="006E3124"/>
    <w:rsid w:val="006E3F45"/>
    <w:rsid w:val="006E4256"/>
    <w:rsid w:val="006E42FF"/>
    <w:rsid w:val="006E4530"/>
    <w:rsid w:val="006E5338"/>
    <w:rsid w:val="006E5586"/>
    <w:rsid w:val="006E59EE"/>
    <w:rsid w:val="006E5DD2"/>
    <w:rsid w:val="006E602C"/>
    <w:rsid w:val="006E6536"/>
    <w:rsid w:val="006E6FB3"/>
    <w:rsid w:val="006E796B"/>
    <w:rsid w:val="006E798F"/>
    <w:rsid w:val="006E7CDE"/>
    <w:rsid w:val="006E7F46"/>
    <w:rsid w:val="006F07BD"/>
    <w:rsid w:val="006F132F"/>
    <w:rsid w:val="006F1A1C"/>
    <w:rsid w:val="006F1ACA"/>
    <w:rsid w:val="006F1F9B"/>
    <w:rsid w:val="006F254C"/>
    <w:rsid w:val="006F2799"/>
    <w:rsid w:val="006F2F1B"/>
    <w:rsid w:val="006F3196"/>
    <w:rsid w:val="006F339E"/>
    <w:rsid w:val="006F33FC"/>
    <w:rsid w:val="006F3B99"/>
    <w:rsid w:val="006F46B6"/>
    <w:rsid w:val="006F48C6"/>
    <w:rsid w:val="006F5384"/>
    <w:rsid w:val="006F5561"/>
    <w:rsid w:val="006F5C6C"/>
    <w:rsid w:val="006F5CB6"/>
    <w:rsid w:val="006F6338"/>
    <w:rsid w:val="006F693E"/>
    <w:rsid w:val="006F6C49"/>
    <w:rsid w:val="006F6F58"/>
    <w:rsid w:val="006F7556"/>
    <w:rsid w:val="006F7A75"/>
    <w:rsid w:val="00700141"/>
    <w:rsid w:val="007005FD"/>
    <w:rsid w:val="00700B6B"/>
    <w:rsid w:val="007019F9"/>
    <w:rsid w:val="00701AE1"/>
    <w:rsid w:val="00701C65"/>
    <w:rsid w:val="00701D45"/>
    <w:rsid w:val="00701E03"/>
    <w:rsid w:val="0070209B"/>
    <w:rsid w:val="00702264"/>
    <w:rsid w:val="00702304"/>
    <w:rsid w:val="007026BA"/>
    <w:rsid w:val="00702944"/>
    <w:rsid w:val="00702CD9"/>
    <w:rsid w:val="0070342F"/>
    <w:rsid w:val="00703949"/>
    <w:rsid w:val="00703C4A"/>
    <w:rsid w:val="00703F1B"/>
    <w:rsid w:val="00703F26"/>
    <w:rsid w:val="0070496E"/>
    <w:rsid w:val="00704BBE"/>
    <w:rsid w:val="00704BEF"/>
    <w:rsid w:val="00704F88"/>
    <w:rsid w:val="00704FF5"/>
    <w:rsid w:val="00705D04"/>
    <w:rsid w:val="00706528"/>
    <w:rsid w:val="007065FF"/>
    <w:rsid w:val="007070B8"/>
    <w:rsid w:val="00707542"/>
    <w:rsid w:val="00707FC3"/>
    <w:rsid w:val="0071022C"/>
    <w:rsid w:val="00710296"/>
    <w:rsid w:val="00711A00"/>
    <w:rsid w:val="0071270B"/>
    <w:rsid w:val="007128B5"/>
    <w:rsid w:val="00713607"/>
    <w:rsid w:val="007137E6"/>
    <w:rsid w:val="00713AE3"/>
    <w:rsid w:val="00713ED1"/>
    <w:rsid w:val="007162C9"/>
    <w:rsid w:val="00716406"/>
    <w:rsid w:val="007169F9"/>
    <w:rsid w:val="00716E70"/>
    <w:rsid w:val="00717823"/>
    <w:rsid w:val="007206DB"/>
    <w:rsid w:val="00722721"/>
    <w:rsid w:val="007227CE"/>
    <w:rsid w:val="00722910"/>
    <w:rsid w:val="00722D65"/>
    <w:rsid w:val="007232E0"/>
    <w:rsid w:val="007233FB"/>
    <w:rsid w:val="007234D7"/>
    <w:rsid w:val="00723A73"/>
    <w:rsid w:val="0072449F"/>
    <w:rsid w:val="0072458C"/>
    <w:rsid w:val="00724C87"/>
    <w:rsid w:val="00724DB4"/>
    <w:rsid w:val="00724EF4"/>
    <w:rsid w:val="007253B4"/>
    <w:rsid w:val="007253CE"/>
    <w:rsid w:val="00725432"/>
    <w:rsid w:val="00725473"/>
    <w:rsid w:val="00725502"/>
    <w:rsid w:val="007257D5"/>
    <w:rsid w:val="00725A5E"/>
    <w:rsid w:val="00725D9D"/>
    <w:rsid w:val="00725E03"/>
    <w:rsid w:val="0072604E"/>
    <w:rsid w:val="00726916"/>
    <w:rsid w:val="00726985"/>
    <w:rsid w:val="007272A3"/>
    <w:rsid w:val="00727E23"/>
    <w:rsid w:val="0073039D"/>
    <w:rsid w:val="0073051E"/>
    <w:rsid w:val="00730779"/>
    <w:rsid w:val="00730862"/>
    <w:rsid w:val="007309CE"/>
    <w:rsid w:val="00731147"/>
    <w:rsid w:val="0073119C"/>
    <w:rsid w:val="007315A7"/>
    <w:rsid w:val="0073176C"/>
    <w:rsid w:val="00732084"/>
    <w:rsid w:val="00732762"/>
    <w:rsid w:val="00732AAC"/>
    <w:rsid w:val="007341E5"/>
    <w:rsid w:val="007344B0"/>
    <w:rsid w:val="007346E6"/>
    <w:rsid w:val="00734D1A"/>
    <w:rsid w:val="0073540A"/>
    <w:rsid w:val="007355BB"/>
    <w:rsid w:val="00735C56"/>
    <w:rsid w:val="00736D8E"/>
    <w:rsid w:val="00737166"/>
    <w:rsid w:val="00737315"/>
    <w:rsid w:val="007378CD"/>
    <w:rsid w:val="00737A5D"/>
    <w:rsid w:val="00737E5C"/>
    <w:rsid w:val="00741237"/>
    <w:rsid w:val="0074298E"/>
    <w:rsid w:val="00743553"/>
    <w:rsid w:val="007441AD"/>
    <w:rsid w:val="0074427F"/>
    <w:rsid w:val="00744567"/>
    <w:rsid w:val="0074527D"/>
    <w:rsid w:val="00745604"/>
    <w:rsid w:val="007456E0"/>
    <w:rsid w:val="00745AC8"/>
    <w:rsid w:val="00745D30"/>
    <w:rsid w:val="0074604B"/>
    <w:rsid w:val="00746D06"/>
    <w:rsid w:val="00746FA8"/>
    <w:rsid w:val="00747608"/>
    <w:rsid w:val="00747707"/>
    <w:rsid w:val="00747EDA"/>
    <w:rsid w:val="00750290"/>
    <w:rsid w:val="007505F1"/>
    <w:rsid w:val="007507E6"/>
    <w:rsid w:val="00750A56"/>
    <w:rsid w:val="00751BED"/>
    <w:rsid w:val="00753595"/>
    <w:rsid w:val="0075372A"/>
    <w:rsid w:val="00753E49"/>
    <w:rsid w:val="0075404C"/>
    <w:rsid w:val="0075433C"/>
    <w:rsid w:val="00754567"/>
    <w:rsid w:val="00754CF2"/>
    <w:rsid w:val="00755015"/>
    <w:rsid w:val="0075535C"/>
    <w:rsid w:val="00755581"/>
    <w:rsid w:val="00755AF4"/>
    <w:rsid w:val="00755F34"/>
    <w:rsid w:val="00756252"/>
    <w:rsid w:val="007566D3"/>
    <w:rsid w:val="00756920"/>
    <w:rsid w:val="007569AE"/>
    <w:rsid w:val="00756B16"/>
    <w:rsid w:val="00757CA4"/>
    <w:rsid w:val="00760E2E"/>
    <w:rsid w:val="0076166D"/>
    <w:rsid w:val="00761B3C"/>
    <w:rsid w:val="00761B8A"/>
    <w:rsid w:val="00762ECE"/>
    <w:rsid w:val="0076366C"/>
    <w:rsid w:val="007647F0"/>
    <w:rsid w:val="00764CF6"/>
    <w:rsid w:val="007658A9"/>
    <w:rsid w:val="00765B95"/>
    <w:rsid w:val="00765C28"/>
    <w:rsid w:val="00765DAA"/>
    <w:rsid w:val="00766E60"/>
    <w:rsid w:val="007677B3"/>
    <w:rsid w:val="007703C7"/>
    <w:rsid w:val="00770944"/>
    <w:rsid w:val="00770A42"/>
    <w:rsid w:val="0077113C"/>
    <w:rsid w:val="00771765"/>
    <w:rsid w:val="00771D5C"/>
    <w:rsid w:val="0077240B"/>
    <w:rsid w:val="00772497"/>
    <w:rsid w:val="00772FCD"/>
    <w:rsid w:val="007732AA"/>
    <w:rsid w:val="0077349E"/>
    <w:rsid w:val="00773AFE"/>
    <w:rsid w:val="00774E89"/>
    <w:rsid w:val="007754DE"/>
    <w:rsid w:val="00775568"/>
    <w:rsid w:val="007757EC"/>
    <w:rsid w:val="00775832"/>
    <w:rsid w:val="00775C93"/>
    <w:rsid w:val="00776052"/>
    <w:rsid w:val="00776455"/>
    <w:rsid w:val="00776CC3"/>
    <w:rsid w:val="00776DC2"/>
    <w:rsid w:val="007770B5"/>
    <w:rsid w:val="007777CF"/>
    <w:rsid w:val="0078008F"/>
    <w:rsid w:val="00780400"/>
    <w:rsid w:val="007807F7"/>
    <w:rsid w:val="00780F94"/>
    <w:rsid w:val="00782165"/>
    <w:rsid w:val="00782250"/>
    <w:rsid w:val="0078239A"/>
    <w:rsid w:val="00782895"/>
    <w:rsid w:val="0078296F"/>
    <w:rsid w:val="00783EF5"/>
    <w:rsid w:val="00784B01"/>
    <w:rsid w:val="00785741"/>
    <w:rsid w:val="0078581E"/>
    <w:rsid w:val="007864DB"/>
    <w:rsid w:val="00786FAF"/>
    <w:rsid w:val="00787DEE"/>
    <w:rsid w:val="00787FA7"/>
    <w:rsid w:val="00790057"/>
    <w:rsid w:val="007905B6"/>
    <w:rsid w:val="00791118"/>
    <w:rsid w:val="00791275"/>
    <w:rsid w:val="007913DD"/>
    <w:rsid w:val="007916C1"/>
    <w:rsid w:val="00791853"/>
    <w:rsid w:val="0079193B"/>
    <w:rsid w:val="00791B0A"/>
    <w:rsid w:val="00791EEA"/>
    <w:rsid w:val="00792C4F"/>
    <w:rsid w:val="00792F0C"/>
    <w:rsid w:val="007932FD"/>
    <w:rsid w:val="00793AAE"/>
    <w:rsid w:val="007948E3"/>
    <w:rsid w:val="0079531C"/>
    <w:rsid w:val="007963F8"/>
    <w:rsid w:val="00796B4C"/>
    <w:rsid w:val="00796F0C"/>
    <w:rsid w:val="007970F3"/>
    <w:rsid w:val="007A0205"/>
    <w:rsid w:val="007A105C"/>
    <w:rsid w:val="007A18A2"/>
    <w:rsid w:val="007A1B82"/>
    <w:rsid w:val="007A1EA9"/>
    <w:rsid w:val="007A1F92"/>
    <w:rsid w:val="007A248B"/>
    <w:rsid w:val="007A24E3"/>
    <w:rsid w:val="007A2E10"/>
    <w:rsid w:val="007A36AC"/>
    <w:rsid w:val="007A3817"/>
    <w:rsid w:val="007A3B48"/>
    <w:rsid w:val="007A3D3D"/>
    <w:rsid w:val="007A4029"/>
    <w:rsid w:val="007A4F62"/>
    <w:rsid w:val="007A54A1"/>
    <w:rsid w:val="007A5557"/>
    <w:rsid w:val="007A6210"/>
    <w:rsid w:val="007A642C"/>
    <w:rsid w:val="007A653F"/>
    <w:rsid w:val="007A793A"/>
    <w:rsid w:val="007A79C7"/>
    <w:rsid w:val="007A7AE4"/>
    <w:rsid w:val="007A7FF3"/>
    <w:rsid w:val="007B0801"/>
    <w:rsid w:val="007B19F4"/>
    <w:rsid w:val="007B1B10"/>
    <w:rsid w:val="007B3258"/>
    <w:rsid w:val="007B33AB"/>
    <w:rsid w:val="007B3BF9"/>
    <w:rsid w:val="007B44D9"/>
    <w:rsid w:val="007B477B"/>
    <w:rsid w:val="007B4C51"/>
    <w:rsid w:val="007B4EFE"/>
    <w:rsid w:val="007B6B44"/>
    <w:rsid w:val="007B6C57"/>
    <w:rsid w:val="007B6CE5"/>
    <w:rsid w:val="007B7188"/>
    <w:rsid w:val="007B77F0"/>
    <w:rsid w:val="007B7822"/>
    <w:rsid w:val="007B7912"/>
    <w:rsid w:val="007B79F8"/>
    <w:rsid w:val="007C01B0"/>
    <w:rsid w:val="007C08B8"/>
    <w:rsid w:val="007C0942"/>
    <w:rsid w:val="007C10DA"/>
    <w:rsid w:val="007C1CA3"/>
    <w:rsid w:val="007C25C2"/>
    <w:rsid w:val="007C2647"/>
    <w:rsid w:val="007C2F4A"/>
    <w:rsid w:val="007C32CA"/>
    <w:rsid w:val="007C339D"/>
    <w:rsid w:val="007C34E6"/>
    <w:rsid w:val="007C413E"/>
    <w:rsid w:val="007C4636"/>
    <w:rsid w:val="007C4C4F"/>
    <w:rsid w:val="007C4D03"/>
    <w:rsid w:val="007C5044"/>
    <w:rsid w:val="007C53D8"/>
    <w:rsid w:val="007C5C0D"/>
    <w:rsid w:val="007C5DF3"/>
    <w:rsid w:val="007C626A"/>
    <w:rsid w:val="007C6379"/>
    <w:rsid w:val="007C639A"/>
    <w:rsid w:val="007C6558"/>
    <w:rsid w:val="007C6D1E"/>
    <w:rsid w:val="007C79EE"/>
    <w:rsid w:val="007D10E4"/>
    <w:rsid w:val="007D1DF4"/>
    <w:rsid w:val="007D3A12"/>
    <w:rsid w:val="007D463E"/>
    <w:rsid w:val="007D48C1"/>
    <w:rsid w:val="007D4DA1"/>
    <w:rsid w:val="007D4E0F"/>
    <w:rsid w:val="007D4F17"/>
    <w:rsid w:val="007D5362"/>
    <w:rsid w:val="007D5AEF"/>
    <w:rsid w:val="007D66CB"/>
    <w:rsid w:val="007D6C11"/>
    <w:rsid w:val="007D74AF"/>
    <w:rsid w:val="007D751A"/>
    <w:rsid w:val="007D7C2D"/>
    <w:rsid w:val="007E12DC"/>
    <w:rsid w:val="007E1387"/>
    <w:rsid w:val="007E24FA"/>
    <w:rsid w:val="007E297A"/>
    <w:rsid w:val="007E2D21"/>
    <w:rsid w:val="007E3BA8"/>
    <w:rsid w:val="007E490C"/>
    <w:rsid w:val="007E4997"/>
    <w:rsid w:val="007E51CD"/>
    <w:rsid w:val="007E5257"/>
    <w:rsid w:val="007E5919"/>
    <w:rsid w:val="007E5E10"/>
    <w:rsid w:val="007E66C0"/>
    <w:rsid w:val="007E6A7F"/>
    <w:rsid w:val="007E769F"/>
    <w:rsid w:val="007E7786"/>
    <w:rsid w:val="007E7CC1"/>
    <w:rsid w:val="007E7D9C"/>
    <w:rsid w:val="007F00A5"/>
    <w:rsid w:val="007F05F4"/>
    <w:rsid w:val="007F07CA"/>
    <w:rsid w:val="007F083A"/>
    <w:rsid w:val="007F0BCB"/>
    <w:rsid w:val="007F0E1C"/>
    <w:rsid w:val="007F1213"/>
    <w:rsid w:val="007F1C36"/>
    <w:rsid w:val="007F28A3"/>
    <w:rsid w:val="007F2D01"/>
    <w:rsid w:val="007F2D57"/>
    <w:rsid w:val="007F315F"/>
    <w:rsid w:val="007F3205"/>
    <w:rsid w:val="007F360D"/>
    <w:rsid w:val="007F3F88"/>
    <w:rsid w:val="007F42A2"/>
    <w:rsid w:val="007F42E2"/>
    <w:rsid w:val="007F4628"/>
    <w:rsid w:val="007F4D94"/>
    <w:rsid w:val="007F4F9E"/>
    <w:rsid w:val="007F52DE"/>
    <w:rsid w:val="007F54E7"/>
    <w:rsid w:val="007F62A5"/>
    <w:rsid w:val="007F6511"/>
    <w:rsid w:val="007F6B7B"/>
    <w:rsid w:val="007F6F10"/>
    <w:rsid w:val="007F711B"/>
    <w:rsid w:val="007F73B6"/>
    <w:rsid w:val="008001C4"/>
    <w:rsid w:val="00802504"/>
    <w:rsid w:val="00802BBE"/>
    <w:rsid w:val="00802C03"/>
    <w:rsid w:val="00803145"/>
    <w:rsid w:val="008035B5"/>
    <w:rsid w:val="00803663"/>
    <w:rsid w:val="00803753"/>
    <w:rsid w:val="00803760"/>
    <w:rsid w:val="008038F3"/>
    <w:rsid w:val="00803D9F"/>
    <w:rsid w:val="00805711"/>
    <w:rsid w:val="008067D3"/>
    <w:rsid w:val="00807267"/>
    <w:rsid w:val="0080736B"/>
    <w:rsid w:val="008077C5"/>
    <w:rsid w:val="00810F0D"/>
    <w:rsid w:val="008122FB"/>
    <w:rsid w:val="008127F8"/>
    <w:rsid w:val="00813A13"/>
    <w:rsid w:val="00814273"/>
    <w:rsid w:val="00814744"/>
    <w:rsid w:val="00814C3D"/>
    <w:rsid w:val="008150CC"/>
    <w:rsid w:val="00815584"/>
    <w:rsid w:val="00815778"/>
    <w:rsid w:val="008159C8"/>
    <w:rsid w:val="00815D70"/>
    <w:rsid w:val="00817382"/>
    <w:rsid w:val="008177AF"/>
    <w:rsid w:val="0081799B"/>
    <w:rsid w:val="00817BC3"/>
    <w:rsid w:val="008204F6"/>
    <w:rsid w:val="00820D0B"/>
    <w:rsid w:val="00820E0C"/>
    <w:rsid w:val="00821917"/>
    <w:rsid w:val="00821CFD"/>
    <w:rsid w:val="00821E59"/>
    <w:rsid w:val="00821EA7"/>
    <w:rsid w:val="008225A8"/>
    <w:rsid w:val="00822B3F"/>
    <w:rsid w:val="00823B7C"/>
    <w:rsid w:val="00824091"/>
    <w:rsid w:val="008240A3"/>
    <w:rsid w:val="008240F1"/>
    <w:rsid w:val="00824338"/>
    <w:rsid w:val="0082455C"/>
    <w:rsid w:val="00824E07"/>
    <w:rsid w:val="00825399"/>
    <w:rsid w:val="008253FB"/>
    <w:rsid w:val="008262D7"/>
    <w:rsid w:val="00826CB0"/>
    <w:rsid w:val="00827439"/>
    <w:rsid w:val="00827551"/>
    <w:rsid w:val="008279B5"/>
    <w:rsid w:val="008301F6"/>
    <w:rsid w:val="00830331"/>
    <w:rsid w:val="0083091E"/>
    <w:rsid w:val="008309CC"/>
    <w:rsid w:val="00830D67"/>
    <w:rsid w:val="00830E9F"/>
    <w:rsid w:val="008336E1"/>
    <w:rsid w:val="00833D3F"/>
    <w:rsid w:val="00833ECB"/>
    <w:rsid w:val="008341C7"/>
    <w:rsid w:val="00834DFC"/>
    <w:rsid w:val="00835411"/>
    <w:rsid w:val="00835E09"/>
    <w:rsid w:val="00836469"/>
    <w:rsid w:val="00836AEE"/>
    <w:rsid w:val="0083704C"/>
    <w:rsid w:val="008379E5"/>
    <w:rsid w:val="00837DE8"/>
    <w:rsid w:val="00837F5C"/>
    <w:rsid w:val="00840087"/>
    <w:rsid w:val="0084011F"/>
    <w:rsid w:val="0084075C"/>
    <w:rsid w:val="008407E6"/>
    <w:rsid w:val="00840D83"/>
    <w:rsid w:val="00841513"/>
    <w:rsid w:val="00841551"/>
    <w:rsid w:val="00841690"/>
    <w:rsid w:val="00841AAE"/>
    <w:rsid w:val="00842010"/>
    <w:rsid w:val="00842D3D"/>
    <w:rsid w:val="00842E9E"/>
    <w:rsid w:val="008436E8"/>
    <w:rsid w:val="00843C41"/>
    <w:rsid w:val="00844410"/>
    <w:rsid w:val="00844485"/>
    <w:rsid w:val="008448C0"/>
    <w:rsid w:val="00844912"/>
    <w:rsid w:val="00844C56"/>
    <w:rsid w:val="00844F97"/>
    <w:rsid w:val="00845122"/>
    <w:rsid w:val="00845479"/>
    <w:rsid w:val="008454A4"/>
    <w:rsid w:val="00845871"/>
    <w:rsid w:val="0084592E"/>
    <w:rsid w:val="00845988"/>
    <w:rsid w:val="0084620E"/>
    <w:rsid w:val="00846418"/>
    <w:rsid w:val="0084676D"/>
    <w:rsid w:val="008467F9"/>
    <w:rsid w:val="00847192"/>
    <w:rsid w:val="00847198"/>
    <w:rsid w:val="00850689"/>
    <w:rsid w:val="00850FCC"/>
    <w:rsid w:val="00851549"/>
    <w:rsid w:val="008516C0"/>
    <w:rsid w:val="008516E8"/>
    <w:rsid w:val="0085192C"/>
    <w:rsid w:val="00851EFC"/>
    <w:rsid w:val="00852DD6"/>
    <w:rsid w:val="0085302D"/>
    <w:rsid w:val="00853A0C"/>
    <w:rsid w:val="00853ED2"/>
    <w:rsid w:val="00854D3F"/>
    <w:rsid w:val="008557BB"/>
    <w:rsid w:val="00855ABD"/>
    <w:rsid w:val="00855FE6"/>
    <w:rsid w:val="0085639B"/>
    <w:rsid w:val="00856A8D"/>
    <w:rsid w:val="00856C62"/>
    <w:rsid w:val="00856D3C"/>
    <w:rsid w:val="00856F6F"/>
    <w:rsid w:val="00857F38"/>
    <w:rsid w:val="008601AE"/>
    <w:rsid w:val="008604D9"/>
    <w:rsid w:val="0086088F"/>
    <w:rsid w:val="00861E17"/>
    <w:rsid w:val="00862179"/>
    <w:rsid w:val="00862606"/>
    <w:rsid w:val="00862B71"/>
    <w:rsid w:val="008630EE"/>
    <w:rsid w:val="008635B8"/>
    <w:rsid w:val="00863A20"/>
    <w:rsid w:val="0086422B"/>
    <w:rsid w:val="008646D6"/>
    <w:rsid w:val="00865BF2"/>
    <w:rsid w:val="00866469"/>
    <w:rsid w:val="008665D2"/>
    <w:rsid w:val="00867372"/>
    <w:rsid w:val="00867567"/>
    <w:rsid w:val="00867972"/>
    <w:rsid w:val="00870032"/>
    <w:rsid w:val="0087070D"/>
    <w:rsid w:val="00870A6F"/>
    <w:rsid w:val="00870E61"/>
    <w:rsid w:val="0087129E"/>
    <w:rsid w:val="00871A16"/>
    <w:rsid w:val="00871AE5"/>
    <w:rsid w:val="00871E5F"/>
    <w:rsid w:val="0087230F"/>
    <w:rsid w:val="008723F0"/>
    <w:rsid w:val="008724D0"/>
    <w:rsid w:val="008725C3"/>
    <w:rsid w:val="008729A0"/>
    <w:rsid w:val="00872A3A"/>
    <w:rsid w:val="00872FD0"/>
    <w:rsid w:val="00873293"/>
    <w:rsid w:val="00873406"/>
    <w:rsid w:val="008740D1"/>
    <w:rsid w:val="00874168"/>
    <w:rsid w:val="008748DE"/>
    <w:rsid w:val="00874EE6"/>
    <w:rsid w:val="008750A0"/>
    <w:rsid w:val="00875A81"/>
    <w:rsid w:val="0087629A"/>
    <w:rsid w:val="008766C2"/>
    <w:rsid w:val="00876728"/>
    <w:rsid w:val="008767BA"/>
    <w:rsid w:val="00876D84"/>
    <w:rsid w:val="00876DF8"/>
    <w:rsid w:val="00880376"/>
    <w:rsid w:val="008808C5"/>
    <w:rsid w:val="00881386"/>
    <w:rsid w:val="008817B3"/>
    <w:rsid w:val="00881D59"/>
    <w:rsid w:val="008821C8"/>
    <w:rsid w:val="00882218"/>
    <w:rsid w:val="00883734"/>
    <w:rsid w:val="00883788"/>
    <w:rsid w:val="00883F1D"/>
    <w:rsid w:val="0088413C"/>
    <w:rsid w:val="00884601"/>
    <w:rsid w:val="0088473F"/>
    <w:rsid w:val="008849FD"/>
    <w:rsid w:val="00885620"/>
    <w:rsid w:val="00886309"/>
    <w:rsid w:val="0088630E"/>
    <w:rsid w:val="00886ACD"/>
    <w:rsid w:val="00886B5C"/>
    <w:rsid w:val="00886DBE"/>
    <w:rsid w:val="00886E02"/>
    <w:rsid w:val="00887506"/>
    <w:rsid w:val="00887B90"/>
    <w:rsid w:val="00890401"/>
    <w:rsid w:val="00890710"/>
    <w:rsid w:val="00890B6B"/>
    <w:rsid w:val="00891413"/>
    <w:rsid w:val="008915D9"/>
    <w:rsid w:val="008918FA"/>
    <w:rsid w:val="00891B9B"/>
    <w:rsid w:val="008929DE"/>
    <w:rsid w:val="00892F7B"/>
    <w:rsid w:val="00893562"/>
    <w:rsid w:val="008935A5"/>
    <w:rsid w:val="00893D11"/>
    <w:rsid w:val="00893D8E"/>
    <w:rsid w:val="00895AC5"/>
    <w:rsid w:val="00896670"/>
    <w:rsid w:val="008966C8"/>
    <w:rsid w:val="00896D95"/>
    <w:rsid w:val="008A1120"/>
    <w:rsid w:val="008A1234"/>
    <w:rsid w:val="008A182E"/>
    <w:rsid w:val="008A1ED2"/>
    <w:rsid w:val="008A2042"/>
    <w:rsid w:val="008A33D8"/>
    <w:rsid w:val="008A37AF"/>
    <w:rsid w:val="008A3FE0"/>
    <w:rsid w:val="008A3FE4"/>
    <w:rsid w:val="008A4285"/>
    <w:rsid w:val="008A45E7"/>
    <w:rsid w:val="008A460B"/>
    <w:rsid w:val="008A4D5A"/>
    <w:rsid w:val="008A506D"/>
    <w:rsid w:val="008A53DC"/>
    <w:rsid w:val="008A55AB"/>
    <w:rsid w:val="008A5C75"/>
    <w:rsid w:val="008A5DA1"/>
    <w:rsid w:val="008A5E48"/>
    <w:rsid w:val="008A6532"/>
    <w:rsid w:val="008A70CD"/>
    <w:rsid w:val="008A79CC"/>
    <w:rsid w:val="008A7DE2"/>
    <w:rsid w:val="008A7F32"/>
    <w:rsid w:val="008B05FA"/>
    <w:rsid w:val="008B0C70"/>
    <w:rsid w:val="008B16A0"/>
    <w:rsid w:val="008B19AD"/>
    <w:rsid w:val="008B2001"/>
    <w:rsid w:val="008B29E4"/>
    <w:rsid w:val="008B29FB"/>
    <w:rsid w:val="008B3723"/>
    <w:rsid w:val="008B4254"/>
    <w:rsid w:val="008B4498"/>
    <w:rsid w:val="008B46AF"/>
    <w:rsid w:val="008B4C9D"/>
    <w:rsid w:val="008B4F64"/>
    <w:rsid w:val="008B4FCC"/>
    <w:rsid w:val="008B52B1"/>
    <w:rsid w:val="008B5CD3"/>
    <w:rsid w:val="008B627A"/>
    <w:rsid w:val="008B7308"/>
    <w:rsid w:val="008B7495"/>
    <w:rsid w:val="008C06A7"/>
    <w:rsid w:val="008C0C0F"/>
    <w:rsid w:val="008C0FE7"/>
    <w:rsid w:val="008C1375"/>
    <w:rsid w:val="008C15D4"/>
    <w:rsid w:val="008C1B51"/>
    <w:rsid w:val="008C261C"/>
    <w:rsid w:val="008C2990"/>
    <w:rsid w:val="008C2AAD"/>
    <w:rsid w:val="008C2C11"/>
    <w:rsid w:val="008C3367"/>
    <w:rsid w:val="008C3435"/>
    <w:rsid w:val="008C343F"/>
    <w:rsid w:val="008C3A43"/>
    <w:rsid w:val="008C3EAF"/>
    <w:rsid w:val="008C48DF"/>
    <w:rsid w:val="008C531B"/>
    <w:rsid w:val="008C56E1"/>
    <w:rsid w:val="008C5AFA"/>
    <w:rsid w:val="008C639A"/>
    <w:rsid w:val="008C6957"/>
    <w:rsid w:val="008C6DFD"/>
    <w:rsid w:val="008C7783"/>
    <w:rsid w:val="008D165F"/>
    <w:rsid w:val="008D1942"/>
    <w:rsid w:val="008D1A51"/>
    <w:rsid w:val="008D1D6B"/>
    <w:rsid w:val="008D1DB0"/>
    <w:rsid w:val="008D2AB7"/>
    <w:rsid w:val="008D2EB2"/>
    <w:rsid w:val="008D328C"/>
    <w:rsid w:val="008D3B52"/>
    <w:rsid w:val="008D3CA1"/>
    <w:rsid w:val="008D3E14"/>
    <w:rsid w:val="008D3E9A"/>
    <w:rsid w:val="008D3EF8"/>
    <w:rsid w:val="008D3F8A"/>
    <w:rsid w:val="008D4340"/>
    <w:rsid w:val="008D4426"/>
    <w:rsid w:val="008D45DE"/>
    <w:rsid w:val="008D5968"/>
    <w:rsid w:val="008D65D4"/>
    <w:rsid w:val="008D66AD"/>
    <w:rsid w:val="008D6888"/>
    <w:rsid w:val="008D71E5"/>
    <w:rsid w:val="008D734C"/>
    <w:rsid w:val="008D74C2"/>
    <w:rsid w:val="008D7874"/>
    <w:rsid w:val="008D7D74"/>
    <w:rsid w:val="008D7DF4"/>
    <w:rsid w:val="008E04CC"/>
    <w:rsid w:val="008E1738"/>
    <w:rsid w:val="008E1AC7"/>
    <w:rsid w:val="008E2EE1"/>
    <w:rsid w:val="008E34FC"/>
    <w:rsid w:val="008E3895"/>
    <w:rsid w:val="008E3915"/>
    <w:rsid w:val="008E4967"/>
    <w:rsid w:val="008E4A60"/>
    <w:rsid w:val="008E4D2F"/>
    <w:rsid w:val="008E5F88"/>
    <w:rsid w:val="008E6D1F"/>
    <w:rsid w:val="008E6F85"/>
    <w:rsid w:val="008E7225"/>
    <w:rsid w:val="008E78AD"/>
    <w:rsid w:val="008E7B09"/>
    <w:rsid w:val="008E7B38"/>
    <w:rsid w:val="008F0FC3"/>
    <w:rsid w:val="008F15D0"/>
    <w:rsid w:val="008F170B"/>
    <w:rsid w:val="008F1C97"/>
    <w:rsid w:val="008F2951"/>
    <w:rsid w:val="008F2A36"/>
    <w:rsid w:val="008F2CDF"/>
    <w:rsid w:val="008F33B6"/>
    <w:rsid w:val="008F3717"/>
    <w:rsid w:val="008F3854"/>
    <w:rsid w:val="008F4EE4"/>
    <w:rsid w:val="008F55F8"/>
    <w:rsid w:val="008F5863"/>
    <w:rsid w:val="008F5C50"/>
    <w:rsid w:val="008F65D8"/>
    <w:rsid w:val="008F6686"/>
    <w:rsid w:val="008F707C"/>
    <w:rsid w:val="008F747B"/>
    <w:rsid w:val="008F7696"/>
    <w:rsid w:val="008F79AE"/>
    <w:rsid w:val="008F7AB1"/>
    <w:rsid w:val="008F7B91"/>
    <w:rsid w:val="0090009B"/>
    <w:rsid w:val="00900950"/>
    <w:rsid w:val="00900AE9"/>
    <w:rsid w:val="00900B0F"/>
    <w:rsid w:val="0090108F"/>
    <w:rsid w:val="00901650"/>
    <w:rsid w:val="00901D55"/>
    <w:rsid w:val="00903640"/>
    <w:rsid w:val="00903BCC"/>
    <w:rsid w:val="009044DE"/>
    <w:rsid w:val="0090512C"/>
    <w:rsid w:val="009064AA"/>
    <w:rsid w:val="0090698D"/>
    <w:rsid w:val="009069C0"/>
    <w:rsid w:val="00906CDF"/>
    <w:rsid w:val="00907667"/>
    <w:rsid w:val="00907725"/>
    <w:rsid w:val="00907A4D"/>
    <w:rsid w:val="00907CB8"/>
    <w:rsid w:val="00907EAC"/>
    <w:rsid w:val="009105FC"/>
    <w:rsid w:val="009106F7"/>
    <w:rsid w:val="0091081F"/>
    <w:rsid w:val="00910938"/>
    <w:rsid w:val="00910B95"/>
    <w:rsid w:val="00910DF1"/>
    <w:rsid w:val="00910DF3"/>
    <w:rsid w:val="00912344"/>
    <w:rsid w:val="00912996"/>
    <w:rsid w:val="00912AD3"/>
    <w:rsid w:val="00912F46"/>
    <w:rsid w:val="0091443A"/>
    <w:rsid w:val="00914937"/>
    <w:rsid w:val="00914AB6"/>
    <w:rsid w:val="00914CCD"/>
    <w:rsid w:val="009154F6"/>
    <w:rsid w:val="009156E3"/>
    <w:rsid w:val="009159FC"/>
    <w:rsid w:val="00916185"/>
    <w:rsid w:val="0091636A"/>
    <w:rsid w:val="009166B0"/>
    <w:rsid w:val="009178EC"/>
    <w:rsid w:val="00920E4F"/>
    <w:rsid w:val="009228C3"/>
    <w:rsid w:val="00922A5A"/>
    <w:rsid w:val="00923778"/>
    <w:rsid w:val="009240F8"/>
    <w:rsid w:val="00924FB5"/>
    <w:rsid w:val="00925E96"/>
    <w:rsid w:val="00926845"/>
    <w:rsid w:val="00926D3C"/>
    <w:rsid w:val="00926E2B"/>
    <w:rsid w:val="00927117"/>
    <w:rsid w:val="00927148"/>
    <w:rsid w:val="0092780F"/>
    <w:rsid w:val="00927974"/>
    <w:rsid w:val="00927D30"/>
    <w:rsid w:val="00927F06"/>
    <w:rsid w:val="00927F5E"/>
    <w:rsid w:val="00930D45"/>
    <w:rsid w:val="0093134C"/>
    <w:rsid w:val="00931E81"/>
    <w:rsid w:val="009326F2"/>
    <w:rsid w:val="00932A07"/>
    <w:rsid w:val="00932CBE"/>
    <w:rsid w:val="0093363A"/>
    <w:rsid w:val="009340CF"/>
    <w:rsid w:val="0093428F"/>
    <w:rsid w:val="009343BF"/>
    <w:rsid w:val="00934526"/>
    <w:rsid w:val="009345C5"/>
    <w:rsid w:val="0093491E"/>
    <w:rsid w:val="00934AD2"/>
    <w:rsid w:val="00934EDE"/>
    <w:rsid w:val="0093502E"/>
    <w:rsid w:val="0093529D"/>
    <w:rsid w:val="00935576"/>
    <w:rsid w:val="00935F69"/>
    <w:rsid w:val="009361BA"/>
    <w:rsid w:val="00936488"/>
    <w:rsid w:val="009366FB"/>
    <w:rsid w:val="0093719B"/>
    <w:rsid w:val="009372F0"/>
    <w:rsid w:val="00937B5C"/>
    <w:rsid w:val="00937BB5"/>
    <w:rsid w:val="009401C5"/>
    <w:rsid w:val="009401CC"/>
    <w:rsid w:val="009409AC"/>
    <w:rsid w:val="009410CB"/>
    <w:rsid w:val="009412E3"/>
    <w:rsid w:val="00941460"/>
    <w:rsid w:val="0094192F"/>
    <w:rsid w:val="0094195F"/>
    <w:rsid w:val="00941C06"/>
    <w:rsid w:val="009421DF"/>
    <w:rsid w:val="00942CBA"/>
    <w:rsid w:val="0094345F"/>
    <w:rsid w:val="00943C8B"/>
    <w:rsid w:val="00944458"/>
    <w:rsid w:val="009445DF"/>
    <w:rsid w:val="00945C29"/>
    <w:rsid w:val="00945E35"/>
    <w:rsid w:val="00945FC9"/>
    <w:rsid w:val="00945FFF"/>
    <w:rsid w:val="0094608B"/>
    <w:rsid w:val="00946819"/>
    <w:rsid w:val="00946EAA"/>
    <w:rsid w:val="0095000B"/>
    <w:rsid w:val="009513DC"/>
    <w:rsid w:val="009515B8"/>
    <w:rsid w:val="00951872"/>
    <w:rsid w:val="00951EC6"/>
    <w:rsid w:val="0095269D"/>
    <w:rsid w:val="009526DA"/>
    <w:rsid w:val="00952BD1"/>
    <w:rsid w:val="00953D99"/>
    <w:rsid w:val="00954280"/>
    <w:rsid w:val="009544D3"/>
    <w:rsid w:val="009546F1"/>
    <w:rsid w:val="00954ABB"/>
    <w:rsid w:val="0095588E"/>
    <w:rsid w:val="00955925"/>
    <w:rsid w:val="00955A83"/>
    <w:rsid w:val="00955BCD"/>
    <w:rsid w:val="00955F28"/>
    <w:rsid w:val="00956DFE"/>
    <w:rsid w:val="00957F86"/>
    <w:rsid w:val="00960D53"/>
    <w:rsid w:val="00960FBC"/>
    <w:rsid w:val="00961126"/>
    <w:rsid w:val="0096126F"/>
    <w:rsid w:val="0096160F"/>
    <w:rsid w:val="009617B7"/>
    <w:rsid w:val="00961C19"/>
    <w:rsid w:val="00962507"/>
    <w:rsid w:val="009632E2"/>
    <w:rsid w:val="009633C4"/>
    <w:rsid w:val="00963405"/>
    <w:rsid w:val="00963CB5"/>
    <w:rsid w:val="0096413E"/>
    <w:rsid w:val="009649B4"/>
    <w:rsid w:val="00964C4E"/>
    <w:rsid w:val="00964DEC"/>
    <w:rsid w:val="00964F99"/>
    <w:rsid w:val="009650C2"/>
    <w:rsid w:val="00965AE6"/>
    <w:rsid w:val="009670BE"/>
    <w:rsid w:val="00967F06"/>
    <w:rsid w:val="00967F46"/>
    <w:rsid w:val="00970770"/>
    <w:rsid w:val="00970C03"/>
    <w:rsid w:val="00970C1B"/>
    <w:rsid w:val="00971D2E"/>
    <w:rsid w:val="00972E95"/>
    <w:rsid w:val="0097304D"/>
    <w:rsid w:val="009730AE"/>
    <w:rsid w:val="00973472"/>
    <w:rsid w:val="009737FD"/>
    <w:rsid w:val="00973D32"/>
    <w:rsid w:val="00973E9B"/>
    <w:rsid w:val="00973EDF"/>
    <w:rsid w:val="00973FC3"/>
    <w:rsid w:val="00974264"/>
    <w:rsid w:val="00975070"/>
    <w:rsid w:val="00975610"/>
    <w:rsid w:val="009757A8"/>
    <w:rsid w:val="00975CD2"/>
    <w:rsid w:val="00976030"/>
    <w:rsid w:val="00976575"/>
    <w:rsid w:val="009768E1"/>
    <w:rsid w:val="00976B8C"/>
    <w:rsid w:val="00976E48"/>
    <w:rsid w:val="00976F8C"/>
    <w:rsid w:val="009778ED"/>
    <w:rsid w:val="009804F5"/>
    <w:rsid w:val="00980D2B"/>
    <w:rsid w:val="009817D4"/>
    <w:rsid w:val="00981E05"/>
    <w:rsid w:val="00981E53"/>
    <w:rsid w:val="00982AA6"/>
    <w:rsid w:val="00983FAF"/>
    <w:rsid w:val="009846BC"/>
    <w:rsid w:val="00984727"/>
    <w:rsid w:val="0098479A"/>
    <w:rsid w:val="00985EF2"/>
    <w:rsid w:val="0098629D"/>
    <w:rsid w:val="00986BF1"/>
    <w:rsid w:val="00987421"/>
    <w:rsid w:val="009877DE"/>
    <w:rsid w:val="00987969"/>
    <w:rsid w:val="0098799B"/>
    <w:rsid w:val="00987D29"/>
    <w:rsid w:val="00990565"/>
    <w:rsid w:val="009905A8"/>
    <w:rsid w:val="00990662"/>
    <w:rsid w:val="00990F43"/>
    <w:rsid w:val="0099116B"/>
    <w:rsid w:val="0099148D"/>
    <w:rsid w:val="0099169A"/>
    <w:rsid w:val="009918A4"/>
    <w:rsid w:val="00991B42"/>
    <w:rsid w:val="00992EA2"/>
    <w:rsid w:val="00993046"/>
    <w:rsid w:val="00993D42"/>
    <w:rsid w:val="00994A22"/>
    <w:rsid w:val="0099515E"/>
    <w:rsid w:val="009951A2"/>
    <w:rsid w:val="009951D3"/>
    <w:rsid w:val="009952C1"/>
    <w:rsid w:val="00995358"/>
    <w:rsid w:val="0099581C"/>
    <w:rsid w:val="00996562"/>
    <w:rsid w:val="00996657"/>
    <w:rsid w:val="00996680"/>
    <w:rsid w:val="00997029"/>
    <w:rsid w:val="0099792A"/>
    <w:rsid w:val="009A0671"/>
    <w:rsid w:val="009A077B"/>
    <w:rsid w:val="009A07BD"/>
    <w:rsid w:val="009A0908"/>
    <w:rsid w:val="009A0995"/>
    <w:rsid w:val="009A0E76"/>
    <w:rsid w:val="009A11CE"/>
    <w:rsid w:val="009A1723"/>
    <w:rsid w:val="009A1AB1"/>
    <w:rsid w:val="009A1B56"/>
    <w:rsid w:val="009A1FAC"/>
    <w:rsid w:val="009A239E"/>
    <w:rsid w:val="009A31F4"/>
    <w:rsid w:val="009A32D5"/>
    <w:rsid w:val="009A374E"/>
    <w:rsid w:val="009A38C7"/>
    <w:rsid w:val="009A3D43"/>
    <w:rsid w:val="009A3E91"/>
    <w:rsid w:val="009A50B4"/>
    <w:rsid w:val="009A54A5"/>
    <w:rsid w:val="009A553C"/>
    <w:rsid w:val="009A5E97"/>
    <w:rsid w:val="009A636E"/>
    <w:rsid w:val="009A6B97"/>
    <w:rsid w:val="009A6BE8"/>
    <w:rsid w:val="009A6BF6"/>
    <w:rsid w:val="009A6D93"/>
    <w:rsid w:val="009A6FD0"/>
    <w:rsid w:val="009A7CA6"/>
    <w:rsid w:val="009A7DCC"/>
    <w:rsid w:val="009B0092"/>
    <w:rsid w:val="009B0345"/>
    <w:rsid w:val="009B0DA3"/>
    <w:rsid w:val="009B221D"/>
    <w:rsid w:val="009B22B3"/>
    <w:rsid w:val="009B292C"/>
    <w:rsid w:val="009B2CFA"/>
    <w:rsid w:val="009B3AF4"/>
    <w:rsid w:val="009B3EF4"/>
    <w:rsid w:val="009B4723"/>
    <w:rsid w:val="009B4B9A"/>
    <w:rsid w:val="009B5C3B"/>
    <w:rsid w:val="009B658D"/>
    <w:rsid w:val="009B65A8"/>
    <w:rsid w:val="009B696E"/>
    <w:rsid w:val="009B6A00"/>
    <w:rsid w:val="009B79ED"/>
    <w:rsid w:val="009C0018"/>
    <w:rsid w:val="009C017D"/>
    <w:rsid w:val="009C0944"/>
    <w:rsid w:val="009C0AA7"/>
    <w:rsid w:val="009C1B4B"/>
    <w:rsid w:val="009C1CD8"/>
    <w:rsid w:val="009C1E53"/>
    <w:rsid w:val="009C21D6"/>
    <w:rsid w:val="009C2789"/>
    <w:rsid w:val="009C29D2"/>
    <w:rsid w:val="009C31B3"/>
    <w:rsid w:val="009C3556"/>
    <w:rsid w:val="009C37E9"/>
    <w:rsid w:val="009C38B0"/>
    <w:rsid w:val="009C3A40"/>
    <w:rsid w:val="009C3B21"/>
    <w:rsid w:val="009C41CC"/>
    <w:rsid w:val="009C425E"/>
    <w:rsid w:val="009C4905"/>
    <w:rsid w:val="009C497C"/>
    <w:rsid w:val="009C50F8"/>
    <w:rsid w:val="009C5E28"/>
    <w:rsid w:val="009C64FD"/>
    <w:rsid w:val="009C67A0"/>
    <w:rsid w:val="009C69C7"/>
    <w:rsid w:val="009C6A91"/>
    <w:rsid w:val="009C714B"/>
    <w:rsid w:val="009C71FC"/>
    <w:rsid w:val="009C726F"/>
    <w:rsid w:val="009C7553"/>
    <w:rsid w:val="009C79E9"/>
    <w:rsid w:val="009D0674"/>
    <w:rsid w:val="009D0FB9"/>
    <w:rsid w:val="009D127C"/>
    <w:rsid w:val="009D16BC"/>
    <w:rsid w:val="009D2307"/>
    <w:rsid w:val="009D2A93"/>
    <w:rsid w:val="009D2B09"/>
    <w:rsid w:val="009D309A"/>
    <w:rsid w:val="009D30ED"/>
    <w:rsid w:val="009D3452"/>
    <w:rsid w:val="009D346E"/>
    <w:rsid w:val="009D3AB5"/>
    <w:rsid w:val="009D3CF6"/>
    <w:rsid w:val="009D43B1"/>
    <w:rsid w:val="009D44CF"/>
    <w:rsid w:val="009D57A4"/>
    <w:rsid w:val="009D6709"/>
    <w:rsid w:val="009D6B99"/>
    <w:rsid w:val="009D7662"/>
    <w:rsid w:val="009D76DC"/>
    <w:rsid w:val="009D7E78"/>
    <w:rsid w:val="009E00DA"/>
    <w:rsid w:val="009E0A56"/>
    <w:rsid w:val="009E0E99"/>
    <w:rsid w:val="009E1C07"/>
    <w:rsid w:val="009E1C6F"/>
    <w:rsid w:val="009E2069"/>
    <w:rsid w:val="009E27AA"/>
    <w:rsid w:val="009E2B99"/>
    <w:rsid w:val="009E2D11"/>
    <w:rsid w:val="009E3282"/>
    <w:rsid w:val="009E36BE"/>
    <w:rsid w:val="009E3A4E"/>
    <w:rsid w:val="009E3C38"/>
    <w:rsid w:val="009E426A"/>
    <w:rsid w:val="009E499A"/>
    <w:rsid w:val="009E5C8C"/>
    <w:rsid w:val="009E5FB0"/>
    <w:rsid w:val="009E6C95"/>
    <w:rsid w:val="009E766A"/>
    <w:rsid w:val="009E7BAF"/>
    <w:rsid w:val="009E7EDC"/>
    <w:rsid w:val="009F01EC"/>
    <w:rsid w:val="009F0BC8"/>
    <w:rsid w:val="009F0DA8"/>
    <w:rsid w:val="009F1414"/>
    <w:rsid w:val="009F1856"/>
    <w:rsid w:val="009F2034"/>
    <w:rsid w:val="009F24D6"/>
    <w:rsid w:val="009F278C"/>
    <w:rsid w:val="009F31AD"/>
    <w:rsid w:val="009F340A"/>
    <w:rsid w:val="009F3673"/>
    <w:rsid w:val="009F44DB"/>
    <w:rsid w:val="009F4D67"/>
    <w:rsid w:val="009F53B2"/>
    <w:rsid w:val="009F53D8"/>
    <w:rsid w:val="009F5AEA"/>
    <w:rsid w:val="009F5BC6"/>
    <w:rsid w:val="009F5C72"/>
    <w:rsid w:val="009F645A"/>
    <w:rsid w:val="009F6478"/>
    <w:rsid w:val="009F72C1"/>
    <w:rsid w:val="009F7472"/>
    <w:rsid w:val="009F7601"/>
    <w:rsid w:val="00A017E3"/>
    <w:rsid w:val="00A02550"/>
    <w:rsid w:val="00A029D2"/>
    <w:rsid w:val="00A02A8C"/>
    <w:rsid w:val="00A02B32"/>
    <w:rsid w:val="00A02E56"/>
    <w:rsid w:val="00A03027"/>
    <w:rsid w:val="00A03167"/>
    <w:rsid w:val="00A0380D"/>
    <w:rsid w:val="00A03C37"/>
    <w:rsid w:val="00A040E5"/>
    <w:rsid w:val="00A04475"/>
    <w:rsid w:val="00A0492C"/>
    <w:rsid w:val="00A04BB1"/>
    <w:rsid w:val="00A05D88"/>
    <w:rsid w:val="00A06A41"/>
    <w:rsid w:val="00A06A6C"/>
    <w:rsid w:val="00A06D30"/>
    <w:rsid w:val="00A06DC6"/>
    <w:rsid w:val="00A1054C"/>
    <w:rsid w:val="00A1067A"/>
    <w:rsid w:val="00A10B7C"/>
    <w:rsid w:val="00A10DAB"/>
    <w:rsid w:val="00A10E69"/>
    <w:rsid w:val="00A11CD2"/>
    <w:rsid w:val="00A11E21"/>
    <w:rsid w:val="00A11F5D"/>
    <w:rsid w:val="00A12424"/>
    <w:rsid w:val="00A128E6"/>
    <w:rsid w:val="00A1295E"/>
    <w:rsid w:val="00A12F42"/>
    <w:rsid w:val="00A12F96"/>
    <w:rsid w:val="00A131F7"/>
    <w:rsid w:val="00A13F1A"/>
    <w:rsid w:val="00A1434E"/>
    <w:rsid w:val="00A14513"/>
    <w:rsid w:val="00A1456B"/>
    <w:rsid w:val="00A147D9"/>
    <w:rsid w:val="00A1562C"/>
    <w:rsid w:val="00A15AEA"/>
    <w:rsid w:val="00A15BAC"/>
    <w:rsid w:val="00A163FD"/>
    <w:rsid w:val="00A16F53"/>
    <w:rsid w:val="00A176FD"/>
    <w:rsid w:val="00A2033F"/>
    <w:rsid w:val="00A203A6"/>
    <w:rsid w:val="00A206CB"/>
    <w:rsid w:val="00A206FF"/>
    <w:rsid w:val="00A20C90"/>
    <w:rsid w:val="00A20DC0"/>
    <w:rsid w:val="00A20F1D"/>
    <w:rsid w:val="00A21127"/>
    <w:rsid w:val="00A2345F"/>
    <w:rsid w:val="00A23781"/>
    <w:rsid w:val="00A23BA8"/>
    <w:rsid w:val="00A24AB7"/>
    <w:rsid w:val="00A25039"/>
    <w:rsid w:val="00A253F1"/>
    <w:rsid w:val="00A26245"/>
    <w:rsid w:val="00A26489"/>
    <w:rsid w:val="00A267BA"/>
    <w:rsid w:val="00A268AC"/>
    <w:rsid w:val="00A26CC1"/>
    <w:rsid w:val="00A27248"/>
    <w:rsid w:val="00A27556"/>
    <w:rsid w:val="00A27919"/>
    <w:rsid w:val="00A27960"/>
    <w:rsid w:val="00A2799F"/>
    <w:rsid w:val="00A27D05"/>
    <w:rsid w:val="00A27E07"/>
    <w:rsid w:val="00A30133"/>
    <w:rsid w:val="00A305BF"/>
    <w:rsid w:val="00A306E0"/>
    <w:rsid w:val="00A30AD4"/>
    <w:rsid w:val="00A30F13"/>
    <w:rsid w:val="00A310DC"/>
    <w:rsid w:val="00A3110D"/>
    <w:rsid w:val="00A313C1"/>
    <w:rsid w:val="00A31801"/>
    <w:rsid w:val="00A32367"/>
    <w:rsid w:val="00A324AE"/>
    <w:rsid w:val="00A326C8"/>
    <w:rsid w:val="00A32A95"/>
    <w:rsid w:val="00A32F3F"/>
    <w:rsid w:val="00A330D1"/>
    <w:rsid w:val="00A3385A"/>
    <w:rsid w:val="00A343AF"/>
    <w:rsid w:val="00A34641"/>
    <w:rsid w:val="00A346A4"/>
    <w:rsid w:val="00A34FCE"/>
    <w:rsid w:val="00A350A9"/>
    <w:rsid w:val="00A352DD"/>
    <w:rsid w:val="00A35DAD"/>
    <w:rsid w:val="00A362E2"/>
    <w:rsid w:val="00A363B6"/>
    <w:rsid w:val="00A36436"/>
    <w:rsid w:val="00A36800"/>
    <w:rsid w:val="00A36880"/>
    <w:rsid w:val="00A36BB6"/>
    <w:rsid w:val="00A36C5C"/>
    <w:rsid w:val="00A37CE9"/>
    <w:rsid w:val="00A4061F"/>
    <w:rsid w:val="00A40A63"/>
    <w:rsid w:val="00A40B20"/>
    <w:rsid w:val="00A40B35"/>
    <w:rsid w:val="00A40F31"/>
    <w:rsid w:val="00A40F59"/>
    <w:rsid w:val="00A41A75"/>
    <w:rsid w:val="00A41CBF"/>
    <w:rsid w:val="00A41D08"/>
    <w:rsid w:val="00A4207A"/>
    <w:rsid w:val="00A42216"/>
    <w:rsid w:val="00A43557"/>
    <w:rsid w:val="00A43788"/>
    <w:rsid w:val="00A43B8C"/>
    <w:rsid w:val="00A43E5B"/>
    <w:rsid w:val="00A440A1"/>
    <w:rsid w:val="00A441A7"/>
    <w:rsid w:val="00A4455A"/>
    <w:rsid w:val="00A44B52"/>
    <w:rsid w:val="00A45166"/>
    <w:rsid w:val="00A45904"/>
    <w:rsid w:val="00A46AE2"/>
    <w:rsid w:val="00A46D3E"/>
    <w:rsid w:val="00A47006"/>
    <w:rsid w:val="00A472AD"/>
    <w:rsid w:val="00A47375"/>
    <w:rsid w:val="00A473AD"/>
    <w:rsid w:val="00A50A44"/>
    <w:rsid w:val="00A50D8E"/>
    <w:rsid w:val="00A5162A"/>
    <w:rsid w:val="00A51653"/>
    <w:rsid w:val="00A51B65"/>
    <w:rsid w:val="00A5245C"/>
    <w:rsid w:val="00A52AFA"/>
    <w:rsid w:val="00A534AB"/>
    <w:rsid w:val="00A53A32"/>
    <w:rsid w:val="00A546BF"/>
    <w:rsid w:val="00A547A7"/>
    <w:rsid w:val="00A56F0E"/>
    <w:rsid w:val="00A56FB6"/>
    <w:rsid w:val="00A572BD"/>
    <w:rsid w:val="00A576AC"/>
    <w:rsid w:val="00A577CE"/>
    <w:rsid w:val="00A57EAC"/>
    <w:rsid w:val="00A60129"/>
    <w:rsid w:val="00A6022E"/>
    <w:rsid w:val="00A6089E"/>
    <w:rsid w:val="00A60F11"/>
    <w:rsid w:val="00A62149"/>
    <w:rsid w:val="00A62171"/>
    <w:rsid w:val="00A62C68"/>
    <w:rsid w:val="00A6337D"/>
    <w:rsid w:val="00A649B3"/>
    <w:rsid w:val="00A66199"/>
    <w:rsid w:val="00A66224"/>
    <w:rsid w:val="00A664F2"/>
    <w:rsid w:val="00A66A48"/>
    <w:rsid w:val="00A67EDF"/>
    <w:rsid w:val="00A702DC"/>
    <w:rsid w:val="00A705B1"/>
    <w:rsid w:val="00A71108"/>
    <w:rsid w:val="00A718AA"/>
    <w:rsid w:val="00A72365"/>
    <w:rsid w:val="00A72DF7"/>
    <w:rsid w:val="00A73389"/>
    <w:rsid w:val="00A735B7"/>
    <w:rsid w:val="00A73BBA"/>
    <w:rsid w:val="00A73BF7"/>
    <w:rsid w:val="00A7419E"/>
    <w:rsid w:val="00A74387"/>
    <w:rsid w:val="00A74A8A"/>
    <w:rsid w:val="00A7556D"/>
    <w:rsid w:val="00A7593E"/>
    <w:rsid w:val="00A7594F"/>
    <w:rsid w:val="00A75AE4"/>
    <w:rsid w:val="00A75BF3"/>
    <w:rsid w:val="00A75DE0"/>
    <w:rsid w:val="00A75EC0"/>
    <w:rsid w:val="00A769F7"/>
    <w:rsid w:val="00A8004D"/>
    <w:rsid w:val="00A80C3E"/>
    <w:rsid w:val="00A813D5"/>
    <w:rsid w:val="00A815CC"/>
    <w:rsid w:val="00A8198A"/>
    <w:rsid w:val="00A819BF"/>
    <w:rsid w:val="00A81B98"/>
    <w:rsid w:val="00A820F9"/>
    <w:rsid w:val="00A8230C"/>
    <w:rsid w:val="00A825B8"/>
    <w:rsid w:val="00A826F1"/>
    <w:rsid w:val="00A8293A"/>
    <w:rsid w:val="00A82A39"/>
    <w:rsid w:val="00A838EE"/>
    <w:rsid w:val="00A83D0C"/>
    <w:rsid w:val="00A844F2"/>
    <w:rsid w:val="00A84708"/>
    <w:rsid w:val="00A8470A"/>
    <w:rsid w:val="00A84E85"/>
    <w:rsid w:val="00A85845"/>
    <w:rsid w:val="00A863BC"/>
    <w:rsid w:val="00A86D2D"/>
    <w:rsid w:val="00A87063"/>
    <w:rsid w:val="00A87294"/>
    <w:rsid w:val="00A87EE9"/>
    <w:rsid w:val="00A87F6B"/>
    <w:rsid w:val="00A905EA"/>
    <w:rsid w:val="00A90F23"/>
    <w:rsid w:val="00A90FB1"/>
    <w:rsid w:val="00A91557"/>
    <w:rsid w:val="00A92107"/>
    <w:rsid w:val="00A9225C"/>
    <w:rsid w:val="00A929A6"/>
    <w:rsid w:val="00A92C25"/>
    <w:rsid w:val="00A92DCB"/>
    <w:rsid w:val="00A92EA5"/>
    <w:rsid w:val="00A93E12"/>
    <w:rsid w:val="00A940C4"/>
    <w:rsid w:val="00A94564"/>
    <w:rsid w:val="00A94572"/>
    <w:rsid w:val="00A945A9"/>
    <w:rsid w:val="00A945EF"/>
    <w:rsid w:val="00A948DE"/>
    <w:rsid w:val="00A94D33"/>
    <w:rsid w:val="00A952A4"/>
    <w:rsid w:val="00A96521"/>
    <w:rsid w:val="00A96877"/>
    <w:rsid w:val="00A96879"/>
    <w:rsid w:val="00A968FB"/>
    <w:rsid w:val="00A97D5C"/>
    <w:rsid w:val="00AA1394"/>
    <w:rsid w:val="00AA1750"/>
    <w:rsid w:val="00AA1975"/>
    <w:rsid w:val="00AA1D71"/>
    <w:rsid w:val="00AA2643"/>
    <w:rsid w:val="00AA2D5F"/>
    <w:rsid w:val="00AA2EB1"/>
    <w:rsid w:val="00AA303F"/>
    <w:rsid w:val="00AA3063"/>
    <w:rsid w:val="00AA3185"/>
    <w:rsid w:val="00AA331F"/>
    <w:rsid w:val="00AA39DE"/>
    <w:rsid w:val="00AA4611"/>
    <w:rsid w:val="00AA4B32"/>
    <w:rsid w:val="00AA4FF0"/>
    <w:rsid w:val="00AA5439"/>
    <w:rsid w:val="00AA5794"/>
    <w:rsid w:val="00AA6A1C"/>
    <w:rsid w:val="00AA6AB1"/>
    <w:rsid w:val="00AA6BA7"/>
    <w:rsid w:val="00AA71F1"/>
    <w:rsid w:val="00AA7339"/>
    <w:rsid w:val="00AB048B"/>
    <w:rsid w:val="00AB0785"/>
    <w:rsid w:val="00AB1254"/>
    <w:rsid w:val="00AB12D4"/>
    <w:rsid w:val="00AB1756"/>
    <w:rsid w:val="00AB1809"/>
    <w:rsid w:val="00AB1ECD"/>
    <w:rsid w:val="00AB1F4B"/>
    <w:rsid w:val="00AB2926"/>
    <w:rsid w:val="00AB299B"/>
    <w:rsid w:val="00AB2F5B"/>
    <w:rsid w:val="00AB4479"/>
    <w:rsid w:val="00AB4E5A"/>
    <w:rsid w:val="00AB55C0"/>
    <w:rsid w:val="00AB566C"/>
    <w:rsid w:val="00AB58FE"/>
    <w:rsid w:val="00AB5E51"/>
    <w:rsid w:val="00AB63E5"/>
    <w:rsid w:val="00AB67AB"/>
    <w:rsid w:val="00AB6F96"/>
    <w:rsid w:val="00AB797A"/>
    <w:rsid w:val="00AB7D53"/>
    <w:rsid w:val="00AC0074"/>
    <w:rsid w:val="00AC03E5"/>
    <w:rsid w:val="00AC0CC5"/>
    <w:rsid w:val="00AC0E2D"/>
    <w:rsid w:val="00AC2778"/>
    <w:rsid w:val="00AC2861"/>
    <w:rsid w:val="00AC297C"/>
    <w:rsid w:val="00AC2BE4"/>
    <w:rsid w:val="00AC2FED"/>
    <w:rsid w:val="00AC31DE"/>
    <w:rsid w:val="00AC33AB"/>
    <w:rsid w:val="00AC3428"/>
    <w:rsid w:val="00AC3B06"/>
    <w:rsid w:val="00AC4307"/>
    <w:rsid w:val="00AC473E"/>
    <w:rsid w:val="00AC4920"/>
    <w:rsid w:val="00AC51E2"/>
    <w:rsid w:val="00AC570B"/>
    <w:rsid w:val="00AC61EF"/>
    <w:rsid w:val="00AC6828"/>
    <w:rsid w:val="00AC7082"/>
    <w:rsid w:val="00AC7202"/>
    <w:rsid w:val="00AC7D52"/>
    <w:rsid w:val="00AD17CF"/>
    <w:rsid w:val="00AD1830"/>
    <w:rsid w:val="00AD1C91"/>
    <w:rsid w:val="00AD2216"/>
    <w:rsid w:val="00AD246A"/>
    <w:rsid w:val="00AD2AD5"/>
    <w:rsid w:val="00AD4727"/>
    <w:rsid w:val="00AD4BB2"/>
    <w:rsid w:val="00AD5711"/>
    <w:rsid w:val="00AD58AA"/>
    <w:rsid w:val="00AD5917"/>
    <w:rsid w:val="00AD61E6"/>
    <w:rsid w:val="00AD68DA"/>
    <w:rsid w:val="00AD6B84"/>
    <w:rsid w:val="00AD6DFA"/>
    <w:rsid w:val="00AD779E"/>
    <w:rsid w:val="00AD79C4"/>
    <w:rsid w:val="00AD7E89"/>
    <w:rsid w:val="00AE0031"/>
    <w:rsid w:val="00AE0B0F"/>
    <w:rsid w:val="00AE10CB"/>
    <w:rsid w:val="00AE12E2"/>
    <w:rsid w:val="00AE18F2"/>
    <w:rsid w:val="00AE2149"/>
    <w:rsid w:val="00AE237D"/>
    <w:rsid w:val="00AE3751"/>
    <w:rsid w:val="00AE42C0"/>
    <w:rsid w:val="00AE50F0"/>
    <w:rsid w:val="00AE521B"/>
    <w:rsid w:val="00AE6BA7"/>
    <w:rsid w:val="00AE71F5"/>
    <w:rsid w:val="00AE75EF"/>
    <w:rsid w:val="00AE7DDD"/>
    <w:rsid w:val="00AF0D39"/>
    <w:rsid w:val="00AF147B"/>
    <w:rsid w:val="00AF19C2"/>
    <w:rsid w:val="00AF2B2A"/>
    <w:rsid w:val="00AF2FF2"/>
    <w:rsid w:val="00AF30E8"/>
    <w:rsid w:val="00AF3497"/>
    <w:rsid w:val="00AF3794"/>
    <w:rsid w:val="00AF3882"/>
    <w:rsid w:val="00AF3C3F"/>
    <w:rsid w:val="00AF3E3A"/>
    <w:rsid w:val="00AF432A"/>
    <w:rsid w:val="00AF480C"/>
    <w:rsid w:val="00AF4853"/>
    <w:rsid w:val="00AF4983"/>
    <w:rsid w:val="00AF49B3"/>
    <w:rsid w:val="00AF4AB0"/>
    <w:rsid w:val="00AF51A6"/>
    <w:rsid w:val="00AF5622"/>
    <w:rsid w:val="00AF5EBA"/>
    <w:rsid w:val="00AF622E"/>
    <w:rsid w:val="00AF629F"/>
    <w:rsid w:val="00AF6951"/>
    <w:rsid w:val="00AF73B1"/>
    <w:rsid w:val="00AF7B74"/>
    <w:rsid w:val="00B00057"/>
    <w:rsid w:val="00B0024D"/>
    <w:rsid w:val="00B00877"/>
    <w:rsid w:val="00B00AA4"/>
    <w:rsid w:val="00B00D84"/>
    <w:rsid w:val="00B01083"/>
    <w:rsid w:val="00B01BD9"/>
    <w:rsid w:val="00B02133"/>
    <w:rsid w:val="00B02B80"/>
    <w:rsid w:val="00B0302A"/>
    <w:rsid w:val="00B032FC"/>
    <w:rsid w:val="00B036DF"/>
    <w:rsid w:val="00B04718"/>
    <w:rsid w:val="00B050D2"/>
    <w:rsid w:val="00B051A6"/>
    <w:rsid w:val="00B0524B"/>
    <w:rsid w:val="00B0708B"/>
    <w:rsid w:val="00B078A4"/>
    <w:rsid w:val="00B07F5B"/>
    <w:rsid w:val="00B10DDD"/>
    <w:rsid w:val="00B11306"/>
    <w:rsid w:val="00B119DB"/>
    <w:rsid w:val="00B11ABB"/>
    <w:rsid w:val="00B11FF8"/>
    <w:rsid w:val="00B121E6"/>
    <w:rsid w:val="00B12C97"/>
    <w:rsid w:val="00B130D1"/>
    <w:rsid w:val="00B1349B"/>
    <w:rsid w:val="00B13BE2"/>
    <w:rsid w:val="00B13F35"/>
    <w:rsid w:val="00B14568"/>
    <w:rsid w:val="00B15006"/>
    <w:rsid w:val="00B1547E"/>
    <w:rsid w:val="00B15500"/>
    <w:rsid w:val="00B15DE3"/>
    <w:rsid w:val="00B163EF"/>
    <w:rsid w:val="00B16775"/>
    <w:rsid w:val="00B16C3D"/>
    <w:rsid w:val="00B1760A"/>
    <w:rsid w:val="00B17F08"/>
    <w:rsid w:val="00B201B7"/>
    <w:rsid w:val="00B20821"/>
    <w:rsid w:val="00B20B41"/>
    <w:rsid w:val="00B21740"/>
    <w:rsid w:val="00B21761"/>
    <w:rsid w:val="00B21F7F"/>
    <w:rsid w:val="00B221A1"/>
    <w:rsid w:val="00B225F9"/>
    <w:rsid w:val="00B233DF"/>
    <w:rsid w:val="00B234E1"/>
    <w:rsid w:val="00B236BC"/>
    <w:rsid w:val="00B23B14"/>
    <w:rsid w:val="00B23E15"/>
    <w:rsid w:val="00B23E35"/>
    <w:rsid w:val="00B24C9C"/>
    <w:rsid w:val="00B25979"/>
    <w:rsid w:val="00B25F16"/>
    <w:rsid w:val="00B26254"/>
    <w:rsid w:val="00B26424"/>
    <w:rsid w:val="00B2661B"/>
    <w:rsid w:val="00B26C0C"/>
    <w:rsid w:val="00B27899"/>
    <w:rsid w:val="00B27B99"/>
    <w:rsid w:val="00B303AA"/>
    <w:rsid w:val="00B30569"/>
    <w:rsid w:val="00B30579"/>
    <w:rsid w:val="00B3060A"/>
    <w:rsid w:val="00B30A3D"/>
    <w:rsid w:val="00B30C1F"/>
    <w:rsid w:val="00B31D52"/>
    <w:rsid w:val="00B31FA4"/>
    <w:rsid w:val="00B31FAD"/>
    <w:rsid w:val="00B32424"/>
    <w:rsid w:val="00B329A9"/>
    <w:rsid w:val="00B330F6"/>
    <w:rsid w:val="00B33879"/>
    <w:rsid w:val="00B33B7A"/>
    <w:rsid w:val="00B344B7"/>
    <w:rsid w:val="00B34E25"/>
    <w:rsid w:val="00B3516D"/>
    <w:rsid w:val="00B35772"/>
    <w:rsid w:val="00B35832"/>
    <w:rsid w:val="00B35845"/>
    <w:rsid w:val="00B35C3B"/>
    <w:rsid w:val="00B35EC5"/>
    <w:rsid w:val="00B3621F"/>
    <w:rsid w:val="00B36630"/>
    <w:rsid w:val="00B36A04"/>
    <w:rsid w:val="00B36CFE"/>
    <w:rsid w:val="00B373A0"/>
    <w:rsid w:val="00B379D1"/>
    <w:rsid w:val="00B402B8"/>
    <w:rsid w:val="00B4033F"/>
    <w:rsid w:val="00B40B99"/>
    <w:rsid w:val="00B40DD3"/>
    <w:rsid w:val="00B417DC"/>
    <w:rsid w:val="00B42663"/>
    <w:rsid w:val="00B42B80"/>
    <w:rsid w:val="00B43760"/>
    <w:rsid w:val="00B441EA"/>
    <w:rsid w:val="00B445B7"/>
    <w:rsid w:val="00B447FE"/>
    <w:rsid w:val="00B44BC3"/>
    <w:rsid w:val="00B44CD5"/>
    <w:rsid w:val="00B45D39"/>
    <w:rsid w:val="00B45E6D"/>
    <w:rsid w:val="00B4692B"/>
    <w:rsid w:val="00B47287"/>
    <w:rsid w:val="00B478B5"/>
    <w:rsid w:val="00B47C14"/>
    <w:rsid w:val="00B50B9C"/>
    <w:rsid w:val="00B50DBE"/>
    <w:rsid w:val="00B50DC8"/>
    <w:rsid w:val="00B512E4"/>
    <w:rsid w:val="00B513A0"/>
    <w:rsid w:val="00B51441"/>
    <w:rsid w:val="00B51668"/>
    <w:rsid w:val="00B51727"/>
    <w:rsid w:val="00B51C59"/>
    <w:rsid w:val="00B52183"/>
    <w:rsid w:val="00B5241C"/>
    <w:rsid w:val="00B52C5F"/>
    <w:rsid w:val="00B53126"/>
    <w:rsid w:val="00B53FEC"/>
    <w:rsid w:val="00B540E7"/>
    <w:rsid w:val="00B547B4"/>
    <w:rsid w:val="00B557BA"/>
    <w:rsid w:val="00B55BC2"/>
    <w:rsid w:val="00B57111"/>
    <w:rsid w:val="00B573E8"/>
    <w:rsid w:val="00B57A70"/>
    <w:rsid w:val="00B57D7F"/>
    <w:rsid w:val="00B606FD"/>
    <w:rsid w:val="00B60A2F"/>
    <w:rsid w:val="00B60FBF"/>
    <w:rsid w:val="00B61654"/>
    <w:rsid w:val="00B61DEB"/>
    <w:rsid w:val="00B62CEC"/>
    <w:rsid w:val="00B62D94"/>
    <w:rsid w:val="00B62E75"/>
    <w:rsid w:val="00B62ED2"/>
    <w:rsid w:val="00B63025"/>
    <w:rsid w:val="00B63D1B"/>
    <w:rsid w:val="00B644A3"/>
    <w:rsid w:val="00B644B6"/>
    <w:rsid w:val="00B64B76"/>
    <w:rsid w:val="00B64CBE"/>
    <w:rsid w:val="00B6532C"/>
    <w:rsid w:val="00B6582E"/>
    <w:rsid w:val="00B658A2"/>
    <w:rsid w:val="00B66B30"/>
    <w:rsid w:val="00B66D52"/>
    <w:rsid w:val="00B66E38"/>
    <w:rsid w:val="00B66EDA"/>
    <w:rsid w:val="00B676D9"/>
    <w:rsid w:val="00B70307"/>
    <w:rsid w:val="00B7067E"/>
    <w:rsid w:val="00B712C0"/>
    <w:rsid w:val="00B71587"/>
    <w:rsid w:val="00B71755"/>
    <w:rsid w:val="00B718EE"/>
    <w:rsid w:val="00B71BB0"/>
    <w:rsid w:val="00B72182"/>
    <w:rsid w:val="00B742E3"/>
    <w:rsid w:val="00B74E98"/>
    <w:rsid w:val="00B75873"/>
    <w:rsid w:val="00B75F86"/>
    <w:rsid w:val="00B7614A"/>
    <w:rsid w:val="00B76C1F"/>
    <w:rsid w:val="00B77964"/>
    <w:rsid w:val="00B77BE9"/>
    <w:rsid w:val="00B77EB5"/>
    <w:rsid w:val="00B80230"/>
    <w:rsid w:val="00B8046E"/>
    <w:rsid w:val="00B80C18"/>
    <w:rsid w:val="00B80E1E"/>
    <w:rsid w:val="00B80E4F"/>
    <w:rsid w:val="00B812D4"/>
    <w:rsid w:val="00B81838"/>
    <w:rsid w:val="00B82888"/>
    <w:rsid w:val="00B8296B"/>
    <w:rsid w:val="00B82A8E"/>
    <w:rsid w:val="00B831E6"/>
    <w:rsid w:val="00B834A2"/>
    <w:rsid w:val="00B839A3"/>
    <w:rsid w:val="00B84521"/>
    <w:rsid w:val="00B850D8"/>
    <w:rsid w:val="00B854E4"/>
    <w:rsid w:val="00B856DD"/>
    <w:rsid w:val="00B85AE4"/>
    <w:rsid w:val="00B85C54"/>
    <w:rsid w:val="00B85C6C"/>
    <w:rsid w:val="00B86265"/>
    <w:rsid w:val="00B862AF"/>
    <w:rsid w:val="00B874CA"/>
    <w:rsid w:val="00B87C9A"/>
    <w:rsid w:val="00B906FC"/>
    <w:rsid w:val="00B908F1"/>
    <w:rsid w:val="00B9106E"/>
    <w:rsid w:val="00B91AED"/>
    <w:rsid w:val="00B92769"/>
    <w:rsid w:val="00B9276C"/>
    <w:rsid w:val="00B940FA"/>
    <w:rsid w:val="00B942E6"/>
    <w:rsid w:val="00B946F9"/>
    <w:rsid w:val="00B94938"/>
    <w:rsid w:val="00B95244"/>
    <w:rsid w:val="00B95295"/>
    <w:rsid w:val="00B95701"/>
    <w:rsid w:val="00B95CB7"/>
    <w:rsid w:val="00B95E48"/>
    <w:rsid w:val="00B95FFF"/>
    <w:rsid w:val="00B9691D"/>
    <w:rsid w:val="00B96A23"/>
    <w:rsid w:val="00B96A54"/>
    <w:rsid w:val="00B96BC5"/>
    <w:rsid w:val="00B9782C"/>
    <w:rsid w:val="00BA0333"/>
    <w:rsid w:val="00BA05AB"/>
    <w:rsid w:val="00BA0FB0"/>
    <w:rsid w:val="00BA1666"/>
    <w:rsid w:val="00BA22FE"/>
    <w:rsid w:val="00BA2BAD"/>
    <w:rsid w:val="00BA2D42"/>
    <w:rsid w:val="00BA36BE"/>
    <w:rsid w:val="00BA4159"/>
    <w:rsid w:val="00BA4350"/>
    <w:rsid w:val="00BA4B09"/>
    <w:rsid w:val="00BA5048"/>
    <w:rsid w:val="00BA55EB"/>
    <w:rsid w:val="00BA5C5F"/>
    <w:rsid w:val="00BA66BD"/>
    <w:rsid w:val="00BA6A0D"/>
    <w:rsid w:val="00BA6FA9"/>
    <w:rsid w:val="00BA7246"/>
    <w:rsid w:val="00BA7A02"/>
    <w:rsid w:val="00BB004B"/>
    <w:rsid w:val="00BB0CF1"/>
    <w:rsid w:val="00BB1C65"/>
    <w:rsid w:val="00BB207D"/>
    <w:rsid w:val="00BB2265"/>
    <w:rsid w:val="00BB2AA1"/>
    <w:rsid w:val="00BB2B64"/>
    <w:rsid w:val="00BB2E85"/>
    <w:rsid w:val="00BB326B"/>
    <w:rsid w:val="00BB3892"/>
    <w:rsid w:val="00BB3914"/>
    <w:rsid w:val="00BB3CF3"/>
    <w:rsid w:val="00BB4B5F"/>
    <w:rsid w:val="00BB4EE6"/>
    <w:rsid w:val="00BB5242"/>
    <w:rsid w:val="00BB52EC"/>
    <w:rsid w:val="00BB53D4"/>
    <w:rsid w:val="00BB5952"/>
    <w:rsid w:val="00BB5C15"/>
    <w:rsid w:val="00BB66C4"/>
    <w:rsid w:val="00BB6E87"/>
    <w:rsid w:val="00BB72FF"/>
    <w:rsid w:val="00BB7BC6"/>
    <w:rsid w:val="00BC00FF"/>
    <w:rsid w:val="00BC0617"/>
    <w:rsid w:val="00BC0E62"/>
    <w:rsid w:val="00BC0F71"/>
    <w:rsid w:val="00BC1039"/>
    <w:rsid w:val="00BC132B"/>
    <w:rsid w:val="00BC1ADD"/>
    <w:rsid w:val="00BC1EDF"/>
    <w:rsid w:val="00BC2049"/>
    <w:rsid w:val="00BC2AEF"/>
    <w:rsid w:val="00BC3430"/>
    <w:rsid w:val="00BC383E"/>
    <w:rsid w:val="00BC3E92"/>
    <w:rsid w:val="00BC4086"/>
    <w:rsid w:val="00BC4879"/>
    <w:rsid w:val="00BC4E72"/>
    <w:rsid w:val="00BC5F2D"/>
    <w:rsid w:val="00BC5FDA"/>
    <w:rsid w:val="00BC7320"/>
    <w:rsid w:val="00BC7550"/>
    <w:rsid w:val="00BC7D46"/>
    <w:rsid w:val="00BD01A0"/>
    <w:rsid w:val="00BD09D9"/>
    <w:rsid w:val="00BD1756"/>
    <w:rsid w:val="00BD17C3"/>
    <w:rsid w:val="00BD1E1C"/>
    <w:rsid w:val="00BD1EBD"/>
    <w:rsid w:val="00BD2FA3"/>
    <w:rsid w:val="00BD303F"/>
    <w:rsid w:val="00BD32AB"/>
    <w:rsid w:val="00BD3E1C"/>
    <w:rsid w:val="00BD3E77"/>
    <w:rsid w:val="00BD4364"/>
    <w:rsid w:val="00BD43E6"/>
    <w:rsid w:val="00BD474D"/>
    <w:rsid w:val="00BD47E8"/>
    <w:rsid w:val="00BD4FAC"/>
    <w:rsid w:val="00BD5138"/>
    <w:rsid w:val="00BD51DD"/>
    <w:rsid w:val="00BD688F"/>
    <w:rsid w:val="00BD7215"/>
    <w:rsid w:val="00BD73A0"/>
    <w:rsid w:val="00BD7661"/>
    <w:rsid w:val="00BD7FD3"/>
    <w:rsid w:val="00BE0477"/>
    <w:rsid w:val="00BE0BF4"/>
    <w:rsid w:val="00BE1103"/>
    <w:rsid w:val="00BE1AF3"/>
    <w:rsid w:val="00BE1BCE"/>
    <w:rsid w:val="00BE233D"/>
    <w:rsid w:val="00BE2420"/>
    <w:rsid w:val="00BE2DF9"/>
    <w:rsid w:val="00BE344A"/>
    <w:rsid w:val="00BE37D8"/>
    <w:rsid w:val="00BE4129"/>
    <w:rsid w:val="00BE4238"/>
    <w:rsid w:val="00BE4887"/>
    <w:rsid w:val="00BE5730"/>
    <w:rsid w:val="00BE5BE6"/>
    <w:rsid w:val="00BE6531"/>
    <w:rsid w:val="00BE671C"/>
    <w:rsid w:val="00BE67A3"/>
    <w:rsid w:val="00BE712B"/>
    <w:rsid w:val="00BE7845"/>
    <w:rsid w:val="00BE7900"/>
    <w:rsid w:val="00BE7F98"/>
    <w:rsid w:val="00BE7FBC"/>
    <w:rsid w:val="00BF0959"/>
    <w:rsid w:val="00BF1849"/>
    <w:rsid w:val="00BF1F12"/>
    <w:rsid w:val="00BF2053"/>
    <w:rsid w:val="00BF2102"/>
    <w:rsid w:val="00BF2EAF"/>
    <w:rsid w:val="00BF3CE6"/>
    <w:rsid w:val="00BF4F40"/>
    <w:rsid w:val="00BF5CFC"/>
    <w:rsid w:val="00BF5E88"/>
    <w:rsid w:val="00BF6317"/>
    <w:rsid w:val="00BF65C5"/>
    <w:rsid w:val="00BF6C42"/>
    <w:rsid w:val="00BF6DD0"/>
    <w:rsid w:val="00BF74ED"/>
    <w:rsid w:val="00BF7B3B"/>
    <w:rsid w:val="00BF7D64"/>
    <w:rsid w:val="00BF7E5C"/>
    <w:rsid w:val="00C0087E"/>
    <w:rsid w:val="00C00B8E"/>
    <w:rsid w:val="00C00DA7"/>
    <w:rsid w:val="00C0119D"/>
    <w:rsid w:val="00C01DF5"/>
    <w:rsid w:val="00C025A5"/>
    <w:rsid w:val="00C0293E"/>
    <w:rsid w:val="00C038FD"/>
    <w:rsid w:val="00C03E59"/>
    <w:rsid w:val="00C045A5"/>
    <w:rsid w:val="00C04837"/>
    <w:rsid w:val="00C04873"/>
    <w:rsid w:val="00C04C23"/>
    <w:rsid w:val="00C052FD"/>
    <w:rsid w:val="00C0554A"/>
    <w:rsid w:val="00C056E0"/>
    <w:rsid w:val="00C058FF"/>
    <w:rsid w:val="00C05A28"/>
    <w:rsid w:val="00C060D7"/>
    <w:rsid w:val="00C06173"/>
    <w:rsid w:val="00C066D0"/>
    <w:rsid w:val="00C0692B"/>
    <w:rsid w:val="00C06C57"/>
    <w:rsid w:val="00C071A9"/>
    <w:rsid w:val="00C07EFF"/>
    <w:rsid w:val="00C1009D"/>
    <w:rsid w:val="00C1057E"/>
    <w:rsid w:val="00C10B34"/>
    <w:rsid w:val="00C1193A"/>
    <w:rsid w:val="00C11A66"/>
    <w:rsid w:val="00C11FA3"/>
    <w:rsid w:val="00C14C27"/>
    <w:rsid w:val="00C14CD7"/>
    <w:rsid w:val="00C14D44"/>
    <w:rsid w:val="00C1539B"/>
    <w:rsid w:val="00C1579B"/>
    <w:rsid w:val="00C15C8E"/>
    <w:rsid w:val="00C1640F"/>
    <w:rsid w:val="00C1673B"/>
    <w:rsid w:val="00C16A22"/>
    <w:rsid w:val="00C16DB5"/>
    <w:rsid w:val="00C17382"/>
    <w:rsid w:val="00C177E2"/>
    <w:rsid w:val="00C20795"/>
    <w:rsid w:val="00C209ED"/>
    <w:rsid w:val="00C20C97"/>
    <w:rsid w:val="00C20F52"/>
    <w:rsid w:val="00C20FC5"/>
    <w:rsid w:val="00C210EA"/>
    <w:rsid w:val="00C21110"/>
    <w:rsid w:val="00C21D92"/>
    <w:rsid w:val="00C2268C"/>
    <w:rsid w:val="00C22A37"/>
    <w:rsid w:val="00C2354B"/>
    <w:rsid w:val="00C23E69"/>
    <w:rsid w:val="00C248EE"/>
    <w:rsid w:val="00C25E77"/>
    <w:rsid w:val="00C25F82"/>
    <w:rsid w:val="00C261A3"/>
    <w:rsid w:val="00C26E72"/>
    <w:rsid w:val="00C27B2A"/>
    <w:rsid w:val="00C30D2F"/>
    <w:rsid w:val="00C3135C"/>
    <w:rsid w:val="00C31996"/>
    <w:rsid w:val="00C31AC5"/>
    <w:rsid w:val="00C31FA4"/>
    <w:rsid w:val="00C322B4"/>
    <w:rsid w:val="00C32D7E"/>
    <w:rsid w:val="00C33129"/>
    <w:rsid w:val="00C33604"/>
    <w:rsid w:val="00C33642"/>
    <w:rsid w:val="00C33DF0"/>
    <w:rsid w:val="00C3405A"/>
    <w:rsid w:val="00C3418F"/>
    <w:rsid w:val="00C343E7"/>
    <w:rsid w:val="00C3462B"/>
    <w:rsid w:val="00C352B4"/>
    <w:rsid w:val="00C35843"/>
    <w:rsid w:val="00C35D1E"/>
    <w:rsid w:val="00C361D8"/>
    <w:rsid w:val="00C369B4"/>
    <w:rsid w:val="00C369EA"/>
    <w:rsid w:val="00C36F9C"/>
    <w:rsid w:val="00C3701F"/>
    <w:rsid w:val="00C3718A"/>
    <w:rsid w:val="00C376C7"/>
    <w:rsid w:val="00C37AA9"/>
    <w:rsid w:val="00C41190"/>
    <w:rsid w:val="00C4149F"/>
    <w:rsid w:val="00C41C16"/>
    <w:rsid w:val="00C4215E"/>
    <w:rsid w:val="00C4293F"/>
    <w:rsid w:val="00C42F49"/>
    <w:rsid w:val="00C43A55"/>
    <w:rsid w:val="00C43AFF"/>
    <w:rsid w:val="00C43FE0"/>
    <w:rsid w:val="00C44042"/>
    <w:rsid w:val="00C44195"/>
    <w:rsid w:val="00C45037"/>
    <w:rsid w:val="00C451CB"/>
    <w:rsid w:val="00C45501"/>
    <w:rsid w:val="00C45B4A"/>
    <w:rsid w:val="00C45FAD"/>
    <w:rsid w:val="00C45FD6"/>
    <w:rsid w:val="00C45FE8"/>
    <w:rsid w:val="00C461BE"/>
    <w:rsid w:val="00C46301"/>
    <w:rsid w:val="00C46E26"/>
    <w:rsid w:val="00C4740C"/>
    <w:rsid w:val="00C4798A"/>
    <w:rsid w:val="00C50BBB"/>
    <w:rsid w:val="00C50FC0"/>
    <w:rsid w:val="00C52636"/>
    <w:rsid w:val="00C5288B"/>
    <w:rsid w:val="00C528C2"/>
    <w:rsid w:val="00C52EEE"/>
    <w:rsid w:val="00C536F6"/>
    <w:rsid w:val="00C54148"/>
    <w:rsid w:val="00C5444A"/>
    <w:rsid w:val="00C5479E"/>
    <w:rsid w:val="00C54BAA"/>
    <w:rsid w:val="00C54BD0"/>
    <w:rsid w:val="00C5600E"/>
    <w:rsid w:val="00C56A01"/>
    <w:rsid w:val="00C56B45"/>
    <w:rsid w:val="00C56DC9"/>
    <w:rsid w:val="00C57502"/>
    <w:rsid w:val="00C5764F"/>
    <w:rsid w:val="00C57BD1"/>
    <w:rsid w:val="00C60050"/>
    <w:rsid w:val="00C6018D"/>
    <w:rsid w:val="00C601D0"/>
    <w:rsid w:val="00C60244"/>
    <w:rsid w:val="00C6029F"/>
    <w:rsid w:val="00C60E8B"/>
    <w:rsid w:val="00C60FE5"/>
    <w:rsid w:val="00C614A8"/>
    <w:rsid w:val="00C61592"/>
    <w:rsid w:val="00C615CB"/>
    <w:rsid w:val="00C61D19"/>
    <w:rsid w:val="00C6239C"/>
    <w:rsid w:val="00C62546"/>
    <w:rsid w:val="00C6283D"/>
    <w:rsid w:val="00C6290A"/>
    <w:rsid w:val="00C62F87"/>
    <w:rsid w:val="00C63A24"/>
    <w:rsid w:val="00C63C06"/>
    <w:rsid w:val="00C6443C"/>
    <w:rsid w:val="00C64CC1"/>
    <w:rsid w:val="00C64CD5"/>
    <w:rsid w:val="00C6562A"/>
    <w:rsid w:val="00C65917"/>
    <w:rsid w:val="00C66239"/>
    <w:rsid w:val="00C668A1"/>
    <w:rsid w:val="00C70495"/>
    <w:rsid w:val="00C70BBE"/>
    <w:rsid w:val="00C7132C"/>
    <w:rsid w:val="00C72796"/>
    <w:rsid w:val="00C72992"/>
    <w:rsid w:val="00C72AF6"/>
    <w:rsid w:val="00C73348"/>
    <w:rsid w:val="00C73A54"/>
    <w:rsid w:val="00C740B5"/>
    <w:rsid w:val="00C740CF"/>
    <w:rsid w:val="00C7489C"/>
    <w:rsid w:val="00C748BF"/>
    <w:rsid w:val="00C74D9F"/>
    <w:rsid w:val="00C752CF"/>
    <w:rsid w:val="00C759A6"/>
    <w:rsid w:val="00C75ABC"/>
    <w:rsid w:val="00C763D9"/>
    <w:rsid w:val="00C768EF"/>
    <w:rsid w:val="00C76D0A"/>
    <w:rsid w:val="00C77294"/>
    <w:rsid w:val="00C77C30"/>
    <w:rsid w:val="00C800CC"/>
    <w:rsid w:val="00C80EED"/>
    <w:rsid w:val="00C80F57"/>
    <w:rsid w:val="00C81CE5"/>
    <w:rsid w:val="00C81EB9"/>
    <w:rsid w:val="00C821C6"/>
    <w:rsid w:val="00C82240"/>
    <w:rsid w:val="00C8295E"/>
    <w:rsid w:val="00C829FF"/>
    <w:rsid w:val="00C82D24"/>
    <w:rsid w:val="00C832AF"/>
    <w:rsid w:val="00C83E31"/>
    <w:rsid w:val="00C845C3"/>
    <w:rsid w:val="00C84887"/>
    <w:rsid w:val="00C84E2E"/>
    <w:rsid w:val="00C85084"/>
    <w:rsid w:val="00C85484"/>
    <w:rsid w:val="00C85DAF"/>
    <w:rsid w:val="00C864F8"/>
    <w:rsid w:val="00C86652"/>
    <w:rsid w:val="00C87099"/>
    <w:rsid w:val="00C87AA9"/>
    <w:rsid w:val="00C87D1A"/>
    <w:rsid w:val="00C87F1C"/>
    <w:rsid w:val="00C90B7A"/>
    <w:rsid w:val="00C911FD"/>
    <w:rsid w:val="00C91EDF"/>
    <w:rsid w:val="00C92284"/>
    <w:rsid w:val="00C92380"/>
    <w:rsid w:val="00C92D07"/>
    <w:rsid w:val="00C92FDD"/>
    <w:rsid w:val="00C93398"/>
    <w:rsid w:val="00C9389A"/>
    <w:rsid w:val="00C93C9C"/>
    <w:rsid w:val="00C94172"/>
    <w:rsid w:val="00C94AB7"/>
    <w:rsid w:val="00C94DB9"/>
    <w:rsid w:val="00C95055"/>
    <w:rsid w:val="00C954D7"/>
    <w:rsid w:val="00C95783"/>
    <w:rsid w:val="00C95BF9"/>
    <w:rsid w:val="00C9622F"/>
    <w:rsid w:val="00C96739"/>
    <w:rsid w:val="00C971AD"/>
    <w:rsid w:val="00C97360"/>
    <w:rsid w:val="00C9755E"/>
    <w:rsid w:val="00C978AF"/>
    <w:rsid w:val="00C97C23"/>
    <w:rsid w:val="00CA0210"/>
    <w:rsid w:val="00CA0764"/>
    <w:rsid w:val="00CA112F"/>
    <w:rsid w:val="00CA19B2"/>
    <w:rsid w:val="00CA1CBD"/>
    <w:rsid w:val="00CA20DC"/>
    <w:rsid w:val="00CA2F35"/>
    <w:rsid w:val="00CA30B0"/>
    <w:rsid w:val="00CA3650"/>
    <w:rsid w:val="00CA47E4"/>
    <w:rsid w:val="00CA486C"/>
    <w:rsid w:val="00CA4FAF"/>
    <w:rsid w:val="00CA503C"/>
    <w:rsid w:val="00CA570D"/>
    <w:rsid w:val="00CA59DA"/>
    <w:rsid w:val="00CA5F9A"/>
    <w:rsid w:val="00CA6048"/>
    <w:rsid w:val="00CA67F5"/>
    <w:rsid w:val="00CA7194"/>
    <w:rsid w:val="00CA7729"/>
    <w:rsid w:val="00CA78E6"/>
    <w:rsid w:val="00CB03DB"/>
    <w:rsid w:val="00CB0A93"/>
    <w:rsid w:val="00CB1258"/>
    <w:rsid w:val="00CB143A"/>
    <w:rsid w:val="00CB177A"/>
    <w:rsid w:val="00CB1856"/>
    <w:rsid w:val="00CB3026"/>
    <w:rsid w:val="00CB46D4"/>
    <w:rsid w:val="00CB4704"/>
    <w:rsid w:val="00CB4858"/>
    <w:rsid w:val="00CB4AAD"/>
    <w:rsid w:val="00CB531C"/>
    <w:rsid w:val="00CB55D9"/>
    <w:rsid w:val="00CB57D5"/>
    <w:rsid w:val="00CB5E77"/>
    <w:rsid w:val="00CB6084"/>
    <w:rsid w:val="00CB6268"/>
    <w:rsid w:val="00CB63D5"/>
    <w:rsid w:val="00CB6B3F"/>
    <w:rsid w:val="00CB773A"/>
    <w:rsid w:val="00CB78F7"/>
    <w:rsid w:val="00CC035E"/>
    <w:rsid w:val="00CC042F"/>
    <w:rsid w:val="00CC1D43"/>
    <w:rsid w:val="00CC1E5A"/>
    <w:rsid w:val="00CC2A14"/>
    <w:rsid w:val="00CC2C55"/>
    <w:rsid w:val="00CC4553"/>
    <w:rsid w:val="00CC4617"/>
    <w:rsid w:val="00CC4A28"/>
    <w:rsid w:val="00CC4EC7"/>
    <w:rsid w:val="00CC53AE"/>
    <w:rsid w:val="00CC57C5"/>
    <w:rsid w:val="00CC5899"/>
    <w:rsid w:val="00CC5D48"/>
    <w:rsid w:val="00CC6004"/>
    <w:rsid w:val="00CC63FA"/>
    <w:rsid w:val="00CC7021"/>
    <w:rsid w:val="00CC70CE"/>
    <w:rsid w:val="00CC70FE"/>
    <w:rsid w:val="00CC77FD"/>
    <w:rsid w:val="00CD01D6"/>
    <w:rsid w:val="00CD0F63"/>
    <w:rsid w:val="00CD1254"/>
    <w:rsid w:val="00CD1916"/>
    <w:rsid w:val="00CD1DBA"/>
    <w:rsid w:val="00CD2097"/>
    <w:rsid w:val="00CD243D"/>
    <w:rsid w:val="00CD2937"/>
    <w:rsid w:val="00CD3004"/>
    <w:rsid w:val="00CD30E1"/>
    <w:rsid w:val="00CD3211"/>
    <w:rsid w:val="00CD3F26"/>
    <w:rsid w:val="00CD3F7E"/>
    <w:rsid w:val="00CD4753"/>
    <w:rsid w:val="00CD4818"/>
    <w:rsid w:val="00CD4FD7"/>
    <w:rsid w:val="00CD5572"/>
    <w:rsid w:val="00CD6913"/>
    <w:rsid w:val="00CD6BFE"/>
    <w:rsid w:val="00CD7477"/>
    <w:rsid w:val="00CD79E8"/>
    <w:rsid w:val="00CD7CF0"/>
    <w:rsid w:val="00CE0098"/>
    <w:rsid w:val="00CE011F"/>
    <w:rsid w:val="00CE01D9"/>
    <w:rsid w:val="00CE097E"/>
    <w:rsid w:val="00CE0BBA"/>
    <w:rsid w:val="00CE1414"/>
    <w:rsid w:val="00CE1635"/>
    <w:rsid w:val="00CE26EB"/>
    <w:rsid w:val="00CE36FA"/>
    <w:rsid w:val="00CE3F2A"/>
    <w:rsid w:val="00CE3F4B"/>
    <w:rsid w:val="00CE42CD"/>
    <w:rsid w:val="00CE5022"/>
    <w:rsid w:val="00CE5817"/>
    <w:rsid w:val="00CE6602"/>
    <w:rsid w:val="00CE6657"/>
    <w:rsid w:val="00CE6679"/>
    <w:rsid w:val="00CE7208"/>
    <w:rsid w:val="00CE77F7"/>
    <w:rsid w:val="00CE7CDC"/>
    <w:rsid w:val="00CF0D1B"/>
    <w:rsid w:val="00CF1837"/>
    <w:rsid w:val="00CF23CB"/>
    <w:rsid w:val="00CF2A9E"/>
    <w:rsid w:val="00CF2B70"/>
    <w:rsid w:val="00CF30EF"/>
    <w:rsid w:val="00CF3838"/>
    <w:rsid w:val="00CF49CB"/>
    <w:rsid w:val="00CF5521"/>
    <w:rsid w:val="00CF5FB9"/>
    <w:rsid w:val="00CF6112"/>
    <w:rsid w:val="00CF6658"/>
    <w:rsid w:val="00CF669B"/>
    <w:rsid w:val="00CF6CE4"/>
    <w:rsid w:val="00CF6F4A"/>
    <w:rsid w:val="00CF6FEA"/>
    <w:rsid w:val="00D004E1"/>
    <w:rsid w:val="00D00DB6"/>
    <w:rsid w:val="00D0119A"/>
    <w:rsid w:val="00D01638"/>
    <w:rsid w:val="00D01AF5"/>
    <w:rsid w:val="00D01E6F"/>
    <w:rsid w:val="00D02497"/>
    <w:rsid w:val="00D02ADC"/>
    <w:rsid w:val="00D02FEB"/>
    <w:rsid w:val="00D03458"/>
    <w:rsid w:val="00D0358D"/>
    <w:rsid w:val="00D03888"/>
    <w:rsid w:val="00D03A88"/>
    <w:rsid w:val="00D0481A"/>
    <w:rsid w:val="00D04BB1"/>
    <w:rsid w:val="00D04E65"/>
    <w:rsid w:val="00D05201"/>
    <w:rsid w:val="00D0548A"/>
    <w:rsid w:val="00D0564C"/>
    <w:rsid w:val="00D05B32"/>
    <w:rsid w:val="00D065D7"/>
    <w:rsid w:val="00D06C3B"/>
    <w:rsid w:val="00D07404"/>
    <w:rsid w:val="00D074E9"/>
    <w:rsid w:val="00D075C5"/>
    <w:rsid w:val="00D078F7"/>
    <w:rsid w:val="00D07BB9"/>
    <w:rsid w:val="00D10279"/>
    <w:rsid w:val="00D108B1"/>
    <w:rsid w:val="00D10F97"/>
    <w:rsid w:val="00D116A7"/>
    <w:rsid w:val="00D117EC"/>
    <w:rsid w:val="00D11F35"/>
    <w:rsid w:val="00D120F8"/>
    <w:rsid w:val="00D127F8"/>
    <w:rsid w:val="00D12D03"/>
    <w:rsid w:val="00D130E0"/>
    <w:rsid w:val="00D13270"/>
    <w:rsid w:val="00D13BF9"/>
    <w:rsid w:val="00D146F0"/>
    <w:rsid w:val="00D146F2"/>
    <w:rsid w:val="00D1470C"/>
    <w:rsid w:val="00D15657"/>
    <w:rsid w:val="00D1571D"/>
    <w:rsid w:val="00D15C49"/>
    <w:rsid w:val="00D161EF"/>
    <w:rsid w:val="00D1656D"/>
    <w:rsid w:val="00D16825"/>
    <w:rsid w:val="00D1685E"/>
    <w:rsid w:val="00D16885"/>
    <w:rsid w:val="00D16AED"/>
    <w:rsid w:val="00D178A6"/>
    <w:rsid w:val="00D179D7"/>
    <w:rsid w:val="00D17A33"/>
    <w:rsid w:val="00D20216"/>
    <w:rsid w:val="00D20EDA"/>
    <w:rsid w:val="00D20F79"/>
    <w:rsid w:val="00D214BE"/>
    <w:rsid w:val="00D21671"/>
    <w:rsid w:val="00D2223E"/>
    <w:rsid w:val="00D22C7B"/>
    <w:rsid w:val="00D23095"/>
    <w:rsid w:val="00D23754"/>
    <w:rsid w:val="00D23D69"/>
    <w:rsid w:val="00D23DE1"/>
    <w:rsid w:val="00D242DD"/>
    <w:rsid w:val="00D24B3F"/>
    <w:rsid w:val="00D25027"/>
    <w:rsid w:val="00D2554D"/>
    <w:rsid w:val="00D25774"/>
    <w:rsid w:val="00D25A20"/>
    <w:rsid w:val="00D26679"/>
    <w:rsid w:val="00D26A5E"/>
    <w:rsid w:val="00D2703E"/>
    <w:rsid w:val="00D27078"/>
    <w:rsid w:val="00D270F4"/>
    <w:rsid w:val="00D272F9"/>
    <w:rsid w:val="00D274A4"/>
    <w:rsid w:val="00D27A8F"/>
    <w:rsid w:val="00D306BD"/>
    <w:rsid w:val="00D30908"/>
    <w:rsid w:val="00D30B1E"/>
    <w:rsid w:val="00D30B82"/>
    <w:rsid w:val="00D312A6"/>
    <w:rsid w:val="00D317B2"/>
    <w:rsid w:val="00D317C3"/>
    <w:rsid w:val="00D319E8"/>
    <w:rsid w:val="00D32EC4"/>
    <w:rsid w:val="00D3336C"/>
    <w:rsid w:val="00D336D5"/>
    <w:rsid w:val="00D34509"/>
    <w:rsid w:val="00D3534C"/>
    <w:rsid w:val="00D3584D"/>
    <w:rsid w:val="00D35BFC"/>
    <w:rsid w:val="00D364D7"/>
    <w:rsid w:val="00D36EC4"/>
    <w:rsid w:val="00D373B7"/>
    <w:rsid w:val="00D373FE"/>
    <w:rsid w:val="00D37700"/>
    <w:rsid w:val="00D37ED1"/>
    <w:rsid w:val="00D4030A"/>
    <w:rsid w:val="00D4073F"/>
    <w:rsid w:val="00D41F9D"/>
    <w:rsid w:val="00D42177"/>
    <w:rsid w:val="00D43722"/>
    <w:rsid w:val="00D43CC2"/>
    <w:rsid w:val="00D43D7F"/>
    <w:rsid w:val="00D442B0"/>
    <w:rsid w:val="00D4481C"/>
    <w:rsid w:val="00D449C5"/>
    <w:rsid w:val="00D44E4B"/>
    <w:rsid w:val="00D44EFE"/>
    <w:rsid w:val="00D454D7"/>
    <w:rsid w:val="00D4589A"/>
    <w:rsid w:val="00D46747"/>
    <w:rsid w:val="00D46952"/>
    <w:rsid w:val="00D46B6D"/>
    <w:rsid w:val="00D478BD"/>
    <w:rsid w:val="00D47C6E"/>
    <w:rsid w:val="00D47D41"/>
    <w:rsid w:val="00D47DC6"/>
    <w:rsid w:val="00D47F09"/>
    <w:rsid w:val="00D502C5"/>
    <w:rsid w:val="00D504B1"/>
    <w:rsid w:val="00D50DB1"/>
    <w:rsid w:val="00D51586"/>
    <w:rsid w:val="00D51979"/>
    <w:rsid w:val="00D51A21"/>
    <w:rsid w:val="00D51B03"/>
    <w:rsid w:val="00D52223"/>
    <w:rsid w:val="00D52A9A"/>
    <w:rsid w:val="00D52AD6"/>
    <w:rsid w:val="00D52D57"/>
    <w:rsid w:val="00D53131"/>
    <w:rsid w:val="00D53581"/>
    <w:rsid w:val="00D53A4C"/>
    <w:rsid w:val="00D53DB8"/>
    <w:rsid w:val="00D53F08"/>
    <w:rsid w:val="00D541E2"/>
    <w:rsid w:val="00D54A06"/>
    <w:rsid w:val="00D5569F"/>
    <w:rsid w:val="00D562F1"/>
    <w:rsid w:val="00D5654B"/>
    <w:rsid w:val="00D56E1C"/>
    <w:rsid w:val="00D56EA9"/>
    <w:rsid w:val="00D604FA"/>
    <w:rsid w:val="00D60BD0"/>
    <w:rsid w:val="00D61294"/>
    <w:rsid w:val="00D6163D"/>
    <w:rsid w:val="00D61E71"/>
    <w:rsid w:val="00D62928"/>
    <w:rsid w:val="00D62C15"/>
    <w:rsid w:val="00D62C49"/>
    <w:rsid w:val="00D63350"/>
    <w:rsid w:val="00D639CA"/>
    <w:rsid w:val="00D6466E"/>
    <w:rsid w:val="00D651C9"/>
    <w:rsid w:val="00D6598E"/>
    <w:rsid w:val="00D65A84"/>
    <w:rsid w:val="00D65C9A"/>
    <w:rsid w:val="00D65D19"/>
    <w:rsid w:val="00D66203"/>
    <w:rsid w:val="00D66770"/>
    <w:rsid w:val="00D66E9F"/>
    <w:rsid w:val="00D6743C"/>
    <w:rsid w:val="00D6767C"/>
    <w:rsid w:val="00D67E13"/>
    <w:rsid w:val="00D709B4"/>
    <w:rsid w:val="00D713BC"/>
    <w:rsid w:val="00D7153F"/>
    <w:rsid w:val="00D716A7"/>
    <w:rsid w:val="00D7179D"/>
    <w:rsid w:val="00D72C1D"/>
    <w:rsid w:val="00D7322A"/>
    <w:rsid w:val="00D733E4"/>
    <w:rsid w:val="00D73410"/>
    <w:rsid w:val="00D736CC"/>
    <w:rsid w:val="00D7389B"/>
    <w:rsid w:val="00D73F66"/>
    <w:rsid w:val="00D744D5"/>
    <w:rsid w:val="00D7456B"/>
    <w:rsid w:val="00D74ACD"/>
    <w:rsid w:val="00D74B81"/>
    <w:rsid w:val="00D762AC"/>
    <w:rsid w:val="00D76468"/>
    <w:rsid w:val="00D76AAC"/>
    <w:rsid w:val="00D7702B"/>
    <w:rsid w:val="00D77784"/>
    <w:rsid w:val="00D77BDE"/>
    <w:rsid w:val="00D77CEC"/>
    <w:rsid w:val="00D77CFD"/>
    <w:rsid w:val="00D805B4"/>
    <w:rsid w:val="00D80966"/>
    <w:rsid w:val="00D81377"/>
    <w:rsid w:val="00D8175A"/>
    <w:rsid w:val="00D81A1E"/>
    <w:rsid w:val="00D81A31"/>
    <w:rsid w:val="00D81D42"/>
    <w:rsid w:val="00D81F8B"/>
    <w:rsid w:val="00D8266A"/>
    <w:rsid w:val="00D826A9"/>
    <w:rsid w:val="00D827E9"/>
    <w:rsid w:val="00D82B0F"/>
    <w:rsid w:val="00D8335F"/>
    <w:rsid w:val="00D835E6"/>
    <w:rsid w:val="00D83EFC"/>
    <w:rsid w:val="00D851C8"/>
    <w:rsid w:val="00D851D6"/>
    <w:rsid w:val="00D852B9"/>
    <w:rsid w:val="00D854DC"/>
    <w:rsid w:val="00D8564E"/>
    <w:rsid w:val="00D8590D"/>
    <w:rsid w:val="00D85CDE"/>
    <w:rsid w:val="00D86153"/>
    <w:rsid w:val="00D86242"/>
    <w:rsid w:val="00D86351"/>
    <w:rsid w:val="00D86679"/>
    <w:rsid w:val="00D86DE2"/>
    <w:rsid w:val="00D87409"/>
    <w:rsid w:val="00D87F16"/>
    <w:rsid w:val="00D90D1A"/>
    <w:rsid w:val="00D913AF"/>
    <w:rsid w:val="00D919DF"/>
    <w:rsid w:val="00D922D4"/>
    <w:rsid w:val="00D93354"/>
    <w:rsid w:val="00D93796"/>
    <w:rsid w:val="00D938CB"/>
    <w:rsid w:val="00D93C71"/>
    <w:rsid w:val="00D940AA"/>
    <w:rsid w:val="00D940AB"/>
    <w:rsid w:val="00D9484A"/>
    <w:rsid w:val="00D94BEA"/>
    <w:rsid w:val="00D9577E"/>
    <w:rsid w:val="00D9601C"/>
    <w:rsid w:val="00D96A8B"/>
    <w:rsid w:val="00D96E0B"/>
    <w:rsid w:val="00D972B2"/>
    <w:rsid w:val="00D9755C"/>
    <w:rsid w:val="00D976FA"/>
    <w:rsid w:val="00D97C14"/>
    <w:rsid w:val="00DA0142"/>
    <w:rsid w:val="00DA0EBA"/>
    <w:rsid w:val="00DA107B"/>
    <w:rsid w:val="00DA1613"/>
    <w:rsid w:val="00DA1B2A"/>
    <w:rsid w:val="00DA1DFB"/>
    <w:rsid w:val="00DA24A9"/>
    <w:rsid w:val="00DA2649"/>
    <w:rsid w:val="00DA3416"/>
    <w:rsid w:val="00DA34B2"/>
    <w:rsid w:val="00DA34FE"/>
    <w:rsid w:val="00DA3AEC"/>
    <w:rsid w:val="00DA42A3"/>
    <w:rsid w:val="00DA487F"/>
    <w:rsid w:val="00DA505C"/>
    <w:rsid w:val="00DA51C3"/>
    <w:rsid w:val="00DA56C8"/>
    <w:rsid w:val="00DA58C6"/>
    <w:rsid w:val="00DA5A99"/>
    <w:rsid w:val="00DA5B17"/>
    <w:rsid w:val="00DA5DBE"/>
    <w:rsid w:val="00DA61FA"/>
    <w:rsid w:val="00DA6723"/>
    <w:rsid w:val="00DA6B07"/>
    <w:rsid w:val="00DA6C39"/>
    <w:rsid w:val="00DA6FC5"/>
    <w:rsid w:val="00DA7515"/>
    <w:rsid w:val="00DA7842"/>
    <w:rsid w:val="00DA7B73"/>
    <w:rsid w:val="00DA7E5F"/>
    <w:rsid w:val="00DB0691"/>
    <w:rsid w:val="00DB08F5"/>
    <w:rsid w:val="00DB122B"/>
    <w:rsid w:val="00DB14C9"/>
    <w:rsid w:val="00DB1708"/>
    <w:rsid w:val="00DB1984"/>
    <w:rsid w:val="00DB1AF5"/>
    <w:rsid w:val="00DB2863"/>
    <w:rsid w:val="00DB29F3"/>
    <w:rsid w:val="00DB38DF"/>
    <w:rsid w:val="00DB3913"/>
    <w:rsid w:val="00DB4246"/>
    <w:rsid w:val="00DB4AC0"/>
    <w:rsid w:val="00DB506C"/>
    <w:rsid w:val="00DB513A"/>
    <w:rsid w:val="00DB549E"/>
    <w:rsid w:val="00DB5DDB"/>
    <w:rsid w:val="00DB63A9"/>
    <w:rsid w:val="00DB66D4"/>
    <w:rsid w:val="00DB6A9D"/>
    <w:rsid w:val="00DB706A"/>
    <w:rsid w:val="00DB7689"/>
    <w:rsid w:val="00DC0099"/>
    <w:rsid w:val="00DC00DE"/>
    <w:rsid w:val="00DC0160"/>
    <w:rsid w:val="00DC068E"/>
    <w:rsid w:val="00DC0A6C"/>
    <w:rsid w:val="00DC0FE5"/>
    <w:rsid w:val="00DC10F1"/>
    <w:rsid w:val="00DC1205"/>
    <w:rsid w:val="00DC1572"/>
    <w:rsid w:val="00DC1CEA"/>
    <w:rsid w:val="00DC23CD"/>
    <w:rsid w:val="00DC3466"/>
    <w:rsid w:val="00DC346B"/>
    <w:rsid w:val="00DC348E"/>
    <w:rsid w:val="00DC3567"/>
    <w:rsid w:val="00DC35AB"/>
    <w:rsid w:val="00DC3851"/>
    <w:rsid w:val="00DC3A2D"/>
    <w:rsid w:val="00DC3A92"/>
    <w:rsid w:val="00DC4182"/>
    <w:rsid w:val="00DC58E3"/>
    <w:rsid w:val="00DC67E7"/>
    <w:rsid w:val="00DC6B58"/>
    <w:rsid w:val="00DC6EFF"/>
    <w:rsid w:val="00DC6F57"/>
    <w:rsid w:val="00DC73B0"/>
    <w:rsid w:val="00DC747B"/>
    <w:rsid w:val="00DC7EDA"/>
    <w:rsid w:val="00DD0186"/>
    <w:rsid w:val="00DD0318"/>
    <w:rsid w:val="00DD0B55"/>
    <w:rsid w:val="00DD0BCB"/>
    <w:rsid w:val="00DD0D57"/>
    <w:rsid w:val="00DD1249"/>
    <w:rsid w:val="00DD127A"/>
    <w:rsid w:val="00DD12AA"/>
    <w:rsid w:val="00DD1930"/>
    <w:rsid w:val="00DD20E2"/>
    <w:rsid w:val="00DD257B"/>
    <w:rsid w:val="00DD25CE"/>
    <w:rsid w:val="00DD27D2"/>
    <w:rsid w:val="00DD34A7"/>
    <w:rsid w:val="00DD3647"/>
    <w:rsid w:val="00DD3661"/>
    <w:rsid w:val="00DD38EB"/>
    <w:rsid w:val="00DD43DC"/>
    <w:rsid w:val="00DD4B5C"/>
    <w:rsid w:val="00DD4C82"/>
    <w:rsid w:val="00DD4D2D"/>
    <w:rsid w:val="00DD5575"/>
    <w:rsid w:val="00DD5D63"/>
    <w:rsid w:val="00DD6086"/>
    <w:rsid w:val="00DD627E"/>
    <w:rsid w:val="00DD6C20"/>
    <w:rsid w:val="00DD7443"/>
    <w:rsid w:val="00DD7AC4"/>
    <w:rsid w:val="00DD7AC9"/>
    <w:rsid w:val="00DE010E"/>
    <w:rsid w:val="00DE08F9"/>
    <w:rsid w:val="00DE0C56"/>
    <w:rsid w:val="00DE0EAE"/>
    <w:rsid w:val="00DE1D26"/>
    <w:rsid w:val="00DE31AA"/>
    <w:rsid w:val="00DE32B8"/>
    <w:rsid w:val="00DE365F"/>
    <w:rsid w:val="00DE39AD"/>
    <w:rsid w:val="00DE3D22"/>
    <w:rsid w:val="00DE3E4D"/>
    <w:rsid w:val="00DE4248"/>
    <w:rsid w:val="00DE504B"/>
    <w:rsid w:val="00DE51E8"/>
    <w:rsid w:val="00DE5DDB"/>
    <w:rsid w:val="00DE5E73"/>
    <w:rsid w:val="00DE5F5C"/>
    <w:rsid w:val="00DE6A69"/>
    <w:rsid w:val="00DE6B9B"/>
    <w:rsid w:val="00DE6EE3"/>
    <w:rsid w:val="00DE71D2"/>
    <w:rsid w:val="00DE7665"/>
    <w:rsid w:val="00DF0107"/>
    <w:rsid w:val="00DF03FB"/>
    <w:rsid w:val="00DF0A54"/>
    <w:rsid w:val="00DF0E66"/>
    <w:rsid w:val="00DF2233"/>
    <w:rsid w:val="00DF240A"/>
    <w:rsid w:val="00DF25C5"/>
    <w:rsid w:val="00DF2F2E"/>
    <w:rsid w:val="00DF363A"/>
    <w:rsid w:val="00DF36B4"/>
    <w:rsid w:val="00DF4661"/>
    <w:rsid w:val="00DF4B73"/>
    <w:rsid w:val="00DF4D6B"/>
    <w:rsid w:val="00DF56F4"/>
    <w:rsid w:val="00DF5776"/>
    <w:rsid w:val="00DF58FD"/>
    <w:rsid w:val="00DF5A91"/>
    <w:rsid w:val="00DF60AA"/>
    <w:rsid w:val="00DF6715"/>
    <w:rsid w:val="00DF69BC"/>
    <w:rsid w:val="00DF6DE2"/>
    <w:rsid w:val="00DF6FB7"/>
    <w:rsid w:val="00DF717B"/>
    <w:rsid w:val="00DF7C87"/>
    <w:rsid w:val="00E02364"/>
    <w:rsid w:val="00E0274A"/>
    <w:rsid w:val="00E03669"/>
    <w:rsid w:val="00E036F2"/>
    <w:rsid w:val="00E037DF"/>
    <w:rsid w:val="00E044ED"/>
    <w:rsid w:val="00E050F6"/>
    <w:rsid w:val="00E06325"/>
    <w:rsid w:val="00E068AC"/>
    <w:rsid w:val="00E06AA7"/>
    <w:rsid w:val="00E06D2A"/>
    <w:rsid w:val="00E06DDD"/>
    <w:rsid w:val="00E07050"/>
    <w:rsid w:val="00E07342"/>
    <w:rsid w:val="00E07968"/>
    <w:rsid w:val="00E07A45"/>
    <w:rsid w:val="00E1062A"/>
    <w:rsid w:val="00E11155"/>
    <w:rsid w:val="00E11FAE"/>
    <w:rsid w:val="00E12241"/>
    <w:rsid w:val="00E12371"/>
    <w:rsid w:val="00E1270C"/>
    <w:rsid w:val="00E13617"/>
    <w:rsid w:val="00E1390F"/>
    <w:rsid w:val="00E1392D"/>
    <w:rsid w:val="00E149D4"/>
    <w:rsid w:val="00E14D20"/>
    <w:rsid w:val="00E14E49"/>
    <w:rsid w:val="00E15362"/>
    <w:rsid w:val="00E1551E"/>
    <w:rsid w:val="00E15608"/>
    <w:rsid w:val="00E16205"/>
    <w:rsid w:val="00E1622A"/>
    <w:rsid w:val="00E165C0"/>
    <w:rsid w:val="00E16954"/>
    <w:rsid w:val="00E16A81"/>
    <w:rsid w:val="00E16B59"/>
    <w:rsid w:val="00E16C23"/>
    <w:rsid w:val="00E1771D"/>
    <w:rsid w:val="00E17B15"/>
    <w:rsid w:val="00E203E8"/>
    <w:rsid w:val="00E205E8"/>
    <w:rsid w:val="00E206DC"/>
    <w:rsid w:val="00E20D0B"/>
    <w:rsid w:val="00E20FED"/>
    <w:rsid w:val="00E21994"/>
    <w:rsid w:val="00E21AEF"/>
    <w:rsid w:val="00E223F4"/>
    <w:rsid w:val="00E2297F"/>
    <w:rsid w:val="00E2302E"/>
    <w:rsid w:val="00E230E9"/>
    <w:rsid w:val="00E241B2"/>
    <w:rsid w:val="00E24377"/>
    <w:rsid w:val="00E251AC"/>
    <w:rsid w:val="00E254E1"/>
    <w:rsid w:val="00E255FF"/>
    <w:rsid w:val="00E25A1D"/>
    <w:rsid w:val="00E26932"/>
    <w:rsid w:val="00E26A3D"/>
    <w:rsid w:val="00E26F63"/>
    <w:rsid w:val="00E27DE5"/>
    <w:rsid w:val="00E3002F"/>
    <w:rsid w:val="00E30679"/>
    <w:rsid w:val="00E30E86"/>
    <w:rsid w:val="00E312E0"/>
    <w:rsid w:val="00E31A81"/>
    <w:rsid w:val="00E31D86"/>
    <w:rsid w:val="00E31D96"/>
    <w:rsid w:val="00E32025"/>
    <w:rsid w:val="00E32366"/>
    <w:rsid w:val="00E3245E"/>
    <w:rsid w:val="00E327A6"/>
    <w:rsid w:val="00E32953"/>
    <w:rsid w:val="00E32A02"/>
    <w:rsid w:val="00E334C2"/>
    <w:rsid w:val="00E335AF"/>
    <w:rsid w:val="00E336BF"/>
    <w:rsid w:val="00E342E8"/>
    <w:rsid w:val="00E345F6"/>
    <w:rsid w:val="00E34A91"/>
    <w:rsid w:val="00E3513B"/>
    <w:rsid w:val="00E3589B"/>
    <w:rsid w:val="00E36803"/>
    <w:rsid w:val="00E377E9"/>
    <w:rsid w:val="00E3792D"/>
    <w:rsid w:val="00E37A79"/>
    <w:rsid w:val="00E37BEF"/>
    <w:rsid w:val="00E40261"/>
    <w:rsid w:val="00E404C5"/>
    <w:rsid w:val="00E40ACF"/>
    <w:rsid w:val="00E40C90"/>
    <w:rsid w:val="00E40F88"/>
    <w:rsid w:val="00E419BB"/>
    <w:rsid w:val="00E421A6"/>
    <w:rsid w:val="00E424F0"/>
    <w:rsid w:val="00E42A01"/>
    <w:rsid w:val="00E433AA"/>
    <w:rsid w:val="00E438F0"/>
    <w:rsid w:val="00E43E0F"/>
    <w:rsid w:val="00E43F74"/>
    <w:rsid w:val="00E443DB"/>
    <w:rsid w:val="00E4454C"/>
    <w:rsid w:val="00E4465A"/>
    <w:rsid w:val="00E44751"/>
    <w:rsid w:val="00E44C01"/>
    <w:rsid w:val="00E44C59"/>
    <w:rsid w:val="00E44CFE"/>
    <w:rsid w:val="00E451DC"/>
    <w:rsid w:val="00E45B29"/>
    <w:rsid w:val="00E45D25"/>
    <w:rsid w:val="00E45E62"/>
    <w:rsid w:val="00E4685E"/>
    <w:rsid w:val="00E46989"/>
    <w:rsid w:val="00E46D97"/>
    <w:rsid w:val="00E46FB9"/>
    <w:rsid w:val="00E4730A"/>
    <w:rsid w:val="00E47744"/>
    <w:rsid w:val="00E47746"/>
    <w:rsid w:val="00E479AE"/>
    <w:rsid w:val="00E47AF4"/>
    <w:rsid w:val="00E50025"/>
    <w:rsid w:val="00E50443"/>
    <w:rsid w:val="00E50E13"/>
    <w:rsid w:val="00E50F0F"/>
    <w:rsid w:val="00E511A4"/>
    <w:rsid w:val="00E519C1"/>
    <w:rsid w:val="00E5228A"/>
    <w:rsid w:val="00E523B2"/>
    <w:rsid w:val="00E52A5C"/>
    <w:rsid w:val="00E52AD4"/>
    <w:rsid w:val="00E52C53"/>
    <w:rsid w:val="00E5319A"/>
    <w:rsid w:val="00E53AC8"/>
    <w:rsid w:val="00E543EF"/>
    <w:rsid w:val="00E5444B"/>
    <w:rsid w:val="00E5458B"/>
    <w:rsid w:val="00E547A5"/>
    <w:rsid w:val="00E549C4"/>
    <w:rsid w:val="00E54FC8"/>
    <w:rsid w:val="00E551DE"/>
    <w:rsid w:val="00E56B8A"/>
    <w:rsid w:val="00E56D94"/>
    <w:rsid w:val="00E575F1"/>
    <w:rsid w:val="00E57873"/>
    <w:rsid w:val="00E57FB3"/>
    <w:rsid w:val="00E60E49"/>
    <w:rsid w:val="00E61143"/>
    <w:rsid w:val="00E6115B"/>
    <w:rsid w:val="00E6146B"/>
    <w:rsid w:val="00E61B1D"/>
    <w:rsid w:val="00E61D47"/>
    <w:rsid w:val="00E621CF"/>
    <w:rsid w:val="00E6270F"/>
    <w:rsid w:val="00E627B6"/>
    <w:rsid w:val="00E62AA2"/>
    <w:rsid w:val="00E62E88"/>
    <w:rsid w:val="00E630F3"/>
    <w:rsid w:val="00E636BC"/>
    <w:rsid w:val="00E641B3"/>
    <w:rsid w:val="00E64A64"/>
    <w:rsid w:val="00E64DC7"/>
    <w:rsid w:val="00E64F47"/>
    <w:rsid w:val="00E66571"/>
    <w:rsid w:val="00E66821"/>
    <w:rsid w:val="00E66AD5"/>
    <w:rsid w:val="00E6709F"/>
    <w:rsid w:val="00E676F2"/>
    <w:rsid w:val="00E679B9"/>
    <w:rsid w:val="00E67C1A"/>
    <w:rsid w:val="00E67FBD"/>
    <w:rsid w:val="00E70282"/>
    <w:rsid w:val="00E70618"/>
    <w:rsid w:val="00E70A9B"/>
    <w:rsid w:val="00E71045"/>
    <w:rsid w:val="00E71A08"/>
    <w:rsid w:val="00E71BD3"/>
    <w:rsid w:val="00E720BA"/>
    <w:rsid w:val="00E7225D"/>
    <w:rsid w:val="00E72ECF"/>
    <w:rsid w:val="00E72FE7"/>
    <w:rsid w:val="00E739E5"/>
    <w:rsid w:val="00E7460C"/>
    <w:rsid w:val="00E74A86"/>
    <w:rsid w:val="00E75003"/>
    <w:rsid w:val="00E75116"/>
    <w:rsid w:val="00E75741"/>
    <w:rsid w:val="00E75D7D"/>
    <w:rsid w:val="00E76740"/>
    <w:rsid w:val="00E76DCC"/>
    <w:rsid w:val="00E76F7D"/>
    <w:rsid w:val="00E76FBA"/>
    <w:rsid w:val="00E77353"/>
    <w:rsid w:val="00E77AF8"/>
    <w:rsid w:val="00E80138"/>
    <w:rsid w:val="00E80210"/>
    <w:rsid w:val="00E80704"/>
    <w:rsid w:val="00E807AB"/>
    <w:rsid w:val="00E80A4B"/>
    <w:rsid w:val="00E812F4"/>
    <w:rsid w:val="00E81D63"/>
    <w:rsid w:val="00E83D6C"/>
    <w:rsid w:val="00E84840"/>
    <w:rsid w:val="00E84EF3"/>
    <w:rsid w:val="00E85029"/>
    <w:rsid w:val="00E85118"/>
    <w:rsid w:val="00E8550E"/>
    <w:rsid w:val="00E861E3"/>
    <w:rsid w:val="00E86362"/>
    <w:rsid w:val="00E86755"/>
    <w:rsid w:val="00E86971"/>
    <w:rsid w:val="00E86A6D"/>
    <w:rsid w:val="00E86FB3"/>
    <w:rsid w:val="00E87D26"/>
    <w:rsid w:val="00E910E6"/>
    <w:rsid w:val="00E927DC"/>
    <w:rsid w:val="00E928D8"/>
    <w:rsid w:val="00E92A6E"/>
    <w:rsid w:val="00E92B04"/>
    <w:rsid w:val="00E932AF"/>
    <w:rsid w:val="00E93B48"/>
    <w:rsid w:val="00E93C9F"/>
    <w:rsid w:val="00E93DAE"/>
    <w:rsid w:val="00E93F4D"/>
    <w:rsid w:val="00E94392"/>
    <w:rsid w:val="00E94CC7"/>
    <w:rsid w:val="00E94D42"/>
    <w:rsid w:val="00E94E74"/>
    <w:rsid w:val="00E96922"/>
    <w:rsid w:val="00E96BD5"/>
    <w:rsid w:val="00E974D1"/>
    <w:rsid w:val="00E974E6"/>
    <w:rsid w:val="00E97E46"/>
    <w:rsid w:val="00EA075D"/>
    <w:rsid w:val="00EA095A"/>
    <w:rsid w:val="00EA0DB9"/>
    <w:rsid w:val="00EA0E38"/>
    <w:rsid w:val="00EA152C"/>
    <w:rsid w:val="00EA1711"/>
    <w:rsid w:val="00EA1B41"/>
    <w:rsid w:val="00EA1FDA"/>
    <w:rsid w:val="00EA21C7"/>
    <w:rsid w:val="00EA3343"/>
    <w:rsid w:val="00EA34B9"/>
    <w:rsid w:val="00EA362C"/>
    <w:rsid w:val="00EA3866"/>
    <w:rsid w:val="00EA3C8A"/>
    <w:rsid w:val="00EA3F7D"/>
    <w:rsid w:val="00EA4811"/>
    <w:rsid w:val="00EA4C85"/>
    <w:rsid w:val="00EA509C"/>
    <w:rsid w:val="00EA50C5"/>
    <w:rsid w:val="00EA52E4"/>
    <w:rsid w:val="00EA530F"/>
    <w:rsid w:val="00EA5ACA"/>
    <w:rsid w:val="00EA5BC4"/>
    <w:rsid w:val="00EA5CA3"/>
    <w:rsid w:val="00EA5D83"/>
    <w:rsid w:val="00EA5FB6"/>
    <w:rsid w:val="00EA6684"/>
    <w:rsid w:val="00EA69AB"/>
    <w:rsid w:val="00EA7475"/>
    <w:rsid w:val="00EA75F1"/>
    <w:rsid w:val="00EA7F38"/>
    <w:rsid w:val="00EB0327"/>
    <w:rsid w:val="00EB0521"/>
    <w:rsid w:val="00EB070C"/>
    <w:rsid w:val="00EB1DC4"/>
    <w:rsid w:val="00EB237B"/>
    <w:rsid w:val="00EB255B"/>
    <w:rsid w:val="00EB2A10"/>
    <w:rsid w:val="00EB2A99"/>
    <w:rsid w:val="00EB2E9F"/>
    <w:rsid w:val="00EB3957"/>
    <w:rsid w:val="00EB4402"/>
    <w:rsid w:val="00EB4503"/>
    <w:rsid w:val="00EB54B6"/>
    <w:rsid w:val="00EB5B44"/>
    <w:rsid w:val="00EB6017"/>
    <w:rsid w:val="00EB60DB"/>
    <w:rsid w:val="00EB6277"/>
    <w:rsid w:val="00EB6597"/>
    <w:rsid w:val="00EB670B"/>
    <w:rsid w:val="00EB69D1"/>
    <w:rsid w:val="00EB6B6D"/>
    <w:rsid w:val="00EB6EFA"/>
    <w:rsid w:val="00EB70C7"/>
    <w:rsid w:val="00EB70CA"/>
    <w:rsid w:val="00EB79DD"/>
    <w:rsid w:val="00EC009A"/>
    <w:rsid w:val="00EC04D2"/>
    <w:rsid w:val="00EC0B73"/>
    <w:rsid w:val="00EC22C4"/>
    <w:rsid w:val="00EC23CE"/>
    <w:rsid w:val="00EC2430"/>
    <w:rsid w:val="00EC2CF3"/>
    <w:rsid w:val="00EC3615"/>
    <w:rsid w:val="00EC38B9"/>
    <w:rsid w:val="00EC3F2F"/>
    <w:rsid w:val="00EC4224"/>
    <w:rsid w:val="00EC486F"/>
    <w:rsid w:val="00EC5272"/>
    <w:rsid w:val="00EC5455"/>
    <w:rsid w:val="00EC5FF8"/>
    <w:rsid w:val="00EC6002"/>
    <w:rsid w:val="00EC61CC"/>
    <w:rsid w:val="00EC64F5"/>
    <w:rsid w:val="00EC6FF3"/>
    <w:rsid w:val="00EC70F0"/>
    <w:rsid w:val="00EC78E1"/>
    <w:rsid w:val="00EC7B29"/>
    <w:rsid w:val="00ED0807"/>
    <w:rsid w:val="00ED0E98"/>
    <w:rsid w:val="00ED2EF7"/>
    <w:rsid w:val="00ED3158"/>
    <w:rsid w:val="00ED40B3"/>
    <w:rsid w:val="00ED462F"/>
    <w:rsid w:val="00ED49E4"/>
    <w:rsid w:val="00ED4B47"/>
    <w:rsid w:val="00ED54E4"/>
    <w:rsid w:val="00ED5EB8"/>
    <w:rsid w:val="00ED635E"/>
    <w:rsid w:val="00ED6E42"/>
    <w:rsid w:val="00ED6EC0"/>
    <w:rsid w:val="00ED775C"/>
    <w:rsid w:val="00EE04CF"/>
    <w:rsid w:val="00EE07AD"/>
    <w:rsid w:val="00EE0CDF"/>
    <w:rsid w:val="00EE1111"/>
    <w:rsid w:val="00EE144B"/>
    <w:rsid w:val="00EE14D7"/>
    <w:rsid w:val="00EE24A0"/>
    <w:rsid w:val="00EE2749"/>
    <w:rsid w:val="00EE3291"/>
    <w:rsid w:val="00EE34DF"/>
    <w:rsid w:val="00EE38A8"/>
    <w:rsid w:val="00EE4527"/>
    <w:rsid w:val="00EE47B1"/>
    <w:rsid w:val="00EE482D"/>
    <w:rsid w:val="00EE4912"/>
    <w:rsid w:val="00EE542A"/>
    <w:rsid w:val="00EE56C1"/>
    <w:rsid w:val="00EE5B73"/>
    <w:rsid w:val="00EE5D38"/>
    <w:rsid w:val="00EE668A"/>
    <w:rsid w:val="00EE6A16"/>
    <w:rsid w:val="00EE6A17"/>
    <w:rsid w:val="00EE6C57"/>
    <w:rsid w:val="00EE6F7F"/>
    <w:rsid w:val="00EE741A"/>
    <w:rsid w:val="00EE74D3"/>
    <w:rsid w:val="00EE766E"/>
    <w:rsid w:val="00EE7BA1"/>
    <w:rsid w:val="00EF0ADB"/>
    <w:rsid w:val="00EF0BFD"/>
    <w:rsid w:val="00EF1897"/>
    <w:rsid w:val="00EF1B7E"/>
    <w:rsid w:val="00EF231B"/>
    <w:rsid w:val="00EF2812"/>
    <w:rsid w:val="00EF2919"/>
    <w:rsid w:val="00EF2B79"/>
    <w:rsid w:val="00EF3250"/>
    <w:rsid w:val="00EF338C"/>
    <w:rsid w:val="00EF3593"/>
    <w:rsid w:val="00EF3616"/>
    <w:rsid w:val="00EF392F"/>
    <w:rsid w:val="00EF49D3"/>
    <w:rsid w:val="00EF4C8A"/>
    <w:rsid w:val="00EF5248"/>
    <w:rsid w:val="00EF558D"/>
    <w:rsid w:val="00EF55F7"/>
    <w:rsid w:val="00EF57C9"/>
    <w:rsid w:val="00EF6044"/>
    <w:rsid w:val="00EF6515"/>
    <w:rsid w:val="00EF6895"/>
    <w:rsid w:val="00EF6D56"/>
    <w:rsid w:val="00EF7051"/>
    <w:rsid w:val="00EF7516"/>
    <w:rsid w:val="00EF7AD5"/>
    <w:rsid w:val="00EF7BF0"/>
    <w:rsid w:val="00EF7C9F"/>
    <w:rsid w:val="00F00024"/>
    <w:rsid w:val="00F00DDA"/>
    <w:rsid w:val="00F00EBF"/>
    <w:rsid w:val="00F012A4"/>
    <w:rsid w:val="00F01EB6"/>
    <w:rsid w:val="00F03085"/>
    <w:rsid w:val="00F032B7"/>
    <w:rsid w:val="00F034DE"/>
    <w:rsid w:val="00F037CE"/>
    <w:rsid w:val="00F03D5F"/>
    <w:rsid w:val="00F040D1"/>
    <w:rsid w:val="00F044DD"/>
    <w:rsid w:val="00F05ACD"/>
    <w:rsid w:val="00F06799"/>
    <w:rsid w:val="00F1011B"/>
    <w:rsid w:val="00F1021F"/>
    <w:rsid w:val="00F102D6"/>
    <w:rsid w:val="00F1031B"/>
    <w:rsid w:val="00F10C73"/>
    <w:rsid w:val="00F10C94"/>
    <w:rsid w:val="00F11046"/>
    <w:rsid w:val="00F111C2"/>
    <w:rsid w:val="00F11365"/>
    <w:rsid w:val="00F11474"/>
    <w:rsid w:val="00F1216A"/>
    <w:rsid w:val="00F12429"/>
    <w:rsid w:val="00F12E73"/>
    <w:rsid w:val="00F12F58"/>
    <w:rsid w:val="00F12FA8"/>
    <w:rsid w:val="00F130BB"/>
    <w:rsid w:val="00F13681"/>
    <w:rsid w:val="00F14217"/>
    <w:rsid w:val="00F14482"/>
    <w:rsid w:val="00F14BEF"/>
    <w:rsid w:val="00F14CE9"/>
    <w:rsid w:val="00F15151"/>
    <w:rsid w:val="00F15196"/>
    <w:rsid w:val="00F15894"/>
    <w:rsid w:val="00F158F5"/>
    <w:rsid w:val="00F16539"/>
    <w:rsid w:val="00F17072"/>
    <w:rsid w:val="00F171B6"/>
    <w:rsid w:val="00F17851"/>
    <w:rsid w:val="00F17E06"/>
    <w:rsid w:val="00F204D6"/>
    <w:rsid w:val="00F20A54"/>
    <w:rsid w:val="00F2114B"/>
    <w:rsid w:val="00F2136A"/>
    <w:rsid w:val="00F220ED"/>
    <w:rsid w:val="00F22ECB"/>
    <w:rsid w:val="00F232B5"/>
    <w:rsid w:val="00F2353C"/>
    <w:rsid w:val="00F23943"/>
    <w:rsid w:val="00F24045"/>
    <w:rsid w:val="00F24798"/>
    <w:rsid w:val="00F24FFF"/>
    <w:rsid w:val="00F26291"/>
    <w:rsid w:val="00F2659F"/>
    <w:rsid w:val="00F27C41"/>
    <w:rsid w:val="00F30C62"/>
    <w:rsid w:val="00F30D50"/>
    <w:rsid w:val="00F315C3"/>
    <w:rsid w:val="00F31924"/>
    <w:rsid w:val="00F31A59"/>
    <w:rsid w:val="00F323BD"/>
    <w:rsid w:val="00F325F9"/>
    <w:rsid w:val="00F32B32"/>
    <w:rsid w:val="00F335FE"/>
    <w:rsid w:val="00F33962"/>
    <w:rsid w:val="00F33E06"/>
    <w:rsid w:val="00F348C4"/>
    <w:rsid w:val="00F34CC3"/>
    <w:rsid w:val="00F34D21"/>
    <w:rsid w:val="00F34F4A"/>
    <w:rsid w:val="00F35294"/>
    <w:rsid w:val="00F356EF"/>
    <w:rsid w:val="00F362DE"/>
    <w:rsid w:val="00F36890"/>
    <w:rsid w:val="00F36B90"/>
    <w:rsid w:val="00F3743A"/>
    <w:rsid w:val="00F379A6"/>
    <w:rsid w:val="00F40089"/>
    <w:rsid w:val="00F407AF"/>
    <w:rsid w:val="00F40DCB"/>
    <w:rsid w:val="00F42682"/>
    <w:rsid w:val="00F42AC4"/>
    <w:rsid w:val="00F4335E"/>
    <w:rsid w:val="00F43644"/>
    <w:rsid w:val="00F43932"/>
    <w:rsid w:val="00F43A52"/>
    <w:rsid w:val="00F43B5C"/>
    <w:rsid w:val="00F43EB5"/>
    <w:rsid w:val="00F440EA"/>
    <w:rsid w:val="00F44ED7"/>
    <w:rsid w:val="00F45B03"/>
    <w:rsid w:val="00F45B61"/>
    <w:rsid w:val="00F45E7C"/>
    <w:rsid w:val="00F461AF"/>
    <w:rsid w:val="00F461D3"/>
    <w:rsid w:val="00F46BF1"/>
    <w:rsid w:val="00F46CD4"/>
    <w:rsid w:val="00F46EF1"/>
    <w:rsid w:val="00F4703D"/>
    <w:rsid w:val="00F47332"/>
    <w:rsid w:val="00F5062E"/>
    <w:rsid w:val="00F50E3F"/>
    <w:rsid w:val="00F51DA2"/>
    <w:rsid w:val="00F51F93"/>
    <w:rsid w:val="00F51FE2"/>
    <w:rsid w:val="00F535D6"/>
    <w:rsid w:val="00F5422D"/>
    <w:rsid w:val="00F5480E"/>
    <w:rsid w:val="00F54DD8"/>
    <w:rsid w:val="00F5501D"/>
    <w:rsid w:val="00F55875"/>
    <w:rsid w:val="00F55BE6"/>
    <w:rsid w:val="00F5616E"/>
    <w:rsid w:val="00F5618F"/>
    <w:rsid w:val="00F56B03"/>
    <w:rsid w:val="00F5714A"/>
    <w:rsid w:val="00F57A91"/>
    <w:rsid w:val="00F57B1B"/>
    <w:rsid w:val="00F57BAD"/>
    <w:rsid w:val="00F6052B"/>
    <w:rsid w:val="00F60EA1"/>
    <w:rsid w:val="00F60FC6"/>
    <w:rsid w:val="00F62039"/>
    <w:rsid w:val="00F622B3"/>
    <w:rsid w:val="00F63C42"/>
    <w:rsid w:val="00F6425B"/>
    <w:rsid w:val="00F65211"/>
    <w:rsid w:val="00F654C2"/>
    <w:rsid w:val="00F66242"/>
    <w:rsid w:val="00F666B7"/>
    <w:rsid w:val="00F66D18"/>
    <w:rsid w:val="00F6709B"/>
    <w:rsid w:val="00F670DC"/>
    <w:rsid w:val="00F6749E"/>
    <w:rsid w:val="00F67559"/>
    <w:rsid w:val="00F67A09"/>
    <w:rsid w:val="00F70058"/>
    <w:rsid w:val="00F707F9"/>
    <w:rsid w:val="00F70B38"/>
    <w:rsid w:val="00F71070"/>
    <w:rsid w:val="00F7159B"/>
    <w:rsid w:val="00F716B8"/>
    <w:rsid w:val="00F71C5D"/>
    <w:rsid w:val="00F71CDA"/>
    <w:rsid w:val="00F7222E"/>
    <w:rsid w:val="00F730A9"/>
    <w:rsid w:val="00F736F3"/>
    <w:rsid w:val="00F7372E"/>
    <w:rsid w:val="00F738CF"/>
    <w:rsid w:val="00F73C0B"/>
    <w:rsid w:val="00F7414F"/>
    <w:rsid w:val="00F7458C"/>
    <w:rsid w:val="00F74D57"/>
    <w:rsid w:val="00F756C0"/>
    <w:rsid w:val="00F75DA1"/>
    <w:rsid w:val="00F75E5F"/>
    <w:rsid w:val="00F76924"/>
    <w:rsid w:val="00F76A66"/>
    <w:rsid w:val="00F76F0A"/>
    <w:rsid w:val="00F7719F"/>
    <w:rsid w:val="00F7732D"/>
    <w:rsid w:val="00F774C8"/>
    <w:rsid w:val="00F8011B"/>
    <w:rsid w:val="00F8053E"/>
    <w:rsid w:val="00F80557"/>
    <w:rsid w:val="00F808E8"/>
    <w:rsid w:val="00F80934"/>
    <w:rsid w:val="00F82119"/>
    <w:rsid w:val="00F824B3"/>
    <w:rsid w:val="00F827B8"/>
    <w:rsid w:val="00F82E8C"/>
    <w:rsid w:val="00F83432"/>
    <w:rsid w:val="00F83534"/>
    <w:rsid w:val="00F83AF5"/>
    <w:rsid w:val="00F841F3"/>
    <w:rsid w:val="00F84444"/>
    <w:rsid w:val="00F84689"/>
    <w:rsid w:val="00F84BCD"/>
    <w:rsid w:val="00F84F40"/>
    <w:rsid w:val="00F850B4"/>
    <w:rsid w:val="00F85472"/>
    <w:rsid w:val="00F855A9"/>
    <w:rsid w:val="00F85CA2"/>
    <w:rsid w:val="00F85CC4"/>
    <w:rsid w:val="00F85E88"/>
    <w:rsid w:val="00F85FC8"/>
    <w:rsid w:val="00F8656B"/>
    <w:rsid w:val="00F87D77"/>
    <w:rsid w:val="00F87EEA"/>
    <w:rsid w:val="00F903C2"/>
    <w:rsid w:val="00F90615"/>
    <w:rsid w:val="00F909EC"/>
    <w:rsid w:val="00F90E05"/>
    <w:rsid w:val="00F9107B"/>
    <w:rsid w:val="00F92717"/>
    <w:rsid w:val="00F92AE9"/>
    <w:rsid w:val="00F92E83"/>
    <w:rsid w:val="00F93D87"/>
    <w:rsid w:val="00F94201"/>
    <w:rsid w:val="00F94407"/>
    <w:rsid w:val="00F9468F"/>
    <w:rsid w:val="00F94EE3"/>
    <w:rsid w:val="00F951E4"/>
    <w:rsid w:val="00F954D1"/>
    <w:rsid w:val="00F9555B"/>
    <w:rsid w:val="00F95D3E"/>
    <w:rsid w:val="00F95DD6"/>
    <w:rsid w:val="00F95F16"/>
    <w:rsid w:val="00F96744"/>
    <w:rsid w:val="00F969DC"/>
    <w:rsid w:val="00F96F9D"/>
    <w:rsid w:val="00FA0888"/>
    <w:rsid w:val="00FA0D67"/>
    <w:rsid w:val="00FA0F03"/>
    <w:rsid w:val="00FA18DB"/>
    <w:rsid w:val="00FA1EE1"/>
    <w:rsid w:val="00FA287F"/>
    <w:rsid w:val="00FA2F40"/>
    <w:rsid w:val="00FA3958"/>
    <w:rsid w:val="00FA4266"/>
    <w:rsid w:val="00FA4283"/>
    <w:rsid w:val="00FA4D9D"/>
    <w:rsid w:val="00FA5B38"/>
    <w:rsid w:val="00FA5E76"/>
    <w:rsid w:val="00FA62B7"/>
    <w:rsid w:val="00FA6461"/>
    <w:rsid w:val="00FA6EC2"/>
    <w:rsid w:val="00FA6FE6"/>
    <w:rsid w:val="00FA720B"/>
    <w:rsid w:val="00FA73E2"/>
    <w:rsid w:val="00FA7A5C"/>
    <w:rsid w:val="00FA7D31"/>
    <w:rsid w:val="00FB060F"/>
    <w:rsid w:val="00FB0D86"/>
    <w:rsid w:val="00FB1276"/>
    <w:rsid w:val="00FB1289"/>
    <w:rsid w:val="00FB142D"/>
    <w:rsid w:val="00FB15B2"/>
    <w:rsid w:val="00FB1A67"/>
    <w:rsid w:val="00FB1BD0"/>
    <w:rsid w:val="00FB1D54"/>
    <w:rsid w:val="00FB2231"/>
    <w:rsid w:val="00FB276C"/>
    <w:rsid w:val="00FB3214"/>
    <w:rsid w:val="00FB35C4"/>
    <w:rsid w:val="00FB3ACC"/>
    <w:rsid w:val="00FB3AF1"/>
    <w:rsid w:val="00FB443F"/>
    <w:rsid w:val="00FB4A7B"/>
    <w:rsid w:val="00FB4B84"/>
    <w:rsid w:val="00FB4ECA"/>
    <w:rsid w:val="00FB5163"/>
    <w:rsid w:val="00FB55FC"/>
    <w:rsid w:val="00FB589C"/>
    <w:rsid w:val="00FB58AB"/>
    <w:rsid w:val="00FB5DDD"/>
    <w:rsid w:val="00FB5FE1"/>
    <w:rsid w:val="00FB600F"/>
    <w:rsid w:val="00FB7CED"/>
    <w:rsid w:val="00FB7F37"/>
    <w:rsid w:val="00FC0155"/>
    <w:rsid w:val="00FC0D9F"/>
    <w:rsid w:val="00FC0E7A"/>
    <w:rsid w:val="00FC0F6C"/>
    <w:rsid w:val="00FC1304"/>
    <w:rsid w:val="00FC1A9C"/>
    <w:rsid w:val="00FC2462"/>
    <w:rsid w:val="00FC2BE4"/>
    <w:rsid w:val="00FC30D5"/>
    <w:rsid w:val="00FC3237"/>
    <w:rsid w:val="00FC3442"/>
    <w:rsid w:val="00FC3468"/>
    <w:rsid w:val="00FC3A49"/>
    <w:rsid w:val="00FC3CEB"/>
    <w:rsid w:val="00FC4641"/>
    <w:rsid w:val="00FC4BD0"/>
    <w:rsid w:val="00FC4CF4"/>
    <w:rsid w:val="00FC51FC"/>
    <w:rsid w:val="00FC5287"/>
    <w:rsid w:val="00FC5586"/>
    <w:rsid w:val="00FC5C28"/>
    <w:rsid w:val="00FC600B"/>
    <w:rsid w:val="00FC6A5F"/>
    <w:rsid w:val="00FC6BA5"/>
    <w:rsid w:val="00FC6DDC"/>
    <w:rsid w:val="00FC6DFD"/>
    <w:rsid w:val="00FC7371"/>
    <w:rsid w:val="00FD00AF"/>
    <w:rsid w:val="00FD1329"/>
    <w:rsid w:val="00FD225D"/>
    <w:rsid w:val="00FD2545"/>
    <w:rsid w:val="00FD2733"/>
    <w:rsid w:val="00FD295A"/>
    <w:rsid w:val="00FD2DC7"/>
    <w:rsid w:val="00FD2E01"/>
    <w:rsid w:val="00FD386F"/>
    <w:rsid w:val="00FD3B19"/>
    <w:rsid w:val="00FD3F7F"/>
    <w:rsid w:val="00FD4853"/>
    <w:rsid w:val="00FD4F0E"/>
    <w:rsid w:val="00FD5493"/>
    <w:rsid w:val="00FD5A77"/>
    <w:rsid w:val="00FD5D8A"/>
    <w:rsid w:val="00FD62FB"/>
    <w:rsid w:val="00FD630C"/>
    <w:rsid w:val="00FD6D15"/>
    <w:rsid w:val="00FD7276"/>
    <w:rsid w:val="00FD7ADA"/>
    <w:rsid w:val="00FE0017"/>
    <w:rsid w:val="00FE031A"/>
    <w:rsid w:val="00FE0349"/>
    <w:rsid w:val="00FE1941"/>
    <w:rsid w:val="00FE1A89"/>
    <w:rsid w:val="00FE1BA8"/>
    <w:rsid w:val="00FE2233"/>
    <w:rsid w:val="00FE25F1"/>
    <w:rsid w:val="00FE2DFF"/>
    <w:rsid w:val="00FE361F"/>
    <w:rsid w:val="00FE37C7"/>
    <w:rsid w:val="00FE3934"/>
    <w:rsid w:val="00FE3D23"/>
    <w:rsid w:val="00FE452A"/>
    <w:rsid w:val="00FE48A3"/>
    <w:rsid w:val="00FE54A9"/>
    <w:rsid w:val="00FE5956"/>
    <w:rsid w:val="00FE63AB"/>
    <w:rsid w:val="00FE7618"/>
    <w:rsid w:val="00FE7641"/>
    <w:rsid w:val="00FE7EAF"/>
    <w:rsid w:val="00FE7F26"/>
    <w:rsid w:val="00FF0151"/>
    <w:rsid w:val="00FF03C4"/>
    <w:rsid w:val="00FF0491"/>
    <w:rsid w:val="00FF08C3"/>
    <w:rsid w:val="00FF1591"/>
    <w:rsid w:val="00FF184B"/>
    <w:rsid w:val="00FF1AAA"/>
    <w:rsid w:val="00FF3573"/>
    <w:rsid w:val="00FF35D4"/>
    <w:rsid w:val="00FF3C3F"/>
    <w:rsid w:val="00FF3C51"/>
    <w:rsid w:val="00FF4389"/>
    <w:rsid w:val="00FF46A6"/>
    <w:rsid w:val="00FF4EBC"/>
    <w:rsid w:val="00FF4F74"/>
    <w:rsid w:val="00FF526E"/>
    <w:rsid w:val="00FF6B3E"/>
    <w:rsid w:val="00FF736C"/>
    <w:rsid w:val="00FF7C22"/>
    <w:rsid w:val="00FF7F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93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8C"/>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66238C"/>
    <w:pPr>
      <w:spacing w:after="240"/>
      <w:outlineLvl w:val="0"/>
    </w:pPr>
    <w:rPr>
      <w:rFonts w:ascii="Arial Bold" w:hAnsi="Arial Bold"/>
      <w:b/>
      <w:kern w:val="34"/>
      <w:sz w:val="36"/>
    </w:rPr>
  </w:style>
  <w:style w:type="paragraph" w:styleId="Heading2">
    <w:name w:val="heading 2"/>
    <w:basedOn w:val="HeadingBase"/>
    <w:next w:val="Normal"/>
    <w:link w:val="Heading2Char"/>
    <w:qFormat/>
    <w:rsid w:val="0066238C"/>
    <w:pPr>
      <w:spacing w:before="240" w:after="240"/>
      <w:outlineLvl w:val="1"/>
    </w:pPr>
    <w:rPr>
      <w:rFonts w:ascii="Arial Bold" w:hAnsi="Arial Bold"/>
      <w:b/>
      <w:sz w:val="26"/>
    </w:rPr>
  </w:style>
  <w:style w:type="paragraph" w:styleId="Heading3">
    <w:name w:val="heading 3"/>
    <w:basedOn w:val="HeadingBase"/>
    <w:next w:val="Normal"/>
    <w:link w:val="Heading3Char"/>
    <w:qFormat/>
    <w:rsid w:val="0066238C"/>
    <w:pPr>
      <w:spacing w:before="120" w:after="120"/>
      <w:outlineLvl w:val="2"/>
    </w:pPr>
    <w:rPr>
      <w:rFonts w:ascii="Arial Bold" w:hAnsi="Arial Bold"/>
      <w:b/>
      <w:sz w:val="22"/>
    </w:rPr>
  </w:style>
  <w:style w:type="paragraph" w:styleId="Heading4">
    <w:name w:val="heading 4"/>
    <w:basedOn w:val="HeadingBase"/>
    <w:next w:val="Normal"/>
    <w:link w:val="Heading4Char"/>
    <w:qFormat/>
    <w:rsid w:val="0066238C"/>
    <w:pPr>
      <w:spacing w:after="120"/>
      <w:outlineLvl w:val="3"/>
    </w:pPr>
    <w:rPr>
      <w:rFonts w:ascii="Arial Bold" w:hAnsi="Arial Bold"/>
      <w:b/>
      <w:sz w:val="20"/>
    </w:rPr>
  </w:style>
  <w:style w:type="paragraph" w:styleId="Heading5">
    <w:name w:val="heading 5"/>
    <w:basedOn w:val="HeadingBase"/>
    <w:next w:val="Normal"/>
    <w:link w:val="Heading5Char"/>
    <w:qFormat/>
    <w:rsid w:val="0066238C"/>
    <w:pPr>
      <w:spacing w:after="120"/>
      <w:outlineLvl w:val="4"/>
    </w:pPr>
    <w:rPr>
      <w:bCs/>
      <w:i/>
      <w:iCs/>
      <w:sz w:val="20"/>
      <w:szCs w:val="26"/>
    </w:rPr>
  </w:style>
  <w:style w:type="paragraph" w:styleId="Heading6">
    <w:name w:val="heading 6"/>
    <w:basedOn w:val="HeadingBase"/>
    <w:next w:val="Normal"/>
    <w:link w:val="Heading6Char"/>
    <w:rsid w:val="0066238C"/>
    <w:pPr>
      <w:spacing w:after="120"/>
      <w:outlineLvl w:val="5"/>
    </w:pPr>
    <w:rPr>
      <w:bCs/>
      <w:sz w:val="20"/>
      <w:szCs w:val="22"/>
    </w:rPr>
  </w:style>
  <w:style w:type="paragraph" w:styleId="Heading7">
    <w:name w:val="heading 7"/>
    <w:basedOn w:val="HeadingBase"/>
    <w:next w:val="Normal"/>
    <w:link w:val="Heading7Char"/>
    <w:rsid w:val="0066238C"/>
    <w:pPr>
      <w:spacing w:before="120"/>
      <w:outlineLvl w:val="6"/>
    </w:pPr>
    <w:rPr>
      <w:sz w:val="20"/>
      <w:szCs w:val="24"/>
    </w:rPr>
  </w:style>
  <w:style w:type="paragraph" w:styleId="Heading8">
    <w:name w:val="heading 8"/>
    <w:basedOn w:val="HeadingBase"/>
    <w:next w:val="Normal"/>
    <w:link w:val="Heading8Char"/>
    <w:rsid w:val="0066238C"/>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66238C"/>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66238C"/>
    <w:pPr>
      <w:tabs>
        <w:tab w:val="center" w:pos="4153"/>
        <w:tab w:val="right" w:pos="8306"/>
      </w:tabs>
    </w:pPr>
  </w:style>
  <w:style w:type="character" w:customStyle="1" w:styleId="HeaderChar">
    <w:name w:val="Header Char"/>
    <w:basedOn w:val="DefaultParagraphFont"/>
    <w:link w:val="Header"/>
    <w:rsid w:val="0066238C"/>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66238C"/>
    <w:pPr>
      <w:tabs>
        <w:tab w:val="center" w:pos="4153"/>
        <w:tab w:val="right" w:pos="8306"/>
      </w:tabs>
    </w:pPr>
  </w:style>
  <w:style w:type="character" w:customStyle="1" w:styleId="FooterChar">
    <w:name w:val="Footer Char"/>
    <w:basedOn w:val="DefaultParagraphFont"/>
    <w:link w:val="Footer"/>
    <w:rsid w:val="0066238C"/>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66238C"/>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66238C"/>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66238C"/>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66238C"/>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66238C"/>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66238C"/>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66238C"/>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66238C"/>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66238C"/>
    <w:pPr>
      <w:jc w:val="center"/>
    </w:pPr>
    <w:rPr>
      <w:rFonts w:ascii="Arial Bold" w:hAnsi="Arial Bold"/>
      <w:b/>
      <w:caps/>
      <w:sz w:val="22"/>
    </w:rPr>
  </w:style>
  <w:style w:type="paragraph" w:customStyle="1" w:styleId="FileProperties">
    <w:name w:val="File Properties"/>
    <w:basedOn w:val="Normal"/>
    <w:rsid w:val="0066238C"/>
    <w:pPr>
      <w:spacing w:before="0"/>
    </w:pPr>
    <w:rPr>
      <w:i/>
    </w:rPr>
  </w:style>
  <w:style w:type="paragraph" w:customStyle="1" w:styleId="AlphaParagraph">
    <w:name w:val="Alpha Paragraph"/>
    <w:basedOn w:val="Normal"/>
    <w:rsid w:val="0066238C"/>
    <w:pPr>
      <w:numPr>
        <w:numId w:val="1"/>
      </w:numPr>
      <w:tabs>
        <w:tab w:val="clear" w:pos="567"/>
        <w:tab w:val="num" w:pos="360"/>
      </w:tabs>
      <w:ind w:left="0" w:firstLine="0"/>
    </w:pPr>
  </w:style>
  <w:style w:type="paragraph" w:customStyle="1" w:styleId="HeadingBase">
    <w:name w:val="Heading Base"/>
    <w:rsid w:val="0066238C"/>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66238C"/>
    <w:rPr>
      <w:bCs/>
      <w:color w:val="002A54" w:themeColor="text2"/>
      <w:szCs w:val="52"/>
    </w:rPr>
  </w:style>
  <w:style w:type="paragraph" w:customStyle="1" w:styleId="BoxText">
    <w:name w:val="Box Text"/>
    <w:basedOn w:val="Normal"/>
    <w:link w:val="BoxTextChar"/>
    <w:qFormat/>
    <w:rsid w:val="0066238C"/>
    <w:pPr>
      <w:spacing w:before="120" w:after="120" w:line="240" w:lineRule="auto"/>
    </w:pPr>
  </w:style>
  <w:style w:type="paragraph" w:customStyle="1" w:styleId="BoxBullet">
    <w:name w:val="Box Bullet"/>
    <w:basedOn w:val="BoxText"/>
    <w:rsid w:val="0066238C"/>
    <w:pPr>
      <w:numPr>
        <w:numId w:val="2"/>
      </w:numPr>
    </w:pPr>
  </w:style>
  <w:style w:type="paragraph" w:customStyle="1" w:styleId="BoxHeading">
    <w:name w:val="Box Heading"/>
    <w:basedOn w:val="HeadingBase"/>
    <w:next w:val="BoxText"/>
    <w:rsid w:val="0066238C"/>
    <w:pPr>
      <w:spacing w:before="120" w:after="120"/>
    </w:pPr>
    <w:rPr>
      <w:b/>
      <w:sz w:val="20"/>
    </w:rPr>
  </w:style>
  <w:style w:type="character" w:customStyle="1" w:styleId="Heading6Char">
    <w:name w:val="Heading 6 Char"/>
    <w:basedOn w:val="DefaultParagraphFont"/>
    <w:link w:val="Heading6"/>
    <w:rsid w:val="0066238C"/>
    <w:rPr>
      <w:rFonts w:ascii="Arial" w:eastAsia="Times New Roman" w:hAnsi="Arial" w:cs="Times New Roman"/>
      <w:bCs/>
      <w:sz w:val="20"/>
      <w:lang w:eastAsia="en-AU"/>
    </w:rPr>
  </w:style>
  <w:style w:type="paragraph" w:customStyle="1" w:styleId="Bullet">
    <w:name w:val="Bullet"/>
    <w:basedOn w:val="Normal"/>
    <w:qFormat/>
    <w:rsid w:val="0066238C"/>
    <w:pPr>
      <w:numPr>
        <w:numId w:val="4"/>
      </w:numPr>
      <w:spacing w:after="160"/>
      <w:ind w:left="284" w:hanging="284"/>
    </w:pPr>
  </w:style>
  <w:style w:type="paragraph" w:styleId="Caption">
    <w:name w:val="caption"/>
    <w:basedOn w:val="Normal"/>
    <w:next w:val="Normal"/>
    <w:rsid w:val="0066238C"/>
    <w:rPr>
      <w:b/>
      <w:bCs/>
    </w:rPr>
  </w:style>
  <w:style w:type="paragraph" w:customStyle="1" w:styleId="ChartandTableFootnote">
    <w:name w:val="Chart and Table Footnote"/>
    <w:basedOn w:val="HeadingBase"/>
    <w:next w:val="Normal"/>
    <w:rsid w:val="0066238C"/>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66238C"/>
    <w:pPr>
      <w:keepNext w:val="0"/>
      <w:numPr>
        <w:numId w:val="5"/>
      </w:numPr>
      <w:spacing w:before="30"/>
    </w:pPr>
    <w:rPr>
      <w:color w:val="000000"/>
      <w:sz w:val="16"/>
    </w:rPr>
  </w:style>
  <w:style w:type="paragraph" w:customStyle="1" w:styleId="ChartandTableFootnoteSmall">
    <w:name w:val="Chart and Table Footnote Small"/>
    <w:basedOn w:val="HeadingBase"/>
    <w:next w:val="Normal"/>
    <w:rsid w:val="0066238C"/>
    <w:pPr>
      <w:keepNext w:val="0"/>
      <w:tabs>
        <w:tab w:val="left" w:pos="284"/>
      </w:tabs>
      <w:jc w:val="both"/>
    </w:pPr>
    <w:rPr>
      <w:color w:val="000000"/>
      <w:sz w:val="15"/>
    </w:rPr>
  </w:style>
  <w:style w:type="paragraph" w:customStyle="1" w:styleId="ChartGraphic">
    <w:name w:val="Chart Graphic"/>
    <w:basedOn w:val="HeadingBase"/>
    <w:rsid w:val="0066238C"/>
    <w:rPr>
      <w:sz w:val="20"/>
    </w:rPr>
  </w:style>
  <w:style w:type="paragraph" w:customStyle="1" w:styleId="TableLine">
    <w:name w:val="Table Line"/>
    <w:basedOn w:val="Normal"/>
    <w:next w:val="Normal"/>
    <w:autoRedefine/>
    <w:rsid w:val="0066238C"/>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66238C"/>
    <w:pPr>
      <w:spacing w:after="60"/>
    </w:pPr>
    <w:rPr>
      <w:sz w:val="19"/>
    </w:rPr>
  </w:style>
  <w:style w:type="character" w:styleId="CommentReference">
    <w:name w:val="annotation reference"/>
    <w:basedOn w:val="DefaultParagraphFont"/>
    <w:rsid w:val="0066238C"/>
    <w:rPr>
      <w:sz w:val="16"/>
      <w:szCs w:val="16"/>
    </w:rPr>
  </w:style>
  <w:style w:type="paragraph" w:styleId="CommentText">
    <w:name w:val="annotation text"/>
    <w:basedOn w:val="Normal"/>
    <w:link w:val="CommentTextChar"/>
    <w:rsid w:val="0066238C"/>
  </w:style>
  <w:style w:type="character" w:customStyle="1" w:styleId="CommentTextChar">
    <w:name w:val="Comment Text Char"/>
    <w:basedOn w:val="DefaultParagraphFont"/>
    <w:link w:val="CommentText"/>
    <w:rsid w:val="0066238C"/>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66238C"/>
    <w:rPr>
      <w:b/>
      <w:bCs/>
    </w:rPr>
  </w:style>
  <w:style w:type="character" w:customStyle="1" w:styleId="CommentSubjectChar">
    <w:name w:val="Comment Subject Char"/>
    <w:basedOn w:val="CommentTextChar"/>
    <w:link w:val="CommentSubject"/>
    <w:semiHidden/>
    <w:rsid w:val="0066238C"/>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66238C"/>
    <w:pPr>
      <w:spacing w:after="720"/>
      <w:outlineLvl w:val="9"/>
    </w:pPr>
  </w:style>
  <w:style w:type="character" w:styleId="Strong">
    <w:name w:val="Strong"/>
    <w:basedOn w:val="DefaultParagraphFont"/>
    <w:uiPriority w:val="22"/>
    <w:qFormat/>
    <w:rsid w:val="0066238C"/>
    <w:rPr>
      <w:b/>
      <w:bCs/>
      <w:color w:val="auto"/>
    </w:rPr>
  </w:style>
  <w:style w:type="paragraph" w:customStyle="1" w:styleId="Dash">
    <w:name w:val="Dash"/>
    <w:basedOn w:val="Normal"/>
    <w:qFormat/>
    <w:rsid w:val="0066238C"/>
    <w:pPr>
      <w:numPr>
        <w:ilvl w:val="1"/>
        <w:numId w:val="4"/>
      </w:numPr>
      <w:tabs>
        <w:tab w:val="left" w:pos="567"/>
      </w:tabs>
    </w:pPr>
  </w:style>
  <w:style w:type="paragraph" w:styleId="DocumentMap">
    <w:name w:val="Document Map"/>
    <w:basedOn w:val="Normal"/>
    <w:link w:val="DocumentMapChar"/>
    <w:semiHidden/>
    <w:rsid w:val="0066238C"/>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238C"/>
    <w:rPr>
      <w:rFonts w:ascii="Tahoma" w:eastAsia="Times New Roman" w:hAnsi="Tahoma" w:cs="Tahoma"/>
      <w:sz w:val="19"/>
      <w:szCs w:val="20"/>
      <w:shd w:val="clear" w:color="auto" w:fill="000080"/>
      <w:lang w:eastAsia="en-AU"/>
    </w:rPr>
  </w:style>
  <w:style w:type="paragraph" w:customStyle="1" w:styleId="DoubleDot">
    <w:name w:val="Double Dot"/>
    <w:basedOn w:val="Normal"/>
    <w:rsid w:val="0066238C"/>
    <w:pPr>
      <w:numPr>
        <w:ilvl w:val="2"/>
        <w:numId w:val="4"/>
      </w:numPr>
      <w:tabs>
        <w:tab w:val="clear" w:pos="850"/>
        <w:tab w:val="num" w:pos="360"/>
        <w:tab w:val="left" w:pos="851"/>
      </w:tabs>
    </w:pPr>
  </w:style>
  <w:style w:type="paragraph" w:customStyle="1" w:styleId="FigureHeading">
    <w:name w:val="Figure Heading"/>
    <w:basedOn w:val="HeadingBase"/>
    <w:next w:val="ChartGraphic"/>
    <w:rsid w:val="0066238C"/>
    <w:pPr>
      <w:spacing w:before="120" w:after="20"/>
    </w:pPr>
    <w:rPr>
      <w:b/>
      <w:sz w:val="20"/>
    </w:rPr>
  </w:style>
  <w:style w:type="paragraph" w:customStyle="1" w:styleId="FooterBase">
    <w:name w:val="Footer Base"/>
    <w:rsid w:val="0066238C"/>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66238C"/>
    <w:pPr>
      <w:pBdr>
        <w:top w:val="single" w:sz="4" w:space="10" w:color="002A54" w:themeColor="text2"/>
      </w:pBdr>
      <w:jc w:val="left"/>
    </w:pPr>
    <w:rPr>
      <w:sz w:val="18"/>
    </w:rPr>
  </w:style>
  <w:style w:type="paragraph" w:customStyle="1" w:styleId="FooterOdd">
    <w:name w:val="Footer Odd"/>
    <w:basedOn w:val="Footer"/>
    <w:qFormat/>
    <w:rsid w:val="0066238C"/>
    <w:pPr>
      <w:pBdr>
        <w:top w:val="single" w:sz="4" w:space="10" w:color="002A54" w:themeColor="text2"/>
      </w:pBdr>
      <w:jc w:val="right"/>
    </w:pPr>
    <w:rPr>
      <w:sz w:val="18"/>
    </w:rPr>
  </w:style>
  <w:style w:type="character" w:styleId="FootnoteReference">
    <w:name w:val="footnote reference"/>
    <w:basedOn w:val="DefaultParagraphFont"/>
    <w:rsid w:val="0066238C"/>
    <w:rPr>
      <w:vertAlign w:val="superscript"/>
    </w:rPr>
  </w:style>
  <w:style w:type="paragraph" w:styleId="FootnoteText">
    <w:name w:val="footnote text"/>
    <w:basedOn w:val="Normal"/>
    <w:link w:val="FootnoteTextChar"/>
    <w:rsid w:val="0066238C"/>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66238C"/>
    <w:rPr>
      <w:rFonts w:ascii="Book Antiqua" w:eastAsia="Times New Roman" w:hAnsi="Book Antiqua" w:cs="Times New Roman"/>
      <w:sz w:val="18"/>
      <w:szCs w:val="20"/>
      <w:lang w:eastAsia="en-AU"/>
    </w:rPr>
  </w:style>
  <w:style w:type="character" w:customStyle="1" w:styleId="FramedHeader">
    <w:name w:val="Framed Header"/>
    <w:basedOn w:val="DefaultParagraphFont"/>
    <w:rsid w:val="0066238C"/>
    <w:rPr>
      <w:rFonts w:ascii="Book Antiqua" w:hAnsi="Book Antiqua"/>
      <w:i/>
      <w:dstrike w:val="0"/>
      <w:color w:val="auto"/>
      <w:sz w:val="20"/>
      <w:vertAlign w:val="baseline"/>
    </w:rPr>
  </w:style>
  <w:style w:type="paragraph" w:customStyle="1" w:styleId="HeaderBase">
    <w:name w:val="Header Base"/>
    <w:rsid w:val="0066238C"/>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66238C"/>
  </w:style>
  <w:style w:type="paragraph" w:customStyle="1" w:styleId="HeaderOdd">
    <w:name w:val="Header Odd"/>
    <w:basedOn w:val="HeaderBase"/>
    <w:rsid w:val="0066238C"/>
    <w:pPr>
      <w:jc w:val="right"/>
    </w:pPr>
  </w:style>
  <w:style w:type="character" w:customStyle="1" w:styleId="Heading1Char">
    <w:name w:val="Heading 1 Char"/>
    <w:basedOn w:val="DefaultParagraphFont"/>
    <w:link w:val="Heading1"/>
    <w:rsid w:val="0066238C"/>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66238C"/>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66238C"/>
    <w:rPr>
      <w:rFonts w:ascii="Arial Bold" w:eastAsia="Times New Roman" w:hAnsi="Arial Bold" w:cs="Times New Roman"/>
      <w:b/>
      <w:szCs w:val="20"/>
      <w:lang w:eastAsia="en-AU"/>
    </w:rPr>
  </w:style>
  <w:style w:type="paragraph" w:customStyle="1" w:styleId="Heading3noTOC">
    <w:name w:val="Heading 3 no TOC"/>
    <w:basedOn w:val="Heading3"/>
    <w:rsid w:val="0066238C"/>
    <w:pPr>
      <w:outlineLvl w:val="9"/>
    </w:pPr>
  </w:style>
  <w:style w:type="character" w:customStyle="1" w:styleId="Heading4Char">
    <w:name w:val="Heading 4 Char"/>
    <w:basedOn w:val="DefaultParagraphFont"/>
    <w:link w:val="Heading4"/>
    <w:rsid w:val="0066238C"/>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66238C"/>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66238C"/>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66238C"/>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66238C"/>
    <w:rPr>
      <w:rFonts w:ascii="Times New Roman" w:hAnsi="Times New Roman"/>
      <w:vanish/>
      <w:sz w:val="16"/>
    </w:rPr>
  </w:style>
  <w:style w:type="character" w:styleId="Hyperlink">
    <w:name w:val="Hyperlink"/>
    <w:basedOn w:val="DefaultParagraphFont"/>
    <w:uiPriority w:val="99"/>
    <w:unhideWhenUsed/>
    <w:rsid w:val="0066238C"/>
    <w:rPr>
      <w:color w:val="auto"/>
      <w:u w:val="single"/>
    </w:rPr>
  </w:style>
  <w:style w:type="paragraph" w:styleId="Index4">
    <w:name w:val="index 4"/>
    <w:basedOn w:val="Normal"/>
    <w:next w:val="Normal"/>
    <w:autoRedefine/>
    <w:semiHidden/>
    <w:rsid w:val="0066238C"/>
    <w:pPr>
      <w:ind w:left="800" w:hanging="200"/>
    </w:pPr>
  </w:style>
  <w:style w:type="paragraph" w:styleId="Index5">
    <w:name w:val="index 5"/>
    <w:basedOn w:val="Normal"/>
    <w:next w:val="Normal"/>
    <w:autoRedefine/>
    <w:semiHidden/>
    <w:rsid w:val="0066238C"/>
    <w:pPr>
      <w:ind w:left="1000" w:hanging="200"/>
    </w:pPr>
  </w:style>
  <w:style w:type="paragraph" w:styleId="Index6">
    <w:name w:val="index 6"/>
    <w:basedOn w:val="Normal"/>
    <w:next w:val="Normal"/>
    <w:autoRedefine/>
    <w:semiHidden/>
    <w:rsid w:val="0066238C"/>
    <w:pPr>
      <w:ind w:left="1200" w:hanging="200"/>
    </w:pPr>
  </w:style>
  <w:style w:type="paragraph" w:styleId="Index7">
    <w:name w:val="index 7"/>
    <w:basedOn w:val="Normal"/>
    <w:next w:val="Normal"/>
    <w:autoRedefine/>
    <w:semiHidden/>
    <w:rsid w:val="0066238C"/>
    <w:pPr>
      <w:ind w:left="1400" w:hanging="200"/>
    </w:pPr>
  </w:style>
  <w:style w:type="paragraph" w:styleId="Index8">
    <w:name w:val="index 8"/>
    <w:basedOn w:val="Normal"/>
    <w:next w:val="Normal"/>
    <w:autoRedefine/>
    <w:semiHidden/>
    <w:rsid w:val="0066238C"/>
    <w:pPr>
      <w:ind w:left="1600" w:hanging="200"/>
    </w:pPr>
  </w:style>
  <w:style w:type="paragraph" w:styleId="Index9">
    <w:name w:val="index 9"/>
    <w:basedOn w:val="Normal"/>
    <w:next w:val="Normal"/>
    <w:autoRedefine/>
    <w:semiHidden/>
    <w:rsid w:val="0066238C"/>
    <w:pPr>
      <w:ind w:left="1800" w:hanging="200"/>
    </w:pPr>
  </w:style>
  <w:style w:type="paragraph" w:styleId="MacroText">
    <w:name w:val="macro"/>
    <w:link w:val="MacroTextChar"/>
    <w:unhideWhenUsed/>
    <w:rsid w:val="0066238C"/>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66238C"/>
    <w:rPr>
      <w:rFonts w:ascii="Courier New" w:eastAsia="Times New Roman" w:hAnsi="Courier New" w:cs="Courier New"/>
      <w:sz w:val="20"/>
      <w:szCs w:val="20"/>
      <w:lang w:eastAsia="en-AU"/>
    </w:rPr>
  </w:style>
  <w:style w:type="paragraph" w:styleId="NormalIndent">
    <w:name w:val="Normal Indent"/>
    <w:basedOn w:val="Normal"/>
    <w:rsid w:val="0066238C"/>
    <w:pPr>
      <w:ind w:left="567"/>
    </w:pPr>
  </w:style>
  <w:style w:type="paragraph" w:customStyle="1" w:styleId="NoteTableHeading">
    <w:name w:val="Note Table Heading"/>
    <w:basedOn w:val="HeadingBase"/>
    <w:next w:val="Normal"/>
    <w:rsid w:val="0066238C"/>
    <w:pPr>
      <w:spacing w:before="240"/>
    </w:pPr>
    <w:rPr>
      <w:b/>
      <w:sz w:val="20"/>
    </w:rPr>
  </w:style>
  <w:style w:type="paragraph" w:customStyle="1" w:styleId="OverviewParagraph">
    <w:name w:val="Overview Paragraph"/>
    <w:basedOn w:val="Normal"/>
    <w:rsid w:val="0066238C"/>
    <w:pPr>
      <w:spacing w:before="120" w:after="120" w:line="240" w:lineRule="auto"/>
    </w:pPr>
  </w:style>
  <w:style w:type="character" w:styleId="PageNumber">
    <w:name w:val="page number"/>
    <w:basedOn w:val="DefaultParagraphFont"/>
    <w:rsid w:val="0066238C"/>
    <w:rPr>
      <w:rFonts w:ascii="Arial" w:hAnsi="Arial" w:cs="Arial"/>
    </w:rPr>
  </w:style>
  <w:style w:type="paragraph" w:customStyle="1" w:styleId="SingleParagraph">
    <w:name w:val="Single Paragraph"/>
    <w:basedOn w:val="Normal"/>
    <w:rsid w:val="0066238C"/>
    <w:pPr>
      <w:spacing w:before="0" w:after="0"/>
    </w:pPr>
  </w:style>
  <w:style w:type="paragraph" w:customStyle="1" w:styleId="Source">
    <w:name w:val="Source"/>
    <w:basedOn w:val="Normal"/>
    <w:rsid w:val="0066238C"/>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66238C"/>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66238C"/>
    <w:pPr>
      <w:jc w:val="center"/>
    </w:pPr>
  </w:style>
  <w:style w:type="paragraph" w:customStyle="1" w:styleId="TableColumnHeadingLeft">
    <w:name w:val="Table Column Heading Left"/>
    <w:basedOn w:val="TableColumnHeadingBase"/>
    <w:next w:val="Normal"/>
    <w:rsid w:val="0066238C"/>
  </w:style>
  <w:style w:type="paragraph" w:customStyle="1" w:styleId="TableColumnHeadingRight">
    <w:name w:val="Table Column Heading Right"/>
    <w:basedOn w:val="TableColumnHeadingBase"/>
    <w:next w:val="Normal"/>
    <w:rsid w:val="0066238C"/>
    <w:pPr>
      <w:jc w:val="right"/>
    </w:pPr>
  </w:style>
  <w:style w:type="paragraph" w:customStyle="1" w:styleId="TableGraphic">
    <w:name w:val="Table Graphic"/>
    <w:basedOn w:val="Normal"/>
    <w:next w:val="Normal"/>
    <w:rsid w:val="0066238C"/>
    <w:pPr>
      <w:spacing w:after="0" w:line="240" w:lineRule="auto"/>
      <w:ind w:right="-113"/>
    </w:pPr>
  </w:style>
  <w:style w:type="table" w:styleId="TableGrid">
    <w:name w:val="Table Grid"/>
    <w:basedOn w:val="TableNormal"/>
    <w:rsid w:val="0066238C"/>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qFormat/>
    <w:rsid w:val="0066238C"/>
    <w:pPr>
      <w:spacing w:before="120" w:after="20"/>
    </w:pPr>
    <w:rPr>
      <w:b/>
      <w:sz w:val="20"/>
    </w:rPr>
  </w:style>
  <w:style w:type="paragraph" w:customStyle="1" w:styleId="TableHeadingcontinued">
    <w:name w:val="Table Heading continued"/>
    <w:basedOn w:val="HeadingBase"/>
    <w:next w:val="TableGraphic"/>
    <w:rsid w:val="0066238C"/>
    <w:pPr>
      <w:spacing w:before="120" w:after="20"/>
    </w:pPr>
    <w:rPr>
      <w:rFonts w:ascii="Arial Bold" w:hAnsi="Arial Bold"/>
      <w:b/>
      <w:sz w:val="20"/>
    </w:rPr>
  </w:style>
  <w:style w:type="paragraph" w:styleId="TableofFigures">
    <w:name w:val="table of figures"/>
    <w:basedOn w:val="Normal"/>
    <w:next w:val="Normal"/>
    <w:rsid w:val="0066238C"/>
  </w:style>
  <w:style w:type="paragraph" w:customStyle="1" w:styleId="TableTextBase">
    <w:name w:val="Table Text Base"/>
    <w:basedOn w:val="Normal"/>
    <w:rsid w:val="0066238C"/>
    <w:pPr>
      <w:spacing w:before="20" w:after="20" w:line="240" w:lineRule="auto"/>
    </w:pPr>
    <w:rPr>
      <w:rFonts w:ascii="Arial" w:hAnsi="Arial"/>
      <w:sz w:val="16"/>
    </w:rPr>
  </w:style>
  <w:style w:type="paragraph" w:customStyle="1" w:styleId="TableTextCentred">
    <w:name w:val="Table Text Centred"/>
    <w:basedOn w:val="TableTextBase"/>
    <w:rsid w:val="0066238C"/>
    <w:pPr>
      <w:jc w:val="center"/>
    </w:pPr>
  </w:style>
  <w:style w:type="paragraph" w:customStyle="1" w:styleId="TableTextIndented">
    <w:name w:val="Table Text Indented"/>
    <w:basedOn w:val="TableTextBase"/>
    <w:rsid w:val="0066238C"/>
    <w:pPr>
      <w:ind w:left="284"/>
    </w:pPr>
  </w:style>
  <w:style w:type="paragraph" w:customStyle="1" w:styleId="TableTextLeft">
    <w:name w:val="Table Text Left"/>
    <w:basedOn w:val="TableTextBase"/>
    <w:rsid w:val="0066238C"/>
  </w:style>
  <w:style w:type="paragraph" w:customStyle="1" w:styleId="TableTextRight">
    <w:name w:val="Table Text Right"/>
    <w:basedOn w:val="TableTextBase"/>
    <w:rsid w:val="0066238C"/>
    <w:pPr>
      <w:jc w:val="right"/>
    </w:pPr>
  </w:style>
  <w:style w:type="paragraph" w:styleId="TOAHeading">
    <w:name w:val="toa heading"/>
    <w:basedOn w:val="Normal"/>
    <w:next w:val="Normal"/>
    <w:rsid w:val="0066238C"/>
    <w:pPr>
      <w:spacing w:before="120"/>
    </w:pPr>
    <w:rPr>
      <w:rFonts w:ascii="Arial" w:hAnsi="Arial" w:cs="Arial"/>
      <w:b/>
      <w:bCs/>
      <w:sz w:val="24"/>
      <w:szCs w:val="24"/>
    </w:rPr>
  </w:style>
  <w:style w:type="paragraph" w:styleId="TOC1">
    <w:name w:val="toc 1"/>
    <w:basedOn w:val="HeaderBase"/>
    <w:next w:val="Normal"/>
    <w:uiPriority w:val="39"/>
    <w:rsid w:val="00A040E5"/>
    <w:pPr>
      <w:keepNext/>
      <w:tabs>
        <w:tab w:val="right" w:leader="dot" w:pos="7700"/>
      </w:tabs>
      <w:spacing w:before="200"/>
      <w:ind w:right="851"/>
    </w:pPr>
    <w:rPr>
      <w:rFonts w:ascii="Arial Bold" w:hAnsi="Arial Bold"/>
      <w:b/>
      <w:color w:val="auto"/>
      <w:sz w:val="20"/>
    </w:rPr>
  </w:style>
  <w:style w:type="paragraph" w:styleId="TOC2">
    <w:name w:val="toc 2"/>
    <w:basedOn w:val="HeadingBase"/>
    <w:next w:val="Normal"/>
    <w:uiPriority w:val="39"/>
    <w:qFormat/>
    <w:rsid w:val="0066238C"/>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66238C"/>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66238C"/>
    <w:pPr>
      <w:tabs>
        <w:tab w:val="right" w:leader="dot" w:pos="7700"/>
      </w:tabs>
      <w:spacing w:before="40"/>
      <w:ind w:right="851"/>
    </w:pPr>
    <w:rPr>
      <w:sz w:val="20"/>
    </w:rPr>
  </w:style>
  <w:style w:type="paragraph" w:styleId="TOC5">
    <w:name w:val="toc 5"/>
    <w:basedOn w:val="Normal"/>
    <w:next w:val="Normal"/>
    <w:autoRedefine/>
    <w:uiPriority w:val="2"/>
    <w:semiHidden/>
    <w:rsid w:val="0066238C"/>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66238C"/>
    <w:pPr>
      <w:tabs>
        <w:tab w:val="left" w:pos="851"/>
      </w:tabs>
      <w:ind w:left="851" w:hanging="851"/>
    </w:pPr>
    <w:rPr>
      <w:color w:val="000000"/>
    </w:rPr>
  </w:style>
  <w:style w:type="paragraph" w:styleId="TOC7">
    <w:name w:val="toc 7"/>
    <w:basedOn w:val="Normal"/>
    <w:next w:val="Normal"/>
    <w:autoRedefine/>
    <w:uiPriority w:val="2"/>
    <w:semiHidden/>
    <w:rsid w:val="0066238C"/>
    <w:pPr>
      <w:ind w:left="1200"/>
    </w:pPr>
  </w:style>
  <w:style w:type="paragraph" w:styleId="TOC8">
    <w:name w:val="toc 8"/>
    <w:basedOn w:val="Normal"/>
    <w:next w:val="Normal"/>
    <w:autoRedefine/>
    <w:uiPriority w:val="2"/>
    <w:semiHidden/>
    <w:rsid w:val="0066238C"/>
    <w:pPr>
      <w:ind w:left="1400"/>
    </w:pPr>
  </w:style>
  <w:style w:type="paragraph" w:styleId="TOC9">
    <w:name w:val="toc 9"/>
    <w:basedOn w:val="Normal"/>
    <w:next w:val="Normal"/>
    <w:autoRedefine/>
    <w:uiPriority w:val="2"/>
    <w:semiHidden/>
    <w:rsid w:val="0066238C"/>
    <w:pPr>
      <w:ind w:left="1600"/>
    </w:pPr>
  </w:style>
  <w:style w:type="paragraph" w:customStyle="1" w:styleId="TPHeading1">
    <w:name w:val="TP Heading 1"/>
    <w:basedOn w:val="HeadingBase"/>
    <w:semiHidden/>
    <w:rsid w:val="0066238C"/>
    <w:pPr>
      <w:spacing w:before="60" w:after="60"/>
      <w:ind w:left="1134"/>
    </w:pPr>
    <w:rPr>
      <w:rFonts w:ascii="Arial Bold" w:hAnsi="Arial Bold"/>
      <w:b/>
      <w:caps/>
      <w:spacing w:val="-10"/>
      <w:sz w:val="28"/>
    </w:rPr>
  </w:style>
  <w:style w:type="paragraph" w:customStyle="1" w:styleId="TPHeading2">
    <w:name w:val="TP Heading 2"/>
    <w:basedOn w:val="HeadingBase"/>
    <w:semiHidden/>
    <w:rsid w:val="0066238C"/>
    <w:pPr>
      <w:ind w:left="1134"/>
    </w:pPr>
    <w:rPr>
      <w:caps/>
      <w:spacing w:val="-10"/>
      <w:sz w:val="28"/>
    </w:rPr>
  </w:style>
  <w:style w:type="paragraph" w:customStyle="1" w:styleId="TPHeading3">
    <w:name w:val="TP Heading 3"/>
    <w:basedOn w:val="HeadingBase"/>
    <w:semiHidden/>
    <w:rsid w:val="0066238C"/>
    <w:pPr>
      <w:ind w:left="1134"/>
    </w:pPr>
    <w:rPr>
      <w:caps/>
      <w:spacing w:val="-10"/>
    </w:rPr>
  </w:style>
  <w:style w:type="paragraph" w:customStyle="1" w:styleId="TPHeading3bold">
    <w:name w:val="TP Heading 3 bold"/>
    <w:basedOn w:val="TPHeading3"/>
    <w:semiHidden/>
    <w:rsid w:val="0066238C"/>
    <w:rPr>
      <w:rFonts w:cs="Arial"/>
      <w:b/>
      <w:sz w:val="22"/>
      <w:szCs w:val="22"/>
    </w:rPr>
  </w:style>
  <w:style w:type="paragraph" w:customStyle="1" w:styleId="TPHEADING3boldspace">
    <w:name w:val="TP HEADING 3 bold space"/>
    <w:basedOn w:val="TPHeading3bold"/>
    <w:semiHidden/>
    <w:rsid w:val="0066238C"/>
    <w:pPr>
      <w:spacing w:after="120"/>
    </w:pPr>
  </w:style>
  <w:style w:type="paragraph" w:customStyle="1" w:styleId="TPHEADING3space">
    <w:name w:val="TP HEADING 3 space"/>
    <w:basedOn w:val="TPHeading3"/>
    <w:semiHidden/>
    <w:rsid w:val="0066238C"/>
    <w:pPr>
      <w:spacing w:before="120" w:after="120"/>
    </w:pPr>
    <w:rPr>
      <w:rFonts w:cs="Arial"/>
      <w:sz w:val="22"/>
      <w:szCs w:val="22"/>
    </w:rPr>
  </w:style>
  <w:style w:type="paragraph" w:customStyle="1" w:styleId="TPHeading4">
    <w:name w:val="TP Heading 4"/>
    <w:basedOn w:val="TPHeading3"/>
    <w:semiHidden/>
    <w:rsid w:val="0066238C"/>
    <w:rPr>
      <w:sz w:val="20"/>
    </w:rPr>
  </w:style>
  <w:style w:type="paragraph" w:customStyle="1" w:styleId="TPHEADING4space">
    <w:name w:val="TP HEADING 4 space"/>
    <w:basedOn w:val="TPHEADING3space"/>
    <w:semiHidden/>
    <w:rsid w:val="0066238C"/>
  </w:style>
  <w:style w:type="paragraph" w:customStyle="1" w:styleId="ChartLine">
    <w:name w:val="Chart Line"/>
    <w:basedOn w:val="Normal"/>
    <w:autoRedefine/>
    <w:qFormat/>
    <w:rsid w:val="0066238C"/>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66238C"/>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66238C"/>
    <w:rPr>
      <w:sz w:val="16"/>
    </w:rPr>
  </w:style>
  <w:style w:type="paragraph" w:customStyle="1" w:styleId="Box-continuedon">
    <w:name w:val="Box - continued on"/>
    <w:basedOn w:val="Normal"/>
    <w:qFormat/>
    <w:rsid w:val="0066238C"/>
    <w:pPr>
      <w:jc w:val="right"/>
    </w:pPr>
    <w:rPr>
      <w:rFonts w:asciiTheme="majorHAnsi" w:hAnsiTheme="majorHAnsi" w:cstheme="majorHAnsi"/>
      <w:i/>
      <w:iCs/>
      <w:sz w:val="18"/>
      <w:szCs w:val="24"/>
    </w:rPr>
  </w:style>
  <w:style w:type="paragraph" w:customStyle="1" w:styleId="BoxHeading2">
    <w:name w:val="Box Heading 2"/>
    <w:basedOn w:val="BoxHeading"/>
    <w:autoRedefine/>
    <w:rsid w:val="0066238C"/>
    <w:pPr>
      <w:spacing w:after="0"/>
    </w:pPr>
    <w:rPr>
      <w:b w:val="0"/>
      <w:bCs/>
      <w:szCs w:val="14"/>
    </w:rPr>
  </w:style>
  <w:style w:type="character" w:customStyle="1" w:styleId="Heading9Char">
    <w:name w:val="Heading 9 Char"/>
    <w:basedOn w:val="DefaultParagraphFont"/>
    <w:link w:val="Heading9"/>
    <w:uiPriority w:val="9"/>
    <w:rsid w:val="0066238C"/>
    <w:rPr>
      <w:rFonts w:ascii="Cambria" w:eastAsia="Times New Roman" w:hAnsi="Cambria" w:cs="Times New Roman"/>
      <w:lang w:eastAsia="en-AU"/>
    </w:rPr>
  </w:style>
  <w:style w:type="paragraph" w:customStyle="1" w:styleId="GhostLine">
    <w:name w:val="Ghost Line"/>
    <w:basedOn w:val="NoSpacing"/>
    <w:qFormat/>
    <w:rsid w:val="0066238C"/>
    <w:pPr>
      <w:jc w:val="both"/>
    </w:pPr>
    <w:rPr>
      <w:rFonts w:ascii="Book Antiqua" w:hAnsi="Book Antiqua"/>
      <w:sz w:val="2"/>
    </w:rPr>
  </w:style>
  <w:style w:type="paragraph" w:styleId="NoSpacing">
    <w:name w:val="No Spacing"/>
    <w:uiPriority w:val="1"/>
    <w:qFormat/>
    <w:rsid w:val="0066238C"/>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66238C"/>
    <w:rPr>
      <w:rFonts w:ascii="Book Antiqua" w:eastAsia="Times New Roman" w:hAnsi="Book Antiqua" w:cs="Times New Roman"/>
      <w:sz w:val="19"/>
      <w:szCs w:val="20"/>
      <w:lang w:eastAsia="en-AU"/>
    </w:rPr>
  </w:style>
  <w:style w:type="character" w:customStyle="1" w:styleId="A5">
    <w:name w:val="A5"/>
    <w:uiPriority w:val="99"/>
    <w:rsid w:val="0066238C"/>
    <w:rPr>
      <w:rFonts w:cs="Swiss 721 BT"/>
      <w:color w:val="000000"/>
      <w:sz w:val="20"/>
      <w:szCs w:val="20"/>
    </w:rPr>
  </w:style>
  <w:style w:type="paragraph" w:customStyle="1" w:styleId="CreativeCommonsNormal">
    <w:name w:val="Creative Commons Normal"/>
    <w:basedOn w:val="Normal"/>
    <w:qFormat/>
    <w:rsid w:val="0066238C"/>
    <w:pPr>
      <w:spacing w:before="120" w:after="120"/>
    </w:pPr>
  </w:style>
  <w:style w:type="paragraph" w:customStyle="1" w:styleId="CreativeCommonsH1">
    <w:name w:val="Creative Commons H1"/>
    <w:basedOn w:val="Normal"/>
    <w:qFormat/>
    <w:rsid w:val="0066238C"/>
    <w:pPr>
      <w:spacing w:before="180" w:after="120"/>
    </w:pPr>
    <w:rPr>
      <w:b/>
      <w:bCs/>
    </w:rPr>
  </w:style>
  <w:style w:type="paragraph" w:customStyle="1" w:styleId="CreativeCommonsIndented">
    <w:name w:val="Creative Commons Indented"/>
    <w:basedOn w:val="CreativeCommonsNormal"/>
    <w:qFormat/>
    <w:rsid w:val="0066238C"/>
    <w:pPr>
      <w:ind w:left="567"/>
    </w:pPr>
  </w:style>
  <w:style w:type="paragraph" w:customStyle="1" w:styleId="OutlineNumbered1">
    <w:name w:val="Outline Numbered 1"/>
    <w:basedOn w:val="Normal"/>
    <w:link w:val="OutlineNumbered1Char"/>
    <w:qFormat/>
    <w:rsid w:val="0066238C"/>
    <w:pPr>
      <w:numPr>
        <w:numId w:val="7"/>
      </w:numPr>
    </w:pPr>
  </w:style>
  <w:style w:type="character" w:customStyle="1" w:styleId="OutlineNumbered1Char">
    <w:name w:val="Outline Numbered 1 Char"/>
    <w:basedOn w:val="DefaultParagraphFont"/>
    <w:link w:val="OutlineNumbered1"/>
    <w:rsid w:val="0066238C"/>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66238C"/>
    <w:pPr>
      <w:numPr>
        <w:ilvl w:val="1"/>
        <w:numId w:val="6"/>
      </w:numPr>
    </w:pPr>
  </w:style>
  <w:style w:type="paragraph" w:customStyle="1" w:styleId="OutlineNumbered3">
    <w:name w:val="Outline Numbered 3"/>
    <w:basedOn w:val="Normal"/>
    <w:qFormat/>
    <w:rsid w:val="0066238C"/>
    <w:pPr>
      <w:numPr>
        <w:ilvl w:val="2"/>
        <w:numId w:val="6"/>
      </w:numPr>
    </w:pPr>
  </w:style>
  <w:style w:type="character" w:customStyle="1" w:styleId="ChartandTableFootnoteAlphaChar">
    <w:name w:val="Chart and Table Footnote Alpha Char"/>
    <w:link w:val="ChartandTableFootnoteAlpha"/>
    <w:rsid w:val="0023618C"/>
    <w:rPr>
      <w:rFonts w:ascii="Arial" w:eastAsia="Times New Roman" w:hAnsi="Arial" w:cs="Times New Roman"/>
      <w:color w:val="000000"/>
      <w:sz w:val="16"/>
      <w:szCs w:val="20"/>
      <w:lang w:eastAsia="en-AU"/>
    </w:rPr>
  </w:style>
  <w:style w:type="paragraph" w:customStyle="1" w:styleId="TableColumnHeading">
    <w:name w:val="Table Column Heading"/>
    <w:basedOn w:val="Normal"/>
    <w:rsid w:val="0023618C"/>
    <w:pPr>
      <w:spacing w:before="40" w:after="40" w:line="240" w:lineRule="auto"/>
    </w:pPr>
    <w:rPr>
      <w:rFonts w:ascii="Arial" w:hAnsi="Arial"/>
      <w:b/>
      <w:color w:val="000000"/>
      <w:sz w:val="16"/>
    </w:rPr>
  </w:style>
  <w:style w:type="character" w:customStyle="1" w:styleId="TableHeadingChar">
    <w:name w:val="Table Heading Char"/>
    <w:link w:val="TableHeading"/>
    <w:rsid w:val="0023618C"/>
    <w:rPr>
      <w:rFonts w:ascii="Arial" w:eastAsia="Times New Roman" w:hAnsi="Arial" w:cs="Times New Roman"/>
      <w:b/>
      <w:sz w:val="20"/>
      <w:szCs w:val="20"/>
      <w:lang w:eastAsia="en-AU"/>
    </w:rPr>
  </w:style>
  <w:style w:type="paragraph" w:styleId="Revision">
    <w:name w:val="Revision"/>
    <w:hidden/>
    <w:uiPriority w:val="99"/>
    <w:semiHidden/>
    <w:rsid w:val="0023618C"/>
    <w:pPr>
      <w:spacing w:after="0" w:line="240" w:lineRule="auto"/>
    </w:pPr>
    <w:rPr>
      <w:rFonts w:ascii="Book Antiqua" w:eastAsia="Times New Roman" w:hAnsi="Book Antiqua" w:cs="Times New Roman"/>
      <w:sz w:val="20"/>
      <w:szCs w:val="24"/>
    </w:rPr>
  </w:style>
  <w:style w:type="character" w:styleId="UnresolvedMention">
    <w:name w:val="Unresolved Mention"/>
    <w:basedOn w:val="DefaultParagraphFont"/>
    <w:uiPriority w:val="99"/>
    <w:semiHidden/>
    <w:unhideWhenUsed/>
    <w:rsid w:val="0023618C"/>
    <w:rPr>
      <w:color w:val="605E5C"/>
      <w:shd w:val="clear" w:color="auto" w:fill="E1DFDD"/>
    </w:rPr>
  </w:style>
  <w:style w:type="character" w:styleId="FollowedHyperlink">
    <w:name w:val="FollowedHyperlink"/>
    <w:basedOn w:val="DefaultParagraphFont"/>
    <w:uiPriority w:val="99"/>
    <w:semiHidden/>
    <w:unhideWhenUsed/>
    <w:rsid w:val="0023618C"/>
    <w:rPr>
      <w:color w:val="E61E26" w:themeColor="followedHyperlink"/>
      <w:u w:val="single"/>
    </w:rPr>
  </w:style>
  <w:style w:type="character" w:styleId="PlaceholderText">
    <w:name w:val="Placeholder Text"/>
    <w:basedOn w:val="DefaultParagraphFont"/>
    <w:uiPriority w:val="99"/>
    <w:semiHidden/>
    <w:rsid w:val="0023618C"/>
    <w:rPr>
      <w:color w:val="808080"/>
    </w:rPr>
  </w:style>
  <w:style w:type="paragraph" w:customStyle="1" w:styleId="TableTextLeft-Indent">
    <w:name w:val="Table Text Left - Indent"/>
    <w:basedOn w:val="TableTextLeft"/>
    <w:rsid w:val="0023618C"/>
    <w:pPr>
      <w:ind w:left="317" w:hanging="142"/>
    </w:pPr>
    <w:rPr>
      <w:rFonts w:eastAsia="Calibri"/>
    </w:rPr>
  </w:style>
  <w:style w:type="character" w:styleId="Emphasis">
    <w:name w:val="Emphasis"/>
    <w:basedOn w:val="DefaultParagraphFont"/>
    <w:uiPriority w:val="20"/>
    <w:qFormat/>
    <w:rsid w:val="0066238C"/>
    <w:rPr>
      <w:i/>
      <w:iCs/>
    </w:rPr>
  </w:style>
  <w:style w:type="character" w:customStyle="1" w:styleId="null">
    <w:name w:val="null"/>
    <w:basedOn w:val="DefaultParagraphFont"/>
    <w:rsid w:val="00BB3914"/>
  </w:style>
  <w:style w:type="character" w:customStyle="1" w:styleId="ui-provider">
    <w:name w:val="ui-provider"/>
    <w:basedOn w:val="DefaultParagraphFont"/>
    <w:rsid w:val="00BB3914"/>
  </w:style>
  <w:style w:type="character" w:styleId="Mention">
    <w:name w:val="Mention"/>
    <w:basedOn w:val="DefaultParagraphFont"/>
    <w:uiPriority w:val="99"/>
    <w:unhideWhenUsed/>
    <w:rsid w:val="00B15DE3"/>
    <w:rPr>
      <w:color w:val="2B579A"/>
      <w:shd w:val="clear" w:color="auto" w:fill="E1DFDD"/>
    </w:rPr>
  </w:style>
  <w:style w:type="paragraph" w:styleId="NormalWeb">
    <w:name w:val="Normal (Web)"/>
    <w:basedOn w:val="Normal"/>
    <w:semiHidden/>
    <w:unhideWhenUsed/>
    <w:rsid w:val="000D290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5569">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1024331605">
      <w:bodyDiv w:val="1"/>
      <w:marLeft w:val="0"/>
      <w:marRight w:val="0"/>
      <w:marTop w:val="0"/>
      <w:marBottom w:val="0"/>
      <w:divBdr>
        <w:top w:val="none" w:sz="0" w:space="0" w:color="auto"/>
        <w:left w:val="none" w:sz="0" w:space="0" w:color="auto"/>
        <w:bottom w:val="none" w:sz="0" w:space="0" w:color="auto"/>
        <w:right w:val="none" w:sz="0" w:space="0" w:color="auto"/>
      </w:divBdr>
    </w:div>
    <w:div w:id="1185635143">
      <w:bodyDiv w:val="1"/>
      <w:marLeft w:val="0"/>
      <w:marRight w:val="0"/>
      <w:marTop w:val="0"/>
      <w:marBottom w:val="0"/>
      <w:divBdr>
        <w:top w:val="none" w:sz="0" w:space="0" w:color="auto"/>
        <w:left w:val="none" w:sz="0" w:space="0" w:color="auto"/>
        <w:bottom w:val="none" w:sz="0" w:space="0" w:color="auto"/>
        <w:right w:val="none" w:sz="0" w:space="0" w:color="auto"/>
      </w:divBdr>
    </w:div>
    <w:div w:id="1391727690">
      <w:bodyDiv w:val="1"/>
      <w:marLeft w:val="0"/>
      <w:marRight w:val="0"/>
      <w:marTop w:val="0"/>
      <w:marBottom w:val="0"/>
      <w:divBdr>
        <w:top w:val="none" w:sz="0" w:space="0" w:color="auto"/>
        <w:left w:val="none" w:sz="0" w:space="0" w:color="auto"/>
        <w:bottom w:val="none" w:sz="0" w:space="0" w:color="auto"/>
        <w:right w:val="none" w:sz="0" w:space="0" w:color="auto"/>
      </w:divBdr>
    </w:div>
    <w:div w:id="1760984332">
      <w:bodyDiv w:val="1"/>
      <w:marLeft w:val="0"/>
      <w:marRight w:val="0"/>
      <w:marTop w:val="0"/>
      <w:marBottom w:val="0"/>
      <w:divBdr>
        <w:top w:val="none" w:sz="0" w:space="0" w:color="auto"/>
        <w:left w:val="none" w:sz="0" w:space="0" w:color="auto"/>
        <w:bottom w:val="none" w:sz="0" w:space="0" w:color="auto"/>
        <w:right w:val="none" w:sz="0" w:space="0" w:color="auto"/>
      </w:divBdr>
    </w:div>
    <w:div w:id="2025279761">
      <w:bodyDiv w:val="1"/>
      <w:marLeft w:val="0"/>
      <w:marRight w:val="0"/>
      <w:marTop w:val="0"/>
      <w:marBottom w:val="0"/>
      <w:divBdr>
        <w:top w:val="none" w:sz="0" w:space="0" w:color="auto"/>
        <w:left w:val="none" w:sz="0" w:space="0" w:color="auto"/>
        <w:bottom w:val="none" w:sz="0" w:space="0" w:color="auto"/>
        <w:right w:val="none" w:sz="0" w:space="0" w:color="auto"/>
      </w:divBdr>
    </w:div>
    <w:div w:id="2099204169">
      <w:bodyDiv w:val="1"/>
      <w:marLeft w:val="0"/>
      <w:marRight w:val="0"/>
      <w:marTop w:val="0"/>
      <w:marBottom w:val="0"/>
      <w:divBdr>
        <w:top w:val="none" w:sz="0" w:space="0" w:color="auto"/>
        <w:left w:val="none" w:sz="0" w:space="0" w:color="auto"/>
        <w:bottom w:val="none" w:sz="0" w:space="0" w:color="auto"/>
        <w:right w:val="none" w:sz="0" w:space="0" w:color="auto"/>
      </w:divBdr>
    </w:div>
    <w:div w:id="214165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26991</Words>
  <Characters>153855</Characters>
  <Application>Microsoft Office Word</Application>
  <DocSecurity>0</DocSecurity>
  <Lines>1282</Lines>
  <Paragraphs>360</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180486</CharactersWithSpaces>
  <SharedDoc>false</SharedDoc>
  <HLinks>
    <vt:vector size="420" baseType="variant">
      <vt:variant>
        <vt:i4>1966131</vt:i4>
      </vt:variant>
      <vt:variant>
        <vt:i4>416</vt:i4>
      </vt:variant>
      <vt:variant>
        <vt:i4>0</vt:i4>
      </vt:variant>
      <vt:variant>
        <vt:i4>5</vt:i4>
      </vt:variant>
      <vt:variant>
        <vt:lpwstr/>
      </vt:variant>
      <vt:variant>
        <vt:lpwstr>_Toc193536237</vt:lpwstr>
      </vt:variant>
      <vt:variant>
        <vt:i4>1966131</vt:i4>
      </vt:variant>
      <vt:variant>
        <vt:i4>410</vt:i4>
      </vt:variant>
      <vt:variant>
        <vt:i4>0</vt:i4>
      </vt:variant>
      <vt:variant>
        <vt:i4>5</vt:i4>
      </vt:variant>
      <vt:variant>
        <vt:lpwstr/>
      </vt:variant>
      <vt:variant>
        <vt:lpwstr>_Toc193536236</vt:lpwstr>
      </vt:variant>
      <vt:variant>
        <vt:i4>1966131</vt:i4>
      </vt:variant>
      <vt:variant>
        <vt:i4>404</vt:i4>
      </vt:variant>
      <vt:variant>
        <vt:i4>0</vt:i4>
      </vt:variant>
      <vt:variant>
        <vt:i4>5</vt:i4>
      </vt:variant>
      <vt:variant>
        <vt:lpwstr/>
      </vt:variant>
      <vt:variant>
        <vt:lpwstr>_Toc193536235</vt:lpwstr>
      </vt:variant>
      <vt:variant>
        <vt:i4>1966131</vt:i4>
      </vt:variant>
      <vt:variant>
        <vt:i4>398</vt:i4>
      </vt:variant>
      <vt:variant>
        <vt:i4>0</vt:i4>
      </vt:variant>
      <vt:variant>
        <vt:i4>5</vt:i4>
      </vt:variant>
      <vt:variant>
        <vt:lpwstr/>
      </vt:variant>
      <vt:variant>
        <vt:lpwstr>_Toc193536234</vt:lpwstr>
      </vt:variant>
      <vt:variant>
        <vt:i4>1966131</vt:i4>
      </vt:variant>
      <vt:variant>
        <vt:i4>392</vt:i4>
      </vt:variant>
      <vt:variant>
        <vt:i4>0</vt:i4>
      </vt:variant>
      <vt:variant>
        <vt:i4>5</vt:i4>
      </vt:variant>
      <vt:variant>
        <vt:lpwstr/>
      </vt:variant>
      <vt:variant>
        <vt:lpwstr>_Toc193536233</vt:lpwstr>
      </vt:variant>
      <vt:variant>
        <vt:i4>1966131</vt:i4>
      </vt:variant>
      <vt:variant>
        <vt:i4>386</vt:i4>
      </vt:variant>
      <vt:variant>
        <vt:i4>0</vt:i4>
      </vt:variant>
      <vt:variant>
        <vt:i4>5</vt:i4>
      </vt:variant>
      <vt:variant>
        <vt:lpwstr/>
      </vt:variant>
      <vt:variant>
        <vt:lpwstr>_Toc193536232</vt:lpwstr>
      </vt:variant>
      <vt:variant>
        <vt:i4>1966131</vt:i4>
      </vt:variant>
      <vt:variant>
        <vt:i4>380</vt:i4>
      </vt:variant>
      <vt:variant>
        <vt:i4>0</vt:i4>
      </vt:variant>
      <vt:variant>
        <vt:i4>5</vt:i4>
      </vt:variant>
      <vt:variant>
        <vt:lpwstr/>
      </vt:variant>
      <vt:variant>
        <vt:lpwstr>_Toc193536231</vt:lpwstr>
      </vt:variant>
      <vt:variant>
        <vt:i4>1966131</vt:i4>
      </vt:variant>
      <vt:variant>
        <vt:i4>374</vt:i4>
      </vt:variant>
      <vt:variant>
        <vt:i4>0</vt:i4>
      </vt:variant>
      <vt:variant>
        <vt:i4>5</vt:i4>
      </vt:variant>
      <vt:variant>
        <vt:lpwstr/>
      </vt:variant>
      <vt:variant>
        <vt:lpwstr>_Toc193536230</vt:lpwstr>
      </vt:variant>
      <vt:variant>
        <vt:i4>2031667</vt:i4>
      </vt:variant>
      <vt:variant>
        <vt:i4>368</vt:i4>
      </vt:variant>
      <vt:variant>
        <vt:i4>0</vt:i4>
      </vt:variant>
      <vt:variant>
        <vt:i4>5</vt:i4>
      </vt:variant>
      <vt:variant>
        <vt:lpwstr/>
      </vt:variant>
      <vt:variant>
        <vt:lpwstr>_Toc193536229</vt:lpwstr>
      </vt:variant>
      <vt:variant>
        <vt:i4>2031667</vt:i4>
      </vt:variant>
      <vt:variant>
        <vt:i4>362</vt:i4>
      </vt:variant>
      <vt:variant>
        <vt:i4>0</vt:i4>
      </vt:variant>
      <vt:variant>
        <vt:i4>5</vt:i4>
      </vt:variant>
      <vt:variant>
        <vt:lpwstr/>
      </vt:variant>
      <vt:variant>
        <vt:lpwstr>_Toc193536228</vt:lpwstr>
      </vt:variant>
      <vt:variant>
        <vt:i4>2031667</vt:i4>
      </vt:variant>
      <vt:variant>
        <vt:i4>356</vt:i4>
      </vt:variant>
      <vt:variant>
        <vt:i4>0</vt:i4>
      </vt:variant>
      <vt:variant>
        <vt:i4>5</vt:i4>
      </vt:variant>
      <vt:variant>
        <vt:lpwstr/>
      </vt:variant>
      <vt:variant>
        <vt:lpwstr>_Toc193536227</vt:lpwstr>
      </vt:variant>
      <vt:variant>
        <vt:i4>2031667</vt:i4>
      </vt:variant>
      <vt:variant>
        <vt:i4>350</vt:i4>
      </vt:variant>
      <vt:variant>
        <vt:i4>0</vt:i4>
      </vt:variant>
      <vt:variant>
        <vt:i4>5</vt:i4>
      </vt:variant>
      <vt:variant>
        <vt:lpwstr/>
      </vt:variant>
      <vt:variant>
        <vt:lpwstr>_Toc193536226</vt:lpwstr>
      </vt:variant>
      <vt:variant>
        <vt:i4>2031667</vt:i4>
      </vt:variant>
      <vt:variant>
        <vt:i4>344</vt:i4>
      </vt:variant>
      <vt:variant>
        <vt:i4>0</vt:i4>
      </vt:variant>
      <vt:variant>
        <vt:i4>5</vt:i4>
      </vt:variant>
      <vt:variant>
        <vt:lpwstr/>
      </vt:variant>
      <vt:variant>
        <vt:lpwstr>_Toc193536225</vt:lpwstr>
      </vt:variant>
      <vt:variant>
        <vt:i4>2031667</vt:i4>
      </vt:variant>
      <vt:variant>
        <vt:i4>338</vt:i4>
      </vt:variant>
      <vt:variant>
        <vt:i4>0</vt:i4>
      </vt:variant>
      <vt:variant>
        <vt:i4>5</vt:i4>
      </vt:variant>
      <vt:variant>
        <vt:lpwstr/>
      </vt:variant>
      <vt:variant>
        <vt:lpwstr>_Toc193536224</vt:lpwstr>
      </vt:variant>
      <vt:variant>
        <vt:i4>2031667</vt:i4>
      </vt:variant>
      <vt:variant>
        <vt:i4>332</vt:i4>
      </vt:variant>
      <vt:variant>
        <vt:i4>0</vt:i4>
      </vt:variant>
      <vt:variant>
        <vt:i4>5</vt:i4>
      </vt:variant>
      <vt:variant>
        <vt:lpwstr/>
      </vt:variant>
      <vt:variant>
        <vt:lpwstr>_Toc193536223</vt:lpwstr>
      </vt:variant>
      <vt:variant>
        <vt:i4>2031667</vt:i4>
      </vt:variant>
      <vt:variant>
        <vt:i4>326</vt:i4>
      </vt:variant>
      <vt:variant>
        <vt:i4>0</vt:i4>
      </vt:variant>
      <vt:variant>
        <vt:i4>5</vt:i4>
      </vt:variant>
      <vt:variant>
        <vt:lpwstr/>
      </vt:variant>
      <vt:variant>
        <vt:lpwstr>_Toc193536222</vt:lpwstr>
      </vt:variant>
      <vt:variant>
        <vt:i4>2031667</vt:i4>
      </vt:variant>
      <vt:variant>
        <vt:i4>320</vt:i4>
      </vt:variant>
      <vt:variant>
        <vt:i4>0</vt:i4>
      </vt:variant>
      <vt:variant>
        <vt:i4>5</vt:i4>
      </vt:variant>
      <vt:variant>
        <vt:lpwstr/>
      </vt:variant>
      <vt:variant>
        <vt:lpwstr>_Toc193536221</vt:lpwstr>
      </vt:variant>
      <vt:variant>
        <vt:i4>2031667</vt:i4>
      </vt:variant>
      <vt:variant>
        <vt:i4>314</vt:i4>
      </vt:variant>
      <vt:variant>
        <vt:i4>0</vt:i4>
      </vt:variant>
      <vt:variant>
        <vt:i4>5</vt:i4>
      </vt:variant>
      <vt:variant>
        <vt:lpwstr/>
      </vt:variant>
      <vt:variant>
        <vt:lpwstr>_Toc193536220</vt:lpwstr>
      </vt:variant>
      <vt:variant>
        <vt:i4>1835059</vt:i4>
      </vt:variant>
      <vt:variant>
        <vt:i4>308</vt:i4>
      </vt:variant>
      <vt:variant>
        <vt:i4>0</vt:i4>
      </vt:variant>
      <vt:variant>
        <vt:i4>5</vt:i4>
      </vt:variant>
      <vt:variant>
        <vt:lpwstr/>
      </vt:variant>
      <vt:variant>
        <vt:lpwstr>_Toc193536219</vt:lpwstr>
      </vt:variant>
      <vt:variant>
        <vt:i4>1835059</vt:i4>
      </vt:variant>
      <vt:variant>
        <vt:i4>302</vt:i4>
      </vt:variant>
      <vt:variant>
        <vt:i4>0</vt:i4>
      </vt:variant>
      <vt:variant>
        <vt:i4>5</vt:i4>
      </vt:variant>
      <vt:variant>
        <vt:lpwstr/>
      </vt:variant>
      <vt:variant>
        <vt:lpwstr>_Toc193536218</vt:lpwstr>
      </vt:variant>
      <vt:variant>
        <vt:i4>1835059</vt:i4>
      </vt:variant>
      <vt:variant>
        <vt:i4>296</vt:i4>
      </vt:variant>
      <vt:variant>
        <vt:i4>0</vt:i4>
      </vt:variant>
      <vt:variant>
        <vt:i4>5</vt:i4>
      </vt:variant>
      <vt:variant>
        <vt:lpwstr/>
      </vt:variant>
      <vt:variant>
        <vt:lpwstr>_Toc193536217</vt:lpwstr>
      </vt:variant>
      <vt:variant>
        <vt:i4>1835059</vt:i4>
      </vt:variant>
      <vt:variant>
        <vt:i4>290</vt:i4>
      </vt:variant>
      <vt:variant>
        <vt:i4>0</vt:i4>
      </vt:variant>
      <vt:variant>
        <vt:i4>5</vt:i4>
      </vt:variant>
      <vt:variant>
        <vt:lpwstr/>
      </vt:variant>
      <vt:variant>
        <vt:lpwstr>_Toc193536216</vt:lpwstr>
      </vt:variant>
      <vt:variant>
        <vt:i4>1835059</vt:i4>
      </vt:variant>
      <vt:variant>
        <vt:i4>284</vt:i4>
      </vt:variant>
      <vt:variant>
        <vt:i4>0</vt:i4>
      </vt:variant>
      <vt:variant>
        <vt:i4>5</vt:i4>
      </vt:variant>
      <vt:variant>
        <vt:lpwstr/>
      </vt:variant>
      <vt:variant>
        <vt:lpwstr>_Toc193536215</vt:lpwstr>
      </vt:variant>
      <vt:variant>
        <vt:i4>1835059</vt:i4>
      </vt:variant>
      <vt:variant>
        <vt:i4>278</vt:i4>
      </vt:variant>
      <vt:variant>
        <vt:i4>0</vt:i4>
      </vt:variant>
      <vt:variant>
        <vt:i4>5</vt:i4>
      </vt:variant>
      <vt:variant>
        <vt:lpwstr/>
      </vt:variant>
      <vt:variant>
        <vt:lpwstr>_Toc193536214</vt:lpwstr>
      </vt:variant>
      <vt:variant>
        <vt:i4>1835059</vt:i4>
      </vt:variant>
      <vt:variant>
        <vt:i4>272</vt:i4>
      </vt:variant>
      <vt:variant>
        <vt:i4>0</vt:i4>
      </vt:variant>
      <vt:variant>
        <vt:i4>5</vt:i4>
      </vt:variant>
      <vt:variant>
        <vt:lpwstr/>
      </vt:variant>
      <vt:variant>
        <vt:lpwstr>_Toc193536213</vt:lpwstr>
      </vt:variant>
      <vt:variant>
        <vt:i4>1835059</vt:i4>
      </vt:variant>
      <vt:variant>
        <vt:i4>266</vt:i4>
      </vt:variant>
      <vt:variant>
        <vt:i4>0</vt:i4>
      </vt:variant>
      <vt:variant>
        <vt:i4>5</vt:i4>
      </vt:variant>
      <vt:variant>
        <vt:lpwstr/>
      </vt:variant>
      <vt:variant>
        <vt:lpwstr>_Toc193536212</vt:lpwstr>
      </vt:variant>
      <vt:variant>
        <vt:i4>1835059</vt:i4>
      </vt:variant>
      <vt:variant>
        <vt:i4>260</vt:i4>
      </vt:variant>
      <vt:variant>
        <vt:i4>0</vt:i4>
      </vt:variant>
      <vt:variant>
        <vt:i4>5</vt:i4>
      </vt:variant>
      <vt:variant>
        <vt:lpwstr/>
      </vt:variant>
      <vt:variant>
        <vt:lpwstr>_Toc193536211</vt:lpwstr>
      </vt:variant>
      <vt:variant>
        <vt:i4>1835059</vt:i4>
      </vt:variant>
      <vt:variant>
        <vt:i4>254</vt:i4>
      </vt:variant>
      <vt:variant>
        <vt:i4>0</vt:i4>
      </vt:variant>
      <vt:variant>
        <vt:i4>5</vt:i4>
      </vt:variant>
      <vt:variant>
        <vt:lpwstr/>
      </vt:variant>
      <vt:variant>
        <vt:lpwstr>_Toc193536210</vt:lpwstr>
      </vt:variant>
      <vt:variant>
        <vt:i4>1900595</vt:i4>
      </vt:variant>
      <vt:variant>
        <vt:i4>248</vt:i4>
      </vt:variant>
      <vt:variant>
        <vt:i4>0</vt:i4>
      </vt:variant>
      <vt:variant>
        <vt:i4>5</vt:i4>
      </vt:variant>
      <vt:variant>
        <vt:lpwstr/>
      </vt:variant>
      <vt:variant>
        <vt:lpwstr>_Toc193536209</vt:lpwstr>
      </vt:variant>
      <vt:variant>
        <vt:i4>1900595</vt:i4>
      </vt:variant>
      <vt:variant>
        <vt:i4>242</vt:i4>
      </vt:variant>
      <vt:variant>
        <vt:i4>0</vt:i4>
      </vt:variant>
      <vt:variant>
        <vt:i4>5</vt:i4>
      </vt:variant>
      <vt:variant>
        <vt:lpwstr/>
      </vt:variant>
      <vt:variant>
        <vt:lpwstr>_Toc193536208</vt:lpwstr>
      </vt:variant>
      <vt:variant>
        <vt:i4>1900595</vt:i4>
      </vt:variant>
      <vt:variant>
        <vt:i4>236</vt:i4>
      </vt:variant>
      <vt:variant>
        <vt:i4>0</vt:i4>
      </vt:variant>
      <vt:variant>
        <vt:i4>5</vt:i4>
      </vt:variant>
      <vt:variant>
        <vt:lpwstr/>
      </vt:variant>
      <vt:variant>
        <vt:lpwstr>_Toc193536207</vt:lpwstr>
      </vt:variant>
      <vt:variant>
        <vt:i4>1900595</vt:i4>
      </vt:variant>
      <vt:variant>
        <vt:i4>230</vt:i4>
      </vt:variant>
      <vt:variant>
        <vt:i4>0</vt:i4>
      </vt:variant>
      <vt:variant>
        <vt:i4>5</vt:i4>
      </vt:variant>
      <vt:variant>
        <vt:lpwstr/>
      </vt:variant>
      <vt:variant>
        <vt:lpwstr>_Toc193536206</vt:lpwstr>
      </vt:variant>
      <vt:variant>
        <vt:i4>1900595</vt:i4>
      </vt:variant>
      <vt:variant>
        <vt:i4>224</vt:i4>
      </vt:variant>
      <vt:variant>
        <vt:i4>0</vt:i4>
      </vt:variant>
      <vt:variant>
        <vt:i4>5</vt:i4>
      </vt:variant>
      <vt:variant>
        <vt:lpwstr/>
      </vt:variant>
      <vt:variant>
        <vt:lpwstr>_Toc193536205</vt:lpwstr>
      </vt:variant>
      <vt:variant>
        <vt:i4>1900595</vt:i4>
      </vt:variant>
      <vt:variant>
        <vt:i4>218</vt:i4>
      </vt:variant>
      <vt:variant>
        <vt:i4>0</vt:i4>
      </vt:variant>
      <vt:variant>
        <vt:i4>5</vt:i4>
      </vt:variant>
      <vt:variant>
        <vt:lpwstr/>
      </vt:variant>
      <vt:variant>
        <vt:lpwstr>_Toc193536204</vt:lpwstr>
      </vt:variant>
      <vt:variant>
        <vt:i4>1900595</vt:i4>
      </vt:variant>
      <vt:variant>
        <vt:i4>212</vt:i4>
      </vt:variant>
      <vt:variant>
        <vt:i4>0</vt:i4>
      </vt:variant>
      <vt:variant>
        <vt:i4>5</vt:i4>
      </vt:variant>
      <vt:variant>
        <vt:lpwstr/>
      </vt:variant>
      <vt:variant>
        <vt:lpwstr>_Toc193536203</vt:lpwstr>
      </vt:variant>
      <vt:variant>
        <vt:i4>1900595</vt:i4>
      </vt:variant>
      <vt:variant>
        <vt:i4>206</vt:i4>
      </vt:variant>
      <vt:variant>
        <vt:i4>0</vt:i4>
      </vt:variant>
      <vt:variant>
        <vt:i4>5</vt:i4>
      </vt:variant>
      <vt:variant>
        <vt:lpwstr/>
      </vt:variant>
      <vt:variant>
        <vt:lpwstr>_Toc193536202</vt:lpwstr>
      </vt:variant>
      <vt:variant>
        <vt:i4>1900595</vt:i4>
      </vt:variant>
      <vt:variant>
        <vt:i4>200</vt:i4>
      </vt:variant>
      <vt:variant>
        <vt:i4>0</vt:i4>
      </vt:variant>
      <vt:variant>
        <vt:i4>5</vt:i4>
      </vt:variant>
      <vt:variant>
        <vt:lpwstr/>
      </vt:variant>
      <vt:variant>
        <vt:lpwstr>_Toc193536201</vt:lpwstr>
      </vt:variant>
      <vt:variant>
        <vt:i4>1900595</vt:i4>
      </vt:variant>
      <vt:variant>
        <vt:i4>194</vt:i4>
      </vt:variant>
      <vt:variant>
        <vt:i4>0</vt:i4>
      </vt:variant>
      <vt:variant>
        <vt:i4>5</vt:i4>
      </vt:variant>
      <vt:variant>
        <vt:lpwstr/>
      </vt:variant>
      <vt:variant>
        <vt:lpwstr>_Toc193536200</vt:lpwstr>
      </vt:variant>
      <vt:variant>
        <vt:i4>1310768</vt:i4>
      </vt:variant>
      <vt:variant>
        <vt:i4>188</vt:i4>
      </vt:variant>
      <vt:variant>
        <vt:i4>0</vt:i4>
      </vt:variant>
      <vt:variant>
        <vt:i4>5</vt:i4>
      </vt:variant>
      <vt:variant>
        <vt:lpwstr/>
      </vt:variant>
      <vt:variant>
        <vt:lpwstr>_Toc193536199</vt:lpwstr>
      </vt:variant>
      <vt:variant>
        <vt:i4>1310768</vt:i4>
      </vt:variant>
      <vt:variant>
        <vt:i4>182</vt:i4>
      </vt:variant>
      <vt:variant>
        <vt:i4>0</vt:i4>
      </vt:variant>
      <vt:variant>
        <vt:i4>5</vt:i4>
      </vt:variant>
      <vt:variant>
        <vt:lpwstr/>
      </vt:variant>
      <vt:variant>
        <vt:lpwstr>_Toc193536198</vt:lpwstr>
      </vt:variant>
      <vt:variant>
        <vt:i4>1310768</vt:i4>
      </vt:variant>
      <vt:variant>
        <vt:i4>176</vt:i4>
      </vt:variant>
      <vt:variant>
        <vt:i4>0</vt:i4>
      </vt:variant>
      <vt:variant>
        <vt:i4>5</vt:i4>
      </vt:variant>
      <vt:variant>
        <vt:lpwstr/>
      </vt:variant>
      <vt:variant>
        <vt:lpwstr>_Toc193536197</vt:lpwstr>
      </vt:variant>
      <vt:variant>
        <vt:i4>1310768</vt:i4>
      </vt:variant>
      <vt:variant>
        <vt:i4>170</vt:i4>
      </vt:variant>
      <vt:variant>
        <vt:i4>0</vt:i4>
      </vt:variant>
      <vt:variant>
        <vt:i4>5</vt:i4>
      </vt:variant>
      <vt:variant>
        <vt:lpwstr/>
      </vt:variant>
      <vt:variant>
        <vt:lpwstr>_Toc193536196</vt:lpwstr>
      </vt:variant>
      <vt:variant>
        <vt:i4>1310768</vt:i4>
      </vt:variant>
      <vt:variant>
        <vt:i4>164</vt:i4>
      </vt:variant>
      <vt:variant>
        <vt:i4>0</vt:i4>
      </vt:variant>
      <vt:variant>
        <vt:i4>5</vt:i4>
      </vt:variant>
      <vt:variant>
        <vt:lpwstr/>
      </vt:variant>
      <vt:variant>
        <vt:lpwstr>_Toc193536195</vt:lpwstr>
      </vt:variant>
      <vt:variant>
        <vt:i4>1310768</vt:i4>
      </vt:variant>
      <vt:variant>
        <vt:i4>158</vt:i4>
      </vt:variant>
      <vt:variant>
        <vt:i4>0</vt:i4>
      </vt:variant>
      <vt:variant>
        <vt:i4>5</vt:i4>
      </vt:variant>
      <vt:variant>
        <vt:lpwstr/>
      </vt:variant>
      <vt:variant>
        <vt:lpwstr>_Toc193536194</vt:lpwstr>
      </vt:variant>
      <vt:variant>
        <vt:i4>1310768</vt:i4>
      </vt:variant>
      <vt:variant>
        <vt:i4>152</vt:i4>
      </vt:variant>
      <vt:variant>
        <vt:i4>0</vt:i4>
      </vt:variant>
      <vt:variant>
        <vt:i4>5</vt:i4>
      </vt:variant>
      <vt:variant>
        <vt:lpwstr/>
      </vt:variant>
      <vt:variant>
        <vt:lpwstr>_Toc193536193</vt:lpwstr>
      </vt:variant>
      <vt:variant>
        <vt:i4>1310768</vt:i4>
      </vt:variant>
      <vt:variant>
        <vt:i4>146</vt:i4>
      </vt:variant>
      <vt:variant>
        <vt:i4>0</vt:i4>
      </vt:variant>
      <vt:variant>
        <vt:i4>5</vt:i4>
      </vt:variant>
      <vt:variant>
        <vt:lpwstr/>
      </vt:variant>
      <vt:variant>
        <vt:lpwstr>_Toc193536192</vt:lpwstr>
      </vt:variant>
      <vt:variant>
        <vt:i4>1310768</vt:i4>
      </vt:variant>
      <vt:variant>
        <vt:i4>140</vt:i4>
      </vt:variant>
      <vt:variant>
        <vt:i4>0</vt:i4>
      </vt:variant>
      <vt:variant>
        <vt:i4>5</vt:i4>
      </vt:variant>
      <vt:variant>
        <vt:lpwstr/>
      </vt:variant>
      <vt:variant>
        <vt:lpwstr>_Toc193536191</vt:lpwstr>
      </vt:variant>
      <vt:variant>
        <vt:i4>1310768</vt:i4>
      </vt:variant>
      <vt:variant>
        <vt:i4>134</vt:i4>
      </vt:variant>
      <vt:variant>
        <vt:i4>0</vt:i4>
      </vt:variant>
      <vt:variant>
        <vt:i4>5</vt:i4>
      </vt:variant>
      <vt:variant>
        <vt:lpwstr/>
      </vt:variant>
      <vt:variant>
        <vt:lpwstr>_Toc193536190</vt:lpwstr>
      </vt:variant>
      <vt:variant>
        <vt:i4>1376304</vt:i4>
      </vt:variant>
      <vt:variant>
        <vt:i4>128</vt:i4>
      </vt:variant>
      <vt:variant>
        <vt:i4>0</vt:i4>
      </vt:variant>
      <vt:variant>
        <vt:i4>5</vt:i4>
      </vt:variant>
      <vt:variant>
        <vt:lpwstr/>
      </vt:variant>
      <vt:variant>
        <vt:lpwstr>_Toc193536189</vt:lpwstr>
      </vt:variant>
      <vt:variant>
        <vt:i4>1376304</vt:i4>
      </vt:variant>
      <vt:variant>
        <vt:i4>122</vt:i4>
      </vt:variant>
      <vt:variant>
        <vt:i4>0</vt:i4>
      </vt:variant>
      <vt:variant>
        <vt:i4>5</vt:i4>
      </vt:variant>
      <vt:variant>
        <vt:lpwstr/>
      </vt:variant>
      <vt:variant>
        <vt:lpwstr>_Toc193536188</vt:lpwstr>
      </vt:variant>
      <vt:variant>
        <vt:i4>1376304</vt:i4>
      </vt:variant>
      <vt:variant>
        <vt:i4>116</vt:i4>
      </vt:variant>
      <vt:variant>
        <vt:i4>0</vt:i4>
      </vt:variant>
      <vt:variant>
        <vt:i4>5</vt:i4>
      </vt:variant>
      <vt:variant>
        <vt:lpwstr/>
      </vt:variant>
      <vt:variant>
        <vt:lpwstr>_Toc193536187</vt:lpwstr>
      </vt:variant>
      <vt:variant>
        <vt:i4>1376304</vt:i4>
      </vt:variant>
      <vt:variant>
        <vt:i4>110</vt:i4>
      </vt:variant>
      <vt:variant>
        <vt:i4>0</vt:i4>
      </vt:variant>
      <vt:variant>
        <vt:i4>5</vt:i4>
      </vt:variant>
      <vt:variant>
        <vt:lpwstr/>
      </vt:variant>
      <vt:variant>
        <vt:lpwstr>_Toc193536186</vt:lpwstr>
      </vt:variant>
      <vt:variant>
        <vt:i4>1376304</vt:i4>
      </vt:variant>
      <vt:variant>
        <vt:i4>104</vt:i4>
      </vt:variant>
      <vt:variant>
        <vt:i4>0</vt:i4>
      </vt:variant>
      <vt:variant>
        <vt:i4>5</vt:i4>
      </vt:variant>
      <vt:variant>
        <vt:lpwstr/>
      </vt:variant>
      <vt:variant>
        <vt:lpwstr>_Toc193536185</vt:lpwstr>
      </vt:variant>
      <vt:variant>
        <vt:i4>1376304</vt:i4>
      </vt:variant>
      <vt:variant>
        <vt:i4>98</vt:i4>
      </vt:variant>
      <vt:variant>
        <vt:i4>0</vt:i4>
      </vt:variant>
      <vt:variant>
        <vt:i4>5</vt:i4>
      </vt:variant>
      <vt:variant>
        <vt:lpwstr/>
      </vt:variant>
      <vt:variant>
        <vt:lpwstr>_Toc193536184</vt:lpwstr>
      </vt:variant>
      <vt:variant>
        <vt:i4>1376304</vt:i4>
      </vt:variant>
      <vt:variant>
        <vt:i4>92</vt:i4>
      </vt:variant>
      <vt:variant>
        <vt:i4>0</vt:i4>
      </vt:variant>
      <vt:variant>
        <vt:i4>5</vt:i4>
      </vt:variant>
      <vt:variant>
        <vt:lpwstr/>
      </vt:variant>
      <vt:variant>
        <vt:lpwstr>_Toc193536183</vt:lpwstr>
      </vt:variant>
      <vt:variant>
        <vt:i4>1376304</vt:i4>
      </vt:variant>
      <vt:variant>
        <vt:i4>86</vt:i4>
      </vt:variant>
      <vt:variant>
        <vt:i4>0</vt:i4>
      </vt:variant>
      <vt:variant>
        <vt:i4>5</vt:i4>
      </vt:variant>
      <vt:variant>
        <vt:lpwstr/>
      </vt:variant>
      <vt:variant>
        <vt:lpwstr>_Toc193536182</vt:lpwstr>
      </vt:variant>
      <vt:variant>
        <vt:i4>1376304</vt:i4>
      </vt:variant>
      <vt:variant>
        <vt:i4>80</vt:i4>
      </vt:variant>
      <vt:variant>
        <vt:i4>0</vt:i4>
      </vt:variant>
      <vt:variant>
        <vt:i4>5</vt:i4>
      </vt:variant>
      <vt:variant>
        <vt:lpwstr/>
      </vt:variant>
      <vt:variant>
        <vt:lpwstr>_Toc193536181</vt:lpwstr>
      </vt:variant>
      <vt:variant>
        <vt:i4>1376304</vt:i4>
      </vt:variant>
      <vt:variant>
        <vt:i4>74</vt:i4>
      </vt:variant>
      <vt:variant>
        <vt:i4>0</vt:i4>
      </vt:variant>
      <vt:variant>
        <vt:i4>5</vt:i4>
      </vt:variant>
      <vt:variant>
        <vt:lpwstr/>
      </vt:variant>
      <vt:variant>
        <vt:lpwstr>_Toc193536180</vt:lpwstr>
      </vt:variant>
      <vt:variant>
        <vt:i4>1703984</vt:i4>
      </vt:variant>
      <vt:variant>
        <vt:i4>68</vt:i4>
      </vt:variant>
      <vt:variant>
        <vt:i4>0</vt:i4>
      </vt:variant>
      <vt:variant>
        <vt:i4>5</vt:i4>
      </vt:variant>
      <vt:variant>
        <vt:lpwstr/>
      </vt:variant>
      <vt:variant>
        <vt:lpwstr>_Toc193536179</vt:lpwstr>
      </vt:variant>
      <vt:variant>
        <vt:i4>1703984</vt:i4>
      </vt:variant>
      <vt:variant>
        <vt:i4>62</vt:i4>
      </vt:variant>
      <vt:variant>
        <vt:i4>0</vt:i4>
      </vt:variant>
      <vt:variant>
        <vt:i4>5</vt:i4>
      </vt:variant>
      <vt:variant>
        <vt:lpwstr/>
      </vt:variant>
      <vt:variant>
        <vt:lpwstr>_Toc193536178</vt:lpwstr>
      </vt:variant>
      <vt:variant>
        <vt:i4>1703984</vt:i4>
      </vt:variant>
      <vt:variant>
        <vt:i4>56</vt:i4>
      </vt:variant>
      <vt:variant>
        <vt:i4>0</vt:i4>
      </vt:variant>
      <vt:variant>
        <vt:i4>5</vt:i4>
      </vt:variant>
      <vt:variant>
        <vt:lpwstr/>
      </vt:variant>
      <vt:variant>
        <vt:lpwstr>_Toc193536177</vt:lpwstr>
      </vt:variant>
      <vt:variant>
        <vt:i4>1703984</vt:i4>
      </vt:variant>
      <vt:variant>
        <vt:i4>50</vt:i4>
      </vt:variant>
      <vt:variant>
        <vt:i4>0</vt:i4>
      </vt:variant>
      <vt:variant>
        <vt:i4>5</vt:i4>
      </vt:variant>
      <vt:variant>
        <vt:lpwstr/>
      </vt:variant>
      <vt:variant>
        <vt:lpwstr>_Toc193536176</vt:lpwstr>
      </vt:variant>
      <vt:variant>
        <vt:i4>1703984</vt:i4>
      </vt:variant>
      <vt:variant>
        <vt:i4>44</vt:i4>
      </vt:variant>
      <vt:variant>
        <vt:i4>0</vt:i4>
      </vt:variant>
      <vt:variant>
        <vt:i4>5</vt:i4>
      </vt:variant>
      <vt:variant>
        <vt:lpwstr/>
      </vt:variant>
      <vt:variant>
        <vt:lpwstr>_Toc193536175</vt:lpwstr>
      </vt:variant>
      <vt:variant>
        <vt:i4>1703984</vt:i4>
      </vt:variant>
      <vt:variant>
        <vt:i4>38</vt:i4>
      </vt:variant>
      <vt:variant>
        <vt:i4>0</vt:i4>
      </vt:variant>
      <vt:variant>
        <vt:i4>5</vt:i4>
      </vt:variant>
      <vt:variant>
        <vt:lpwstr/>
      </vt:variant>
      <vt:variant>
        <vt:lpwstr>_Toc193536174</vt:lpwstr>
      </vt:variant>
      <vt:variant>
        <vt:i4>1703984</vt:i4>
      </vt:variant>
      <vt:variant>
        <vt:i4>32</vt:i4>
      </vt:variant>
      <vt:variant>
        <vt:i4>0</vt:i4>
      </vt:variant>
      <vt:variant>
        <vt:i4>5</vt:i4>
      </vt:variant>
      <vt:variant>
        <vt:lpwstr/>
      </vt:variant>
      <vt:variant>
        <vt:lpwstr>_Toc193536173</vt:lpwstr>
      </vt:variant>
      <vt:variant>
        <vt:i4>1703984</vt:i4>
      </vt:variant>
      <vt:variant>
        <vt:i4>26</vt:i4>
      </vt:variant>
      <vt:variant>
        <vt:i4>0</vt:i4>
      </vt:variant>
      <vt:variant>
        <vt:i4>5</vt:i4>
      </vt:variant>
      <vt:variant>
        <vt:lpwstr/>
      </vt:variant>
      <vt:variant>
        <vt:lpwstr>_Toc193536172</vt:lpwstr>
      </vt:variant>
      <vt:variant>
        <vt:i4>1703984</vt:i4>
      </vt:variant>
      <vt:variant>
        <vt:i4>20</vt:i4>
      </vt:variant>
      <vt:variant>
        <vt:i4>0</vt:i4>
      </vt:variant>
      <vt:variant>
        <vt:i4>5</vt:i4>
      </vt:variant>
      <vt:variant>
        <vt:lpwstr/>
      </vt:variant>
      <vt:variant>
        <vt:lpwstr>_Toc193536171</vt:lpwstr>
      </vt:variant>
      <vt:variant>
        <vt:i4>1703984</vt:i4>
      </vt:variant>
      <vt:variant>
        <vt:i4>14</vt:i4>
      </vt:variant>
      <vt:variant>
        <vt:i4>0</vt:i4>
      </vt:variant>
      <vt:variant>
        <vt:i4>5</vt:i4>
      </vt:variant>
      <vt:variant>
        <vt:lpwstr/>
      </vt:variant>
      <vt:variant>
        <vt:lpwstr>_Toc193536170</vt:lpwstr>
      </vt:variant>
      <vt:variant>
        <vt:i4>1769520</vt:i4>
      </vt:variant>
      <vt:variant>
        <vt:i4>8</vt:i4>
      </vt:variant>
      <vt:variant>
        <vt:i4>0</vt:i4>
      </vt:variant>
      <vt:variant>
        <vt:i4>5</vt:i4>
      </vt:variant>
      <vt:variant>
        <vt:lpwstr/>
      </vt:variant>
      <vt:variant>
        <vt:lpwstr>_Toc193536169</vt:lpwstr>
      </vt:variant>
      <vt:variant>
        <vt:i4>1769520</vt:i4>
      </vt:variant>
      <vt:variant>
        <vt:i4>2</vt:i4>
      </vt:variant>
      <vt:variant>
        <vt:i4>0</vt:i4>
      </vt:variant>
      <vt:variant>
        <vt:i4>5</vt:i4>
      </vt:variant>
      <vt:variant>
        <vt:lpwstr/>
      </vt:variant>
      <vt:variant>
        <vt:lpwstr>_Toc193536168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8: Statement of Risks</dc:subject>
  <dc:creator>Australian Government</dc:creator>
  <cp:keywords/>
  <dc:description/>
  <cp:lastModifiedBy/>
  <cp:revision>1</cp:revision>
  <dcterms:created xsi:type="dcterms:W3CDTF">2025-03-24T01:53:00Z</dcterms:created>
  <dcterms:modified xsi:type="dcterms:W3CDTF">2025-03-24T01:54:00Z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2025-03-24T01:54:30Z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9a47b563-a63b-4046-9623-0d25b9d81a0a</vt:lpwstr>
  </property>
  <property fmtid="{D5CDD505-2E9C-101B-9397-08002B2CF9AE}" pid="8" name="MSIP_Label_4f932d64-9ab1-4d9b-81d2-a3a8b82dd47d_ContentBits">
    <vt:lpwstr>0</vt:lpwstr>
  </property>
</Properties>
</file>