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B29E" w14:textId="77777777" w:rsidR="00457E46" w:rsidRDefault="00457E46" w:rsidP="00457E46">
      <w:pPr>
        <w:spacing w:before="0" w:line="240" w:lineRule="auto"/>
      </w:pPr>
      <w:r>
        <w:rPr>
          <w:noProof/>
        </w:rPr>
        <w:drawing>
          <wp:inline distT="0" distB="0" distL="0" distR="0" wp14:anchorId="1DF6AF1F" wp14:editId="58F303AE">
            <wp:extent cx="1265446" cy="1282941"/>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5446" cy="1282941"/>
                    </a:xfrm>
                    <a:prstGeom prst="rect">
                      <a:avLst/>
                    </a:prstGeom>
                  </pic:spPr>
                </pic:pic>
              </a:graphicData>
            </a:graphic>
          </wp:inline>
        </w:drawing>
      </w:r>
    </w:p>
    <w:p w14:paraId="7C6E2758" w14:textId="77777777" w:rsidR="00457E46" w:rsidRPr="0027030A" w:rsidRDefault="00457E46" w:rsidP="004B0F9C">
      <w:pPr>
        <w:spacing w:before="0" w:after="720" w:line="240" w:lineRule="auto"/>
      </w:pPr>
    </w:p>
    <w:p w14:paraId="28E853E8" w14:textId="77777777" w:rsidR="00457E46" w:rsidRPr="0027030A" w:rsidRDefault="00457E46" w:rsidP="00457E46">
      <w:pPr>
        <w:keepNext/>
        <w:spacing w:before="0" w:after="0" w:line="240" w:lineRule="auto"/>
        <w:rPr>
          <w:rFonts w:asciiTheme="majorHAnsi" w:hAnsiTheme="majorHAnsi" w:cstheme="majorHAnsi"/>
          <w:b/>
          <w:bCs/>
          <w:sz w:val="28"/>
          <w:szCs w:val="28"/>
        </w:rPr>
      </w:pPr>
      <w:r w:rsidRPr="0027030A">
        <w:rPr>
          <w:rFonts w:asciiTheme="majorHAnsi" w:hAnsiTheme="majorHAnsi" w:cstheme="majorHAnsi"/>
          <w:b/>
          <w:bCs/>
          <w:sz w:val="28"/>
          <w:szCs w:val="28"/>
        </w:rPr>
        <w:t xml:space="preserve">BUDGET </w:t>
      </w:r>
      <w:r>
        <w:rPr>
          <w:rFonts w:asciiTheme="majorHAnsi" w:hAnsiTheme="majorHAnsi" w:cstheme="majorHAnsi"/>
          <w:b/>
          <w:bCs/>
          <w:sz w:val="28"/>
          <w:szCs w:val="28"/>
        </w:rPr>
        <w:t>STRATEGY AND OUTLOOK</w:t>
      </w:r>
    </w:p>
    <w:p w14:paraId="73E7A559" w14:textId="77777777" w:rsidR="00457E46" w:rsidRPr="0027030A" w:rsidRDefault="00457E46" w:rsidP="00457E46">
      <w:pPr>
        <w:keepNext/>
        <w:spacing w:before="0" w:after="0" w:line="240" w:lineRule="auto"/>
        <w:rPr>
          <w:rFonts w:asciiTheme="majorHAnsi" w:hAnsiTheme="majorHAnsi" w:cstheme="majorHAnsi"/>
          <w:sz w:val="28"/>
          <w:szCs w:val="28"/>
        </w:rPr>
      </w:pPr>
      <w:r w:rsidRPr="0027030A">
        <w:rPr>
          <w:rFonts w:asciiTheme="majorHAnsi" w:hAnsiTheme="majorHAnsi" w:cstheme="majorHAnsi"/>
          <w:sz w:val="28"/>
          <w:szCs w:val="28"/>
        </w:rPr>
        <w:t xml:space="preserve">BUDGET PAPER NO. </w:t>
      </w:r>
      <w:r>
        <w:rPr>
          <w:rFonts w:asciiTheme="majorHAnsi" w:hAnsiTheme="majorHAnsi" w:cstheme="majorHAnsi"/>
          <w:sz w:val="28"/>
          <w:szCs w:val="28"/>
        </w:rPr>
        <w:t>1</w:t>
      </w:r>
    </w:p>
    <w:p w14:paraId="18BF3EC5" w14:textId="77777777" w:rsidR="00457E46" w:rsidRPr="0027030A" w:rsidRDefault="00457E46" w:rsidP="00457E46">
      <w:pPr>
        <w:spacing w:before="3720" w:line="240" w:lineRule="auto"/>
        <w:rPr>
          <w:rFonts w:asciiTheme="majorHAnsi" w:hAnsiTheme="majorHAnsi" w:cstheme="majorHAnsi"/>
        </w:rPr>
      </w:pPr>
    </w:p>
    <w:p w14:paraId="7BD7D3B8" w14:textId="77777777" w:rsidR="00457E46" w:rsidRPr="0027030A" w:rsidRDefault="00457E46" w:rsidP="00457E46">
      <w:pPr>
        <w:keepNext/>
        <w:spacing w:before="120" w:after="120" w:line="240" w:lineRule="auto"/>
        <w:rPr>
          <w:rFonts w:asciiTheme="majorHAnsi" w:hAnsiTheme="majorHAnsi" w:cs="Arial"/>
          <w:sz w:val="20"/>
        </w:rPr>
      </w:pPr>
      <w:r w:rsidRPr="0027030A">
        <w:rPr>
          <w:rFonts w:asciiTheme="majorHAnsi" w:hAnsiTheme="majorHAnsi" w:cs="Arial"/>
          <w:sz w:val="20"/>
        </w:rPr>
        <w:t>Circulated by</w:t>
      </w:r>
    </w:p>
    <w:p w14:paraId="21E236FA" w14:textId="77777777" w:rsidR="00457E46" w:rsidRPr="0027030A" w:rsidRDefault="00457E46" w:rsidP="00457E46">
      <w:pPr>
        <w:keepNext/>
        <w:spacing w:before="120" w:after="0" w:line="240" w:lineRule="auto"/>
        <w:rPr>
          <w:rFonts w:asciiTheme="majorHAnsi" w:hAnsiTheme="majorHAnsi" w:cs="Arial"/>
          <w:b/>
          <w:bCs/>
          <w:sz w:val="20"/>
        </w:rPr>
      </w:pPr>
      <w:r w:rsidRPr="0027030A">
        <w:rPr>
          <w:rFonts w:asciiTheme="majorHAnsi" w:hAnsiTheme="majorHAnsi" w:cs="Arial"/>
          <w:b/>
          <w:bCs/>
          <w:sz w:val="20"/>
        </w:rPr>
        <w:t>The Honourable Jim Chalmers</w:t>
      </w:r>
      <w:r w:rsidRPr="0027030A">
        <w:rPr>
          <w:rFonts w:asciiTheme="majorHAnsi" w:hAnsiTheme="majorHAnsi"/>
          <w:b/>
          <w:bCs/>
          <w:sz w:val="20"/>
        </w:rPr>
        <w:t xml:space="preserve"> </w:t>
      </w:r>
      <w:r w:rsidRPr="0027030A">
        <w:rPr>
          <w:rFonts w:asciiTheme="majorHAnsi" w:hAnsiTheme="majorHAnsi" w:cs="Arial"/>
          <w:b/>
          <w:bCs/>
          <w:sz w:val="20"/>
        </w:rPr>
        <w:t>MP</w:t>
      </w:r>
    </w:p>
    <w:p w14:paraId="7E63D57B" w14:textId="77777777" w:rsidR="00457E46" w:rsidRPr="0027030A" w:rsidRDefault="00457E46" w:rsidP="00457E46">
      <w:pPr>
        <w:keepNext/>
        <w:spacing w:before="0" w:after="120" w:line="240" w:lineRule="auto"/>
        <w:rPr>
          <w:rFonts w:asciiTheme="majorHAnsi" w:hAnsiTheme="majorHAnsi" w:cs="Arial"/>
          <w:sz w:val="20"/>
        </w:rPr>
      </w:pPr>
      <w:r w:rsidRPr="0027030A">
        <w:rPr>
          <w:rFonts w:asciiTheme="majorHAnsi" w:hAnsiTheme="majorHAnsi" w:cs="Arial"/>
          <w:sz w:val="20"/>
        </w:rPr>
        <w:t>Treasurer of the Commonwealth of Australia</w:t>
      </w:r>
    </w:p>
    <w:p w14:paraId="5701C685" w14:textId="77777777" w:rsidR="00457E46" w:rsidRPr="0027030A" w:rsidRDefault="00457E46" w:rsidP="00457E46">
      <w:pPr>
        <w:keepNext/>
        <w:spacing w:before="120" w:after="120" w:line="240" w:lineRule="auto"/>
        <w:rPr>
          <w:rFonts w:asciiTheme="majorHAnsi" w:hAnsiTheme="majorHAnsi" w:cs="Arial"/>
          <w:sz w:val="20"/>
        </w:rPr>
      </w:pPr>
      <w:r w:rsidRPr="0027030A">
        <w:rPr>
          <w:rFonts w:asciiTheme="majorHAnsi" w:hAnsiTheme="majorHAnsi" w:cs="Arial"/>
          <w:sz w:val="20"/>
        </w:rPr>
        <w:t>and</w:t>
      </w:r>
    </w:p>
    <w:p w14:paraId="7A29B973" w14:textId="77777777" w:rsidR="00457E46" w:rsidRPr="0027030A" w:rsidRDefault="00457E46" w:rsidP="00457E46">
      <w:pPr>
        <w:keepNext/>
        <w:spacing w:before="120" w:after="0" w:line="240" w:lineRule="auto"/>
        <w:rPr>
          <w:rFonts w:asciiTheme="majorHAnsi" w:hAnsiTheme="majorHAnsi" w:cs="Arial"/>
          <w:b/>
          <w:bCs/>
          <w:sz w:val="20"/>
        </w:rPr>
      </w:pPr>
      <w:r w:rsidRPr="0027030A">
        <w:rPr>
          <w:rFonts w:asciiTheme="majorHAnsi" w:hAnsiTheme="majorHAnsi" w:cs="Arial"/>
          <w:b/>
          <w:bCs/>
          <w:sz w:val="20"/>
        </w:rPr>
        <w:t>Senator the Hon</w:t>
      </w:r>
      <w:r>
        <w:rPr>
          <w:rFonts w:asciiTheme="majorHAnsi" w:hAnsiTheme="majorHAnsi" w:cs="Arial"/>
          <w:b/>
          <w:bCs/>
          <w:sz w:val="20"/>
        </w:rPr>
        <w:t>ourable</w:t>
      </w:r>
      <w:r w:rsidRPr="0027030A">
        <w:rPr>
          <w:rFonts w:asciiTheme="majorHAnsi" w:hAnsiTheme="majorHAnsi" w:cs="Arial"/>
          <w:b/>
          <w:bCs/>
          <w:sz w:val="20"/>
        </w:rPr>
        <w:t xml:space="preserve"> Katy Gallagher</w:t>
      </w:r>
    </w:p>
    <w:p w14:paraId="2DBC6884" w14:textId="2DA75494" w:rsidR="00457E46" w:rsidRPr="0027030A" w:rsidRDefault="00BF7177" w:rsidP="00457E46">
      <w:pPr>
        <w:keepNext/>
        <w:spacing w:before="0" w:after="120" w:line="240" w:lineRule="auto"/>
        <w:rPr>
          <w:rFonts w:asciiTheme="majorHAnsi" w:hAnsiTheme="majorHAnsi" w:cs="Arial"/>
          <w:sz w:val="20"/>
        </w:rPr>
      </w:pPr>
      <w:r w:rsidRPr="00BF7177">
        <w:rPr>
          <w:rFonts w:asciiTheme="majorHAnsi" w:hAnsiTheme="majorHAnsi" w:cs="Arial"/>
          <w:sz w:val="20"/>
        </w:rPr>
        <w:t>Minister for Finance, Minister for Women, Minister for the Public Service</w:t>
      </w:r>
      <w:r>
        <w:rPr>
          <w:rFonts w:asciiTheme="majorHAnsi" w:hAnsiTheme="majorHAnsi" w:cs="Arial"/>
          <w:sz w:val="20"/>
        </w:rPr>
        <w:t>,</w:t>
      </w:r>
      <w:r>
        <w:rPr>
          <w:rFonts w:asciiTheme="majorHAnsi" w:hAnsiTheme="majorHAnsi" w:cs="Arial"/>
          <w:sz w:val="20"/>
        </w:rPr>
        <w:br/>
      </w:r>
      <w:r w:rsidRPr="00BF7177">
        <w:rPr>
          <w:rFonts w:asciiTheme="majorHAnsi" w:hAnsiTheme="majorHAnsi" w:cs="Arial"/>
          <w:sz w:val="20"/>
        </w:rPr>
        <w:t>Minister for Government Services of the Commonwealth of Australia</w:t>
      </w:r>
    </w:p>
    <w:p w14:paraId="30024D9F" w14:textId="77777777" w:rsidR="00457E46" w:rsidRPr="0027030A" w:rsidRDefault="00457E46" w:rsidP="00457E46">
      <w:pPr>
        <w:keepNext/>
        <w:spacing w:before="0" w:after="0" w:line="240" w:lineRule="auto"/>
        <w:rPr>
          <w:rFonts w:asciiTheme="majorHAnsi" w:hAnsiTheme="majorHAnsi" w:cs="Arial"/>
          <w:sz w:val="20"/>
        </w:rPr>
      </w:pPr>
    </w:p>
    <w:p w14:paraId="6368930B" w14:textId="63079BB8" w:rsidR="00457E46" w:rsidRPr="0027030A" w:rsidRDefault="00457E46" w:rsidP="00457E46">
      <w:pPr>
        <w:keepNext/>
        <w:spacing w:before="0" w:after="120" w:line="240" w:lineRule="auto"/>
        <w:rPr>
          <w:rFonts w:asciiTheme="majorHAnsi" w:hAnsiTheme="majorHAnsi" w:cs="Arial"/>
          <w:sz w:val="20"/>
        </w:rPr>
      </w:pPr>
      <w:r w:rsidRPr="0027030A">
        <w:rPr>
          <w:rFonts w:asciiTheme="majorHAnsi" w:hAnsiTheme="majorHAnsi" w:cs="Arial"/>
          <w:sz w:val="20"/>
        </w:rPr>
        <w:t>For the information of honourable members</w:t>
      </w:r>
      <w:r>
        <w:rPr>
          <w:rFonts w:asciiTheme="majorHAnsi" w:hAnsiTheme="majorHAnsi" w:cs="Arial"/>
          <w:sz w:val="20"/>
        </w:rPr>
        <w:br/>
      </w:r>
      <w:proofErr w:type="gramStart"/>
      <w:r w:rsidRPr="0027030A">
        <w:rPr>
          <w:rFonts w:asciiTheme="majorHAnsi" w:hAnsiTheme="majorHAnsi" w:cs="Arial"/>
          <w:sz w:val="20"/>
        </w:rPr>
        <w:t>on the occasion of</w:t>
      </w:r>
      <w:proofErr w:type="gramEnd"/>
      <w:r w:rsidRPr="0027030A">
        <w:rPr>
          <w:rFonts w:asciiTheme="majorHAnsi" w:hAnsiTheme="majorHAnsi" w:cs="Arial"/>
          <w:sz w:val="20"/>
        </w:rPr>
        <w:t xml:space="preserve"> the Budget 202</w:t>
      </w:r>
      <w:r w:rsidR="00EE4263">
        <w:rPr>
          <w:rFonts w:asciiTheme="majorHAnsi" w:hAnsiTheme="majorHAnsi" w:cs="Arial"/>
          <w:sz w:val="20"/>
        </w:rPr>
        <w:t>5</w:t>
      </w:r>
      <w:r>
        <w:rPr>
          <w:rFonts w:asciiTheme="majorHAnsi" w:hAnsiTheme="majorHAnsi" w:cs="Arial"/>
          <w:sz w:val="20"/>
        </w:rPr>
        <w:t>–2</w:t>
      </w:r>
      <w:r w:rsidR="00EE4263">
        <w:rPr>
          <w:rFonts w:asciiTheme="majorHAnsi" w:hAnsiTheme="majorHAnsi" w:cs="Arial"/>
          <w:sz w:val="20"/>
        </w:rPr>
        <w:t>6</w:t>
      </w:r>
    </w:p>
    <w:p w14:paraId="3DDDF55F" w14:textId="30AA323E" w:rsidR="00457E46" w:rsidRDefault="001A5D06" w:rsidP="00457E46">
      <w:pPr>
        <w:autoSpaceDE w:val="0"/>
        <w:autoSpaceDN w:val="0"/>
        <w:adjustRightInd w:val="0"/>
        <w:spacing w:before="120" w:after="120" w:line="240" w:lineRule="auto"/>
        <w:rPr>
          <w:rFonts w:ascii="Work Sans Light" w:hAnsi="Work Sans Light"/>
          <w:sz w:val="22"/>
          <w:szCs w:val="22"/>
        </w:rPr>
      </w:pPr>
      <w:r>
        <w:rPr>
          <w:rFonts w:asciiTheme="majorHAnsi" w:hAnsiTheme="majorHAnsi" w:cs="Arial"/>
          <w:b/>
          <w:bCs/>
          <w:spacing w:val="-10"/>
          <w:sz w:val="20"/>
        </w:rPr>
        <w:t>25</w:t>
      </w:r>
      <w:r w:rsidR="00457E46">
        <w:rPr>
          <w:rFonts w:asciiTheme="majorHAnsi" w:hAnsiTheme="majorHAnsi" w:cs="Arial"/>
          <w:b/>
          <w:bCs/>
          <w:spacing w:val="-10"/>
          <w:sz w:val="20"/>
        </w:rPr>
        <w:t xml:space="preserve"> </w:t>
      </w:r>
      <w:r>
        <w:rPr>
          <w:rFonts w:asciiTheme="majorHAnsi" w:hAnsiTheme="majorHAnsi" w:cs="Arial"/>
          <w:b/>
          <w:bCs/>
          <w:spacing w:val="-10"/>
          <w:sz w:val="20"/>
        </w:rPr>
        <w:t>March</w:t>
      </w:r>
      <w:r w:rsidR="00457E46">
        <w:rPr>
          <w:rFonts w:asciiTheme="majorHAnsi" w:hAnsiTheme="majorHAnsi" w:cs="Arial"/>
          <w:b/>
          <w:bCs/>
          <w:spacing w:val="-10"/>
          <w:sz w:val="20"/>
        </w:rPr>
        <w:t xml:space="preserve"> 202</w:t>
      </w:r>
      <w:r w:rsidR="00920E7E">
        <w:rPr>
          <w:rFonts w:asciiTheme="majorHAnsi" w:hAnsiTheme="majorHAnsi" w:cs="Arial"/>
          <w:b/>
          <w:bCs/>
          <w:spacing w:val="-10"/>
          <w:sz w:val="20"/>
        </w:rPr>
        <w:t>5</w:t>
      </w:r>
    </w:p>
    <w:p w14:paraId="36C7F351" w14:textId="77777777" w:rsidR="00DC443C" w:rsidRDefault="00DC443C" w:rsidP="00457E46">
      <w:pPr>
        <w:spacing w:before="0" w:after="200"/>
        <w:sectPr w:rsidR="00DC443C" w:rsidSect="00413993">
          <w:pgSz w:w="11906" w:h="16838" w:code="9"/>
          <w:pgMar w:top="2835" w:right="2098" w:bottom="2466" w:left="2098" w:header="1814" w:footer="1814" w:gutter="0"/>
          <w:pgNumType w:fmt="lowerRoman" w:start="1"/>
          <w:cols w:space="709"/>
          <w:vAlign w:val="bottom"/>
          <w:titlePg/>
        </w:sectPr>
      </w:pPr>
    </w:p>
    <w:p w14:paraId="358107B0" w14:textId="7D76AC89" w:rsidR="00457E46" w:rsidRDefault="00457E46" w:rsidP="006404F7">
      <w:pPr>
        <w:pStyle w:val="CreativeCommonsNormal"/>
      </w:pPr>
      <w:r>
        <w:lastRenderedPageBreak/>
        <w:t>© Commonwealth of Australia 202</w:t>
      </w:r>
      <w:r w:rsidR="00EE4263">
        <w:t>5</w:t>
      </w:r>
    </w:p>
    <w:p w14:paraId="3210B51E" w14:textId="77777777" w:rsidR="00457E46" w:rsidRPr="003F7F1E" w:rsidRDefault="00457E46" w:rsidP="006404F7">
      <w:pPr>
        <w:pStyle w:val="CreativeCommonsNormal"/>
      </w:pPr>
      <w:r w:rsidRPr="003F7F1E">
        <w:t>ISSN 0728 7194 (print); 1326 4133 (online)</w:t>
      </w:r>
    </w:p>
    <w:p w14:paraId="460112FE" w14:textId="0FF8601D" w:rsidR="00457E46" w:rsidRPr="003F7F1E" w:rsidRDefault="00457E46" w:rsidP="006404F7">
      <w:pPr>
        <w:pStyle w:val="CreativeCommonsNormal"/>
        <w:rPr>
          <w:rFonts w:cs="Swiss 721 BT"/>
        </w:rPr>
      </w:pPr>
      <w:r w:rsidRPr="003F7F1E">
        <w:t xml:space="preserve">This publication is available for your use under a </w:t>
      </w:r>
      <w:hyperlink r:id="rId8" w:history="1">
        <w:r w:rsidRPr="00603593">
          <w:t>Creative Commons Attribution 4.0 International</w:t>
        </w:r>
      </w:hyperlink>
      <w:r w:rsidRPr="003F7F1E">
        <w:t xml:space="preserve"> licence, with the exception of the Commonwealth Coat of Arms, third</w:t>
      </w:r>
      <w:r w:rsidR="00192B1C">
        <w:noBreakHyphen/>
      </w:r>
      <w:r w:rsidRPr="003F7F1E">
        <w:t xml:space="preserve">party content and where otherwise stated. The full licence terms are available from </w:t>
      </w:r>
      <w:hyperlink r:id="rId9" w:history="1">
        <w:r w:rsidRPr="00C30728">
          <w:rPr>
            <w:rStyle w:val="Hyperlink"/>
          </w:rPr>
          <w:t>http://creativecommons.org/licenses/by/4.0/legalcode</w:t>
        </w:r>
      </w:hyperlink>
      <w:r w:rsidRPr="003F7F1E">
        <w:t>.</w:t>
      </w:r>
    </w:p>
    <w:p w14:paraId="324284F9" w14:textId="77777777" w:rsidR="00457E46" w:rsidRPr="003F7F1E" w:rsidRDefault="00457E46" w:rsidP="00550730">
      <w:pPr>
        <w:spacing w:before="120" w:after="120" w:line="240" w:lineRule="auto"/>
        <w:ind w:right="-113"/>
      </w:pPr>
      <w:r w:rsidRPr="003F7F1E">
        <w:rPr>
          <w:noProof/>
        </w:rPr>
        <w:drawing>
          <wp:inline distT="0" distB="0" distL="0" distR="0" wp14:anchorId="3D7C1FE6" wp14:editId="5DE0834F">
            <wp:extent cx="887095" cy="307340"/>
            <wp:effectExtent l="0" t="0" r="8255" b="0"/>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7095" cy="307340"/>
                    </a:xfrm>
                    <a:prstGeom prst="rect">
                      <a:avLst/>
                    </a:prstGeom>
                    <a:noFill/>
                    <a:ln>
                      <a:noFill/>
                    </a:ln>
                  </pic:spPr>
                </pic:pic>
              </a:graphicData>
            </a:graphic>
          </wp:inline>
        </w:drawing>
      </w:r>
    </w:p>
    <w:p w14:paraId="3CF4111C" w14:textId="77777777" w:rsidR="00457E46" w:rsidRPr="006404F7" w:rsidRDefault="00457E46" w:rsidP="006404F7">
      <w:pPr>
        <w:pStyle w:val="CreativeCommonsNormal"/>
      </w:pPr>
      <w:r w:rsidRPr="006404F7">
        <w:t xml:space="preserve">Use of Commonwealth of Australia material under </w:t>
      </w:r>
      <w:hyperlink r:id="rId11" w:history="1">
        <w:r w:rsidRPr="006404F7">
          <w:t>Creative Commons Attribution 4.0 International</w:t>
        </w:r>
      </w:hyperlink>
      <w:r w:rsidRPr="006404F7">
        <w:t xml:space="preserve"> licence requires you to attribute the work (but not in any way that suggests that the Commonwealth of Australia endorses you or your use of the work).</w:t>
      </w:r>
    </w:p>
    <w:p w14:paraId="7A41320A" w14:textId="60E66626" w:rsidR="00457E46" w:rsidRPr="003F7F1E" w:rsidRDefault="00457E46" w:rsidP="006404F7">
      <w:pPr>
        <w:pStyle w:val="CreativeCommonsH1"/>
      </w:pPr>
      <w:r w:rsidRPr="003F7F1E">
        <w:t xml:space="preserve">Commonwealth of Australia material used </w:t>
      </w:r>
      <w:r w:rsidR="00192B1C">
        <w:t>‘</w:t>
      </w:r>
      <w:r w:rsidRPr="003F7F1E">
        <w:t>as supplied</w:t>
      </w:r>
      <w:r w:rsidR="00192B1C">
        <w:t>’</w:t>
      </w:r>
      <w:r w:rsidRPr="003F7F1E">
        <w:t>.</w:t>
      </w:r>
    </w:p>
    <w:p w14:paraId="3229A5CA" w14:textId="77777777" w:rsidR="00457E46" w:rsidRPr="003F7F1E" w:rsidRDefault="00457E46" w:rsidP="006404F7">
      <w:pPr>
        <w:pStyle w:val="CreativeCommonsNormal"/>
      </w:pPr>
      <w:r w:rsidRPr="003F7F1E">
        <w:t>Provided you have not modified or transformed Commonwealth of Australia material in any way including, for example, by changing the Commonwealth of Australia text; calculating percentage changes; graphing or charting data; or deriving new statistics from published statistics – then the Commonwealth of Australia prefers the following attribution:</w:t>
      </w:r>
    </w:p>
    <w:p w14:paraId="02CA0F7A" w14:textId="77777777" w:rsidR="00457E46" w:rsidRPr="006404F7" w:rsidRDefault="00457E46" w:rsidP="006404F7">
      <w:pPr>
        <w:pStyle w:val="CreativeCommonsIndented"/>
        <w:rPr>
          <w:rStyle w:val="Emphasis"/>
        </w:rPr>
      </w:pPr>
      <w:r w:rsidRPr="006404F7">
        <w:rPr>
          <w:rStyle w:val="Emphasis"/>
        </w:rPr>
        <w:t>Source: The Commonwealth of Australia.</w:t>
      </w:r>
    </w:p>
    <w:p w14:paraId="1CC06DAD" w14:textId="77777777" w:rsidR="00457E46" w:rsidRPr="003F7F1E" w:rsidRDefault="00457E46" w:rsidP="006404F7">
      <w:pPr>
        <w:pStyle w:val="CreativeCommonsH1"/>
      </w:pPr>
      <w:r w:rsidRPr="003F7F1E">
        <w:t>Derivative material</w:t>
      </w:r>
    </w:p>
    <w:p w14:paraId="1D3C3BBA" w14:textId="77777777" w:rsidR="00457E46" w:rsidRPr="003F7F1E" w:rsidRDefault="00457E46" w:rsidP="006404F7">
      <w:pPr>
        <w:pStyle w:val="CreativeCommonsNormal"/>
      </w:pPr>
      <w:r w:rsidRPr="003F7F1E">
        <w:t>If you have modified or transformed Commonwealth of Australia material, or derived new material from those of the Commonwealth of Australia in any way, then the Commonwealth of Australia prefers the following attribution:</w:t>
      </w:r>
    </w:p>
    <w:p w14:paraId="2ACC09B1" w14:textId="77777777" w:rsidR="00457E46" w:rsidRPr="006404F7" w:rsidRDefault="00457E46" w:rsidP="006404F7">
      <w:pPr>
        <w:pStyle w:val="CreativeCommonsIndented"/>
        <w:rPr>
          <w:rStyle w:val="Emphasis"/>
        </w:rPr>
      </w:pPr>
      <w:r w:rsidRPr="006404F7">
        <w:rPr>
          <w:rStyle w:val="Emphasis"/>
        </w:rPr>
        <w:t>Based on Commonwealth of Australia data.</w:t>
      </w:r>
    </w:p>
    <w:p w14:paraId="709C8AD6" w14:textId="77777777" w:rsidR="00457E46" w:rsidRPr="00EF0B90" w:rsidRDefault="00457E46" w:rsidP="006404F7">
      <w:pPr>
        <w:pStyle w:val="CreativeCommonsH1"/>
      </w:pPr>
      <w:r w:rsidRPr="00EF0B90">
        <w:t>Use of the Coat of Arms</w:t>
      </w:r>
    </w:p>
    <w:p w14:paraId="62D90C59" w14:textId="77777777" w:rsidR="00AC6B84" w:rsidRDefault="00457E46" w:rsidP="00AC6B84">
      <w:pPr>
        <w:pStyle w:val="CreativeCommonsNormal"/>
        <w:spacing w:after="0"/>
      </w:pPr>
      <w:r w:rsidRPr="003F7F1E">
        <w:t xml:space="preserve">The terms under which the Coat of Arms can be used are set out on </w:t>
      </w:r>
      <w:r w:rsidRPr="003F7F1E">
        <w:br/>
        <w:t xml:space="preserve">the Department of the Prime Minister and Cabinet website </w:t>
      </w:r>
    </w:p>
    <w:p w14:paraId="40873525" w14:textId="6FAF4172" w:rsidR="00457E46" w:rsidRPr="003F7F1E" w:rsidRDefault="00457E46" w:rsidP="00AC6B84">
      <w:pPr>
        <w:pStyle w:val="CreativeCommonsNormal"/>
        <w:spacing w:before="0"/>
      </w:pPr>
      <w:r w:rsidRPr="003F7F1E">
        <w:t xml:space="preserve">(see </w:t>
      </w:r>
      <w:hyperlink r:id="rId12" w:history="1">
        <w:r w:rsidR="00AC220A" w:rsidRPr="00C929F7">
          <w:rPr>
            <w:rStyle w:val="Hyperlink"/>
          </w:rPr>
          <w:t>www.pmc.gov.au/honours-and-symbols/commonwealth-coat-arms</w:t>
        </w:r>
      </w:hyperlink>
      <w:r w:rsidRPr="003F7F1E">
        <w:rPr>
          <w:color w:val="000000" w:themeColor="text1"/>
        </w:rPr>
        <w:t>).</w:t>
      </w:r>
    </w:p>
    <w:p w14:paraId="1E0E9A98" w14:textId="77777777" w:rsidR="00457E46" w:rsidRPr="00EF0B90" w:rsidRDefault="00457E46" w:rsidP="006404F7">
      <w:pPr>
        <w:pStyle w:val="CreativeCommonsH1"/>
      </w:pPr>
      <w:r w:rsidRPr="00EF0B90">
        <w:t>Other uses</w:t>
      </w:r>
    </w:p>
    <w:p w14:paraId="314D7E01" w14:textId="77777777" w:rsidR="00457E46" w:rsidRPr="003F7F1E" w:rsidRDefault="00457E46" w:rsidP="006404F7">
      <w:pPr>
        <w:pStyle w:val="CreativeCommonsNormal"/>
        <w:rPr>
          <w:i/>
        </w:rPr>
      </w:pPr>
      <w:r w:rsidRPr="003F7F1E">
        <w:t>Enquiries regarding this licence and any other use of this document are welcome at:</w:t>
      </w:r>
    </w:p>
    <w:p w14:paraId="04E7BC77" w14:textId="77777777" w:rsidR="00457E46" w:rsidRPr="003F7F1E" w:rsidRDefault="00457E46" w:rsidP="006404F7">
      <w:pPr>
        <w:pStyle w:val="CreativeCommonsIndented"/>
      </w:pPr>
      <w:r w:rsidRPr="003F7F1E">
        <w:t>Manager</w:t>
      </w:r>
      <w:r w:rsidRPr="003F7F1E">
        <w:br/>
        <w:t>Media Unit</w:t>
      </w:r>
      <w:r w:rsidRPr="003F7F1E">
        <w:br/>
        <w:t>The Treasury</w:t>
      </w:r>
      <w:r w:rsidRPr="003F7F1E">
        <w:br/>
        <w:t xml:space="preserve">Langton Crescent </w:t>
      </w:r>
      <w:r w:rsidRPr="003F7F1E">
        <w:br/>
      </w:r>
      <w:proofErr w:type="gramStart"/>
      <w:r w:rsidRPr="003F7F1E">
        <w:t>Parkes  ACT</w:t>
      </w:r>
      <w:proofErr w:type="gramEnd"/>
      <w:r w:rsidRPr="003F7F1E">
        <w:t>  2600</w:t>
      </w:r>
      <w:r w:rsidRPr="003F7F1E">
        <w:br/>
        <w:t xml:space="preserve">Email: </w:t>
      </w:r>
      <w:hyperlink r:id="rId13" w:history="1">
        <w:r w:rsidRPr="00C30728">
          <w:rPr>
            <w:rStyle w:val="Hyperlink"/>
          </w:rPr>
          <w:t>media@treasury.gov.au</w:t>
        </w:r>
      </w:hyperlink>
    </w:p>
    <w:p w14:paraId="4935DB60" w14:textId="77777777" w:rsidR="00457E46" w:rsidRPr="00EF0B90" w:rsidRDefault="00457E46" w:rsidP="006404F7">
      <w:pPr>
        <w:pStyle w:val="CreativeCommonsH1"/>
      </w:pPr>
      <w:r w:rsidRPr="00EF0B90">
        <w:t>Internet</w:t>
      </w:r>
    </w:p>
    <w:p w14:paraId="370FDF5E" w14:textId="15282A4D" w:rsidR="00DC443C" w:rsidRDefault="00457E46" w:rsidP="006404F7">
      <w:pPr>
        <w:pStyle w:val="CreativeCommonsNormal"/>
        <w:sectPr w:rsidR="00DC443C" w:rsidSect="00242FE9">
          <w:headerReference w:type="even" r:id="rId14"/>
          <w:headerReference w:type="default" r:id="rId15"/>
          <w:footerReference w:type="even" r:id="rId16"/>
          <w:footerReference w:type="default" r:id="rId17"/>
          <w:headerReference w:type="first" r:id="rId18"/>
          <w:footerReference w:type="first" r:id="rId19"/>
          <w:pgSz w:w="11906" w:h="16838" w:code="9"/>
          <w:pgMar w:top="2835" w:right="2098" w:bottom="2466" w:left="2098" w:header="1814" w:footer="1814" w:gutter="0"/>
          <w:pgNumType w:fmt="lowerRoman"/>
          <w:cols w:space="708"/>
          <w:titlePg/>
          <w:docGrid w:linePitch="360"/>
        </w:sectPr>
      </w:pPr>
      <w:r w:rsidRPr="003F7F1E">
        <w:t xml:space="preserve">A copy of this document is available on the central Budget website at: </w:t>
      </w:r>
      <w:hyperlink r:id="rId20" w:history="1">
        <w:r w:rsidRPr="00C30728">
          <w:rPr>
            <w:rStyle w:val="Hyperlink"/>
          </w:rPr>
          <w:t>www.budget.gov.au</w:t>
        </w:r>
      </w:hyperlink>
      <w:r w:rsidRPr="003F7F1E">
        <w:t>.</w:t>
      </w:r>
      <w:r w:rsidR="006404F7">
        <w:br/>
      </w:r>
      <w:r w:rsidRPr="003F7F1E">
        <w:t xml:space="preserve">Printed by CanPrint Communications Pty Ltd. </w:t>
      </w:r>
    </w:p>
    <w:p w14:paraId="451EAD2E" w14:textId="2FCE35E1" w:rsidR="00457E46" w:rsidRDefault="00457E46" w:rsidP="00C30728">
      <w:pPr>
        <w:pStyle w:val="ContentsHeading"/>
        <w:rPr>
          <w:noProof/>
        </w:rPr>
      </w:pPr>
      <w:r>
        <w:rPr>
          <w:noProof/>
        </w:rPr>
        <w:lastRenderedPageBreak/>
        <w:t>Contents</w:t>
      </w:r>
    </w:p>
    <w:sdt>
      <w:sdtPr>
        <w:rPr>
          <w:rFonts w:ascii="Book Antiqua" w:hAnsi="Book Antiqua"/>
          <w:b w:val="0"/>
          <w:sz w:val="19"/>
        </w:rPr>
        <w:id w:val="-364525937"/>
        <w:docPartObj>
          <w:docPartGallery w:val="Table of Contents"/>
          <w:docPartUnique/>
        </w:docPartObj>
      </w:sdtPr>
      <w:sdtEndPr>
        <w:rPr>
          <w:bCs/>
          <w:noProof/>
        </w:rPr>
      </w:sdtEndPr>
      <w:sdtContent>
        <w:p w14:paraId="4996D89A" w14:textId="77777777" w:rsidR="00997DC0" w:rsidRDefault="004F3B00">
          <w:pPr>
            <w:pStyle w:val="TOC1"/>
            <w:rPr>
              <w:rFonts w:asciiTheme="minorHAnsi" w:eastAsiaTheme="minorEastAsia" w:hAnsiTheme="minorHAnsi" w:cstheme="minorBidi"/>
              <w:b w:val="0"/>
              <w:noProof/>
              <w:kern w:val="2"/>
              <w:sz w:val="24"/>
              <w:szCs w:val="24"/>
              <w14:ligatures w14:val="standardContextual"/>
            </w:rPr>
          </w:pPr>
          <w:r>
            <w:fldChar w:fldCharType="begin"/>
          </w:r>
          <w:r>
            <w:instrText xml:space="preserve"> TOC \o "1-</w:instrText>
          </w:r>
          <w:r w:rsidR="00DB4E51">
            <w:instrText>2</w:instrText>
          </w:r>
          <w:r>
            <w:instrText xml:space="preserve">" \h \z \u </w:instrText>
          </w:r>
          <w:r>
            <w:fldChar w:fldCharType="separate"/>
          </w:r>
          <w:r w:rsidR="00997DC0">
            <w:rPr>
              <w:noProof/>
            </w:rPr>
            <w:t>Statement 1: Budget Overview</w:t>
          </w:r>
          <w:r w:rsidR="00997DC0">
            <w:rPr>
              <w:noProof/>
              <w:webHidden/>
            </w:rPr>
            <w:tab/>
            <w:t>1</w:t>
          </w:r>
        </w:p>
        <w:p w14:paraId="174DF8B7"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Economic and Fiscal Outlook</w:t>
          </w:r>
          <w:r>
            <w:rPr>
              <w:noProof/>
              <w:webHidden/>
            </w:rPr>
            <w:tab/>
            <w:t>5</w:t>
          </w:r>
        </w:p>
        <w:p w14:paraId="254B3C27"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Budget Priorities</w:t>
          </w:r>
          <w:r>
            <w:rPr>
              <w:noProof/>
              <w:webHidden/>
            </w:rPr>
            <w:tab/>
            <w:t>11</w:t>
          </w:r>
        </w:p>
        <w:p w14:paraId="524F7C6F" w14:textId="77777777" w:rsidR="00997DC0" w:rsidRDefault="00997DC0">
          <w:pPr>
            <w:pStyle w:val="TOC1"/>
            <w:rPr>
              <w:rFonts w:asciiTheme="minorHAnsi" w:eastAsiaTheme="minorEastAsia" w:hAnsiTheme="minorHAnsi" w:cstheme="minorBidi"/>
              <w:b w:val="0"/>
              <w:noProof/>
              <w:kern w:val="2"/>
              <w:sz w:val="24"/>
              <w:szCs w:val="24"/>
              <w14:ligatures w14:val="standardContextual"/>
            </w:rPr>
          </w:pPr>
          <w:r>
            <w:rPr>
              <w:noProof/>
            </w:rPr>
            <w:t>Statement 2: Economic Outlook</w:t>
          </w:r>
          <w:r>
            <w:rPr>
              <w:noProof/>
              <w:webHidden/>
            </w:rPr>
            <w:tab/>
            <w:t>33</w:t>
          </w:r>
        </w:p>
        <w:p w14:paraId="27FD46BE"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Outlook for the international economy</w:t>
          </w:r>
          <w:r>
            <w:rPr>
              <w:noProof/>
              <w:webHidden/>
            </w:rPr>
            <w:tab/>
            <w:t>37</w:t>
          </w:r>
        </w:p>
        <w:p w14:paraId="3A8FAD62"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Outlook for the domestic economy</w:t>
          </w:r>
          <w:r>
            <w:rPr>
              <w:noProof/>
              <w:webHidden/>
            </w:rPr>
            <w:tab/>
            <w:t>42</w:t>
          </w:r>
        </w:p>
        <w:p w14:paraId="34FB5195" w14:textId="77777777" w:rsidR="00997DC0" w:rsidRDefault="00997DC0">
          <w:pPr>
            <w:pStyle w:val="TOC1"/>
            <w:rPr>
              <w:rFonts w:asciiTheme="minorHAnsi" w:eastAsiaTheme="minorEastAsia" w:hAnsiTheme="minorHAnsi" w:cstheme="minorBidi"/>
              <w:b w:val="0"/>
              <w:noProof/>
              <w:kern w:val="2"/>
              <w:sz w:val="24"/>
              <w:szCs w:val="24"/>
              <w14:ligatures w14:val="standardContextual"/>
            </w:rPr>
          </w:pPr>
          <w:r>
            <w:rPr>
              <w:noProof/>
            </w:rPr>
            <w:t>Statement 3: Fiscal Strategy and Outlook</w:t>
          </w:r>
          <w:r>
            <w:rPr>
              <w:noProof/>
              <w:webHidden/>
            </w:rPr>
            <w:tab/>
            <w:t>53</w:t>
          </w:r>
        </w:p>
        <w:p w14:paraId="424E3333"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Economic and Fiscal Strategy</w:t>
          </w:r>
          <w:r>
            <w:rPr>
              <w:noProof/>
              <w:webHidden/>
            </w:rPr>
            <w:tab/>
            <w:t>58</w:t>
          </w:r>
        </w:p>
        <w:p w14:paraId="4D0EF22F"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Fiscal outlook</w:t>
          </w:r>
          <w:r>
            <w:rPr>
              <w:noProof/>
              <w:webHidden/>
            </w:rPr>
            <w:tab/>
            <w:t>62</w:t>
          </w:r>
        </w:p>
        <w:p w14:paraId="516DD9ED"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The Government’s balance sheet</w:t>
          </w:r>
          <w:r>
            <w:rPr>
              <w:noProof/>
              <w:webHidden/>
            </w:rPr>
            <w:tab/>
            <w:t>76</w:t>
          </w:r>
        </w:p>
        <w:p w14:paraId="7E4E45AA" w14:textId="77777777" w:rsidR="00997DC0" w:rsidRDefault="00997DC0">
          <w:pPr>
            <w:pStyle w:val="TOC2"/>
            <w:rPr>
              <w:rFonts w:asciiTheme="minorHAnsi" w:eastAsiaTheme="minorEastAsia" w:hAnsiTheme="minorHAnsi" w:cstheme="minorBidi"/>
              <w:noProof/>
              <w:kern w:val="2"/>
              <w:sz w:val="24"/>
              <w:szCs w:val="24"/>
              <w14:ligatures w14:val="standardContextual"/>
            </w:rPr>
          </w:pPr>
          <w:r w:rsidRPr="00A6458F">
            <w:rPr>
              <w:rFonts w:eastAsiaTheme="minorEastAsia"/>
              <w:noProof/>
            </w:rPr>
            <w:t>Fiscal impacts of the net zero transformation</w:t>
          </w:r>
          <w:r>
            <w:rPr>
              <w:noProof/>
              <w:webHidden/>
            </w:rPr>
            <w:tab/>
            <w:t>80</w:t>
          </w:r>
        </w:p>
        <w:p w14:paraId="1BD39288" w14:textId="77777777" w:rsidR="00997DC0" w:rsidRDefault="00997DC0" w:rsidP="008830A7">
          <w:pPr>
            <w:pStyle w:val="TOC2"/>
            <w:rPr>
              <w:rFonts w:asciiTheme="minorHAnsi" w:eastAsiaTheme="minorEastAsia" w:hAnsiTheme="minorHAnsi" w:cstheme="minorBidi"/>
              <w:b/>
              <w:noProof/>
              <w:kern w:val="2"/>
              <w:sz w:val="24"/>
              <w:szCs w:val="24"/>
              <w14:ligatures w14:val="standardContextual"/>
            </w:rPr>
          </w:pPr>
          <w:r>
            <w:rPr>
              <w:noProof/>
            </w:rPr>
            <w:t>Appendix A: Other fiscal aggregates</w:t>
          </w:r>
          <w:r>
            <w:rPr>
              <w:noProof/>
              <w:webHidden/>
            </w:rPr>
            <w:tab/>
            <w:t>85</w:t>
          </w:r>
        </w:p>
        <w:p w14:paraId="03BCC6E3" w14:textId="0907C1FC" w:rsidR="00997DC0" w:rsidRDefault="00997DC0">
          <w:pPr>
            <w:pStyle w:val="TOC1"/>
            <w:rPr>
              <w:rFonts w:asciiTheme="minorHAnsi" w:eastAsiaTheme="minorEastAsia" w:hAnsiTheme="minorHAnsi" w:cstheme="minorBidi"/>
              <w:b w:val="0"/>
              <w:noProof/>
              <w:kern w:val="2"/>
              <w:sz w:val="24"/>
              <w:szCs w:val="24"/>
              <w14:ligatures w14:val="standardContextual"/>
            </w:rPr>
          </w:pPr>
          <w:r>
            <w:rPr>
              <w:noProof/>
            </w:rPr>
            <w:t>Statement 4:</w:t>
          </w:r>
          <w:r w:rsidRPr="00A6458F">
            <w:rPr>
              <w:b w:val="0"/>
              <w:noProof/>
            </w:rPr>
            <w:t xml:space="preserve"> </w:t>
          </w:r>
          <w:r>
            <w:rPr>
              <w:noProof/>
            </w:rPr>
            <w:t>Revenue</w:t>
          </w:r>
          <w:r>
            <w:rPr>
              <w:noProof/>
              <w:webHidden/>
            </w:rPr>
            <w:tab/>
            <w:t>89</w:t>
          </w:r>
        </w:p>
        <w:p w14:paraId="73CCA84B" w14:textId="77777777" w:rsidR="00997DC0" w:rsidRDefault="00997DC0" w:rsidP="00D01CC0">
          <w:pPr>
            <w:pStyle w:val="TOC2"/>
            <w:tabs>
              <w:tab w:val="clear" w:pos="992"/>
              <w:tab w:val="left" w:pos="709"/>
            </w:tabs>
            <w:rPr>
              <w:rFonts w:asciiTheme="minorHAnsi" w:eastAsiaTheme="minorEastAsia" w:hAnsiTheme="minorHAnsi" w:cstheme="minorBidi"/>
              <w:noProof/>
              <w:kern w:val="2"/>
              <w:sz w:val="24"/>
              <w:szCs w:val="24"/>
              <w14:ligatures w14:val="standardContextual"/>
            </w:rPr>
          </w:pPr>
          <w:r>
            <w:rPr>
              <w:noProof/>
            </w:rPr>
            <w:t>Overview</w:t>
          </w:r>
          <w:r>
            <w:rPr>
              <w:noProof/>
              <w:webHidden/>
            </w:rPr>
            <w:tab/>
            <w:t>93</w:t>
          </w:r>
        </w:p>
        <w:p w14:paraId="0D6149F3"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Variations in receipts estimates</w:t>
          </w:r>
          <w:r>
            <w:rPr>
              <w:noProof/>
              <w:webHidden/>
            </w:rPr>
            <w:tab/>
            <w:t>95</w:t>
          </w:r>
        </w:p>
        <w:p w14:paraId="685E96C3"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Variations in revenue estimates</w:t>
          </w:r>
          <w:r>
            <w:rPr>
              <w:noProof/>
              <w:webHidden/>
            </w:rPr>
            <w:tab/>
            <w:t>104</w:t>
          </w:r>
        </w:p>
        <w:p w14:paraId="0FCAAC7B" w14:textId="77777777" w:rsidR="00997DC0" w:rsidRDefault="00997DC0" w:rsidP="00670F42">
          <w:pPr>
            <w:pStyle w:val="TOC2"/>
            <w:rPr>
              <w:rFonts w:asciiTheme="minorHAnsi" w:eastAsiaTheme="minorEastAsia" w:hAnsiTheme="minorHAnsi" w:cstheme="minorBidi"/>
              <w:noProof/>
              <w:kern w:val="2"/>
              <w:sz w:val="24"/>
              <w:szCs w:val="24"/>
              <w14:ligatures w14:val="standardContextual"/>
            </w:rPr>
          </w:pPr>
          <w:r w:rsidRPr="00670F42">
            <w:t>Appendix</w:t>
          </w:r>
          <w:r>
            <w:rPr>
              <w:noProof/>
            </w:rPr>
            <w:t xml:space="preserve"> A: Tax Expenditures</w:t>
          </w:r>
          <w:r>
            <w:rPr>
              <w:noProof/>
              <w:webHidden/>
            </w:rPr>
            <w:tab/>
            <w:t>107</w:t>
          </w:r>
        </w:p>
        <w:p w14:paraId="6D47A4E7" w14:textId="77777777" w:rsidR="00997DC0" w:rsidRDefault="00997DC0">
          <w:pPr>
            <w:pStyle w:val="TOC1"/>
            <w:rPr>
              <w:rFonts w:asciiTheme="minorHAnsi" w:eastAsiaTheme="minorEastAsia" w:hAnsiTheme="minorHAnsi" w:cstheme="minorBidi"/>
              <w:b w:val="0"/>
              <w:noProof/>
              <w:kern w:val="2"/>
              <w:sz w:val="24"/>
              <w:szCs w:val="24"/>
              <w14:ligatures w14:val="standardContextual"/>
            </w:rPr>
          </w:pPr>
          <w:r>
            <w:rPr>
              <w:noProof/>
            </w:rPr>
            <w:t>Statement 5: Expenses and Net Capital Investment</w:t>
          </w:r>
          <w:r>
            <w:rPr>
              <w:noProof/>
              <w:webHidden/>
            </w:rPr>
            <w:tab/>
            <w:t>111</w:t>
          </w:r>
        </w:p>
        <w:p w14:paraId="152C3A3A" w14:textId="77777777" w:rsidR="00997DC0" w:rsidRDefault="00997DC0" w:rsidP="00F948E2">
          <w:pPr>
            <w:pStyle w:val="TOC2"/>
            <w:tabs>
              <w:tab w:val="clear" w:pos="992"/>
              <w:tab w:val="left" w:pos="567"/>
            </w:tabs>
            <w:rPr>
              <w:rFonts w:asciiTheme="minorHAnsi" w:eastAsiaTheme="minorEastAsia" w:hAnsiTheme="minorHAnsi" w:cstheme="minorBidi"/>
              <w:noProof/>
              <w:kern w:val="2"/>
              <w:sz w:val="24"/>
              <w:szCs w:val="24"/>
              <w14:ligatures w14:val="standardContextual"/>
            </w:rPr>
          </w:pPr>
          <w:r>
            <w:rPr>
              <w:noProof/>
            </w:rPr>
            <w:t>Overview</w:t>
          </w:r>
          <w:r>
            <w:rPr>
              <w:noProof/>
              <w:webHidden/>
            </w:rPr>
            <w:tab/>
            <w:t>115</w:t>
          </w:r>
        </w:p>
        <w:p w14:paraId="5CC28CB9"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Estimated expenses by function</w:t>
          </w:r>
          <w:r>
            <w:rPr>
              <w:noProof/>
              <w:webHidden/>
            </w:rPr>
            <w:tab/>
            <w:t>117</w:t>
          </w:r>
        </w:p>
        <w:p w14:paraId="2E9D8441"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General government sector expenses</w:t>
          </w:r>
          <w:r>
            <w:rPr>
              <w:noProof/>
              <w:webHidden/>
            </w:rPr>
            <w:tab/>
            <w:t>121</w:t>
          </w:r>
        </w:p>
        <w:p w14:paraId="6BE76C6E" w14:textId="77777777" w:rsidR="00997DC0" w:rsidRDefault="00997DC0" w:rsidP="00F948E2">
          <w:pPr>
            <w:pStyle w:val="TOC2"/>
            <w:rPr>
              <w:rFonts w:asciiTheme="minorHAnsi" w:eastAsiaTheme="minorEastAsia" w:hAnsiTheme="minorHAnsi" w:cstheme="minorBidi"/>
              <w:b/>
              <w:noProof/>
              <w:kern w:val="2"/>
              <w:sz w:val="24"/>
              <w:szCs w:val="24"/>
              <w14:ligatures w14:val="standardContextual"/>
            </w:rPr>
          </w:pPr>
          <w:r>
            <w:rPr>
              <w:noProof/>
            </w:rPr>
            <w:t>Appendix A: Expense by function and sub</w:t>
          </w:r>
          <w:r>
            <w:rPr>
              <w:noProof/>
            </w:rPr>
            <w:noBreakHyphen/>
            <w:t>function</w:t>
          </w:r>
          <w:r>
            <w:rPr>
              <w:noProof/>
              <w:webHidden/>
            </w:rPr>
            <w:tab/>
            <w:t>150</w:t>
          </w:r>
        </w:p>
        <w:p w14:paraId="7A427037" w14:textId="31C3BC60" w:rsidR="00997DC0" w:rsidRDefault="00997DC0">
          <w:pPr>
            <w:pStyle w:val="TOC1"/>
            <w:rPr>
              <w:rFonts w:asciiTheme="minorHAnsi" w:eastAsiaTheme="minorEastAsia" w:hAnsiTheme="minorHAnsi" w:cstheme="minorBidi"/>
              <w:b w:val="0"/>
              <w:noProof/>
              <w:kern w:val="2"/>
              <w:sz w:val="24"/>
              <w:szCs w:val="24"/>
              <w14:ligatures w14:val="standardContextual"/>
            </w:rPr>
          </w:pPr>
          <w:r>
            <w:rPr>
              <w:noProof/>
            </w:rPr>
            <w:t>Statement 6: Debt Statement</w:t>
          </w:r>
          <w:r>
            <w:rPr>
              <w:noProof/>
              <w:webHidden/>
            </w:rPr>
            <w:tab/>
            <w:t>153</w:t>
          </w:r>
        </w:p>
        <w:p w14:paraId="61D7E0EB"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Australian Government Securities issuance</w:t>
          </w:r>
          <w:r>
            <w:rPr>
              <w:noProof/>
              <w:webHidden/>
            </w:rPr>
            <w:tab/>
            <w:t>157</w:t>
          </w:r>
        </w:p>
        <w:p w14:paraId="31DC89CA"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Estimates of AGS on issue</w:t>
          </w:r>
          <w:r>
            <w:rPr>
              <w:noProof/>
              <w:webHidden/>
            </w:rPr>
            <w:tab/>
            <w:t>157</w:t>
          </w:r>
        </w:p>
        <w:p w14:paraId="749ECBDE"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Changes in AGS on issue since the 2024–25 MYEFO</w:t>
          </w:r>
          <w:r>
            <w:rPr>
              <w:noProof/>
              <w:webHidden/>
            </w:rPr>
            <w:tab/>
            <w:t>159</w:t>
          </w:r>
        </w:p>
        <w:p w14:paraId="0AFFFA6A"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Breakdown of AGS currently on issue</w:t>
          </w:r>
          <w:r>
            <w:rPr>
              <w:noProof/>
              <w:webHidden/>
            </w:rPr>
            <w:tab/>
            <w:t>159</w:t>
          </w:r>
        </w:p>
        <w:p w14:paraId="1936643D"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Non</w:t>
          </w:r>
          <w:r>
            <w:rPr>
              <w:noProof/>
            </w:rPr>
            <w:noBreakHyphen/>
            <w:t>resident holdings of AGS on issue</w:t>
          </w:r>
          <w:r>
            <w:rPr>
              <w:noProof/>
              <w:webHidden/>
            </w:rPr>
            <w:tab/>
            <w:t>162</w:t>
          </w:r>
        </w:p>
        <w:p w14:paraId="56B046AF" w14:textId="77777777" w:rsidR="00997DC0" w:rsidRDefault="00997DC0" w:rsidP="00531A93">
          <w:pPr>
            <w:pStyle w:val="TOC2"/>
            <w:tabs>
              <w:tab w:val="clear" w:pos="992"/>
              <w:tab w:val="left" w:pos="567"/>
            </w:tabs>
            <w:rPr>
              <w:rFonts w:asciiTheme="minorHAnsi" w:eastAsiaTheme="minorEastAsia" w:hAnsiTheme="minorHAnsi" w:cstheme="minorBidi"/>
              <w:noProof/>
              <w:kern w:val="2"/>
              <w:sz w:val="24"/>
              <w:szCs w:val="24"/>
              <w14:ligatures w14:val="standardContextual"/>
            </w:rPr>
          </w:pPr>
          <w:r>
            <w:rPr>
              <w:noProof/>
            </w:rPr>
            <w:t>Net debt</w:t>
          </w:r>
          <w:r>
            <w:rPr>
              <w:noProof/>
              <w:webHidden/>
            </w:rPr>
            <w:tab/>
            <w:t>162</w:t>
          </w:r>
        </w:p>
        <w:p w14:paraId="43948F33"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Interest on AGS</w:t>
          </w:r>
          <w:r>
            <w:rPr>
              <w:noProof/>
              <w:webHidden/>
            </w:rPr>
            <w:tab/>
            <w:t>164</w:t>
          </w:r>
        </w:p>
        <w:p w14:paraId="35467962" w14:textId="1505A8C9" w:rsidR="00997DC0" w:rsidRDefault="00997DC0">
          <w:pPr>
            <w:pStyle w:val="TOC1"/>
            <w:rPr>
              <w:rFonts w:asciiTheme="minorHAnsi" w:eastAsiaTheme="minorEastAsia" w:hAnsiTheme="minorHAnsi" w:cstheme="minorBidi"/>
              <w:b w:val="0"/>
              <w:noProof/>
              <w:kern w:val="2"/>
              <w:sz w:val="24"/>
              <w:szCs w:val="24"/>
              <w14:ligatures w14:val="standardContextual"/>
            </w:rPr>
          </w:pPr>
          <w:r>
            <w:rPr>
              <w:noProof/>
            </w:rPr>
            <w:t>Statement 7:</w:t>
          </w:r>
          <w:r w:rsidRPr="00A6458F">
            <w:rPr>
              <w:b w:val="0"/>
              <w:noProof/>
            </w:rPr>
            <w:t xml:space="preserve"> </w:t>
          </w:r>
          <w:r>
            <w:rPr>
              <w:noProof/>
            </w:rPr>
            <w:t>Forecasting Performance  and Sensitivity Analysis</w:t>
          </w:r>
          <w:r>
            <w:rPr>
              <w:noProof/>
              <w:webHidden/>
            </w:rPr>
            <w:tab/>
            <w:t>167</w:t>
          </w:r>
        </w:p>
        <w:p w14:paraId="2E6637FB"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Assessing past forecasting performance</w:t>
          </w:r>
          <w:r>
            <w:rPr>
              <w:noProof/>
              <w:webHidden/>
            </w:rPr>
            <w:tab/>
            <w:t>171</w:t>
          </w:r>
        </w:p>
        <w:p w14:paraId="227E6822"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Assessing forecast uncertainty – confidence interval analysis</w:t>
          </w:r>
          <w:r>
            <w:rPr>
              <w:noProof/>
              <w:webHidden/>
            </w:rPr>
            <w:tab/>
            <w:t>178</w:t>
          </w:r>
        </w:p>
        <w:p w14:paraId="666DB2EC"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Assessing current forecasts through sensitivity analysis</w:t>
          </w:r>
          <w:r>
            <w:rPr>
              <w:noProof/>
              <w:webHidden/>
            </w:rPr>
            <w:tab/>
            <w:t>184</w:t>
          </w:r>
        </w:p>
        <w:p w14:paraId="1975E805" w14:textId="77777777" w:rsidR="00997DC0" w:rsidRDefault="00997DC0">
          <w:pPr>
            <w:pStyle w:val="TOC1"/>
            <w:rPr>
              <w:rFonts w:asciiTheme="minorHAnsi" w:eastAsiaTheme="minorEastAsia" w:hAnsiTheme="minorHAnsi" w:cstheme="minorBidi"/>
              <w:b w:val="0"/>
              <w:noProof/>
              <w:kern w:val="2"/>
              <w:sz w:val="24"/>
              <w:szCs w:val="24"/>
              <w14:ligatures w14:val="standardContextual"/>
            </w:rPr>
          </w:pPr>
          <w:r>
            <w:rPr>
              <w:noProof/>
            </w:rPr>
            <w:lastRenderedPageBreak/>
            <w:t>Statement 8: Statement of Risks</w:t>
          </w:r>
          <w:r>
            <w:rPr>
              <w:noProof/>
              <w:webHidden/>
            </w:rPr>
            <w:tab/>
            <w:t>189</w:t>
          </w:r>
        </w:p>
        <w:p w14:paraId="1240C2E4" w14:textId="77777777" w:rsidR="00997DC0" w:rsidRDefault="00997DC0" w:rsidP="00A94740">
          <w:pPr>
            <w:pStyle w:val="TOC2"/>
            <w:tabs>
              <w:tab w:val="clear" w:pos="992"/>
              <w:tab w:val="left" w:pos="284"/>
            </w:tabs>
            <w:rPr>
              <w:rFonts w:asciiTheme="minorHAnsi" w:eastAsiaTheme="minorEastAsia" w:hAnsiTheme="minorHAnsi" w:cstheme="minorBidi"/>
              <w:noProof/>
              <w:kern w:val="2"/>
              <w:sz w:val="24"/>
              <w:szCs w:val="24"/>
              <w14:ligatures w14:val="standardContextual"/>
            </w:rPr>
          </w:pPr>
          <w:r>
            <w:rPr>
              <w:noProof/>
            </w:rPr>
            <w:t>Overview</w:t>
          </w:r>
          <w:r>
            <w:rPr>
              <w:noProof/>
              <w:webHidden/>
            </w:rPr>
            <w:tab/>
            <w:t>193</w:t>
          </w:r>
        </w:p>
        <w:p w14:paraId="59816CE8"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Agriculture, Fisheries and Forestry</w:t>
          </w:r>
          <w:r>
            <w:rPr>
              <w:noProof/>
              <w:webHidden/>
            </w:rPr>
            <w:tab/>
            <w:t>202</w:t>
          </w:r>
        </w:p>
        <w:p w14:paraId="553BF671"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Attorney</w:t>
          </w:r>
          <w:r>
            <w:rPr>
              <w:noProof/>
            </w:rPr>
            <w:noBreakHyphen/>
            <w:t>General’s</w:t>
          </w:r>
          <w:r>
            <w:rPr>
              <w:noProof/>
              <w:webHidden/>
            </w:rPr>
            <w:tab/>
            <w:t>203</w:t>
          </w:r>
        </w:p>
        <w:p w14:paraId="786A380C"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Climate Change, Energy, the Environment and Water</w:t>
          </w:r>
          <w:r>
            <w:rPr>
              <w:noProof/>
              <w:webHidden/>
            </w:rPr>
            <w:tab/>
            <w:t>205</w:t>
          </w:r>
        </w:p>
        <w:p w14:paraId="1DF50CE3" w14:textId="77777777" w:rsidR="00997DC0" w:rsidRDefault="00997DC0" w:rsidP="001E07B4">
          <w:pPr>
            <w:pStyle w:val="TOC2"/>
            <w:tabs>
              <w:tab w:val="clear" w:pos="992"/>
              <w:tab w:val="left" w:pos="567"/>
            </w:tabs>
            <w:rPr>
              <w:rFonts w:asciiTheme="minorHAnsi" w:eastAsiaTheme="minorEastAsia" w:hAnsiTheme="minorHAnsi" w:cstheme="minorBidi"/>
              <w:noProof/>
              <w:kern w:val="2"/>
              <w:sz w:val="24"/>
              <w:szCs w:val="24"/>
              <w14:ligatures w14:val="standardContextual"/>
            </w:rPr>
          </w:pPr>
          <w:r>
            <w:rPr>
              <w:noProof/>
            </w:rPr>
            <w:t>Defence</w:t>
          </w:r>
          <w:r>
            <w:rPr>
              <w:noProof/>
              <w:webHidden/>
            </w:rPr>
            <w:tab/>
            <w:t>209</w:t>
          </w:r>
        </w:p>
        <w:p w14:paraId="5CFC22ED"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Employment and Workplace Relations</w:t>
          </w:r>
          <w:r>
            <w:rPr>
              <w:noProof/>
              <w:webHidden/>
            </w:rPr>
            <w:tab/>
            <w:t>212</w:t>
          </w:r>
        </w:p>
        <w:p w14:paraId="4FD4BC5B" w14:textId="77777777" w:rsidR="00997DC0" w:rsidRDefault="00997DC0" w:rsidP="001E07B4">
          <w:pPr>
            <w:pStyle w:val="TOC2"/>
            <w:tabs>
              <w:tab w:val="clear" w:pos="992"/>
              <w:tab w:val="left" w:pos="567"/>
            </w:tabs>
            <w:rPr>
              <w:rFonts w:asciiTheme="minorHAnsi" w:eastAsiaTheme="minorEastAsia" w:hAnsiTheme="minorHAnsi" w:cstheme="minorBidi"/>
              <w:noProof/>
              <w:kern w:val="2"/>
              <w:sz w:val="24"/>
              <w:szCs w:val="24"/>
              <w14:ligatures w14:val="standardContextual"/>
            </w:rPr>
          </w:pPr>
          <w:r>
            <w:rPr>
              <w:noProof/>
            </w:rPr>
            <w:t>Finance</w:t>
          </w:r>
          <w:r>
            <w:rPr>
              <w:noProof/>
              <w:webHidden/>
            </w:rPr>
            <w:tab/>
            <w:t>215</w:t>
          </w:r>
        </w:p>
        <w:p w14:paraId="2F4ADC3B"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Foreign Affairs and Trade</w:t>
          </w:r>
          <w:r>
            <w:rPr>
              <w:noProof/>
              <w:webHidden/>
            </w:rPr>
            <w:tab/>
            <w:t>220</w:t>
          </w:r>
        </w:p>
        <w:p w14:paraId="65EF8FDC"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Health and Aged Care</w:t>
          </w:r>
          <w:r>
            <w:rPr>
              <w:noProof/>
              <w:webHidden/>
            </w:rPr>
            <w:tab/>
            <w:t>222</w:t>
          </w:r>
        </w:p>
        <w:p w14:paraId="326ECF41"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Home Affairs</w:t>
          </w:r>
          <w:r>
            <w:rPr>
              <w:noProof/>
              <w:webHidden/>
            </w:rPr>
            <w:tab/>
            <w:t>226</w:t>
          </w:r>
        </w:p>
        <w:p w14:paraId="6011AC68"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Industry, Science and Resources</w:t>
          </w:r>
          <w:r>
            <w:rPr>
              <w:noProof/>
              <w:webHidden/>
            </w:rPr>
            <w:tab/>
            <w:t>230</w:t>
          </w:r>
        </w:p>
        <w:p w14:paraId="210FE9AD"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Infrastructure, Transport, Regional Development, Communications and the Arts</w:t>
          </w:r>
          <w:r>
            <w:rPr>
              <w:noProof/>
              <w:webHidden/>
            </w:rPr>
            <w:tab/>
            <w:t>234</w:t>
          </w:r>
        </w:p>
        <w:p w14:paraId="7A8447CB"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Prime Minister and Cabinet</w:t>
          </w:r>
          <w:r>
            <w:rPr>
              <w:noProof/>
              <w:webHidden/>
            </w:rPr>
            <w:tab/>
            <w:t>240</w:t>
          </w:r>
        </w:p>
        <w:p w14:paraId="3FC32E8F"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Social Services</w:t>
          </w:r>
          <w:r>
            <w:rPr>
              <w:noProof/>
              <w:webHidden/>
            </w:rPr>
            <w:tab/>
            <w:t>241</w:t>
          </w:r>
        </w:p>
        <w:p w14:paraId="3DDDE882" w14:textId="77777777" w:rsidR="00997DC0" w:rsidRDefault="00997DC0" w:rsidP="001E07B4">
          <w:pPr>
            <w:pStyle w:val="TOC2"/>
            <w:tabs>
              <w:tab w:val="clear" w:pos="992"/>
              <w:tab w:val="left" w:pos="426"/>
            </w:tabs>
            <w:rPr>
              <w:rFonts w:asciiTheme="minorHAnsi" w:eastAsiaTheme="minorEastAsia" w:hAnsiTheme="minorHAnsi" w:cstheme="minorBidi"/>
              <w:noProof/>
              <w:kern w:val="2"/>
              <w:sz w:val="24"/>
              <w:szCs w:val="24"/>
              <w14:ligatures w14:val="standardContextual"/>
            </w:rPr>
          </w:pPr>
          <w:r>
            <w:rPr>
              <w:noProof/>
            </w:rPr>
            <w:t>Treasury</w:t>
          </w:r>
          <w:r>
            <w:rPr>
              <w:noProof/>
              <w:webHidden/>
            </w:rPr>
            <w:tab/>
            <w:t>243</w:t>
          </w:r>
        </w:p>
        <w:p w14:paraId="052DA4CA" w14:textId="77777777" w:rsidR="00997DC0" w:rsidRDefault="00997DC0">
          <w:pPr>
            <w:pStyle w:val="TOC2"/>
            <w:rPr>
              <w:rFonts w:asciiTheme="minorHAnsi" w:eastAsiaTheme="minorEastAsia" w:hAnsiTheme="minorHAnsi" w:cstheme="minorBidi"/>
              <w:noProof/>
              <w:kern w:val="2"/>
              <w:sz w:val="24"/>
              <w:szCs w:val="24"/>
              <w14:ligatures w14:val="standardContextual"/>
            </w:rPr>
          </w:pPr>
          <w:r w:rsidRPr="00A6458F">
            <w:rPr>
              <w:rFonts w:eastAsia="Arial"/>
              <w:noProof/>
            </w:rPr>
            <w:t>Veterans’ Affairs</w:t>
          </w:r>
          <w:r>
            <w:rPr>
              <w:noProof/>
              <w:webHidden/>
            </w:rPr>
            <w:tab/>
            <w:t>250</w:t>
          </w:r>
        </w:p>
        <w:p w14:paraId="43177987" w14:textId="77777777" w:rsidR="00997DC0" w:rsidRDefault="00997DC0">
          <w:pPr>
            <w:pStyle w:val="TOC2"/>
            <w:rPr>
              <w:rFonts w:asciiTheme="minorHAnsi" w:eastAsiaTheme="minorEastAsia" w:hAnsiTheme="minorHAnsi" w:cstheme="minorBidi"/>
              <w:noProof/>
              <w:kern w:val="2"/>
              <w:sz w:val="24"/>
              <w:szCs w:val="24"/>
              <w14:ligatures w14:val="standardContextual"/>
            </w:rPr>
          </w:pPr>
          <w:r w:rsidRPr="00A6458F">
            <w:rPr>
              <w:rFonts w:eastAsia="Arial"/>
              <w:noProof/>
            </w:rPr>
            <w:t>Government loans</w:t>
          </w:r>
          <w:r>
            <w:rPr>
              <w:noProof/>
              <w:webHidden/>
            </w:rPr>
            <w:tab/>
            <w:t>251</w:t>
          </w:r>
        </w:p>
        <w:p w14:paraId="769E06F5" w14:textId="77777777" w:rsidR="00997DC0" w:rsidRDefault="00997DC0">
          <w:pPr>
            <w:pStyle w:val="TOC1"/>
            <w:rPr>
              <w:rFonts w:asciiTheme="minorHAnsi" w:eastAsiaTheme="minorEastAsia" w:hAnsiTheme="minorHAnsi" w:cstheme="minorBidi"/>
              <w:b w:val="0"/>
              <w:noProof/>
              <w:kern w:val="2"/>
              <w:sz w:val="24"/>
              <w:szCs w:val="24"/>
              <w14:ligatures w14:val="standardContextual"/>
            </w:rPr>
          </w:pPr>
          <w:r>
            <w:rPr>
              <w:noProof/>
            </w:rPr>
            <w:t>Statement 9: Australian Government Budget Financial Statements</w:t>
          </w:r>
          <w:r>
            <w:rPr>
              <w:noProof/>
              <w:webHidden/>
            </w:rPr>
            <w:tab/>
            <w:t>267</w:t>
          </w:r>
        </w:p>
        <w:p w14:paraId="221A07A9"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Notes to the general government sector financial statements</w:t>
          </w:r>
          <w:r>
            <w:rPr>
              <w:noProof/>
              <w:webHidden/>
            </w:rPr>
            <w:tab/>
            <w:t>286</w:t>
          </w:r>
        </w:p>
        <w:p w14:paraId="5BA4A4FA" w14:textId="77777777" w:rsidR="00997DC0" w:rsidRDefault="00997DC0" w:rsidP="00823AF5">
          <w:pPr>
            <w:pStyle w:val="TOC2"/>
            <w:rPr>
              <w:rFonts w:asciiTheme="minorHAnsi" w:eastAsiaTheme="minorEastAsia" w:hAnsiTheme="minorHAnsi" w:cstheme="minorBidi"/>
              <w:b/>
              <w:noProof/>
              <w:kern w:val="2"/>
              <w:sz w:val="24"/>
              <w:szCs w:val="24"/>
              <w14:ligatures w14:val="standardContextual"/>
            </w:rPr>
          </w:pPr>
          <w:r>
            <w:rPr>
              <w:noProof/>
            </w:rPr>
            <w:t>Appendix A: Financial reporting standards and budget concepts</w:t>
          </w:r>
          <w:r>
            <w:rPr>
              <w:noProof/>
              <w:webHidden/>
            </w:rPr>
            <w:tab/>
            <w:t>302</w:t>
          </w:r>
        </w:p>
        <w:p w14:paraId="52413215" w14:textId="77777777" w:rsidR="00997DC0" w:rsidRDefault="00997DC0" w:rsidP="00823AF5">
          <w:pPr>
            <w:pStyle w:val="TOC2"/>
            <w:rPr>
              <w:rFonts w:asciiTheme="minorHAnsi" w:eastAsiaTheme="minorEastAsia" w:hAnsiTheme="minorHAnsi" w:cstheme="minorBidi"/>
              <w:b/>
              <w:noProof/>
              <w:kern w:val="2"/>
              <w:sz w:val="24"/>
              <w:szCs w:val="24"/>
              <w14:ligatures w14:val="standardContextual"/>
            </w:rPr>
          </w:pPr>
          <w:r>
            <w:rPr>
              <w:noProof/>
            </w:rPr>
            <w:t>Appendix B: Assets and Liabilities</w:t>
          </w:r>
          <w:r>
            <w:rPr>
              <w:noProof/>
              <w:webHidden/>
            </w:rPr>
            <w:tab/>
            <w:t>310</w:t>
          </w:r>
        </w:p>
        <w:p w14:paraId="6BF0DE68" w14:textId="77777777" w:rsidR="00997DC0" w:rsidRDefault="00997DC0">
          <w:pPr>
            <w:pStyle w:val="TOC1"/>
            <w:rPr>
              <w:rFonts w:asciiTheme="minorHAnsi" w:eastAsiaTheme="minorEastAsia" w:hAnsiTheme="minorHAnsi" w:cstheme="minorBidi"/>
              <w:b w:val="0"/>
              <w:noProof/>
              <w:kern w:val="2"/>
              <w:sz w:val="24"/>
              <w:szCs w:val="24"/>
              <w14:ligatures w14:val="standardContextual"/>
            </w:rPr>
          </w:pPr>
          <w:r>
            <w:rPr>
              <w:noProof/>
            </w:rPr>
            <w:t>Statement 10: Historical Australian Government Data</w:t>
          </w:r>
          <w:r>
            <w:rPr>
              <w:noProof/>
              <w:webHidden/>
            </w:rPr>
            <w:tab/>
            <w:t>327</w:t>
          </w:r>
        </w:p>
        <w:p w14:paraId="67AE9031"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Data sources</w:t>
          </w:r>
          <w:r>
            <w:rPr>
              <w:noProof/>
              <w:webHidden/>
            </w:rPr>
            <w:tab/>
            <w:t>331</w:t>
          </w:r>
        </w:p>
        <w:p w14:paraId="2EDE83AA"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Comparability of data across years</w:t>
          </w:r>
          <w:r>
            <w:rPr>
              <w:noProof/>
              <w:webHidden/>
            </w:rPr>
            <w:tab/>
            <w:t>331</w:t>
          </w:r>
        </w:p>
        <w:p w14:paraId="296DDEC3" w14:textId="77777777" w:rsidR="00997DC0" w:rsidRDefault="00997DC0">
          <w:pPr>
            <w:pStyle w:val="TOC2"/>
            <w:rPr>
              <w:rFonts w:asciiTheme="minorHAnsi" w:eastAsiaTheme="minorEastAsia" w:hAnsiTheme="minorHAnsi" w:cstheme="minorBidi"/>
              <w:noProof/>
              <w:kern w:val="2"/>
              <w:sz w:val="24"/>
              <w:szCs w:val="24"/>
              <w14:ligatures w14:val="standardContextual"/>
            </w:rPr>
          </w:pPr>
          <w:r>
            <w:rPr>
              <w:noProof/>
            </w:rPr>
            <w:t>Revisions to previously published data</w:t>
          </w:r>
          <w:r>
            <w:rPr>
              <w:noProof/>
              <w:webHidden/>
            </w:rPr>
            <w:tab/>
            <w:t>333</w:t>
          </w:r>
        </w:p>
        <w:p w14:paraId="770795AF" w14:textId="77777777" w:rsidR="00997DC0" w:rsidRDefault="00997DC0">
          <w:pPr>
            <w:pStyle w:val="TOC1"/>
            <w:rPr>
              <w:rFonts w:asciiTheme="minorHAnsi" w:eastAsiaTheme="minorEastAsia" w:hAnsiTheme="minorHAnsi" w:cstheme="minorBidi"/>
              <w:b w:val="0"/>
              <w:noProof/>
              <w:kern w:val="2"/>
              <w:sz w:val="24"/>
              <w:szCs w:val="24"/>
              <w14:ligatures w14:val="standardContextual"/>
            </w:rPr>
          </w:pPr>
          <w:r>
            <w:rPr>
              <w:noProof/>
            </w:rPr>
            <w:t>Notes</w:t>
          </w:r>
          <w:r>
            <w:rPr>
              <w:noProof/>
              <w:webHidden/>
            </w:rPr>
            <w:tab/>
            <w:t>355</w:t>
          </w:r>
        </w:p>
        <w:p w14:paraId="68A2B1CA" w14:textId="79065946" w:rsidR="004F3B00" w:rsidRDefault="004F3B00">
          <w:r>
            <w:rPr>
              <w:b/>
              <w:bCs/>
              <w:noProof/>
            </w:rPr>
            <w:fldChar w:fldCharType="end"/>
          </w:r>
        </w:p>
      </w:sdtContent>
    </w:sdt>
    <w:p w14:paraId="4D245EA7" w14:textId="77777777" w:rsidR="008A663A" w:rsidRPr="00FF307E" w:rsidRDefault="008A663A" w:rsidP="008A663A">
      <w:pPr>
        <w:rPr>
          <w:sz w:val="2"/>
          <w:szCs w:val="2"/>
        </w:rPr>
      </w:pPr>
      <w:r w:rsidRPr="00FF307E">
        <w:rPr>
          <w:sz w:val="2"/>
          <w:szCs w:val="2"/>
        </w:rPr>
        <w:fldChar w:fldCharType="begin"/>
      </w:r>
      <w:r w:rsidRPr="00FF307E">
        <w:rPr>
          <w:sz w:val="2"/>
          <w:szCs w:val="2"/>
        </w:rPr>
        <w:instrText xml:space="preserve"> RD  01_BP1_BS1.docx \f </w:instrText>
      </w:r>
      <w:r w:rsidRPr="00FF307E">
        <w:rPr>
          <w:sz w:val="2"/>
          <w:szCs w:val="2"/>
        </w:rPr>
        <w:fldChar w:fldCharType="end"/>
      </w:r>
      <w:r w:rsidRPr="00FF307E">
        <w:rPr>
          <w:sz w:val="2"/>
          <w:szCs w:val="2"/>
        </w:rPr>
        <w:fldChar w:fldCharType="begin"/>
      </w:r>
      <w:r w:rsidRPr="00FF307E">
        <w:rPr>
          <w:sz w:val="2"/>
          <w:szCs w:val="2"/>
        </w:rPr>
        <w:instrText xml:space="preserve"> RD  02_BP1_BS2.docx \f </w:instrText>
      </w:r>
      <w:r w:rsidRPr="00FF307E">
        <w:rPr>
          <w:sz w:val="2"/>
          <w:szCs w:val="2"/>
        </w:rPr>
        <w:fldChar w:fldCharType="end"/>
      </w:r>
      <w:r w:rsidRPr="00FF307E">
        <w:rPr>
          <w:sz w:val="2"/>
          <w:szCs w:val="2"/>
        </w:rPr>
        <w:fldChar w:fldCharType="begin"/>
      </w:r>
      <w:r w:rsidRPr="00FF307E">
        <w:rPr>
          <w:sz w:val="2"/>
          <w:szCs w:val="2"/>
        </w:rPr>
        <w:instrText xml:space="preserve"> RD  03_BP1_BS3.docx \f </w:instrText>
      </w:r>
      <w:r w:rsidRPr="00FF307E">
        <w:rPr>
          <w:sz w:val="2"/>
          <w:szCs w:val="2"/>
        </w:rPr>
        <w:fldChar w:fldCharType="end"/>
      </w:r>
      <w:r w:rsidRPr="00FF307E">
        <w:rPr>
          <w:sz w:val="2"/>
          <w:szCs w:val="2"/>
        </w:rPr>
        <w:fldChar w:fldCharType="begin"/>
      </w:r>
      <w:r w:rsidRPr="00FF307E">
        <w:rPr>
          <w:sz w:val="2"/>
          <w:szCs w:val="2"/>
        </w:rPr>
        <w:instrText xml:space="preserve"> RD  04_BP1_BS4.docx \f </w:instrText>
      </w:r>
      <w:r w:rsidRPr="00FF307E">
        <w:rPr>
          <w:sz w:val="2"/>
          <w:szCs w:val="2"/>
        </w:rPr>
        <w:fldChar w:fldCharType="end"/>
      </w:r>
      <w:r w:rsidRPr="00FF307E">
        <w:rPr>
          <w:sz w:val="2"/>
          <w:szCs w:val="2"/>
        </w:rPr>
        <w:fldChar w:fldCharType="begin"/>
      </w:r>
      <w:r w:rsidRPr="00FF307E">
        <w:rPr>
          <w:sz w:val="2"/>
          <w:szCs w:val="2"/>
        </w:rPr>
        <w:instrText xml:space="preserve"> RD  05_BP1_BS5.docx \f </w:instrText>
      </w:r>
      <w:r w:rsidRPr="00FF307E">
        <w:rPr>
          <w:sz w:val="2"/>
          <w:szCs w:val="2"/>
        </w:rPr>
        <w:fldChar w:fldCharType="end"/>
      </w:r>
      <w:r w:rsidRPr="00FF307E">
        <w:rPr>
          <w:sz w:val="2"/>
          <w:szCs w:val="2"/>
        </w:rPr>
        <w:fldChar w:fldCharType="begin"/>
      </w:r>
      <w:r w:rsidRPr="00FF307E">
        <w:rPr>
          <w:sz w:val="2"/>
          <w:szCs w:val="2"/>
        </w:rPr>
        <w:instrText xml:space="preserve"> RD  06_BP1_BS6.docx \f </w:instrText>
      </w:r>
      <w:r w:rsidRPr="00FF307E">
        <w:rPr>
          <w:sz w:val="2"/>
          <w:szCs w:val="2"/>
        </w:rPr>
        <w:fldChar w:fldCharType="end"/>
      </w:r>
      <w:r w:rsidRPr="00FF307E">
        <w:rPr>
          <w:sz w:val="2"/>
          <w:szCs w:val="2"/>
        </w:rPr>
        <w:fldChar w:fldCharType="begin"/>
      </w:r>
      <w:r w:rsidRPr="00FF307E">
        <w:rPr>
          <w:sz w:val="2"/>
          <w:szCs w:val="2"/>
        </w:rPr>
        <w:instrText xml:space="preserve"> RD  07_BP1_BS7.docx \f </w:instrText>
      </w:r>
      <w:r w:rsidRPr="00FF307E">
        <w:rPr>
          <w:sz w:val="2"/>
          <w:szCs w:val="2"/>
        </w:rPr>
        <w:fldChar w:fldCharType="end"/>
      </w:r>
      <w:r w:rsidRPr="00FF307E">
        <w:rPr>
          <w:sz w:val="2"/>
          <w:szCs w:val="2"/>
        </w:rPr>
        <w:fldChar w:fldCharType="begin"/>
      </w:r>
      <w:r w:rsidRPr="00FF307E">
        <w:rPr>
          <w:sz w:val="2"/>
          <w:szCs w:val="2"/>
        </w:rPr>
        <w:instrText xml:space="preserve"> RD  08_BP1_BS8.docx \f </w:instrText>
      </w:r>
      <w:r w:rsidRPr="00FF307E">
        <w:rPr>
          <w:sz w:val="2"/>
          <w:szCs w:val="2"/>
        </w:rPr>
        <w:fldChar w:fldCharType="end"/>
      </w:r>
      <w:r w:rsidRPr="00FF307E">
        <w:rPr>
          <w:sz w:val="2"/>
          <w:szCs w:val="2"/>
        </w:rPr>
        <w:fldChar w:fldCharType="begin"/>
      </w:r>
      <w:r w:rsidRPr="00FF307E">
        <w:rPr>
          <w:sz w:val="2"/>
          <w:szCs w:val="2"/>
        </w:rPr>
        <w:instrText xml:space="preserve"> RD  09_BP1_BS9.docx \f </w:instrText>
      </w:r>
      <w:r w:rsidRPr="00FF307E">
        <w:rPr>
          <w:sz w:val="2"/>
          <w:szCs w:val="2"/>
        </w:rPr>
        <w:fldChar w:fldCharType="end"/>
      </w:r>
      <w:r w:rsidRPr="00FF307E">
        <w:rPr>
          <w:sz w:val="2"/>
          <w:szCs w:val="2"/>
        </w:rPr>
        <w:fldChar w:fldCharType="begin"/>
      </w:r>
      <w:r w:rsidRPr="00FF307E">
        <w:rPr>
          <w:sz w:val="2"/>
          <w:szCs w:val="2"/>
        </w:rPr>
        <w:instrText xml:space="preserve"> RD  09_BP1_BS9_App-B.docx \f </w:instrText>
      </w:r>
      <w:r w:rsidRPr="00FF307E">
        <w:rPr>
          <w:sz w:val="2"/>
          <w:szCs w:val="2"/>
        </w:rPr>
        <w:fldChar w:fldCharType="end"/>
      </w:r>
      <w:r w:rsidRPr="00FF307E">
        <w:rPr>
          <w:sz w:val="2"/>
          <w:szCs w:val="2"/>
        </w:rPr>
        <w:fldChar w:fldCharType="begin"/>
      </w:r>
      <w:r w:rsidRPr="00FF307E">
        <w:rPr>
          <w:sz w:val="2"/>
          <w:szCs w:val="2"/>
        </w:rPr>
        <w:instrText xml:space="preserve"> RD  10_BP1_BS10.docx \f </w:instrText>
      </w:r>
      <w:r w:rsidRPr="00FF307E">
        <w:rPr>
          <w:sz w:val="2"/>
          <w:szCs w:val="2"/>
        </w:rPr>
        <w:fldChar w:fldCharType="end"/>
      </w:r>
      <w:r w:rsidRPr="00FF307E">
        <w:rPr>
          <w:sz w:val="2"/>
          <w:szCs w:val="2"/>
        </w:rPr>
        <w:fldChar w:fldCharType="begin"/>
      </w:r>
      <w:r w:rsidRPr="00FF307E">
        <w:rPr>
          <w:sz w:val="2"/>
          <w:szCs w:val="2"/>
        </w:rPr>
        <w:instrText xml:space="preserve"> RD  11_BP1_Endnotes.docx \f </w:instrText>
      </w:r>
      <w:r w:rsidRPr="00FF307E">
        <w:rPr>
          <w:sz w:val="2"/>
          <w:szCs w:val="2"/>
        </w:rPr>
        <w:fldChar w:fldCharType="end"/>
      </w:r>
    </w:p>
    <w:p w14:paraId="6C60997F" w14:textId="77777777" w:rsidR="00987893" w:rsidRPr="00331FCC" w:rsidRDefault="00987893" w:rsidP="00331FCC"/>
    <w:sectPr w:rsidR="00987893" w:rsidRPr="00331FCC" w:rsidSect="0000052C">
      <w:footerReference w:type="first" r:id="rId21"/>
      <w:pgSz w:w="11906" w:h="16838" w:code="9"/>
      <w:pgMar w:top="2835" w:right="2098" w:bottom="2466" w:left="2098" w:header="1814" w:footer="1814"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EBA9F" w14:textId="77777777" w:rsidR="00EE4AFE" w:rsidRDefault="00EE4AFE" w:rsidP="00E40261">
      <w:pPr>
        <w:spacing w:after="0" w:line="240" w:lineRule="auto"/>
      </w:pPr>
      <w:r>
        <w:separator/>
      </w:r>
    </w:p>
  </w:endnote>
  <w:endnote w:type="continuationSeparator" w:id="0">
    <w:p w14:paraId="2661A21D" w14:textId="77777777" w:rsidR="00EE4AFE" w:rsidRDefault="00EE4AFE" w:rsidP="00E40261">
      <w:pPr>
        <w:spacing w:after="0" w:line="240" w:lineRule="auto"/>
      </w:pPr>
      <w:r>
        <w:continuationSeparator/>
      </w:r>
    </w:p>
  </w:endnote>
  <w:endnote w:type="continuationNotice" w:id="1">
    <w:p w14:paraId="12987598" w14:textId="77777777" w:rsidR="00EE4AFE" w:rsidRDefault="00EE4AF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Calibri"/>
    <w:panose1 w:val="00000000000000000000"/>
    <w:charset w:val="00"/>
    <w:family w:val="swiss"/>
    <w:notTrueType/>
    <w:pitch w:val="default"/>
    <w:sig w:usb0="00000003" w:usb1="00000000" w:usb2="00000000" w:usb3="00000000" w:csb0="00000001" w:csb1="00000000"/>
  </w:font>
  <w:font w:name="Work Sans Light">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6E07" w14:textId="51679EDA" w:rsidR="0007571E" w:rsidRDefault="0007571E" w:rsidP="00360947">
    <w:pPr>
      <w:pStyle w:val="FooterEven"/>
    </w:pPr>
    <w:r w:rsidRPr="00B3705D">
      <w:rPr>
        <w:b/>
      </w:rPr>
      <w:t xml:space="preserve">Page </w:t>
    </w:r>
    <w:r w:rsidR="002E11D7">
      <w:rPr>
        <w:b/>
        <w:bCs/>
      </w:rPr>
      <w:fldChar w:fldCharType="begin"/>
    </w:r>
    <w:r w:rsidR="002E11D7">
      <w:rPr>
        <w:b/>
        <w:bCs/>
      </w:rPr>
      <w:instrText xml:space="preserve"> PAGE  \* roman  \* MERGEFORMAT </w:instrText>
    </w:r>
    <w:r w:rsidR="002E11D7">
      <w:rPr>
        <w:b/>
        <w:bCs/>
      </w:rPr>
      <w:fldChar w:fldCharType="separate"/>
    </w:r>
    <w:r w:rsidR="002E11D7">
      <w:rPr>
        <w:b/>
        <w:bCs/>
        <w:noProof/>
      </w:rPr>
      <w:t>vi</w:t>
    </w:r>
    <w:r w:rsidR="002E11D7">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E081" w14:textId="4046F651" w:rsidR="0007571E" w:rsidRDefault="00C70BCA" w:rsidP="009F3CAB">
    <w:pPr>
      <w:pStyle w:val="FooterOdd"/>
    </w:pPr>
    <w:fldSimple w:instr=" SUBJECT   \* MERGEFORMAT ">
      <w:r>
        <w:t>Preliminaries</w:t>
      </w:r>
    </w:fldSimple>
    <w:r w:rsidR="0007571E" w:rsidRPr="00081542">
      <w:t> | </w:t>
    </w:r>
    <w:r w:rsidR="0007571E" w:rsidRPr="00B3705D">
      <w:rPr>
        <w:b/>
        <w:bCs/>
      </w:rPr>
      <w:t xml:space="preserve">Page </w:t>
    </w:r>
    <w:r w:rsidR="00AA0DF1">
      <w:rPr>
        <w:b/>
        <w:bCs/>
      </w:rPr>
      <w:fldChar w:fldCharType="begin"/>
    </w:r>
    <w:r w:rsidR="00AA0DF1">
      <w:rPr>
        <w:b/>
        <w:bCs/>
      </w:rPr>
      <w:instrText xml:space="preserve"> PAGE  \* roman  \* MERGEFORMAT </w:instrText>
    </w:r>
    <w:r w:rsidR="00AA0DF1">
      <w:rPr>
        <w:b/>
        <w:bCs/>
      </w:rPr>
      <w:fldChar w:fldCharType="separate"/>
    </w:r>
    <w:r w:rsidR="00AA0DF1">
      <w:rPr>
        <w:b/>
        <w:bCs/>
        <w:noProof/>
      </w:rPr>
      <w:t>iv</w:t>
    </w:r>
    <w:r w:rsidR="00AA0DF1">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E65B" w14:textId="2458F26B" w:rsidR="0007571E" w:rsidRDefault="0007571E" w:rsidP="00D31B71">
    <w:pPr>
      <w:pStyle w:val="GhostLi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0CC6" w14:textId="2BFB6614" w:rsidR="002E11D7" w:rsidRDefault="002E11D7" w:rsidP="002E11D7">
    <w:pPr>
      <w:pStyle w:val="FooterOdd"/>
    </w:pPr>
    <w:r w:rsidRPr="00B3705D">
      <w:rPr>
        <w:b/>
        <w:bCs/>
      </w:rPr>
      <w:t xml:space="preserve">Page </w:t>
    </w:r>
    <w:r>
      <w:rPr>
        <w:b/>
        <w:bCs/>
      </w:rPr>
      <w:fldChar w:fldCharType="begin"/>
    </w:r>
    <w:r>
      <w:rPr>
        <w:b/>
        <w:bCs/>
      </w:rPr>
      <w:instrText xml:space="preserve"> PAGE  \* roman  \* MERGEFORMAT </w:instrText>
    </w:r>
    <w:r>
      <w:rPr>
        <w:b/>
        <w:bCs/>
      </w:rPr>
      <w:fldChar w:fldCharType="separate"/>
    </w:r>
    <w:r>
      <w:rPr>
        <w:b/>
        <w:bCs/>
        <w:noProof/>
      </w:rPr>
      <w:t>vi</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7C953" w14:textId="77777777" w:rsidR="00EE4AFE" w:rsidRPr="003C1CA4" w:rsidRDefault="00EE4AFE"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50EA995E" w14:textId="77777777" w:rsidR="00EE4AFE" w:rsidRDefault="00EE4AFE" w:rsidP="00E40261">
      <w:pPr>
        <w:spacing w:after="0" w:line="240" w:lineRule="auto"/>
      </w:pPr>
      <w:r>
        <w:continuationSeparator/>
      </w:r>
    </w:p>
  </w:footnote>
  <w:footnote w:type="continuationNotice" w:id="1">
    <w:p w14:paraId="5696DB55" w14:textId="77777777" w:rsidR="00EE4AFE" w:rsidRDefault="00EE4AF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43E0" w14:textId="7F5A2DBA" w:rsidR="0007571E" w:rsidRPr="00AA5439" w:rsidRDefault="0007571E" w:rsidP="00AA5439">
    <w:pPr>
      <w:pStyle w:val="HeaderEven"/>
      <w:rPr>
        <w:sz w:val="2"/>
        <w:szCs w:val="2"/>
      </w:rPr>
    </w:pPr>
  </w:p>
  <w:p w14:paraId="2D3528A7" w14:textId="77777777" w:rsidR="0007571E" w:rsidRPr="00AA5439" w:rsidRDefault="0007571E" w:rsidP="00AA5439">
    <w:pPr>
      <w:pStyle w:val="HeaderEven"/>
      <w:rPr>
        <w:sz w:val="2"/>
        <w:szCs w:val="4"/>
      </w:rPr>
    </w:pPr>
  </w:p>
  <w:p w14:paraId="6B655A1E"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6ABD6EF2" w14:textId="77777777" w:rsidTr="001051B9">
      <w:trPr>
        <w:trHeight w:hRule="exact" w:val="340"/>
      </w:trPr>
      <w:tc>
        <w:tcPr>
          <w:tcW w:w="7797" w:type="dxa"/>
          <w:tcMar>
            <w:left w:w="108" w:type="dxa"/>
            <w:right w:w="108" w:type="dxa"/>
          </w:tcMar>
        </w:tcPr>
        <w:p w14:paraId="54CA2A16" w14:textId="6FA50029" w:rsidR="0007571E" w:rsidRPr="00D13BF9" w:rsidRDefault="00C70BCA" w:rsidP="00D13BF9">
          <w:pPr>
            <w:pStyle w:val="HeaderOdd"/>
          </w:pPr>
          <w:fldSimple w:instr=" TITLE   \* MERGEFORMAT ">
            <w:r>
              <w:t>Budget Paper No.1</w:t>
            </w:r>
          </w:fldSimple>
          <w:r w:rsidR="0007571E" w:rsidRPr="00081542">
            <w:t> | </w:t>
          </w:r>
          <w:r w:rsidR="0007571E" w:rsidRPr="002709D2">
            <w:rPr>
              <w:noProof/>
              <w:position w:val="-8"/>
              <w:vertAlign w:val="subscript"/>
            </w:rPr>
            <w:drawing>
              <wp:inline distT="0" distB="0" distL="0" distR="0" wp14:anchorId="6AAB564E" wp14:editId="2FDDDCCA">
                <wp:extent cx="864091" cy="198000"/>
                <wp:effectExtent l="0" t="0" r="0" b="0"/>
                <wp:docPr id="848553375" name="Picture 8485533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00563BC5" w14:textId="48A70F03" w:rsidR="0007571E" w:rsidRPr="00562EDC" w:rsidRDefault="0007571E"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C3AB" w14:textId="4C42BBD2" w:rsidR="0007571E" w:rsidRPr="005B2F30" w:rsidRDefault="0007571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3"/>
  </w:num>
  <w:num w:numId="2" w16cid:durableId="70975900">
    <w:abstractNumId w:val="11"/>
  </w:num>
  <w:num w:numId="3" w16cid:durableId="1903564601">
    <w:abstractNumId w:val="10"/>
  </w:num>
  <w:num w:numId="4" w16cid:durableId="778522229">
    <w:abstractNumId w:val="12"/>
  </w:num>
  <w:num w:numId="5" w16cid:durableId="308556280">
    <w:abstractNumId w:val="15"/>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16"/>
  </w:num>
  <w:num w:numId="22" w16cid:durableId="15186927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457E46"/>
    <w:rsid w:val="000004EA"/>
    <w:rsid w:val="0000052C"/>
    <w:rsid w:val="00011DBB"/>
    <w:rsid w:val="00013EA8"/>
    <w:rsid w:val="00017BB9"/>
    <w:rsid w:val="00020CF6"/>
    <w:rsid w:val="00024BA4"/>
    <w:rsid w:val="0002695E"/>
    <w:rsid w:val="000300D2"/>
    <w:rsid w:val="0003107D"/>
    <w:rsid w:val="00035BAF"/>
    <w:rsid w:val="00035D8D"/>
    <w:rsid w:val="00044445"/>
    <w:rsid w:val="000465A5"/>
    <w:rsid w:val="0005238F"/>
    <w:rsid w:val="000546EB"/>
    <w:rsid w:val="0005664B"/>
    <w:rsid w:val="00056BE1"/>
    <w:rsid w:val="00062060"/>
    <w:rsid w:val="000622DA"/>
    <w:rsid w:val="000635BE"/>
    <w:rsid w:val="0007571E"/>
    <w:rsid w:val="00080C1B"/>
    <w:rsid w:val="00081542"/>
    <w:rsid w:val="0008399A"/>
    <w:rsid w:val="0008597F"/>
    <w:rsid w:val="00090721"/>
    <w:rsid w:val="000A4760"/>
    <w:rsid w:val="000B38A8"/>
    <w:rsid w:val="000C25CF"/>
    <w:rsid w:val="000D78F4"/>
    <w:rsid w:val="000E105B"/>
    <w:rsid w:val="000E149B"/>
    <w:rsid w:val="00103F65"/>
    <w:rsid w:val="001051B9"/>
    <w:rsid w:val="0011175D"/>
    <w:rsid w:val="00117B5F"/>
    <w:rsid w:val="001472CA"/>
    <w:rsid w:val="00150CA1"/>
    <w:rsid w:val="00160928"/>
    <w:rsid w:val="001663B9"/>
    <w:rsid w:val="001704AE"/>
    <w:rsid w:val="00172CFE"/>
    <w:rsid w:val="00187257"/>
    <w:rsid w:val="0019115B"/>
    <w:rsid w:val="00192B1C"/>
    <w:rsid w:val="001970E6"/>
    <w:rsid w:val="001A0281"/>
    <w:rsid w:val="001A5A92"/>
    <w:rsid w:val="001A5D06"/>
    <w:rsid w:val="001A667E"/>
    <w:rsid w:val="001A7712"/>
    <w:rsid w:val="001B3722"/>
    <w:rsid w:val="001B7232"/>
    <w:rsid w:val="001C29BA"/>
    <w:rsid w:val="001C3B4C"/>
    <w:rsid w:val="001C5E21"/>
    <w:rsid w:val="001D33D6"/>
    <w:rsid w:val="001E07B4"/>
    <w:rsid w:val="001E430E"/>
    <w:rsid w:val="001E6FD3"/>
    <w:rsid w:val="001F07A7"/>
    <w:rsid w:val="001F08E1"/>
    <w:rsid w:val="00206A05"/>
    <w:rsid w:val="0020736B"/>
    <w:rsid w:val="00237F04"/>
    <w:rsid w:val="00242462"/>
    <w:rsid w:val="00242479"/>
    <w:rsid w:val="00242FE9"/>
    <w:rsid w:val="0024521A"/>
    <w:rsid w:val="00250208"/>
    <w:rsid w:val="00265F30"/>
    <w:rsid w:val="002661BF"/>
    <w:rsid w:val="00267200"/>
    <w:rsid w:val="002709D2"/>
    <w:rsid w:val="002762AE"/>
    <w:rsid w:val="00281716"/>
    <w:rsid w:val="00295B58"/>
    <w:rsid w:val="00296BEF"/>
    <w:rsid w:val="00296F9A"/>
    <w:rsid w:val="002A6A16"/>
    <w:rsid w:val="002B6106"/>
    <w:rsid w:val="002C2097"/>
    <w:rsid w:val="002C3DEB"/>
    <w:rsid w:val="002C596C"/>
    <w:rsid w:val="002C5FA6"/>
    <w:rsid w:val="002D0C16"/>
    <w:rsid w:val="002D3D8C"/>
    <w:rsid w:val="002D789E"/>
    <w:rsid w:val="002E10D6"/>
    <w:rsid w:val="002E11D7"/>
    <w:rsid w:val="002E638A"/>
    <w:rsid w:val="002E7B71"/>
    <w:rsid w:val="002F40F3"/>
    <w:rsid w:val="00304565"/>
    <w:rsid w:val="00305105"/>
    <w:rsid w:val="003303B0"/>
    <w:rsid w:val="00331FCC"/>
    <w:rsid w:val="003353DC"/>
    <w:rsid w:val="003421CD"/>
    <w:rsid w:val="003451F5"/>
    <w:rsid w:val="00345290"/>
    <w:rsid w:val="00347742"/>
    <w:rsid w:val="003478ED"/>
    <w:rsid w:val="003506C0"/>
    <w:rsid w:val="00360947"/>
    <w:rsid w:val="0036094D"/>
    <w:rsid w:val="00372E8A"/>
    <w:rsid w:val="0037301D"/>
    <w:rsid w:val="00376330"/>
    <w:rsid w:val="00377927"/>
    <w:rsid w:val="00381D29"/>
    <w:rsid w:val="00382E3D"/>
    <w:rsid w:val="003950E4"/>
    <w:rsid w:val="003A3AC2"/>
    <w:rsid w:val="003A57C9"/>
    <w:rsid w:val="003B06FE"/>
    <w:rsid w:val="003B3670"/>
    <w:rsid w:val="003C1580"/>
    <w:rsid w:val="003C1CA4"/>
    <w:rsid w:val="003D7FF3"/>
    <w:rsid w:val="003E38EE"/>
    <w:rsid w:val="003E632B"/>
    <w:rsid w:val="003F42F4"/>
    <w:rsid w:val="00410AC2"/>
    <w:rsid w:val="00413993"/>
    <w:rsid w:val="00414D61"/>
    <w:rsid w:val="004233DE"/>
    <w:rsid w:val="00430D04"/>
    <w:rsid w:val="00433F61"/>
    <w:rsid w:val="00443726"/>
    <w:rsid w:val="004440B9"/>
    <w:rsid w:val="004479B6"/>
    <w:rsid w:val="00447E2C"/>
    <w:rsid w:val="004558EF"/>
    <w:rsid w:val="00455C38"/>
    <w:rsid w:val="00457E46"/>
    <w:rsid w:val="0046391C"/>
    <w:rsid w:val="00484988"/>
    <w:rsid w:val="0048563A"/>
    <w:rsid w:val="004A2F15"/>
    <w:rsid w:val="004A5FDD"/>
    <w:rsid w:val="004B0F9C"/>
    <w:rsid w:val="004B71E6"/>
    <w:rsid w:val="004C3F27"/>
    <w:rsid w:val="004C40C8"/>
    <w:rsid w:val="004D108B"/>
    <w:rsid w:val="004F3321"/>
    <w:rsid w:val="004F3B00"/>
    <w:rsid w:val="004F3FD9"/>
    <w:rsid w:val="004F60DD"/>
    <w:rsid w:val="005069AC"/>
    <w:rsid w:val="00513FCE"/>
    <w:rsid w:val="005151D9"/>
    <w:rsid w:val="00531A93"/>
    <w:rsid w:val="00532259"/>
    <w:rsid w:val="00535FA0"/>
    <w:rsid w:val="005476BD"/>
    <w:rsid w:val="005501E6"/>
    <w:rsid w:val="00550730"/>
    <w:rsid w:val="00551E91"/>
    <w:rsid w:val="00557806"/>
    <w:rsid w:val="00562EDC"/>
    <w:rsid w:val="005642C7"/>
    <w:rsid w:val="00566A71"/>
    <w:rsid w:val="00570679"/>
    <w:rsid w:val="00571490"/>
    <w:rsid w:val="00573E2D"/>
    <w:rsid w:val="00580067"/>
    <w:rsid w:val="0058401A"/>
    <w:rsid w:val="005A1748"/>
    <w:rsid w:val="005A43A4"/>
    <w:rsid w:val="005A6F5F"/>
    <w:rsid w:val="005B2F30"/>
    <w:rsid w:val="005B3010"/>
    <w:rsid w:val="005D23CB"/>
    <w:rsid w:val="005D6ADA"/>
    <w:rsid w:val="005E4F85"/>
    <w:rsid w:val="005E792C"/>
    <w:rsid w:val="005F0777"/>
    <w:rsid w:val="005F2730"/>
    <w:rsid w:val="0060305C"/>
    <w:rsid w:val="00614554"/>
    <w:rsid w:val="00614FC4"/>
    <w:rsid w:val="00622CDB"/>
    <w:rsid w:val="006257AA"/>
    <w:rsid w:val="006404F7"/>
    <w:rsid w:val="0064322C"/>
    <w:rsid w:val="00646A27"/>
    <w:rsid w:val="00653D2B"/>
    <w:rsid w:val="006568AA"/>
    <w:rsid w:val="00664F1B"/>
    <w:rsid w:val="00666266"/>
    <w:rsid w:val="00666D0F"/>
    <w:rsid w:val="00670F42"/>
    <w:rsid w:val="00672A88"/>
    <w:rsid w:val="006744CD"/>
    <w:rsid w:val="00677EBB"/>
    <w:rsid w:val="006806AC"/>
    <w:rsid w:val="00680768"/>
    <w:rsid w:val="00682D05"/>
    <w:rsid w:val="00687C1A"/>
    <w:rsid w:val="00691396"/>
    <w:rsid w:val="00692105"/>
    <w:rsid w:val="00692BED"/>
    <w:rsid w:val="0069742D"/>
    <w:rsid w:val="006C0742"/>
    <w:rsid w:val="006C1494"/>
    <w:rsid w:val="006C3E1F"/>
    <w:rsid w:val="006C4809"/>
    <w:rsid w:val="006C4A90"/>
    <w:rsid w:val="006D4A4D"/>
    <w:rsid w:val="006D7D4C"/>
    <w:rsid w:val="006E3489"/>
    <w:rsid w:val="006E7F46"/>
    <w:rsid w:val="006F46B6"/>
    <w:rsid w:val="00702304"/>
    <w:rsid w:val="0072449F"/>
    <w:rsid w:val="0074527D"/>
    <w:rsid w:val="00754CF2"/>
    <w:rsid w:val="00755F34"/>
    <w:rsid w:val="007563DE"/>
    <w:rsid w:val="007577B1"/>
    <w:rsid w:val="007703C7"/>
    <w:rsid w:val="00771260"/>
    <w:rsid w:val="00773C5B"/>
    <w:rsid w:val="00775A52"/>
    <w:rsid w:val="00787DEE"/>
    <w:rsid w:val="00791275"/>
    <w:rsid w:val="007913DD"/>
    <w:rsid w:val="00792F0C"/>
    <w:rsid w:val="00797B93"/>
    <w:rsid w:val="007C34E6"/>
    <w:rsid w:val="007D46AB"/>
    <w:rsid w:val="007D5AEF"/>
    <w:rsid w:val="007E2C73"/>
    <w:rsid w:val="007F2047"/>
    <w:rsid w:val="00823AF5"/>
    <w:rsid w:val="008240F1"/>
    <w:rsid w:val="00824E07"/>
    <w:rsid w:val="008253FB"/>
    <w:rsid w:val="008336E1"/>
    <w:rsid w:val="00840D63"/>
    <w:rsid w:val="00850702"/>
    <w:rsid w:val="00856C62"/>
    <w:rsid w:val="0087230F"/>
    <w:rsid w:val="00881984"/>
    <w:rsid w:val="00881D59"/>
    <w:rsid w:val="008830A7"/>
    <w:rsid w:val="00883C44"/>
    <w:rsid w:val="00885620"/>
    <w:rsid w:val="00893D11"/>
    <w:rsid w:val="008A164C"/>
    <w:rsid w:val="008A663A"/>
    <w:rsid w:val="008A7A3E"/>
    <w:rsid w:val="008C2AAD"/>
    <w:rsid w:val="008C56E1"/>
    <w:rsid w:val="008D3CA1"/>
    <w:rsid w:val="008D3EF8"/>
    <w:rsid w:val="008D3F8A"/>
    <w:rsid w:val="008D45DE"/>
    <w:rsid w:val="008D71E5"/>
    <w:rsid w:val="008E19CE"/>
    <w:rsid w:val="008E4967"/>
    <w:rsid w:val="008E7225"/>
    <w:rsid w:val="008F3CA6"/>
    <w:rsid w:val="008F55F8"/>
    <w:rsid w:val="0090600E"/>
    <w:rsid w:val="00920031"/>
    <w:rsid w:val="00920E7E"/>
    <w:rsid w:val="0092364A"/>
    <w:rsid w:val="0093363A"/>
    <w:rsid w:val="009345C5"/>
    <w:rsid w:val="009401CC"/>
    <w:rsid w:val="0094345F"/>
    <w:rsid w:val="00943C8B"/>
    <w:rsid w:val="00945C29"/>
    <w:rsid w:val="0095269D"/>
    <w:rsid w:val="009526DA"/>
    <w:rsid w:val="00964CFD"/>
    <w:rsid w:val="009804F5"/>
    <w:rsid w:val="00981E05"/>
    <w:rsid w:val="0098629D"/>
    <w:rsid w:val="00987893"/>
    <w:rsid w:val="00990E9C"/>
    <w:rsid w:val="00997029"/>
    <w:rsid w:val="00997DC0"/>
    <w:rsid w:val="009A20A4"/>
    <w:rsid w:val="009A553C"/>
    <w:rsid w:val="009A63D2"/>
    <w:rsid w:val="009A6A4E"/>
    <w:rsid w:val="009A7DCC"/>
    <w:rsid w:val="009B286F"/>
    <w:rsid w:val="009B2CFA"/>
    <w:rsid w:val="009C37E9"/>
    <w:rsid w:val="009C3A40"/>
    <w:rsid w:val="009C4905"/>
    <w:rsid w:val="009D115E"/>
    <w:rsid w:val="009D3BA8"/>
    <w:rsid w:val="009D44CF"/>
    <w:rsid w:val="009D4ACD"/>
    <w:rsid w:val="009D7662"/>
    <w:rsid w:val="009E766A"/>
    <w:rsid w:val="009F3CAB"/>
    <w:rsid w:val="009F4D67"/>
    <w:rsid w:val="009F6442"/>
    <w:rsid w:val="00A04475"/>
    <w:rsid w:val="00A11F5D"/>
    <w:rsid w:val="00A14318"/>
    <w:rsid w:val="00A25F26"/>
    <w:rsid w:val="00A26245"/>
    <w:rsid w:val="00A267BA"/>
    <w:rsid w:val="00A268AC"/>
    <w:rsid w:val="00A27919"/>
    <w:rsid w:val="00A36880"/>
    <w:rsid w:val="00A40A63"/>
    <w:rsid w:val="00A460FA"/>
    <w:rsid w:val="00A52AFA"/>
    <w:rsid w:val="00A74F53"/>
    <w:rsid w:val="00A813C7"/>
    <w:rsid w:val="00A819BF"/>
    <w:rsid w:val="00A85845"/>
    <w:rsid w:val="00A87063"/>
    <w:rsid w:val="00A94740"/>
    <w:rsid w:val="00AA0DF1"/>
    <w:rsid w:val="00AA5439"/>
    <w:rsid w:val="00AA71F1"/>
    <w:rsid w:val="00AB5E51"/>
    <w:rsid w:val="00AB63E5"/>
    <w:rsid w:val="00AC220A"/>
    <w:rsid w:val="00AC2FED"/>
    <w:rsid w:val="00AC6B84"/>
    <w:rsid w:val="00AD2679"/>
    <w:rsid w:val="00AD68DA"/>
    <w:rsid w:val="00B051A6"/>
    <w:rsid w:val="00B05A49"/>
    <w:rsid w:val="00B05A78"/>
    <w:rsid w:val="00B06E32"/>
    <w:rsid w:val="00B10CFB"/>
    <w:rsid w:val="00B13308"/>
    <w:rsid w:val="00B15BB3"/>
    <w:rsid w:val="00B16C58"/>
    <w:rsid w:val="00B26C0C"/>
    <w:rsid w:val="00B27527"/>
    <w:rsid w:val="00B32A4D"/>
    <w:rsid w:val="00B436CC"/>
    <w:rsid w:val="00B5686A"/>
    <w:rsid w:val="00B62ED2"/>
    <w:rsid w:val="00B64A19"/>
    <w:rsid w:val="00B7067E"/>
    <w:rsid w:val="00B70D54"/>
    <w:rsid w:val="00B72079"/>
    <w:rsid w:val="00B726B3"/>
    <w:rsid w:val="00B742E3"/>
    <w:rsid w:val="00B75873"/>
    <w:rsid w:val="00B850E4"/>
    <w:rsid w:val="00B90FD9"/>
    <w:rsid w:val="00B91AED"/>
    <w:rsid w:val="00B96A23"/>
    <w:rsid w:val="00BA145E"/>
    <w:rsid w:val="00BA7246"/>
    <w:rsid w:val="00BB207D"/>
    <w:rsid w:val="00BB4B3E"/>
    <w:rsid w:val="00BB52EC"/>
    <w:rsid w:val="00BC03ED"/>
    <w:rsid w:val="00BC4E72"/>
    <w:rsid w:val="00BD32AB"/>
    <w:rsid w:val="00BE2420"/>
    <w:rsid w:val="00BE712B"/>
    <w:rsid w:val="00BF3FC3"/>
    <w:rsid w:val="00BF5216"/>
    <w:rsid w:val="00BF5E88"/>
    <w:rsid w:val="00BF65C5"/>
    <w:rsid w:val="00BF7177"/>
    <w:rsid w:val="00C02565"/>
    <w:rsid w:val="00C060D7"/>
    <w:rsid w:val="00C21110"/>
    <w:rsid w:val="00C2384B"/>
    <w:rsid w:val="00C24DA6"/>
    <w:rsid w:val="00C256C6"/>
    <w:rsid w:val="00C30728"/>
    <w:rsid w:val="00C33129"/>
    <w:rsid w:val="00C36C5B"/>
    <w:rsid w:val="00C416FB"/>
    <w:rsid w:val="00C4293F"/>
    <w:rsid w:val="00C44195"/>
    <w:rsid w:val="00C461BE"/>
    <w:rsid w:val="00C46E26"/>
    <w:rsid w:val="00C549C4"/>
    <w:rsid w:val="00C56A01"/>
    <w:rsid w:val="00C601D0"/>
    <w:rsid w:val="00C64CC1"/>
    <w:rsid w:val="00C70BCA"/>
    <w:rsid w:val="00C75ABC"/>
    <w:rsid w:val="00C816CD"/>
    <w:rsid w:val="00C93398"/>
    <w:rsid w:val="00C9389A"/>
    <w:rsid w:val="00C94AB7"/>
    <w:rsid w:val="00C97360"/>
    <w:rsid w:val="00CA2B96"/>
    <w:rsid w:val="00CB4269"/>
    <w:rsid w:val="00CC2721"/>
    <w:rsid w:val="00CC6004"/>
    <w:rsid w:val="00CF3147"/>
    <w:rsid w:val="00CF6112"/>
    <w:rsid w:val="00D01CC0"/>
    <w:rsid w:val="00D13BF9"/>
    <w:rsid w:val="00D146F0"/>
    <w:rsid w:val="00D1656D"/>
    <w:rsid w:val="00D1685E"/>
    <w:rsid w:val="00D16A90"/>
    <w:rsid w:val="00D27078"/>
    <w:rsid w:val="00D270F4"/>
    <w:rsid w:val="00D31B71"/>
    <w:rsid w:val="00D44E98"/>
    <w:rsid w:val="00D47C6E"/>
    <w:rsid w:val="00D51587"/>
    <w:rsid w:val="00D548E6"/>
    <w:rsid w:val="00D5569F"/>
    <w:rsid w:val="00D62928"/>
    <w:rsid w:val="00D7546B"/>
    <w:rsid w:val="00D771F2"/>
    <w:rsid w:val="00D81A31"/>
    <w:rsid w:val="00D82B0F"/>
    <w:rsid w:val="00D93796"/>
    <w:rsid w:val="00D95221"/>
    <w:rsid w:val="00DA1DFB"/>
    <w:rsid w:val="00DA2EC8"/>
    <w:rsid w:val="00DA42A3"/>
    <w:rsid w:val="00DA58C6"/>
    <w:rsid w:val="00DB4E51"/>
    <w:rsid w:val="00DB513A"/>
    <w:rsid w:val="00DC443C"/>
    <w:rsid w:val="00DE504B"/>
    <w:rsid w:val="00DE6CBE"/>
    <w:rsid w:val="00DE71D2"/>
    <w:rsid w:val="00DF1BFF"/>
    <w:rsid w:val="00DF3A37"/>
    <w:rsid w:val="00DF5A91"/>
    <w:rsid w:val="00E03F10"/>
    <w:rsid w:val="00E11FAE"/>
    <w:rsid w:val="00E21AEF"/>
    <w:rsid w:val="00E24377"/>
    <w:rsid w:val="00E37EDC"/>
    <w:rsid w:val="00E40261"/>
    <w:rsid w:val="00E404C5"/>
    <w:rsid w:val="00E4685E"/>
    <w:rsid w:val="00E47746"/>
    <w:rsid w:val="00E507F4"/>
    <w:rsid w:val="00E50F0F"/>
    <w:rsid w:val="00E6116C"/>
    <w:rsid w:val="00E66821"/>
    <w:rsid w:val="00E70282"/>
    <w:rsid w:val="00E71045"/>
    <w:rsid w:val="00E80210"/>
    <w:rsid w:val="00E85029"/>
    <w:rsid w:val="00E91B19"/>
    <w:rsid w:val="00E93DAE"/>
    <w:rsid w:val="00EA52E4"/>
    <w:rsid w:val="00EB3388"/>
    <w:rsid w:val="00EB6597"/>
    <w:rsid w:val="00EE4263"/>
    <w:rsid w:val="00EE4527"/>
    <w:rsid w:val="00EE4AFE"/>
    <w:rsid w:val="00EE4D25"/>
    <w:rsid w:val="00EF1B7E"/>
    <w:rsid w:val="00EF338C"/>
    <w:rsid w:val="00EF4C8A"/>
    <w:rsid w:val="00F04B15"/>
    <w:rsid w:val="00F05B60"/>
    <w:rsid w:val="00F11365"/>
    <w:rsid w:val="00F228BC"/>
    <w:rsid w:val="00F22903"/>
    <w:rsid w:val="00F31924"/>
    <w:rsid w:val="00F362DE"/>
    <w:rsid w:val="00F3743A"/>
    <w:rsid w:val="00F51DA2"/>
    <w:rsid w:val="00F51F93"/>
    <w:rsid w:val="00F563AC"/>
    <w:rsid w:val="00F60EA1"/>
    <w:rsid w:val="00F813B7"/>
    <w:rsid w:val="00F823AF"/>
    <w:rsid w:val="00F84DF4"/>
    <w:rsid w:val="00F84F40"/>
    <w:rsid w:val="00F85472"/>
    <w:rsid w:val="00F859E6"/>
    <w:rsid w:val="00F945BA"/>
    <w:rsid w:val="00F948E2"/>
    <w:rsid w:val="00F97F01"/>
    <w:rsid w:val="00FA7D31"/>
    <w:rsid w:val="00FB5DDD"/>
    <w:rsid w:val="00FB65FB"/>
    <w:rsid w:val="00FC0695"/>
    <w:rsid w:val="00FC0F6C"/>
    <w:rsid w:val="00FC7371"/>
    <w:rsid w:val="00FD08D5"/>
    <w:rsid w:val="00FE48A3"/>
    <w:rsid w:val="00FF30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492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6CD"/>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C816CD"/>
    <w:pPr>
      <w:spacing w:after="240"/>
      <w:outlineLvl w:val="0"/>
    </w:pPr>
    <w:rPr>
      <w:rFonts w:ascii="Arial Bold" w:hAnsi="Arial Bold"/>
      <w:b/>
      <w:kern w:val="34"/>
      <w:sz w:val="36"/>
    </w:rPr>
  </w:style>
  <w:style w:type="paragraph" w:styleId="Heading2">
    <w:name w:val="heading 2"/>
    <w:basedOn w:val="HeadingBase"/>
    <w:next w:val="Normal"/>
    <w:link w:val="Heading2Char"/>
    <w:qFormat/>
    <w:rsid w:val="00C816CD"/>
    <w:pPr>
      <w:spacing w:before="240" w:after="240"/>
      <w:outlineLvl w:val="1"/>
    </w:pPr>
    <w:rPr>
      <w:rFonts w:ascii="Arial Bold" w:hAnsi="Arial Bold"/>
      <w:b/>
      <w:sz w:val="26"/>
    </w:rPr>
  </w:style>
  <w:style w:type="paragraph" w:styleId="Heading3">
    <w:name w:val="heading 3"/>
    <w:basedOn w:val="HeadingBase"/>
    <w:next w:val="Normal"/>
    <w:link w:val="Heading3Char"/>
    <w:qFormat/>
    <w:rsid w:val="00C816CD"/>
    <w:pPr>
      <w:spacing w:before="120" w:after="120"/>
      <w:outlineLvl w:val="2"/>
    </w:pPr>
    <w:rPr>
      <w:rFonts w:ascii="Arial Bold" w:hAnsi="Arial Bold"/>
      <w:b/>
      <w:sz w:val="22"/>
    </w:rPr>
  </w:style>
  <w:style w:type="paragraph" w:styleId="Heading4">
    <w:name w:val="heading 4"/>
    <w:basedOn w:val="HeadingBase"/>
    <w:next w:val="Normal"/>
    <w:link w:val="Heading4Char"/>
    <w:qFormat/>
    <w:rsid w:val="00C816CD"/>
    <w:pPr>
      <w:spacing w:after="120"/>
      <w:outlineLvl w:val="3"/>
    </w:pPr>
    <w:rPr>
      <w:rFonts w:ascii="Arial Bold" w:hAnsi="Arial Bold"/>
      <w:b/>
      <w:sz w:val="20"/>
    </w:rPr>
  </w:style>
  <w:style w:type="paragraph" w:styleId="Heading5">
    <w:name w:val="heading 5"/>
    <w:basedOn w:val="HeadingBase"/>
    <w:next w:val="Normal"/>
    <w:link w:val="Heading5Char"/>
    <w:qFormat/>
    <w:rsid w:val="00C816CD"/>
    <w:pPr>
      <w:spacing w:after="120"/>
      <w:outlineLvl w:val="4"/>
    </w:pPr>
    <w:rPr>
      <w:bCs/>
      <w:i/>
      <w:iCs/>
      <w:sz w:val="20"/>
      <w:szCs w:val="26"/>
    </w:rPr>
  </w:style>
  <w:style w:type="paragraph" w:styleId="Heading6">
    <w:name w:val="heading 6"/>
    <w:basedOn w:val="HeadingBase"/>
    <w:next w:val="Normal"/>
    <w:link w:val="Heading6Char"/>
    <w:rsid w:val="00C816CD"/>
    <w:pPr>
      <w:spacing w:after="120"/>
      <w:outlineLvl w:val="5"/>
    </w:pPr>
    <w:rPr>
      <w:bCs/>
      <w:sz w:val="20"/>
      <w:szCs w:val="22"/>
    </w:rPr>
  </w:style>
  <w:style w:type="paragraph" w:styleId="Heading7">
    <w:name w:val="heading 7"/>
    <w:basedOn w:val="HeadingBase"/>
    <w:next w:val="Normal"/>
    <w:link w:val="Heading7Char"/>
    <w:rsid w:val="00C816CD"/>
    <w:pPr>
      <w:spacing w:before="120"/>
      <w:outlineLvl w:val="6"/>
    </w:pPr>
    <w:rPr>
      <w:sz w:val="20"/>
      <w:szCs w:val="24"/>
    </w:rPr>
  </w:style>
  <w:style w:type="paragraph" w:styleId="Heading8">
    <w:name w:val="heading 8"/>
    <w:basedOn w:val="HeadingBase"/>
    <w:next w:val="Normal"/>
    <w:link w:val="Heading8Char"/>
    <w:rsid w:val="00C816CD"/>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C816CD"/>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C816CD"/>
    <w:pPr>
      <w:tabs>
        <w:tab w:val="center" w:pos="4153"/>
        <w:tab w:val="right" w:pos="8306"/>
      </w:tabs>
    </w:pPr>
  </w:style>
  <w:style w:type="character" w:customStyle="1" w:styleId="HeaderChar">
    <w:name w:val="Header Char"/>
    <w:basedOn w:val="DefaultParagraphFont"/>
    <w:link w:val="Header"/>
    <w:rsid w:val="00C816CD"/>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C816CD"/>
    <w:pPr>
      <w:tabs>
        <w:tab w:val="center" w:pos="4153"/>
        <w:tab w:val="right" w:pos="8306"/>
      </w:tabs>
    </w:pPr>
  </w:style>
  <w:style w:type="character" w:customStyle="1" w:styleId="FooterChar">
    <w:name w:val="Footer Char"/>
    <w:basedOn w:val="DefaultParagraphFont"/>
    <w:link w:val="Footer"/>
    <w:rsid w:val="00C816CD"/>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C816CD"/>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C816CD"/>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C816CD"/>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C816CD"/>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C816CD"/>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C816CD"/>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C816CD"/>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C816CD"/>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C816CD"/>
    <w:pPr>
      <w:jc w:val="center"/>
    </w:pPr>
    <w:rPr>
      <w:rFonts w:ascii="Arial Bold" w:hAnsi="Arial Bold"/>
      <w:b/>
      <w:caps/>
      <w:sz w:val="22"/>
    </w:rPr>
  </w:style>
  <w:style w:type="paragraph" w:customStyle="1" w:styleId="FileProperties">
    <w:name w:val="File Properties"/>
    <w:basedOn w:val="Normal"/>
    <w:rsid w:val="00C816CD"/>
    <w:pPr>
      <w:spacing w:before="0"/>
    </w:pPr>
    <w:rPr>
      <w:i/>
    </w:rPr>
  </w:style>
  <w:style w:type="paragraph" w:customStyle="1" w:styleId="AlphaParagraph">
    <w:name w:val="Alpha Paragraph"/>
    <w:basedOn w:val="Normal"/>
    <w:rsid w:val="00C816CD"/>
    <w:pPr>
      <w:numPr>
        <w:numId w:val="1"/>
      </w:numPr>
      <w:tabs>
        <w:tab w:val="clear" w:pos="567"/>
        <w:tab w:val="num" w:pos="360"/>
      </w:tabs>
      <w:ind w:left="0" w:firstLine="0"/>
    </w:pPr>
  </w:style>
  <w:style w:type="paragraph" w:customStyle="1" w:styleId="HeadingBase">
    <w:name w:val="Heading Base"/>
    <w:rsid w:val="00C816CD"/>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C816CD"/>
    <w:rPr>
      <w:bCs/>
      <w:color w:val="002A54" w:themeColor="text2"/>
      <w:szCs w:val="52"/>
    </w:rPr>
  </w:style>
  <w:style w:type="paragraph" w:customStyle="1" w:styleId="BoxText">
    <w:name w:val="Box Text"/>
    <w:basedOn w:val="Normal"/>
    <w:link w:val="BoxTextChar"/>
    <w:qFormat/>
    <w:rsid w:val="00C816CD"/>
    <w:pPr>
      <w:spacing w:before="120" w:after="120" w:line="240" w:lineRule="auto"/>
    </w:pPr>
  </w:style>
  <w:style w:type="paragraph" w:customStyle="1" w:styleId="BoxBullet">
    <w:name w:val="Box Bullet"/>
    <w:basedOn w:val="BoxText"/>
    <w:rsid w:val="00C816CD"/>
    <w:pPr>
      <w:numPr>
        <w:numId w:val="2"/>
      </w:numPr>
    </w:pPr>
  </w:style>
  <w:style w:type="paragraph" w:customStyle="1" w:styleId="BoxHeading">
    <w:name w:val="Box Heading"/>
    <w:basedOn w:val="HeadingBase"/>
    <w:next w:val="BoxText"/>
    <w:rsid w:val="00C816CD"/>
    <w:pPr>
      <w:spacing w:before="120" w:after="120"/>
    </w:pPr>
    <w:rPr>
      <w:b/>
      <w:sz w:val="20"/>
    </w:rPr>
  </w:style>
  <w:style w:type="character" w:customStyle="1" w:styleId="Heading6Char">
    <w:name w:val="Heading 6 Char"/>
    <w:basedOn w:val="DefaultParagraphFont"/>
    <w:link w:val="Heading6"/>
    <w:rsid w:val="00C816CD"/>
    <w:rPr>
      <w:rFonts w:ascii="Arial" w:eastAsia="Times New Roman" w:hAnsi="Arial" w:cs="Times New Roman"/>
      <w:bCs/>
      <w:sz w:val="20"/>
      <w:lang w:eastAsia="en-AU"/>
    </w:rPr>
  </w:style>
  <w:style w:type="paragraph" w:customStyle="1" w:styleId="Bullet">
    <w:name w:val="Bullet"/>
    <w:basedOn w:val="Normal"/>
    <w:qFormat/>
    <w:rsid w:val="00C816CD"/>
    <w:pPr>
      <w:numPr>
        <w:numId w:val="7"/>
      </w:numPr>
      <w:spacing w:after="160"/>
      <w:ind w:left="284" w:hanging="284"/>
    </w:pPr>
  </w:style>
  <w:style w:type="paragraph" w:styleId="Caption">
    <w:name w:val="caption"/>
    <w:basedOn w:val="Normal"/>
    <w:next w:val="Normal"/>
    <w:rsid w:val="00C816CD"/>
    <w:rPr>
      <w:b/>
      <w:bCs/>
    </w:rPr>
  </w:style>
  <w:style w:type="paragraph" w:customStyle="1" w:styleId="ChartandTableFootnote">
    <w:name w:val="Chart and Table Footnote"/>
    <w:basedOn w:val="HeadingBase"/>
    <w:next w:val="Normal"/>
    <w:rsid w:val="00C816CD"/>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C816CD"/>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C816CD"/>
    <w:pPr>
      <w:keepNext w:val="0"/>
      <w:tabs>
        <w:tab w:val="left" w:pos="284"/>
      </w:tabs>
      <w:jc w:val="both"/>
    </w:pPr>
    <w:rPr>
      <w:color w:val="000000"/>
      <w:sz w:val="15"/>
    </w:rPr>
  </w:style>
  <w:style w:type="paragraph" w:customStyle="1" w:styleId="ChartGraphic">
    <w:name w:val="Chart Graphic"/>
    <w:basedOn w:val="HeadingBase"/>
    <w:rsid w:val="00C816CD"/>
    <w:rPr>
      <w:sz w:val="20"/>
    </w:rPr>
  </w:style>
  <w:style w:type="paragraph" w:customStyle="1" w:styleId="TableLine">
    <w:name w:val="Table Line"/>
    <w:basedOn w:val="Normal"/>
    <w:next w:val="Normal"/>
    <w:autoRedefine/>
    <w:rsid w:val="00C816CD"/>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C816CD"/>
    <w:pPr>
      <w:spacing w:after="60"/>
    </w:pPr>
    <w:rPr>
      <w:sz w:val="19"/>
    </w:rPr>
  </w:style>
  <w:style w:type="character" w:styleId="CommentReference">
    <w:name w:val="annotation reference"/>
    <w:basedOn w:val="DefaultParagraphFont"/>
    <w:semiHidden/>
    <w:rsid w:val="00C816CD"/>
    <w:rPr>
      <w:sz w:val="16"/>
      <w:szCs w:val="16"/>
    </w:rPr>
  </w:style>
  <w:style w:type="paragraph" w:styleId="CommentText">
    <w:name w:val="annotation text"/>
    <w:basedOn w:val="Normal"/>
    <w:link w:val="CommentTextChar"/>
    <w:semiHidden/>
    <w:rsid w:val="00C816CD"/>
  </w:style>
  <w:style w:type="character" w:customStyle="1" w:styleId="CommentTextChar">
    <w:name w:val="Comment Text Char"/>
    <w:basedOn w:val="DefaultParagraphFont"/>
    <w:link w:val="CommentText"/>
    <w:semiHidden/>
    <w:rsid w:val="00C816CD"/>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C816CD"/>
    <w:rPr>
      <w:b/>
      <w:bCs/>
    </w:rPr>
  </w:style>
  <w:style w:type="character" w:customStyle="1" w:styleId="CommentSubjectChar">
    <w:name w:val="Comment Subject Char"/>
    <w:basedOn w:val="CommentTextChar"/>
    <w:link w:val="CommentSubject"/>
    <w:semiHidden/>
    <w:rsid w:val="00C816CD"/>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C816CD"/>
    <w:pPr>
      <w:spacing w:after="720"/>
      <w:outlineLvl w:val="9"/>
    </w:pPr>
  </w:style>
  <w:style w:type="character" w:styleId="Strong">
    <w:name w:val="Strong"/>
    <w:basedOn w:val="DefaultParagraphFont"/>
    <w:uiPriority w:val="22"/>
    <w:qFormat/>
    <w:rsid w:val="00C816CD"/>
    <w:rPr>
      <w:b/>
      <w:bCs/>
      <w:color w:val="auto"/>
    </w:rPr>
  </w:style>
  <w:style w:type="paragraph" w:customStyle="1" w:styleId="Dash">
    <w:name w:val="Dash"/>
    <w:basedOn w:val="Normal"/>
    <w:qFormat/>
    <w:rsid w:val="00C816CD"/>
    <w:pPr>
      <w:numPr>
        <w:ilvl w:val="1"/>
        <w:numId w:val="7"/>
      </w:numPr>
      <w:tabs>
        <w:tab w:val="left" w:pos="567"/>
      </w:tabs>
    </w:pPr>
  </w:style>
  <w:style w:type="paragraph" w:styleId="DocumentMap">
    <w:name w:val="Document Map"/>
    <w:basedOn w:val="Normal"/>
    <w:link w:val="DocumentMapChar"/>
    <w:semiHidden/>
    <w:rsid w:val="00C816CD"/>
    <w:pPr>
      <w:shd w:val="clear" w:color="auto" w:fill="000080"/>
    </w:pPr>
    <w:rPr>
      <w:rFonts w:ascii="Tahoma" w:hAnsi="Tahoma" w:cs="Tahoma"/>
    </w:rPr>
  </w:style>
  <w:style w:type="character" w:customStyle="1" w:styleId="DocumentMapChar">
    <w:name w:val="Document Map Char"/>
    <w:basedOn w:val="DefaultParagraphFont"/>
    <w:link w:val="DocumentMap"/>
    <w:semiHidden/>
    <w:rsid w:val="00C816CD"/>
    <w:rPr>
      <w:rFonts w:ascii="Tahoma" w:eastAsia="Times New Roman" w:hAnsi="Tahoma" w:cs="Tahoma"/>
      <w:sz w:val="19"/>
      <w:szCs w:val="20"/>
      <w:shd w:val="clear" w:color="auto" w:fill="000080"/>
      <w:lang w:eastAsia="en-AU"/>
    </w:rPr>
  </w:style>
  <w:style w:type="paragraph" w:customStyle="1" w:styleId="DoubleDot">
    <w:name w:val="Double Dot"/>
    <w:basedOn w:val="Normal"/>
    <w:rsid w:val="00C816CD"/>
    <w:pPr>
      <w:numPr>
        <w:ilvl w:val="2"/>
        <w:numId w:val="7"/>
      </w:numPr>
      <w:tabs>
        <w:tab w:val="clear" w:pos="850"/>
        <w:tab w:val="num" w:pos="360"/>
        <w:tab w:val="left" w:pos="851"/>
      </w:tabs>
    </w:pPr>
  </w:style>
  <w:style w:type="paragraph" w:customStyle="1" w:styleId="FigureHeading">
    <w:name w:val="Figure Heading"/>
    <w:basedOn w:val="HeadingBase"/>
    <w:next w:val="ChartGraphic"/>
    <w:rsid w:val="00C816CD"/>
    <w:pPr>
      <w:spacing w:before="120" w:after="20"/>
    </w:pPr>
    <w:rPr>
      <w:b/>
      <w:sz w:val="20"/>
    </w:rPr>
  </w:style>
  <w:style w:type="paragraph" w:customStyle="1" w:styleId="FooterBase">
    <w:name w:val="Footer Base"/>
    <w:rsid w:val="00C816CD"/>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C816CD"/>
    <w:pPr>
      <w:pBdr>
        <w:top w:val="single" w:sz="4" w:space="10" w:color="002A54" w:themeColor="text2"/>
      </w:pBdr>
      <w:jc w:val="left"/>
    </w:pPr>
    <w:rPr>
      <w:sz w:val="18"/>
    </w:rPr>
  </w:style>
  <w:style w:type="paragraph" w:customStyle="1" w:styleId="FooterOdd">
    <w:name w:val="Footer Odd"/>
    <w:basedOn w:val="Footer"/>
    <w:qFormat/>
    <w:rsid w:val="00C816CD"/>
    <w:pPr>
      <w:pBdr>
        <w:top w:val="single" w:sz="4" w:space="10" w:color="002A54" w:themeColor="text2"/>
      </w:pBdr>
      <w:jc w:val="right"/>
    </w:pPr>
    <w:rPr>
      <w:sz w:val="18"/>
    </w:rPr>
  </w:style>
  <w:style w:type="character" w:styleId="FootnoteReference">
    <w:name w:val="footnote reference"/>
    <w:basedOn w:val="DefaultParagraphFont"/>
    <w:rsid w:val="00C816CD"/>
    <w:rPr>
      <w:vertAlign w:val="superscript"/>
    </w:rPr>
  </w:style>
  <w:style w:type="paragraph" w:styleId="FootnoteText">
    <w:name w:val="footnote text"/>
    <w:basedOn w:val="Normal"/>
    <w:link w:val="FootnoteTextChar"/>
    <w:rsid w:val="00C816CD"/>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C816CD"/>
    <w:rPr>
      <w:rFonts w:ascii="Book Antiqua" w:eastAsia="Times New Roman" w:hAnsi="Book Antiqua" w:cs="Times New Roman"/>
      <w:sz w:val="18"/>
      <w:szCs w:val="20"/>
      <w:lang w:eastAsia="en-AU"/>
    </w:rPr>
  </w:style>
  <w:style w:type="character" w:customStyle="1" w:styleId="FramedHeader">
    <w:name w:val="Framed Header"/>
    <w:basedOn w:val="DefaultParagraphFont"/>
    <w:rsid w:val="00C816CD"/>
    <w:rPr>
      <w:rFonts w:ascii="Book Antiqua" w:hAnsi="Book Antiqua"/>
      <w:i/>
      <w:dstrike w:val="0"/>
      <w:color w:val="auto"/>
      <w:sz w:val="20"/>
      <w:vertAlign w:val="baseline"/>
    </w:rPr>
  </w:style>
  <w:style w:type="paragraph" w:customStyle="1" w:styleId="HeaderBase">
    <w:name w:val="Header Base"/>
    <w:rsid w:val="00C816CD"/>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C816CD"/>
  </w:style>
  <w:style w:type="paragraph" w:customStyle="1" w:styleId="HeaderOdd">
    <w:name w:val="Header Odd"/>
    <w:basedOn w:val="HeaderBase"/>
    <w:rsid w:val="00C816CD"/>
    <w:pPr>
      <w:jc w:val="right"/>
    </w:pPr>
  </w:style>
  <w:style w:type="character" w:customStyle="1" w:styleId="Heading1Char">
    <w:name w:val="Heading 1 Char"/>
    <w:basedOn w:val="DefaultParagraphFont"/>
    <w:link w:val="Heading1"/>
    <w:rsid w:val="00C816CD"/>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C816CD"/>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C816CD"/>
    <w:rPr>
      <w:rFonts w:ascii="Arial Bold" w:eastAsia="Times New Roman" w:hAnsi="Arial Bold" w:cs="Times New Roman"/>
      <w:b/>
      <w:szCs w:val="20"/>
      <w:lang w:eastAsia="en-AU"/>
    </w:rPr>
  </w:style>
  <w:style w:type="paragraph" w:customStyle="1" w:styleId="Heading3noTOC">
    <w:name w:val="Heading 3 no TOC"/>
    <w:basedOn w:val="Heading3"/>
    <w:rsid w:val="00C816CD"/>
    <w:pPr>
      <w:outlineLvl w:val="9"/>
    </w:pPr>
  </w:style>
  <w:style w:type="character" w:customStyle="1" w:styleId="Heading4Char">
    <w:name w:val="Heading 4 Char"/>
    <w:basedOn w:val="DefaultParagraphFont"/>
    <w:link w:val="Heading4"/>
    <w:rsid w:val="00C816CD"/>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C816CD"/>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C816CD"/>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C816CD"/>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C816CD"/>
    <w:rPr>
      <w:rFonts w:ascii="Times New Roman" w:hAnsi="Times New Roman"/>
      <w:vanish/>
      <w:sz w:val="16"/>
    </w:rPr>
  </w:style>
  <w:style w:type="character" w:styleId="Hyperlink">
    <w:name w:val="Hyperlink"/>
    <w:basedOn w:val="DefaultParagraphFont"/>
    <w:uiPriority w:val="99"/>
    <w:unhideWhenUsed/>
    <w:rsid w:val="00C816CD"/>
    <w:rPr>
      <w:color w:val="auto"/>
      <w:u w:val="single"/>
    </w:rPr>
  </w:style>
  <w:style w:type="paragraph" w:styleId="Index4">
    <w:name w:val="index 4"/>
    <w:basedOn w:val="Normal"/>
    <w:next w:val="Normal"/>
    <w:autoRedefine/>
    <w:semiHidden/>
    <w:rsid w:val="00C816CD"/>
    <w:pPr>
      <w:ind w:left="800" w:hanging="200"/>
    </w:pPr>
  </w:style>
  <w:style w:type="paragraph" w:styleId="Index5">
    <w:name w:val="index 5"/>
    <w:basedOn w:val="Normal"/>
    <w:next w:val="Normal"/>
    <w:autoRedefine/>
    <w:semiHidden/>
    <w:rsid w:val="00C816CD"/>
    <w:pPr>
      <w:ind w:left="1000" w:hanging="200"/>
    </w:pPr>
  </w:style>
  <w:style w:type="paragraph" w:styleId="Index6">
    <w:name w:val="index 6"/>
    <w:basedOn w:val="Normal"/>
    <w:next w:val="Normal"/>
    <w:autoRedefine/>
    <w:semiHidden/>
    <w:rsid w:val="00C816CD"/>
    <w:pPr>
      <w:ind w:left="1200" w:hanging="200"/>
    </w:pPr>
  </w:style>
  <w:style w:type="paragraph" w:styleId="Index7">
    <w:name w:val="index 7"/>
    <w:basedOn w:val="Normal"/>
    <w:next w:val="Normal"/>
    <w:autoRedefine/>
    <w:semiHidden/>
    <w:rsid w:val="00C816CD"/>
    <w:pPr>
      <w:ind w:left="1400" w:hanging="200"/>
    </w:pPr>
  </w:style>
  <w:style w:type="paragraph" w:styleId="Index8">
    <w:name w:val="index 8"/>
    <w:basedOn w:val="Normal"/>
    <w:next w:val="Normal"/>
    <w:autoRedefine/>
    <w:semiHidden/>
    <w:rsid w:val="00C816CD"/>
    <w:pPr>
      <w:ind w:left="1600" w:hanging="200"/>
    </w:pPr>
  </w:style>
  <w:style w:type="paragraph" w:styleId="Index9">
    <w:name w:val="index 9"/>
    <w:basedOn w:val="Normal"/>
    <w:next w:val="Normal"/>
    <w:autoRedefine/>
    <w:semiHidden/>
    <w:rsid w:val="00C816CD"/>
    <w:pPr>
      <w:ind w:left="1800" w:hanging="200"/>
    </w:pPr>
  </w:style>
  <w:style w:type="paragraph" w:styleId="MacroText">
    <w:name w:val="macro"/>
    <w:link w:val="MacroTextChar"/>
    <w:unhideWhenUsed/>
    <w:rsid w:val="00C816CD"/>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C816CD"/>
    <w:rPr>
      <w:rFonts w:ascii="Courier New" w:eastAsia="Times New Roman" w:hAnsi="Courier New" w:cs="Courier New"/>
      <w:sz w:val="20"/>
      <w:szCs w:val="20"/>
      <w:lang w:eastAsia="en-AU"/>
    </w:rPr>
  </w:style>
  <w:style w:type="paragraph" w:styleId="NormalIndent">
    <w:name w:val="Normal Indent"/>
    <w:basedOn w:val="Normal"/>
    <w:rsid w:val="00C816CD"/>
    <w:pPr>
      <w:ind w:left="567"/>
    </w:pPr>
  </w:style>
  <w:style w:type="paragraph" w:customStyle="1" w:styleId="NoteTableHeading">
    <w:name w:val="Note Table Heading"/>
    <w:basedOn w:val="HeadingBase"/>
    <w:next w:val="Normal"/>
    <w:rsid w:val="00C816CD"/>
    <w:pPr>
      <w:spacing w:before="240"/>
    </w:pPr>
    <w:rPr>
      <w:b/>
      <w:sz w:val="20"/>
    </w:rPr>
  </w:style>
  <w:style w:type="paragraph" w:customStyle="1" w:styleId="OverviewParagraph">
    <w:name w:val="Overview Paragraph"/>
    <w:basedOn w:val="Normal"/>
    <w:rsid w:val="00C816CD"/>
    <w:pPr>
      <w:spacing w:before="120" w:after="120" w:line="240" w:lineRule="auto"/>
    </w:pPr>
  </w:style>
  <w:style w:type="character" w:styleId="PageNumber">
    <w:name w:val="page number"/>
    <w:basedOn w:val="DefaultParagraphFont"/>
    <w:rsid w:val="00C816CD"/>
    <w:rPr>
      <w:rFonts w:ascii="Arial" w:hAnsi="Arial" w:cs="Arial"/>
    </w:rPr>
  </w:style>
  <w:style w:type="paragraph" w:customStyle="1" w:styleId="SingleParagraph">
    <w:name w:val="Single Paragraph"/>
    <w:basedOn w:val="Normal"/>
    <w:rsid w:val="00C816CD"/>
    <w:pPr>
      <w:spacing w:before="0" w:after="0"/>
    </w:pPr>
  </w:style>
  <w:style w:type="paragraph" w:customStyle="1" w:styleId="Source">
    <w:name w:val="Source"/>
    <w:basedOn w:val="Normal"/>
    <w:rsid w:val="00C816CD"/>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C816CD"/>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C816CD"/>
    <w:pPr>
      <w:jc w:val="center"/>
    </w:pPr>
  </w:style>
  <w:style w:type="paragraph" w:customStyle="1" w:styleId="TableColumnHeadingLeft">
    <w:name w:val="Table Column Heading Left"/>
    <w:basedOn w:val="TableColumnHeadingBase"/>
    <w:next w:val="Normal"/>
    <w:rsid w:val="00C816CD"/>
  </w:style>
  <w:style w:type="paragraph" w:customStyle="1" w:styleId="TableColumnHeadingRight">
    <w:name w:val="Table Column Heading Right"/>
    <w:basedOn w:val="TableColumnHeadingBase"/>
    <w:next w:val="Normal"/>
    <w:rsid w:val="00C816CD"/>
    <w:pPr>
      <w:jc w:val="right"/>
    </w:pPr>
  </w:style>
  <w:style w:type="paragraph" w:customStyle="1" w:styleId="TableGraphic">
    <w:name w:val="Table Graphic"/>
    <w:basedOn w:val="Normal"/>
    <w:next w:val="Normal"/>
    <w:rsid w:val="00C816CD"/>
    <w:pPr>
      <w:spacing w:after="0" w:line="240" w:lineRule="auto"/>
      <w:ind w:right="-113"/>
    </w:pPr>
  </w:style>
  <w:style w:type="table" w:styleId="TableGrid">
    <w:name w:val="Table Grid"/>
    <w:basedOn w:val="TableNormal"/>
    <w:rsid w:val="00C816CD"/>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C816CD"/>
    <w:pPr>
      <w:spacing w:before="120" w:after="20"/>
    </w:pPr>
    <w:rPr>
      <w:b/>
      <w:sz w:val="20"/>
    </w:rPr>
  </w:style>
  <w:style w:type="paragraph" w:customStyle="1" w:styleId="TableHeadingcontinued">
    <w:name w:val="Table Heading continued"/>
    <w:basedOn w:val="HeadingBase"/>
    <w:next w:val="TableGraphic"/>
    <w:rsid w:val="00C816CD"/>
    <w:pPr>
      <w:spacing w:before="120" w:after="20"/>
    </w:pPr>
    <w:rPr>
      <w:rFonts w:ascii="Arial Bold" w:hAnsi="Arial Bold"/>
      <w:b/>
      <w:sz w:val="20"/>
    </w:rPr>
  </w:style>
  <w:style w:type="paragraph" w:styleId="TableofFigures">
    <w:name w:val="table of figures"/>
    <w:basedOn w:val="Normal"/>
    <w:next w:val="Normal"/>
    <w:rsid w:val="00C816CD"/>
  </w:style>
  <w:style w:type="paragraph" w:customStyle="1" w:styleId="TableTextBase">
    <w:name w:val="Table Text Base"/>
    <w:basedOn w:val="Normal"/>
    <w:rsid w:val="00C816CD"/>
    <w:pPr>
      <w:spacing w:before="20" w:after="20" w:line="240" w:lineRule="auto"/>
    </w:pPr>
    <w:rPr>
      <w:rFonts w:ascii="Arial" w:hAnsi="Arial"/>
      <w:sz w:val="16"/>
    </w:rPr>
  </w:style>
  <w:style w:type="paragraph" w:customStyle="1" w:styleId="TableTextCentred">
    <w:name w:val="Table Text Centred"/>
    <w:basedOn w:val="TableTextBase"/>
    <w:rsid w:val="00C816CD"/>
    <w:pPr>
      <w:jc w:val="center"/>
    </w:pPr>
  </w:style>
  <w:style w:type="paragraph" w:customStyle="1" w:styleId="TableTextIndented">
    <w:name w:val="Table Text Indented"/>
    <w:basedOn w:val="TableTextBase"/>
    <w:rsid w:val="00C816CD"/>
    <w:pPr>
      <w:ind w:left="284"/>
    </w:pPr>
  </w:style>
  <w:style w:type="paragraph" w:customStyle="1" w:styleId="TableTextLeft">
    <w:name w:val="Table Text Left"/>
    <w:basedOn w:val="TableTextBase"/>
    <w:rsid w:val="00C816CD"/>
  </w:style>
  <w:style w:type="paragraph" w:customStyle="1" w:styleId="TableTextRight">
    <w:name w:val="Table Text Right"/>
    <w:basedOn w:val="TableTextBase"/>
    <w:rsid w:val="00C816CD"/>
    <w:pPr>
      <w:jc w:val="right"/>
    </w:pPr>
  </w:style>
  <w:style w:type="paragraph" w:styleId="TOAHeading">
    <w:name w:val="toa heading"/>
    <w:basedOn w:val="Normal"/>
    <w:next w:val="Normal"/>
    <w:rsid w:val="00C816CD"/>
    <w:pPr>
      <w:spacing w:before="120"/>
    </w:pPr>
    <w:rPr>
      <w:rFonts w:ascii="Arial" w:hAnsi="Arial" w:cs="Arial"/>
      <w:b/>
      <w:bCs/>
      <w:sz w:val="24"/>
      <w:szCs w:val="24"/>
    </w:rPr>
  </w:style>
  <w:style w:type="paragraph" w:styleId="TOC1">
    <w:name w:val="toc 1"/>
    <w:basedOn w:val="HeaderBase"/>
    <w:next w:val="Normal"/>
    <w:uiPriority w:val="39"/>
    <w:rsid w:val="00C816CD"/>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39"/>
    <w:qFormat/>
    <w:rsid w:val="00C816CD"/>
    <w:pPr>
      <w:keepNext w:val="0"/>
      <w:tabs>
        <w:tab w:val="left" w:pos="992"/>
        <w:tab w:val="right" w:leader="dot" w:pos="7700"/>
      </w:tabs>
      <w:spacing w:before="60" w:after="60"/>
      <w:ind w:right="851"/>
    </w:pPr>
    <w:rPr>
      <w:sz w:val="18"/>
    </w:rPr>
  </w:style>
  <w:style w:type="paragraph" w:styleId="TOC3">
    <w:name w:val="toc 3"/>
    <w:basedOn w:val="HeadingBase"/>
    <w:next w:val="Normal"/>
    <w:uiPriority w:val="39"/>
    <w:unhideWhenUsed/>
    <w:rsid w:val="00C816CD"/>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C816CD"/>
    <w:pPr>
      <w:tabs>
        <w:tab w:val="right" w:leader="dot" w:pos="7700"/>
      </w:tabs>
      <w:spacing w:before="40"/>
      <w:ind w:right="851"/>
    </w:pPr>
    <w:rPr>
      <w:sz w:val="20"/>
    </w:rPr>
  </w:style>
  <w:style w:type="paragraph" w:styleId="TOC5">
    <w:name w:val="toc 5"/>
    <w:basedOn w:val="Normal"/>
    <w:next w:val="Normal"/>
    <w:autoRedefine/>
    <w:uiPriority w:val="2"/>
    <w:semiHidden/>
    <w:rsid w:val="00C816CD"/>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C816CD"/>
    <w:pPr>
      <w:tabs>
        <w:tab w:val="left" w:pos="851"/>
      </w:tabs>
      <w:ind w:left="851" w:hanging="851"/>
    </w:pPr>
    <w:rPr>
      <w:color w:val="000000"/>
    </w:rPr>
  </w:style>
  <w:style w:type="paragraph" w:styleId="TOC7">
    <w:name w:val="toc 7"/>
    <w:basedOn w:val="Normal"/>
    <w:next w:val="Normal"/>
    <w:autoRedefine/>
    <w:uiPriority w:val="2"/>
    <w:semiHidden/>
    <w:rsid w:val="00C816CD"/>
    <w:pPr>
      <w:ind w:left="1200"/>
    </w:pPr>
  </w:style>
  <w:style w:type="paragraph" w:styleId="TOC8">
    <w:name w:val="toc 8"/>
    <w:basedOn w:val="Normal"/>
    <w:next w:val="Normal"/>
    <w:autoRedefine/>
    <w:uiPriority w:val="2"/>
    <w:semiHidden/>
    <w:rsid w:val="00C816CD"/>
    <w:pPr>
      <w:ind w:left="1400"/>
    </w:pPr>
  </w:style>
  <w:style w:type="paragraph" w:styleId="TOC9">
    <w:name w:val="toc 9"/>
    <w:basedOn w:val="Normal"/>
    <w:next w:val="Normal"/>
    <w:autoRedefine/>
    <w:uiPriority w:val="2"/>
    <w:semiHidden/>
    <w:rsid w:val="00C816CD"/>
    <w:pPr>
      <w:ind w:left="1600"/>
    </w:pPr>
  </w:style>
  <w:style w:type="paragraph" w:customStyle="1" w:styleId="TPHeading1">
    <w:name w:val="TP Heading 1"/>
    <w:basedOn w:val="HeadingBase"/>
    <w:semiHidden/>
    <w:rsid w:val="00C816CD"/>
    <w:pPr>
      <w:spacing w:before="60" w:after="60"/>
      <w:ind w:left="1134"/>
    </w:pPr>
    <w:rPr>
      <w:rFonts w:ascii="Arial Bold" w:hAnsi="Arial Bold"/>
      <w:b/>
      <w:caps/>
      <w:spacing w:val="-10"/>
      <w:sz w:val="28"/>
    </w:rPr>
  </w:style>
  <w:style w:type="paragraph" w:customStyle="1" w:styleId="TPHeading2">
    <w:name w:val="TP Heading 2"/>
    <w:basedOn w:val="HeadingBase"/>
    <w:semiHidden/>
    <w:rsid w:val="00C816CD"/>
    <w:pPr>
      <w:ind w:left="1134"/>
    </w:pPr>
    <w:rPr>
      <w:caps/>
      <w:spacing w:val="-10"/>
      <w:sz w:val="28"/>
    </w:rPr>
  </w:style>
  <w:style w:type="paragraph" w:customStyle="1" w:styleId="TPHeading3">
    <w:name w:val="TP Heading 3"/>
    <w:basedOn w:val="HeadingBase"/>
    <w:semiHidden/>
    <w:rsid w:val="00C816CD"/>
    <w:pPr>
      <w:ind w:left="1134"/>
    </w:pPr>
    <w:rPr>
      <w:caps/>
      <w:spacing w:val="-10"/>
    </w:rPr>
  </w:style>
  <w:style w:type="paragraph" w:customStyle="1" w:styleId="TPHeading3bold">
    <w:name w:val="TP Heading 3 bold"/>
    <w:basedOn w:val="TPHeading3"/>
    <w:semiHidden/>
    <w:rsid w:val="00C816CD"/>
    <w:rPr>
      <w:rFonts w:cs="Arial"/>
      <w:b/>
      <w:sz w:val="22"/>
      <w:szCs w:val="22"/>
    </w:rPr>
  </w:style>
  <w:style w:type="paragraph" w:customStyle="1" w:styleId="TPHEADING3boldspace">
    <w:name w:val="TP HEADING 3 bold space"/>
    <w:basedOn w:val="TPHeading3bold"/>
    <w:semiHidden/>
    <w:rsid w:val="00C816CD"/>
    <w:pPr>
      <w:spacing w:after="120"/>
    </w:pPr>
  </w:style>
  <w:style w:type="paragraph" w:customStyle="1" w:styleId="TPHEADING3space">
    <w:name w:val="TP HEADING 3 space"/>
    <w:basedOn w:val="TPHeading3"/>
    <w:semiHidden/>
    <w:rsid w:val="00C816CD"/>
    <w:pPr>
      <w:spacing w:before="120" w:after="120"/>
    </w:pPr>
    <w:rPr>
      <w:rFonts w:cs="Arial"/>
      <w:sz w:val="22"/>
      <w:szCs w:val="22"/>
    </w:rPr>
  </w:style>
  <w:style w:type="paragraph" w:customStyle="1" w:styleId="TPHeading4">
    <w:name w:val="TP Heading 4"/>
    <w:basedOn w:val="TPHeading3"/>
    <w:semiHidden/>
    <w:rsid w:val="00C816CD"/>
    <w:rPr>
      <w:sz w:val="20"/>
    </w:rPr>
  </w:style>
  <w:style w:type="paragraph" w:customStyle="1" w:styleId="TPHEADING4space">
    <w:name w:val="TP HEADING 4 space"/>
    <w:basedOn w:val="TPHEADING3space"/>
    <w:semiHidden/>
    <w:rsid w:val="00C816CD"/>
  </w:style>
  <w:style w:type="paragraph" w:customStyle="1" w:styleId="ChartLine">
    <w:name w:val="Chart Line"/>
    <w:basedOn w:val="Normal"/>
    <w:autoRedefine/>
    <w:qFormat/>
    <w:rsid w:val="00C816CD"/>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C816CD"/>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C816CD"/>
    <w:rPr>
      <w:sz w:val="16"/>
    </w:rPr>
  </w:style>
  <w:style w:type="paragraph" w:customStyle="1" w:styleId="Box-continuedon">
    <w:name w:val="Box - continued on"/>
    <w:basedOn w:val="Normal"/>
    <w:qFormat/>
    <w:rsid w:val="00C816CD"/>
    <w:pPr>
      <w:jc w:val="right"/>
    </w:pPr>
    <w:rPr>
      <w:rFonts w:asciiTheme="majorHAnsi" w:hAnsiTheme="majorHAnsi" w:cstheme="majorHAnsi"/>
      <w:i/>
      <w:iCs/>
      <w:sz w:val="18"/>
      <w:szCs w:val="24"/>
    </w:rPr>
  </w:style>
  <w:style w:type="paragraph" w:customStyle="1" w:styleId="BoxHeading2">
    <w:name w:val="Box Heading 2"/>
    <w:basedOn w:val="BoxHeading"/>
    <w:autoRedefine/>
    <w:rsid w:val="00C816CD"/>
    <w:pPr>
      <w:spacing w:after="0"/>
    </w:pPr>
    <w:rPr>
      <w:b w:val="0"/>
      <w:bCs/>
      <w:szCs w:val="14"/>
    </w:rPr>
  </w:style>
  <w:style w:type="character" w:customStyle="1" w:styleId="Heading9Char">
    <w:name w:val="Heading 9 Char"/>
    <w:basedOn w:val="DefaultParagraphFont"/>
    <w:link w:val="Heading9"/>
    <w:uiPriority w:val="9"/>
    <w:rsid w:val="00C816CD"/>
    <w:rPr>
      <w:rFonts w:ascii="Cambria" w:eastAsia="Times New Roman" w:hAnsi="Cambria" w:cs="Times New Roman"/>
      <w:lang w:eastAsia="en-AU"/>
    </w:rPr>
  </w:style>
  <w:style w:type="paragraph" w:customStyle="1" w:styleId="GhostLine">
    <w:name w:val="Ghost Line"/>
    <w:basedOn w:val="NoSpacing"/>
    <w:qFormat/>
    <w:rsid w:val="00C816CD"/>
    <w:pPr>
      <w:jc w:val="both"/>
    </w:pPr>
    <w:rPr>
      <w:rFonts w:ascii="Book Antiqua" w:hAnsi="Book Antiqua"/>
      <w:sz w:val="2"/>
    </w:rPr>
  </w:style>
  <w:style w:type="paragraph" w:styleId="NoSpacing">
    <w:name w:val="No Spacing"/>
    <w:uiPriority w:val="1"/>
    <w:qFormat/>
    <w:rsid w:val="00C816CD"/>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C816CD"/>
    <w:rPr>
      <w:rFonts w:ascii="Book Antiqua" w:eastAsia="Times New Roman" w:hAnsi="Book Antiqua" w:cs="Times New Roman"/>
      <w:sz w:val="19"/>
      <w:szCs w:val="20"/>
      <w:lang w:eastAsia="en-AU"/>
    </w:rPr>
  </w:style>
  <w:style w:type="character" w:customStyle="1" w:styleId="A5">
    <w:name w:val="A5"/>
    <w:uiPriority w:val="99"/>
    <w:rsid w:val="00C816CD"/>
    <w:rPr>
      <w:rFonts w:cs="Swiss 721 BT"/>
      <w:color w:val="000000"/>
      <w:sz w:val="20"/>
      <w:szCs w:val="20"/>
    </w:rPr>
  </w:style>
  <w:style w:type="paragraph" w:customStyle="1" w:styleId="CreativeCommonsNormal">
    <w:name w:val="Creative Commons Normal"/>
    <w:basedOn w:val="Normal"/>
    <w:qFormat/>
    <w:rsid w:val="00C816CD"/>
    <w:pPr>
      <w:spacing w:before="120" w:after="120"/>
    </w:pPr>
  </w:style>
  <w:style w:type="paragraph" w:customStyle="1" w:styleId="CreativeCommonsH1">
    <w:name w:val="Creative Commons H1"/>
    <w:basedOn w:val="Normal"/>
    <w:qFormat/>
    <w:rsid w:val="00C816CD"/>
    <w:pPr>
      <w:spacing w:before="180" w:after="120"/>
    </w:pPr>
    <w:rPr>
      <w:b/>
      <w:bCs/>
    </w:rPr>
  </w:style>
  <w:style w:type="paragraph" w:customStyle="1" w:styleId="CreativeCommonsIndented">
    <w:name w:val="Creative Commons Indented"/>
    <w:basedOn w:val="CreativeCommonsNormal"/>
    <w:qFormat/>
    <w:rsid w:val="00C816CD"/>
    <w:pPr>
      <w:ind w:left="567"/>
    </w:pPr>
  </w:style>
  <w:style w:type="paragraph" w:customStyle="1" w:styleId="OutlineNumbered1">
    <w:name w:val="Outline Numbered 1"/>
    <w:basedOn w:val="Normal"/>
    <w:link w:val="OutlineNumbered1Char"/>
    <w:qFormat/>
    <w:rsid w:val="00C816CD"/>
    <w:pPr>
      <w:numPr>
        <w:numId w:val="22"/>
      </w:numPr>
    </w:pPr>
  </w:style>
  <w:style w:type="character" w:customStyle="1" w:styleId="OutlineNumbered1Char">
    <w:name w:val="Outline Numbered 1 Char"/>
    <w:basedOn w:val="DefaultParagraphFont"/>
    <w:link w:val="OutlineNumbered1"/>
    <w:rsid w:val="00C816CD"/>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C816CD"/>
    <w:pPr>
      <w:numPr>
        <w:ilvl w:val="1"/>
        <w:numId w:val="21"/>
      </w:numPr>
    </w:pPr>
  </w:style>
  <w:style w:type="paragraph" w:customStyle="1" w:styleId="OutlineNumbered3">
    <w:name w:val="Outline Numbered 3"/>
    <w:basedOn w:val="Normal"/>
    <w:qFormat/>
    <w:rsid w:val="00C816CD"/>
    <w:pPr>
      <w:numPr>
        <w:ilvl w:val="2"/>
        <w:numId w:val="21"/>
      </w:numPr>
    </w:pPr>
  </w:style>
  <w:style w:type="character" w:styleId="Emphasis">
    <w:name w:val="Emphasis"/>
    <w:basedOn w:val="DefaultParagraphFont"/>
    <w:uiPriority w:val="20"/>
    <w:qFormat/>
    <w:rsid w:val="00C816CD"/>
    <w:rPr>
      <w:i/>
      <w:iCs/>
    </w:rPr>
  </w:style>
  <w:style w:type="character" w:styleId="UnresolvedMention">
    <w:name w:val="Unresolved Mention"/>
    <w:basedOn w:val="DefaultParagraphFont"/>
    <w:uiPriority w:val="99"/>
    <w:semiHidden/>
    <w:unhideWhenUsed/>
    <w:rsid w:val="00AC6B84"/>
    <w:rPr>
      <w:color w:val="605E5C"/>
      <w:shd w:val="clear" w:color="auto" w:fill="E1DFDD"/>
    </w:rPr>
  </w:style>
  <w:style w:type="paragraph" w:styleId="NormalWeb">
    <w:name w:val="Normal (Web)"/>
    <w:basedOn w:val="Normal"/>
    <w:uiPriority w:val="99"/>
    <w:semiHidden/>
    <w:unhideWhenUsed/>
    <w:rsid w:val="00192B1C"/>
    <w:rPr>
      <w:rFonts w:ascii="Times New Roman" w:hAnsi="Times New Roman"/>
      <w:sz w:val="24"/>
      <w:szCs w:val="24"/>
    </w:rPr>
  </w:style>
  <w:style w:type="character" w:styleId="FollowedHyperlink">
    <w:name w:val="FollowedHyperlink"/>
    <w:basedOn w:val="DefaultParagraphFont"/>
    <w:uiPriority w:val="99"/>
    <w:semiHidden/>
    <w:unhideWhenUsed/>
    <w:rsid w:val="00AC220A"/>
    <w:rPr>
      <w:color w:val="E61E26" w:themeColor="followedHyperlink"/>
      <w:u w:val="single"/>
    </w:rPr>
  </w:style>
  <w:style w:type="paragraph" w:styleId="TOCHeading">
    <w:name w:val="TOC Heading"/>
    <w:basedOn w:val="Heading1"/>
    <w:next w:val="Normal"/>
    <w:uiPriority w:val="39"/>
    <w:unhideWhenUsed/>
    <w:qFormat/>
    <w:rsid w:val="004F3B00"/>
    <w:pPr>
      <w:keepLines/>
      <w:spacing w:before="240" w:after="0" w:line="259" w:lineRule="auto"/>
      <w:outlineLvl w:val="9"/>
    </w:pPr>
    <w:rPr>
      <w:rFonts w:asciiTheme="majorHAnsi" w:eastAsiaTheme="majorEastAsia" w:hAnsiTheme="majorHAnsi" w:cstheme="majorBidi"/>
      <w:b w:val="0"/>
      <w:color w:val="024A91" w:themeColor="accent1" w:themeShade="BF"/>
      <w:kern w:val="0"/>
      <w:sz w:val="32"/>
      <w:szCs w:val="32"/>
      <w:lang w:val="en-US" w:eastAsia="en-US"/>
    </w:rPr>
  </w:style>
  <w:style w:type="paragraph" w:styleId="Revision">
    <w:name w:val="Revision"/>
    <w:hidden/>
    <w:uiPriority w:val="99"/>
    <w:semiHidden/>
    <w:rsid w:val="0003107D"/>
    <w:pPr>
      <w:spacing w:after="0" w:line="240" w:lineRule="auto"/>
    </w:pPr>
    <w:rPr>
      <w:rFonts w:ascii="Book Antiqua" w:eastAsia="Times New Roman" w:hAnsi="Book Antiqua" w:cs="Times New Roman"/>
      <w:sz w:val="19"/>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hyperlink" Target="mailto:media@treasury.gov.a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http://www.pmc.gov.au/honours-and-symbols/commonwealth-coat-arm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budget.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creativecommons.org/licenses/by/4.0/legalcode"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Budget Paper No. 1</vt:lpstr>
    </vt:vector>
  </TitlesOfParts>
  <Company/>
  <LinksUpToDate>false</LinksUpToDate>
  <CharactersWithSpaces>5205</CharactersWithSpaces>
  <SharedDoc>false</SharedDoc>
  <HLinks>
    <vt:vector size="36" baseType="variant">
      <vt:variant>
        <vt:i4>5374022</vt:i4>
      </vt:variant>
      <vt:variant>
        <vt:i4>15</vt:i4>
      </vt:variant>
      <vt:variant>
        <vt:i4>0</vt:i4>
      </vt:variant>
      <vt:variant>
        <vt:i4>5</vt:i4>
      </vt:variant>
      <vt:variant>
        <vt:lpwstr>http://www.budget.gov.au/</vt:lpwstr>
      </vt:variant>
      <vt:variant>
        <vt:lpwstr/>
      </vt:variant>
      <vt:variant>
        <vt:i4>105</vt:i4>
      </vt:variant>
      <vt:variant>
        <vt:i4>12</vt:i4>
      </vt:variant>
      <vt:variant>
        <vt:i4>0</vt:i4>
      </vt:variant>
      <vt:variant>
        <vt:i4>5</vt:i4>
      </vt:variant>
      <vt:variant>
        <vt:lpwstr>mailto:media@treasury.gov.au</vt:lpwstr>
      </vt:variant>
      <vt:variant>
        <vt:lpwstr/>
      </vt:variant>
      <vt:variant>
        <vt:i4>25</vt:i4>
      </vt:variant>
      <vt:variant>
        <vt:i4>9</vt:i4>
      </vt:variant>
      <vt:variant>
        <vt:i4>0</vt:i4>
      </vt:variant>
      <vt:variant>
        <vt:i4>5</vt:i4>
      </vt:variant>
      <vt:variant>
        <vt:lpwstr>http://www.pmc.gov.au/honours-and-symbols/commonwealth-coat-arms</vt:lpwstr>
      </vt:variant>
      <vt:variant>
        <vt:lpwstr/>
      </vt:variant>
      <vt:variant>
        <vt:i4>6488166</vt:i4>
      </vt:variant>
      <vt:variant>
        <vt:i4>6</vt:i4>
      </vt:variant>
      <vt:variant>
        <vt:i4>0</vt:i4>
      </vt:variant>
      <vt:variant>
        <vt:i4>5</vt:i4>
      </vt:variant>
      <vt:variant>
        <vt:lpwstr>http://creativecommons.org/licenses/by/4.0/</vt:lpwstr>
      </vt:variant>
      <vt:variant>
        <vt:lpwstr/>
      </vt:variant>
      <vt:variant>
        <vt:i4>917578</vt:i4>
      </vt:variant>
      <vt:variant>
        <vt:i4>3</vt:i4>
      </vt:variant>
      <vt:variant>
        <vt:i4>0</vt:i4>
      </vt:variant>
      <vt:variant>
        <vt:i4>5</vt:i4>
      </vt:variant>
      <vt:variant>
        <vt:lpwstr>http://creativecommons.org/licenses/by/4.0/legalcode</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1</dc:title>
  <dc:subject>Preliminaries</dc:subject>
  <dc:creator>Australian Government</dc:creator>
  <cp:keywords/>
  <dc:description/>
  <cp:lastModifiedBy/>
  <cp:revision>1</cp:revision>
  <dcterms:created xsi:type="dcterms:W3CDTF">2025-03-24T02:01:00Z</dcterms:created>
  <dcterms:modified xsi:type="dcterms:W3CDTF">2025-03-24T02:01:00Z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2025-03-24T02:01:22Z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a088ed80-a97b-4514-b5ce-6814c4623e48</vt:lpwstr>
  </property>
  <property fmtid="{D5CDD505-2E9C-101B-9397-08002B2CF9AE}" pid="8" name="MSIP_Label_4f932d64-9ab1-4d9b-81d2-a3a8b82dd47d_ContentBits">
    <vt:lpwstr>0</vt:lpwstr>
  </property>
</Properties>
</file>